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73058580"/>
        <w:docPartObj>
          <w:docPartGallery w:val="Cover Pages"/>
          <w:docPartUnique/>
        </w:docPartObj>
      </w:sdtPr>
      <w:sdtEndPr/>
      <w:sdtContent>
        <w:bookmarkStart w:id="0" w:name="_GoBack" w:displacedByCustomXml="prev"/>
        <w:bookmarkEnd w:id="0" w:displacedByCustomXml="prev"/>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le"/>
                  <w:jc w:val="right"/>
                  <w:rPr>
                    <w:sz w:val="48"/>
                    <w:szCs w:val="48"/>
                  </w:rPr>
                </w:pPr>
                <w:r w:rsidRPr="00EA2103">
                  <w:rPr>
                    <w:sz w:val="48"/>
                    <w:szCs w:val="48"/>
                  </w:rPr>
                  <w:t xml:space="preserve">Reply form for the </w:t>
                </w:r>
              </w:p>
              <w:p w:rsidR="007E7997" w:rsidRPr="005B6B12" w:rsidRDefault="00EA2103" w:rsidP="00EA2103">
                <w:pPr>
                  <w:pStyle w:val="Title"/>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9"/>
              <w:footerReference w:type="first" r:id="rId10"/>
              <w:pgSz w:w="11906" w:h="16838"/>
              <w:pgMar w:top="1417" w:right="1417" w:bottom="1417" w:left="1417" w:header="708" w:footer="708" w:gutter="0"/>
              <w:pgNumType w:start="0"/>
              <w:cols w:space="708"/>
              <w:titlePg/>
              <w:docGrid w:linePitch="360"/>
            </w:sectPr>
          </w:pPr>
        </w:p>
        <w:p w:rsidR="009663D9" w:rsidRDefault="00061A6A" w:rsidP="009663D9">
          <w:pPr>
            <w:spacing w:after="120" w:line="264" w:lineRule="auto"/>
          </w:pPr>
        </w:p>
      </w:sdtContent>
    </w:sdt>
    <w:p w:rsidR="000632C2" w:rsidRDefault="000632C2" w:rsidP="009663D9">
      <w:pPr>
        <w:pStyle w:val="Subtitle"/>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Paragraph"/>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Paragraph"/>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Paragraph"/>
        <w:numPr>
          <w:ilvl w:val="0"/>
          <w:numId w:val="18"/>
        </w:numPr>
        <w:spacing w:after="120" w:line="264" w:lineRule="auto"/>
      </w:pPr>
      <w:r>
        <w:t>if they respond to the question stated;</w:t>
      </w:r>
    </w:p>
    <w:p w:rsidR="000632C2" w:rsidRDefault="000632C2" w:rsidP="000632C2">
      <w:pPr>
        <w:pStyle w:val="ListParagraph"/>
        <w:numPr>
          <w:ilvl w:val="0"/>
          <w:numId w:val="18"/>
        </w:numPr>
        <w:spacing w:after="120" w:line="264" w:lineRule="auto"/>
      </w:pPr>
      <w:r>
        <w:t>contain a clear rationale, and</w:t>
      </w:r>
    </w:p>
    <w:p w:rsidR="000632C2" w:rsidRDefault="000632C2" w:rsidP="000632C2">
      <w:pPr>
        <w:pStyle w:val="ListParagraph"/>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eEmphasis"/>
        </w:rPr>
      </w:pPr>
      <w:r w:rsidRPr="000632C2">
        <w:rPr>
          <w:rStyle w:val="IntenseEmphasis"/>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eEmphasis"/>
        </w:rPr>
      </w:pPr>
      <w:r w:rsidRPr="00EA2103">
        <w:rPr>
          <w:rStyle w:val="IntenseEmphasis"/>
        </w:rPr>
        <w:t>Deadline</w:t>
      </w:r>
    </w:p>
    <w:p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Heading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834745721" w:edGrp="everyone" w:colFirst="1" w:colLast="1"/>
            <w:r w:rsidRPr="00AB6D88">
              <w:rPr>
                <w:rFonts w:ascii="Arial" w:hAnsi="Arial" w:cs="Arial"/>
              </w:rPr>
              <w:t>Name of the company / organisation</w:t>
            </w:r>
          </w:p>
        </w:tc>
        <w:sdt>
          <w:sdtPr>
            <w:rPr>
              <w:rStyle w:val="PlaceholderText"/>
              <w:rFonts w:ascii="Arial" w:hAnsi="Arial" w:cs="Arial"/>
            </w:rPr>
            <w:id w:val="-1905066999"/>
            <w:text/>
          </w:sdtPr>
          <w:sdtEndPr>
            <w:rPr>
              <w:rStyle w:val="PlaceholderText"/>
            </w:rPr>
          </w:sdtEndPr>
          <w:sdtContent>
            <w:permStart w:id="248413325" w:edGrp="everyone" w:displacedByCustomXml="prev"/>
            <w:tc>
              <w:tcPr>
                <w:tcW w:w="5595" w:type="dxa"/>
                <w:shd w:val="clear" w:color="auto" w:fill="auto"/>
              </w:tcPr>
              <w:p w:rsidR="000632C2" w:rsidRPr="00AB6D88" w:rsidRDefault="000C32A1" w:rsidP="0001524F">
                <w:pPr>
                  <w:rPr>
                    <w:rStyle w:val="PlaceholderText"/>
                    <w:rFonts w:ascii="Arial" w:hAnsi="Arial" w:cs="Arial"/>
                  </w:rPr>
                </w:pPr>
                <w:r>
                  <w:rPr>
                    <w:rStyle w:val="PlaceholderText"/>
                    <w:rFonts w:ascii="Arial" w:hAnsi="Arial" w:cs="Arial"/>
                  </w:rPr>
                  <w:t>British Bankers’ Association</w:t>
                </w:r>
              </w:p>
            </w:tc>
            <w:permEnd w:id="248413325"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26770646" w:edGrp="everyone" w:colFirst="1" w:colLast="1"/>
            <w:permEnd w:id="834745721"/>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rPr>
            <w:id w:val="-2035031634"/>
            <w14:checkbox>
              <w14:checked w14:val="0"/>
              <w14:checkedState w14:val="2612" w14:font="MS Gothic"/>
              <w14:uncheckedState w14:val="2610" w14:font="MS Gothic"/>
            </w14:checkbox>
          </w:sdtPr>
          <w:sdtEndPr>
            <w:rPr>
              <w:rStyle w:val="PlaceholderText"/>
            </w:rPr>
          </w:sdtEndPr>
          <w:sdtContent>
            <w:tc>
              <w:tcPr>
                <w:tcW w:w="5595" w:type="dxa"/>
                <w:shd w:val="clear" w:color="auto" w:fill="auto"/>
              </w:tcPr>
              <w:p w:rsidR="000632C2" w:rsidRPr="00AB6D88" w:rsidRDefault="000932BC" w:rsidP="009E5107">
                <w:pPr>
                  <w:rPr>
                    <w:rStyle w:val="PlaceholderText"/>
                    <w:rFonts w:ascii="Arial" w:hAnsi="Arial" w:cs="Arial"/>
                  </w:rPr>
                </w:pPr>
                <w:r>
                  <w:rPr>
                    <w:rStyle w:val="Placehold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841833719" w:edGrp="everyone" w:colFirst="1" w:colLast="1"/>
            <w:permEnd w:id="26770646"/>
            <w:r w:rsidRPr="00AB6D88">
              <w:rPr>
                <w:rFonts w:ascii="Arial" w:hAnsi="Arial" w:cs="Arial"/>
              </w:rPr>
              <w:t>Activity:</w:t>
            </w:r>
          </w:p>
        </w:tc>
        <w:tc>
          <w:tcPr>
            <w:tcW w:w="5595" w:type="dxa"/>
            <w:shd w:val="clear" w:color="auto" w:fill="auto"/>
          </w:tcPr>
          <w:p w:rsidR="000632C2" w:rsidRPr="00AB6D88" w:rsidRDefault="00061A6A"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1271421752" w:edGrp="everyone"/>
                <w:r w:rsidR="0001524F">
                  <w:rPr>
                    <w:rFonts w:ascii="Arial" w:hAnsi="Arial" w:cs="Arial"/>
                  </w:rPr>
                  <w:t>Banking sector</w:t>
                </w:r>
                <w:permEnd w:id="1271421752"/>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88222872" w:edGrp="everyone" w:colFirst="1" w:colLast="1"/>
            <w:permEnd w:id="841833719"/>
            <w:r w:rsidRPr="00AB6D88">
              <w:rPr>
                <w:rFonts w:ascii="Arial" w:hAnsi="Arial" w:cs="Arial"/>
              </w:rPr>
              <w:t>Are you representing an association?</w:t>
            </w:r>
          </w:p>
        </w:tc>
        <w:sdt>
          <w:sdtPr>
            <w:rPr>
              <w:rFonts w:ascii="Arial" w:hAnsi="Arial" w:cs="Arial"/>
            </w:rPr>
            <w:id w:val="-242871467"/>
            <w14:checkbox>
              <w14:checked w14:val="1"/>
              <w14:checkedState w14:val="2612" w14:font="MS Gothic"/>
              <w14:uncheckedState w14:val="2610" w14:font="MS Gothic"/>
            </w14:checkbox>
          </w:sdtPr>
          <w:sdtEndPr/>
          <w:sdtContent>
            <w:tc>
              <w:tcPr>
                <w:tcW w:w="5595" w:type="dxa"/>
                <w:shd w:val="clear" w:color="auto" w:fill="auto"/>
              </w:tcPr>
              <w:p w:rsidR="000632C2" w:rsidRPr="00AB6D88" w:rsidRDefault="0001524F" w:rsidP="009E5107">
                <w:pPr>
                  <w:rPr>
                    <w:rFonts w:ascii="Arial" w:hAnsi="Arial" w:cs="Arial"/>
                  </w:rPr>
                </w:pPr>
                <w:r>
                  <w:rPr>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888378592" w:edGrp="everyone" w:colFirst="1" w:colLast="1"/>
            <w:permEnd w:id="88222872"/>
            <w:r w:rsidRPr="00AB6D88">
              <w:rPr>
                <w:rFonts w:ascii="Arial" w:hAnsi="Arial" w:cs="Arial"/>
              </w:rPr>
              <w:t>Country/Region</w:t>
            </w:r>
          </w:p>
        </w:tc>
        <w:permStart w:id="375225582"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432809372" w:edGrp="everyone" w:displacedByCustomXml="prev"/>
            <w:tc>
              <w:tcPr>
                <w:tcW w:w="5595" w:type="dxa"/>
                <w:shd w:val="clear" w:color="auto" w:fill="auto"/>
              </w:tcPr>
              <w:p w:rsidR="000632C2" w:rsidRPr="00AB6D88" w:rsidRDefault="0001524F" w:rsidP="009E5107">
                <w:pPr>
                  <w:rPr>
                    <w:rFonts w:ascii="Arial" w:hAnsi="Arial" w:cs="Arial"/>
                  </w:rPr>
                </w:pPr>
                <w:r>
                  <w:rPr>
                    <w:rFonts w:ascii="Arial" w:hAnsi="Arial" w:cs="Arial"/>
                  </w:rPr>
                  <w:t>UK</w:t>
                </w:r>
              </w:p>
            </w:tc>
            <w:permEnd w:id="432809372" w:displacedByCustomXml="next"/>
          </w:sdtContent>
        </w:sdt>
        <w:permEnd w:id="375225582" w:displacedByCustomXml="prev"/>
      </w:tr>
      <w:permEnd w:id="1888378592"/>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Heading1"/>
        <w:numPr>
          <w:ilvl w:val="0"/>
          <w:numId w:val="0"/>
        </w:numPr>
        <w:ind w:left="431" w:hanging="431"/>
      </w:pPr>
      <w:r>
        <w:t>Introduction</w:t>
      </w:r>
    </w:p>
    <w:p w:rsidR="001D47A5" w:rsidRPr="001D47A5" w:rsidRDefault="001D47A5" w:rsidP="001D47A5">
      <w:pPr>
        <w:rPr>
          <w:rStyle w:val="IntenseEmphasis"/>
        </w:rPr>
      </w:pPr>
      <w:r w:rsidRPr="001D47A5">
        <w:rPr>
          <w:rStyle w:val="IntenseEmphasis"/>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995812" w:rsidRDefault="00995812" w:rsidP="00995812">
      <w:pPr>
        <w:rPr>
          <w:szCs w:val="22"/>
        </w:rPr>
      </w:pPr>
      <w:permStart w:id="620185431" w:edGrp="everyone"/>
      <w:r>
        <w:rPr>
          <w:color w:val="333333"/>
          <w:szCs w:val="22"/>
        </w:rPr>
        <w:t xml:space="preserve">The British Bankers’ Association (BBA) is the leading trade association for the UK banking sector with 200 member banks headquartered in over 50 countries with operations in 180 jurisdictions worldwide.  Eighty per cent of global systemically important banks are members of the BBA.  As the representative of the world’s largest international banking cluster the BBA is the voice of UK banking. </w:t>
      </w:r>
    </w:p>
    <w:p w:rsidR="00995812" w:rsidRDefault="00995812" w:rsidP="00995812">
      <w:pPr>
        <w:spacing w:line="240" w:lineRule="auto"/>
        <w:rPr>
          <w:sz w:val="24"/>
          <w:szCs w:val="24"/>
        </w:rPr>
      </w:pPr>
      <w:r>
        <w:rPr>
          <w:sz w:val="24"/>
        </w:rPr>
        <w:t xml:space="preserve">  </w:t>
      </w:r>
    </w:p>
    <w:p w:rsidR="00995812" w:rsidRPr="00995812" w:rsidRDefault="00995812" w:rsidP="00995812">
      <w:pPr>
        <w:spacing w:line="240" w:lineRule="auto"/>
      </w:pPr>
      <w:r>
        <w:t xml:space="preserve">In preparing our response, BBA Members have worked closely with a number of other Associations, including the Association for Financial Markets in Europe (AFME), the International Swaps and Derivatives Association (ISDA), the Futures Industry Association Europe (FIA Europe), the International Capital Market Association (ICMA), and the Association of Foreign Banks (AFB).  In order to avoid duplication of effort, and to assist ESMA, BBA has not repeated the detail of certain answers, where BBA Members’ views correspond to those of other Associations.  Nevertheless, where indicated under each relevant question </w:t>
      </w:r>
      <w:r w:rsidRPr="00995812">
        <w:t>below, in weighing responses, we ask ESMA to treat BBA’s response to the relevant question as if it included the full text of other associations’ responses as indicated.</w:t>
      </w:r>
    </w:p>
    <w:p w:rsidR="00995812" w:rsidRPr="00995812" w:rsidRDefault="00995812" w:rsidP="00995812">
      <w:pPr>
        <w:spacing w:line="240" w:lineRule="auto"/>
      </w:pPr>
    </w:p>
    <w:p w:rsidR="00476087" w:rsidRDefault="00995812" w:rsidP="00995812">
      <w:pPr>
        <w:spacing w:line="240" w:lineRule="auto"/>
      </w:pPr>
      <w:r w:rsidRPr="00995812">
        <w:t xml:space="preserve">BBA’s response is very much written from the perspective of how regulation can best serve the needs of users of the financial markets.  Investors need efficient and fair markets in which they can invest and disinvest confidently and with minimum cost and optimal returns; issuers need efficient and fair markets in which they can raise capital cost-effectively; financial markets need optimal involvement of investors, issuers, and intermediaries to serve the financial needs of the European economy, European businesses, and European citizens.  All of these considerations are highly relevant to the European Commission’s Capital Markets Union agenda. </w:t>
      </w:r>
    </w:p>
    <w:p w:rsidR="00476087" w:rsidRDefault="00476087" w:rsidP="00995812">
      <w:pPr>
        <w:spacing w:line="240" w:lineRule="auto"/>
      </w:pPr>
    </w:p>
    <w:p w:rsidR="00995812" w:rsidRDefault="00476087" w:rsidP="00995812">
      <w:pPr>
        <w:spacing w:line="240" w:lineRule="auto"/>
      </w:pPr>
      <w:r>
        <w:t>BBA draws ESMA’s attention in particular to the serious concerns which we and other Associations express under Section 3 of the consultation about ESMA’s approach to the definition of liquidity and the calibration of transparency requirements as they affect non-equity markets.</w:t>
      </w:r>
    </w:p>
    <w:permEnd w:id="620185431"/>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1" w:name="_Toc406692468"/>
      <w:bookmarkStart w:id="2" w:name="_Toc406692311"/>
      <w:bookmarkStart w:id="3" w:name="_Toc406691701"/>
      <w:bookmarkStart w:id="4" w:name="_Toc405371754"/>
      <w:r>
        <w:t>Investor protection</w:t>
      </w:r>
      <w:bookmarkEnd w:id="1"/>
      <w:bookmarkEnd w:id="2"/>
      <w:bookmarkEnd w:id="3"/>
      <w:bookmarkEnd w:id="4"/>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163B72" w:rsidRDefault="00163B72" w:rsidP="00163B72">
      <w:pPr>
        <w:spacing w:line="240" w:lineRule="auto"/>
      </w:pPr>
      <w:permStart w:id="606291059" w:edGrp="everyone"/>
      <w:r>
        <w:t xml:space="preserve">BBA has participated in and agrees with the Association for Financial Markets in Europe’s response, in particular as regards: </w:t>
      </w:r>
    </w:p>
    <w:p w:rsidR="00163B72" w:rsidRDefault="00163B72" w:rsidP="0017438A">
      <w:pPr>
        <w:pStyle w:val="ListParagraph"/>
        <w:numPr>
          <w:ilvl w:val="0"/>
          <w:numId w:val="13"/>
        </w:numPr>
        <w:spacing w:line="240" w:lineRule="auto"/>
        <w:contextualSpacing/>
        <w:jc w:val="left"/>
      </w:pPr>
      <w:r>
        <w:t>The need to grandfather existing firms into the new regime;</w:t>
      </w:r>
    </w:p>
    <w:p w:rsidR="00163B72" w:rsidRDefault="00163B72" w:rsidP="0017438A">
      <w:pPr>
        <w:pStyle w:val="ListParagraph"/>
        <w:numPr>
          <w:ilvl w:val="0"/>
          <w:numId w:val="13"/>
        </w:numPr>
        <w:spacing w:line="240" w:lineRule="auto"/>
        <w:contextualSpacing/>
        <w:jc w:val="left"/>
      </w:pPr>
      <w:r>
        <w:t xml:space="preserve">The need to modify provisions on anti-money-laundering controls; </w:t>
      </w:r>
    </w:p>
    <w:p w:rsidR="00163B72" w:rsidRDefault="00163B72" w:rsidP="0017438A">
      <w:pPr>
        <w:pStyle w:val="ListParagraph"/>
        <w:numPr>
          <w:ilvl w:val="0"/>
          <w:numId w:val="13"/>
        </w:numPr>
        <w:spacing w:line="240" w:lineRule="auto"/>
        <w:contextualSpacing/>
        <w:jc w:val="left"/>
      </w:pPr>
      <w:r>
        <w:t>The need for more flexibility as regards the programme of initial operations;</w:t>
      </w:r>
    </w:p>
    <w:p w:rsidR="00163B72" w:rsidRDefault="00163B72" w:rsidP="0017438A">
      <w:pPr>
        <w:pStyle w:val="ListParagraph"/>
        <w:numPr>
          <w:ilvl w:val="0"/>
          <w:numId w:val="13"/>
        </w:numPr>
        <w:spacing w:line="240" w:lineRule="auto"/>
        <w:contextualSpacing/>
        <w:jc w:val="left"/>
      </w:pPr>
      <w:r>
        <w:t xml:space="preserve">The need for a description of the rationale, rather than an assessment, of the firm’s choice of national regulatory system.  </w:t>
      </w:r>
    </w:p>
    <w:p w:rsidR="00163B72" w:rsidRDefault="00163B72" w:rsidP="00163B72">
      <w:pPr>
        <w:spacing w:line="240" w:lineRule="auto"/>
      </w:pPr>
    </w:p>
    <w:p w:rsidR="00163B72" w:rsidRDefault="00163B72" w:rsidP="00163B72">
      <w:pPr>
        <w:spacing w:line="240" w:lineRule="auto"/>
      </w:pPr>
      <w:r w:rsidRPr="00163B72">
        <w:t>In weighing responses to this question, we ask ESMA to treat BBA’s response as if it included the full text of AFME’s response</w:t>
      </w:r>
      <w:r>
        <w:rPr>
          <w:color w:val="FF0000"/>
        </w:rPr>
        <w:t>.</w:t>
      </w:r>
    </w:p>
    <w:permEnd w:id="606291059"/>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1753026853" w:edGrp="everyone"/>
      <w:r>
        <w:t>TYPE YOUR TEXT HERE</w:t>
      </w:r>
    </w:p>
    <w:permEnd w:id="1753026853"/>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163B72" w:rsidP="00EC2C93">
      <w:pPr>
        <w:keepNext/>
      </w:pPr>
      <w:permStart w:id="1668697248" w:edGrp="everyone"/>
      <w:r>
        <w:t>Yes</w:t>
      </w:r>
    </w:p>
    <w:permEnd w:id="1668697248"/>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494B66" w:rsidRDefault="00494B66" w:rsidP="00EC2C93">
      <w:pPr>
        <w:keepNext/>
        <w:rPr>
          <w:color w:val="000000" w:themeColor="text1"/>
          <w:szCs w:val="22"/>
        </w:rPr>
      </w:pPr>
      <w:permStart w:id="974613892" w:edGrp="everyone"/>
      <w:r>
        <w:rPr>
          <w:color w:val="000000" w:themeColor="text1"/>
          <w:szCs w:val="22"/>
        </w:rPr>
        <w:t>Yes, but it is important that the criteria are applied proportionately and pragmatically</w:t>
      </w:r>
    </w:p>
    <w:permEnd w:id="974613892"/>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494B66" w:rsidRDefault="00494B66" w:rsidP="00494B66">
      <w:pPr>
        <w:spacing w:line="240" w:lineRule="auto"/>
      </w:pPr>
      <w:permStart w:id="559428304" w:edGrp="everyone"/>
      <w:r>
        <w:t>BBA has participated in and agrees with the Association for Financial Markets in Europe’s response, in particular as regards:</w:t>
      </w:r>
    </w:p>
    <w:p w:rsidR="00494B66" w:rsidRDefault="00494B66" w:rsidP="0017438A">
      <w:pPr>
        <w:pStyle w:val="ListParagraph"/>
        <w:numPr>
          <w:ilvl w:val="0"/>
          <w:numId w:val="14"/>
        </w:numPr>
        <w:spacing w:line="240" w:lineRule="auto"/>
        <w:contextualSpacing/>
        <w:jc w:val="left"/>
      </w:pPr>
      <w:r>
        <w:t>Flexibility not to provide a fax number;</w:t>
      </w:r>
    </w:p>
    <w:p w:rsidR="00494B66" w:rsidRDefault="00494B66" w:rsidP="0017438A">
      <w:pPr>
        <w:pStyle w:val="ListParagraph"/>
        <w:numPr>
          <w:ilvl w:val="0"/>
          <w:numId w:val="14"/>
        </w:numPr>
        <w:spacing w:line="240" w:lineRule="auto"/>
        <w:contextualSpacing/>
        <w:jc w:val="left"/>
      </w:pPr>
      <w:r>
        <w:t>Clarity over the ‘designated contact person’;</w:t>
      </w:r>
    </w:p>
    <w:p w:rsidR="00494B66" w:rsidRDefault="00494B66" w:rsidP="0017438A">
      <w:pPr>
        <w:pStyle w:val="ListParagraph"/>
        <w:numPr>
          <w:ilvl w:val="0"/>
          <w:numId w:val="14"/>
        </w:numPr>
        <w:spacing w:line="240" w:lineRule="auto"/>
        <w:contextualSpacing/>
        <w:jc w:val="left"/>
      </w:pPr>
      <w:r>
        <w:t>Simplification of the provisions on qualifications and training</w:t>
      </w:r>
    </w:p>
    <w:p w:rsidR="00494B66" w:rsidRDefault="00494B66" w:rsidP="00494B66">
      <w:pPr>
        <w:pStyle w:val="NoSpacing"/>
        <w:jc w:val="both"/>
        <w:rPr>
          <w:rFonts w:ascii="Arial" w:hAnsi="Arial" w:cs="Arial"/>
          <w:bCs/>
          <w:i/>
          <w:color w:val="000000" w:themeColor="text1"/>
          <w:sz w:val="22"/>
          <w:szCs w:val="22"/>
        </w:rPr>
      </w:pPr>
    </w:p>
    <w:p w:rsidR="00494B66" w:rsidRDefault="00494B66" w:rsidP="00494B66">
      <w:pPr>
        <w:pStyle w:val="NoSpacing"/>
        <w:jc w:val="both"/>
        <w:rPr>
          <w:rFonts w:ascii="Arial" w:hAnsi="Arial" w:cs="Arial"/>
          <w:bCs/>
          <w:i/>
          <w:color w:val="000000" w:themeColor="text1"/>
          <w:sz w:val="22"/>
          <w:szCs w:val="22"/>
        </w:rPr>
      </w:pPr>
      <w:r w:rsidRPr="00476087">
        <w:rPr>
          <w:rFonts w:ascii="Arial" w:hAnsi="Arial" w:cs="Arial"/>
          <w:sz w:val="22"/>
          <w:szCs w:val="22"/>
        </w:rPr>
        <w:t>In weighing responses to this question, we ask ESMA to treat BBA’s response as if it included the full text of AFME’s response</w:t>
      </w:r>
      <w:r>
        <w:rPr>
          <w:rFonts w:ascii="Arial" w:hAnsi="Arial" w:cs="Arial"/>
          <w:color w:val="FF0000"/>
        </w:rPr>
        <w:t>.</w:t>
      </w:r>
    </w:p>
    <w:permEnd w:id="559428304"/>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494B66" w:rsidRDefault="00494B66" w:rsidP="00494B66">
      <w:pPr>
        <w:spacing w:line="240" w:lineRule="auto"/>
      </w:pPr>
      <w:permStart w:id="1509712367" w:edGrp="everyone"/>
      <w:r>
        <w:t xml:space="preserve">Yes.  BBA has participated in and agrees with the Association for Financial Markets in Europe’s response, in particular as regards the need for clarity on when the Competent Authority decides that the application is complete.  </w:t>
      </w:r>
      <w:r w:rsidRPr="00494B66">
        <w:t>In weighing responses to this question, we ask ESMA to treat BBA’s response as if it included the full text of AFME’s response</w:t>
      </w:r>
      <w:r>
        <w:rPr>
          <w:color w:val="FF0000"/>
        </w:rPr>
        <w:t>.</w:t>
      </w:r>
      <w:r>
        <w:t xml:space="preserve"> </w:t>
      </w:r>
    </w:p>
    <w:permEnd w:id="1509712367"/>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t>&lt;ESMA_QUESTION_CP_MIFID_7&gt;</w:t>
      </w:r>
    </w:p>
    <w:p w:rsidR="000C32A1" w:rsidRDefault="00494B66" w:rsidP="00EC2C93">
      <w:pPr>
        <w:keepNext/>
        <w:rPr>
          <w:color w:val="000000" w:themeColor="text1"/>
          <w:szCs w:val="22"/>
        </w:rPr>
      </w:pPr>
      <w:permStart w:id="540825122" w:edGrp="everyone"/>
      <w:r>
        <w:rPr>
          <w:color w:val="000000" w:themeColor="text1"/>
          <w:szCs w:val="22"/>
        </w:rPr>
        <w:t>See BBA’s response to Q 1-6.  It is important that the assessment of accuracy and completeness is undertaken pragmatically in the context of the application</w:t>
      </w:r>
    </w:p>
    <w:permEnd w:id="540825122"/>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ED73A8" w:rsidP="00EC2C93">
      <w:pPr>
        <w:keepNext/>
      </w:pPr>
      <w:permStart w:id="785337166" w:edGrp="everyone"/>
      <w:r>
        <w:t>Yes</w:t>
      </w:r>
    </w:p>
    <w:permEnd w:id="785337166"/>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1891072160" w:edGrp="everyone"/>
      <w:r>
        <w:t>TYPE YOUR TEXT HERE</w:t>
      </w:r>
    </w:p>
    <w:permEnd w:id="1891072160"/>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ED73A8" w:rsidRDefault="00ED73A8" w:rsidP="00ED73A8">
      <w:pPr>
        <w:spacing w:line="240" w:lineRule="auto"/>
      </w:pPr>
      <w:permStart w:id="1746238761" w:edGrp="everyone"/>
    </w:p>
    <w:p w:rsidR="00ED73A8" w:rsidRDefault="00ED73A8" w:rsidP="00ED73A8">
      <w:pPr>
        <w:spacing w:line="240" w:lineRule="auto"/>
      </w:pPr>
      <w:r>
        <w:t xml:space="preserve">BBA has participated in and agrees with the Association for Financial Markets in Europe’s response, in particular as regards the need for Competent Authorities to accept only a high-level description of the arrangements and business model.  </w:t>
      </w:r>
      <w:r w:rsidRPr="00ED73A8">
        <w:t>In weighing responses to this question, we ask ESMA to treat BBA’s response as if it included the full text of AFME’s response</w:t>
      </w:r>
      <w:r>
        <w:rPr>
          <w:color w:val="FF0000"/>
        </w:rPr>
        <w:t>.</w:t>
      </w:r>
    </w:p>
    <w:permEnd w:id="1746238761"/>
    <w:p w:rsidR="00577C33" w:rsidRDefault="00577C33" w:rsidP="00EC2C93">
      <w:pPr>
        <w:keepNext/>
      </w:pPr>
      <w:r>
        <w:lastRenderedPageBreak/>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ED73A8" w:rsidRDefault="00ED73A8" w:rsidP="00ED73A8">
      <w:pPr>
        <w:spacing w:line="240" w:lineRule="auto"/>
      </w:pPr>
      <w:permStart w:id="68438067" w:edGrp="everyone"/>
      <w:r>
        <w:t xml:space="preserve">BBA has participated in and agrees with the Association for Financial Markets in Europe’s response, in particular as regards the need for flexibility of format and </w:t>
      </w:r>
      <w:proofErr w:type="gramStart"/>
      <w:r>
        <w:t>content,</w:t>
      </w:r>
      <w:proofErr w:type="gramEnd"/>
      <w:r>
        <w:t xml:space="preserve"> and proportionate assessment by Competent Authorities. </w:t>
      </w:r>
      <w:r w:rsidRPr="00ED73A8">
        <w:t>In weighing responses to this question, we ask ESMA to treat BBA’s response as if it included the full text of AFME’s response</w:t>
      </w:r>
      <w:r>
        <w:rPr>
          <w:color w:val="FF0000"/>
        </w:rPr>
        <w:t>.</w:t>
      </w:r>
      <w:r>
        <w:t xml:space="preserve">  </w:t>
      </w:r>
    </w:p>
    <w:permEnd w:id="68438067"/>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1848780811" w:edGrp="everyone"/>
      <w:r>
        <w:t>TYPE YOUR TEXT HERE</w:t>
      </w:r>
    </w:p>
    <w:permEnd w:id="1848780811"/>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1492072183" w:edGrp="everyone"/>
      <w:r>
        <w:t>TYPE YOUR TEXT HERE</w:t>
      </w:r>
    </w:p>
    <w:permEnd w:id="1492072183"/>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t>&lt;ESMA_QUESTION_CP_MIFID_14&gt;</w:t>
      </w:r>
    </w:p>
    <w:p w:rsidR="00577C33" w:rsidRDefault="00ED73A8" w:rsidP="00EC2C93">
      <w:pPr>
        <w:keepNext/>
      </w:pPr>
      <w:permStart w:id="1107952941" w:edGrp="everyone"/>
      <w:r>
        <w:t>Yes</w:t>
      </w:r>
    </w:p>
    <w:permEnd w:id="1107952941"/>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7876B9" w:rsidRDefault="007876B9" w:rsidP="007876B9">
      <w:pPr>
        <w:spacing w:line="240" w:lineRule="auto"/>
        <w:rPr>
          <w:color w:val="000000" w:themeColor="text1"/>
          <w:szCs w:val="22"/>
        </w:rPr>
      </w:pPr>
      <w:permStart w:id="846410729" w:edGrp="everyone"/>
      <w:r>
        <w:rPr>
          <w:color w:val="000000" w:themeColor="text1"/>
          <w:szCs w:val="22"/>
        </w:rPr>
        <w:t>BBA considers that notifications of changes in branch particulars should focus on material changes, and in this context, any further acknowledgment ESMA could provide of materiality considerations would be helpful. For example, with regard to notifications concerning the termination of the operation of the branch, the provision needs to be interpreted flexibly and pragmatically. In many instances businesses will be wound down over time and, whilst it is reasonable to set out a schedule for the planned termination, it will not always be possible, or in the interests of clients, to adhere strictly to any pre-determined schedules. It is also not clear to what extent material changes to the already communicated termination schedule would need to be notified.</w:t>
      </w:r>
    </w:p>
    <w:permEnd w:id="846410729"/>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lastRenderedPageBreak/>
        <w:t>&lt;ESMA_QUESTION_CP_MIFID_16&gt;</w:t>
      </w:r>
    </w:p>
    <w:p w:rsidR="00577C33" w:rsidRDefault="00577C33" w:rsidP="00EC2C93">
      <w:pPr>
        <w:keepNext/>
      </w:pPr>
      <w:permStart w:id="736366957" w:edGrp="everyone"/>
      <w:r>
        <w:t>TYPE YOUR TEXT HERE</w:t>
      </w:r>
    </w:p>
    <w:permEnd w:id="736366957"/>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7876B9" w:rsidP="00EC2C93">
      <w:pPr>
        <w:keepNext/>
      </w:pPr>
      <w:permStart w:id="104140493" w:edGrp="everyone"/>
      <w:r>
        <w:t>Yes</w:t>
      </w:r>
    </w:p>
    <w:permEnd w:id="104140493"/>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7876B9" w:rsidP="00EC2C93">
      <w:pPr>
        <w:keepNext/>
      </w:pPr>
      <w:permStart w:id="981684223" w:edGrp="everyone"/>
      <w:r>
        <w:t>Yes</w:t>
      </w:r>
    </w:p>
    <w:permEnd w:id="981684223"/>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DF76B5" w:rsidRDefault="00DF76B5" w:rsidP="00DF76B5">
      <w:pPr>
        <w:spacing w:line="240" w:lineRule="auto"/>
      </w:pPr>
      <w:permStart w:id="875133280" w:edGrp="everyone"/>
      <w:r>
        <w:rPr>
          <w:color w:val="000000" w:themeColor="text1"/>
          <w:szCs w:val="22"/>
        </w:rPr>
        <w:t xml:space="preserve">No, we do not agree entirely. In particular, it will be important that the Home Member State applies the requirement for “all necessary information” pragmatically and reasonably. Some of the information requirements can be interpreted in different ways so firms should be given sufficient leeway to submit information in a range of formats and level of detail as long as they are in line with the overall requirements, rather than authorities expecting and assessing an application’s completeness according to their own expectation of specific content being covered (something firms would not be necessarily aware of).  We welcome the objective of reducing the risk of inconsistent national approaches to </w:t>
      </w:r>
      <w:proofErr w:type="spellStart"/>
      <w:r>
        <w:rPr>
          <w:color w:val="000000" w:themeColor="text1"/>
          <w:szCs w:val="22"/>
        </w:rPr>
        <w:t>passporting</w:t>
      </w:r>
      <w:proofErr w:type="spellEnd"/>
      <w:r>
        <w:rPr>
          <w:color w:val="000000" w:themeColor="text1"/>
          <w:szCs w:val="22"/>
        </w:rPr>
        <w:t xml:space="preserve"> notifications. However, it is not clear what external mechanism would exist for firms to raise concerns if they felt that a certain competent authority was interpreting the information unduly prescriptively, thus delaying the review period which only starts to run from the time that the information has been assessed to be complete and correct. ESMA are encouraged to give further thought to enhancing supervisory convergence in this context.</w:t>
      </w:r>
    </w:p>
    <w:permEnd w:id="875133280"/>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DF76B5" w:rsidRDefault="00DF76B5" w:rsidP="00DF76B5">
      <w:pPr>
        <w:pStyle w:val="NoSpacing"/>
        <w:jc w:val="both"/>
        <w:rPr>
          <w:rFonts w:ascii="Arial" w:hAnsi="Arial" w:cs="Arial"/>
          <w:color w:val="000000" w:themeColor="text1"/>
          <w:sz w:val="22"/>
          <w:szCs w:val="22"/>
        </w:rPr>
      </w:pPr>
      <w:permStart w:id="242430932" w:edGrp="everyone"/>
      <w:r>
        <w:rPr>
          <w:rFonts w:ascii="Arial" w:hAnsi="Arial" w:cs="Arial"/>
          <w:color w:val="000000" w:themeColor="text1"/>
          <w:sz w:val="22"/>
          <w:szCs w:val="22"/>
        </w:rPr>
        <w:t xml:space="preserve">Yes, we agree. Whilst we generally support a move towards electronic means of communication, given for example potential technology issues and varying protocols in firms, we believe that firms should be given maximum flexibility and the ESMA should allow for both paper and electronic options for transmitting the information. We believe that the language options should make it clear that all competent authorities will accept notifications in “a language that is customary in the sphere of international finance”, typically considered </w:t>
      </w:r>
      <w:proofErr w:type="gramStart"/>
      <w:r>
        <w:rPr>
          <w:rFonts w:ascii="Arial" w:hAnsi="Arial" w:cs="Arial"/>
          <w:color w:val="000000" w:themeColor="text1"/>
          <w:sz w:val="22"/>
          <w:szCs w:val="22"/>
        </w:rPr>
        <w:t>to refer</w:t>
      </w:r>
      <w:proofErr w:type="gramEnd"/>
      <w:r>
        <w:rPr>
          <w:rFonts w:ascii="Arial" w:hAnsi="Arial" w:cs="Arial"/>
          <w:color w:val="000000" w:themeColor="text1"/>
          <w:sz w:val="22"/>
          <w:szCs w:val="22"/>
        </w:rPr>
        <w:t xml:space="preserve"> to English. We welcome the appointment of designated contact points by Competent Authorities. </w:t>
      </w:r>
    </w:p>
    <w:permEnd w:id="242430932"/>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DF76B5" w:rsidRDefault="00DF76B5" w:rsidP="00DF76B5">
      <w:pPr>
        <w:pStyle w:val="NoSpacing"/>
        <w:jc w:val="both"/>
        <w:rPr>
          <w:rFonts w:ascii="Arial" w:hAnsi="Arial" w:cs="Arial"/>
          <w:color w:val="000000" w:themeColor="text1"/>
          <w:sz w:val="22"/>
          <w:szCs w:val="22"/>
        </w:rPr>
      </w:pPr>
      <w:permStart w:id="1837762419" w:edGrp="everyone"/>
      <w:r>
        <w:rPr>
          <w:rFonts w:ascii="Arial" w:hAnsi="Arial" w:cs="Arial"/>
          <w:color w:val="000000" w:themeColor="text1"/>
          <w:sz w:val="22"/>
          <w:szCs w:val="22"/>
        </w:rPr>
        <w:t xml:space="preserve">Yes we believe that this would be useful. It would also be useful if it could be specified within which period such receipt should be provided, e.g. within 1 week. Furthermore, it will be particularly important for an investment firm to be notified when the authority considers the application to be complete and the clock has started. </w:t>
      </w:r>
    </w:p>
    <w:permEnd w:id="1837762419"/>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790103494" w:edGrp="everyone"/>
      <w:r>
        <w:t>TYPE YOUR TEXT HERE</w:t>
      </w:r>
    </w:p>
    <w:permEnd w:id="790103494"/>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87324636" w:edGrp="everyone"/>
      <w:r>
        <w:t>TYPE YOUR TEXT HERE</w:t>
      </w:r>
    </w:p>
    <w:permEnd w:id="87324636"/>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DF76B5" w:rsidP="00EC2C93">
      <w:pPr>
        <w:keepNext/>
      </w:pPr>
      <w:permStart w:id="1908628024" w:edGrp="everyone"/>
      <w:r>
        <w:t>Yes</w:t>
      </w:r>
    </w:p>
    <w:permEnd w:id="1908628024"/>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3260C3" w:rsidP="00EC2C93">
      <w:pPr>
        <w:keepNext/>
      </w:pPr>
      <w:permStart w:id="1294930165" w:edGrp="everyone"/>
      <w:r>
        <w:t>Yes</w:t>
      </w:r>
    </w:p>
    <w:permEnd w:id="1294930165"/>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1433487209" w:edGrp="everyone"/>
      <w:r>
        <w:t>TYPE YOUR TEXT HERE</w:t>
      </w:r>
    </w:p>
    <w:permEnd w:id="1433487209"/>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1976308012" w:edGrp="everyone"/>
      <w:r>
        <w:t>TYPE YOUR TEXT HERE</w:t>
      </w:r>
    </w:p>
    <w:permEnd w:id="1976308012"/>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01524F" w:rsidRDefault="0001524F" w:rsidP="0001524F">
      <w:pPr>
        <w:keepNext/>
      </w:pPr>
      <w:permStart w:id="1884188592" w:edGrp="everyone"/>
      <w:r>
        <w:t>No.  We think that the requirement for a written declaration by the third country competent authority that the firm is subject to effective supervision, specifying the services and activities for which it is authorised – in RTS 5 Article 1(1</w:t>
      </w:r>
      <w:proofErr w:type="gramStart"/>
      <w:r>
        <w:t>)(</w:t>
      </w:r>
      <w:proofErr w:type="gramEnd"/>
      <w:r>
        <w:t xml:space="preserve">k) – should be deleted.  The European Commission will have confirmed the effectiveness of the third country’s supervision in determining the equivalence.  MIFIR Article 47 already provides for cooperation and exchange of information between ESMA and the third country’s competent authorities: that is the route which ESMA should use to establish the supervisory and enforcement status of the applicant firm.  Furthermore, in practice, it may be difficult or impossible for the third country firm to obtain such a declaration from its competent authority for this purpose.  The absence of such a declaration, because, for example, the relevant competent authority was not prepared to provide it, or there are delays in providing it, should not be used to justify refusal in circumstances where a firm is in fact duly authorised and regulated, and ESMA itself has access to the relevant information about the effectiveness of supervision directly from the relevant competent authority.  </w:t>
      </w:r>
    </w:p>
    <w:p w:rsidR="0001524F" w:rsidRDefault="0001524F" w:rsidP="0001524F">
      <w:pPr>
        <w:keepNext/>
      </w:pPr>
    </w:p>
    <w:p w:rsidR="0001524F" w:rsidRDefault="0001524F" w:rsidP="0001524F">
      <w:pPr>
        <w:keepNext/>
      </w:pPr>
      <w:r>
        <w:t xml:space="preserve">If ESMA considers it necessary for the third country firm to include in the application some form of statement about the third country firm’s supervisory and enforcement status, it should be possible for the third country firm itself to make a declaration that it is duly regulated, which ESMA would then be able to verify through its direct contacts with the third country jurisdiction.  </w:t>
      </w:r>
    </w:p>
    <w:p w:rsidR="0001524F" w:rsidRDefault="0001524F" w:rsidP="0001524F">
      <w:pPr>
        <w:keepNext/>
      </w:pPr>
    </w:p>
    <w:p w:rsidR="0001524F" w:rsidRDefault="0001524F" w:rsidP="0001524F">
      <w:pPr>
        <w:keepNext/>
        <w:rPr>
          <w:b/>
        </w:rPr>
      </w:pPr>
      <w:r>
        <w:t xml:space="preserve">Article 1(1)(k) should therefore be deleted, or at least amended to read: “a written declaration by the </w:t>
      </w:r>
      <w:r w:rsidRPr="0001524F">
        <w:t>third country firm</w:t>
      </w:r>
      <w:r>
        <w:t xml:space="preserve"> stating that the firm </w:t>
      </w:r>
      <w:r w:rsidRPr="0001524F">
        <w:t>is duly regulated in the third country,</w:t>
      </w:r>
      <w:r>
        <w:t xml:space="preserve"> specifying which investment services, activities, and ancillary services it is authorised to provide in its home jurisdiction.  </w:t>
      </w:r>
    </w:p>
    <w:permEnd w:id="1884188592"/>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01524F" w:rsidRDefault="0001524F" w:rsidP="0001524F">
      <w:pPr>
        <w:keepNext/>
      </w:pPr>
      <w:permStart w:id="170476341" w:edGrp="everyone"/>
      <w:r>
        <w:t xml:space="preserve">We do not have any comments on the text of RTS 5 Article 2.  </w:t>
      </w:r>
    </w:p>
    <w:p w:rsidR="0001524F" w:rsidRDefault="0001524F" w:rsidP="0001524F">
      <w:pPr>
        <w:keepNext/>
      </w:pPr>
    </w:p>
    <w:p w:rsidR="0001524F" w:rsidRDefault="0001524F" w:rsidP="0001524F">
      <w:pPr>
        <w:keepNext/>
      </w:pPr>
      <w:r>
        <w:t>However, in relation to Article 2.2, it needs to be clearly stated that ‘change’ means a significant change in the information provided which, in the reasonable opinion of the applicant third country firm, would materially affect ESMA’s decision whether to register the third country firm, or the basis on which it was registered.  It would be helpful for ESMA to provide a statement, for example in guidance or a Q&amp;A, to this effect. Our members would suggest that branches</w:t>
      </w:r>
      <w:r w:rsidRPr="00D84AE3">
        <w:t xml:space="preserve"> should only have to report changes to the extent that authorised EU firms would have to report changes</w:t>
      </w:r>
      <w:r>
        <w:t>.</w:t>
      </w:r>
      <w:bookmarkStart w:id="5" w:name="GoBack"/>
      <w:bookmarkEnd w:id="5"/>
    </w:p>
    <w:permEnd w:id="170476341"/>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3260C3" w:rsidRDefault="003260C3" w:rsidP="00821113">
      <w:pPr>
        <w:pStyle w:val="NoSpacing"/>
        <w:jc w:val="both"/>
        <w:divId w:val="266960319"/>
        <w:rPr>
          <w:rFonts w:ascii="Arial" w:hAnsi="Arial" w:cs="Arial"/>
          <w:color w:val="000000" w:themeColor="text1"/>
          <w:sz w:val="22"/>
          <w:szCs w:val="22"/>
        </w:rPr>
      </w:pPr>
      <w:permStart w:id="1986362719" w:edGrp="everyone"/>
      <w:r>
        <w:rPr>
          <w:rFonts w:ascii="Arial" w:hAnsi="Arial" w:cs="Arial"/>
          <w:color w:val="000000" w:themeColor="text1"/>
          <w:sz w:val="22"/>
          <w:szCs w:val="22"/>
        </w:rPr>
        <w:t xml:space="preserve">BBA has participated in and supports the Association for Financial Markets in Europe’s response as regards: </w:t>
      </w:r>
    </w:p>
    <w:p w:rsidR="003260C3" w:rsidRDefault="003260C3" w:rsidP="0017438A">
      <w:pPr>
        <w:pStyle w:val="NoSpacing"/>
        <w:numPr>
          <w:ilvl w:val="0"/>
          <w:numId w:val="15"/>
        </w:numPr>
        <w:jc w:val="both"/>
        <w:divId w:val="266960319"/>
        <w:rPr>
          <w:rFonts w:ascii="Arial" w:hAnsi="Arial" w:cs="Arial"/>
          <w:color w:val="000000" w:themeColor="text1"/>
          <w:sz w:val="22"/>
          <w:szCs w:val="22"/>
        </w:rPr>
      </w:pPr>
      <w:r>
        <w:rPr>
          <w:rFonts w:ascii="Arial" w:hAnsi="Arial" w:cs="Arial"/>
          <w:color w:val="000000" w:themeColor="text1"/>
          <w:sz w:val="22"/>
          <w:szCs w:val="22"/>
        </w:rPr>
        <w:lastRenderedPageBreak/>
        <w:t>The need for appropriately defining ‘execution venues’ and the fact the market makers and liquidity providers should not be considered as such;</w:t>
      </w:r>
    </w:p>
    <w:p w:rsidR="003260C3" w:rsidRDefault="003260C3" w:rsidP="0017438A">
      <w:pPr>
        <w:pStyle w:val="NoSpacing"/>
        <w:numPr>
          <w:ilvl w:val="0"/>
          <w:numId w:val="15"/>
        </w:numPr>
        <w:jc w:val="both"/>
        <w:divId w:val="266960319"/>
        <w:rPr>
          <w:rFonts w:ascii="Arial" w:hAnsi="Arial" w:cs="Arial"/>
          <w:color w:val="000000" w:themeColor="text1"/>
          <w:sz w:val="22"/>
          <w:szCs w:val="22"/>
        </w:rPr>
      </w:pPr>
      <w:r>
        <w:rPr>
          <w:rFonts w:ascii="Arial" w:hAnsi="Arial" w:cs="Arial"/>
          <w:color w:val="000000" w:themeColor="text1"/>
          <w:sz w:val="22"/>
          <w:szCs w:val="22"/>
        </w:rPr>
        <w:t xml:space="preserve">The need for appropriate treatment of RFQ and voice trading systems; </w:t>
      </w:r>
    </w:p>
    <w:p w:rsidR="003260C3" w:rsidRDefault="003260C3" w:rsidP="0017438A">
      <w:pPr>
        <w:pStyle w:val="NoSpacing"/>
        <w:numPr>
          <w:ilvl w:val="0"/>
          <w:numId w:val="15"/>
        </w:numPr>
        <w:jc w:val="both"/>
        <w:divId w:val="266960319"/>
        <w:rPr>
          <w:rFonts w:ascii="Arial" w:hAnsi="Arial" w:cs="Arial"/>
          <w:color w:val="000000" w:themeColor="text1"/>
          <w:sz w:val="22"/>
          <w:szCs w:val="22"/>
        </w:rPr>
      </w:pPr>
      <w:r>
        <w:rPr>
          <w:rFonts w:ascii="Arial" w:hAnsi="Arial" w:cs="Arial"/>
          <w:color w:val="000000" w:themeColor="text1"/>
          <w:sz w:val="22"/>
          <w:szCs w:val="22"/>
        </w:rPr>
        <w:t xml:space="preserve">The need to differentiate requirements for Systematic </w:t>
      </w:r>
      <w:proofErr w:type="spellStart"/>
      <w:r>
        <w:rPr>
          <w:rFonts w:ascii="Arial" w:hAnsi="Arial" w:cs="Arial"/>
          <w:color w:val="000000" w:themeColor="text1"/>
          <w:sz w:val="22"/>
          <w:szCs w:val="22"/>
        </w:rPr>
        <w:t>Internalisers</w:t>
      </w:r>
      <w:proofErr w:type="spellEnd"/>
      <w:r>
        <w:rPr>
          <w:rFonts w:ascii="Arial" w:hAnsi="Arial" w:cs="Arial"/>
          <w:color w:val="000000" w:themeColor="text1"/>
          <w:sz w:val="22"/>
          <w:szCs w:val="22"/>
        </w:rPr>
        <w:t xml:space="preserve"> from those for trading venues; </w:t>
      </w:r>
    </w:p>
    <w:p w:rsidR="003260C3" w:rsidRDefault="003260C3" w:rsidP="0017438A">
      <w:pPr>
        <w:pStyle w:val="NoSpacing"/>
        <w:numPr>
          <w:ilvl w:val="0"/>
          <w:numId w:val="15"/>
        </w:numPr>
        <w:jc w:val="both"/>
        <w:divId w:val="266960319"/>
        <w:rPr>
          <w:rFonts w:ascii="Arial" w:hAnsi="Arial" w:cs="Arial"/>
          <w:color w:val="000000" w:themeColor="text1"/>
          <w:sz w:val="22"/>
          <w:szCs w:val="22"/>
        </w:rPr>
      </w:pPr>
      <w:r>
        <w:rPr>
          <w:rFonts w:ascii="Arial" w:hAnsi="Arial" w:cs="Arial"/>
          <w:color w:val="000000" w:themeColor="text1"/>
          <w:sz w:val="22"/>
          <w:szCs w:val="22"/>
        </w:rPr>
        <w:t xml:space="preserve">The recognition that the ‘point-in-time information’ would be detrimental to Systematic </w:t>
      </w:r>
      <w:proofErr w:type="spellStart"/>
      <w:r>
        <w:rPr>
          <w:rFonts w:ascii="Arial" w:hAnsi="Arial" w:cs="Arial"/>
          <w:color w:val="000000" w:themeColor="text1"/>
          <w:sz w:val="22"/>
          <w:szCs w:val="22"/>
        </w:rPr>
        <w:t>Internalisers</w:t>
      </w:r>
      <w:proofErr w:type="spellEnd"/>
      <w:r>
        <w:rPr>
          <w:rFonts w:ascii="Arial" w:hAnsi="Arial" w:cs="Arial"/>
          <w:color w:val="000000" w:themeColor="text1"/>
          <w:sz w:val="22"/>
          <w:szCs w:val="22"/>
        </w:rPr>
        <w:t xml:space="preserve"> (SIs). Indeed, for less liquid instruments, particularly fixed-income, this requirement would effectively unveil to the market all the positions taken by SIs in particular financial instruments. This requirement will simply discourage SIs to perform their function which is central in MIFID II; </w:t>
      </w:r>
    </w:p>
    <w:p w:rsidR="003260C3" w:rsidRDefault="003260C3" w:rsidP="0017438A">
      <w:pPr>
        <w:pStyle w:val="NoSpacing"/>
        <w:numPr>
          <w:ilvl w:val="0"/>
          <w:numId w:val="15"/>
        </w:numPr>
        <w:jc w:val="both"/>
        <w:divId w:val="266960319"/>
        <w:rPr>
          <w:rFonts w:ascii="Arial" w:hAnsi="Arial" w:cs="Arial"/>
          <w:color w:val="000000" w:themeColor="text1"/>
          <w:sz w:val="22"/>
          <w:szCs w:val="22"/>
        </w:rPr>
      </w:pPr>
      <w:r>
        <w:rPr>
          <w:rFonts w:ascii="Arial" w:hAnsi="Arial" w:cs="Arial"/>
          <w:color w:val="000000" w:themeColor="text1"/>
          <w:sz w:val="22"/>
          <w:szCs w:val="22"/>
        </w:rPr>
        <w:t>The need to review the timing of the reports. We do not think it is effective to have the information aggregated on a daily basis. Information at an aggregated level over a longer period of time provides information on the quality of execution in a meaningful and appropriate way. Also, in order to avoid compromising SIs, we would suggest that the information should be made public ‘with</w:t>
      </w:r>
      <w:r w:rsidR="00476087">
        <w:rPr>
          <w:rFonts w:ascii="Arial" w:hAnsi="Arial" w:cs="Arial"/>
          <w:color w:val="000000" w:themeColor="text1"/>
          <w:sz w:val="22"/>
          <w:szCs w:val="22"/>
        </w:rPr>
        <w:t>in</w:t>
      </w:r>
      <w:r>
        <w:rPr>
          <w:rFonts w:ascii="Arial" w:hAnsi="Arial" w:cs="Arial"/>
          <w:color w:val="000000" w:themeColor="text1"/>
          <w:sz w:val="22"/>
          <w:szCs w:val="22"/>
        </w:rPr>
        <w:t xml:space="preserve"> 3 months of each quarter</w:t>
      </w:r>
      <w:r w:rsidR="00476087">
        <w:rPr>
          <w:rFonts w:ascii="Arial" w:hAnsi="Arial" w:cs="Arial"/>
          <w:color w:val="000000" w:themeColor="text1"/>
          <w:sz w:val="22"/>
          <w:szCs w:val="22"/>
        </w:rPr>
        <w:t xml:space="preserve"> end</w:t>
      </w:r>
      <w:r>
        <w:rPr>
          <w:rFonts w:ascii="Arial" w:hAnsi="Arial" w:cs="Arial"/>
          <w:color w:val="000000" w:themeColor="text1"/>
          <w:sz w:val="22"/>
          <w:szCs w:val="22"/>
        </w:rPr>
        <w:t>’ instead of ‘within one month of each quarter</w:t>
      </w:r>
      <w:r w:rsidR="00476087">
        <w:rPr>
          <w:rFonts w:ascii="Arial" w:hAnsi="Arial" w:cs="Arial"/>
          <w:color w:val="000000" w:themeColor="text1"/>
          <w:sz w:val="22"/>
          <w:szCs w:val="22"/>
        </w:rPr>
        <w:t xml:space="preserve"> end</w:t>
      </w:r>
      <w:r>
        <w:rPr>
          <w:rFonts w:ascii="Arial" w:hAnsi="Arial" w:cs="Arial"/>
          <w:color w:val="000000" w:themeColor="text1"/>
          <w:sz w:val="22"/>
          <w:szCs w:val="22"/>
        </w:rPr>
        <w:t>’;</w:t>
      </w:r>
    </w:p>
    <w:p w:rsidR="003260C3" w:rsidRDefault="003260C3" w:rsidP="0017438A">
      <w:pPr>
        <w:pStyle w:val="NoSpacing"/>
        <w:numPr>
          <w:ilvl w:val="0"/>
          <w:numId w:val="15"/>
        </w:numPr>
        <w:jc w:val="both"/>
        <w:divId w:val="266960319"/>
        <w:rPr>
          <w:rFonts w:ascii="Arial" w:hAnsi="Arial" w:cs="Arial"/>
          <w:color w:val="000000" w:themeColor="text1"/>
          <w:sz w:val="22"/>
          <w:szCs w:val="22"/>
        </w:rPr>
      </w:pPr>
      <w:r>
        <w:rPr>
          <w:rFonts w:ascii="Arial" w:hAnsi="Arial" w:cs="Arial"/>
          <w:color w:val="000000" w:themeColor="text1"/>
          <w:sz w:val="22"/>
          <w:szCs w:val="22"/>
        </w:rPr>
        <w:t xml:space="preserve">The need to avoid duplicative data reporting; </w:t>
      </w:r>
    </w:p>
    <w:p w:rsidR="003260C3" w:rsidRDefault="003260C3" w:rsidP="0017438A">
      <w:pPr>
        <w:pStyle w:val="NoSpacing"/>
        <w:numPr>
          <w:ilvl w:val="0"/>
          <w:numId w:val="15"/>
        </w:numPr>
        <w:jc w:val="both"/>
        <w:divId w:val="266960319"/>
        <w:rPr>
          <w:rFonts w:ascii="Arial" w:hAnsi="Arial" w:cs="Arial"/>
          <w:color w:val="000000" w:themeColor="text1"/>
          <w:sz w:val="22"/>
          <w:szCs w:val="22"/>
        </w:rPr>
      </w:pPr>
      <w:r>
        <w:rPr>
          <w:rFonts w:ascii="Arial" w:hAnsi="Arial" w:cs="Arial"/>
          <w:color w:val="000000" w:themeColor="text1"/>
          <w:sz w:val="22"/>
          <w:szCs w:val="22"/>
        </w:rPr>
        <w:t xml:space="preserve">The need to adapt certain requirements to different asset classes. </w:t>
      </w:r>
    </w:p>
    <w:p w:rsidR="003260C3" w:rsidRPr="003260C3" w:rsidRDefault="003260C3">
      <w:pPr>
        <w:pStyle w:val="NoSpacing"/>
        <w:jc w:val="both"/>
        <w:divId w:val="266960319"/>
        <w:rPr>
          <w:rFonts w:ascii="Arial" w:hAnsi="Arial" w:cs="Arial"/>
          <w:sz w:val="22"/>
          <w:szCs w:val="22"/>
        </w:rPr>
      </w:pPr>
    </w:p>
    <w:p w:rsidR="003260C3" w:rsidRDefault="003260C3" w:rsidP="00EC2C93">
      <w:pPr>
        <w:keepNext/>
      </w:pPr>
      <w:r w:rsidRPr="003260C3">
        <w:t>In weighing responses to this question, we ask ESMA to treat BBA’s response as if it included the full text of AFME’s response</w:t>
      </w:r>
    </w:p>
    <w:permEnd w:id="1986362719"/>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3260C3" w:rsidRDefault="003260C3" w:rsidP="00EC2C93">
      <w:pPr>
        <w:keepNext/>
      </w:pPr>
      <w:permStart w:id="801261066" w:edGrp="everyone"/>
      <w:r>
        <w:rPr>
          <w:color w:val="000000" w:themeColor="text1"/>
          <w:szCs w:val="22"/>
        </w:rPr>
        <w:t>ESMA’s proposal to split trades into ranges relates to the ‘point-in-time-information’. As our members do not support having ‘point-in-time information’ disclosed we think that the ranges should not apply.</w:t>
      </w:r>
      <w:r>
        <w:t xml:space="preserve">  </w:t>
      </w:r>
    </w:p>
    <w:permEnd w:id="801261066"/>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3260C3" w:rsidRDefault="003260C3" w:rsidP="003260C3">
      <w:pPr>
        <w:spacing w:line="240" w:lineRule="auto"/>
      </w:pPr>
      <w:permStart w:id="1786139846" w:edGrp="everyone"/>
      <w:r>
        <w:t>BBA has participated in and supports the Association for Financial Markets in Europe’s response, in particular:</w:t>
      </w:r>
    </w:p>
    <w:p w:rsidR="003260C3" w:rsidRDefault="003260C3" w:rsidP="0017438A">
      <w:pPr>
        <w:pStyle w:val="ListParagraph"/>
        <w:numPr>
          <w:ilvl w:val="0"/>
          <w:numId w:val="16"/>
        </w:numPr>
        <w:spacing w:line="240" w:lineRule="auto"/>
        <w:contextualSpacing/>
        <w:jc w:val="left"/>
        <w:rPr>
          <w:rFonts w:ascii="Arial" w:hAnsi="Arial" w:cs="Arial"/>
        </w:rPr>
      </w:pPr>
      <w:r>
        <w:rPr>
          <w:rFonts w:ascii="Arial" w:hAnsi="Arial" w:cs="Arial"/>
        </w:rPr>
        <w:t xml:space="preserve">The need for more tailoring to different types of venue, and </w:t>
      </w:r>
    </w:p>
    <w:p w:rsidR="003260C3" w:rsidRDefault="003260C3" w:rsidP="0017438A">
      <w:pPr>
        <w:pStyle w:val="ListParagraph"/>
        <w:numPr>
          <w:ilvl w:val="0"/>
          <w:numId w:val="16"/>
        </w:numPr>
        <w:spacing w:line="240" w:lineRule="auto"/>
        <w:contextualSpacing/>
        <w:jc w:val="left"/>
        <w:rPr>
          <w:rFonts w:ascii="Arial" w:hAnsi="Arial" w:cs="Arial"/>
        </w:rPr>
      </w:pPr>
      <w:r>
        <w:rPr>
          <w:rFonts w:ascii="Arial" w:hAnsi="Arial" w:cs="Arial"/>
        </w:rPr>
        <w:t xml:space="preserve">The impracticality of some of the proposed requirements in RFQ and voice trading markets.  </w:t>
      </w:r>
    </w:p>
    <w:p w:rsidR="003260C3" w:rsidRDefault="003260C3" w:rsidP="003260C3">
      <w:pPr>
        <w:spacing w:line="240" w:lineRule="auto"/>
        <w:rPr>
          <w:rFonts w:ascii="Arial" w:hAnsi="Arial" w:cs="Arial"/>
        </w:rPr>
      </w:pPr>
    </w:p>
    <w:p w:rsidR="003260C3" w:rsidRDefault="003260C3" w:rsidP="003260C3">
      <w:pPr>
        <w:spacing w:line="240" w:lineRule="auto"/>
      </w:pPr>
      <w:r w:rsidRPr="003260C3">
        <w:t>In weighing responses to this question, we ask ESMA to treat BBA’s response as if it included the full text of AFME’s response</w:t>
      </w:r>
      <w:r>
        <w:rPr>
          <w:color w:val="FF0000"/>
        </w:rPr>
        <w:t>.</w:t>
      </w:r>
    </w:p>
    <w:permEnd w:id="1786139846"/>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0460EA" w:rsidRDefault="000460EA" w:rsidP="000460EA">
      <w:pPr>
        <w:spacing w:line="240" w:lineRule="auto"/>
      </w:pPr>
      <w:permStart w:id="114916196" w:edGrp="everyone"/>
      <w:r>
        <w:t xml:space="preserve">BBA has participated in and supports the Association for Financial Markets in Europe’s </w:t>
      </w:r>
      <w:r w:rsidRPr="000460EA">
        <w:t xml:space="preserve">response, and its </w:t>
      </w:r>
      <w:r w:rsidR="00476087">
        <w:t>concerns about duplicative reporting and client confidentiality</w:t>
      </w:r>
      <w:r w:rsidRPr="000460EA">
        <w:t>. In weighing responses to this question, we ask ESMA to treat BBA’s response as if it included the full text of AFME’s response.</w:t>
      </w:r>
    </w:p>
    <w:permEnd w:id="114916196"/>
    <w:p w:rsidR="00577C33" w:rsidRDefault="00577C33" w:rsidP="00EC2C93">
      <w:pPr>
        <w:keepNext/>
      </w:pPr>
      <w:r>
        <w:lastRenderedPageBreak/>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0460EA" w:rsidRDefault="000460EA" w:rsidP="000460EA">
      <w:pPr>
        <w:spacing w:line="240" w:lineRule="auto"/>
      </w:pPr>
      <w:permStart w:id="1713658371" w:edGrp="everyone"/>
    </w:p>
    <w:p w:rsidR="000460EA" w:rsidRDefault="000460EA" w:rsidP="000460EA">
      <w:pPr>
        <w:spacing w:line="240" w:lineRule="auto"/>
      </w:pPr>
      <w:r>
        <w:t xml:space="preserve">BBA has participated in and supports the Association for Financial Markets in Europe’s response, and its proposed use of percentages rather than aggregate values. </w:t>
      </w:r>
      <w:r w:rsidRPr="000460EA">
        <w:t>In weighing responses to this question, we ask ESMA to treat BBA’s response as if it included the full text of AFME’s response</w:t>
      </w:r>
      <w:r>
        <w:rPr>
          <w:color w:val="FF0000"/>
        </w:rPr>
        <w:t>.</w:t>
      </w:r>
    </w:p>
    <w:permEnd w:id="1713658371"/>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0460EA" w:rsidRPr="000460EA" w:rsidRDefault="000460EA" w:rsidP="000460EA">
      <w:pPr>
        <w:spacing w:line="240" w:lineRule="auto"/>
      </w:pPr>
      <w:permStart w:id="318452248" w:edGrp="everyone"/>
      <w:r>
        <w:t>BBA has participated in and supports the Association for Financial Markets in Europe’s response, in particular the need not to require publication of commercially sensitive information</w:t>
      </w:r>
      <w:r w:rsidRPr="000460EA">
        <w:t xml:space="preserve">.  In weighing responses to this question, we ask ESMA to treat BBA’s response as if it included the full text of AFME’s response.  </w:t>
      </w:r>
    </w:p>
    <w:permEnd w:id="318452248"/>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&lt;ESMA_QUESTION_CP_MIFID_36&gt;</w:t>
      </w:r>
    </w:p>
    <w:p w:rsidR="000460EA" w:rsidRDefault="000460EA" w:rsidP="000460EA">
      <w:pPr>
        <w:spacing w:line="240" w:lineRule="auto"/>
      </w:pPr>
      <w:permStart w:id="640509906" w:edGrp="everyone"/>
      <w:r>
        <w:t>BBA has participated in and supports the Association for Financial Markets in Europe’s response; in particular we note the following:</w:t>
      </w:r>
    </w:p>
    <w:p w:rsidR="000460EA" w:rsidRDefault="000460EA" w:rsidP="000460EA">
      <w:pPr>
        <w:spacing w:line="240" w:lineRule="auto"/>
      </w:pPr>
    </w:p>
    <w:p w:rsidR="000460EA" w:rsidRDefault="00A353FB" w:rsidP="0017438A">
      <w:pPr>
        <w:pStyle w:val="ListParagraph"/>
        <w:numPr>
          <w:ilvl w:val="0"/>
          <w:numId w:val="17"/>
        </w:numPr>
        <w:spacing w:line="240" w:lineRule="auto"/>
        <w:contextualSpacing/>
        <w:jc w:val="left"/>
        <w:rPr>
          <w:rFonts w:ascii="Arial" w:hAnsi="Arial" w:cs="Arial"/>
          <w:szCs w:val="24"/>
        </w:rPr>
      </w:pPr>
      <w:r>
        <w:rPr>
          <w:rFonts w:ascii="Arial" w:hAnsi="Arial" w:cs="Arial"/>
          <w:szCs w:val="24"/>
        </w:rPr>
        <w:t xml:space="preserve">It seems that ESMA is going beyond the level 1 text by requiring information on the quality of execution obtain to apply to all execution venues rather than to the top 5 execution venues. With regards to the several summaries required by ESMA to be reported under Article 6(2) to (e) under RTS 7, we do not think ESMA has any power to require this information to be reported. </w:t>
      </w:r>
    </w:p>
    <w:p w:rsidR="000460EA" w:rsidRDefault="000460EA" w:rsidP="000460EA">
      <w:pPr>
        <w:pStyle w:val="ListParagraph"/>
        <w:numPr>
          <w:ilvl w:val="0"/>
          <w:numId w:val="0"/>
        </w:numPr>
        <w:spacing w:line="240" w:lineRule="auto"/>
        <w:ind w:left="360"/>
        <w:rPr>
          <w:rFonts w:ascii="Arial" w:hAnsi="Arial" w:cs="Arial"/>
          <w:szCs w:val="24"/>
        </w:rPr>
      </w:pPr>
    </w:p>
    <w:p w:rsidR="000460EA" w:rsidRDefault="000460EA" w:rsidP="000460EA">
      <w:pPr>
        <w:spacing w:line="240" w:lineRule="auto"/>
        <w:rPr>
          <w:rFonts w:ascii="Arial" w:hAnsi="Arial" w:cs="Arial"/>
          <w:szCs w:val="24"/>
        </w:rPr>
      </w:pPr>
      <w:r>
        <w:t xml:space="preserve">In weighing responses to this question, we ask ESMA to treat BBA’s response as if it included the full text of AFME’s response.  </w:t>
      </w:r>
    </w:p>
    <w:permEnd w:id="640509906"/>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6" w:name="_Toc406692477"/>
      <w:bookmarkStart w:id="7" w:name="_Toc406692320"/>
      <w:bookmarkStart w:id="8" w:name="_Toc406691710"/>
      <w:r>
        <w:lastRenderedPageBreak/>
        <w:t>Transparency</w:t>
      </w:r>
      <w:bookmarkEnd w:id="6"/>
      <w:bookmarkEnd w:id="7"/>
      <w:bookmarkEnd w:id="8"/>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6200E5" w:rsidRDefault="006200E5" w:rsidP="006200E5">
      <w:pPr>
        <w:pStyle w:val="NoSpacing"/>
        <w:jc w:val="both"/>
        <w:rPr>
          <w:rFonts w:ascii="Arial" w:hAnsi="Arial" w:cs="Arial"/>
          <w:color w:val="000000" w:themeColor="text1"/>
          <w:sz w:val="22"/>
          <w:szCs w:val="22"/>
        </w:rPr>
      </w:pPr>
      <w:permStart w:id="1554796397" w:edGrp="everyone"/>
      <w:r>
        <w:rPr>
          <w:rFonts w:ascii="Arial" w:hAnsi="Arial" w:cs="Arial"/>
          <w:color w:val="000000" w:themeColor="text1"/>
          <w:sz w:val="22"/>
          <w:szCs w:val="22"/>
        </w:rPr>
        <w:t xml:space="preserve">Yes.  However, BBA agrees with the Association for Financial Markets in Europe’s response, and its call for amendments in: </w:t>
      </w:r>
    </w:p>
    <w:p w:rsidR="006200E5" w:rsidRDefault="006200E5" w:rsidP="0017438A">
      <w:pPr>
        <w:pStyle w:val="NoSpacing"/>
        <w:numPr>
          <w:ilvl w:val="0"/>
          <w:numId w:val="18"/>
        </w:numPr>
        <w:jc w:val="both"/>
        <w:rPr>
          <w:rFonts w:ascii="Arial" w:hAnsi="Arial" w:cs="Arial"/>
          <w:color w:val="000000" w:themeColor="text1"/>
          <w:sz w:val="22"/>
          <w:szCs w:val="22"/>
        </w:rPr>
      </w:pPr>
      <w:r>
        <w:rPr>
          <w:rFonts w:ascii="Arial" w:hAnsi="Arial" w:cs="Arial"/>
          <w:color w:val="000000" w:themeColor="text1"/>
          <w:sz w:val="22"/>
          <w:szCs w:val="22"/>
        </w:rPr>
        <w:t>The definition of Request For Quote trading system</w:t>
      </w:r>
    </w:p>
    <w:p w:rsidR="006200E5" w:rsidRDefault="006200E5" w:rsidP="0017438A">
      <w:pPr>
        <w:pStyle w:val="NoSpacing"/>
        <w:numPr>
          <w:ilvl w:val="0"/>
          <w:numId w:val="18"/>
        </w:numPr>
        <w:jc w:val="both"/>
        <w:rPr>
          <w:rFonts w:ascii="Arial" w:hAnsi="Arial" w:cs="Arial"/>
          <w:color w:val="000000" w:themeColor="text1"/>
          <w:sz w:val="22"/>
          <w:szCs w:val="22"/>
        </w:rPr>
      </w:pPr>
      <w:r>
        <w:rPr>
          <w:rFonts w:ascii="Arial" w:hAnsi="Arial" w:cs="Arial"/>
          <w:color w:val="000000" w:themeColor="text1"/>
          <w:sz w:val="22"/>
          <w:szCs w:val="22"/>
        </w:rPr>
        <w:t>The information required to be made public by an RFQ system</w:t>
      </w:r>
    </w:p>
    <w:p w:rsidR="006200E5" w:rsidRDefault="00A353FB" w:rsidP="006200E5">
      <w:pPr>
        <w:pStyle w:val="NoSpacing"/>
        <w:jc w:val="both"/>
        <w:rPr>
          <w:rFonts w:ascii="Arial" w:hAnsi="Arial" w:cs="Arial"/>
          <w:color w:val="000000" w:themeColor="text1"/>
          <w:sz w:val="22"/>
          <w:szCs w:val="22"/>
        </w:rPr>
      </w:pPr>
      <w:proofErr w:type="gramStart"/>
      <w:r>
        <w:rPr>
          <w:rFonts w:ascii="Arial" w:hAnsi="Arial" w:cs="Arial"/>
          <w:color w:val="000000" w:themeColor="text1"/>
          <w:sz w:val="22"/>
          <w:szCs w:val="22"/>
        </w:rPr>
        <w:t>In</w:t>
      </w:r>
      <w:r w:rsidR="006200E5">
        <w:rPr>
          <w:rFonts w:ascii="Arial" w:hAnsi="Arial" w:cs="Arial"/>
          <w:color w:val="000000" w:themeColor="text1"/>
          <w:sz w:val="22"/>
          <w:szCs w:val="22"/>
        </w:rPr>
        <w:t xml:space="preserve"> order to calibrate them to the specific features of RFQ systems, and the needs of their users.</w:t>
      </w:r>
      <w:proofErr w:type="gramEnd"/>
      <w:r w:rsidR="006200E5">
        <w:rPr>
          <w:rFonts w:ascii="Arial" w:hAnsi="Arial" w:cs="Arial"/>
          <w:color w:val="000000" w:themeColor="text1"/>
          <w:sz w:val="22"/>
          <w:szCs w:val="22"/>
        </w:rPr>
        <w:t xml:space="preserve">  </w:t>
      </w:r>
      <w:r w:rsidR="006200E5" w:rsidRPr="006200E5">
        <w:rPr>
          <w:rFonts w:ascii="Arial" w:hAnsi="Arial" w:cs="Arial"/>
        </w:rPr>
        <w:t>In weighing responses to this question, we ask ESMA to treat BBA’s response as if it included the full text of AFME’s response</w:t>
      </w:r>
      <w:r w:rsidR="006200E5">
        <w:rPr>
          <w:rFonts w:ascii="Arial" w:hAnsi="Arial" w:cs="Arial"/>
          <w:color w:val="FF0000"/>
        </w:rPr>
        <w:t>.</w:t>
      </w:r>
    </w:p>
    <w:permEnd w:id="1554796397"/>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B348A5" w:rsidRDefault="00B348A5" w:rsidP="00B348A5">
      <w:pPr>
        <w:pStyle w:val="NoSpacing"/>
        <w:jc w:val="both"/>
        <w:rPr>
          <w:rFonts w:ascii="Arial" w:hAnsi="Arial" w:cs="Arial"/>
        </w:rPr>
      </w:pPr>
      <w:permStart w:id="1436188255" w:edGrp="everyone"/>
      <w:r>
        <w:rPr>
          <w:rFonts w:ascii="Arial" w:hAnsi="Arial" w:cs="Arial"/>
        </w:rPr>
        <w:t xml:space="preserve">BBA has participated in and agrees with the Association for Financial Markets in Europe’s response, including its proposal that: </w:t>
      </w:r>
    </w:p>
    <w:p w:rsidR="00B348A5" w:rsidRDefault="00B348A5" w:rsidP="0017438A">
      <w:pPr>
        <w:pStyle w:val="NoSpacing"/>
        <w:numPr>
          <w:ilvl w:val="0"/>
          <w:numId w:val="19"/>
        </w:numPr>
        <w:jc w:val="both"/>
        <w:rPr>
          <w:rFonts w:ascii="Arial" w:hAnsi="Arial" w:cs="Arial"/>
        </w:rPr>
      </w:pPr>
      <w:r>
        <w:rPr>
          <w:rFonts w:ascii="Arial" w:hAnsi="Arial" w:cs="Arial"/>
        </w:rPr>
        <w:t>Only price-forming trades should be used</w:t>
      </w:r>
    </w:p>
    <w:p w:rsidR="00B348A5" w:rsidRDefault="00B348A5" w:rsidP="0017438A">
      <w:pPr>
        <w:pStyle w:val="NoSpacing"/>
        <w:numPr>
          <w:ilvl w:val="0"/>
          <w:numId w:val="19"/>
        </w:numPr>
        <w:jc w:val="both"/>
        <w:rPr>
          <w:rFonts w:ascii="Arial" w:hAnsi="Arial" w:cs="Arial"/>
          <w:color w:val="000000" w:themeColor="text1"/>
          <w:sz w:val="22"/>
          <w:szCs w:val="22"/>
        </w:rPr>
      </w:pPr>
      <w:r>
        <w:rPr>
          <w:rFonts w:ascii="Arial" w:hAnsi="Arial" w:cs="Arial"/>
        </w:rPr>
        <w:t xml:space="preserve">Auctions should be excluded.  </w:t>
      </w:r>
    </w:p>
    <w:permEnd w:id="1436188255"/>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B348A5" w:rsidRDefault="00B348A5" w:rsidP="008F71ED">
      <w:pPr>
        <w:spacing w:line="240" w:lineRule="auto"/>
        <w:divId w:val="1653174401"/>
      </w:pPr>
      <w:permStart w:id="177222749" w:edGrp="everyone"/>
    </w:p>
    <w:p w:rsidR="00B348A5" w:rsidRDefault="00B348A5" w:rsidP="00EC2C93">
      <w:pPr>
        <w:keepNext/>
      </w:pPr>
      <w:r>
        <w:t>BBA has participated in, and supports, the Association for Financial Markets in Europe’s response, in particular the proposed amendment to RTS8 Article 6</w:t>
      </w:r>
      <w:r w:rsidR="00541729">
        <w:t>:</w:t>
      </w:r>
    </w:p>
    <w:p w:rsidR="00541729" w:rsidRDefault="00541729" w:rsidP="00EC2C93">
      <w:pPr>
        <w:keepNext/>
      </w:pPr>
    </w:p>
    <w:p w:rsidR="00541729" w:rsidRDefault="00541729" w:rsidP="0017438A">
      <w:pPr>
        <w:pStyle w:val="NoSpacing"/>
        <w:numPr>
          <w:ilvl w:val="0"/>
          <w:numId w:val="20"/>
        </w:numPr>
        <w:jc w:val="both"/>
        <w:rPr>
          <w:rFonts w:ascii="Arial" w:hAnsi="Arial" w:cs="Arial"/>
          <w:i/>
          <w:color w:val="000000" w:themeColor="text1"/>
          <w:sz w:val="22"/>
          <w:szCs w:val="22"/>
        </w:rPr>
      </w:pPr>
      <w:r>
        <w:rPr>
          <w:rFonts w:ascii="Arial" w:hAnsi="Arial" w:cs="Arial"/>
          <w:i/>
          <w:color w:val="000000" w:themeColor="text1"/>
          <w:sz w:val="22"/>
          <w:szCs w:val="22"/>
        </w:rPr>
        <w:t xml:space="preserve">dealing on own account with another member or participant who acts for the account of </w:t>
      </w:r>
      <w:r>
        <w:rPr>
          <w:rFonts w:ascii="Arial" w:hAnsi="Arial" w:cs="Arial"/>
          <w:b/>
          <w:i/>
          <w:color w:val="000000" w:themeColor="text1"/>
          <w:sz w:val="22"/>
          <w:szCs w:val="22"/>
        </w:rPr>
        <w:t xml:space="preserve">or on behalf of </w:t>
      </w:r>
      <w:r>
        <w:rPr>
          <w:rFonts w:ascii="Arial" w:hAnsi="Arial" w:cs="Arial"/>
          <w:i/>
          <w:color w:val="000000" w:themeColor="text1"/>
          <w:sz w:val="22"/>
          <w:szCs w:val="22"/>
        </w:rPr>
        <w:t>a client;</w:t>
      </w:r>
    </w:p>
    <w:p w:rsidR="00541729" w:rsidRDefault="00541729" w:rsidP="0017438A">
      <w:pPr>
        <w:pStyle w:val="NoSpacing"/>
        <w:numPr>
          <w:ilvl w:val="0"/>
          <w:numId w:val="20"/>
        </w:numPr>
        <w:jc w:val="both"/>
        <w:rPr>
          <w:rFonts w:ascii="Arial" w:hAnsi="Arial" w:cs="Arial"/>
          <w:i/>
          <w:color w:val="000000" w:themeColor="text1"/>
          <w:sz w:val="22"/>
          <w:szCs w:val="22"/>
        </w:rPr>
      </w:pPr>
      <w:r>
        <w:rPr>
          <w:rFonts w:ascii="Arial" w:hAnsi="Arial" w:cs="Arial"/>
          <w:i/>
          <w:color w:val="000000" w:themeColor="text1"/>
          <w:sz w:val="22"/>
          <w:szCs w:val="22"/>
        </w:rPr>
        <w:t>dealing with another member or participant where both are executing orders on own account;</w:t>
      </w:r>
    </w:p>
    <w:p w:rsidR="00541729" w:rsidRDefault="00541729" w:rsidP="0017438A">
      <w:pPr>
        <w:pStyle w:val="NoSpacing"/>
        <w:numPr>
          <w:ilvl w:val="0"/>
          <w:numId w:val="20"/>
        </w:numPr>
        <w:jc w:val="both"/>
        <w:rPr>
          <w:rFonts w:ascii="Arial" w:hAnsi="Arial" w:cs="Arial"/>
          <w:i/>
          <w:color w:val="000000" w:themeColor="text1"/>
          <w:sz w:val="22"/>
          <w:szCs w:val="22"/>
        </w:rPr>
      </w:pPr>
      <w:r>
        <w:rPr>
          <w:rFonts w:ascii="Arial" w:hAnsi="Arial" w:cs="Arial"/>
          <w:i/>
          <w:color w:val="000000" w:themeColor="text1"/>
          <w:sz w:val="22"/>
          <w:szCs w:val="22"/>
        </w:rPr>
        <w:t xml:space="preserve">acting for the account of </w:t>
      </w:r>
      <w:r>
        <w:rPr>
          <w:rFonts w:ascii="Arial" w:hAnsi="Arial" w:cs="Arial"/>
          <w:b/>
          <w:i/>
          <w:color w:val="000000" w:themeColor="text1"/>
          <w:sz w:val="22"/>
          <w:szCs w:val="22"/>
        </w:rPr>
        <w:t>or on behalf of</w:t>
      </w:r>
      <w:r>
        <w:rPr>
          <w:rFonts w:ascii="Arial" w:hAnsi="Arial" w:cs="Arial"/>
          <w:i/>
          <w:color w:val="000000" w:themeColor="text1"/>
          <w:sz w:val="22"/>
          <w:szCs w:val="22"/>
        </w:rPr>
        <w:t xml:space="preserve"> both buyer and seller;</w:t>
      </w:r>
    </w:p>
    <w:p w:rsidR="00541729" w:rsidRDefault="00541729" w:rsidP="0017438A">
      <w:pPr>
        <w:pStyle w:val="NoSpacing"/>
        <w:numPr>
          <w:ilvl w:val="0"/>
          <w:numId w:val="20"/>
        </w:numPr>
        <w:jc w:val="both"/>
        <w:rPr>
          <w:rFonts w:ascii="Arial" w:hAnsi="Arial" w:cs="Arial"/>
          <w:i/>
          <w:color w:val="000000" w:themeColor="text1"/>
          <w:sz w:val="22"/>
          <w:szCs w:val="22"/>
        </w:rPr>
      </w:pPr>
      <w:r>
        <w:rPr>
          <w:rFonts w:ascii="Arial" w:hAnsi="Arial" w:cs="Arial"/>
          <w:i/>
          <w:color w:val="000000" w:themeColor="text1"/>
          <w:sz w:val="22"/>
          <w:szCs w:val="22"/>
        </w:rPr>
        <w:t xml:space="preserve">acting for the account of </w:t>
      </w:r>
      <w:r>
        <w:rPr>
          <w:rFonts w:ascii="Arial" w:hAnsi="Arial" w:cs="Arial"/>
          <w:b/>
          <w:i/>
          <w:color w:val="000000" w:themeColor="text1"/>
          <w:sz w:val="22"/>
          <w:szCs w:val="22"/>
        </w:rPr>
        <w:t>or on behalf of</w:t>
      </w:r>
      <w:r>
        <w:rPr>
          <w:rFonts w:ascii="Arial" w:hAnsi="Arial" w:cs="Arial"/>
          <w:i/>
          <w:color w:val="000000" w:themeColor="text1"/>
          <w:sz w:val="22"/>
          <w:szCs w:val="22"/>
        </w:rPr>
        <w:t xml:space="preserve"> the buyer where another member or participant acts for the account of </w:t>
      </w:r>
      <w:r>
        <w:rPr>
          <w:rFonts w:ascii="Arial" w:hAnsi="Arial" w:cs="Arial"/>
          <w:b/>
          <w:i/>
          <w:color w:val="000000" w:themeColor="text1"/>
          <w:sz w:val="22"/>
          <w:szCs w:val="22"/>
        </w:rPr>
        <w:t>or on behalf of</w:t>
      </w:r>
      <w:r>
        <w:rPr>
          <w:rFonts w:ascii="Arial" w:hAnsi="Arial" w:cs="Arial"/>
          <w:i/>
          <w:color w:val="000000" w:themeColor="text1"/>
          <w:sz w:val="22"/>
          <w:szCs w:val="22"/>
        </w:rPr>
        <w:t xml:space="preserve"> the seller; and</w:t>
      </w:r>
    </w:p>
    <w:p w:rsidR="00541729" w:rsidRDefault="00541729" w:rsidP="0017438A">
      <w:pPr>
        <w:pStyle w:val="NoSpacing"/>
        <w:numPr>
          <w:ilvl w:val="0"/>
          <w:numId w:val="20"/>
        </w:numPr>
        <w:jc w:val="both"/>
        <w:rPr>
          <w:rFonts w:ascii="Arial" w:hAnsi="Arial" w:cs="Arial"/>
          <w:i/>
          <w:color w:val="000000" w:themeColor="text1"/>
          <w:sz w:val="22"/>
          <w:szCs w:val="22"/>
        </w:rPr>
      </w:pPr>
      <w:proofErr w:type="gramStart"/>
      <w:r>
        <w:rPr>
          <w:rFonts w:ascii="Arial" w:hAnsi="Arial" w:cs="Arial"/>
          <w:i/>
          <w:color w:val="000000" w:themeColor="text1"/>
          <w:sz w:val="22"/>
          <w:szCs w:val="22"/>
        </w:rPr>
        <w:t>trading</w:t>
      </w:r>
      <w:proofErr w:type="gramEnd"/>
      <w:r>
        <w:rPr>
          <w:rFonts w:ascii="Arial" w:hAnsi="Arial" w:cs="Arial"/>
          <w:i/>
          <w:color w:val="000000" w:themeColor="text1"/>
          <w:sz w:val="22"/>
          <w:szCs w:val="22"/>
        </w:rPr>
        <w:t xml:space="preserve"> for own account against a client order.</w:t>
      </w:r>
    </w:p>
    <w:p w:rsidR="00541729" w:rsidRDefault="00541729" w:rsidP="00541729">
      <w:pPr>
        <w:pStyle w:val="NoSpacing"/>
        <w:jc w:val="both"/>
        <w:rPr>
          <w:rFonts w:asciiTheme="majorHAnsi" w:hAnsiTheme="majorHAnsi"/>
          <w:color w:val="000000" w:themeColor="text1"/>
          <w:sz w:val="22"/>
          <w:szCs w:val="22"/>
        </w:rPr>
      </w:pPr>
    </w:p>
    <w:p w:rsidR="00541729" w:rsidRDefault="00541729" w:rsidP="00541729">
      <w:pPr>
        <w:spacing w:line="240" w:lineRule="auto"/>
        <w:rPr>
          <w:color w:val="000000" w:themeColor="text1"/>
          <w:szCs w:val="22"/>
        </w:rPr>
      </w:pPr>
      <w:r w:rsidRPr="00541729">
        <w:t xml:space="preserve">We also support AFME’s call for clarity that the exhaustive list includes </w:t>
      </w:r>
      <w:r w:rsidRPr="00541729">
        <w:rPr>
          <w:szCs w:val="22"/>
        </w:rPr>
        <w:t xml:space="preserve">securities financing transactions; exchange for physical trades; and the exchange of ordinary shares for depository receipts; and for consistency with the exhaustive list under RTS8, Article 2. </w:t>
      </w:r>
      <w:r w:rsidRPr="00541729">
        <w:t>In weighing responses to this question, we ask ESMA to treat BBA’s response as if it included the full text of AFME’s response</w:t>
      </w:r>
      <w:r>
        <w:rPr>
          <w:color w:val="FF0000"/>
        </w:rPr>
        <w:t xml:space="preserve">.  </w:t>
      </w:r>
    </w:p>
    <w:p w:rsidR="00541729" w:rsidRDefault="00541729" w:rsidP="00541729">
      <w:pPr>
        <w:spacing w:line="240" w:lineRule="auto"/>
        <w:rPr>
          <w:color w:val="000000" w:themeColor="text1"/>
          <w:szCs w:val="22"/>
        </w:rPr>
      </w:pPr>
    </w:p>
    <w:p w:rsidR="00541729" w:rsidRDefault="00541729" w:rsidP="00EC2C93">
      <w:pPr>
        <w:keepNext/>
      </w:pPr>
    </w:p>
    <w:permEnd w:id="177222749"/>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CD1313" w:rsidP="00EC2C93">
      <w:pPr>
        <w:keepNext/>
      </w:pPr>
      <w:permStart w:id="449273535" w:edGrp="everyone"/>
      <w:r>
        <w:t>Yes</w:t>
      </w:r>
    </w:p>
    <w:permEnd w:id="449273535"/>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F6C99" w:rsidRDefault="005F6C99" w:rsidP="00EC2C93">
      <w:pPr>
        <w:keepNext/>
        <w:rPr>
          <w:color w:val="FF0000"/>
        </w:rPr>
      </w:pPr>
      <w:permStart w:id="1909813678" w:edGrp="everyone"/>
      <w:r>
        <w:t xml:space="preserve">BBA has participated in, and supports, the Association for Financial Markets in Europe’s response.  </w:t>
      </w:r>
      <w:r w:rsidRPr="005F6C99">
        <w:t>In weighing responses to this question, we ask ESMA to treat BBA’s response as if it included the full text of AFME’s response.</w:t>
      </w:r>
    </w:p>
    <w:permEnd w:id="1909813678"/>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FC7DB0" w:rsidRDefault="00FC7DB0" w:rsidP="00FC7DB0">
      <w:pPr>
        <w:spacing w:line="240" w:lineRule="auto"/>
      </w:pPr>
      <w:permStart w:id="941054422" w:edGrp="everyone"/>
      <w:r>
        <w:t xml:space="preserve">BBA has participated in and agrees with the Association for Financial Markets in Europe’s response, and its support for the alternative approach based on a single LIS threshold of €1 million.  </w:t>
      </w:r>
      <w:r w:rsidRPr="00FC7DB0">
        <w:t>In weighing responses to this question, we ask ESMA to treat BBA’s response as if it included the full text of AFME’s response</w:t>
      </w:r>
      <w:r>
        <w:rPr>
          <w:color w:val="FF0000"/>
        </w:rPr>
        <w:t>.</w:t>
      </w:r>
    </w:p>
    <w:permEnd w:id="941054422"/>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t>&lt;ESMA_QUESTION_CP_MIFID_43&gt;</w:t>
      </w:r>
    </w:p>
    <w:p w:rsidR="00577C33" w:rsidRDefault="00577C33" w:rsidP="00EC2C93">
      <w:pPr>
        <w:keepNext/>
      </w:pPr>
      <w:permStart w:id="792268508" w:edGrp="everyone"/>
      <w:r>
        <w:t>TYPE YOUR TEXT HERE</w:t>
      </w:r>
    </w:p>
    <w:permEnd w:id="792268508"/>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2931A9" w:rsidRDefault="002931A9" w:rsidP="002931A9">
      <w:pPr>
        <w:spacing w:line="240" w:lineRule="auto"/>
      </w:pPr>
      <w:permStart w:id="1970096589" w:edGrp="everyone"/>
      <w:r>
        <w:t xml:space="preserve">BBA agrees with the Association for Financial Markets in Europe’s support for ESMA’s approach. </w:t>
      </w:r>
    </w:p>
    <w:permEnd w:id="1970096589"/>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4E42ED" w:rsidRDefault="004E42ED" w:rsidP="004E42ED">
      <w:pPr>
        <w:spacing w:line="240" w:lineRule="auto"/>
      </w:pPr>
      <w:permStart w:id="1212421359" w:edGrp="everyone"/>
      <w:r>
        <w:t xml:space="preserve">BBA agrees with the Association for Financial Markets in Europe’s support for ESMA’s approach. </w:t>
      </w:r>
    </w:p>
    <w:permEnd w:id="1212421359"/>
    <w:p w:rsidR="00577C33" w:rsidRDefault="00577C33" w:rsidP="00EC2C93">
      <w:pPr>
        <w:keepNext/>
      </w:pPr>
      <w:r>
        <w:lastRenderedPageBreak/>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0B2CC4" w:rsidRDefault="000B2CC4" w:rsidP="000B2CC4">
      <w:pPr>
        <w:spacing w:line="240" w:lineRule="auto"/>
      </w:pPr>
      <w:permStart w:id="90582098" w:edGrp="everyone"/>
      <w:r>
        <w:t xml:space="preserve">BBA agrees with the Association for Financial Markets in Europe’s support for ESMA’s approach. </w:t>
      </w:r>
    </w:p>
    <w:permEnd w:id="90582098"/>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0B2CC4" w:rsidRDefault="000B2CC4" w:rsidP="000B2CC4">
      <w:pPr>
        <w:spacing w:line="240" w:lineRule="auto"/>
        <w:rPr>
          <w:color w:val="000000" w:themeColor="text1"/>
          <w:szCs w:val="22"/>
        </w:rPr>
      </w:pPr>
      <w:permStart w:id="1344882317" w:edGrp="everyone"/>
      <w:r>
        <w:rPr>
          <w:color w:val="000000" w:themeColor="text1"/>
          <w:szCs w:val="22"/>
        </w:rPr>
        <w:t>BBA shares the Association for Financial Markets in Europe’s concerns, and agrees with its preference for ESMA’s DP Option 1</w:t>
      </w:r>
      <w:r w:rsidRPr="000B2CC4">
        <w:rPr>
          <w:szCs w:val="22"/>
        </w:rPr>
        <w:t xml:space="preserve">.  </w:t>
      </w:r>
      <w:r w:rsidRPr="000B2CC4">
        <w:t xml:space="preserve">In weighing responses to this question, we ask ESMA to treat BBA’s response as if it included the full text of AFME’s </w:t>
      </w:r>
      <w:r w:rsidRPr="000B2CC4">
        <w:rPr>
          <w:highlight w:val="black"/>
        </w:rPr>
        <w:t>response</w:t>
      </w:r>
      <w:r w:rsidRPr="000B2CC4">
        <w:rPr>
          <w:color w:val="FF0000"/>
          <w:highlight w:val="black"/>
        </w:rPr>
        <w:t>.</w:t>
      </w:r>
    </w:p>
    <w:permEnd w:id="1344882317"/>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0B2CC4" w:rsidRDefault="000B2CC4" w:rsidP="000B2CC4">
      <w:pPr>
        <w:spacing w:line="240" w:lineRule="auto"/>
      </w:pPr>
      <w:permStart w:id="1181709785" w:edGrp="everyone"/>
      <w:r>
        <w:t xml:space="preserve">BBA has participated in, and supports, the Association for Financial Markets in Europe’s response, in particular: </w:t>
      </w:r>
    </w:p>
    <w:p w:rsidR="000B2CC4" w:rsidRDefault="000B2CC4" w:rsidP="0017438A">
      <w:pPr>
        <w:pStyle w:val="ListParagraph"/>
        <w:numPr>
          <w:ilvl w:val="0"/>
          <w:numId w:val="21"/>
        </w:numPr>
        <w:spacing w:line="240" w:lineRule="auto"/>
        <w:contextualSpacing/>
        <w:jc w:val="left"/>
        <w:rPr>
          <w:rFonts w:ascii="Arial" w:hAnsi="Arial" w:cs="Arial"/>
          <w:color w:val="000000" w:themeColor="text1"/>
        </w:rPr>
      </w:pPr>
      <w:r>
        <w:rPr>
          <w:rFonts w:ascii="Arial" w:hAnsi="Arial" w:cs="Arial"/>
        </w:rPr>
        <w:t xml:space="preserve">Its call for clarity that the list includes </w:t>
      </w:r>
      <w:r>
        <w:rPr>
          <w:rFonts w:ascii="Arial" w:hAnsi="Arial" w:cs="Arial"/>
          <w:color w:val="000000" w:themeColor="text1"/>
        </w:rPr>
        <w:t xml:space="preserve">exchange for physical trades; and the exchange of ordinary shares for depository receipts; </w:t>
      </w:r>
    </w:p>
    <w:p w:rsidR="000B2CC4" w:rsidRDefault="000B2CC4" w:rsidP="0017438A">
      <w:pPr>
        <w:pStyle w:val="ListParagraph"/>
        <w:numPr>
          <w:ilvl w:val="0"/>
          <w:numId w:val="21"/>
        </w:numPr>
        <w:spacing w:line="240" w:lineRule="auto"/>
        <w:contextualSpacing/>
        <w:jc w:val="left"/>
        <w:rPr>
          <w:rFonts w:ascii="Arial" w:hAnsi="Arial" w:cs="Arial"/>
          <w:color w:val="000000" w:themeColor="text1"/>
        </w:rPr>
      </w:pPr>
      <w:r>
        <w:rPr>
          <w:rFonts w:ascii="Arial" w:hAnsi="Arial" w:cs="Arial"/>
          <w:color w:val="000000" w:themeColor="text1"/>
        </w:rPr>
        <w:t>Its call for consistency of the exhaustive lists under RTS8, Article 2, and RTS 8, Article 6.</w:t>
      </w:r>
    </w:p>
    <w:p w:rsidR="000B2CC4" w:rsidRDefault="000B2CC4" w:rsidP="000B2CC4">
      <w:pPr>
        <w:spacing w:line="240" w:lineRule="auto"/>
        <w:rPr>
          <w:rFonts w:ascii="Arial" w:hAnsi="Arial" w:cs="Arial"/>
          <w:color w:val="000000" w:themeColor="text1"/>
          <w:szCs w:val="22"/>
        </w:rPr>
      </w:pPr>
    </w:p>
    <w:p w:rsidR="000B2CC4" w:rsidRDefault="000B2CC4" w:rsidP="000B2CC4">
      <w:pPr>
        <w:spacing w:line="240" w:lineRule="auto"/>
        <w:rPr>
          <w:color w:val="000000" w:themeColor="text1"/>
          <w:szCs w:val="22"/>
        </w:rPr>
      </w:pPr>
      <w:r w:rsidRPr="000B2CC4">
        <w:t>In weighing responses to this question, we ask ESMA to treat BBA’s response as if it included the full text of AFME’s response</w:t>
      </w:r>
      <w:r>
        <w:rPr>
          <w:color w:val="FF0000"/>
        </w:rPr>
        <w:t>.</w:t>
      </w:r>
    </w:p>
    <w:permEnd w:id="1181709785"/>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8D3660" w:rsidRPr="008D3660" w:rsidRDefault="008D3660" w:rsidP="008D3660">
      <w:pPr>
        <w:spacing w:line="240" w:lineRule="auto"/>
        <w:rPr>
          <w:szCs w:val="22"/>
        </w:rPr>
      </w:pPr>
      <w:permStart w:id="214451925" w:edGrp="everyone"/>
      <w:r>
        <w:rPr>
          <w:color w:val="000000" w:themeColor="text1"/>
          <w:szCs w:val="22"/>
        </w:rPr>
        <w:t xml:space="preserve">BBA has participated in the Association for Financial Markets in Europe’s response.  We support the concerns AFME expresses, and the remedy it proposes, regarding clarification of responsibility for reporting where a firm is trading with a Systematic </w:t>
      </w:r>
      <w:proofErr w:type="spellStart"/>
      <w:r>
        <w:rPr>
          <w:color w:val="000000" w:themeColor="text1"/>
          <w:szCs w:val="22"/>
        </w:rPr>
        <w:t>Internaliser</w:t>
      </w:r>
      <w:proofErr w:type="spellEnd"/>
      <w:r>
        <w:rPr>
          <w:szCs w:val="22"/>
        </w:rPr>
        <w:t xml:space="preserve">. </w:t>
      </w:r>
      <w:r w:rsidRPr="008D3660">
        <w:t>In weighing responses to this question, we ask ESMA to treat BBA’s response as if it included the full text of AFME’s response.</w:t>
      </w:r>
    </w:p>
    <w:permEnd w:id="214451925"/>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t>&lt;ESMA_QUESTION_CP_MIFID_50&gt;</w:t>
      </w:r>
    </w:p>
    <w:p w:rsidR="00577C33" w:rsidRDefault="000C32A1" w:rsidP="00EC2C93">
      <w:pPr>
        <w:keepNext/>
      </w:pPr>
      <w:permStart w:id="1560639781" w:edGrp="everyone"/>
      <w:r>
        <w:t>Yes</w:t>
      </w:r>
    </w:p>
    <w:permEnd w:id="1560639781"/>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lastRenderedPageBreak/>
        <w:t>&lt;ESMA_QUESTION_CP_MIFID_51&gt;</w:t>
      </w:r>
    </w:p>
    <w:p w:rsidR="0021268B" w:rsidRDefault="0021268B" w:rsidP="0021268B">
      <w:pPr>
        <w:spacing w:line="240" w:lineRule="auto"/>
      </w:pPr>
      <w:permStart w:id="556093532" w:edGrp="everyone"/>
      <w:r>
        <w:t xml:space="preserve">BBA agrees with the Association for Financial Markets in Europe’s support for ESMA’s approach. </w:t>
      </w:r>
    </w:p>
    <w:permEnd w:id="556093532"/>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430F70" w:rsidRDefault="00430F70" w:rsidP="00430F70">
      <w:pPr>
        <w:spacing w:line="240" w:lineRule="auto"/>
      </w:pPr>
      <w:permStart w:id="2041921763" w:edGrp="everyone"/>
      <w:r>
        <w:t>BBA agrees with the Association for Financial Markets in Europe’s support for ESMA’s approach, and its call for:</w:t>
      </w:r>
    </w:p>
    <w:p w:rsidR="00430F70" w:rsidRDefault="00430F70" w:rsidP="0017438A">
      <w:pPr>
        <w:pStyle w:val="ListParagraph"/>
        <w:numPr>
          <w:ilvl w:val="0"/>
          <w:numId w:val="22"/>
        </w:numPr>
        <w:spacing w:line="240" w:lineRule="auto"/>
        <w:contextualSpacing/>
        <w:jc w:val="left"/>
      </w:pPr>
      <w:r>
        <w:rPr>
          <w:rFonts w:ascii="Arial" w:hAnsi="Arial" w:cs="Arial"/>
        </w:rPr>
        <w:t>APAs to be available to support firms during their standard market hours;</w:t>
      </w:r>
    </w:p>
    <w:p w:rsidR="00430F70" w:rsidRDefault="00430F70" w:rsidP="0017438A">
      <w:pPr>
        <w:pStyle w:val="ListParagraph"/>
        <w:numPr>
          <w:ilvl w:val="0"/>
          <w:numId w:val="22"/>
        </w:numPr>
        <w:spacing w:line="240" w:lineRule="auto"/>
        <w:contextualSpacing/>
        <w:jc w:val="left"/>
      </w:pPr>
      <w:r>
        <w:rPr>
          <w:rFonts w:ascii="Arial" w:hAnsi="Arial" w:cs="Arial"/>
        </w:rPr>
        <w:t xml:space="preserve">Portfolio trades to be reported only when the whole basket is complete. </w:t>
      </w:r>
    </w:p>
    <w:p w:rsidR="00430F70" w:rsidRDefault="00430F70" w:rsidP="00430F70">
      <w:pPr>
        <w:spacing w:line="240" w:lineRule="auto"/>
      </w:pPr>
    </w:p>
    <w:p w:rsidR="00430F70" w:rsidRDefault="00430F70" w:rsidP="00430F70">
      <w:pPr>
        <w:spacing w:line="240" w:lineRule="auto"/>
      </w:pPr>
      <w:r w:rsidRPr="00430F70">
        <w:t>In weighing responses to this question, we ask ESMA to treat BBA’s response as if it included the full text of AFME’s response</w:t>
      </w:r>
      <w:r>
        <w:rPr>
          <w:color w:val="FF0000"/>
        </w:rPr>
        <w:t>.</w:t>
      </w:r>
    </w:p>
    <w:permEnd w:id="2041921763"/>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476087" w:rsidP="00EC2C93">
      <w:pPr>
        <w:keepNext/>
      </w:pPr>
      <w:permStart w:id="282747500" w:edGrp="everyone"/>
      <w:r w:rsidRPr="00476087">
        <w:t>BBA has participated in and supports the Association for Financial Markets in Europe’s response, and the modifications they propose to ESMA’s proposals.  In weighing responses to this question, we ask ESMA to treat BBA’s response as if it included the full text of AFME’s response.</w:t>
      </w:r>
    </w:p>
    <w:permEnd w:id="282747500"/>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430F70" w:rsidRDefault="00430F70" w:rsidP="00430F70">
      <w:pPr>
        <w:spacing w:line="240" w:lineRule="auto"/>
        <w:rPr>
          <w:color w:val="000000" w:themeColor="text1"/>
          <w:szCs w:val="22"/>
        </w:rPr>
      </w:pPr>
      <w:permStart w:id="1149385005" w:edGrp="everyone"/>
      <w:r>
        <w:rPr>
          <w:color w:val="000000" w:themeColor="text1"/>
          <w:szCs w:val="22"/>
        </w:rPr>
        <w:t>BBA has participated in and supports the Association for Financial Markets in Europe’s response.  We agree with the concerns AFME expresses about the proposed classes and thresholds, the need for better calibration, and the amendments to ESMA’s draft tables that AFME proposes</w:t>
      </w:r>
      <w:r w:rsidRPr="00430F70">
        <w:rPr>
          <w:szCs w:val="22"/>
        </w:rPr>
        <w:t xml:space="preserve">.  </w:t>
      </w:r>
      <w:r w:rsidRPr="00430F70">
        <w:t>In weighing responses to this question, we ask ESMA to treat BBA’s response as if it included the full text of AFME’s response.</w:t>
      </w:r>
    </w:p>
    <w:permEnd w:id="1149385005"/>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430F70" w:rsidRDefault="00430F70" w:rsidP="00430F70">
      <w:pPr>
        <w:spacing w:line="240" w:lineRule="auto"/>
        <w:rPr>
          <w:color w:val="000000" w:themeColor="text1"/>
          <w:szCs w:val="22"/>
        </w:rPr>
      </w:pPr>
      <w:permStart w:id="1463973998" w:edGrp="everyone"/>
      <w:r>
        <w:rPr>
          <w:color w:val="000000" w:themeColor="text1"/>
          <w:szCs w:val="22"/>
        </w:rPr>
        <w:t xml:space="preserve">BBA agrees with the Association for Financial Markets in Europe’s support for ESMA’s alternative proposal of a standard €5 million threshold.    </w:t>
      </w:r>
    </w:p>
    <w:permEnd w:id="1463973998"/>
    <w:p w:rsidR="00577C33" w:rsidRDefault="00577C33" w:rsidP="00EC2C93">
      <w:pPr>
        <w:keepNext/>
      </w:pPr>
      <w:r>
        <w:lastRenderedPageBreak/>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1261123692" w:edGrp="everyone"/>
      <w:r>
        <w:t>TYPE YOUR TEXT HERE</w:t>
      </w:r>
    </w:p>
    <w:permEnd w:id="1261123692"/>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Do you agree with ESMA’s proposal for the definition of a liquid market? Please provide an answer for SFPs and for each of type of bonds identified (European 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A31186" w:rsidRPr="00A31186" w:rsidRDefault="00A31186" w:rsidP="00A31186">
      <w:pPr>
        <w:rPr>
          <w:rFonts w:cstheme="minorHAnsi"/>
        </w:rPr>
      </w:pPr>
      <w:permStart w:id="227439640" w:edGrp="everyone"/>
      <w:r w:rsidRPr="00A31186">
        <w:rPr>
          <w:rFonts w:cstheme="minorHAnsi"/>
        </w:rPr>
        <w:t>BBA has participated in the responses of the Association for Financial Markets in Europe and the International Capital Market Association. In weighing responses to this question, we ask ESMA to bear in mind that BBA shares many Members with AFME and ICMA, and to give weight to the views they express accordingly. We agree with and support AFME’s and ICMA’s criticisms of the COFIA approach as regards fixed income markets.  It is clearly crucial that regulation of transparency in these markets is appropriately calibrated so that the definition of liquidity does not capture significant amounts of trades that are in fact illiquid.  Whilst BBA prefers AFME’s proposed approach, both AFME’s and</w:t>
      </w:r>
      <w:r w:rsidR="00476087">
        <w:rPr>
          <w:rFonts w:cstheme="minorHAnsi"/>
        </w:rPr>
        <w:t xml:space="preserve"> ICMA’s</w:t>
      </w:r>
      <w:r w:rsidRPr="00A31186">
        <w:rPr>
          <w:rFonts w:cstheme="minorHAnsi"/>
        </w:rPr>
        <w:t xml:space="preserve"> proposed approaches would significantly improve on ESMA’s proposals.  We emphasise that ESMA should engage closely with users of and intermediaries in these markets to ensure a better calibration, and a regime that supports, and does not damage, investors’ willingness to invest in illiquid instruments, and intermediaries’ and market users’ willingness to provide liquidity.  This need is particularly important in the context of the European Commission’s Capital Markets Union agenda.  </w:t>
      </w:r>
    </w:p>
    <w:permEnd w:id="227439640"/>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lastRenderedPageBreak/>
        <w:t>&lt;ESMA_QUESTION_CP_MIFID_58&gt;</w:t>
      </w:r>
    </w:p>
    <w:p w:rsidR="00577C33" w:rsidRDefault="00171A5A" w:rsidP="00EC2C93">
      <w:pPr>
        <w:keepNext/>
      </w:pPr>
      <w:permStart w:id="870003302" w:edGrp="everyone"/>
      <w:r w:rsidRPr="00171A5A">
        <w:t xml:space="preserve">BBA has participated in and supports the Association for Financial Markets in Europe’s response, and the </w:t>
      </w:r>
      <w:r>
        <w:t>amendments</w:t>
      </w:r>
      <w:r w:rsidRPr="00171A5A">
        <w:t xml:space="preserve"> they propose to ESMA’s proposals</w:t>
      </w:r>
    </w:p>
    <w:permEnd w:id="870003302"/>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171A5A" w:rsidP="00EC2C93">
      <w:pPr>
        <w:keepNext/>
      </w:pPr>
      <w:permStart w:id="668280084" w:edGrp="everyone"/>
      <w:r>
        <w:t xml:space="preserve">The BBA </w:t>
      </w:r>
      <w:r w:rsidRPr="00171A5A">
        <w:t>shares the Association for Financial Markets in Europe’s concerns</w:t>
      </w:r>
      <w:r>
        <w:t xml:space="preserve"> in particular:</w:t>
      </w:r>
    </w:p>
    <w:p w:rsidR="00171A5A" w:rsidRDefault="00171A5A" w:rsidP="00171A5A">
      <w:pPr>
        <w:pStyle w:val="ListParagraph"/>
        <w:keepNext/>
        <w:numPr>
          <w:ilvl w:val="0"/>
          <w:numId w:val="22"/>
        </w:numPr>
      </w:pPr>
      <w:r>
        <w:t>The broad definition of securitised derivative which would capture a wide range of diverse securities</w:t>
      </w:r>
    </w:p>
    <w:p w:rsidR="00171A5A" w:rsidRDefault="00171A5A" w:rsidP="00171A5A">
      <w:pPr>
        <w:pStyle w:val="ListParagraph"/>
        <w:keepNext/>
        <w:numPr>
          <w:ilvl w:val="0"/>
          <w:numId w:val="22"/>
        </w:numPr>
      </w:pPr>
      <w:r>
        <w:t>The need for ESMA given the general definition of securitised derivative to take a granular approach</w:t>
      </w:r>
    </w:p>
    <w:p w:rsidR="00171A5A" w:rsidRDefault="00171A5A" w:rsidP="00171A5A">
      <w:pPr>
        <w:pStyle w:val="ListParagraph"/>
        <w:keepNext/>
        <w:numPr>
          <w:ilvl w:val="0"/>
          <w:numId w:val="22"/>
        </w:numPr>
      </w:pPr>
      <w:r>
        <w:t>The rebuff of the presumption that prima facie, the presence of a market maker implies liquidity in all markets</w:t>
      </w:r>
    </w:p>
    <w:p w:rsidR="00171A5A" w:rsidRDefault="00171A5A" w:rsidP="00EC2C93">
      <w:pPr>
        <w:keepNext/>
      </w:pPr>
    </w:p>
    <w:permEnd w:id="668280084"/>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1118982420" w:edGrp="everyone"/>
      <w:r>
        <w:t>TYPE YOUR TEXT HERE</w:t>
      </w:r>
    </w:p>
    <w:permEnd w:id="1118982420"/>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w:t>
      </w:r>
      <w:r>
        <w:lastRenderedPageBreak/>
        <w:t xml:space="preserve">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253B88" w:rsidRDefault="00253B88" w:rsidP="00253B88">
      <w:pPr>
        <w:spacing w:line="240" w:lineRule="auto"/>
        <w:rPr>
          <w:color w:val="000000" w:themeColor="text1"/>
        </w:rPr>
      </w:pPr>
      <w:permStart w:id="320958174" w:edGrp="everyone"/>
      <w:r>
        <w:rPr>
          <w:color w:val="000000" w:themeColor="text1"/>
        </w:rPr>
        <w:t xml:space="preserve">BBA supports the concerns expressed in the International Swaps and Derivatives Association’s response, in particular: </w:t>
      </w:r>
    </w:p>
    <w:p w:rsidR="00253B88" w:rsidRDefault="00253B88" w:rsidP="0017438A">
      <w:pPr>
        <w:pStyle w:val="ListParagraph"/>
        <w:numPr>
          <w:ilvl w:val="0"/>
          <w:numId w:val="23"/>
        </w:numPr>
        <w:spacing w:line="240" w:lineRule="auto"/>
        <w:contextualSpacing/>
        <w:jc w:val="left"/>
        <w:rPr>
          <w:color w:val="000000" w:themeColor="text1"/>
        </w:rPr>
      </w:pPr>
      <w:r>
        <w:rPr>
          <w:color w:val="000000" w:themeColor="text1"/>
        </w:rPr>
        <w:t xml:space="preserve">The need for sufficient granularity in the venue test and the liquidity test; </w:t>
      </w:r>
    </w:p>
    <w:p w:rsidR="00253B88" w:rsidRDefault="00253B88" w:rsidP="0017438A">
      <w:pPr>
        <w:pStyle w:val="ListParagraph"/>
        <w:numPr>
          <w:ilvl w:val="0"/>
          <w:numId w:val="23"/>
        </w:numPr>
        <w:spacing w:line="240" w:lineRule="auto"/>
        <w:contextualSpacing/>
        <w:jc w:val="left"/>
        <w:rPr>
          <w:color w:val="000000" w:themeColor="text1"/>
        </w:rPr>
      </w:pPr>
      <w:r>
        <w:rPr>
          <w:color w:val="000000" w:themeColor="text1"/>
        </w:rPr>
        <w:t>The importance of not conflating on-venue and off-venue instruments;</w:t>
      </w:r>
    </w:p>
    <w:p w:rsidR="00253B88" w:rsidRDefault="00253B88" w:rsidP="0017438A">
      <w:pPr>
        <w:pStyle w:val="ListParagraph"/>
        <w:numPr>
          <w:ilvl w:val="0"/>
          <w:numId w:val="23"/>
        </w:numPr>
        <w:spacing w:line="240" w:lineRule="auto"/>
        <w:contextualSpacing/>
        <w:jc w:val="left"/>
        <w:rPr>
          <w:color w:val="000000" w:themeColor="text1"/>
        </w:rPr>
      </w:pPr>
      <w:r>
        <w:rPr>
          <w:color w:val="000000" w:themeColor="text1"/>
        </w:rPr>
        <w:t xml:space="preserve">The need not to bring into scope OTC derivative transactions that are not listed on venues. </w:t>
      </w:r>
    </w:p>
    <w:p w:rsidR="00253B88" w:rsidRDefault="00253B88" w:rsidP="0017438A">
      <w:pPr>
        <w:pStyle w:val="ListParagraph"/>
        <w:numPr>
          <w:ilvl w:val="0"/>
          <w:numId w:val="23"/>
        </w:numPr>
        <w:spacing w:line="240" w:lineRule="auto"/>
        <w:contextualSpacing/>
        <w:jc w:val="left"/>
        <w:rPr>
          <w:color w:val="000000" w:themeColor="text1"/>
        </w:rPr>
      </w:pPr>
      <w:r>
        <w:rPr>
          <w:color w:val="000000" w:themeColor="text1"/>
        </w:rPr>
        <w:t xml:space="preserve">The inappropriateness of the COFIA approach and the broad scope of the proposed liquidity provision, which would include too many illiquid instruments.   </w:t>
      </w:r>
    </w:p>
    <w:p w:rsidR="00253B88" w:rsidRDefault="00253B88" w:rsidP="0017438A">
      <w:pPr>
        <w:pStyle w:val="ListParagraph"/>
        <w:numPr>
          <w:ilvl w:val="0"/>
          <w:numId w:val="23"/>
        </w:numPr>
        <w:spacing w:line="240" w:lineRule="auto"/>
        <w:contextualSpacing/>
        <w:jc w:val="left"/>
        <w:rPr>
          <w:color w:val="000000" w:themeColor="text1"/>
        </w:rPr>
      </w:pPr>
      <w:r>
        <w:rPr>
          <w:color w:val="000000" w:themeColor="text1"/>
        </w:rPr>
        <w:t>The need for appropriate treatment of packaged trades.</w:t>
      </w:r>
    </w:p>
    <w:p w:rsidR="00253B88" w:rsidRDefault="00253B88" w:rsidP="00253B88">
      <w:pPr>
        <w:spacing w:line="240" w:lineRule="auto"/>
      </w:pPr>
    </w:p>
    <w:p w:rsidR="00253B88" w:rsidRDefault="00253B88" w:rsidP="00253B88">
      <w:pPr>
        <w:spacing w:line="240" w:lineRule="auto"/>
        <w:rPr>
          <w:color w:val="000000" w:themeColor="text1"/>
        </w:rPr>
      </w:pPr>
      <w:r>
        <w:rPr>
          <w:color w:val="000000" w:themeColor="text1"/>
        </w:rPr>
        <w:t xml:space="preserve">BBA supports the concerns expressed by the Futures Industry Association Europe as regards on-venue derivatives, in particular: </w:t>
      </w:r>
    </w:p>
    <w:p w:rsidR="00253B88" w:rsidRDefault="00253B88" w:rsidP="0017438A">
      <w:pPr>
        <w:pStyle w:val="ListParagraph"/>
        <w:numPr>
          <w:ilvl w:val="0"/>
          <w:numId w:val="24"/>
        </w:numPr>
        <w:spacing w:line="240" w:lineRule="auto"/>
        <w:contextualSpacing/>
        <w:jc w:val="left"/>
        <w:rPr>
          <w:color w:val="000000" w:themeColor="text1"/>
        </w:rPr>
      </w:pPr>
      <w:r>
        <w:rPr>
          <w:color w:val="000000" w:themeColor="text1"/>
        </w:rPr>
        <w:t>The need to use pre-trade order book data;</w:t>
      </w:r>
    </w:p>
    <w:p w:rsidR="00253B88" w:rsidRDefault="00253B88" w:rsidP="0017438A">
      <w:pPr>
        <w:pStyle w:val="ListParagraph"/>
        <w:numPr>
          <w:ilvl w:val="0"/>
          <w:numId w:val="24"/>
        </w:numPr>
        <w:spacing w:line="240" w:lineRule="auto"/>
        <w:contextualSpacing/>
        <w:jc w:val="left"/>
        <w:rPr>
          <w:color w:val="000000" w:themeColor="text1"/>
        </w:rPr>
      </w:pPr>
      <w:r>
        <w:rPr>
          <w:color w:val="000000" w:themeColor="text1"/>
        </w:rPr>
        <w:t>The need to use broader data sets</w:t>
      </w:r>
    </w:p>
    <w:p w:rsidR="00253B88" w:rsidRDefault="00253B88" w:rsidP="0017438A">
      <w:pPr>
        <w:pStyle w:val="ListParagraph"/>
        <w:numPr>
          <w:ilvl w:val="0"/>
          <w:numId w:val="24"/>
        </w:numPr>
        <w:spacing w:line="240" w:lineRule="auto"/>
        <w:contextualSpacing/>
        <w:jc w:val="left"/>
        <w:rPr>
          <w:color w:val="000000" w:themeColor="text1"/>
        </w:rPr>
      </w:pPr>
      <w:r>
        <w:rPr>
          <w:color w:val="000000" w:themeColor="text1"/>
        </w:rPr>
        <w:t>The need to use number of contracts rather than notional value;</w:t>
      </w:r>
    </w:p>
    <w:p w:rsidR="00253B88" w:rsidRDefault="00253B88" w:rsidP="0017438A">
      <w:pPr>
        <w:pStyle w:val="ListParagraph"/>
        <w:numPr>
          <w:ilvl w:val="0"/>
          <w:numId w:val="24"/>
        </w:numPr>
        <w:spacing w:line="240" w:lineRule="auto"/>
        <w:contextualSpacing/>
        <w:jc w:val="left"/>
        <w:rPr>
          <w:color w:val="000000" w:themeColor="text1"/>
        </w:rPr>
      </w:pPr>
      <w:r>
        <w:rPr>
          <w:color w:val="000000" w:themeColor="text1"/>
        </w:rPr>
        <w:t>The need for a properly calibrated time line for calculations.</w:t>
      </w:r>
    </w:p>
    <w:p w:rsidR="00253B88" w:rsidRDefault="00253B88" w:rsidP="0017438A">
      <w:pPr>
        <w:pStyle w:val="ListParagraph"/>
        <w:numPr>
          <w:ilvl w:val="0"/>
          <w:numId w:val="24"/>
        </w:numPr>
        <w:spacing w:line="240" w:lineRule="auto"/>
        <w:contextualSpacing/>
        <w:jc w:val="left"/>
        <w:rPr>
          <w:color w:val="000000" w:themeColor="text1"/>
        </w:rPr>
      </w:pPr>
      <w:r>
        <w:rPr>
          <w:color w:val="000000" w:themeColor="text1"/>
        </w:rPr>
        <w:t>The need to refine the classes of instruments used;</w:t>
      </w:r>
    </w:p>
    <w:p w:rsidR="00253B88" w:rsidRDefault="00253B88" w:rsidP="0017438A">
      <w:pPr>
        <w:pStyle w:val="ListParagraph"/>
        <w:numPr>
          <w:ilvl w:val="0"/>
          <w:numId w:val="24"/>
        </w:numPr>
        <w:spacing w:line="240" w:lineRule="auto"/>
        <w:contextualSpacing/>
        <w:jc w:val="left"/>
        <w:rPr>
          <w:color w:val="000000" w:themeColor="text1"/>
        </w:rPr>
      </w:pPr>
      <w:r>
        <w:rPr>
          <w:color w:val="000000" w:themeColor="text1"/>
        </w:rPr>
        <w:t>The need to extend the maturity frontier from three to four months;</w:t>
      </w:r>
    </w:p>
    <w:p w:rsidR="00253B88" w:rsidRDefault="00253B88" w:rsidP="0017438A">
      <w:pPr>
        <w:pStyle w:val="ListParagraph"/>
        <w:numPr>
          <w:ilvl w:val="0"/>
          <w:numId w:val="24"/>
        </w:numPr>
        <w:spacing w:line="240" w:lineRule="auto"/>
        <w:contextualSpacing/>
        <w:jc w:val="left"/>
        <w:rPr>
          <w:color w:val="000000" w:themeColor="text1"/>
        </w:rPr>
      </w:pPr>
      <w:r>
        <w:rPr>
          <w:color w:val="000000" w:themeColor="text1"/>
        </w:rPr>
        <w:t>The need for more granularity in the average trade per day and average notional amount per day parameters</w:t>
      </w:r>
    </w:p>
    <w:p w:rsidR="00253B88" w:rsidRDefault="00253B88" w:rsidP="00253B88">
      <w:pPr>
        <w:spacing w:line="240" w:lineRule="auto"/>
        <w:rPr>
          <w:color w:val="000000" w:themeColor="text1"/>
        </w:rPr>
      </w:pPr>
    </w:p>
    <w:p w:rsidR="00253B88" w:rsidRDefault="00253B88" w:rsidP="00253B88">
      <w:pPr>
        <w:spacing w:line="240" w:lineRule="auto"/>
        <w:rPr>
          <w:color w:val="000000" w:themeColor="text1"/>
        </w:rPr>
      </w:pPr>
      <w:r w:rsidRPr="00253B88">
        <w:t>In weighing responses to this question, we ask ESMA to treat BBA’s response as if it included the full text of ISDA’s and FIA Europe’s responses</w:t>
      </w:r>
      <w:r>
        <w:rPr>
          <w:color w:val="FF0000"/>
        </w:rPr>
        <w:t>.</w:t>
      </w:r>
    </w:p>
    <w:permEnd w:id="320958174"/>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633281805" w:edGrp="everyone"/>
      <w:r>
        <w:t>TYPE YOUR TEXT HERE</w:t>
      </w:r>
    </w:p>
    <w:permEnd w:id="633281805"/>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BD242C" w:rsidRDefault="00BD242C" w:rsidP="00BD242C">
      <w:pPr>
        <w:spacing w:line="240" w:lineRule="auto"/>
      </w:pPr>
      <w:permStart w:id="1818967359" w:edGrp="everyone"/>
      <w:r>
        <w:t>BBA supports the concerns expressed by the Futures and Industry Association Europe as regards on-venue derivatives</w:t>
      </w:r>
      <w:r w:rsidRPr="00BD242C">
        <w:t>. In weighing responses to this question, we ask ESMA to treat BBA’s response as if it included the full text of FIA Europe’s response.</w:t>
      </w:r>
    </w:p>
    <w:permEnd w:id="1818967359"/>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w:t>
      </w:r>
      <w:r>
        <w:lastRenderedPageBreak/>
        <w:t xml:space="preserve">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t>&lt;ESMA_QUESTION_CP_MIFID_64&gt;</w:t>
      </w:r>
    </w:p>
    <w:p w:rsidR="00BD242C" w:rsidRDefault="00BD242C" w:rsidP="00BD242C">
      <w:pPr>
        <w:spacing w:line="240" w:lineRule="auto"/>
        <w:rPr>
          <w:color w:val="000000" w:themeColor="text1"/>
        </w:rPr>
      </w:pPr>
      <w:permStart w:id="1028728095" w:edGrp="everyone"/>
    </w:p>
    <w:p w:rsidR="00BD242C" w:rsidRDefault="00BD242C" w:rsidP="00BD242C">
      <w:pPr>
        <w:spacing w:line="240" w:lineRule="auto"/>
      </w:pPr>
      <w:r>
        <w:t xml:space="preserve">BBA supports the concerns expressed by the Futures and Industry Association as regards on-venue derivatives. </w:t>
      </w:r>
      <w:r w:rsidRPr="00BD242C">
        <w:t>In weighing responses to this question, we ask ESMA to treat BBA’s response as if it included the full text of FIA Europe’s response</w:t>
      </w:r>
      <w:r>
        <w:rPr>
          <w:color w:val="FF0000"/>
        </w:rPr>
        <w:t>.</w:t>
      </w:r>
    </w:p>
    <w:permEnd w:id="1028728095"/>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1798445556" w:edGrp="everyone"/>
      <w:r>
        <w:t>TYPE YOUR TEXT HERE</w:t>
      </w:r>
    </w:p>
    <w:permEnd w:id="1798445556"/>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1434205153" w:edGrp="everyone"/>
      <w:r>
        <w:t>TYPE YOUR TEXT HERE</w:t>
      </w:r>
    </w:p>
    <w:permEnd w:id="1434205153"/>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lastRenderedPageBreak/>
        <w:t>&lt;ESMA_QUESTION_CP_MIFID_67&gt;</w:t>
      </w:r>
    </w:p>
    <w:p w:rsidR="00577C33" w:rsidRDefault="00577C33" w:rsidP="00EC2C93">
      <w:pPr>
        <w:keepNext/>
      </w:pPr>
      <w:permStart w:id="1294810527" w:edGrp="everyone"/>
      <w:r>
        <w:t>TYPE YOUR TEXT HERE</w:t>
      </w:r>
    </w:p>
    <w:permEnd w:id="1294810527"/>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1334181922" w:edGrp="everyone"/>
      <w:r>
        <w:t>TYPE YOUR TEXT HERE</w:t>
      </w:r>
    </w:p>
    <w:permEnd w:id="1334181922"/>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2014054870" w:edGrp="everyone"/>
      <w:r>
        <w:t>TYPE YOUR TEXT HERE</w:t>
      </w:r>
    </w:p>
    <w:permEnd w:id="2014054870"/>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8A3E1D" w:rsidRDefault="008A3E1D" w:rsidP="008A3E1D">
      <w:pPr>
        <w:spacing w:line="240" w:lineRule="auto"/>
      </w:pPr>
      <w:permStart w:id="1743865179" w:edGrp="everyone"/>
      <w:r>
        <w:t xml:space="preserve">No. The BBA supports the concerns expressed in the response of the International Swaps and Derivative Association and AFME that the proposed RFQ definition could disrupt the RFQ market in derivatives.  </w:t>
      </w:r>
    </w:p>
    <w:p w:rsidR="008A3E1D" w:rsidRDefault="008A3E1D" w:rsidP="008A3E1D">
      <w:pPr>
        <w:spacing w:line="240" w:lineRule="auto"/>
      </w:pPr>
    </w:p>
    <w:p w:rsidR="008A3E1D" w:rsidRDefault="008A3E1D" w:rsidP="008A3E1D">
      <w:pPr>
        <w:spacing w:line="240" w:lineRule="auto"/>
      </w:pPr>
      <w:r w:rsidRPr="008A3E1D">
        <w:t xml:space="preserve">In weighing responses to this question, we ask ESMA to treat BBA’s response as if it included the full text </w:t>
      </w:r>
      <w:proofErr w:type="gramStart"/>
      <w:r w:rsidRPr="008A3E1D">
        <w:t>of  AFME’s</w:t>
      </w:r>
      <w:proofErr w:type="gramEnd"/>
      <w:r w:rsidRPr="008A3E1D">
        <w:t xml:space="preserve"> and ISDA’s responses</w:t>
      </w:r>
      <w:r>
        <w:rPr>
          <w:color w:val="FF0000"/>
        </w:rPr>
        <w:t>.</w:t>
      </w:r>
    </w:p>
    <w:permEnd w:id="1743865179"/>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745359355" w:edGrp="everyone"/>
      <w:r>
        <w:t>TYPE YOUR TEXT HERE</w:t>
      </w:r>
    </w:p>
    <w:permEnd w:id="745359355"/>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lastRenderedPageBreak/>
        <w:t>&lt;ESMA_QUESTION_CP_MIFID_72&gt;</w:t>
      </w:r>
    </w:p>
    <w:p w:rsidR="00577C33" w:rsidRDefault="00577C33" w:rsidP="00EC2C93">
      <w:pPr>
        <w:keepNext/>
      </w:pPr>
      <w:permStart w:id="347962760" w:edGrp="everyone"/>
      <w:r>
        <w:t>TYPE YOUR TEXT HERE</w:t>
      </w:r>
    </w:p>
    <w:permEnd w:id="347962760"/>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t>&lt;ESMA_QUESTION_CP_MIFID_73&gt;</w:t>
      </w:r>
    </w:p>
    <w:p w:rsidR="008A3E1D" w:rsidRDefault="008A3E1D" w:rsidP="00EC2C93">
      <w:pPr>
        <w:keepNext/>
        <w:rPr>
          <w:color w:val="FF0000"/>
        </w:rPr>
      </w:pPr>
      <w:permStart w:id="1371422585" w:edGrp="everyone"/>
      <w:r>
        <w:t xml:space="preserve">BBA </w:t>
      </w:r>
      <w:r w:rsidRPr="008A3E1D">
        <w:t>supports the Association for Financial Markets in Europe’s response.  In weighing responses to this question, we ask ESMA to treat BBA’s response as if it included the full text of AFME’s response</w:t>
      </w:r>
      <w:r>
        <w:rPr>
          <w:color w:val="FF0000"/>
        </w:rPr>
        <w:t>.</w:t>
      </w:r>
    </w:p>
    <w:permEnd w:id="1371422585"/>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8A3E1D" w:rsidRPr="008A3E1D" w:rsidRDefault="008A3E1D" w:rsidP="00EC2C93">
      <w:pPr>
        <w:keepNext/>
      </w:pPr>
      <w:permStart w:id="472327494" w:edGrp="everyone"/>
      <w:r w:rsidRPr="008A3E1D">
        <w:t>BBA supports the Association for Financial Markets in response.  In weighing responses to this question, we ask ESMA to treat BBA’s response as if it included the full text of AFME’s response</w:t>
      </w:r>
    </w:p>
    <w:permEnd w:id="472327494"/>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8A3E1D" w:rsidRDefault="008A3E1D" w:rsidP="008A3E1D">
      <w:pPr>
        <w:spacing w:line="240" w:lineRule="auto"/>
      </w:pPr>
      <w:permStart w:id="1426277525" w:edGrp="everyone"/>
      <w:r>
        <w:t xml:space="preserve">BBA has participated in and supports the Association for Financial Markets in Europe’s response, in particular the amendments they advocate to ESMA’s proposed reduction of reporting delays to five minutes. </w:t>
      </w:r>
      <w:r w:rsidRPr="008A3E1D">
        <w:t>In weighing responses to this question, we ask ESMA to treat BBA’s response as if it included the full text of AFME’s response</w:t>
      </w:r>
      <w:r>
        <w:rPr>
          <w:color w:val="FF0000"/>
        </w:rPr>
        <w:t>.</w:t>
      </w:r>
    </w:p>
    <w:permEnd w:id="1426277525"/>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212442" w:rsidRDefault="00212442" w:rsidP="00212442">
      <w:pPr>
        <w:spacing w:line="240" w:lineRule="auto"/>
      </w:pPr>
      <w:permStart w:id="291181712" w:edGrp="everyone"/>
      <w:r>
        <w:t xml:space="preserve">BBA has participated in and supports the Association for Financial Markets in Europe’s </w:t>
      </w:r>
      <w:r w:rsidRPr="00212442">
        <w:t>response, and the modifications they propose to ESMA’s proposals.  In weighing responses to this question, we ask ESMA to treat BBA’s response as if it included the full text of AFME’s response</w:t>
      </w:r>
      <w:r>
        <w:rPr>
          <w:color w:val="FF0000"/>
        </w:rPr>
        <w:t>.</w:t>
      </w:r>
    </w:p>
    <w:permEnd w:id="291181712"/>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lastRenderedPageBreak/>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&lt;ESMA_QUESTION_CP_MIFID_77&gt;</w:t>
      </w:r>
    </w:p>
    <w:p w:rsidR="00212442" w:rsidRDefault="00212442" w:rsidP="00212442">
      <w:pPr>
        <w:spacing w:line="240" w:lineRule="auto"/>
      </w:pPr>
      <w:permStart w:id="2105345804" w:edGrp="everyone"/>
      <w:r>
        <w:t xml:space="preserve">BBA has participated in and supports the responses of the Association for Capital Markets in Europe and the International Capital Market Association, in particular their call for better calibration of Large in Scale and Size Specific to the Instrument thresholds, to ensure that transparency requirements are properly calibrated in fixed income markets to align with the needs of market users.  </w:t>
      </w:r>
      <w:r w:rsidRPr="00212442">
        <w:t>In weighing responses to this question, we ask ESMA to treat BBA’s response as if it included the full text of AFME’s and ICMA’s responses.</w:t>
      </w:r>
    </w:p>
    <w:permEnd w:id="2105345804"/>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w:t>
      </w:r>
      <w:r>
        <w:lastRenderedPageBreak/>
        <w:t>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212442" w:rsidRDefault="00212442" w:rsidP="00212442">
      <w:pPr>
        <w:spacing w:line="240" w:lineRule="auto"/>
        <w:rPr>
          <w:color w:val="000000" w:themeColor="text1"/>
        </w:rPr>
      </w:pPr>
      <w:permStart w:id="1358522259" w:edGrp="everyone"/>
      <w:r>
        <w:rPr>
          <w:color w:val="000000" w:themeColor="text1"/>
        </w:rPr>
        <w:t>BBA supports the concerns expressed in the International Swaps and Derivatives Association’s response, in particular:</w:t>
      </w:r>
    </w:p>
    <w:p w:rsidR="00212442" w:rsidRDefault="00212442" w:rsidP="0017438A">
      <w:pPr>
        <w:pStyle w:val="ListParagraph"/>
        <w:numPr>
          <w:ilvl w:val="0"/>
          <w:numId w:val="25"/>
        </w:numPr>
        <w:spacing w:line="240" w:lineRule="auto"/>
        <w:contextualSpacing/>
        <w:jc w:val="left"/>
        <w:rPr>
          <w:rFonts w:ascii="Arial" w:hAnsi="Arial" w:cs="Arial"/>
          <w:color w:val="000000" w:themeColor="text1"/>
        </w:rPr>
      </w:pPr>
      <w:r>
        <w:rPr>
          <w:rFonts w:ascii="Arial" w:hAnsi="Arial" w:cs="Arial"/>
          <w:color w:val="000000" w:themeColor="text1"/>
        </w:rPr>
        <w:t>Its identification of the need for lower Large in Scale and Size Specific to the Instrument thresholds.</w:t>
      </w:r>
    </w:p>
    <w:p w:rsidR="00212442" w:rsidRDefault="00212442" w:rsidP="0017438A">
      <w:pPr>
        <w:pStyle w:val="ListParagraph"/>
        <w:numPr>
          <w:ilvl w:val="0"/>
          <w:numId w:val="25"/>
        </w:numPr>
        <w:spacing w:line="240" w:lineRule="auto"/>
        <w:contextualSpacing/>
        <w:jc w:val="left"/>
        <w:rPr>
          <w:rFonts w:ascii="Arial" w:hAnsi="Arial" w:cs="Arial"/>
        </w:rPr>
      </w:pPr>
      <w:r>
        <w:rPr>
          <w:rFonts w:ascii="Arial" w:hAnsi="Arial" w:cs="Arial"/>
          <w:color w:val="000000" w:themeColor="text1"/>
        </w:rPr>
        <w:t xml:space="preserve">The need for appropriate treatment of packaged trades.   </w:t>
      </w:r>
    </w:p>
    <w:p w:rsidR="00212442" w:rsidRDefault="00212442" w:rsidP="00212442">
      <w:pPr>
        <w:spacing w:line="240" w:lineRule="auto"/>
        <w:rPr>
          <w:rFonts w:ascii="Arial" w:hAnsi="Arial" w:cs="Arial"/>
        </w:rPr>
      </w:pPr>
    </w:p>
    <w:p w:rsidR="00212442" w:rsidRDefault="00212442" w:rsidP="00212442">
      <w:pPr>
        <w:spacing w:line="240" w:lineRule="auto"/>
      </w:pPr>
      <w:r w:rsidRPr="00212442">
        <w:t>In weighing responses to this question, we ask ESMA to treat BBA’s response as if it included the full text of ISDA’s response</w:t>
      </w:r>
      <w:r>
        <w:rPr>
          <w:color w:val="FF0000"/>
        </w:rPr>
        <w:t>.</w:t>
      </w:r>
    </w:p>
    <w:permEnd w:id="1358522259"/>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629288576" w:edGrp="everyone"/>
      <w:r>
        <w:t>TYPE YOUR TEXT HERE</w:t>
      </w:r>
    </w:p>
    <w:permEnd w:id="629288576"/>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lastRenderedPageBreak/>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1992894799" w:edGrp="everyone"/>
      <w:r>
        <w:t>TYPE YOUR TEXT HERE</w:t>
      </w:r>
    </w:p>
    <w:permEnd w:id="1992894799"/>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519324967" w:edGrp="everyone"/>
      <w:r>
        <w:t>TYPE YOUR TEXT HERE</w:t>
      </w:r>
    </w:p>
    <w:permEnd w:id="519324967"/>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w:t>
      </w:r>
      <w:r>
        <w:lastRenderedPageBreak/>
        <w:t>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1352539669" w:edGrp="everyone"/>
      <w:r>
        <w:t>TYPE YOUR TEXT HERE</w:t>
      </w:r>
    </w:p>
    <w:permEnd w:id="1352539669"/>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212442" w:rsidRDefault="00212442" w:rsidP="00212442">
      <w:pPr>
        <w:spacing w:line="240" w:lineRule="auto"/>
        <w:rPr>
          <w:color w:val="000000" w:themeColor="text1"/>
        </w:rPr>
      </w:pPr>
      <w:permStart w:id="1108084777" w:edGrp="everyone"/>
      <w:r>
        <w:rPr>
          <w:color w:val="000000" w:themeColor="text1"/>
        </w:rPr>
        <w:t>BBA agrees with the concerns in the response of the International Capital Market Association that four weeks’ deferral is not long enough to enable firms to protect certain trades in fixed income markets.</w:t>
      </w:r>
    </w:p>
    <w:p w:rsidR="00212442" w:rsidRDefault="00212442" w:rsidP="00212442">
      <w:pPr>
        <w:spacing w:line="240" w:lineRule="auto"/>
        <w:rPr>
          <w:color w:val="000000" w:themeColor="text1"/>
        </w:rPr>
      </w:pPr>
    </w:p>
    <w:p w:rsidR="00212442" w:rsidRDefault="00212442" w:rsidP="00212442">
      <w:pPr>
        <w:spacing w:line="240" w:lineRule="auto"/>
        <w:rPr>
          <w:color w:val="000000" w:themeColor="text1"/>
        </w:rPr>
      </w:pPr>
      <w:r>
        <w:rPr>
          <w:color w:val="000000" w:themeColor="text1"/>
        </w:rPr>
        <w:t xml:space="preserve">BBA supports the International Swaps and Derivatives Association’s identification of the need for longer deferrals for Large in Scale and illiquid derivative transactions; and for consistency of national Competent Authorities’ standards.      </w:t>
      </w:r>
    </w:p>
    <w:p w:rsidR="00212442" w:rsidRDefault="00212442" w:rsidP="00212442">
      <w:pPr>
        <w:spacing w:line="240" w:lineRule="auto"/>
        <w:rPr>
          <w:color w:val="000000" w:themeColor="text1"/>
        </w:rPr>
      </w:pPr>
    </w:p>
    <w:p w:rsidR="00212442" w:rsidRPr="00212442" w:rsidRDefault="00212442" w:rsidP="00212442">
      <w:pPr>
        <w:spacing w:line="240" w:lineRule="auto"/>
      </w:pPr>
    </w:p>
    <w:p w:rsidR="00212442" w:rsidRPr="00212442" w:rsidRDefault="00212442" w:rsidP="00212442">
      <w:pPr>
        <w:spacing w:line="240" w:lineRule="auto"/>
      </w:pPr>
      <w:r w:rsidRPr="00212442">
        <w:t>In weighing responses to this question, we ask ESMA to treat BBA’s response as if it included the full text of ICMA’s and ISDA’s responses.</w:t>
      </w:r>
    </w:p>
    <w:permEnd w:id="1108084777"/>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t>&lt;ESMA_QUESTION_CP_MIFID_84&gt;</w:t>
      </w:r>
    </w:p>
    <w:p w:rsidR="00212442" w:rsidRDefault="00212442" w:rsidP="00212442">
      <w:pPr>
        <w:pStyle w:val="CPQuestions"/>
        <w:numPr>
          <w:ilvl w:val="0"/>
          <w:numId w:val="0"/>
        </w:numPr>
        <w:rPr>
          <w:b w:val="0"/>
        </w:rPr>
      </w:pPr>
      <w:permStart w:id="1708659101" w:edGrp="everyone"/>
      <w:r>
        <w:rPr>
          <w:b w:val="0"/>
        </w:rPr>
        <w:t>BBA has participated in and supports the Association for Financial Markets in Europe’s response, and the significant concerns it expresses about ESMA’s proposed COFIA approach.  BBA also agrees with the concerns expressed by the International Capital Market Association as regards the unworkabi</w:t>
      </w:r>
      <w:r w:rsidR="00F00B3D">
        <w:rPr>
          <w:b w:val="0"/>
        </w:rPr>
        <w:t xml:space="preserve">lity of the COFIA and </w:t>
      </w:r>
      <w:r>
        <w:rPr>
          <w:b w:val="0"/>
        </w:rPr>
        <w:t xml:space="preserve">in the fixed income market.  </w:t>
      </w:r>
      <w:r w:rsidRPr="00212442">
        <w:rPr>
          <w:b w:val="0"/>
        </w:rPr>
        <w:t>In weighing responses to this question, we ask ESMA to treat BBA’s response as if it included the full text of AFME’s and ICMA’s responses</w:t>
      </w:r>
      <w:r>
        <w:rPr>
          <w:b w:val="0"/>
          <w:color w:val="FF0000"/>
        </w:rPr>
        <w:t>.</w:t>
      </w:r>
    </w:p>
    <w:permEnd w:id="1708659101"/>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150432518" w:edGrp="everyone"/>
      <w:r>
        <w:t>TYPE YOUR TEXT HERE</w:t>
      </w:r>
    </w:p>
    <w:permEnd w:id="150432518"/>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lastRenderedPageBreak/>
        <w:t>&lt;ESMA_QUESTION_CP_MIFID_86&gt;</w:t>
      </w:r>
    </w:p>
    <w:p w:rsidR="00577C33" w:rsidRDefault="00577C33" w:rsidP="00EC2C93">
      <w:pPr>
        <w:keepNext/>
      </w:pPr>
      <w:permStart w:id="1364471512" w:edGrp="everyone"/>
      <w:r>
        <w:t>TYPE YOUR TEXT HERE</w:t>
      </w:r>
    </w:p>
    <w:permEnd w:id="1364471512"/>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171A5A" w:rsidP="00EC2C93">
      <w:pPr>
        <w:keepNext/>
      </w:pPr>
      <w:permStart w:id="1184258405" w:edGrp="everyone"/>
      <w:r>
        <w:rPr>
          <w:rFonts w:ascii="Arial" w:hAnsi="Arial" w:cs="Arial"/>
          <w:color w:val="000000" w:themeColor="text1"/>
          <w:szCs w:val="22"/>
        </w:rPr>
        <w:t xml:space="preserve">BBA has participated in and supports the Association for Financial Markets in Europe’s response. </w:t>
      </w:r>
      <w:r w:rsidRPr="00171A5A">
        <w:rPr>
          <w:rFonts w:ascii="Arial" w:hAnsi="Arial" w:cs="Arial"/>
          <w:color w:val="000000" w:themeColor="text1"/>
          <w:szCs w:val="22"/>
        </w:rPr>
        <w:t>In weighing responses to this question, we ask ESMA to treat BBA’s response as if it included the full text of AFME’s response</w:t>
      </w:r>
      <w:r>
        <w:rPr>
          <w:rFonts w:ascii="Arial" w:hAnsi="Arial" w:cs="Arial"/>
          <w:color w:val="000000" w:themeColor="text1"/>
          <w:szCs w:val="22"/>
        </w:rPr>
        <w:t>.</w:t>
      </w:r>
    </w:p>
    <w:permEnd w:id="1184258405"/>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E93E7D" w:rsidRDefault="00E93E7D" w:rsidP="00E93E7D">
      <w:pPr>
        <w:pStyle w:val="CPQuestions"/>
        <w:numPr>
          <w:ilvl w:val="0"/>
          <w:numId w:val="0"/>
        </w:numPr>
        <w:rPr>
          <w:b w:val="0"/>
        </w:rPr>
      </w:pPr>
      <w:permStart w:id="1636639201" w:edGrp="everyone"/>
      <w:r>
        <w:rPr>
          <w:b w:val="0"/>
        </w:rPr>
        <w:t>BBA has participated in, and supports, the Association for Financial Markets in Europe’s response as regards t</w:t>
      </w:r>
      <w:r w:rsidRPr="00E93E7D">
        <w:rPr>
          <w:b w:val="0"/>
        </w:rPr>
        <w:t>he foreign exchange derivatives market.  In weighing responses to this question, we ask ESMA to treat BBA’s response as if it included the full text of AFME’s response.</w:t>
      </w:r>
    </w:p>
    <w:permEnd w:id="1636639201"/>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E93E7D" w:rsidRDefault="00E93E7D" w:rsidP="00E93E7D">
      <w:pPr>
        <w:pStyle w:val="CPQuestions"/>
        <w:numPr>
          <w:ilvl w:val="0"/>
          <w:numId w:val="0"/>
        </w:numPr>
        <w:rPr>
          <w:b w:val="0"/>
        </w:rPr>
      </w:pPr>
      <w:permStart w:id="1981035058" w:edGrp="everyone"/>
      <w:r>
        <w:rPr>
          <w:b w:val="0"/>
        </w:rPr>
        <w:t>BBA has participated in, and supports, the Association for Financial Markets in Europe’s response as regards the foreign exchange derivatives market.</w:t>
      </w:r>
    </w:p>
    <w:p w:rsidR="00E93E7D" w:rsidRDefault="00E93E7D" w:rsidP="00E93E7D">
      <w:pPr>
        <w:pStyle w:val="CPQuestions"/>
        <w:numPr>
          <w:ilvl w:val="0"/>
          <w:numId w:val="0"/>
        </w:numPr>
        <w:rPr>
          <w:b w:val="0"/>
        </w:rPr>
      </w:pPr>
      <w:r>
        <w:rPr>
          <w:b w:val="0"/>
        </w:rPr>
        <w:t xml:space="preserve">BBA supports the International Swaps and Derivatives Association’s call for the ‘sufficiently liquid’ test to be applied at a more granular level in the derivatives market.  </w:t>
      </w:r>
    </w:p>
    <w:p w:rsidR="00E93E7D" w:rsidRPr="00E93E7D" w:rsidRDefault="00E93E7D" w:rsidP="00E93E7D">
      <w:pPr>
        <w:pStyle w:val="CPQuestions"/>
        <w:numPr>
          <w:ilvl w:val="0"/>
          <w:numId w:val="0"/>
        </w:numPr>
        <w:rPr>
          <w:b w:val="0"/>
        </w:rPr>
      </w:pPr>
      <w:r w:rsidRPr="00E93E7D">
        <w:rPr>
          <w:b w:val="0"/>
        </w:rPr>
        <w:t>In weighing responses to this question, we ask ESMA to treat BBA’s response as if it included the full text of AFME’s and ISDA’s responses.</w:t>
      </w:r>
    </w:p>
    <w:permEnd w:id="1981035058"/>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E93E7D" w:rsidRDefault="00E93E7D" w:rsidP="00E93E7D">
      <w:pPr>
        <w:pStyle w:val="CPQuestions"/>
        <w:numPr>
          <w:ilvl w:val="0"/>
          <w:numId w:val="0"/>
        </w:numPr>
        <w:rPr>
          <w:b w:val="0"/>
        </w:rPr>
      </w:pPr>
      <w:permStart w:id="1153119867" w:edGrp="everyone"/>
      <w:r>
        <w:rPr>
          <w:b w:val="0"/>
        </w:rPr>
        <w:t>BBA has participated in, and supports, the Association for Financial Markets in Europe’s response a</w:t>
      </w:r>
      <w:r w:rsidRPr="00E93E7D">
        <w:rPr>
          <w:b w:val="0"/>
        </w:rPr>
        <w:t>s regards the foreign exchange derivatives market.  In weighing responses to this question, we ask ESMA to treat BBA’s response as if it included the full text of AFME’s response</w:t>
      </w:r>
      <w:r>
        <w:rPr>
          <w:b w:val="0"/>
          <w:color w:val="FF0000"/>
        </w:rPr>
        <w:t>.</w:t>
      </w:r>
    </w:p>
    <w:permEnd w:id="1153119867"/>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lastRenderedPageBreak/>
        <w:t>&lt;ESMA_QUESTION_CP_MIFID_91&gt;</w:t>
      </w:r>
    </w:p>
    <w:p w:rsidR="00577C33" w:rsidRDefault="00577C33" w:rsidP="00EC2C93">
      <w:pPr>
        <w:keepNext/>
      </w:pPr>
      <w:permStart w:id="633568765" w:edGrp="everyone"/>
      <w:r>
        <w:t>TYPE YOUR TEXT HERE</w:t>
      </w:r>
    </w:p>
    <w:permEnd w:id="633568765"/>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t>&lt;ESMA_QUESTION_CP_MIFID_92&gt;</w:t>
      </w:r>
    </w:p>
    <w:p w:rsidR="00577C33" w:rsidRDefault="00577C33" w:rsidP="00EC2C93">
      <w:pPr>
        <w:keepNext/>
      </w:pPr>
      <w:permStart w:id="824401897" w:edGrp="everyone"/>
      <w:r>
        <w:t>TYPE YOUR TEXT HERE</w:t>
      </w:r>
    </w:p>
    <w:permEnd w:id="824401897"/>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9" w:name="_Toc406692527"/>
      <w:bookmarkStart w:id="10" w:name="_Toc406692370"/>
      <w:bookmarkStart w:id="11" w:name="_Toc406691760"/>
      <w:r>
        <w:lastRenderedPageBreak/>
        <w:t>Microstructural issues</w:t>
      </w:r>
      <w:bookmarkEnd w:id="9"/>
      <w:bookmarkEnd w:id="10"/>
      <w:bookmarkEnd w:id="11"/>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E93E7D" w:rsidRDefault="00E93E7D" w:rsidP="00E93E7D">
      <w:pPr>
        <w:pStyle w:val="CPQuestions"/>
        <w:numPr>
          <w:ilvl w:val="0"/>
          <w:numId w:val="0"/>
        </w:numPr>
        <w:rPr>
          <w:b w:val="0"/>
        </w:rPr>
      </w:pPr>
      <w:permStart w:id="328618069" w:edGrp="everyone"/>
      <w:r>
        <w:rPr>
          <w:b w:val="0"/>
        </w:rPr>
        <w:t xml:space="preserve">BBA has participated in and supports the Association for Financial Markets in Europe’s response, and its reservations and proposed amendments regarding business continuity arrangements, in particular with regard to: </w:t>
      </w:r>
    </w:p>
    <w:p w:rsidR="00E93E7D" w:rsidRDefault="00E93E7D" w:rsidP="0017438A">
      <w:pPr>
        <w:pStyle w:val="CPQuestions"/>
        <w:numPr>
          <w:ilvl w:val="0"/>
          <w:numId w:val="26"/>
        </w:numPr>
        <w:rPr>
          <w:b w:val="0"/>
        </w:rPr>
      </w:pPr>
      <w:r>
        <w:rPr>
          <w:b w:val="0"/>
        </w:rPr>
        <w:t>The need to simplify and clarify the definition of disorderly and disruptive scenarios;</w:t>
      </w:r>
    </w:p>
    <w:p w:rsidR="00E93E7D" w:rsidRDefault="00E93E7D" w:rsidP="0017438A">
      <w:pPr>
        <w:pStyle w:val="CPQuestions"/>
        <w:numPr>
          <w:ilvl w:val="0"/>
          <w:numId w:val="26"/>
        </w:numPr>
        <w:rPr>
          <w:b w:val="0"/>
        </w:rPr>
      </w:pPr>
      <w:r>
        <w:rPr>
          <w:b w:val="0"/>
        </w:rPr>
        <w:t>The need for flexibility as regards back-up plans</w:t>
      </w:r>
    </w:p>
    <w:p w:rsidR="00E93E7D" w:rsidRDefault="00E93E7D" w:rsidP="0017438A">
      <w:pPr>
        <w:pStyle w:val="CPQuestions"/>
        <w:numPr>
          <w:ilvl w:val="0"/>
          <w:numId w:val="26"/>
        </w:numPr>
        <w:rPr>
          <w:b w:val="0"/>
        </w:rPr>
      </w:pPr>
      <w:r>
        <w:rPr>
          <w:b w:val="0"/>
        </w:rPr>
        <w:t>The need not to impose business continuity arrangements that are bespoke to each venue</w:t>
      </w:r>
    </w:p>
    <w:p w:rsidR="00E93E7D" w:rsidRDefault="00E93E7D" w:rsidP="0017438A">
      <w:pPr>
        <w:pStyle w:val="CPQuestions"/>
        <w:numPr>
          <w:ilvl w:val="0"/>
          <w:numId w:val="26"/>
        </w:numPr>
        <w:rPr>
          <w:b w:val="0"/>
        </w:rPr>
      </w:pPr>
      <w:r>
        <w:rPr>
          <w:b w:val="0"/>
        </w:rPr>
        <w:t>The need for flexibility so that firms can act in clients’ best interests.</w:t>
      </w:r>
    </w:p>
    <w:p w:rsidR="00E93E7D" w:rsidRPr="00E93E7D" w:rsidRDefault="00E93E7D" w:rsidP="0017438A">
      <w:pPr>
        <w:pStyle w:val="CPQuestions"/>
        <w:numPr>
          <w:ilvl w:val="0"/>
          <w:numId w:val="26"/>
        </w:numPr>
        <w:rPr>
          <w:b w:val="0"/>
        </w:rPr>
      </w:pPr>
      <w:r w:rsidRPr="00E93E7D">
        <w:rPr>
          <w:b w:val="0"/>
        </w:rPr>
        <w:t xml:space="preserve">The need for flexibility to accommodate the circumstances of smaller firms.    </w:t>
      </w:r>
    </w:p>
    <w:p w:rsidR="00E93E7D" w:rsidRDefault="00E93E7D" w:rsidP="00E93E7D">
      <w:pPr>
        <w:pStyle w:val="CPQuestions"/>
        <w:numPr>
          <w:ilvl w:val="0"/>
          <w:numId w:val="0"/>
        </w:numPr>
        <w:rPr>
          <w:b w:val="0"/>
          <w:szCs w:val="22"/>
        </w:rPr>
      </w:pPr>
      <w:r w:rsidRPr="00E93E7D">
        <w:rPr>
          <w:b w:val="0"/>
        </w:rPr>
        <w:t>In weighing responses to this question, we ask ESMA to treat BBA’s response as if it included the full text of AFME’s response</w:t>
      </w:r>
      <w:r>
        <w:rPr>
          <w:b w:val="0"/>
          <w:color w:val="FF0000"/>
        </w:rPr>
        <w:t>.</w:t>
      </w:r>
    </w:p>
    <w:permEnd w:id="328618069"/>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Pr="00E93E7D" w:rsidRDefault="00E93E7D" w:rsidP="00E93E7D">
      <w:pPr>
        <w:pStyle w:val="CPQuestions"/>
        <w:numPr>
          <w:ilvl w:val="0"/>
          <w:numId w:val="0"/>
        </w:numPr>
        <w:rPr>
          <w:b w:val="0"/>
        </w:rPr>
      </w:pPr>
      <w:permStart w:id="74130961" w:edGrp="everyone"/>
      <w:r>
        <w:rPr>
          <w:b w:val="0"/>
        </w:rPr>
        <w:t xml:space="preserve">BBA has participated in and supports the Association for Financial Markets in Europe’s response, and its reservations and proposed amendments regarding systems and change </w:t>
      </w:r>
      <w:r w:rsidRPr="00E93E7D">
        <w:rPr>
          <w:b w:val="0"/>
        </w:rPr>
        <w:t>management.  In weighing responses to this question, we ask ESMA to treat BBA’s response as if it included the full text of AFME’s response</w:t>
      </w:r>
      <w:r>
        <w:rPr>
          <w:b w:val="0"/>
          <w:color w:val="FF0000"/>
        </w:rPr>
        <w:t>.</w:t>
      </w:r>
    </w:p>
    <w:permEnd w:id="74130961"/>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E93E7D" w:rsidRDefault="00E93E7D" w:rsidP="00E93E7D">
      <w:pPr>
        <w:pStyle w:val="CPQuestions"/>
        <w:numPr>
          <w:ilvl w:val="0"/>
          <w:numId w:val="0"/>
        </w:numPr>
        <w:rPr>
          <w:b w:val="0"/>
        </w:rPr>
      </w:pPr>
      <w:permStart w:id="1345067961" w:edGrp="everyone"/>
      <w:r>
        <w:rPr>
          <w:b w:val="0"/>
        </w:rPr>
        <w:t>BBA has participated in and supports the Association for Financial Markets in Europe’s r</w:t>
      </w:r>
      <w:r w:rsidRPr="00E93E7D">
        <w:rPr>
          <w:b w:val="0"/>
        </w:rPr>
        <w:t>esponse, and its interpretations of pre- and post-trade controls.  In weighing responses to this question, we ask ESMA to treat BBA’s response as if it included the full text of AFME’s response.</w:t>
      </w:r>
    </w:p>
    <w:permEnd w:id="1345067961"/>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E93E7D" w:rsidRDefault="00E93E7D" w:rsidP="00E93E7D">
      <w:pPr>
        <w:pStyle w:val="CPQuestions"/>
        <w:numPr>
          <w:ilvl w:val="0"/>
          <w:numId w:val="0"/>
        </w:numPr>
        <w:rPr>
          <w:b w:val="0"/>
        </w:rPr>
      </w:pPr>
      <w:permStart w:id="334461593" w:edGrp="everyone"/>
      <w:r>
        <w:rPr>
          <w:b w:val="0"/>
        </w:rPr>
        <w:t xml:space="preserve">BBA has participated in and supports the Association for Financial Markets in Europe’s </w:t>
      </w:r>
      <w:r w:rsidRPr="00E93E7D">
        <w:rPr>
          <w:b w:val="0"/>
        </w:rPr>
        <w:t>response, including its reservations as regards non-equity markets.  In weighing responses to this question, we ask ESMA to treat BBA’s response as if it included the full text of AFME’s response.</w:t>
      </w:r>
    </w:p>
    <w:permEnd w:id="334461593"/>
    <w:p w:rsidR="00577C33" w:rsidRDefault="00577C33" w:rsidP="00EC2C93">
      <w:pPr>
        <w:keepNext/>
      </w:pPr>
      <w:r>
        <w:lastRenderedPageBreak/>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E93E7D" w:rsidRDefault="00E93E7D" w:rsidP="00E93E7D">
      <w:pPr>
        <w:pStyle w:val="CPQuestions"/>
        <w:numPr>
          <w:ilvl w:val="0"/>
          <w:numId w:val="0"/>
        </w:numPr>
        <w:rPr>
          <w:b w:val="0"/>
          <w:szCs w:val="22"/>
        </w:rPr>
      </w:pPr>
      <w:permStart w:id="465397039" w:edGrp="everyone"/>
      <w:r>
        <w:rPr>
          <w:b w:val="0"/>
          <w:szCs w:val="22"/>
        </w:rPr>
        <w:t>BBA has participated in and supports the Association for Financial Markets in Europe’s response, and its opposition to a general obligation on firms to monitor for market abuse where the firm does not have information to do so</w:t>
      </w:r>
      <w:r w:rsidRPr="00E93E7D">
        <w:rPr>
          <w:b w:val="0"/>
          <w:szCs w:val="22"/>
        </w:rPr>
        <w:t xml:space="preserve">.  </w:t>
      </w:r>
      <w:r w:rsidRPr="00E93E7D">
        <w:rPr>
          <w:b w:val="0"/>
        </w:rPr>
        <w:t>In weighing responses to this question, we ask ESMA to treat BBA’s response as if it included the full text of AFME’s response.</w:t>
      </w:r>
    </w:p>
    <w:permEnd w:id="465397039"/>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241E03" w:rsidRPr="00241E03" w:rsidRDefault="00241E03" w:rsidP="00241E03">
      <w:pPr>
        <w:pStyle w:val="CPQuestions"/>
        <w:numPr>
          <w:ilvl w:val="0"/>
          <w:numId w:val="0"/>
        </w:numPr>
        <w:rPr>
          <w:b w:val="0"/>
        </w:rPr>
      </w:pPr>
      <w:permStart w:id="923423043" w:edGrp="everyone"/>
      <w:r>
        <w:rPr>
          <w:b w:val="0"/>
        </w:rPr>
        <w:t>BBA has participated in and supports the Association for Financial Markets in Europe’s response, and its call for appropriate clarification as regards the treatment of requests for quote and disorderly markets</w:t>
      </w:r>
      <w:r w:rsidRPr="00241E03">
        <w:rPr>
          <w:b w:val="0"/>
        </w:rPr>
        <w:t>.  In weighing responses to this question, we ask ESMA to treat BBA’s response as if it included the full text of AFME’s response.</w:t>
      </w:r>
    </w:p>
    <w:permEnd w:id="923423043"/>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1740258340" w:edGrp="everyone"/>
      <w:r>
        <w:t>TYPE YOUR TEXT HERE</w:t>
      </w:r>
    </w:p>
    <w:permEnd w:id="1740258340"/>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t>&lt;ESMA_QUESTION_CP_MIFID_100&gt;</w:t>
      </w:r>
    </w:p>
    <w:p w:rsidR="00577C33" w:rsidRDefault="00577C33" w:rsidP="00EC2C93">
      <w:pPr>
        <w:keepNext/>
      </w:pPr>
      <w:permStart w:id="118494092" w:edGrp="everyone"/>
      <w:r>
        <w:t>TYPE YOUR TEXT HERE</w:t>
      </w:r>
    </w:p>
    <w:permEnd w:id="118494092"/>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332538879" w:edGrp="everyone"/>
      <w:r>
        <w:t>TYPE YOUR TEXT HERE</w:t>
      </w:r>
    </w:p>
    <w:permEnd w:id="332538879"/>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241E03" w:rsidRDefault="00241E03" w:rsidP="00241E03">
      <w:pPr>
        <w:pStyle w:val="CPQuestions"/>
        <w:numPr>
          <w:ilvl w:val="0"/>
          <w:numId w:val="0"/>
        </w:numPr>
        <w:rPr>
          <w:b w:val="0"/>
          <w:szCs w:val="22"/>
        </w:rPr>
      </w:pPr>
      <w:permStart w:id="2118915012" w:edGrp="everyone"/>
      <w:r w:rsidRPr="00241E03">
        <w:rPr>
          <w:b w:val="0"/>
          <w:szCs w:val="22"/>
        </w:rPr>
        <w:t xml:space="preserve">BBA has participated in and supports the Association for Financial Markets in Europe’s response, and its proposed controls regarding test instruments.  </w:t>
      </w:r>
      <w:r w:rsidRPr="00241E03">
        <w:rPr>
          <w:b w:val="0"/>
        </w:rPr>
        <w:t>In weighing responses to this question, we ask ESMA to treat BBA’s response as if it included the full text of AFME’s response</w:t>
      </w:r>
      <w:r>
        <w:rPr>
          <w:b w:val="0"/>
          <w:color w:val="FF0000"/>
        </w:rPr>
        <w:t>.</w:t>
      </w:r>
    </w:p>
    <w:permEnd w:id="2118915012"/>
    <w:p w:rsidR="00577C33" w:rsidRDefault="00577C33" w:rsidP="00EC2C93">
      <w:pPr>
        <w:keepNext/>
      </w:pPr>
      <w:r>
        <w:lastRenderedPageBreak/>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244807327" w:edGrp="everyone"/>
      <w:r>
        <w:t>TYPE YOUR TEXT HERE</w:t>
      </w:r>
    </w:p>
    <w:permEnd w:id="244807327"/>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9E0AA7" w:rsidRDefault="009E0AA7" w:rsidP="009E0AA7">
      <w:pPr>
        <w:pStyle w:val="CPQuestions"/>
        <w:numPr>
          <w:ilvl w:val="0"/>
          <w:numId w:val="0"/>
        </w:numPr>
        <w:rPr>
          <w:b w:val="0"/>
        </w:rPr>
      </w:pPr>
      <w:permStart w:id="1249534503" w:edGrp="everyone"/>
      <w:r>
        <w:rPr>
          <w:b w:val="0"/>
        </w:rPr>
        <w:t>BBA has participated in and supports the Association for Financial Markets in Europe’s response, in particular:</w:t>
      </w:r>
    </w:p>
    <w:p w:rsidR="009E0AA7" w:rsidRDefault="009E0AA7" w:rsidP="0017438A">
      <w:pPr>
        <w:pStyle w:val="CPQuestions"/>
        <w:numPr>
          <w:ilvl w:val="0"/>
          <w:numId w:val="27"/>
        </w:numPr>
        <w:rPr>
          <w:b w:val="0"/>
        </w:rPr>
      </w:pPr>
      <w:r>
        <w:rPr>
          <w:b w:val="0"/>
        </w:rPr>
        <w:t xml:space="preserve">Its stress that the regime needs to be based on a deliberate intention by a firm to be a market maker; </w:t>
      </w:r>
    </w:p>
    <w:p w:rsidR="009E0AA7" w:rsidRDefault="009E0AA7" w:rsidP="0017438A">
      <w:pPr>
        <w:pStyle w:val="CPQuestions"/>
        <w:numPr>
          <w:ilvl w:val="0"/>
          <w:numId w:val="27"/>
        </w:numPr>
        <w:rPr>
          <w:b w:val="0"/>
        </w:rPr>
      </w:pPr>
      <w:r>
        <w:rPr>
          <w:b w:val="0"/>
        </w:rPr>
        <w:t xml:space="preserve">The need to take account of ESMA’s Technical Advice on HFT and algorithmic trading, with only proprietary order flow in scope; </w:t>
      </w:r>
    </w:p>
    <w:p w:rsidR="00171A5A" w:rsidRDefault="009E0AA7" w:rsidP="0017438A">
      <w:pPr>
        <w:pStyle w:val="CPQuestions"/>
        <w:numPr>
          <w:ilvl w:val="0"/>
          <w:numId w:val="27"/>
        </w:numPr>
        <w:rPr>
          <w:b w:val="0"/>
        </w:rPr>
      </w:pPr>
      <w:r>
        <w:rPr>
          <w:b w:val="0"/>
        </w:rPr>
        <w:t>The need to clarify the timeline for agreeing and exiting from a market making agreement;</w:t>
      </w:r>
    </w:p>
    <w:p w:rsidR="009E0AA7" w:rsidRPr="009E0AA7" w:rsidRDefault="00171A5A" w:rsidP="0017438A">
      <w:pPr>
        <w:pStyle w:val="CPQuestions"/>
        <w:numPr>
          <w:ilvl w:val="0"/>
          <w:numId w:val="27"/>
        </w:numPr>
        <w:rPr>
          <w:b w:val="0"/>
        </w:rPr>
      </w:pPr>
      <w:r>
        <w:rPr>
          <w:b w:val="0"/>
        </w:rPr>
        <w:t>I</w:t>
      </w:r>
      <w:r w:rsidR="009E0AA7">
        <w:rPr>
          <w:b w:val="0"/>
        </w:rPr>
        <w:t xml:space="preserve">ts call for flexibility for investment firms’ market making strategy in </w:t>
      </w:r>
      <w:r w:rsidR="009E0AA7" w:rsidRPr="009E0AA7">
        <w:rPr>
          <w:b w:val="0"/>
        </w:rPr>
        <w:t xml:space="preserve">exceptional market conditions.  </w:t>
      </w:r>
    </w:p>
    <w:p w:rsidR="009E0AA7" w:rsidRDefault="009E0AA7" w:rsidP="009E0AA7">
      <w:pPr>
        <w:pStyle w:val="CPQuestions"/>
        <w:numPr>
          <w:ilvl w:val="0"/>
          <w:numId w:val="0"/>
        </w:numPr>
        <w:rPr>
          <w:szCs w:val="22"/>
        </w:rPr>
      </w:pPr>
      <w:r w:rsidRPr="009E0AA7">
        <w:rPr>
          <w:b w:val="0"/>
        </w:rPr>
        <w:t>In weighing responses to this question, we ask ESMA to treat BBA’s response as if it included the full text of AFME’s response</w:t>
      </w:r>
      <w:r>
        <w:rPr>
          <w:b w:val="0"/>
          <w:color w:val="FF0000"/>
        </w:rPr>
        <w:t>.</w:t>
      </w:r>
    </w:p>
    <w:permEnd w:id="1249534503"/>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9E0AA7" w:rsidRDefault="009E0AA7" w:rsidP="009E0AA7">
      <w:pPr>
        <w:pStyle w:val="CPQuestions"/>
        <w:numPr>
          <w:ilvl w:val="0"/>
          <w:numId w:val="0"/>
        </w:numPr>
        <w:rPr>
          <w:b w:val="0"/>
        </w:rPr>
      </w:pPr>
      <w:permStart w:id="723869676" w:edGrp="everyone"/>
      <w:r>
        <w:rPr>
          <w:b w:val="0"/>
        </w:rPr>
        <w:t xml:space="preserve">BBA has participated in and supports the Association for Financial Markets in Europe’s response, in particular: </w:t>
      </w:r>
    </w:p>
    <w:p w:rsidR="009E0AA7" w:rsidRDefault="009E0AA7" w:rsidP="0017438A">
      <w:pPr>
        <w:pStyle w:val="CPQuestions"/>
        <w:numPr>
          <w:ilvl w:val="0"/>
          <w:numId w:val="28"/>
        </w:numPr>
        <w:rPr>
          <w:b w:val="0"/>
        </w:rPr>
      </w:pPr>
      <w:r>
        <w:rPr>
          <w:b w:val="0"/>
        </w:rPr>
        <w:t>The need not to make assessments on a monthly, not daily, basis;</w:t>
      </w:r>
    </w:p>
    <w:p w:rsidR="009E0AA7" w:rsidRPr="009E0AA7" w:rsidRDefault="00171A5A" w:rsidP="0017438A">
      <w:pPr>
        <w:pStyle w:val="CPQuestions"/>
        <w:numPr>
          <w:ilvl w:val="0"/>
          <w:numId w:val="28"/>
        </w:numPr>
        <w:rPr>
          <w:b w:val="0"/>
        </w:rPr>
      </w:pPr>
      <w:r>
        <w:rPr>
          <w:b w:val="0"/>
        </w:rPr>
        <w:t>I</w:t>
      </w:r>
      <w:r w:rsidR="009E0AA7" w:rsidRPr="009E0AA7">
        <w:rPr>
          <w:b w:val="0"/>
        </w:rPr>
        <w:t xml:space="preserve">ts call for clarity on the interpretation of market hours.  </w:t>
      </w:r>
    </w:p>
    <w:p w:rsidR="009E0AA7" w:rsidRDefault="009E0AA7" w:rsidP="009E0AA7">
      <w:pPr>
        <w:pStyle w:val="CPQuestions"/>
        <w:numPr>
          <w:ilvl w:val="0"/>
          <w:numId w:val="0"/>
        </w:numPr>
        <w:rPr>
          <w:szCs w:val="22"/>
        </w:rPr>
      </w:pPr>
      <w:r w:rsidRPr="009E0AA7">
        <w:rPr>
          <w:b w:val="0"/>
        </w:rPr>
        <w:t>In weighing responses to this question, we ask ESMA to treat BBA’s response as if it included the full text of AFME’s response</w:t>
      </w:r>
      <w:r>
        <w:rPr>
          <w:b w:val="0"/>
          <w:color w:val="FF0000"/>
        </w:rPr>
        <w:t>.</w:t>
      </w:r>
    </w:p>
    <w:permEnd w:id="723869676"/>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9E0AA7" w:rsidRDefault="009E0AA7" w:rsidP="009E0AA7">
      <w:pPr>
        <w:pStyle w:val="CPQuestions"/>
        <w:numPr>
          <w:ilvl w:val="0"/>
          <w:numId w:val="0"/>
        </w:numPr>
        <w:rPr>
          <w:b w:val="0"/>
          <w:szCs w:val="22"/>
        </w:rPr>
      </w:pPr>
      <w:permStart w:id="461334451" w:edGrp="everyone"/>
      <w:r>
        <w:rPr>
          <w:b w:val="0"/>
          <w:szCs w:val="22"/>
        </w:rPr>
        <w:t xml:space="preserve">BBA has participated in and supports the Association for Financial Markets in Europe’s call </w:t>
      </w:r>
      <w:r w:rsidRPr="009E0AA7">
        <w:rPr>
          <w:b w:val="0"/>
          <w:szCs w:val="22"/>
        </w:rPr>
        <w:t xml:space="preserve">for clarity in the interpretation and application of ESMA’s proposals.  </w:t>
      </w:r>
      <w:r w:rsidRPr="009E0AA7">
        <w:rPr>
          <w:b w:val="0"/>
        </w:rPr>
        <w:t>In weighing responses to this question, we ask ESMA to treat BBA’s response as if it included the full text of AFME’s response.</w:t>
      </w:r>
    </w:p>
    <w:permEnd w:id="461334451"/>
    <w:p w:rsidR="00577C33" w:rsidRDefault="00577C33" w:rsidP="00EC2C93">
      <w:pPr>
        <w:keepNext/>
      </w:pPr>
      <w:r>
        <w:lastRenderedPageBreak/>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234B90" w:rsidRPr="00234B90" w:rsidRDefault="00234B90" w:rsidP="00234B90">
      <w:pPr>
        <w:pStyle w:val="CPQuestions"/>
        <w:numPr>
          <w:ilvl w:val="0"/>
          <w:numId w:val="0"/>
        </w:numPr>
        <w:rPr>
          <w:b w:val="0"/>
        </w:rPr>
      </w:pPr>
      <w:permStart w:id="26874410" w:edGrp="everyone"/>
      <w:r w:rsidRPr="00234B90">
        <w:rPr>
          <w:b w:val="0"/>
        </w:rPr>
        <w:t xml:space="preserve">BBA has participated in and supports the Association for Financial Markets in Europe’s response, in particular: </w:t>
      </w:r>
    </w:p>
    <w:p w:rsidR="00234B90" w:rsidRPr="00234B90" w:rsidRDefault="00234B90" w:rsidP="0017438A">
      <w:pPr>
        <w:pStyle w:val="CPQuestions"/>
        <w:numPr>
          <w:ilvl w:val="0"/>
          <w:numId w:val="29"/>
        </w:numPr>
        <w:rPr>
          <w:b w:val="0"/>
        </w:rPr>
      </w:pPr>
      <w:r w:rsidRPr="00234B90">
        <w:rPr>
          <w:b w:val="0"/>
        </w:rPr>
        <w:t>The need to take account of the circumstances of the firm, as well as the decision by the venue, in determining whether the firm is in ‘exceptional circumstances’</w:t>
      </w:r>
    </w:p>
    <w:p w:rsidR="00234B90" w:rsidRPr="00234B90" w:rsidRDefault="00234B90" w:rsidP="0017438A">
      <w:pPr>
        <w:pStyle w:val="CPQuestions"/>
        <w:numPr>
          <w:ilvl w:val="0"/>
          <w:numId w:val="29"/>
        </w:numPr>
        <w:rPr>
          <w:b w:val="0"/>
        </w:rPr>
      </w:pPr>
      <w:r w:rsidRPr="00234B90">
        <w:rPr>
          <w:b w:val="0"/>
        </w:rPr>
        <w:t>The need not to make public the occurrence of exceptional circumstances;</w:t>
      </w:r>
    </w:p>
    <w:p w:rsidR="00234B90" w:rsidRPr="00234B90" w:rsidRDefault="00234B90" w:rsidP="0017438A">
      <w:pPr>
        <w:pStyle w:val="CPQuestions"/>
        <w:numPr>
          <w:ilvl w:val="0"/>
          <w:numId w:val="29"/>
        </w:numPr>
        <w:rPr>
          <w:b w:val="0"/>
        </w:rPr>
      </w:pPr>
      <w:r w:rsidRPr="00234B90">
        <w:rPr>
          <w:b w:val="0"/>
        </w:rPr>
        <w:t xml:space="preserve">The need not to require firms to monitor the occurrence of exceptional circumstances; </w:t>
      </w:r>
    </w:p>
    <w:p w:rsidR="00234B90" w:rsidRPr="00234B90" w:rsidRDefault="00234B90" w:rsidP="0017438A">
      <w:pPr>
        <w:pStyle w:val="CPQuestions"/>
        <w:numPr>
          <w:ilvl w:val="0"/>
          <w:numId w:val="29"/>
        </w:numPr>
        <w:rPr>
          <w:b w:val="0"/>
        </w:rPr>
      </w:pPr>
      <w:r w:rsidRPr="00234B90">
        <w:rPr>
          <w:b w:val="0"/>
        </w:rPr>
        <w:t xml:space="preserve">The need to take account of IT disruptions. </w:t>
      </w:r>
    </w:p>
    <w:p w:rsidR="00234B90" w:rsidRDefault="00234B90" w:rsidP="00234B90">
      <w:pPr>
        <w:pStyle w:val="CPQuestions"/>
        <w:numPr>
          <w:ilvl w:val="0"/>
          <w:numId w:val="0"/>
        </w:numPr>
        <w:rPr>
          <w:szCs w:val="22"/>
        </w:rPr>
      </w:pPr>
      <w:r w:rsidRPr="00234B90">
        <w:rPr>
          <w:b w:val="0"/>
        </w:rPr>
        <w:t>In weighing responses to this question, we ask ESMA to treat BBA’s response as if it included the full text of AFME’s response</w:t>
      </w:r>
      <w:r>
        <w:rPr>
          <w:b w:val="0"/>
          <w:color w:val="FF0000"/>
        </w:rPr>
        <w:t>.</w:t>
      </w:r>
    </w:p>
    <w:permEnd w:id="26874410"/>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t>&lt;ESMA_QUESTION_CP_MIFID_108&gt;</w:t>
      </w:r>
    </w:p>
    <w:p w:rsidR="00234B90" w:rsidRPr="00234B90" w:rsidRDefault="00234B90" w:rsidP="00234B90">
      <w:pPr>
        <w:pStyle w:val="CPQuestions"/>
        <w:numPr>
          <w:ilvl w:val="0"/>
          <w:numId w:val="0"/>
        </w:numPr>
        <w:rPr>
          <w:b w:val="0"/>
        </w:rPr>
      </w:pPr>
      <w:permStart w:id="70654189" w:edGrp="everyone"/>
      <w:r w:rsidRPr="00234B90">
        <w:rPr>
          <w:b w:val="0"/>
        </w:rPr>
        <w:t xml:space="preserve">BBA has participated in and supports the Association for Financial Markets in Europe’s response, in particular as regards: </w:t>
      </w:r>
    </w:p>
    <w:p w:rsidR="00234B90" w:rsidRPr="00234B90" w:rsidRDefault="00234B90" w:rsidP="0017438A">
      <w:pPr>
        <w:pStyle w:val="CPQuestions"/>
        <w:numPr>
          <w:ilvl w:val="0"/>
          <w:numId w:val="30"/>
        </w:numPr>
        <w:rPr>
          <w:b w:val="0"/>
        </w:rPr>
      </w:pPr>
      <w:r w:rsidRPr="00234B90">
        <w:rPr>
          <w:b w:val="0"/>
        </w:rPr>
        <w:t xml:space="preserve">The need for a firm to be able to suspend in line with its own analysis and ability to continue with its market making strategy; </w:t>
      </w:r>
    </w:p>
    <w:p w:rsidR="00234B90" w:rsidRPr="00234B90" w:rsidRDefault="00234B90" w:rsidP="0017438A">
      <w:pPr>
        <w:pStyle w:val="CPQuestions"/>
        <w:numPr>
          <w:ilvl w:val="0"/>
          <w:numId w:val="30"/>
        </w:numPr>
        <w:rPr>
          <w:b w:val="0"/>
        </w:rPr>
      </w:pPr>
      <w:r w:rsidRPr="00234B90">
        <w:rPr>
          <w:b w:val="0"/>
        </w:rPr>
        <w:t xml:space="preserve">The need for a broader definition of ‘stressed market conditions’; </w:t>
      </w:r>
    </w:p>
    <w:p w:rsidR="00234B90" w:rsidRDefault="00234B90" w:rsidP="00234B90">
      <w:pPr>
        <w:pStyle w:val="CPQuestions"/>
        <w:numPr>
          <w:ilvl w:val="0"/>
          <w:numId w:val="0"/>
        </w:numPr>
        <w:rPr>
          <w:b w:val="0"/>
        </w:rPr>
      </w:pPr>
      <w:r w:rsidRPr="00234B90">
        <w:rPr>
          <w:b w:val="0"/>
        </w:rPr>
        <w:t>In weighing responses to this question, we ask ESMA to treat BBA’s response as if it included the full text of AFME’s response</w:t>
      </w:r>
      <w:r>
        <w:rPr>
          <w:b w:val="0"/>
          <w:color w:val="FF0000"/>
        </w:rPr>
        <w:t>.</w:t>
      </w:r>
    </w:p>
    <w:permEnd w:id="70654189"/>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2081506561" w:edGrp="everyone"/>
      <w:r>
        <w:t>TYPE YOUR TEXT HERE</w:t>
      </w:r>
    </w:p>
    <w:permEnd w:id="2081506561"/>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1315592319" w:edGrp="everyone"/>
      <w:r>
        <w:t>TYPE YOUR TEXT HERE</w:t>
      </w:r>
    </w:p>
    <w:permEnd w:id="1315592319"/>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lastRenderedPageBreak/>
        <w:t>&lt;ESMA_QUESTION_CP_MIFID_111&gt;</w:t>
      </w:r>
    </w:p>
    <w:p w:rsidR="00577C33" w:rsidRDefault="00577C33" w:rsidP="00EC2C93">
      <w:pPr>
        <w:keepNext/>
      </w:pPr>
      <w:permStart w:id="656478319" w:edGrp="everyone"/>
      <w:r>
        <w:t>TYPE YOUR TEXT HERE</w:t>
      </w:r>
    </w:p>
    <w:permEnd w:id="656478319"/>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817254826" w:edGrp="everyone"/>
      <w:r>
        <w:t>TYPE YOUR TEXT HERE</w:t>
      </w:r>
    </w:p>
    <w:permEnd w:id="817254826"/>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1927377333" w:edGrp="everyone"/>
      <w:r>
        <w:t>TYPE YOUR TEXT HERE</w:t>
      </w:r>
    </w:p>
    <w:permEnd w:id="1927377333"/>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1987772481" w:edGrp="everyone"/>
      <w:r>
        <w:t>TYPE YOUR TEXT HERE</w:t>
      </w:r>
    </w:p>
    <w:permEnd w:id="1987772481"/>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761474802" w:edGrp="everyone"/>
      <w:r>
        <w:t>TYPE YOUR TEXT HERE</w:t>
      </w:r>
    </w:p>
    <w:permEnd w:id="761474802"/>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t>&lt;ESMA_QUESTION_CP_MIFID_116&gt;</w:t>
      </w:r>
    </w:p>
    <w:p w:rsidR="00577C33" w:rsidRDefault="00577C33" w:rsidP="00EC2C93">
      <w:pPr>
        <w:keepNext/>
      </w:pPr>
      <w:permStart w:id="921662032" w:edGrp="everyone"/>
      <w:r>
        <w:t>TYPE YOUR TEXT HERE</w:t>
      </w:r>
    </w:p>
    <w:permEnd w:id="921662032"/>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1199779837" w:edGrp="everyone"/>
      <w:r>
        <w:t>TYPE YOUR TEXT HERE</w:t>
      </w:r>
    </w:p>
    <w:permEnd w:id="1199779837"/>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2131632639" w:edGrp="everyone"/>
      <w:r>
        <w:t>TYPE YOUR TEXT HERE</w:t>
      </w:r>
    </w:p>
    <w:permEnd w:id="2131632639"/>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lastRenderedPageBreak/>
        <w:t>&lt;ESMA_QUESTION_CP_MIFID_119&gt;</w:t>
      </w:r>
    </w:p>
    <w:p w:rsidR="00577C33" w:rsidRDefault="00577C33" w:rsidP="00EC2C93">
      <w:pPr>
        <w:keepNext/>
      </w:pPr>
      <w:permStart w:id="561321545" w:edGrp="everyone"/>
      <w:r>
        <w:t>TYPE YOUR TEXT HERE</w:t>
      </w:r>
    </w:p>
    <w:permEnd w:id="561321545"/>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1782132200" w:edGrp="everyone"/>
      <w:r>
        <w:t>TYPE YOUR TEXT HERE</w:t>
      </w:r>
    </w:p>
    <w:permEnd w:id="1782132200"/>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1924159816" w:edGrp="everyone"/>
      <w:r>
        <w:t>TYPE YOUR TEXT HERE</w:t>
      </w:r>
    </w:p>
    <w:permEnd w:id="1924159816"/>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1235881068" w:edGrp="everyone"/>
      <w:r>
        <w:t>TYPE YOUR TEXT HERE</w:t>
      </w:r>
    </w:p>
    <w:permEnd w:id="1235881068"/>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t>&lt;ESMA_QUESTION_CP_MIFID_123&gt;</w:t>
      </w:r>
    </w:p>
    <w:p w:rsidR="00577C33" w:rsidRDefault="00577C33" w:rsidP="00EC2C93">
      <w:pPr>
        <w:keepNext/>
      </w:pPr>
      <w:permStart w:id="541146917" w:edGrp="everyone"/>
      <w:r>
        <w:t>TYPE YOUR TEXT HERE</w:t>
      </w:r>
    </w:p>
    <w:permEnd w:id="541146917"/>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1094853835" w:edGrp="everyone"/>
      <w:r>
        <w:t>TYPE YOUR TEXT HERE</w:t>
      </w:r>
    </w:p>
    <w:permEnd w:id="1094853835"/>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1388131950" w:edGrp="everyone"/>
      <w:r>
        <w:t>TYPE YOUR TEXT HERE</w:t>
      </w:r>
    </w:p>
    <w:permEnd w:id="1388131950"/>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lastRenderedPageBreak/>
        <w:t>&lt;ESMA_QUESTION_CP_MIFID_126&gt;</w:t>
      </w:r>
    </w:p>
    <w:p w:rsidR="00577C33" w:rsidRDefault="00577C33" w:rsidP="00EC2C93">
      <w:pPr>
        <w:keepNext/>
      </w:pPr>
      <w:permStart w:id="793537877" w:edGrp="everyone"/>
      <w:r>
        <w:t>TYPE YOUR TEXT HERE</w:t>
      </w:r>
    </w:p>
    <w:permEnd w:id="793537877"/>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166278624" w:edGrp="everyone"/>
      <w:r>
        <w:t>TYPE YOUR TEXT HERE</w:t>
      </w:r>
    </w:p>
    <w:permEnd w:id="166278624"/>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709644193" w:edGrp="everyone"/>
      <w:r>
        <w:t>TYPE YOUR TEXT HERE</w:t>
      </w:r>
    </w:p>
    <w:permEnd w:id="709644193"/>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609841230" w:edGrp="everyone"/>
      <w:r>
        <w:t>TYPE YOUR TEXT HERE</w:t>
      </w:r>
    </w:p>
    <w:permEnd w:id="609841230"/>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t>&lt;ESMA_QUESTION_CP_MIFID_130&gt;</w:t>
      </w:r>
    </w:p>
    <w:p w:rsidR="00577C33" w:rsidRDefault="00577C33" w:rsidP="00EC2C93">
      <w:pPr>
        <w:keepNext/>
      </w:pPr>
      <w:permStart w:id="1646011459" w:edGrp="everyone"/>
      <w:r>
        <w:t>TYPE YOUR TEXT HERE</w:t>
      </w:r>
    </w:p>
    <w:permEnd w:id="1646011459"/>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572072502" w:edGrp="everyone"/>
      <w:r>
        <w:t>TYPE YOUR TEXT HERE</w:t>
      </w:r>
    </w:p>
    <w:permEnd w:id="572072502"/>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1464030822" w:edGrp="everyone"/>
      <w:r>
        <w:t>TYPE YOUR TEXT HERE</w:t>
      </w:r>
    </w:p>
    <w:permEnd w:id="1464030822"/>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1409509451" w:edGrp="everyone"/>
      <w:r>
        <w:t>TYPE YOUR TEXT HERE</w:t>
      </w:r>
    </w:p>
    <w:permEnd w:id="1409509451"/>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2" w:name="_Toc406692540"/>
      <w:bookmarkStart w:id="13" w:name="_Toc406692383"/>
      <w:bookmarkStart w:id="14" w:name="_Toc406691773"/>
      <w:r>
        <w:lastRenderedPageBreak/>
        <w:t>Data publication and access</w:t>
      </w:r>
      <w:bookmarkEnd w:id="12"/>
      <w:bookmarkEnd w:id="13"/>
      <w:bookmarkEnd w:id="14"/>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234B90" w:rsidRDefault="00234B90" w:rsidP="00234B90">
      <w:pPr>
        <w:pStyle w:val="CPQuestions"/>
        <w:numPr>
          <w:ilvl w:val="0"/>
          <w:numId w:val="0"/>
        </w:numPr>
        <w:rPr>
          <w:b w:val="0"/>
        </w:rPr>
      </w:pPr>
      <w:permStart w:id="572473819" w:edGrp="everyone"/>
      <w:r>
        <w:rPr>
          <w:b w:val="0"/>
        </w:rPr>
        <w:t xml:space="preserve">BBA supports the Association for Financial Markets in Europe’s agreement with ESMA’s proposal.  </w:t>
      </w:r>
      <w:r w:rsidRPr="00234B90">
        <w:rPr>
          <w:b w:val="0"/>
        </w:rPr>
        <w:t>In weighing responses to this question, we ask ESMA to treat BBA’s response as if it included the full text of AFME’s response</w:t>
      </w:r>
      <w:r>
        <w:rPr>
          <w:b w:val="0"/>
          <w:color w:val="FF0000"/>
        </w:rPr>
        <w:t>.</w:t>
      </w:r>
    </w:p>
    <w:permEnd w:id="572473819"/>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234B90" w:rsidRDefault="00234B90" w:rsidP="00234B90">
      <w:pPr>
        <w:pStyle w:val="CPQuestions"/>
        <w:numPr>
          <w:ilvl w:val="0"/>
          <w:numId w:val="0"/>
        </w:numPr>
        <w:rPr>
          <w:b w:val="0"/>
        </w:rPr>
      </w:pPr>
      <w:permStart w:id="2140359010" w:edGrp="everyone"/>
      <w:r w:rsidRPr="00234B90">
        <w:rPr>
          <w:b w:val="0"/>
        </w:rPr>
        <w:t>BBA supports the Association for Financial Markets in Europe’s agreement with ESMA’s proposal, and its call for consistency; between DRSP and investment firm obligations.  In weighing responses to this question, we ask ESMA to treat BBA’s response as if it included the full text of AFME’s response</w:t>
      </w:r>
      <w:r>
        <w:rPr>
          <w:b w:val="0"/>
          <w:color w:val="FF0000"/>
        </w:rPr>
        <w:t>.</w:t>
      </w:r>
    </w:p>
    <w:permEnd w:id="2140359010"/>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234B90" w:rsidRDefault="00234B90" w:rsidP="00234B90">
      <w:pPr>
        <w:pStyle w:val="CPQuestions"/>
        <w:numPr>
          <w:ilvl w:val="0"/>
          <w:numId w:val="0"/>
        </w:numPr>
        <w:rPr>
          <w:rFonts w:cs="Cambria"/>
          <w:b w:val="0"/>
          <w:color w:val="000000"/>
          <w:szCs w:val="22"/>
          <w:lang w:val="en-US"/>
        </w:rPr>
      </w:pPr>
      <w:permStart w:id="571344683" w:edGrp="everyone"/>
      <w:r>
        <w:rPr>
          <w:rFonts w:cs="Cambria"/>
          <w:b w:val="0"/>
          <w:color w:val="000000"/>
          <w:szCs w:val="22"/>
          <w:lang w:val="en-US"/>
        </w:rPr>
        <w:t>BBA supports the Association for Financial Markets in Europe’s call for consistency between DRSP and investment firm obligations</w:t>
      </w:r>
      <w:r w:rsidRPr="00234B90">
        <w:rPr>
          <w:rFonts w:cs="Cambria"/>
          <w:b w:val="0"/>
          <w:szCs w:val="22"/>
          <w:lang w:val="en-US"/>
        </w:rPr>
        <w:t xml:space="preserve">.  </w:t>
      </w:r>
      <w:r w:rsidRPr="00234B90">
        <w:rPr>
          <w:b w:val="0"/>
        </w:rPr>
        <w:t>In weighing responses to this question, we ask ESMA to treat BBA’s response as if it included the full text of AFME’s response.</w:t>
      </w:r>
    </w:p>
    <w:permEnd w:id="571344683"/>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234B90" w:rsidRPr="00234B90" w:rsidRDefault="00234B90" w:rsidP="00234B90">
      <w:pPr>
        <w:pStyle w:val="CPQuestions"/>
        <w:numPr>
          <w:ilvl w:val="0"/>
          <w:numId w:val="0"/>
        </w:numPr>
        <w:rPr>
          <w:b w:val="0"/>
        </w:rPr>
      </w:pPr>
      <w:permStart w:id="1537618842" w:edGrp="everyone"/>
      <w:r>
        <w:rPr>
          <w:b w:val="0"/>
        </w:rPr>
        <w:t>BBA supports the Association for Financial Markets in Europe’s concerns about ESMA’s proposals</w:t>
      </w:r>
      <w:r>
        <w:rPr>
          <w:b w:val="0"/>
          <w:highlight w:val="yellow"/>
        </w:rPr>
        <w:t>.</w:t>
      </w:r>
      <w:r>
        <w:rPr>
          <w:b w:val="0"/>
        </w:rPr>
        <w:t xml:space="preserve"> </w:t>
      </w:r>
      <w:r w:rsidRPr="00234B90">
        <w:rPr>
          <w:b w:val="0"/>
        </w:rPr>
        <w:t>In weighing responses to this question, we ask ESMA to treat BBA’s response as if it included the full text of AFME’s response.</w:t>
      </w:r>
    </w:p>
    <w:permEnd w:id="1537618842"/>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234B90" w:rsidRDefault="00234B90" w:rsidP="00234B90">
      <w:pPr>
        <w:pStyle w:val="CPQuestions"/>
        <w:numPr>
          <w:ilvl w:val="0"/>
          <w:numId w:val="0"/>
        </w:numPr>
        <w:rPr>
          <w:rFonts w:cs="Arial"/>
          <w:b w:val="0"/>
        </w:rPr>
      </w:pPr>
      <w:permStart w:id="1245199148" w:edGrp="everyone"/>
      <w:r>
        <w:rPr>
          <w:rFonts w:cs="Arial"/>
          <w:b w:val="0"/>
        </w:rPr>
        <w:t xml:space="preserve">BBA supports the Association for Financial Markets in Europe’s call for new venues to make data freely available, and its concerns about the operational burdens on CTPs.  </w:t>
      </w:r>
      <w:r w:rsidRPr="00234B90">
        <w:rPr>
          <w:b w:val="0"/>
        </w:rPr>
        <w:t>In weighing responses to this question, we ask ESMA to treat BBA’s response as if it included the full text of AFME’s response.</w:t>
      </w:r>
    </w:p>
    <w:permEnd w:id="1245199148"/>
    <w:p w:rsidR="00577C33" w:rsidRDefault="00577C33" w:rsidP="00EC2C93">
      <w:pPr>
        <w:keepNext/>
      </w:pPr>
      <w:r>
        <w:lastRenderedPageBreak/>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211C22" w:rsidP="00EC2C93">
      <w:pPr>
        <w:keepNext/>
      </w:pPr>
      <w:permStart w:id="72551971" w:edGrp="everyone"/>
      <w:r>
        <w:t xml:space="preserve">  </w:t>
      </w:r>
      <w:r w:rsidRPr="00211C22">
        <w:t>BBA supports the Association for Financial Markets in Europe’ call for a 3 month period for substantial changes, and its call for ‘free, non-proprietary, open standards’, rather than ‘free open source software’</w:t>
      </w:r>
      <w:r>
        <w:t xml:space="preserve">.  </w:t>
      </w:r>
      <w:r w:rsidRPr="00211C22">
        <w:t xml:space="preserve">In weighing responses to this question, we ask ESMA to treat BBA’s response as if it included the full text of AFME’s </w:t>
      </w:r>
      <w:proofErr w:type="gramStart"/>
      <w:r w:rsidRPr="00211C22">
        <w:t>response</w:t>
      </w:r>
      <w:r>
        <w:t xml:space="preserve">  </w:t>
      </w:r>
      <w:permEnd w:id="72551971"/>
      <w:r w:rsidR="00577C33">
        <w:t>&lt;</w:t>
      </w:r>
      <w:proofErr w:type="gramEnd"/>
      <w:r w:rsidR="00577C33">
        <w: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611583" w:rsidRDefault="00611583" w:rsidP="00611583">
      <w:pPr>
        <w:pStyle w:val="CPQuestions"/>
        <w:numPr>
          <w:ilvl w:val="0"/>
          <w:numId w:val="0"/>
        </w:numPr>
        <w:rPr>
          <w:rFonts w:cs="Arial"/>
          <w:b w:val="0"/>
        </w:rPr>
      </w:pPr>
      <w:permStart w:id="221586954" w:edGrp="everyone"/>
      <w:r>
        <w:rPr>
          <w:rFonts w:cs="Arial"/>
          <w:b w:val="0"/>
        </w:rPr>
        <w:t>BBA supports the Association for Financial Markets in Europe’s concerns on the practical im</w:t>
      </w:r>
      <w:r w:rsidRPr="00611583">
        <w:rPr>
          <w:rFonts w:cs="Arial"/>
          <w:b w:val="0"/>
        </w:rPr>
        <w:t xml:space="preserve">plications of allowing firms to report to more than one APA.  </w:t>
      </w:r>
      <w:r w:rsidRPr="00611583">
        <w:rPr>
          <w:b w:val="0"/>
        </w:rPr>
        <w:t>In weighing responses to this question, we ask ESMA to treat BBA’s response as if it included the full text of AFME’s response</w:t>
      </w:r>
      <w:r>
        <w:rPr>
          <w:b w:val="0"/>
          <w:color w:val="FF0000"/>
        </w:rPr>
        <w:t>.</w:t>
      </w:r>
    </w:p>
    <w:permEnd w:id="221586954"/>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t>&lt;ESMA_QUESTION_CP_MIFID_141&gt;</w:t>
      </w:r>
    </w:p>
    <w:p w:rsidR="00611583" w:rsidRDefault="00611583" w:rsidP="00611583">
      <w:pPr>
        <w:pStyle w:val="CPQuestions"/>
        <w:numPr>
          <w:ilvl w:val="0"/>
          <w:numId w:val="0"/>
        </w:numPr>
        <w:rPr>
          <w:rFonts w:cs="Arial"/>
          <w:b w:val="0"/>
        </w:rPr>
      </w:pPr>
      <w:permStart w:id="1536320010" w:edGrp="everyone"/>
      <w:r>
        <w:rPr>
          <w:rFonts w:cs="Arial"/>
          <w:b w:val="0"/>
        </w:rPr>
        <w:t>BBA supports the Association for Financial Markets in Europe’s call for only APAs to assign trade IDs.</w:t>
      </w:r>
    </w:p>
    <w:permEnd w:id="1536320010"/>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611583" w:rsidRDefault="00611583" w:rsidP="00611583">
      <w:pPr>
        <w:pStyle w:val="CPQuestions"/>
        <w:numPr>
          <w:ilvl w:val="0"/>
          <w:numId w:val="0"/>
        </w:numPr>
        <w:rPr>
          <w:rFonts w:cs="Arial"/>
          <w:b w:val="0"/>
          <w:bCs/>
          <w:szCs w:val="22"/>
        </w:rPr>
      </w:pPr>
      <w:permStart w:id="1980181099" w:edGrp="everyone"/>
      <w:r>
        <w:rPr>
          <w:rFonts w:cs="Arial"/>
          <w:b w:val="0"/>
          <w:bCs/>
          <w:szCs w:val="22"/>
        </w:rPr>
        <w:t xml:space="preserve">BBA agrees with the Association for Financial Markets in Europe that APA publication and the actual execution times are sufficient.  </w:t>
      </w:r>
    </w:p>
    <w:permEnd w:id="1980181099"/>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611583" w:rsidRDefault="00611583" w:rsidP="00611583">
      <w:pPr>
        <w:pStyle w:val="CPQuestions"/>
        <w:numPr>
          <w:ilvl w:val="0"/>
          <w:numId w:val="0"/>
        </w:numPr>
        <w:rPr>
          <w:rFonts w:cs="Arial"/>
          <w:b w:val="0"/>
        </w:rPr>
      </w:pPr>
      <w:permStart w:id="1441153103" w:edGrp="everyone"/>
      <w:r>
        <w:rPr>
          <w:rFonts w:cs="Arial"/>
          <w:b w:val="0"/>
        </w:rPr>
        <w:t>BBA agrees with the Association for Financial Markets in Europe’s comments on the need for unambiguous trade sequencing</w:t>
      </w:r>
      <w:r w:rsidRPr="00611583">
        <w:rPr>
          <w:rFonts w:cs="Arial"/>
          <w:b w:val="0"/>
        </w:rPr>
        <w:t xml:space="preserve">.  </w:t>
      </w:r>
      <w:r w:rsidRPr="00611583">
        <w:rPr>
          <w:b w:val="0"/>
        </w:rPr>
        <w:t>In weighing responses to this question, we ask ESMA to treat BBA’s response as if it included the full text of AFME’s response.</w:t>
      </w:r>
    </w:p>
    <w:permEnd w:id="1441153103"/>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lastRenderedPageBreak/>
        <w:t>&lt;ESMA_QUESTION_CP_MIFID_144&gt;</w:t>
      </w:r>
    </w:p>
    <w:p w:rsidR="007575D2" w:rsidRDefault="007575D2" w:rsidP="007575D2">
      <w:pPr>
        <w:pStyle w:val="CPQuestions"/>
        <w:numPr>
          <w:ilvl w:val="0"/>
          <w:numId w:val="0"/>
        </w:numPr>
        <w:rPr>
          <w:rFonts w:cs="Arial"/>
          <w:b w:val="0"/>
          <w:bCs/>
          <w:szCs w:val="22"/>
        </w:rPr>
      </w:pPr>
      <w:permStart w:id="1594174028" w:edGrp="everyone"/>
      <w:r>
        <w:rPr>
          <w:rFonts w:cs="Arial"/>
          <w:b w:val="0"/>
          <w:bCs/>
          <w:szCs w:val="22"/>
        </w:rPr>
        <w:t>BBA agrees with the Association for Financial Markets in Europe’s call for both the venue and the APA to be identified in the trade report.</w:t>
      </w:r>
    </w:p>
    <w:permEnd w:id="1594174028"/>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7575D2" w:rsidRDefault="007575D2" w:rsidP="007575D2">
      <w:pPr>
        <w:pStyle w:val="CPQuestions"/>
        <w:numPr>
          <w:ilvl w:val="0"/>
          <w:numId w:val="0"/>
        </w:numPr>
        <w:rPr>
          <w:rFonts w:cs="Arial"/>
          <w:b w:val="0"/>
          <w:bCs/>
          <w:szCs w:val="22"/>
        </w:rPr>
      </w:pPr>
      <w:permStart w:id="2053180502" w:edGrp="everyone"/>
      <w:r>
        <w:rPr>
          <w:rFonts w:cs="Arial"/>
          <w:b w:val="0"/>
        </w:rPr>
        <w:t xml:space="preserve">BBA supports the Association for Financial Markets in Europe’s call for separation of auction data from continuous trading data for equities.  </w:t>
      </w:r>
    </w:p>
    <w:permEnd w:id="2053180502"/>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B208BD" w:rsidRPr="00B208BD" w:rsidRDefault="00B208BD" w:rsidP="00B208BD">
      <w:pPr>
        <w:pStyle w:val="CPQuestions"/>
        <w:numPr>
          <w:ilvl w:val="0"/>
          <w:numId w:val="0"/>
        </w:numPr>
        <w:rPr>
          <w:b w:val="0"/>
        </w:rPr>
      </w:pPr>
      <w:permStart w:id="599662754" w:edGrp="everyone"/>
      <w:r>
        <w:rPr>
          <w:b w:val="0"/>
        </w:rPr>
        <w:t>BBA has participated in and supports the Association for Financial Markets in Europe’s response, and its concerns, and proposed amendments, to clarify the hierarchy of responsibility for trade reporting, and to ensure the quality of information reported</w:t>
      </w:r>
      <w:r w:rsidRPr="00B208BD">
        <w:rPr>
          <w:b w:val="0"/>
        </w:rPr>
        <w:t>. In weighing responses to this question, we ask ESMA to treat BBA’s response as if it included the full text of AFME’s response.</w:t>
      </w:r>
    </w:p>
    <w:permEnd w:id="599662754"/>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B208BD" w:rsidRDefault="00B208BD" w:rsidP="00EC2C93">
      <w:pPr>
        <w:keepNext/>
      </w:pPr>
      <w:permStart w:id="1388469099" w:edGrp="everyone"/>
      <w:r>
        <w:t>BBA has participated in and supports the Association for Financial Markets in Europe’s response, and its concerns, and proposed amendments, to clarify the hierarchy of responsibility for trade reporting, and to ensure the quality of information reported.</w:t>
      </w:r>
      <w:r>
        <w:rPr>
          <w:color w:val="FF0000"/>
        </w:rPr>
        <w:t xml:space="preserve"> </w:t>
      </w:r>
      <w:r w:rsidRPr="00B208BD">
        <w:t>In weighing responses to this question, we ask ESMA to treat BBA’s response as if it included the full text of AFME’s response</w:t>
      </w:r>
    </w:p>
    <w:permEnd w:id="1388469099"/>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t>&lt;ESMA_QUESTION_CP_MIFID_148&gt;</w:t>
      </w:r>
    </w:p>
    <w:p w:rsidR="007F6F2E" w:rsidRPr="007F6F2E" w:rsidRDefault="007F6F2E" w:rsidP="007F6F2E">
      <w:pPr>
        <w:spacing w:line="240" w:lineRule="auto"/>
        <w:rPr>
          <w:szCs w:val="22"/>
        </w:rPr>
      </w:pPr>
      <w:permStart w:id="1259548856" w:edGrp="everyone"/>
      <w:r w:rsidRPr="007F6F2E">
        <w:rPr>
          <w:szCs w:val="22"/>
        </w:rPr>
        <w:t xml:space="preserve">BBA has participated in and supports the Association for Financial Markets in Europe’s response, and its: </w:t>
      </w:r>
    </w:p>
    <w:p w:rsidR="007F6F2E" w:rsidRPr="007F6F2E" w:rsidRDefault="007F6F2E" w:rsidP="0017438A">
      <w:pPr>
        <w:pStyle w:val="ListParagraph"/>
        <w:numPr>
          <w:ilvl w:val="0"/>
          <w:numId w:val="31"/>
        </w:numPr>
        <w:spacing w:line="240" w:lineRule="auto"/>
        <w:contextualSpacing/>
        <w:jc w:val="left"/>
        <w:rPr>
          <w:rFonts w:ascii="Arial" w:hAnsi="Arial" w:cs="Arial"/>
          <w:szCs w:val="22"/>
        </w:rPr>
      </w:pPr>
      <w:r w:rsidRPr="007F6F2E">
        <w:rPr>
          <w:rFonts w:ascii="Arial" w:hAnsi="Arial" w:cs="Arial"/>
          <w:szCs w:val="22"/>
        </w:rPr>
        <w:t>Support for access between trading venues and CCPs;</w:t>
      </w:r>
    </w:p>
    <w:p w:rsidR="007F6F2E" w:rsidRPr="007F6F2E" w:rsidRDefault="007F6F2E" w:rsidP="0017438A">
      <w:pPr>
        <w:pStyle w:val="ListParagraph"/>
        <w:numPr>
          <w:ilvl w:val="0"/>
          <w:numId w:val="31"/>
        </w:numPr>
        <w:spacing w:line="240" w:lineRule="auto"/>
        <w:contextualSpacing/>
        <w:jc w:val="left"/>
        <w:rPr>
          <w:rFonts w:ascii="Arial" w:hAnsi="Arial" w:cs="Arial"/>
          <w:szCs w:val="22"/>
        </w:rPr>
      </w:pPr>
      <w:r w:rsidRPr="007F6F2E">
        <w:rPr>
          <w:rFonts w:ascii="Arial" w:hAnsi="Arial" w:cs="Arial"/>
          <w:szCs w:val="22"/>
        </w:rPr>
        <w:t>Expectation that CCPs should be able to handle the incremental volumes created by a new trading venue, and not seek to avoid competition;</w:t>
      </w:r>
    </w:p>
    <w:p w:rsidR="007F6F2E" w:rsidRPr="007F6F2E" w:rsidRDefault="007F6F2E" w:rsidP="0017438A">
      <w:pPr>
        <w:pStyle w:val="ListParagraph"/>
        <w:numPr>
          <w:ilvl w:val="0"/>
          <w:numId w:val="31"/>
        </w:numPr>
        <w:spacing w:line="240" w:lineRule="auto"/>
        <w:contextualSpacing/>
        <w:jc w:val="left"/>
        <w:rPr>
          <w:rFonts w:ascii="Arial" w:hAnsi="Arial" w:cs="Arial"/>
          <w:szCs w:val="22"/>
        </w:rPr>
      </w:pPr>
      <w:r w:rsidRPr="007F6F2E">
        <w:rPr>
          <w:rFonts w:ascii="Arial" w:hAnsi="Arial" w:cs="Arial"/>
          <w:szCs w:val="22"/>
        </w:rPr>
        <w:t xml:space="preserve">Analysis that incompatibility of trading venue and IT systems is not an issue for operational risk / complexity; </w:t>
      </w:r>
    </w:p>
    <w:p w:rsidR="007F6F2E" w:rsidRPr="007F6F2E" w:rsidRDefault="007F6F2E" w:rsidP="0017438A">
      <w:pPr>
        <w:pStyle w:val="ListParagraph"/>
        <w:numPr>
          <w:ilvl w:val="0"/>
          <w:numId w:val="31"/>
        </w:numPr>
        <w:spacing w:line="240" w:lineRule="auto"/>
        <w:contextualSpacing/>
        <w:jc w:val="left"/>
        <w:rPr>
          <w:rFonts w:ascii="Arial" w:hAnsi="Arial" w:cs="Arial"/>
          <w:szCs w:val="22"/>
        </w:rPr>
      </w:pPr>
      <w:r w:rsidRPr="007F6F2E">
        <w:rPr>
          <w:rFonts w:ascii="Arial" w:hAnsi="Arial" w:cs="Arial"/>
          <w:szCs w:val="22"/>
        </w:rPr>
        <w:t xml:space="preserve">Call for clarity on which insolvency law / default procedure applies if the trading venue and CCP are in different jurisdictions. </w:t>
      </w:r>
    </w:p>
    <w:p w:rsidR="007F6F2E" w:rsidRPr="007F6F2E" w:rsidRDefault="007F6F2E" w:rsidP="007F6F2E">
      <w:pPr>
        <w:spacing w:line="240" w:lineRule="auto"/>
        <w:rPr>
          <w:rFonts w:ascii="Arial" w:hAnsi="Arial" w:cs="Arial"/>
          <w:b/>
          <w:szCs w:val="22"/>
        </w:rPr>
      </w:pPr>
    </w:p>
    <w:p w:rsidR="007F6F2E" w:rsidRPr="007F6F2E" w:rsidRDefault="007F6F2E" w:rsidP="007F6F2E">
      <w:pPr>
        <w:spacing w:line="240" w:lineRule="auto"/>
        <w:rPr>
          <w:b/>
          <w:szCs w:val="22"/>
        </w:rPr>
      </w:pPr>
    </w:p>
    <w:p w:rsidR="007F6F2E" w:rsidRPr="007F6F2E" w:rsidRDefault="007F6F2E" w:rsidP="007F6F2E">
      <w:pPr>
        <w:spacing w:line="240" w:lineRule="auto"/>
      </w:pPr>
      <w:r w:rsidRPr="007F6F2E">
        <w:rPr>
          <w:szCs w:val="22"/>
        </w:rPr>
        <w:lastRenderedPageBreak/>
        <w:t>In weighing responses to this question, we ask ESMA to treat BBA’s response as if it included the full text of AFME’s response</w:t>
      </w:r>
      <w:r w:rsidRPr="007F6F2E">
        <w:t>.</w:t>
      </w:r>
    </w:p>
    <w:permEnd w:id="1259548856"/>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7F6F2E" w:rsidRPr="007F6F2E" w:rsidRDefault="007F6F2E" w:rsidP="007F6F2E">
      <w:pPr>
        <w:pStyle w:val="CPQuestions"/>
        <w:numPr>
          <w:ilvl w:val="0"/>
          <w:numId w:val="0"/>
        </w:numPr>
        <w:rPr>
          <w:b w:val="0"/>
        </w:rPr>
      </w:pPr>
      <w:permStart w:id="628577733" w:edGrp="everyone"/>
      <w:r w:rsidRPr="007F6F2E">
        <w:rPr>
          <w:b w:val="0"/>
        </w:rPr>
        <w:t>BBA has participated in and supports the Association for Financial Markets in Europe’s response, and its recommendations to enhance the effectiveness of MIFID provisions on access to CCP and venues, in particular its call for clarity of clarity of interpretation of, and controls over, the ability to deny access on grounds of</w:t>
      </w:r>
    </w:p>
    <w:p w:rsidR="007F6F2E" w:rsidRPr="007F6F2E" w:rsidRDefault="007F6F2E" w:rsidP="0017438A">
      <w:pPr>
        <w:pStyle w:val="CPQuestions"/>
        <w:numPr>
          <w:ilvl w:val="0"/>
          <w:numId w:val="32"/>
        </w:numPr>
        <w:rPr>
          <w:b w:val="0"/>
        </w:rPr>
      </w:pPr>
      <w:r w:rsidRPr="007F6F2E">
        <w:rPr>
          <w:b w:val="0"/>
        </w:rPr>
        <w:t xml:space="preserve">IT incompatibility; </w:t>
      </w:r>
    </w:p>
    <w:p w:rsidR="007F6F2E" w:rsidRPr="007F6F2E" w:rsidRDefault="007F6F2E" w:rsidP="0017438A">
      <w:pPr>
        <w:pStyle w:val="CPQuestions"/>
        <w:numPr>
          <w:ilvl w:val="0"/>
          <w:numId w:val="32"/>
        </w:numPr>
        <w:rPr>
          <w:b w:val="0"/>
        </w:rPr>
      </w:pPr>
      <w:r w:rsidRPr="007F6F2E">
        <w:rPr>
          <w:b w:val="0"/>
        </w:rPr>
        <w:t>Threat to the viability or minimum capital requirements of a trading venue;</w:t>
      </w:r>
    </w:p>
    <w:p w:rsidR="007F6F2E" w:rsidRPr="007F6F2E" w:rsidRDefault="007F6F2E" w:rsidP="0017438A">
      <w:pPr>
        <w:pStyle w:val="CPQuestions"/>
        <w:numPr>
          <w:ilvl w:val="0"/>
          <w:numId w:val="32"/>
        </w:numPr>
        <w:rPr>
          <w:b w:val="0"/>
        </w:rPr>
      </w:pPr>
      <w:r w:rsidRPr="007F6F2E">
        <w:rPr>
          <w:b w:val="0"/>
        </w:rPr>
        <w:t xml:space="preserve">Incompatibility of infrastructure;  </w:t>
      </w:r>
    </w:p>
    <w:p w:rsidR="007F6F2E" w:rsidRPr="007F6F2E" w:rsidRDefault="007F6F2E" w:rsidP="0017438A">
      <w:pPr>
        <w:pStyle w:val="CPQuestions"/>
        <w:numPr>
          <w:ilvl w:val="0"/>
          <w:numId w:val="32"/>
        </w:numPr>
        <w:rPr>
          <w:b w:val="0"/>
        </w:rPr>
      </w:pPr>
      <w:r w:rsidRPr="007F6F2E">
        <w:rPr>
          <w:b w:val="0"/>
        </w:rPr>
        <w:t>Clearing of products outside a CCP’s EMIR authorisation.</w:t>
      </w:r>
    </w:p>
    <w:p w:rsidR="007F6F2E" w:rsidRDefault="007F6F2E" w:rsidP="007F6F2E">
      <w:pPr>
        <w:spacing w:line="240" w:lineRule="auto"/>
      </w:pPr>
      <w:r w:rsidRPr="007F6F2E">
        <w:t>In weighing responses to this question, we ask ESMA to treat BBA’s response as if it included the full text of AFME’s response</w:t>
      </w:r>
      <w:r>
        <w:rPr>
          <w:color w:val="FF0000"/>
        </w:rPr>
        <w:t>.</w:t>
      </w:r>
    </w:p>
    <w:permEnd w:id="628577733"/>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817F68" w:rsidRPr="00817F68" w:rsidRDefault="00817F68" w:rsidP="00817F68">
      <w:pPr>
        <w:spacing w:line="240" w:lineRule="auto"/>
      </w:pPr>
      <w:permStart w:id="1574729594" w:edGrp="everyone"/>
      <w:r>
        <w:rPr>
          <w:szCs w:val="22"/>
        </w:rPr>
        <w:t xml:space="preserve">BBA has </w:t>
      </w:r>
      <w:r w:rsidRPr="00817F68">
        <w:rPr>
          <w:szCs w:val="22"/>
        </w:rPr>
        <w:t>participated in and supports the Association for Financial Markets in Europe’s response.</w:t>
      </w:r>
      <w:r w:rsidRPr="00817F68">
        <w:rPr>
          <w:bCs/>
          <w:szCs w:val="22"/>
        </w:rPr>
        <w:t xml:space="preserve"> </w:t>
      </w:r>
      <w:r w:rsidRPr="00817F68">
        <w:t>In weighing responses to this question, we ask ESMA to treat BBA’s response as if it included the full text of AFME’s response</w:t>
      </w:r>
      <w:r>
        <w:rPr>
          <w:color w:val="FF0000"/>
        </w:rPr>
        <w:t>.</w:t>
      </w:r>
    </w:p>
    <w:permEnd w:id="1574729594"/>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924236" w:rsidRDefault="00924236" w:rsidP="00924236">
      <w:pPr>
        <w:spacing w:line="240" w:lineRule="auto"/>
        <w:rPr>
          <w:rFonts w:ascii="Arial" w:hAnsi="Arial" w:cs="Arial"/>
          <w:szCs w:val="24"/>
        </w:rPr>
      </w:pPr>
      <w:permStart w:id="102005180" w:edGrp="everyone"/>
      <w:r>
        <w:rPr>
          <w:szCs w:val="22"/>
        </w:rPr>
        <w:t>BBA has participated in and supports the Association for Financial Markets in Europe’s response.</w:t>
      </w:r>
      <w:r>
        <w:rPr>
          <w:rFonts w:asciiTheme="majorHAnsi" w:hAnsiTheme="majorHAnsi"/>
          <w:color w:val="0070C0"/>
          <w:szCs w:val="22"/>
        </w:rPr>
        <w:t xml:space="preserve"> </w:t>
      </w:r>
      <w:r w:rsidRPr="00924236">
        <w:t>In weighing responses to this question, we ask ESMA to treat BBA’s response as if it included the full text of AFME’s response</w:t>
      </w:r>
      <w:r>
        <w:rPr>
          <w:color w:val="FF0000"/>
        </w:rPr>
        <w:t>.</w:t>
      </w:r>
    </w:p>
    <w:permEnd w:id="102005180"/>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924236" w:rsidRDefault="00924236" w:rsidP="00924236">
      <w:pPr>
        <w:pStyle w:val="Default"/>
        <w:spacing w:after="305"/>
        <w:jc w:val="both"/>
        <w:rPr>
          <w:rFonts w:ascii="Arial" w:hAnsi="Arial" w:cs="Arial"/>
          <w:sz w:val="22"/>
          <w:szCs w:val="22"/>
        </w:rPr>
      </w:pPr>
      <w:permStart w:id="1624269485" w:edGrp="everyone"/>
    </w:p>
    <w:p w:rsidR="00924236" w:rsidRDefault="00924236" w:rsidP="00924236">
      <w:pPr>
        <w:spacing w:line="240" w:lineRule="auto"/>
        <w:rPr>
          <w:rFonts w:ascii="Arial" w:hAnsi="Arial" w:cs="Arial"/>
          <w:szCs w:val="24"/>
        </w:rPr>
      </w:pPr>
      <w:r>
        <w:rPr>
          <w:szCs w:val="22"/>
        </w:rPr>
        <w:t xml:space="preserve">BBA has participated in and supports the Association for Financial Markets in Europe’s response. </w:t>
      </w:r>
      <w:r>
        <w:rPr>
          <w:color w:val="FF0000"/>
        </w:rPr>
        <w:t xml:space="preserve"> </w:t>
      </w:r>
      <w:r w:rsidRPr="00924236">
        <w:t>In weighing responses to this question, we ask ESMA to treat BBA’s response as if it included the full text of AFME’s response</w:t>
      </w:r>
      <w:r>
        <w:rPr>
          <w:color w:val="FF0000"/>
        </w:rPr>
        <w:t>.</w:t>
      </w:r>
    </w:p>
    <w:permEnd w:id="1624269485"/>
    <w:p w:rsidR="00577C33" w:rsidRDefault="00577C33" w:rsidP="00EC2C93">
      <w:pPr>
        <w:keepNext/>
      </w:pPr>
      <w:r>
        <w:lastRenderedPageBreak/>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924236" w:rsidRDefault="00924236" w:rsidP="00924236">
      <w:pPr>
        <w:spacing w:line="240" w:lineRule="auto"/>
      </w:pPr>
      <w:permStart w:id="1098536746" w:edGrp="everyone"/>
      <w:r>
        <w:rPr>
          <w:szCs w:val="22"/>
        </w:rPr>
        <w:t xml:space="preserve">BBA has participated in and supports the Association for Financial Markets in Europe’s </w:t>
      </w:r>
      <w:r w:rsidRPr="00924236">
        <w:rPr>
          <w:szCs w:val="22"/>
        </w:rPr>
        <w:t xml:space="preserve">response.   </w:t>
      </w:r>
      <w:r w:rsidRPr="00924236">
        <w:t>In weighing responses to this question, we ask ESMA to treat BBA’s response as if it included the full text of AFME’s response.</w:t>
      </w:r>
    </w:p>
    <w:permEnd w:id="1098536746"/>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750A88" w:rsidRDefault="00750A88" w:rsidP="00750A88">
      <w:pPr>
        <w:spacing w:line="240" w:lineRule="auto"/>
      </w:pPr>
      <w:permStart w:id="39589535" w:edGrp="everyone"/>
      <w:r>
        <w:t xml:space="preserve">BBA has </w:t>
      </w:r>
      <w:r w:rsidRPr="00750A88">
        <w:t>participated in and supports the Association for Financial Markets in Europe’s response.  In weighing responses to this question, we ask ESMA to treat BBA’s response as if it included the full text of AFME’s response.</w:t>
      </w:r>
    </w:p>
    <w:permEnd w:id="39589535"/>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t>&lt;ESMA_QUESTION_CP_MIFID_155&gt;</w:t>
      </w:r>
    </w:p>
    <w:p w:rsidR="009175A8" w:rsidRDefault="009175A8" w:rsidP="009175A8">
      <w:pPr>
        <w:spacing w:line="240" w:lineRule="auto"/>
      </w:pPr>
      <w:permStart w:id="902245586" w:edGrp="everyone"/>
      <w:r>
        <w:rPr>
          <w:sz w:val="24"/>
        </w:rPr>
        <w:t>BBA has participated in and supports the Association for Financial Markets in Europe’s response</w:t>
      </w:r>
      <w:r w:rsidRPr="009175A8">
        <w:rPr>
          <w:sz w:val="24"/>
        </w:rPr>
        <w:t xml:space="preserve">.  </w:t>
      </w:r>
      <w:r w:rsidRPr="009175A8">
        <w:t>In weighing responses to this question, we ask ESMA to treat BBA’s response as if it included the full text of AFME’s response</w:t>
      </w:r>
      <w:r>
        <w:rPr>
          <w:color w:val="FF0000"/>
        </w:rPr>
        <w:t>.</w:t>
      </w:r>
    </w:p>
    <w:permEnd w:id="902245586"/>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606951096" w:edGrp="everyone"/>
      <w:r>
        <w:t>TYPE YOUR TEXT HERE</w:t>
      </w:r>
    </w:p>
    <w:permEnd w:id="606951096"/>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715422105" w:edGrp="everyone"/>
      <w:r>
        <w:t>TYPE YOUR TEXT HERE</w:t>
      </w:r>
    </w:p>
    <w:permEnd w:id="715422105"/>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677191135" w:edGrp="everyone"/>
      <w:r>
        <w:t>TYPE YOUR TEXT HERE</w:t>
      </w:r>
    </w:p>
    <w:permEnd w:id="677191135"/>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lastRenderedPageBreak/>
        <w:t>&lt;ESMA_QUESTION_CP_MIFID_159&gt;</w:t>
      </w:r>
    </w:p>
    <w:p w:rsidR="00577C33" w:rsidRDefault="00577C33" w:rsidP="00EC2C93">
      <w:pPr>
        <w:keepNext/>
      </w:pPr>
      <w:permStart w:id="1312499172" w:edGrp="everyone"/>
      <w:r>
        <w:t>TYPE YOUR TEXT HERE</w:t>
      </w:r>
    </w:p>
    <w:permEnd w:id="1312499172"/>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5" w:name="_Toc406692563"/>
      <w:bookmarkStart w:id="16" w:name="_Toc406692406"/>
      <w:bookmarkStart w:id="17" w:name="_Toc406691796"/>
      <w:r>
        <w:lastRenderedPageBreak/>
        <w:t>Requirements applying on and to trading venues</w:t>
      </w:r>
      <w:bookmarkEnd w:id="15"/>
      <w:bookmarkEnd w:id="16"/>
      <w:bookmarkEnd w:id="17"/>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1809219188" w:edGrp="everyone"/>
      <w:r>
        <w:t>TYPE YOUR TEXT HERE</w:t>
      </w:r>
    </w:p>
    <w:permEnd w:id="1809219188"/>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523977409" w:edGrp="everyone"/>
      <w:r>
        <w:t>TYPE YOUR TEXT HERE</w:t>
      </w:r>
    </w:p>
    <w:permEnd w:id="523977409"/>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841301840" w:edGrp="everyone"/>
      <w:r>
        <w:t>TYPE YOUR TEXT HERE</w:t>
      </w:r>
    </w:p>
    <w:permEnd w:id="841301840"/>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381640737" w:edGrp="everyone"/>
      <w:r>
        <w:t>TYPE YOUR TEXT HERE</w:t>
      </w:r>
    </w:p>
    <w:permEnd w:id="381640737"/>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1214791729" w:edGrp="everyone"/>
      <w:r>
        <w:t>TYPE YOUR TEXT HERE</w:t>
      </w:r>
    </w:p>
    <w:permEnd w:id="1214791729"/>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2039577604" w:edGrp="everyone"/>
      <w:r>
        <w:t>TYPE YOUR TEXT HERE</w:t>
      </w:r>
    </w:p>
    <w:permEnd w:id="2039577604"/>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1310029336" w:edGrp="everyone"/>
      <w:r>
        <w:t>TYPE YOUR TEXT HERE</w:t>
      </w:r>
    </w:p>
    <w:permEnd w:id="1310029336"/>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577C33" w:rsidRDefault="00577C33" w:rsidP="00EC2C93">
      <w:pPr>
        <w:keepNext/>
      </w:pPr>
      <w:permStart w:id="704524185" w:edGrp="everyone"/>
      <w:r>
        <w:t>TYPE YOUR TEXT HERE</w:t>
      </w:r>
    </w:p>
    <w:permEnd w:id="704524185"/>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8" w:name="_Toc406692567"/>
      <w:bookmarkStart w:id="19" w:name="_Toc406692410"/>
      <w:bookmarkStart w:id="20" w:name="_Toc406691800"/>
      <w:r>
        <w:lastRenderedPageBreak/>
        <w:t>Commodity derivatives</w:t>
      </w:r>
      <w:bookmarkEnd w:id="18"/>
      <w:bookmarkEnd w:id="19"/>
      <w:bookmarkEnd w:id="20"/>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577C33" w:rsidRDefault="00577C33" w:rsidP="00EC2C93">
      <w:pPr>
        <w:keepNext/>
      </w:pPr>
      <w:permStart w:id="224995086" w:edGrp="everyone"/>
      <w:r>
        <w:t>TYPE YOUR TEXT HERE</w:t>
      </w:r>
    </w:p>
    <w:permEnd w:id="224995086"/>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577C33" w:rsidP="00EC2C93">
      <w:pPr>
        <w:keepNext/>
      </w:pPr>
      <w:permStart w:id="328737280" w:edGrp="everyone"/>
      <w:r>
        <w:t>TYPE YOUR TEXT HERE</w:t>
      </w:r>
    </w:p>
    <w:permEnd w:id="328737280"/>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577C33" w:rsidP="00EC2C93">
      <w:pPr>
        <w:keepNext/>
      </w:pPr>
      <w:permStart w:id="577591472" w:edGrp="everyone"/>
      <w:r>
        <w:t>TYPE YOUR TEXT HERE</w:t>
      </w:r>
    </w:p>
    <w:permEnd w:id="577591472"/>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577C33" w:rsidP="00EC2C93">
      <w:pPr>
        <w:keepNext/>
      </w:pPr>
      <w:permStart w:id="1080127500" w:edGrp="everyone"/>
      <w:r>
        <w:t>TYPE YOUR TEXT HERE</w:t>
      </w:r>
    </w:p>
    <w:permEnd w:id="1080127500"/>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577C33" w:rsidP="00EC2C93">
      <w:pPr>
        <w:keepNext/>
      </w:pPr>
      <w:permStart w:id="1435174023" w:edGrp="everyone"/>
      <w:r>
        <w:t>TYPE YOUR TEXT HERE</w:t>
      </w:r>
    </w:p>
    <w:permEnd w:id="1435174023"/>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577C33" w:rsidRDefault="00577C33" w:rsidP="00EC2C93">
      <w:pPr>
        <w:keepNext/>
      </w:pPr>
      <w:permStart w:id="2048488782" w:edGrp="everyone"/>
      <w:r>
        <w:t>TYPE YOUR TEXT HERE</w:t>
      </w:r>
    </w:p>
    <w:permEnd w:id="2048488782"/>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lastRenderedPageBreak/>
        <w:t>&lt;ESMA_QUESTION_CP_MIFID_174&gt;</w:t>
      </w:r>
    </w:p>
    <w:p w:rsidR="00577C33" w:rsidRDefault="00577C33" w:rsidP="00EC2C93">
      <w:pPr>
        <w:keepNext/>
      </w:pPr>
      <w:permStart w:id="1434802634" w:edGrp="everyone"/>
      <w:r>
        <w:t>TYPE YOUR TEXT HERE</w:t>
      </w:r>
    </w:p>
    <w:permEnd w:id="1434802634"/>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1032455836" w:edGrp="everyone"/>
      <w:r>
        <w:t>TYPE YOUR TEXT HERE</w:t>
      </w:r>
    </w:p>
    <w:permEnd w:id="1032455836"/>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577C33" w:rsidRDefault="00577C33" w:rsidP="00EC2C93">
      <w:pPr>
        <w:keepNext/>
      </w:pPr>
      <w:permStart w:id="839259318" w:edGrp="everyone"/>
      <w:r>
        <w:t>TYPE YOUR TEXT HERE</w:t>
      </w:r>
    </w:p>
    <w:permEnd w:id="839259318"/>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577C33" w:rsidRDefault="00577C33" w:rsidP="00EC2C93">
      <w:pPr>
        <w:keepNext/>
      </w:pPr>
      <w:permStart w:id="331893588" w:edGrp="everyone"/>
      <w:r>
        <w:t>TYPE YOUR TEXT HERE</w:t>
      </w:r>
    </w:p>
    <w:permEnd w:id="331893588"/>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577C33" w:rsidRDefault="00577C33" w:rsidP="00EC2C93">
      <w:pPr>
        <w:keepNext/>
      </w:pPr>
      <w:permStart w:id="1330849489" w:edGrp="everyone"/>
      <w:r>
        <w:t>TYPE YOUR TEXT HERE</w:t>
      </w:r>
    </w:p>
    <w:permEnd w:id="1330849489"/>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577C33" w:rsidRDefault="00577C33" w:rsidP="00EC2C93">
      <w:pPr>
        <w:keepNext/>
      </w:pPr>
      <w:permStart w:id="397633963" w:edGrp="everyone"/>
      <w:r>
        <w:t>TYPE YOUR TEXT HERE</w:t>
      </w:r>
    </w:p>
    <w:permEnd w:id="397633963"/>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577C33" w:rsidP="00EC2C93">
      <w:pPr>
        <w:keepNext/>
      </w:pPr>
      <w:permStart w:id="993358560" w:edGrp="everyone"/>
      <w:r>
        <w:t>TYPE YOUR TEXT HERE</w:t>
      </w:r>
    </w:p>
    <w:permEnd w:id="993358560"/>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lastRenderedPageBreak/>
        <w:t>&lt;ESMA_QUESTION_CP_MIFID_181&gt;</w:t>
      </w:r>
    </w:p>
    <w:p w:rsidR="00577C33" w:rsidRDefault="00577C33" w:rsidP="00EC2C93">
      <w:pPr>
        <w:keepNext/>
      </w:pPr>
      <w:permStart w:id="1224873346" w:edGrp="everyone"/>
      <w:r>
        <w:t>TYPE YOUR TEXT HERE</w:t>
      </w:r>
    </w:p>
    <w:permEnd w:id="1224873346"/>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77C33" w:rsidRDefault="00577C33" w:rsidP="00EC2C93">
      <w:pPr>
        <w:keepNext/>
      </w:pPr>
      <w:permStart w:id="1702764574" w:edGrp="everyone"/>
      <w:r>
        <w:t>TYPE YOUR TEXT HERE</w:t>
      </w:r>
    </w:p>
    <w:permEnd w:id="1702764574"/>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77C33" w:rsidRDefault="00577C33" w:rsidP="00EC2C93">
      <w:pPr>
        <w:keepNext/>
      </w:pPr>
      <w:permStart w:id="2073254357" w:edGrp="everyone"/>
      <w:r>
        <w:t>TYPE YOUR TEXT HERE</w:t>
      </w:r>
    </w:p>
    <w:permEnd w:id="2073254357"/>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551582662" w:edGrp="everyone"/>
      <w:r>
        <w:t>TYPE YOUR TEXT HERE</w:t>
      </w:r>
    </w:p>
    <w:permEnd w:id="551582662"/>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594047688" w:edGrp="everyone"/>
      <w:r>
        <w:t>TYPE YOUR TEXT HERE</w:t>
      </w:r>
    </w:p>
    <w:permEnd w:id="594047688"/>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811143870" w:edGrp="everyone"/>
      <w:r>
        <w:t>TYPE YOUR TEXT HERE</w:t>
      </w:r>
    </w:p>
    <w:permEnd w:id="811143870"/>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881463461" w:edGrp="everyone"/>
      <w:r>
        <w:t>TYPE YOUR TEXT HERE</w:t>
      </w:r>
    </w:p>
    <w:permEnd w:id="881463461"/>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lastRenderedPageBreak/>
        <w:t>&lt;ESMA_QUESTION_CP_MIFID_188&gt;</w:t>
      </w:r>
    </w:p>
    <w:p w:rsidR="00577C33" w:rsidRDefault="00577C33" w:rsidP="00EC2C93">
      <w:pPr>
        <w:keepNext/>
      </w:pPr>
      <w:permStart w:id="1100636367" w:edGrp="everyone"/>
      <w:r>
        <w:t>TYPE YOUR TEXT HERE</w:t>
      </w:r>
    </w:p>
    <w:permEnd w:id="1100636367"/>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1005481785" w:edGrp="everyone"/>
      <w:r>
        <w:t>TYPE YOUR TEXT HERE</w:t>
      </w:r>
    </w:p>
    <w:permEnd w:id="1005481785"/>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648046322" w:edGrp="everyone"/>
      <w:r>
        <w:t>TYPE YOUR TEXT HERE</w:t>
      </w:r>
    </w:p>
    <w:permEnd w:id="648046322"/>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312873201" w:edGrp="everyone"/>
      <w:r>
        <w:t>TYPE YOUR TEXT HERE</w:t>
      </w:r>
    </w:p>
    <w:permEnd w:id="312873201"/>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686759494" w:edGrp="everyone"/>
      <w:r>
        <w:t>TYPE YOUR TEXT HERE</w:t>
      </w:r>
    </w:p>
    <w:permEnd w:id="686759494"/>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446827027" w:edGrp="everyone"/>
      <w:r>
        <w:t>TYPE YOUR TEXT HERE</w:t>
      </w:r>
    </w:p>
    <w:permEnd w:id="446827027"/>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758276149" w:edGrp="everyone"/>
      <w:r>
        <w:t>TYPE YOUR TEXT HERE</w:t>
      </w:r>
    </w:p>
    <w:permEnd w:id="758276149"/>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lastRenderedPageBreak/>
        <w:t>&lt;ESMA_QUESTION_CP_MIFID_195&gt;</w:t>
      </w:r>
    </w:p>
    <w:p w:rsidR="00577C33" w:rsidRDefault="00577C33" w:rsidP="00EC2C93">
      <w:pPr>
        <w:keepNext/>
      </w:pPr>
      <w:permStart w:id="886187107" w:edGrp="everyone"/>
      <w:r>
        <w:t>TYPE YOUR TEXT HERE</w:t>
      </w:r>
    </w:p>
    <w:permEnd w:id="886187107"/>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2030706375" w:edGrp="everyone"/>
      <w:r>
        <w:t>TYPE YOUR TEXT HERE</w:t>
      </w:r>
    </w:p>
    <w:permEnd w:id="2030706375"/>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2030452819" w:edGrp="everyone"/>
      <w:r>
        <w:t>TYPE YOUR TEXT HERE</w:t>
      </w:r>
    </w:p>
    <w:permEnd w:id="2030452819"/>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1679238288" w:edGrp="everyone"/>
      <w:r>
        <w:t>TYPE YOUR TEXT HERE</w:t>
      </w:r>
    </w:p>
    <w:permEnd w:id="1679238288"/>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1805125424" w:edGrp="everyone"/>
      <w:r>
        <w:t>TYPE YOUR TEXT HERE</w:t>
      </w:r>
    </w:p>
    <w:permEnd w:id="1805125424"/>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201227022" w:edGrp="everyone"/>
      <w:r>
        <w:t>TYPE YOUR TEXT HERE</w:t>
      </w:r>
    </w:p>
    <w:permEnd w:id="201227022"/>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452672906" w:edGrp="everyone"/>
      <w:r>
        <w:t>TYPE YOUR TEXT HERE</w:t>
      </w:r>
    </w:p>
    <w:permEnd w:id="452672906"/>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1010057598" w:edGrp="everyone"/>
      <w:r>
        <w:t>TYPE YOUR TEXT HERE</w:t>
      </w:r>
    </w:p>
    <w:permEnd w:id="1010057598"/>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lastRenderedPageBreak/>
        <w:t>&lt;ESMA_QUESTION_CP_MIFID_203&gt;</w:t>
      </w:r>
    </w:p>
    <w:p w:rsidR="00577C33" w:rsidRDefault="00577C33" w:rsidP="00EC2C93">
      <w:pPr>
        <w:keepNext/>
      </w:pPr>
      <w:permStart w:id="987259264" w:edGrp="everyone"/>
      <w:r>
        <w:t>TYPE YOUR TEXT HERE</w:t>
      </w:r>
    </w:p>
    <w:permEnd w:id="987259264"/>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2058627314" w:edGrp="everyone"/>
      <w:r>
        <w:t>TYPE YOUR TEXT HERE</w:t>
      </w:r>
    </w:p>
    <w:permEnd w:id="2058627314"/>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1266945740" w:edGrp="everyone"/>
      <w:r>
        <w:t>TYPE YOUR TEXT HERE</w:t>
      </w:r>
    </w:p>
    <w:permEnd w:id="1266945740"/>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666060691" w:edGrp="everyone"/>
      <w:r>
        <w:t>TYPE YOUR TEXT HERE</w:t>
      </w:r>
    </w:p>
    <w:permEnd w:id="666060691"/>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826878986" w:edGrp="everyone"/>
      <w:r>
        <w:t>TYPE YOUR TEXT HERE</w:t>
      </w:r>
    </w:p>
    <w:permEnd w:id="826878986"/>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577C33" w:rsidP="00EC2C93">
      <w:pPr>
        <w:keepNext/>
      </w:pPr>
      <w:permStart w:id="1320291023" w:edGrp="everyone"/>
      <w:r>
        <w:t>TYPE YOUR TEXT HERE</w:t>
      </w:r>
    </w:p>
    <w:permEnd w:id="1320291023"/>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1195849402" w:edGrp="everyone"/>
      <w:r>
        <w:t>TYPE YOUR TEXT HERE</w:t>
      </w:r>
    </w:p>
    <w:permEnd w:id="1195849402"/>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783826245" w:edGrp="everyone"/>
      <w:r>
        <w:t>TYPE YOUR TEXT HERE</w:t>
      </w:r>
    </w:p>
    <w:permEnd w:id="783826245"/>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lastRenderedPageBreak/>
        <w:t>&lt;ESMA_QUESTION_CP_MIFID_211&gt;</w:t>
      </w:r>
    </w:p>
    <w:p w:rsidR="00577C33" w:rsidRDefault="00577C33" w:rsidP="00EC2C93">
      <w:pPr>
        <w:keepNext/>
      </w:pPr>
      <w:permStart w:id="989138725" w:edGrp="everyone"/>
      <w:r>
        <w:t>TYPE YOUR TEXT HERE</w:t>
      </w:r>
    </w:p>
    <w:permEnd w:id="989138725"/>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54722889" w:edGrp="everyone"/>
      <w:r>
        <w:t>TYPE YOUR TEXT HERE</w:t>
      </w:r>
    </w:p>
    <w:permEnd w:id="54722889"/>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1" w:name="_Toc406692576"/>
      <w:bookmarkStart w:id="22" w:name="_Toc406692419"/>
      <w:bookmarkStart w:id="23" w:name="_Toc406691809"/>
      <w:r>
        <w:lastRenderedPageBreak/>
        <w:t>Market data reporting</w:t>
      </w:r>
      <w:bookmarkEnd w:id="21"/>
      <w:bookmarkEnd w:id="22"/>
      <w:bookmarkEnd w:id="23"/>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17438A" w:rsidRDefault="0017438A" w:rsidP="006310A9">
      <w:pPr>
        <w:framePr w:hSpace="180" w:wrap="around" w:vAnchor="text" w:hAnchor="text" w:xAlign="right" w:y="1"/>
        <w:spacing w:after="200"/>
        <w:suppressOverlap/>
        <w:rPr>
          <w:szCs w:val="22"/>
        </w:rPr>
      </w:pPr>
      <w:permStart w:id="830426181" w:edGrp="everyone"/>
      <w:r w:rsidRPr="002C5279">
        <w:rPr>
          <w:szCs w:val="22"/>
        </w:rPr>
        <w:t xml:space="preserve">Under the current UK FCA MiFID 1 regime firms with an obligation to report do so using the services of an Approved Reporting Mechanism (ARM).  It is expected that the ARMs will continue to take transaction data from their client firms using the messaging standards currently in place albeit extended to cater for the additional data elements that are required under MiFIR (EU) 600/2014. </w:t>
      </w:r>
    </w:p>
    <w:p w:rsidR="0017438A" w:rsidRDefault="0017438A" w:rsidP="006310A9">
      <w:pPr>
        <w:framePr w:hSpace="180" w:wrap="around" w:vAnchor="text" w:hAnchor="text" w:xAlign="right" w:y="1"/>
        <w:spacing w:after="200"/>
        <w:suppressOverlap/>
        <w:rPr>
          <w:szCs w:val="22"/>
        </w:rPr>
      </w:pPr>
      <w:r w:rsidRPr="00A04700">
        <w:rPr>
          <w:szCs w:val="22"/>
        </w:rPr>
        <w:t>Firms</w:t>
      </w:r>
      <w:r>
        <w:rPr>
          <w:szCs w:val="22"/>
        </w:rPr>
        <w:t xml:space="preserve"> submitting data through an ARM</w:t>
      </w:r>
      <w:r w:rsidRPr="00A04700">
        <w:rPr>
          <w:szCs w:val="22"/>
        </w:rPr>
        <w:t xml:space="preserve"> should be allowed to retain flexibility in terms of the format they send to their ARM. Any requirements in MiFID II should not directly cover the process by which firms submit to an ARM but rather the format through w</w:t>
      </w:r>
      <w:r>
        <w:rPr>
          <w:szCs w:val="22"/>
        </w:rPr>
        <w:t>hich ARMs report to regulators</w:t>
      </w:r>
      <w:r w:rsidRPr="00A04700">
        <w:rPr>
          <w:szCs w:val="22"/>
        </w:rPr>
        <w:t>.</w:t>
      </w:r>
    </w:p>
    <w:p w:rsidR="0017438A" w:rsidRPr="002C5279" w:rsidRDefault="0017438A" w:rsidP="006310A9">
      <w:pPr>
        <w:framePr w:hSpace="180" w:wrap="around" w:vAnchor="text" w:hAnchor="text" w:xAlign="right" w:y="1"/>
        <w:spacing w:after="200"/>
        <w:suppressOverlap/>
        <w:rPr>
          <w:szCs w:val="22"/>
        </w:rPr>
      </w:pPr>
      <w:r w:rsidRPr="002C5279">
        <w:rPr>
          <w:szCs w:val="22"/>
        </w:rPr>
        <w:t>Where new messaging requirements arise under MiFIR then firms would prefer to use standardised formats</w:t>
      </w:r>
      <w:r>
        <w:rPr>
          <w:szCs w:val="22"/>
        </w:rPr>
        <w:t xml:space="preserve"> such as </w:t>
      </w:r>
      <w:proofErr w:type="spellStart"/>
      <w:r>
        <w:rPr>
          <w:szCs w:val="22"/>
        </w:rPr>
        <w:t>FpML</w:t>
      </w:r>
      <w:proofErr w:type="spellEnd"/>
      <w:r w:rsidRPr="002C5279">
        <w:rPr>
          <w:szCs w:val="22"/>
        </w:rPr>
        <w:t xml:space="preserve"> and not proprietary or customised formats allowing them to leverage existing technical capabilities and infrastructure.</w:t>
      </w:r>
    </w:p>
    <w:p w:rsidR="0017438A" w:rsidRDefault="0017438A" w:rsidP="00EC2C93">
      <w:pPr>
        <w:keepNext/>
        <w:rPr>
          <w:szCs w:val="22"/>
        </w:rPr>
      </w:pPr>
      <w:r w:rsidRPr="00FA1C6F">
        <w:rPr>
          <w:szCs w:val="22"/>
        </w:rPr>
        <w:t>Hence, firms envisage that implementing non-XML based formats such as FIX would take the most effort to implement</w:t>
      </w:r>
      <w:r>
        <w:rPr>
          <w:szCs w:val="22"/>
        </w:rPr>
        <w:t>.</w:t>
      </w:r>
      <w:r w:rsidRPr="00FA1C6F">
        <w:rPr>
          <w:szCs w:val="22"/>
        </w:rPr>
        <w:t xml:space="preserve"> </w:t>
      </w:r>
      <w:proofErr w:type="gramStart"/>
      <w:r w:rsidRPr="00FA1C6F">
        <w:rPr>
          <w:szCs w:val="22"/>
        </w:rPr>
        <w:t>Similarly TREM which is a customized XML format and is not an industry standard may also prove more challenging for some firms to implement.</w:t>
      </w:r>
      <w:proofErr w:type="gramEnd"/>
      <w:r w:rsidRPr="00FA1C6F">
        <w:rPr>
          <w:szCs w:val="22"/>
        </w:rPr>
        <w:t xml:space="preserve">  </w:t>
      </w:r>
    </w:p>
    <w:permEnd w:id="830426181"/>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17438A" w:rsidRDefault="0017438A" w:rsidP="00EC2C93">
      <w:pPr>
        <w:keepNext/>
        <w:rPr>
          <w:szCs w:val="22"/>
        </w:rPr>
      </w:pPr>
      <w:permStart w:id="2010194151" w:edGrp="everyone"/>
      <w:r w:rsidRPr="002C5279">
        <w:rPr>
          <w:szCs w:val="22"/>
        </w:rPr>
        <w:t>Firms welcome ESMA’s efforts to define what constitutes a ‘transaction’ and ‘execution’ for the purposes of transaction reporting. We also welcome</w:t>
      </w:r>
      <w:r>
        <w:rPr>
          <w:szCs w:val="22"/>
        </w:rPr>
        <w:t xml:space="preserve"> the</w:t>
      </w:r>
      <w:r w:rsidRPr="002C5279">
        <w:rPr>
          <w:szCs w:val="22"/>
        </w:rPr>
        <w:t xml:space="preserve"> clarity on the activities that are not included in the definition.  </w:t>
      </w:r>
    </w:p>
    <w:permEnd w:id="2010194151"/>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DE3688" w:rsidRPr="00DE3688" w:rsidRDefault="00DE3688" w:rsidP="00DE3688">
      <w:pPr>
        <w:spacing w:after="200"/>
        <w:rPr>
          <w:szCs w:val="22"/>
        </w:rPr>
      </w:pPr>
      <w:permStart w:id="1141726022" w:edGrp="everyone"/>
      <w:r w:rsidRPr="00DE3688">
        <w:rPr>
          <w:szCs w:val="22"/>
        </w:rPr>
        <w:t>We suggest ESMA considers the following</w:t>
      </w:r>
    </w:p>
    <w:p w:rsidR="00DE3688" w:rsidRPr="00DE3688" w:rsidRDefault="00DE3688" w:rsidP="00DE3688">
      <w:pPr>
        <w:spacing w:after="200"/>
        <w:rPr>
          <w:szCs w:val="22"/>
        </w:rPr>
      </w:pPr>
      <w:r w:rsidRPr="00DE3688">
        <w:rPr>
          <w:szCs w:val="22"/>
        </w:rPr>
        <w:t>1.</w:t>
      </w:r>
      <w:r w:rsidRPr="00DE3688">
        <w:rPr>
          <w:szCs w:val="22"/>
        </w:rPr>
        <w:tab/>
        <w:t>Securities Financing Transactions (SFTs)</w:t>
      </w:r>
    </w:p>
    <w:p w:rsidR="00DE3688" w:rsidRPr="00DE3688" w:rsidRDefault="00DE3688" w:rsidP="00DE3688">
      <w:pPr>
        <w:spacing w:after="200"/>
        <w:rPr>
          <w:szCs w:val="22"/>
        </w:rPr>
      </w:pPr>
      <w:r w:rsidRPr="00DE3688">
        <w:rPr>
          <w:szCs w:val="22"/>
        </w:rPr>
        <w:t>Firms welcome ESMA’s decision to exclude (SFTs) from the scope of transaction reporting.  However, firms would welcome more clarity on Article 3 (3) (a) of the draft RTS 32 as there is likely to be a difference in the timing of the implementation of MiFIR (EU) 600/2014 and the Securities Financing Transaction Regulation 2014/0017 (COD) - (SFTR), as well as potential exemptions from reporting under the SFTR which will not be carried through to the MiFIR reporting framework under the current draft RTS 32.</w:t>
      </w:r>
    </w:p>
    <w:p w:rsidR="00DE3688" w:rsidRPr="00DE3688" w:rsidRDefault="00DE3688" w:rsidP="00DE3688">
      <w:pPr>
        <w:spacing w:after="200"/>
        <w:rPr>
          <w:szCs w:val="22"/>
        </w:rPr>
      </w:pPr>
    </w:p>
    <w:p w:rsidR="00DE3688" w:rsidRPr="00DE3688" w:rsidRDefault="00DE3688" w:rsidP="00DE3688">
      <w:pPr>
        <w:spacing w:after="200"/>
        <w:rPr>
          <w:szCs w:val="22"/>
        </w:rPr>
      </w:pPr>
      <w:r w:rsidRPr="00DE3688">
        <w:rPr>
          <w:szCs w:val="22"/>
        </w:rPr>
        <w:t xml:space="preserve">Firms should not be required to report SFTs under MiFIR for the period between MiFIR implementation and SFTR implementation, nor should they need to transaction report SFTs if they are exempt from reporting under SFTR. </w:t>
      </w:r>
    </w:p>
    <w:p w:rsidR="00DE3688" w:rsidRPr="00DE3688" w:rsidRDefault="00DE3688" w:rsidP="00DE3688">
      <w:pPr>
        <w:spacing w:after="200"/>
        <w:rPr>
          <w:szCs w:val="22"/>
        </w:rPr>
      </w:pPr>
    </w:p>
    <w:p w:rsidR="00DE3688" w:rsidRPr="00DE3688" w:rsidRDefault="00DE3688" w:rsidP="00DE3688">
      <w:pPr>
        <w:spacing w:after="200"/>
        <w:rPr>
          <w:szCs w:val="22"/>
        </w:rPr>
      </w:pPr>
      <w:r w:rsidRPr="00DE3688">
        <w:rPr>
          <w:szCs w:val="22"/>
        </w:rPr>
        <w:t xml:space="preserve">To avoid any confusion, RTS Article 3 (3) (a) should be redrafted to read as follows: “Securities financing transactions” </w:t>
      </w:r>
    </w:p>
    <w:p w:rsidR="00DE3688" w:rsidRPr="00DE3688" w:rsidRDefault="00DE3688" w:rsidP="00DE3688">
      <w:pPr>
        <w:spacing w:after="200"/>
        <w:rPr>
          <w:szCs w:val="22"/>
        </w:rPr>
      </w:pPr>
    </w:p>
    <w:p w:rsidR="00DE3688" w:rsidRPr="00DE3688" w:rsidRDefault="00DE3688" w:rsidP="00DE3688">
      <w:pPr>
        <w:spacing w:after="200"/>
        <w:rPr>
          <w:szCs w:val="22"/>
        </w:rPr>
      </w:pPr>
      <w:r w:rsidRPr="00DE3688">
        <w:rPr>
          <w:szCs w:val="22"/>
        </w:rPr>
        <w:t>The same definition of “securities financing transaction” as is used in RTS 8 could be provided – namely “securities financing transactions means an instance of stock lending or stock borrowing or the lending or borrowing of other financial instruments, a repurchase or reverse repurchase transaction, or a buy-sell or sell-buy back transaction</w:t>
      </w:r>
      <w:r>
        <w:rPr>
          <w:szCs w:val="22"/>
        </w:rPr>
        <w:t>”</w:t>
      </w:r>
      <w:r w:rsidRPr="00DE3688">
        <w:rPr>
          <w:szCs w:val="22"/>
        </w:rPr>
        <w:t xml:space="preserve">. </w:t>
      </w:r>
    </w:p>
    <w:p w:rsidR="00DE3688" w:rsidRPr="00DE3688" w:rsidRDefault="00DE3688" w:rsidP="00DE3688">
      <w:pPr>
        <w:spacing w:after="200"/>
        <w:rPr>
          <w:szCs w:val="22"/>
        </w:rPr>
      </w:pPr>
    </w:p>
    <w:p w:rsidR="00DE3688" w:rsidRPr="00DE3688" w:rsidRDefault="00DE3688" w:rsidP="00DE3688">
      <w:pPr>
        <w:spacing w:after="200"/>
        <w:rPr>
          <w:szCs w:val="22"/>
        </w:rPr>
      </w:pPr>
      <w:r w:rsidRPr="00DE3688">
        <w:rPr>
          <w:szCs w:val="22"/>
        </w:rPr>
        <w:t>2.</w:t>
      </w:r>
      <w:r w:rsidRPr="00DE3688">
        <w:rPr>
          <w:szCs w:val="22"/>
        </w:rPr>
        <w:tab/>
        <w:t xml:space="preserve">Primary Market Activity: </w:t>
      </w:r>
    </w:p>
    <w:p w:rsidR="00DE3688" w:rsidRPr="00DE3688" w:rsidRDefault="00DE3688" w:rsidP="00DE3688">
      <w:pPr>
        <w:spacing w:after="200"/>
        <w:rPr>
          <w:szCs w:val="22"/>
        </w:rPr>
      </w:pPr>
      <w:r w:rsidRPr="00DE3688">
        <w:rPr>
          <w:szCs w:val="22"/>
        </w:rPr>
        <w:t xml:space="preserve">Firms would appreciate clarification on the inclusion / exclusion of activities described as “issuance, allotment, subscriptions and placements” which appears to describe primary market activities which are typically publically announced. These activities would appear to meet the criteria specified under paragraph 26 of the consultation paper for exclusion as dates are generally known in advance; investors elect to participate in book building in advance of the primary issue and prices are standard across all investors.  </w:t>
      </w:r>
    </w:p>
    <w:p w:rsidR="00DE3688" w:rsidRPr="00DE3688" w:rsidRDefault="00DE3688" w:rsidP="00DE3688">
      <w:pPr>
        <w:spacing w:after="200"/>
        <w:rPr>
          <w:szCs w:val="22"/>
        </w:rPr>
      </w:pPr>
    </w:p>
    <w:p w:rsidR="00DE3688" w:rsidRPr="00DE3688" w:rsidRDefault="00DE3688" w:rsidP="00DE3688">
      <w:pPr>
        <w:spacing w:after="200"/>
        <w:rPr>
          <w:szCs w:val="22"/>
        </w:rPr>
      </w:pPr>
      <w:r w:rsidRPr="00DE3688">
        <w:rPr>
          <w:szCs w:val="22"/>
        </w:rPr>
        <w:t>3.</w:t>
      </w:r>
      <w:r w:rsidRPr="00DE3688">
        <w:rPr>
          <w:szCs w:val="22"/>
        </w:rPr>
        <w:tab/>
        <w:t>Novations &amp; Assignments</w:t>
      </w:r>
    </w:p>
    <w:p w:rsidR="00DE3688" w:rsidRPr="00DE3688" w:rsidRDefault="00DE3688" w:rsidP="00DE3688">
      <w:pPr>
        <w:spacing w:after="200"/>
        <w:rPr>
          <w:szCs w:val="22"/>
        </w:rPr>
      </w:pPr>
    </w:p>
    <w:p w:rsidR="00DE3688" w:rsidRPr="00DE3688" w:rsidRDefault="00DE3688" w:rsidP="00DE3688">
      <w:pPr>
        <w:spacing w:after="200"/>
        <w:rPr>
          <w:szCs w:val="22"/>
        </w:rPr>
      </w:pPr>
      <w:r w:rsidRPr="00DE3688">
        <w:rPr>
          <w:szCs w:val="22"/>
        </w:rPr>
        <w:t>Firms would welcome further clarification on the exclusion of activities described in the consultation paper with regards to Novations &amp; Assignments of Derivatives. Our current understanding is that the remaining party of a novation has no transaction reporting responsibility as it is part of a novation and there is no change in notional for them. Can ESMA confirm both stepping-in and stepping-out parties in a novation have an obligation to transaction report as a new trade and as a termination respectively, as in both cases, there is a decrease and an increase in notional of the trade before expiry?</w:t>
      </w:r>
    </w:p>
    <w:p w:rsidR="00DE3688" w:rsidRPr="00DE3688" w:rsidRDefault="00DE3688" w:rsidP="00DE3688">
      <w:pPr>
        <w:spacing w:after="200"/>
        <w:rPr>
          <w:szCs w:val="22"/>
        </w:rPr>
      </w:pPr>
    </w:p>
    <w:p w:rsidR="00DE3688" w:rsidRPr="00DE3688" w:rsidRDefault="00DE3688" w:rsidP="00DE3688">
      <w:pPr>
        <w:spacing w:after="200"/>
        <w:rPr>
          <w:szCs w:val="22"/>
        </w:rPr>
      </w:pPr>
      <w:r w:rsidRPr="00DE3688">
        <w:rPr>
          <w:szCs w:val="22"/>
        </w:rPr>
        <w:t>4.</w:t>
      </w:r>
      <w:r w:rsidRPr="00DE3688">
        <w:rPr>
          <w:szCs w:val="22"/>
        </w:rPr>
        <w:tab/>
        <w:t>Exercise and Assignment</w:t>
      </w:r>
    </w:p>
    <w:p w:rsidR="00DE3688" w:rsidRPr="00DE3688" w:rsidRDefault="00DE3688" w:rsidP="00DE3688">
      <w:pPr>
        <w:spacing w:after="200"/>
        <w:rPr>
          <w:szCs w:val="22"/>
        </w:rPr>
      </w:pPr>
      <w:r w:rsidRPr="00DE3688">
        <w:rPr>
          <w:szCs w:val="22"/>
        </w:rPr>
        <w:t xml:space="preserve">Firms would appreciate clarification on the specifics of reporting exercises &amp; assignments of options that result in the delivery of the underlying instrument. Our current understanding is that the exercise &amp; assignment of the option position itself is not reportable, even though it </w:t>
      </w:r>
      <w:r w:rsidRPr="00DE3688">
        <w:rPr>
          <w:szCs w:val="22"/>
        </w:rPr>
        <w:lastRenderedPageBreak/>
        <w:t>results in a decrease in option position, although we believe this may be revisited soon by ESMA.</w:t>
      </w:r>
    </w:p>
    <w:p w:rsidR="00DE3688" w:rsidRPr="00DE3688" w:rsidRDefault="00DE3688" w:rsidP="00DE3688">
      <w:pPr>
        <w:spacing w:after="200"/>
        <w:rPr>
          <w:szCs w:val="22"/>
        </w:rPr>
      </w:pPr>
    </w:p>
    <w:p w:rsidR="00DE3688" w:rsidRPr="00DE3688" w:rsidRDefault="00DE3688" w:rsidP="00DE3688">
      <w:pPr>
        <w:spacing w:after="200"/>
        <w:rPr>
          <w:szCs w:val="22"/>
        </w:rPr>
      </w:pPr>
      <w:r w:rsidRPr="00DE3688">
        <w:rPr>
          <w:szCs w:val="22"/>
        </w:rPr>
        <w:t>Firms agree the underlying deliverable itself is reportable as a new transaction. However there is some confusion over whether this applies to early exercises only and not from expiry exercises. There is wording in the exclusions around 'Pre-determined contractual or mandatory events where no investment decision is taken' and 'Creation, expiration and redemption of derivatives'. Therefore, we do not believe transactions resulting from option expiry on contractual termination date   should be reportable.</w:t>
      </w:r>
    </w:p>
    <w:p w:rsidR="00DE3688" w:rsidRPr="00DE3688" w:rsidRDefault="00DE3688" w:rsidP="00DE3688">
      <w:pPr>
        <w:spacing w:after="200"/>
        <w:rPr>
          <w:szCs w:val="22"/>
        </w:rPr>
      </w:pPr>
    </w:p>
    <w:p w:rsidR="00DE3688" w:rsidRPr="00DE3688" w:rsidRDefault="00DE3688" w:rsidP="00DE3688">
      <w:pPr>
        <w:spacing w:after="200"/>
        <w:rPr>
          <w:szCs w:val="22"/>
        </w:rPr>
      </w:pPr>
      <w:r w:rsidRPr="00DE3688">
        <w:rPr>
          <w:szCs w:val="22"/>
        </w:rPr>
        <w:t>5.</w:t>
      </w:r>
      <w:r w:rsidRPr="00DE3688">
        <w:rPr>
          <w:szCs w:val="22"/>
        </w:rPr>
        <w:tab/>
        <w:t>Reporting by non-EEA branches of EEA firms:</w:t>
      </w:r>
    </w:p>
    <w:p w:rsidR="00DE3688" w:rsidRPr="00DE3688" w:rsidRDefault="00DE3688" w:rsidP="00DE3688">
      <w:pPr>
        <w:spacing w:after="200"/>
        <w:rPr>
          <w:szCs w:val="22"/>
        </w:rPr>
      </w:pPr>
    </w:p>
    <w:p w:rsidR="00DE3688" w:rsidRPr="00DE3688" w:rsidRDefault="00DE3688" w:rsidP="00DE3688">
      <w:pPr>
        <w:spacing w:after="200"/>
        <w:rPr>
          <w:szCs w:val="22"/>
        </w:rPr>
      </w:pPr>
      <w:r w:rsidRPr="00DE3688">
        <w:rPr>
          <w:szCs w:val="22"/>
        </w:rPr>
        <w:t xml:space="preserve">With regards to ESMA’s clarification as to what constitutes ‘execution', ESMA states in the consultation paper (paragraph 8) that direct action by the investment firm clearly constitutes execution and this includes where it acts through its branches regardless of whether these are located inside or outside the EEA. ESMA also states that unlike subsidiaries, branches have the same legal entity as the investment firm itself and therefore activity by them is reportable. We would like clarification that the statement means that non-EEA branches of EEA firms are required to separately report to EU regulators. We would welcome confirmation that it is not ESMA’s intention to require non-EEA branches of EEA firms to separately transaction report to EU regulators, as opposed to MIFID investment firms flagging whether part of the activity was carried out by one of their branches (whether based inside or outside the EEA).  In order to avoid any misunderstanding firms would like ESMA to confirm in the draft RTS that non-EEA branches of EEA firms will not be required to report to EU regulators.  </w:t>
      </w:r>
    </w:p>
    <w:p w:rsidR="00DE3688" w:rsidRPr="00DE3688" w:rsidRDefault="00DE3688" w:rsidP="00DE3688">
      <w:pPr>
        <w:spacing w:after="200"/>
        <w:rPr>
          <w:szCs w:val="22"/>
        </w:rPr>
      </w:pPr>
    </w:p>
    <w:p w:rsidR="00DE3688" w:rsidRPr="00DE3688" w:rsidRDefault="00DE3688" w:rsidP="00DE3688">
      <w:pPr>
        <w:spacing w:after="200"/>
        <w:rPr>
          <w:szCs w:val="22"/>
        </w:rPr>
      </w:pPr>
      <w:r w:rsidRPr="00DE3688">
        <w:rPr>
          <w:szCs w:val="22"/>
        </w:rPr>
        <w:t>6.</w:t>
      </w:r>
      <w:r w:rsidRPr="00DE3688">
        <w:rPr>
          <w:szCs w:val="22"/>
        </w:rPr>
        <w:tab/>
        <w:t>Baskets and Sectors</w:t>
      </w:r>
    </w:p>
    <w:p w:rsidR="00DE3688" w:rsidRPr="00DE3688" w:rsidRDefault="00DE3688" w:rsidP="00DE3688">
      <w:pPr>
        <w:spacing w:after="200"/>
        <w:rPr>
          <w:szCs w:val="22"/>
        </w:rPr>
      </w:pPr>
      <w:r w:rsidRPr="00DE3688">
        <w:rPr>
          <w:szCs w:val="22"/>
        </w:rPr>
        <w:t>We assume that the Exclusion in RTS 32 Article 3 (3) (h) was intended to include changes in compositions of baskets and sectors which are also not reportable after a transaction has occurred. For clarity the proposed wording should be amended to read</w:t>
      </w:r>
      <w:r>
        <w:rPr>
          <w:szCs w:val="22"/>
        </w:rPr>
        <w:t>:</w:t>
      </w:r>
    </w:p>
    <w:p w:rsidR="00DE3688" w:rsidRPr="00DE3688" w:rsidRDefault="00DE3688" w:rsidP="00DE3688">
      <w:pPr>
        <w:spacing w:after="200"/>
        <w:rPr>
          <w:szCs w:val="22"/>
        </w:rPr>
      </w:pPr>
    </w:p>
    <w:p w:rsidR="0017438A" w:rsidRDefault="00DE3688" w:rsidP="00DE3688">
      <w:pPr>
        <w:spacing w:after="200"/>
        <w:rPr>
          <w:szCs w:val="22"/>
        </w:rPr>
      </w:pPr>
      <w:r w:rsidRPr="00DE3688">
        <w:rPr>
          <w:szCs w:val="22"/>
        </w:rPr>
        <w:t xml:space="preserve">“A change in the composition of an index, </w:t>
      </w:r>
      <w:r w:rsidRPr="00DE3688">
        <w:rPr>
          <w:b/>
          <w:szCs w:val="22"/>
        </w:rPr>
        <w:t>basket or sector</w:t>
      </w:r>
      <w:r w:rsidRPr="00DE3688">
        <w:rPr>
          <w:szCs w:val="22"/>
        </w:rPr>
        <w:t xml:space="preserve"> after a transaction occurred”</w:t>
      </w:r>
      <w:r w:rsidR="00A353FB">
        <w:rPr>
          <w:szCs w:val="22"/>
        </w:rPr>
        <w:t xml:space="preserve"> </w:t>
      </w:r>
    </w:p>
    <w:permEnd w:id="1141726022"/>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lastRenderedPageBreak/>
        <w:t>&lt;ESMA_QUESTION_CP_MIFID_216&gt;</w:t>
      </w:r>
    </w:p>
    <w:p w:rsidR="0017438A" w:rsidRDefault="0017438A" w:rsidP="006310A9">
      <w:pPr>
        <w:framePr w:hSpace="180" w:wrap="around" w:vAnchor="text" w:hAnchor="text" w:xAlign="right" w:y="1"/>
        <w:spacing w:after="200"/>
        <w:suppressOverlap/>
        <w:rPr>
          <w:szCs w:val="22"/>
        </w:rPr>
      </w:pPr>
      <w:permStart w:id="218723305" w:edGrp="everyone"/>
      <w:r>
        <w:rPr>
          <w:szCs w:val="22"/>
        </w:rPr>
        <w:t xml:space="preserve">As ESMA acknowledged there is little scope within the Level one text to simplify the approach but our members thought it worth highlighting some of the complexities at ESMA’s request, with the proposal.  </w:t>
      </w:r>
      <w:r w:rsidRPr="00A04700">
        <w:rPr>
          <w:szCs w:val="22"/>
        </w:rPr>
        <w:t xml:space="preserve">Whilst we appreciate that the provision of transmission of order arrangements are optional we envisage that commercial client pressure </w:t>
      </w:r>
      <w:r>
        <w:rPr>
          <w:szCs w:val="22"/>
        </w:rPr>
        <w:t>may</w:t>
      </w:r>
      <w:r w:rsidRPr="00A04700">
        <w:rPr>
          <w:szCs w:val="22"/>
        </w:rPr>
        <w:t xml:space="preserve"> require firms executing client business to provide an infrastructure to support </w:t>
      </w:r>
      <w:r>
        <w:rPr>
          <w:szCs w:val="22"/>
        </w:rPr>
        <w:t xml:space="preserve">the additional data required to be transmitted with orders </w:t>
      </w:r>
      <w:r w:rsidRPr="00A04700">
        <w:rPr>
          <w:szCs w:val="22"/>
        </w:rPr>
        <w:t xml:space="preserve"> </w:t>
      </w:r>
    </w:p>
    <w:p w:rsidR="0017438A" w:rsidRDefault="0017438A" w:rsidP="006310A9">
      <w:pPr>
        <w:framePr w:hSpace="180" w:wrap="around" w:vAnchor="text" w:hAnchor="text" w:xAlign="right" w:y="1"/>
        <w:spacing w:after="200"/>
        <w:suppressOverlap/>
        <w:rPr>
          <w:szCs w:val="22"/>
        </w:rPr>
      </w:pPr>
      <w:r w:rsidRPr="00A04700">
        <w:rPr>
          <w:szCs w:val="22"/>
        </w:rPr>
        <w:t xml:space="preserve">Clients might require all firms with whom they execute </w:t>
      </w:r>
      <w:r>
        <w:rPr>
          <w:szCs w:val="22"/>
        </w:rPr>
        <w:t xml:space="preserve">/ </w:t>
      </w:r>
      <w:r w:rsidRPr="00A04700">
        <w:rPr>
          <w:szCs w:val="22"/>
        </w:rPr>
        <w:t>clear business to offer a transmission or order arrangement to ensure that they have a complete reporting solution.</w:t>
      </w:r>
    </w:p>
    <w:p w:rsidR="0017438A" w:rsidRDefault="0017438A" w:rsidP="006310A9">
      <w:pPr>
        <w:framePr w:hSpace="180" w:wrap="around" w:vAnchor="text" w:hAnchor="text" w:xAlign="right" w:y="1"/>
        <w:spacing w:after="200"/>
        <w:suppressOverlap/>
        <w:rPr>
          <w:szCs w:val="22"/>
        </w:rPr>
      </w:pPr>
      <w:r w:rsidRPr="00A04700">
        <w:rPr>
          <w:szCs w:val="22"/>
        </w:rPr>
        <w:t>Where such</w:t>
      </w:r>
      <w:r>
        <w:rPr>
          <w:szCs w:val="22"/>
        </w:rPr>
        <w:t xml:space="preserve"> </w:t>
      </w:r>
      <w:r w:rsidRPr="00EA22F2">
        <w:rPr>
          <w:szCs w:val="22"/>
        </w:rPr>
        <w:t>conditions are not met by all of the client</w:t>
      </w:r>
      <w:r>
        <w:rPr>
          <w:szCs w:val="22"/>
        </w:rPr>
        <w:t>s’</w:t>
      </w:r>
      <w:r w:rsidRPr="00EA22F2">
        <w:rPr>
          <w:szCs w:val="22"/>
        </w:rPr>
        <w:t xml:space="preserve"> service providers the client will be required to build a reporting infrastructure where the transmission criteria are not </w:t>
      </w:r>
      <w:r>
        <w:rPr>
          <w:szCs w:val="22"/>
        </w:rPr>
        <w:t xml:space="preserve">met </w:t>
      </w:r>
      <w:r w:rsidRPr="00EA22F2">
        <w:rPr>
          <w:szCs w:val="22"/>
        </w:rPr>
        <w:t>(e.g</w:t>
      </w:r>
      <w:r>
        <w:rPr>
          <w:szCs w:val="22"/>
        </w:rPr>
        <w:t>.</w:t>
      </w:r>
      <w:r w:rsidRPr="00EA22F2">
        <w:rPr>
          <w:szCs w:val="22"/>
        </w:rPr>
        <w:t xml:space="preserve"> where the client </w:t>
      </w:r>
      <w:r>
        <w:rPr>
          <w:szCs w:val="22"/>
        </w:rPr>
        <w:t>is</w:t>
      </w:r>
      <w:r w:rsidRPr="00EA22F2">
        <w:rPr>
          <w:szCs w:val="22"/>
        </w:rPr>
        <w:t xml:space="preserve"> unable to provide all required transmission data on a timely basis)</w:t>
      </w:r>
      <w:r>
        <w:rPr>
          <w:szCs w:val="22"/>
        </w:rPr>
        <w:t xml:space="preserve">.  </w:t>
      </w:r>
    </w:p>
    <w:p w:rsidR="0017438A" w:rsidRDefault="0017438A" w:rsidP="006310A9">
      <w:pPr>
        <w:framePr w:hSpace="180" w:wrap="around" w:vAnchor="text" w:hAnchor="text" w:xAlign="right" w:y="1"/>
        <w:spacing w:after="200"/>
        <w:suppressOverlap/>
        <w:rPr>
          <w:szCs w:val="22"/>
        </w:rPr>
      </w:pPr>
      <w:r>
        <w:rPr>
          <w:szCs w:val="22"/>
        </w:rPr>
        <w:t>Notwithstanding the comments above, it is our members’ understanding that the transmission of an order mechanism is intended to apply irrespective of whether the non-transmitting investment firm is acting in a principal capacity or an agency / quasi-agency capacity, and irrespective of the way in which the relevant transaction between the two investment firms arises.  For example, a firm which is acting on a discretionary basis and which transacts with a dealer (which is an investment firm) on the basis of a Request for Quote should consider itself to have “transmitted an order” (and therefore should not itself transaction report the relevant transaction) provided that the conditions in Article 4(1) of RTS 32 have been satisfied. We should be grateful for confirmation of this understanding.</w:t>
      </w:r>
    </w:p>
    <w:p w:rsidR="00B4602F" w:rsidRDefault="0017438A" w:rsidP="00EC2C93">
      <w:pPr>
        <w:keepNext/>
        <w:rPr>
          <w:szCs w:val="22"/>
        </w:rPr>
      </w:pPr>
      <w:r>
        <w:rPr>
          <w:szCs w:val="22"/>
        </w:rPr>
        <w:t>Finally, Article 4(4) of RTS 32 requires receiving firms to validate data received from a transmitting firm for “obvious errors” and omissions prior to submission to the regulators.  From a systems-build perspective, this will be a significant, costly and onerous exercise.  Furthermore, it could also lead to a fragmented service offering as not all industry participants will have the sufficient scale, technical and financial capability and may result in increased costs to end users.  It is also unclear what is meant by “obvious errors” – receiving firms should be able to rely on the information provided to them by the transmitting firm, and so we suggest this reference is deleted (or at least clarified as to its meaning)</w:t>
      </w:r>
      <w:r w:rsidR="00DE3688">
        <w:rPr>
          <w:szCs w:val="22"/>
        </w:rPr>
        <w:t>.  This requirement has a disproportionate effect on smaller firms.</w:t>
      </w:r>
      <w:r w:rsidR="00DE3688">
        <w:rPr>
          <w:szCs w:val="22"/>
        </w:rPr>
        <w:tab/>
      </w:r>
    </w:p>
    <w:permEnd w:id="218723305"/>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lastRenderedPageBreak/>
        <w:t>&lt;ESMA_QUESTION_CP_MIFID_217&gt;</w:t>
      </w:r>
    </w:p>
    <w:p w:rsidR="00B4602F" w:rsidRPr="002C5279" w:rsidRDefault="00B4602F" w:rsidP="006310A9">
      <w:pPr>
        <w:framePr w:hSpace="180" w:wrap="around" w:vAnchor="text" w:hAnchor="text" w:xAlign="right" w:y="1"/>
        <w:spacing w:after="200"/>
        <w:suppressOverlap/>
        <w:rPr>
          <w:szCs w:val="22"/>
        </w:rPr>
      </w:pPr>
      <w:permStart w:id="275267154" w:edGrp="everyone"/>
      <w:r>
        <w:rPr>
          <w:szCs w:val="22"/>
        </w:rPr>
        <w:t>While</w:t>
      </w:r>
      <w:r w:rsidRPr="002C5279">
        <w:rPr>
          <w:szCs w:val="22"/>
        </w:rPr>
        <w:t xml:space="preserve">, firms agree </w:t>
      </w:r>
      <w:r>
        <w:rPr>
          <w:szCs w:val="22"/>
        </w:rPr>
        <w:t xml:space="preserve">in principle </w:t>
      </w:r>
      <w:r w:rsidRPr="002C5279">
        <w:rPr>
          <w:szCs w:val="22"/>
        </w:rPr>
        <w:t>with ESMA’s proposed approach</w:t>
      </w:r>
      <w:r>
        <w:rPr>
          <w:szCs w:val="22"/>
        </w:rPr>
        <w:t xml:space="preserve"> it should be noted that it</w:t>
      </w:r>
      <w:r w:rsidRPr="002C5279">
        <w:rPr>
          <w:szCs w:val="22"/>
        </w:rPr>
        <w:t xml:space="preserve"> is not a “one size fits all” </w:t>
      </w:r>
      <w:r>
        <w:rPr>
          <w:szCs w:val="22"/>
        </w:rPr>
        <w:t>approach.  This approach for example</w:t>
      </w:r>
      <w:r w:rsidRPr="002C5279">
        <w:rPr>
          <w:szCs w:val="22"/>
        </w:rPr>
        <w:t xml:space="preserve"> does not consider the characteristics of some OTC derivatives products which may make the determination of </w:t>
      </w:r>
      <w:r>
        <w:rPr>
          <w:szCs w:val="22"/>
        </w:rPr>
        <w:t xml:space="preserve">the </w:t>
      </w:r>
      <w:r w:rsidRPr="002C5279">
        <w:rPr>
          <w:szCs w:val="22"/>
        </w:rPr>
        <w:t>buyer and seller subjective</w:t>
      </w:r>
      <w:r>
        <w:rPr>
          <w:szCs w:val="22"/>
        </w:rPr>
        <w:t>,</w:t>
      </w:r>
      <w:r w:rsidRPr="002C5279">
        <w:rPr>
          <w:szCs w:val="22"/>
        </w:rPr>
        <w:t xml:space="preserve"> leading to inconsistencies in reporting between firms. For example, in a swap transaction it is not always clear which counterparty to the trade originated the transaction and therefore who should be assigned</w:t>
      </w:r>
      <w:r>
        <w:rPr>
          <w:szCs w:val="22"/>
        </w:rPr>
        <w:t xml:space="preserve"> as</w:t>
      </w:r>
      <w:r w:rsidRPr="002C5279">
        <w:rPr>
          <w:szCs w:val="22"/>
        </w:rPr>
        <w:t xml:space="preserve"> buyer or seller of the trade. </w:t>
      </w:r>
      <w:r w:rsidR="00DE3688">
        <w:rPr>
          <w:szCs w:val="22"/>
        </w:rPr>
        <w:t xml:space="preserve"> </w:t>
      </w:r>
      <w:r w:rsidRPr="002C5279">
        <w:rPr>
          <w:szCs w:val="22"/>
        </w:rPr>
        <w:t>In order to ensure the determination of buyer and seller is done as consistently and</w:t>
      </w:r>
      <w:r>
        <w:rPr>
          <w:szCs w:val="22"/>
        </w:rPr>
        <w:t xml:space="preserve"> as</w:t>
      </w:r>
      <w:r w:rsidRPr="002C5279">
        <w:rPr>
          <w:szCs w:val="22"/>
        </w:rPr>
        <w:t xml:space="preserve"> accurately as possible, firms would urge ESMA to work with the industry to develop </w:t>
      </w:r>
      <w:r w:rsidRPr="00A04700">
        <w:rPr>
          <w:szCs w:val="22"/>
        </w:rPr>
        <w:t xml:space="preserve">Level 3 guidelines regarding </w:t>
      </w:r>
      <w:r w:rsidRPr="002C5279">
        <w:rPr>
          <w:szCs w:val="22"/>
        </w:rPr>
        <w:t xml:space="preserve">pre-set criteria as a standard mechanism to determine </w:t>
      </w:r>
      <w:r>
        <w:rPr>
          <w:szCs w:val="22"/>
        </w:rPr>
        <w:t xml:space="preserve">the </w:t>
      </w:r>
      <w:r w:rsidRPr="002C5279">
        <w:rPr>
          <w:szCs w:val="22"/>
        </w:rPr>
        <w:t>buyer and seller for different types of asset classes of OTC derivatives.</w:t>
      </w:r>
    </w:p>
    <w:p w:rsidR="00B4602F" w:rsidRPr="002C5279" w:rsidRDefault="00B4602F" w:rsidP="006310A9">
      <w:pPr>
        <w:framePr w:hSpace="180" w:wrap="around" w:vAnchor="text" w:hAnchor="text" w:xAlign="right" w:y="1"/>
        <w:spacing w:after="200"/>
        <w:suppressOverlap/>
        <w:rPr>
          <w:szCs w:val="22"/>
        </w:rPr>
      </w:pPr>
      <w:r>
        <w:rPr>
          <w:szCs w:val="22"/>
        </w:rPr>
        <w:t>For example t</w:t>
      </w:r>
      <w:r w:rsidRPr="00961633">
        <w:rPr>
          <w:szCs w:val="22"/>
        </w:rPr>
        <w:t xml:space="preserve">he industry already uses conventions that assign roles to counterparties to a trade e.g. in the case of a </w:t>
      </w:r>
      <w:r>
        <w:rPr>
          <w:szCs w:val="22"/>
        </w:rPr>
        <w:t>f</w:t>
      </w:r>
      <w:r w:rsidRPr="00961633">
        <w:rPr>
          <w:szCs w:val="22"/>
        </w:rPr>
        <w:t xml:space="preserve">ixed / </w:t>
      </w:r>
      <w:r>
        <w:rPr>
          <w:szCs w:val="22"/>
        </w:rPr>
        <w:t>f</w:t>
      </w:r>
      <w:r w:rsidRPr="00961633">
        <w:rPr>
          <w:szCs w:val="22"/>
        </w:rPr>
        <w:t xml:space="preserve">loat </w:t>
      </w:r>
      <w:r>
        <w:rPr>
          <w:szCs w:val="22"/>
        </w:rPr>
        <w:t>i</w:t>
      </w:r>
      <w:r w:rsidRPr="00961633">
        <w:rPr>
          <w:szCs w:val="22"/>
        </w:rPr>
        <w:t xml:space="preserve">nterest </w:t>
      </w:r>
      <w:r>
        <w:rPr>
          <w:szCs w:val="22"/>
        </w:rPr>
        <w:t>r</w:t>
      </w:r>
      <w:r w:rsidRPr="00961633">
        <w:rPr>
          <w:szCs w:val="22"/>
        </w:rPr>
        <w:t xml:space="preserve">ate </w:t>
      </w:r>
      <w:r>
        <w:rPr>
          <w:szCs w:val="22"/>
        </w:rPr>
        <w:t>s</w:t>
      </w:r>
      <w:r w:rsidRPr="00961633">
        <w:rPr>
          <w:szCs w:val="22"/>
        </w:rPr>
        <w:t xml:space="preserve">wap, the </w:t>
      </w:r>
      <w:r>
        <w:rPr>
          <w:szCs w:val="22"/>
        </w:rPr>
        <w:t>p</w:t>
      </w:r>
      <w:r w:rsidRPr="00961633">
        <w:rPr>
          <w:szCs w:val="22"/>
        </w:rPr>
        <w:t xml:space="preserve">ayer of the </w:t>
      </w:r>
      <w:r>
        <w:rPr>
          <w:szCs w:val="22"/>
        </w:rPr>
        <w:t>f</w:t>
      </w:r>
      <w:r w:rsidRPr="00961633">
        <w:rPr>
          <w:szCs w:val="22"/>
        </w:rPr>
        <w:t xml:space="preserve">ixed </w:t>
      </w:r>
      <w:r>
        <w:rPr>
          <w:szCs w:val="22"/>
        </w:rPr>
        <w:t>r</w:t>
      </w:r>
      <w:r w:rsidRPr="00961633">
        <w:rPr>
          <w:szCs w:val="22"/>
        </w:rPr>
        <w:t xml:space="preserve">ate may be assigned the role of BUYER and the </w:t>
      </w:r>
      <w:r>
        <w:rPr>
          <w:szCs w:val="22"/>
        </w:rPr>
        <w:t>p</w:t>
      </w:r>
      <w:r w:rsidRPr="00961633">
        <w:rPr>
          <w:szCs w:val="22"/>
        </w:rPr>
        <w:t xml:space="preserve">ayer of the </w:t>
      </w:r>
      <w:r>
        <w:rPr>
          <w:szCs w:val="22"/>
        </w:rPr>
        <w:t>f</w:t>
      </w:r>
      <w:r w:rsidRPr="00961633">
        <w:rPr>
          <w:szCs w:val="22"/>
        </w:rPr>
        <w:t xml:space="preserve">loating </w:t>
      </w:r>
      <w:r>
        <w:rPr>
          <w:szCs w:val="22"/>
        </w:rPr>
        <w:t>r</w:t>
      </w:r>
      <w:r w:rsidRPr="00961633">
        <w:rPr>
          <w:szCs w:val="22"/>
        </w:rPr>
        <w:t>ate may be assigned the role of the SELLER</w:t>
      </w:r>
      <w:r>
        <w:rPr>
          <w:szCs w:val="22"/>
        </w:rPr>
        <w:t>.</w:t>
      </w:r>
    </w:p>
    <w:p w:rsidR="00B4602F" w:rsidRDefault="00B4602F" w:rsidP="006310A9">
      <w:pPr>
        <w:framePr w:hSpace="180" w:wrap="around" w:vAnchor="text" w:hAnchor="text" w:xAlign="right" w:y="1"/>
        <w:suppressOverlap/>
        <w:rPr>
          <w:szCs w:val="22"/>
        </w:rPr>
      </w:pPr>
      <w:r w:rsidRPr="002C5279">
        <w:rPr>
          <w:szCs w:val="22"/>
        </w:rPr>
        <w:t>Additionally, firms would prefer to opt for an approach which is consistent and harmonised with the requirements to retain detailed records of orders. If ESMA decides to opt for this approach for transaction reporting, we would suggest for this approach to also be applied to orders to be stored under RTS 34/35 so that the buyer/ seller information is stored in a consistent manner.</w:t>
      </w:r>
    </w:p>
    <w:p w:rsidR="00B4602F" w:rsidRDefault="00B4602F" w:rsidP="006310A9">
      <w:pPr>
        <w:framePr w:hSpace="180" w:wrap="around" w:vAnchor="text" w:hAnchor="text" w:xAlign="right" w:y="1"/>
        <w:suppressOverlap/>
        <w:rPr>
          <w:szCs w:val="22"/>
        </w:rPr>
      </w:pPr>
    </w:p>
    <w:p w:rsidR="00B4602F" w:rsidRDefault="00B4602F" w:rsidP="006310A9">
      <w:pPr>
        <w:framePr w:hSpace="180" w:wrap="around" w:vAnchor="text" w:hAnchor="text" w:xAlign="right" w:y="1"/>
        <w:suppressOverlap/>
        <w:rPr>
          <w:szCs w:val="22"/>
        </w:rPr>
      </w:pPr>
      <w:r w:rsidRPr="0068724D">
        <w:rPr>
          <w:szCs w:val="22"/>
        </w:rPr>
        <w:t xml:space="preserve">Firms would also raise concerns with the new approach for reporting laid out in scenario 4. Most notably, that ESMA appears to be confusing the trading capacity of Agent with receipt and transmission of an order which is incorrect. In this scenario, John Smith is reflected as a buyer; however Firm X is acting as agent, and should therefore be reported as the buyer. </w:t>
      </w:r>
    </w:p>
    <w:p w:rsidR="00B4602F" w:rsidRDefault="00B4602F" w:rsidP="006310A9">
      <w:pPr>
        <w:framePr w:hSpace="180" w:wrap="around" w:vAnchor="text" w:hAnchor="text" w:xAlign="right" w:y="1"/>
        <w:suppressOverlap/>
        <w:rPr>
          <w:szCs w:val="22"/>
        </w:rPr>
      </w:pPr>
    </w:p>
    <w:p w:rsidR="00B4602F" w:rsidRPr="0068724D" w:rsidRDefault="00B4602F" w:rsidP="006310A9">
      <w:pPr>
        <w:framePr w:hSpace="180" w:wrap="around" w:vAnchor="text" w:hAnchor="text" w:xAlign="right" w:y="1"/>
        <w:suppressOverlap/>
        <w:rPr>
          <w:szCs w:val="22"/>
        </w:rPr>
      </w:pPr>
      <w:r w:rsidRPr="0068724D">
        <w:rPr>
          <w:szCs w:val="22"/>
        </w:rPr>
        <w:t>Furthermore, Firm Y would view Firm X as its counterparty and not John Smith/retail client. This would be of particular concern where firms have private banks acting in an agency capacity on behalf of retail clients trading with their investment banks. The investment bank cannot and will not have access to the retail client</w:t>
      </w:r>
      <w:r>
        <w:rPr>
          <w:szCs w:val="22"/>
        </w:rPr>
        <w:t xml:space="preserve"> information</w:t>
      </w:r>
      <w:r w:rsidRPr="0068724D">
        <w:rPr>
          <w:szCs w:val="22"/>
        </w:rPr>
        <w:t xml:space="preserve">, and as such cannot report this. </w:t>
      </w:r>
    </w:p>
    <w:p w:rsidR="00B4602F" w:rsidRPr="0068724D" w:rsidRDefault="00B4602F" w:rsidP="006310A9">
      <w:pPr>
        <w:framePr w:hSpace="180" w:wrap="around" w:vAnchor="text" w:hAnchor="text" w:xAlign="right" w:y="1"/>
        <w:suppressOverlap/>
        <w:rPr>
          <w:szCs w:val="22"/>
        </w:rPr>
      </w:pPr>
    </w:p>
    <w:p w:rsidR="00B4602F" w:rsidRDefault="00B4602F" w:rsidP="006310A9">
      <w:pPr>
        <w:framePr w:hSpace="180" w:wrap="around" w:vAnchor="text" w:hAnchor="text" w:xAlign="right" w:y="1"/>
        <w:suppressOverlap/>
        <w:rPr>
          <w:szCs w:val="22"/>
        </w:rPr>
      </w:pPr>
      <w:r w:rsidRPr="0068724D">
        <w:rPr>
          <w:szCs w:val="22"/>
        </w:rPr>
        <w:t xml:space="preserve">ESMA must not confuse trading in Agency capacity with receipt and transmission of orders. </w:t>
      </w:r>
    </w:p>
    <w:p w:rsidR="00B4602F" w:rsidRPr="0068724D" w:rsidRDefault="00B4602F" w:rsidP="006310A9">
      <w:pPr>
        <w:framePr w:hSpace="180" w:wrap="around" w:vAnchor="text" w:hAnchor="text" w:xAlign="right" w:y="1"/>
        <w:suppressOverlap/>
        <w:rPr>
          <w:szCs w:val="22"/>
        </w:rPr>
      </w:pPr>
    </w:p>
    <w:p w:rsidR="00B4602F" w:rsidRDefault="00B4602F" w:rsidP="00EC2C93">
      <w:pPr>
        <w:keepNext/>
        <w:rPr>
          <w:szCs w:val="22"/>
        </w:rPr>
      </w:pPr>
      <w:r w:rsidRPr="0068724D">
        <w:rPr>
          <w:szCs w:val="22"/>
        </w:rPr>
        <w:lastRenderedPageBreak/>
        <w:t xml:space="preserve">Lastly, firms would remind ESMA that in the current reporting regime, the ability to report a transaction in a single model identifying buyer and seller as a “principal cross” or “agency cross” enables firms to minimise the number of reports it sends to NCAs via its ARM and reduces the cost of Transaction Reporting charged by ARMs. In the current scenarios ESMA has only specified a single report for Agency transactions. Firms would ask that this scenario be expanded to include Matched Principal. Additionally firms have outlined in response to question 219 that ESMA consider a new trading capacity: Facilitation to help ESMA identify where firms are facilitating clients. Should ESMA agree with the recommendation to include Facilitation in the scope of trading capacity, firms would ask ESMA to also include this in the scenario of sending a single transaction report to an </w:t>
      </w:r>
      <w:proofErr w:type="gramStart"/>
      <w:r w:rsidRPr="0068724D">
        <w:rPr>
          <w:szCs w:val="22"/>
        </w:rPr>
        <w:t>ARM.</w:t>
      </w:r>
      <w:proofErr w:type="gramEnd"/>
    </w:p>
    <w:permEnd w:id="275267154"/>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lastRenderedPageBreak/>
        <w:t>&lt;ESMA_QUESTION_CP_MIFID_218&gt;</w:t>
      </w:r>
    </w:p>
    <w:p w:rsidR="000C32A1" w:rsidRPr="000C32A1" w:rsidRDefault="000C32A1" w:rsidP="000C32A1">
      <w:pPr>
        <w:keepNext/>
        <w:rPr>
          <w:b/>
          <w:szCs w:val="22"/>
        </w:rPr>
      </w:pPr>
      <w:permStart w:id="1355031299" w:edGrp="everyone"/>
      <w:r w:rsidRPr="000C32A1">
        <w:rPr>
          <w:b/>
          <w:szCs w:val="22"/>
        </w:rPr>
        <w:t>General Comments</w:t>
      </w:r>
    </w:p>
    <w:p w:rsidR="000C32A1" w:rsidRDefault="000C32A1" w:rsidP="000C32A1">
      <w:pPr>
        <w:keepNext/>
        <w:rPr>
          <w:b/>
          <w:szCs w:val="22"/>
        </w:rPr>
      </w:pPr>
      <w:r w:rsidRPr="000C32A1">
        <w:rPr>
          <w:szCs w:val="22"/>
        </w:rPr>
        <w:t xml:space="preserve">Where a product is identified using an ISIN in field 54, then subsequent instrument fields should not need populating.  This approach will minimise the risk of inaccuracies across the industry and make it more likely regulators receive the correct standard of data.  We accept that in certain instances such as OTC and to a lesser extent </w:t>
      </w:r>
      <w:proofErr w:type="gramStart"/>
      <w:r w:rsidRPr="000C32A1">
        <w:rPr>
          <w:szCs w:val="22"/>
        </w:rPr>
        <w:t xml:space="preserve">where  </w:t>
      </w:r>
      <w:proofErr w:type="spellStart"/>
      <w:r w:rsidRPr="000C32A1">
        <w:rPr>
          <w:szCs w:val="22"/>
        </w:rPr>
        <w:t>A</w:t>
      </w:r>
      <w:r>
        <w:rPr>
          <w:szCs w:val="22"/>
        </w:rPr>
        <w:t>ii</w:t>
      </w:r>
      <w:proofErr w:type="spellEnd"/>
      <w:proofErr w:type="gramEnd"/>
      <w:r w:rsidRPr="000C32A1">
        <w:rPr>
          <w:szCs w:val="22"/>
        </w:rPr>
        <w:t xml:space="preserve"> is used this approach does not provide the detail that regulators require but with ISINs it is possible to rely on the associated reference data</w:t>
      </w:r>
      <w:r w:rsidRPr="000C32A1">
        <w:rPr>
          <w:b/>
          <w:szCs w:val="22"/>
        </w:rPr>
        <w:t>.</w:t>
      </w:r>
    </w:p>
    <w:p w:rsidR="000C32A1" w:rsidRDefault="000C32A1" w:rsidP="00895AC7">
      <w:pPr>
        <w:keepNext/>
        <w:rPr>
          <w:b/>
          <w:szCs w:val="22"/>
        </w:rPr>
      </w:pPr>
    </w:p>
    <w:p w:rsidR="000C32A1" w:rsidRPr="000C32A1" w:rsidRDefault="000C32A1" w:rsidP="000C32A1">
      <w:pPr>
        <w:keepNext/>
        <w:rPr>
          <w:szCs w:val="22"/>
        </w:rPr>
      </w:pPr>
      <w:r w:rsidRPr="000C32A1">
        <w:rPr>
          <w:szCs w:val="22"/>
        </w:rPr>
        <w:t xml:space="preserve">In general, firms believe that, in order to achieve clarity as to the population of each transaction reporting field, this will require detailed scenarios at an asset class level, to be analysed and an explanation as </w:t>
      </w:r>
      <w:proofErr w:type="gramStart"/>
      <w:r w:rsidRPr="000C32A1">
        <w:rPr>
          <w:szCs w:val="22"/>
        </w:rPr>
        <w:t>to  how</w:t>
      </w:r>
      <w:proofErr w:type="gramEnd"/>
      <w:r w:rsidRPr="000C32A1">
        <w:rPr>
          <w:szCs w:val="22"/>
        </w:rPr>
        <w:t xml:space="preserve"> fields are expected to be populated for each</w:t>
      </w:r>
      <w:r w:rsidRPr="000C32A1">
        <w:t xml:space="preserve"> </w:t>
      </w:r>
      <w:r w:rsidRPr="000C32A1">
        <w:rPr>
          <w:szCs w:val="22"/>
        </w:rPr>
        <w:t>of the scenarios. We therefore encourage ESMA to work with the industry to put in place a transaction reporting guide (Level 3 Guidelines), which will assist firms in achieving consistent and accurate reporting.  In the absence of such a guide</w:t>
      </w:r>
      <w:proofErr w:type="gramStart"/>
      <w:r w:rsidRPr="000C32A1">
        <w:rPr>
          <w:szCs w:val="22"/>
        </w:rPr>
        <w:t>,  investment</w:t>
      </w:r>
      <w:proofErr w:type="gramEnd"/>
      <w:r w:rsidRPr="000C32A1">
        <w:rPr>
          <w:szCs w:val="22"/>
        </w:rPr>
        <w:t xml:space="preserve"> firms may interpret the population of each field differently. In addition firms suggest that ESMA clearly identifies where fields are mandatory, optional or non-applicable in the draft RTS 32 or in Level 3 Guidelines.  </w:t>
      </w:r>
    </w:p>
    <w:p w:rsidR="000C32A1" w:rsidRPr="000C32A1" w:rsidRDefault="000C32A1" w:rsidP="000C32A1">
      <w:pPr>
        <w:keepNext/>
        <w:rPr>
          <w:szCs w:val="22"/>
        </w:rPr>
      </w:pPr>
      <w:r w:rsidRPr="000C32A1">
        <w:rPr>
          <w:szCs w:val="22"/>
        </w:rPr>
        <w:t>In light of ESMA’s experience with EMIR reporting may we suggest that ESMA specifies as part of the Technical Standards the validation required for each field so that firms with reporting obligations are able to implement this at the outset rather than retrospectively as with EMIR.</w:t>
      </w:r>
    </w:p>
    <w:p w:rsidR="000C32A1" w:rsidRPr="000C32A1" w:rsidRDefault="000C32A1" w:rsidP="000C32A1">
      <w:pPr>
        <w:keepNext/>
        <w:rPr>
          <w:szCs w:val="22"/>
        </w:rPr>
      </w:pPr>
      <w:r w:rsidRPr="000C32A1">
        <w:rPr>
          <w:szCs w:val="22"/>
        </w:rPr>
        <w:t xml:space="preserve">The BBA members would propose that ESMA work with the industry to agree asset class scenarios, golden instrument identifiers &amp; product taxonomies.  This should also be aligned with other MiFID reporting requirements where appropriate.  </w:t>
      </w:r>
    </w:p>
    <w:p w:rsidR="000C32A1" w:rsidRPr="000C32A1" w:rsidRDefault="000C32A1" w:rsidP="000C32A1">
      <w:pPr>
        <w:keepNext/>
        <w:rPr>
          <w:szCs w:val="22"/>
        </w:rPr>
      </w:pPr>
    </w:p>
    <w:p w:rsidR="000C32A1" w:rsidRPr="000C32A1" w:rsidRDefault="000C32A1" w:rsidP="000C32A1">
      <w:pPr>
        <w:keepNext/>
        <w:rPr>
          <w:b/>
          <w:szCs w:val="22"/>
        </w:rPr>
      </w:pPr>
      <w:r w:rsidRPr="000C32A1">
        <w:rPr>
          <w:b/>
          <w:szCs w:val="22"/>
        </w:rPr>
        <w:t>Field Specific comments</w:t>
      </w:r>
    </w:p>
    <w:p w:rsidR="000C32A1" w:rsidRDefault="000C32A1" w:rsidP="00895AC7">
      <w:pPr>
        <w:keepNext/>
        <w:rPr>
          <w:szCs w:val="22"/>
        </w:rPr>
      </w:pPr>
    </w:p>
    <w:p w:rsidR="000C32A1" w:rsidRDefault="000C32A1" w:rsidP="000C32A1">
      <w:pPr>
        <w:keepNext/>
        <w:rPr>
          <w:szCs w:val="22"/>
        </w:rPr>
      </w:pPr>
      <w:r w:rsidRPr="000C32A1">
        <w:rPr>
          <w:szCs w:val="22"/>
        </w:rPr>
        <w:t xml:space="preserve">Further to the above, we would like to make the following comments and suggested </w:t>
      </w:r>
      <w:proofErr w:type="gramStart"/>
      <w:r w:rsidRPr="000C32A1">
        <w:rPr>
          <w:szCs w:val="22"/>
        </w:rPr>
        <w:t>amendments  on</w:t>
      </w:r>
      <w:proofErr w:type="gramEnd"/>
      <w:r w:rsidRPr="000C32A1">
        <w:rPr>
          <w:szCs w:val="22"/>
        </w:rPr>
        <w:t xml:space="preserve"> the ESMA’s proposed fields: </w:t>
      </w:r>
    </w:p>
    <w:p w:rsidR="000C32A1" w:rsidRPr="000C32A1" w:rsidRDefault="000C32A1" w:rsidP="000C32A1">
      <w:pPr>
        <w:keepNext/>
        <w:rPr>
          <w:szCs w:val="22"/>
        </w:rPr>
      </w:pPr>
    </w:p>
    <w:p w:rsidR="000C32A1" w:rsidRDefault="000C32A1" w:rsidP="000C32A1">
      <w:pPr>
        <w:keepNext/>
        <w:rPr>
          <w:szCs w:val="22"/>
        </w:rPr>
      </w:pPr>
      <w:r w:rsidRPr="000C32A1">
        <w:rPr>
          <w:b/>
          <w:szCs w:val="22"/>
        </w:rPr>
        <w:t>Natural person information: Fields 8 – 19 &amp; 23-34</w:t>
      </w:r>
      <w:r w:rsidRPr="000C32A1">
        <w:rPr>
          <w:szCs w:val="22"/>
        </w:rPr>
        <w:t xml:space="preserve">- Firms would like to reiterate their concern with the amount of personal data that ESMA is suggesting be included in each transaction report. We believe that ESMA’s proposals to have natural persons identified by a national ID number robustly and uniquely </w:t>
      </w:r>
      <w:proofErr w:type="gramStart"/>
      <w:r w:rsidRPr="000C32A1">
        <w:rPr>
          <w:szCs w:val="22"/>
        </w:rPr>
        <w:t>identifies</w:t>
      </w:r>
      <w:proofErr w:type="gramEnd"/>
      <w:r w:rsidRPr="000C32A1">
        <w:rPr>
          <w:szCs w:val="22"/>
        </w:rPr>
        <w:t xml:space="preserve"> each natural person and should therefore be enough for transaction reporting purposes. We do not agree that additional information such as the name, the surname, the date of birth, the country of residence and the post code is required in order for competent authorities to monitor for</w:t>
      </w:r>
      <w:r w:rsidRPr="000C32A1">
        <w:t xml:space="preserve"> </w:t>
      </w:r>
      <w:r w:rsidRPr="000C32A1">
        <w:rPr>
          <w:szCs w:val="22"/>
        </w:rPr>
        <w:t xml:space="preserve">market abuse.  </w:t>
      </w:r>
    </w:p>
    <w:p w:rsidR="000C32A1" w:rsidRDefault="000C32A1" w:rsidP="000C32A1">
      <w:pPr>
        <w:keepNext/>
        <w:rPr>
          <w:szCs w:val="22"/>
        </w:rPr>
      </w:pPr>
    </w:p>
    <w:p w:rsidR="000C32A1" w:rsidRDefault="000C32A1" w:rsidP="000C32A1">
      <w:pPr>
        <w:keepNext/>
        <w:rPr>
          <w:szCs w:val="22"/>
        </w:rPr>
      </w:pPr>
      <w:r w:rsidRPr="000C32A1">
        <w:rPr>
          <w:szCs w:val="22"/>
        </w:rPr>
        <w:t xml:space="preserve">The proposed additional information might on the contrary overcomplicate the report with unnecessary attributes. For example, we question how including the date of birth of an individual in the reports is considered as an essential piece of information for market abuse purposes when that person is already uniquely identified by their national ID number. Also two natural persons will not have the same national ID number so we do not see how adding its date of birth to the report will provide any additional useful information to the regulators. </w:t>
      </w:r>
    </w:p>
    <w:p w:rsidR="000C32A1" w:rsidRDefault="000C32A1" w:rsidP="000C32A1">
      <w:pPr>
        <w:keepNext/>
        <w:rPr>
          <w:szCs w:val="22"/>
        </w:rPr>
      </w:pPr>
    </w:p>
    <w:p w:rsidR="000C32A1" w:rsidRDefault="000C32A1" w:rsidP="000C32A1">
      <w:pPr>
        <w:keepNext/>
        <w:rPr>
          <w:szCs w:val="22"/>
        </w:rPr>
      </w:pPr>
      <w:r w:rsidRPr="000C32A1">
        <w:rPr>
          <w:szCs w:val="22"/>
        </w:rPr>
        <w:lastRenderedPageBreak/>
        <w:t>In addition, ESMA also requires the post code of natural persons to be identified in the reports. As ESMA is aware individuals frequently change addresses and/or could have multiple addresses. For all these reasons, we think that requiring firms to include all this additional information in the transaction reports is not properly justified, and is unreasonable and disproportionate.  We would urge ESMA to review the amount of personal data that it proposes to include in transaction reports and to reduce it to a minimum.</w:t>
      </w:r>
    </w:p>
    <w:p w:rsidR="000C32A1" w:rsidRPr="000C32A1" w:rsidRDefault="000C32A1" w:rsidP="000C32A1">
      <w:pPr>
        <w:keepNext/>
        <w:rPr>
          <w:szCs w:val="22"/>
        </w:rPr>
      </w:pPr>
    </w:p>
    <w:p w:rsidR="000C32A1" w:rsidRPr="000C32A1" w:rsidRDefault="000C32A1" w:rsidP="000C32A1">
      <w:pPr>
        <w:keepNext/>
        <w:rPr>
          <w:szCs w:val="22"/>
        </w:rPr>
      </w:pPr>
      <w:r w:rsidRPr="000C32A1">
        <w:rPr>
          <w:szCs w:val="22"/>
        </w:rPr>
        <w:t>In the consultation paper (paragraph 98), ESMA’s acknowledges concerns related to data protection and states that it will ensure full compliance with the data protection law. Providing personal data in transaction reports greatly increases the risk of personal data fraud, risks of identity theft and raises important privacy concerns under EC Data Protection Directive. The industry would like to understand how ESMA will mitigate these risks.</w:t>
      </w:r>
    </w:p>
    <w:p w:rsidR="000C32A1" w:rsidRDefault="000C32A1" w:rsidP="00895AC7">
      <w:pPr>
        <w:keepNext/>
        <w:rPr>
          <w:b/>
          <w:szCs w:val="22"/>
        </w:rPr>
      </w:pPr>
    </w:p>
    <w:p w:rsidR="0097016D" w:rsidRDefault="00895AC7" w:rsidP="00895AC7">
      <w:pPr>
        <w:keepNext/>
        <w:rPr>
          <w:szCs w:val="22"/>
        </w:rPr>
      </w:pPr>
      <w:r>
        <w:rPr>
          <w:b/>
          <w:szCs w:val="22"/>
        </w:rPr>
        <w:t xml:space="preserve">Execution Time: </w:t>
      </w:r>
      <w:r w:rsidRPr="00895AC7">
        <w:rPr>
          <w:b/>
          <w:szCs w:val="22"/>
        </w:rPr>
        <w:t>Field 41</w:t>
      </w:r>
      <w:r>
        <w:rPr>
          <w:b/>
          <w:szCs w:val="22"/>
        </w:rPr>
        <w:t xml:space="preserve">- </w:t>
      </w:r>
      <w:r w:rsidRPr="00895AC7">
        <w:rPr>
          <w:szCs w:val="22"/>
        </w:rPr>
        <w:t>Firms would ask ESMA to set a fixed format (UTC) for reporting of execution timestamp to enable firms to implement more efficiently and enable their control frameworks to operate with a standard field length.</w:t>
      </w:r>
    </w:p>
    <w:p w:rsidR="00895AC7" w:rsidRDefault="00895AC7" w:rsidP="00895AC7">
      <w:pPr>
        <w:keepNext/>
        <w:rPr>
          <w:szCs w:val="22"/>
        </w:rPr>
      </w:pPr>
    </w:p>
    <w:p w:rsidR="00895AC7" w:rsidRPr="00895AC7" w:rsidRDefault="00895AC7" w:rsidP="00895AC7">
      <w:pPr>
        <w:keepNext/>
        <w:rPr>
          <w:szCs w:val="22"/>
        </w:rPr>
      </w:pPr>
      <w:r w:rsidRPr="00895AC7">
        <w:rPr>
          <w:b/>
          <w:szCs w:val="22"/>
        </w:rPr>
        <w:t>Information on prices: Fields 45 -50 –</w:t>
      </w:r>
      <w:r>
        <w:rPr>
          <w:b/>
          <w:szCs w:val="22"/>
        </w:rPr>
        <w:t xml:space="preserve"> </w:t>
      </w:r>
      <w:r w:rsidRPr="00895AC7">
        <w:rPr>
          <w:szCs w:val="22"/>
        </w:rPr>
        <w:t xml:space="preserve"> The consideration field is subject to interpretation and question e.g. listed futures transactions do not have a ‘settlement consideration’ and other derivative transactions will have complex calculations to determine consideration,  a consideration in many cases not existing at all. </w:t>
      </w:r>
    </w:p>
    <w:p w:rsidR="00895AC7" w:rsidRDefault="00895AC7" w:rsidP="00895AC7">
      <w:pPr>
        <w:keepNext/>
        <w:rPr>
          <w:szCs w:val="22"/>
        </w:rPr>
      </w:pPr>
      <w:r w:rsidRPr="00895AC7">
        <w:rPr>
          <w:szCs w:val="22"/>
        </w:rPr>
        <w:t xml:space="preserve">Currency throughout a trade is not always consistent, with executed price currency (field 47), underlying instrument currency where applicable (field 48) and consideration (settlement) currency often differing (field 50), which can be dependent on client / counterparty preference.  </w:t>
      </w:r>
    </w:p>
    <w:p w:rsidR="00895AC7" w:rsidRPr="00895AC7" w:rsidRDefault="00895AC7" w:rsidP="00895AC7">
      <w:pPr>
        <w:keepNext/>
        <w:rPr>
          <w:szCs w:val="22"/>
        </w:rPr>
      </w:pPr>
    </w:p>
    <w:p w:rsidR="00895AC7" w:rsidRDefault="00895AC7" w:rsidP="00895AC7">
      <w:pPr>
        <w:keepNext/>
        <w:rPr>
          <w:szCs w:val="22"/>
        </w:rPr>
      </w:pPr>
      <w:r w:rsidRPr="00895AC7">
        <w:rPr>
          <w:szCs w:val="22"/>
        </w:rPr>
        <w:t>The simplest example being where a client requests settlement in a different currency to the currency in which the trade was executed. The requirement for the information reported in fields 45-48 to match information provided in field 50 would result in firms being required to convert values for the purpose of transaction reporting inconsistent with what NCAs observe in market and firm records.  Furthermore, it is anticipated that the consideration value sought (excluding commission and accrued interest) is already provided in other required fields, as this value does not typically align with the ‘settlement value’ this would not be consistent with what NCAs observe in market and firm records.</w:t>
      </w:r>
    </w:p>
    <w:p w:rsidR="00895AC7" w:rsidRDefault="00895AC7" w:rsidP="00895AC7">
      <w:pPr>
        <w:keepNext/>
        <w:rPr>
          <w:szCs w:val="22"/>
        </w:rPr>
      </w:pPr>
    </w:p>
    <w:p w:rsidR="00895AC7" w:rsidRDefault="00895AC7" w:rsidP="00895AC7">
      <w:pPr>
        <w:keepNext/>
        <w:rPr>
          <w:szCs w:val="22"/>
        </w:rPr>
      </w:pPr>
      <w:r w:rsidRPr="00895AC7">
        <w:rPr>
          <w:b/>
          <w:szCs w:val="22"/>
        </w:rPr>
        <w:t>Instrument identification code: Field 54</w:t>
      </w:r>
      <w:r w:rsidRPr="00895AC7">
        <w:rPr>
          <w:szCs w:val="22"/>
        </w:rPr>
        <w:t xml:space="preserve"> – Firms note that the details required when using an AII (or </w:t>
      </w:r>
      <w:proofErr w:type="spellStart"/>
      <w:r w:rsidRPr="00895AC7">
        <w:rPr>
          <w:szCs w:val="22"/>
        </w:rPr>
        <w:t>Aii</w:t>
      </w:r>
      <w:proofErr w:type="spellEnd"/>
      <w:r w:rsidRPr="00895AC7">
        <w:rPr>
          <w:szCs w:val="22"/>
        </w:rPr>
        <w:t>) would not accommodate the information that is provided to the regulator today.   Firms suggest that field 54 should only be populated with the Exchange Product code</w:t>
      </w:r>
      <w:r w:rsidR="000C32A1">
        <w:rPr>
          <w:szCs w:val="22"/>
        </w:rPr>
        <w:t>.</w:t>
      </w:r>
      <w:r w:rsidRPr="00895AC7">
        <w:rPr>
          <w:szCs w:val="22"/>
        </w:rPr>
        <w:t xml:space="preserve"> </w:t>
      </w:r>
      <w:r w:rsidR="000C32A1">
        <w:rPr>
          <w:szCs w:val="22"/>
        </w:rPr>
        <w:t xml:space="preserve"> </w:t>
      </w:r>
      <w:r w:rsidRPr="00895AC7">
        <w:rPr>
          <w:szCs w:val="22"/>
        </w:rPr>
        <w:t>The information on the venue is already specified in Field 51 so there is no need to include this information twice.</w:t>
      </w:r>
    </w:p>
    <w:p w:rsidR="00895AC7" w:rsidRPr="00895AC7" w:rsidRDefault="00895AC7" w:rsidP="00895AC7">
      <w:pPr>
        <w:keepNext/>
        <w:rPr>
          <w:szCs w:val="22"/>
        </w:rPr>
      </w:pPr>
    </w:p>
    <w:p w:rsidR="00895AC7" w:rsidRDefault="00895AC7" w:rsidP="00895AC7">
      <w:pPr>
        <w:keepNext/>
        <w:rPr>
          <w:szCs w:val="22"/>
        </w:rPr>
      </w:pPr>
      <w:r w:rsidRPr="00895AC7">
        <w:rPr>
          <w:szCs w:val="22"/>
        </w:rPr>
        <w:t xml:space="preserve">ESMA has not allowed an alternative identifier where neither an ISIN nor AII exist.  </w:t>
      </w:r>
      <w:r w:rsidR="000C32A1" w:rsidRPr="00895AC7">
        <w:rPr>
          <w:szCs w:val="22"/>
        </w:rPr>
        <w:t>We suggest</w:t>
      </w:r>
      <w:r w:rsidRPr="00895AC7">
        <w:rPr>
          <w:szCs w:val="22"/>
        </w:rPr>
        <w:t xml:space="preserve"> that an option is included to</w:t>
      </w:r>
      <w:r w:rsidRPr="00895AC7">
        <w:t xml:space="preserve"> </w:t>
      </w:r>
      <w:r w:rsidRPr="00895AC7">
        <w:rPr>
          <w:szCs w:val="22"/>
        </w:rPr>
        <w:t>cater for such occurrences otherwise firms will be unable to make the necessary transaction reports.</w:t>
      </w:r>
    </w:p>
    <w:p w:rsidR="00895AC7" w:rsidRPr="00895AC7" w:rsidRDefault="00895AC7" w:rsidP="00895AC7">
      <w:pPr>
        <w:keepNext/>
        <w:rPr>
          <w:szCs w:val="22"/>
        </w:rPr>
      </w:pPr>
    </w:p>
    <w:p w:rsidR="00895AC7" w:rsidRDefault="00895AC7" w:rsidP="00895AC7">
      <w:pPr>
        <w:keepNext/>
        <w:rPr>
          <w:szCs w:val="22"/>
        </w:rPr>
      </w:pPr>
      <w:r w:rsidRPr="00895AC7">
        <w:rPr>
          <w:szCs w:val="22"/>
        </w:rPr>
        <w:t>An OTHER category would allow a report to be made and ESMA should encourage firms to minimise use of the OTHER categorisation.</w:t>
      </w:r>
    </w:p>
    <w:p w:rsidR="00895AC7" w:rsidRPr="00895AC7" w:rsidRDefault="00895AC7" w:rsidP="00895AC7">
      <w:pPr>
        <w:keepNext/>
        <w:rPr>
          <w:szCs w:val="22"/>
        </w:rPr>
      </w:pPr>
    </w:p>
    <w:p w:rsidR="00895AC7" w:rsidRDefault="00895AC7" w:rsidP="00895AC7">
      <w:pPr>
        <w:keepNext/>
        <w:rPr>
          <w:szCs w:val="22"/>
        </w:rPr>
      </w:pPr>
      <w:r w:rsidRPr="00895AC7">
        <w:rPr>
          <w:b/>
          <w:szCs w:val="22"/>
        </w:rPr>
        <w:t>Instrument classification: Fields 55 - 56</w:t>
      </w:r>
      <w:r w:rsidRPr="00895AC7">
        <w:rPr>
          <w:szCs w:val="22"/>
        </w:rPr>
        <w:t xml:space="preserve"> – The CFI code is not available for OTC derivatives as it currently only exists for listed instruments with an ISIN.   </w:t>
      </w:r>
    </w:p>
    <w:p w:rsidR="00895AC7" w:rsidRPr="00895AC7" w:rsidRDefault="00895AC7" w:rsidP="00895AC7">
      <w:pPr>
        <w:keepNext/>
        <w:rPr>
          <w:szCs w:val="22"/>
        </w:rPr>
      </w:pPr>
    </w:p>
    <w:p w:rsidR="00895AC7" w:rsidRDefault="00895AC7" w:rsidP="00895AC7">
      <w:pPr>
        <w:keepNext/>
        <w:rPr>
          <w:szCs w:val="22"/>
        </w:rPr>
      </w:pPr>
      <w:r w:rsidRPr="00895AC7">
        <w:rPr>
          <w:szCs w:val="22"/>
        </w:rPr>
        <w:t>Firms suggest that where the CFI code is unavailable for classes of derivatives that are traded on a platform under MiFIR that firms derive their own internal CFI in the interim until international standards are agreed for UPI.</w:t>
      </w:r>
    </w:p>
    <w:p w:rsidR="00895AC7" w:rsidRPr="00895AC7" w:rsidRDefault="00895AC7" w:rsidP="00895AC7">
      <w:pPr>
        <w:keepNext/>
        <w:rPr>
          <w:szCs w:val="22"/>
        </w:rPr>
      </w:pPr>
    </w:p>
    <w:p w:rsidR="00895AC7" w:rsidRDefault="00895AC7" w:rsidP="00895AC7">
      <w:pPr>
        <w:keepNext/>
        <w:rPr>
          <w:szCs w:val="22"/>
        </w:rPr>
      </w:pPr>
      <w:r w:rsidRPr="00895AC7">
        <w:rPr>
          <w:b/>
          <w:szCs w:val="22"/>
        </w:rPr>
        <w:t>Ultimate underlying instrument code: Field 58</w:t>
      </w:r>
      <w:r w:rsidRPr="00895AC7">
        <w:rPr>
          <w:szCs w:val="22"/>
        </w:rPr>
        <w:t xml:space="preserve"> - Firms would ask ESMA to revise the guidance in RTS 32 so that derivatives where there is for example no underlying ISIN, </w:t>
      </w:r>
      <w:proofErr w:type="spellStart"/>
      <w:r w:rsidRPr="00895AC7">
        <w:rPr>
          <w:szCs w:val="22"/>
        </w:rPr>
        <w:t>Aii</w:t>
      </w:r>
      <w:proofErr w:type="spellEnd"/>
      <w:r w:rsidRPr="00895AC7">
        <w:rPr>
          <w:szCs w:val="22"/>
        </w:rPr>
        <w:t xml:space="preserve">, ISO or LEI can be reported as ‘OTHER’.  Examples would include FX derivatives, CDS and commodities such as gold.  </w:t>
      </w:r>
    </w:p>
    <w:p w:rsidR="000C32A1" w:rsidRPr="00895AC7" w:rsidRDefault="000C32A1" w:rsidP="00895AC7">
      <w:pPr>
        <w:keepNext/>
        <w:rPr>
          <w:szCs w:val="22"/>
        </w:rPr>
      </w:pPr>
    </w:p>
    <w:p w:rsidR="00895AC7" w:rsidRDefault="00895AC7" w:rsidP="00895AC7">
      <w:pPr>
        <w:keepNext/>
        <w:rPr>
          <w:szCs w:val="22"/>
        </w:rPr>
      </w:pPr>
      <w:r w:rsidRPr="00895AC7">
        <w:rPr>
          <w:b/>
          <w:szCs w:val="22"/>
        </w:rPr>
        <w:t>Baskets: Field 58</w:t>
      </w:r>
      <w:r w:rsidRPr="00895AC7">
        <w:rPr>
          <w:szCs w:val="22"/>
        </w:rPr>
        <w:t xml:space="preserve"> - This field poses problems in terms of the potential large number of underlying ISINs that firms might have to populate in this field.  </w:t>
      </w:r>
    </w:p>
    <w:p w:rsidR="00895AC7" w:rsidRPr="00895AC7" w:rsidRDefault="00895AC7" w:rsidP="00895AC7">
      <w:pPr>
        <w:keepNext/>
        <w:rPr>
          <w:szCs w:val="22"/>
        </w:rPr>
      </w:pPr>
    </w:p>
    <w:p w:rsidR="00895AC7" w:rsidRDefault="00895AC7" w:rsidP="00895AC7">
      <w:pPr>
        <w:keepNext/>
        <w:rPr>
          <w:szCs w:val="22"/>
        </w:rPr>
      </w:pPr>
      <w:r w:rsidRPr="00895AC7">
        <w:rPr>
          <w:szCs w:val="22"/>
        </w:rPr>
        <w:t xml:space="preserve">For example an Equity Swap on a bespoke basket of the FTSE250 index with the banking stocks removed – would result in a repeating group population in excess of 200 lines.  The 25 alphanumerical characters allowed will not be sufficient to accommodate these types of baskets. </w:t>
      </w:r>
    </w:p>
    <w:p w:rsidR="00895AC7" w:rsidRPr="00895AC7" w:rsidRDefault="00895AC7" w:rsidP="00895AC7">
      <w:pPr>
        <w:keepNext/>
        <w:rPr>
          <w:szCs w:val="22"/>
        </w:rPr>
      </w:pPr>
    </w:p>
    <w:p w:rsidR="00895AC7" w:rsidRDefault="00895AC7" w:rsidP="00895AC7">
      <w:pPr>
        <w:keepNext/>
        <w:rPr>
          <w:szCs w:val="22"/>
        </w:rPr>
      </w:pPr>
      <w:r w:rsidRPr="00895AC7">
        <w:rPr>
          <w:szCs w:val="22"/>
        </w:rPr>
        <w:t>Firms suggest that where an ISIN or name (if the name is official) is available to identify baskets, sectors or indices then these should be allowed to be used as opposed to free form text which is likely to be widely different amongst firms and therefore less helpful to</w:t>
      </w:r>
      <w:r>
        <w:rPr>
          <w:szCs w:val="22"/>
        </w:rPr>
        <w:t xml:space="preserve"> regulators in detecting market abuse.</w:t>
      </w:r>
    </w:p>
    <w:p w:rsidR="00895AC7" w:rsidRDefault="00895AC7" w:rsidP="00895AC7">
      <w:pPr>
        <w:keepNext/>
        <w:rPr>
          <w:szCs w:val="22"/>
        </w:rPr>
      </w:pPr>
    </w:p>
    <w:p w:rsidR="00895AC7" w:rsidRDefault="00895AC7" w:rsidP="00895AC7">
      <w:pPr>
        <w:keepNext/>
        <w:rPr>
          <w:szCs w:val="22"/>
        </w:rPr>
      </w:pPr>
      <w:r w:rsidRPr="00895AC7">
        <w:rPr>
          <w:szCs w:val="22"/>
        </w:rPr>
        <w:t>Firms would ask that Article 3 (3) (h) is amended to ensure that changes in compositions of baskets are also not reportable after a transaction has occurred:</w:t>
      </w:r>
    </w:p>
    <w:p w:rsidR="00895AC7" w:rsidRPr="00895AC7" w:rsidRDefault="00895AC7" w:rsidP="00895AC7">
      <w:pPr>
        <w:keepNext/>
        <w:rPr>
          <w:szCs w:val="22"/>
        </w:rPr>
      </w:pPr>
    </w:p>
    <w:p w:rsidR="00895AC7" w:rsidRDefault="00895AC7" w:rsidP="00895AC7">
      <w:pPr>
        <w:keepNext/>
        <w:rPr>
          <w:szCs w:val="22"/>
        </w:rPr>
      </w:pPr>
      <w:r w:rsidRPr="00895AC7">
        <w:rPr>
          <w:szCs w:val="22"/>
        </w:rPr>
        <w:t xml:space="preserve">“A change in the composition of an index </w:t>
      </w:r>
      <w:r w:rsidRPr="00895AC7">
        <w:rPr>
          <w:b/>
          <w:szCs w:val="22"/>
        </w:rPr>
        <w:t>or basket</w:t>
      </w:r>
      <w:r w:rsidRPr="00895AC7">
        <w:rPr>
          <w:szCs w:val="22"/>
        </w:rPr>
        <w:t xml:space="preserve"> after a transaction occurred is not reportable”</w:t>
      </w:r>
    </w:p>
    <w:p w:rsidR="00895AC7" w:rsidRDefault="00895AC7" w:rsidP="00895AC7">
      <w:pPr>
        <w:keepNext/>
        <w:rPr>
          <w:szCs w:val="22"/>
        </w:rPr>
      </w:pPr>
    </w:p>
    <w:p w:rsidR="0097016D" w:rsidRDefault="0097016D" w:rsidP="0097016D">
      <w:pPr>
        <w:spacing w:line="240" w:lineRule="auto"/>
        <w:rPr>
          <w:szCs w:val="22"/>
        </w:rPr>
      </w:pPr>
      <w:r w:rsidRPr="002C5279">
        <w:rPr>
          <w:b/>
          <w:szCs w:val="22"/>
        </w:rPr>
        <w:t>Option style: Field 61</w:t>
      </w:r>
      <w:r w:rsidRPr="002C5279">
        <w:rPr>
          <w:szCs w:val="22"/>
        </w:rPr>
        <w:t xml:space="preserve"> – </w:t>
      </w:r>
      <w:r>
        <w:rPr>
          <w:szCs w:val="22"/>
        </w:rPr>
        <w:t>N</w:t>
      </w:r>
      <w:r w:rsidRPr="002C5279">
        <w:rPr>
          <w:szCs w:val="22"/>
        </w:rPr>
        <w:t xml:space="preserve">ot all complex options fit into these categories – </w:t>
      </w:r>
      <w:r>
        <w:rPr>
          <w:szCs w:val="22"/>
        </w:rPr>
        <w:t>f</w:t>
      </w:r>
      <w:r w:rsidRPr="002C5279">
        <w:rPr>
          <w:szCs w:val="22"/>
        </w:rPr>
        <w:t xml:space="preserve">irms </w:t>
      </w:r>
      <w:r w:rsidRPr="002B643F">
        <w:rPr>
          <w:szCs w:val="22"/>
        </w:rPr>
        <w:t>suggest that where a complex option does not fit into the categories listed then ESMA specify an additional category designated “COMPLEX” for this purpose</w:t>
      </w:r>
      <w:r w:rsidRPr="002C5279">
        <w:rPr>
          <w:szCs w:val="22"/>
        </w:rPr>
        <w:t xml:space="preserve">. </w:t>
      </w:r>
    </w:p>
    <w:p w:rsidR="0097016D" w:rsidRPr="002C5279" w:rsidRDefault="0097016D" w:rsidP="0097016D">
      <w:pPr>
        <w:spacing w:line="240" w:lineRule="auto"/>
        <w:rPr>
          <w:szCs w:val="22"/>
        </w:rPr>
      </w:pPr>
    </w:p>
    <w:p w:rsidR="0097016D" w:rsidRDefault="0097016D" w:rsidP="0097016D">
      <w:pPr>
        <w:spacing w:after="200"/>
        <w:rPr>
          <w:szCs w:val="22"/>
        </w:rPr>
      </w:pPr>
      <w:r w:rsidRPr="002C5279">
        <w:rPr>
          <w:b/>
          <w:szCs w:val="22"/>
        </w:rPr>
        <w:t>Result of the exercise: Field 63</w:t>
      </w:r>
      <w:r w:rsidRPr="002C5279">
        <w:rPr>
          <w:szCs w:val="22"/>
        </w:rPr>
        <w:t xml:space="preserve"> – the value N might be considered redundant. </w:t>
      </w:r>
      <w:r w:rsidRPr="00690278">
        <w:rPr>
          <w:szCs w:val="22"/>
        </w:rPr>
        <w:t>Furthermore, firms agree the underlying deliverable itself is reportable as a new transaction but do not feel that its linkage is necessary and would be technically complex for firms whereby derivative products and underlying products (</w:t>
      </w:r>
      <w:r w:rsidR="00A353FB" w:rsidRPr="00690278">
        <w:rPr>
          <w:szCs w:val="22"/>
        </w:rPr>
        <w:t>i.e.</w:t>
      </w:r>
      <w:r w:rsidRPr="00690278">
        <w:rPr>
          <w:szCs w:val="22"/>
        </w:rPr>
        <w:t xml:space="preserve"> Equities) are booked and persisted through separate systems and flows</w:t>
      </w:r>
      <w:r>
        <w:rPr>
          <w:szCs w:val="22"/>
        </w:rPr>
        <w:t>.</w:t>
      </w:r>
    </w:p>
    <w:p w:rsidR="0097016D" w:rsidRPr="002C5279" w:rsidRDefault="0097016D" w:rsidP="0097016D">
      <w:pPr>
        <w:spacing w:after="200"/>
        <w:rPr>
          <w:szCs w:val="22"/>
        </w:rPr>
      </w:pPr>
      <w:r w:rsidRPr="002C5279">
        <w:rPr>
          <w:b/>
          <w:szCs w:val="22"/>
        </w:rPr>
        <w:t>Up-front payment: Fields 65-66</w:t>
      </w:r>
      <w:r w:rsidRPr="002C5279">
        <w:rPr>
          <w:szCs w:val="22"/>
        </w:rPr>
        <w:t xml:space="preserve"> – </w:t>
      </w:r>
      <w:r>
        <w:rPr>
          <w:szCs w:val="22"/>
        </w:rPr>
        <w:t>C</w:t>
      </w:r>
      <w:r w:rsidRPr="002C5279">
        <w:rPr>
          <w:szCs w:val="22"/>
        </w:rPr>
        <w:t>ould ESMA clarify that these fields are only populated in the case of CDS transactions</w:t>
      </w:r>
      <w:r>
        <w:rPr>
          <w:szCs w:val="22"/>
        </w:rPr>
        <w:t>?</w:t>
      </w:r>
      <w:r w:rsidRPr="002C5279">
        <w:rPr>
          <w:szCs w:val="22"/>
        </w:rPr>
        <w:t xml:space="preserve">  </w:t>
      </w:r>
    </w:p>
    <w:p w:rsidR="0097016D" w:rsidRPr="002C5279" w:rsidRDefault="0097016D" w:rsidP="0097016D">
      <w:pPr>
        <w:spacing w:after="200"/>
        <w:rPr>
          <w:szCs w:val="22"/>
        </w:rPr>
      </w:pPr>
      <w:r w:rsidRPr="002C5279">
        <w:rPr>
          <w:b/>
          <w:szCs w:val="22"/>
        </w:rPr>
        <w:t>Trader identification code: Field 68 -69</w:t>
      </w:r>
      <w:r w:rsidRPr="002C5279">
        <w:rPr>
          <w:szCs w:val="22"/>
        </w:rPr>
        <w:t xml:space="preserve"> </w:t>
      </w:r>
    </w:p>
    <w:p w:rsidR="00895AC7" w:rsidRDefault="0097016D" w:rsidP="0097016D">
      <w:pPr>
        <w:keepNext/>
        <w:keepLines/>
        <w:spacing w:before="200" w:after="200"/>
        <w:outlineLvl w:val="1"/>
        <w:rPr>
          <w:szCs w:val="22"/>
        </w:rPr>
      </w:pPr>
      <w:r w:rsidRPr="00895AC7">
        <w:rPr>
          <w:szCs w:val="22"/>
        </w:rPr>
        <w:lastRenderedPageBreak/>
        <w:t>Field 68</w:t>
      </w:r>
      <w:r w:rsidRPr="002C5279">
        <w:rPr>
          <w:szCs w:val="22"/>
        </w:rPr>
        <w:t xml:space="preserve"> should be </w:t>
      </w:r>
      <w:r>
        <w:rPr>
          <w:szCs w:val="22"/>
        </w:rPr>
        <w:t xml:space="preserve">amended as follows </w:t>
      </w:r>
      <w:r w:rsidRPr="004B456A">
        <w:rPr>
          <w:szCs w:val="22"/>
        </w:rPr>
        <w:t>in order to remove an inconsistency between the title and its accompanying text</w:t>
      </w:r>
      <w:r w:rsidR="00895AC7">
        <w:rPr>
          <w:szCs w:val="22"/>
        </w:rPr>
        <w:t>:</w:t>
      </w:r>
    </w:p>
    <w:p w:rsidR="0097016D" w:rsidRPr="002C5279" w:rsidRDefault="0097016D" w:rsidP="0097016D">
      <w:pPr>
        <w:keepNext/>
        <w:keepLines/>
        <w:spacing w:before="200" w:after="200"/>
        <w:outlineLvl w:val="1"/>
        <w:rPr>
          <w:szCs w:val="22"/>
        </w:rPr>
      </w:pPr>
      <w:r w:rsidRPr="002C5279">
        <w:rPr>
          <w:szCs w:val="22"/>
        </w:rPr>
        <w:t xml:space="preserve"> </w:t>
      </w:r>
      <w:r>
        <w:rPr>
          <w:szCs w:val="22"/>
        </w:rPr>
        <w:t>“</w:t>
      </w:r>
      <w:r w:rsidR="00895AC7" w:rsidRPr="002C5279">
        <w:rPr>
          <w:szCs w:val="22"/>
        </w:rPr>
        <w:t>Trader</w:t>
      </w:r>
      <w:r w:rsidRPr="002C5279">
        <w:rPr>
          <w:szCs w:val="22"/>
        </w:rPr>
        <w:t xml:space="preserve"> identification code type </w:t>
      </w:r>
      <w:r>
        <w:rPr>
          <w:szCs w:val="22"/>
        </w:rPr>
        <w:t>(</w:t>
      </w:r>
      <w:r w:rsidRPr="002C5279">
        <w:rPr>
          <w:szCs w:val="22"/>
        </w:rPr>
        <w:t>execution</w:t>
      </w:r>
      <w:r>
        <w:rPr>
          <w:szCs w:val="22"/>
        </w:rPr>
        <w:t>)</w:t>
      </w:r>
      <w:r w:rsidR="00895AC7">
        <w:rPr>
          <w:szCs w:val="22"/>
        </w:rPr>
        <w:t>”</w:t>
      </w:r>
    </w:p>
    <w:p w:rsidR="0097016D" w:rsidRPr="002C5279" w:rsidRDefault="00895AC7" w:rsidP="0097016D">
      <w:pPr>
        <w:spacing w:after="200"/>
        <w:rPr>
          <w:szCs w:val="22"/>
        </w:rPr>
      </w:pPr>
      <w:r w:rsidRPr="00895AC7">
        <w:rPr>
          <w:szCs w:val="22"/>
        </w:rPr>
        <w:t>Firms would like to reiterate their concern with ESMA’s proposal to have traders identified by National ID numbers. BBA members would suggest that there are other more suitable items of identification that could be used and are already used within firms to identify individuals, for example the National Competent Authorities registration number. While we understand the need for a unique national ID number to be used for natural persons when they are clients, we do not think this is justified in the case of a trader working within a firm and already identified by the NCA via the registration number. A trader ID need not be identified more broadly. Moreover, a registration number is better than a personal ID, as it does not inherit the problem of people with dual nationalities</w:t>
      </w:r>
    </w:p>
    <w:p w:rsidR="0097016D" w:rsidRDefault="0097016D" w:rsidP="0097016D">
      <w:pPr>
        <w:spacing w:after="200"/>
        <w:rPr>
          <w:b/>
          <w:szCs w:val="22"/>
        </w:rPr>
      </w:pPr>
      <w:r w:rsidRPr="002C5279">
        <w:rPr>
          <w:b/>
          <w:szCs w:val="22"/>
        </w:rPr>
        <w:t>Short selling indicator: Field 77</w:t>
      </w:r>
    </w:p>
    <w:p w:rsidR="0097016D" w:rsidRDefault="0097016D" w:rsidP="0097016D">
      <w:pPr>
        <w:spacing w:after="200"/>
        <w:rPr>
          <w:szCs w:val="22"/>
        </w:rPr>
      </w:pPr>
      <w:r>
        <w:rPr>
          <w:szCs w:val="22"/>
        </w:rPr>
        <w:t xml:space="preserve">Given that some clients who are also MiFID investment firms have an obligation to report to ESMA, it would be duplicative for firms to also report that these clients are short selling For those clients who are NOT MiFID investments firms, there should be no obligation for the reporting firm to capture this information.  </w:t>
      </w:r>
    </w:p>
    <w:p w:rsidR="0097016D" w:rsidRPr="002C5279" w:rsidRDefault="0097016D" w:rsidP="0097016D">
      <w:pPr>
        <w:spacing w:after="200"/>
        <w:rPr>
          <w:szCs w:val="22"/>
        </w:rPr>
      </w:pPr>
      <w:r>
        <w:rPr>
          <w:szCs w:val="22"/>
        </w:rPr>
        <w:t>Mindful of the above, we would recommend the removal of article 10 (2)and certainly would object to suggestions applying a “best efforts” approach to this as there is no requirement for the client to provide this information To the extent ESMA determines that it cannot delete Article 10(2), it should at least be amended to read: “Where an investment firm’s client is the seller in the transaction, the investment firm shall be obliged to identify the sale as a short sale if its client has identified the sale as a short sale to the investment firm”.  Investment firms should only be expected to pass on information actually provided to them by their clients in this respect.</w:t>
      </w:r>
    </w:p>
    <w:p w:rsidR="0097016D" w:rsidRDefault="0097016D" w:rsidP="0097016D">
      <w:pPr>
        <w:spacing w:after="200"/>
        <w:rPr>
          <w:szCs w:val="22"/>
        </w:rPr>
      </w:pPr>
      <w:r>
        <w:rPr>
          <w:szCs w:val="22"/>
        </w:rPr>
        <w:t xml:space="preserve">Furthermore, </w:t>
      </w:r>
      <w:r w:rsidRPr="002C5279">
        <w:rPr>
          <w:szCs w:val="22"/>
        </w:rPr>
        <w:t xml:space="preserve">ESMA is proposing for </w:t>
      </w:r>
      <w:r>
        <w:rPr>
          <w:szCs w:val="22"/>
        </w:rPr>
        <w:t xml:space="preserve">our member </w:t>
      </w:r>
      <w:r w:rsidRPr="002C5279">
        <w:rPr>
          <w:szCs w:val="22"/>
        </w:rPr>
        <w:t xml:space="preserve">firms to identify whether the sale was short at the time of execution and at legal entity level. </w:t>
      </w:r>
      <w:r w:rsidRPr="00091645">
        <w:rPr>
          <w:szCs w:val="22"/>
        </w:rPr>
        <w:t xml:space="preserve">Having this information identified at the time of execution would be extremely challenging /close to impossible for firms to achieve. If ESMA wants this information to be identified at entity level then we would suggest the short selling flag requirement under transaction reporting to be as aligned as </w:t>
      </w:r>
      <w:r>
        <w:rPr>
          <w:szCs w:val="22"/>
        </w:rPr>
        <w:t xml:space="preserve">far as </w:t>
      </w:r>
      <w:r w:rsidRPr="00091645">
        <w:rPr>
          <w:szCs w:val="22"/>
        </w:rPr>
        <w:t xml:space="preserve">possible with the firms’ obligations under the Short Selling Regulation (SSR). In this case, reporting firms would identify whether they are gross short in applicable securities at the end of the day, without taking into account short sales undertaken in a market making capacity. This solution would allow firm’s to provide more meaningful information to the regulators </w:t>
      </w:r>
      <w:r>
        <w:rPr>
          <w:szCs w:val="22"/>
        </w:rPr>
        <w:t>whom</w:t>
      </w:r>
      <w:r w:rsidRPr="00091645">
        <w:rPr>
          <w:szCs w:val="22"/>
        </w:rPr>
        <w:t xml:space="preserve"> would be more able to rely </w:t>
      </w:r>
      <w:r>
        <w:rPr>
          <w:szCs w:val="22"/>
        </w:rPr>
        <w:t>up</w:t>
      </w:r>
      <w:r w:rsidRPr="00091645">
        <w:rPr>
          <w:szCs w:val="22"/>
        </w:rPr>
        <w:t>on this data. Also, this approach would allow all firms to use their existing mechanism put in place under SSR and avoid major undertakings</w:t>
      </w:r>
      <w:r>
        <w:rPr>
          <w:szCs w:val="22"/>
        </w:rPr>
        <w:t xml:space="preserve"> with implementation</w:t>
      </w:r>
      <w:r w:rsidRPr="00091645">
        <w:rPr>
          <w:szCs w:val="22"/>
        </w:rPr>
        <w:t xml:space="preserve">. This is the preferred </w:t>
      </w:r>
      <w:r>
        <w:rPr>
          <w:szCs w:val="22"/>
        </w:rPr>
        <w:t xml:space="preserve">approach </w:t>
      </w:r>
      <w:proofErr w:type="gramStart"/>
      <w:r w:rsidRPr="00091645">
        <w:rPr>
          <w:szCs w:val="22"/>
        </w:rPr>
        <w:t>by  BBA</w:t>
      </w:r>
      <w:proofErr w:type="gramEnd"/>
      <w:r w:rsidRPr="00091645">
        <w:rPr>
          <w:szCs w:val="22"/>
        </w:rPr>
        <w:t xml:space="preserve"> members.</w:t>
      </w:r>
    </w:p>
    <w:p w:rsidR="0097016D" w:rsidRDefault="0097016D" w:rsidP="0097016D">
      <w:pPr>
        <w:spacing w:after="200"/>
        <w:rPr>
          <w:szCs w:val="22"/>
        </w:rPr>
      </w:pPr>
      <w:r w:rsidRPr="003A3D7B">
        <w:t xml:space="preserve">Alternatively, if the above solution is not satisfactory for ESMA, </w:t>
      </w:r>
      <w:r>
        <w:t xml:space="preserve">we would like </w:t>
      </w:r>
      <w:r w:rsidRPr="003A3D7B">
        <w:t xml:space="preserve">ESMA </w:t>
      </w:r>
      <w:r>
        <w:t>to</w:t>
      </w:r>
      <w:r w:rsidRPr="003A3D7B">
        <w:t xml:space="preserve"> consider the short selling flag to be applied at desk/book level at the time of execution.  Again, it is extremely challenging to capture short selling information at legal entity level</w:t>
      </w:r>
      <w:r>
        <w:t>,</w:t>
      </w:r>
      <w:r w:rsidRPr="003A3D7B">
        <w:t xml:space="preserve"> and at the time of execution.</w:t>
      </w:r>
      <w:r w:rsidRPr="003A3D7B">
        <w:rPr>
          <w:szCs w:val="22"/>
        </w:rPr>
        <w:t xml:space="preserve"> Indeed, firms may</w:t>
      </w:r>
      <w:r>
        <w:rPr>
          <w:szCs w:val="22"/>
        </w:rPr>
        <w:t xml:space="preserve"> be taking </w:t>
      </w:r>
      <w:r w:rsidRPr="003A3D7B">
        <w:rPr>
          <w:szCs w:val="22"/>
        </w:rPr>
        <w:t>many orders across different trading desks/ locations that are over-riding each other with regards to short selling at an entity level</w:t>
      </w:r>
      <w:r>
        <w:rPr>
          <w:szCs w:val="22"/>
        </w:rPr>
        <w:t xml:space="preserve">.  </w:t>
      </w:r>
      <w:r>
        <w:rPr>
          <w:szCs w:val="22"/>
        </w:rPr>
        <w:lastRenderedPageBreak/>
        <w:t>E</w:t>
      </w:r>
      <w:r w:rsidRPr="003A3D7B">
        <w:rPr>
          <w:szCs w:val="22"/>
        </w:rPr>
        <w:t xml:space="preserve">specially when using a systemic approach such as a VWAP model. </w:t>
      </w:r>
      <w:r w:rsidRPr="003A3D7B">
        <w:t>The</w:t>
      </w:r>
      <w:r>
        <w:t>refore the</w:t>
      </w:r>
      <w:r w:rsidRPr="003A3D7B">
        <w:t xml:space="preserve"> most appropriate way for firms to flag the information at the time of execution would be to flag it at desk/book</w:t>
      </w:r>
      <w:r>
        <w:t xml:space="preserve"> level.  </w:t>
      </w:r>
      <w:r w:rsidRPr="003A3D7B">
        <w:rPr>
          <w:szCs w:val="22"/>
        </w:rPr>
        <w:t>This is an approach which is currently being used in the US</w:t>
      </w:r>
      <w:r>
        <w:rPr>
          <w:szCs w:val="22"/>
        </w:rPr>
        <w:t>A</w:t>
      </w:r>
      <w:r w:rsidRPr="003A3D7B">
        <w:rPr>
          <w:szCs w:val="22"/>
        </w:rPr>
        <w:t xml:space="preserve"> </w:t>
      </w:r>
    </w:p>
    <w:p w:rsidR="0097016D" w:rsidRPr="00AA2BEB" w:rsidRDefault="0097016D" w:rsidP="0097016D">
      <w:pPr>
        <w:spacing w:after="200"/>
        <w:rPr>
          <w:b/>
          <w:szCs w:val="22"/>
        </w:rPr>
      </w:pPr>
      <w:r w:rsidRPr="00AA2BEB">
        <w:rPr>
          <w:b/>
          <w:szCs w:val="22"/>
        </w:rPr>
        <w:t>Field 80</w:t>
      </w:r>
      <w:r>
        <w:rPr>
          <w:b/>
          <w:szCs w:val="22"/>
        </w:rPr>
        <w:t>b</w:t>
      </w:r>
    </w:p>
    <w:p w:rsidR="0097016D" w:rsidRPr="002C5279" w:rsidRDefault="0097016D" w:rsidP="0097016D">
      <w:pPr>
        <w:spacing w:line="240" w:lineRule="auto"/>
        <w:rPr>
          <w:szCs w:val="22"/>
        </w:rPr>
      </w:pPr>
      <w:r w:rsidRPr="0055426B">
        <w:rPr>
          <w:szCs w:val="22"/>
        </w:rPr>
        <w:t xml:space="preserve">In addition for reconciliation and control purposes firms would suggest an additional field that represents an identifier – unique to the firm to identify the transaction report.  Field 80 could be used for this purpose </w:t>
      </w:r>
      <w:r>
        <w:rPr>
          <w:szCs w:val="22"/>
        </w:rPr>
        <w:t>but</w:t>
      </w:r>
      <w:r w:rsidRPr="0055426B">
        <w:rPr>
          <w:szCs w:val="22"/>
        </w:rPr>
        <w:t xml:space="preserve"> not where the Field is used for venues unique ID.  Hence</w:t>
      </w:r>
      <w:r>
        <w:rPr>
          <w:szCs w:val="22"/>
        </w:rPr>
        <w:t>,</w:t>
      </w:r>
      <w:r w:rsidRPr="0055426B">
        <w:rPr>
          <w:szCs w:val="22"/>
        </w:rPr>
        <w:t xml:space="preserve"> we suggest an</w:t>
      </w:r>
      <w:r>
        <w:rPr>
          <w:szCs w:val="22"/>
        </w:rPr>
        <w:t xml:space="preserve"> additional</w:t>
      </w:r>
      <w:r w:rsidRPr="0055426B">
        <w:rPr>
          <w:szCs w:val="22"/>
        </w:rPr>
        <w:t xml:space="preserve"> alternative field be provided.</w:t>
      </w:r>
    </w:p>
    <w:p w:rsidR="0097016D" w:rsidRDefault="0097016D" w:rsidP="0097016D">
      <w:pPr>
        <w:spacing w:after="200"/>
        <w:rPr>
          <w:szCs w:val="22"/>
        </w:rPr>
      </w:pPr>
    </w:p>
    <w:p w:rsidR="0097016D" w:rsidRPr="00A353FB" w:rsidRDefault="0097016D" w:rsidP="00A353FB">
      <w:pPr>
        <w:spacing w:after="200"/>
        <w:rPr>
          <w:b/>
          <w:szCs w:val="22"/>
        </w:rPr>
      </w:pPr>
      <w:r w:rsidDel="000162E1">
        <w:rPr>
          <w:szCs w:val="22"/>
        </w:rPr>
        <w:t xml:space="preserve"> </w:t>
      </w:r>
      <w:r w:rsidRPr="005F1B47">
        <w:rPr>
          <w:b/>
          <w:szCs w:val="22"/>
        </w:rPr>
        <w:t>Report Status – Field 81</w:t>
      </w:r>
    </w:p>
    <w:p w:rsidR="0097016D" w:rsidRDefault="0097016D" w:rsidP="0097016D">
      <w:pPr>
        <w:pStyle w:val="PlainText"/>
        <w:spacing w:line="276" w:lineRule="auto"/>
        <w:rPr>
          <w:rFonts w:ascii="Arial" w:hAnsi="Arial" w:cs="Arial"/>
          <w:szCs w:val="22"/>
        </w:rPr>
      </w:pPr>
      <w:r>
        <w:rPr>
          <w:rFonts w:ascii="Arial" w:hAnsi="Arial" w:cs="Arial"/>
          <w:szCs w:val="22"/>
        </w:rPr>
        <w:t xml:space="preserve">Members are concerned that only </w:t>
      </w:r>
      <w:proofErr w:type="gramStart"/>
      <w:r>
        <w:rPr>
          <w:rFonts w:ascii="Arial" w:hAnsi="Arial" w:cs="Arial"/>
          <w:szCs w:val="22"/>
        </w:rPr>
        <w:t>N(</w:t>
      </w:r>
      <w:proofErr w:type="gramEnd"/>
      <w:r>
        <w:rPr>
          <w:rFonts w:ascii="Arial" w:hAnsi="Arial" w:cs="Arial"/>
          <w:szCs w:val="22"/>
        </w:rPr>
        <w:t xml:space="preserve">new) and C(cancel) </w:t>
      </w:r>
      <w:r w:rsidR="00895AC7">
        <w:rPr>
          <w:rFonts w:ascii="Arial" w:hAnsi="Arial" w:cs="Arial"/>
          <w:szCs w:val="22"/>
        </w:rPr>
        <w:t>are</w:t>
      </w:r>
      <w:r>
        <w:rPr>
          <w:rFonts w:ascii="Arial" w:hAnsi="Arial" w:cs="Arial"/>
          <w:szCs w:val="22"/>
        </w:rPr>
        <w:t xml:space="preserve"> applicable, and there is no mention of A(amend).</w:t>
      </w:r>
    </w:p>
    <w:p w:rsidR="000C32A1" w:rsidRDefault="000C32A1" w:rsidP="0097016D">
      <w:pPr>
        <w:pStyle w:val="PlainText"/>
        <w:spacing w:line="276" w:lineRule="auto"/>
        <w:rPr>
          <w:rFonts w:ascii="Arial" w:hAnsi="Arial" w:cs="Arial"/>
          <w:szCs w:val="22"/>
        </w:rPr>
      </w:pPr>
    </w:p>
    <w:p w:rsidR="0097016D" w:rsidRPr="0097016D" w:rsidRDefault="0097016D" w:rsidP="0097016D">
      <w:pPr>
        <w:pStyle w:val="PlainText"/>
        <w:spacing w:line="276" w:lineRule="auto"/>
        <w:rPr>
          <w:b/>
          <w:szCs w:val="22"/>
        </w:rPr>
      </w:pPr>
      <w:r>
        <w:rPr>
          <w:rFonts w:ascii="Arial" w:hAnsi="Arial" w:cs="Arial"/>
          <w:szCs w:val="22"/>
        </w:rPr>
        <w:t xml:space="preserve">This will create an unnecessary additional volume of reports.  We would – welcome the possibility to amend reports instead of cancelling and then reporting new trades. </w:t>
      </w:r>
    </w:p>
    <w:permEnd w:id="1355031299"/>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97016D" w:rsidRDefault="0097016D" w:rsidP="0097016D">
      <w:pPr>
        <w:spacing w:line="240" w:lineRule="auto"/>
      </w:pPr>
      <w:permStart w:id="641674250" w:edGrp="everyone"/>
      <w:r w:rsidRPr="00F111F1">
        <w:t xml:space="preserve">ESMA may find it beneficial to remove the field name </w:t>
      </w:r>
      <w:r w:rsidR="00895AC7">
        <w:t>–</w:t>
      </w:r>
      <w:r w:rsidRPr="00F111F1">
        <w:t xml:space="preserve"> </w:t>
      </w:r>
      <w:r w:rsidR="00895AC7">
        <w:t>‘</w:t>
      </w:r>
      <w:r w:rsidRPr="00F111F1">
        <w:t>Trading Capacity</w:t>
      </w:r>
      <w:r w:rsidR="00895AC7">
        <w:t>’</w:t>
      </w:r>
      <w:r w:rsidRPr="00F111F1">
        <w:t xml:space="preserve"> and replace it with the field name ‘Reporting Capacity</w:t>
      </w:r>
      <w:r>
        <w:t>’</w:t>
      </w:r>
      <w:r w:rsidRPr="00F111F1">
        <w:t xml:space="preserve">.  </w:t>
      </w:r>
    </w:p>
    <w:p w:rsidR="0097016D" w:rsidRDefault="0097016D" w:rsidP="0097016D">
      <w:pPr>
        <w:spacing w:line="240" w:lineRule="auto"/>
      </w:pPr>
    </w:p>
    <w:p w:rsidR="0097016D" w:rsidRDefault="0097016D" w:rsidP="0097016D">
      <w:pPr>
        <w:spacing w:line="240" w:lineRule="auto"/>
      </w:pPr>
      <w:r>
        <w:t xml:space="preserve">Firms recognise that one of the objectives of a transaction report is to identify market abuse through changes in the position within firms. Through the use of </w:t>
      </w:r>
      <w:r w:rsidR="00895AC7">
        <w:t>‘</w:t>
      </w:r>
      <w:r>
        <w:t>Trading Capacities</w:t>
      </w:r>
      <w:r w:rsidR="00895AC7">
        <w:t>’</w:t>
      </w:r>
      <w:r>
        <w:t xml:space="preserve">, NCAs can detect changes in beneficial ownership for example through the use of “Principal”, “Agent” or when they are fulfilling client orders simultaneously – “Matched Principal”. However, “Matched Principal” capacity only identifies some of the scenarios where a firm interposes itself between buyer and seller, without taking a position. </w:t>
      </w:r>
    </w:p>
    <w:p w:rsidR="0097016D" w:rsidRDefault="0097016D" w:rsidP="0097016D">
      <w:pPr>
        <w:spacing w:line="240" w:lineRule="auto"/>
      </w:pPr>
    </w:p>
    <w:p w:rsidR="0097016D" w:rsidRDefault="0097016D" w:rsidP="0097016D">
      <w:pPr>
        <w:spacing w:after="200"/>
      </w:pPr>
      <w:r>
        <w:t xml:space="preserve">To provide a more complete view of where firms are acting as facilitator between buyer and seller having already identified the other side to a position , firms would suggest that ESMA considers broadening (i.e. create an additional trading capacity category in addition to the three above) the scope of the permissible scenarios for Trading Capacity to include ”Facilitation”. Firms would for example use this trading capacity where they are facilitating a client order across multiple venues or executions but where the facilitator makes no profit or loss other than previously disclosed fee or commission. This is a recognised behaviour within firms where their internal systems and controls mean that they have credit risk against market side and client side counterparties but no position risk and would enable NCAs to clearly identify this activity as part of their surveillance.  The reason why trades that firms facilitate in this way cannot fall under the existing definition of Matched Principal is because the trading is not always simultaneously.  </w:t>
      </w:r>
    </w:p>
    <w:p w:rsidR="0097016D" w:rsidRDefault="0097016D" w:rsidP="0097016D">
      <w:r>
        <w:t xml:space="preserve">The definition of ‘facilitation’ should be specific to Transaction Reporting and should be used by firms in their transaction reports when their role in </w:t>
      </w:r>
      <w:r w:rsidR="00895AC7">
        <w:t>the transaction is unambiguous i</w:t>
      </w:r>
      <w:r w:rsidR="00A353FB">
        <w:t>.e</w:t>
      </w:r>
      <w:r>
        <w:t xml:space="preserve">. client orders that are filled both from the firm inventory and the venue would continue to be </w:t>
      </w:r>
      <w:r>
        <w:lastRenderedPageBreak/>
        <w:t>classified as Principal for example. Positions taken by the investment firm on the back of a client derivative trade would therefore be classified as Principal.</w:t>
      </w:r>
    </w:p>
    <w:p w:rsidR="0097016D" w:rsidRDefault="0097016D" w:rsidP="0097016D"/>
    <w:p w:rsidR="0097016D" w:rsidRDefault="0097016D" w:rsidP="0097016D">
      <w:r>
        <w:t xml:space="preserve">Firms believe that by including this additional capacity NCAs will be better able to identify firms who have taken Principal positions and differentiate this from instances where they take positions momentarily to facilitate a client trade.  </w:t>
      </w:r>
    </w:p>
    <w:p w:rsidR="0097016D" w:rsidRDefault="0097016D" w:rsidP="0097016D"/>
    <w:p w:rsidR="0097016D" w:rsidRDefault="0097016D" w:rsidP="0097016D">
      <w:pPr>
        <w:rPr>
          <w:rFonts w:ascii="Times New Roman" w:hAnsi="Times New Roman" w:cs="Times New Roman"/>
          <w:sz w:val="24"/>
          <w:lang w:eastAsia="en-GB"/>
        </w:rPr>
      </w:pPr>
      <w:r>
        <w:t>A typical example of a facilitation trade would be where a firm receives a client order that is routed straight to the market.  The firm will receive filled orders from different venues across the trading day and then once the entire order is completed / or once the market closes the firm will then book the transaction(s) back to the client.  The market fills are held on the firm’s account until the trade is booked out to the client.  Hence the transaction is not simultaneous and can therefore not be identified as matched principal.</w:t>
      </w:r>
      <w:r>
        <w:rPr>
          <w:rFonts w:ascii="Times New Roman" w:hAnsi="Times New Roman" w:cs="Times New Roman"/>
          <w:sz w:val="24"/>
          <w:lang w:eastAsia="en-GB"/>
        </w:rPr>
        <w:t xml:space="preserve"> </w:t>
      </w:r>
    </w:p>
    <w:permEnd w:id="641674250"/>
    <w:p w:rsidR="00577C33" w:rsidRDefault="00577C33" w:rsidP="00EC2C93">
      <w:pPr>
        <w:keepNext/>
      </w:pPr>
      <w:r>
        <w:t>&lt;ESMA_QUESTION_CP_MIFID_219&gt;</w:t>
      </w:r>
    </w:p>
    <w:p w:rsidR="00577C33" w:rsidRDefault="00577C33" w:rsidP="0006528D">
      <w:pPr>
        <w:pStyle w:val="CPQuestions"/>
      </w:pPr>
      <w:bookmarkStart w:id="24" w:name="_Toc404073512"/>
      <w:r>
        <w:t>Do you foresee any problem with identifying the specific waiver(s) under which the trade took place in a transaction report? If so, please provide details</w:t>
      </w:r>
      <w:bookmarkEnd w:id="24"/>
    </w:p>
    <w:p w:rsidR="00577C33" w:rsidRDefault="00577C33" w:rsidP="00EC2C93">
      <w:pPr>
        <w:keepNext/>
      </w:pPr>
      <w:r>
        <w:t>&lt;ESMA_QUESTION_CP_MIFID_220&gt;</w:t>
      </w:r>
    </w:p>
    <w:p w:rsidR="00192A90" w:rsidRPr="002C5279" w:rsidRDefault="00192A90" w:rsidP="00192A90">
      <w:pPr>
        <w:spacing w:after="200"/>
        <w:rPr>
          <w:szCs w:val="22"/>
        </w:rPr>
      </w:pPr>
      <w:permStart w:id="150173650" w:edGrp="everyone"/>
      <w:r w:rsidRPr="002C5279">
        <w:rPr>
          <w:szCs w:val="22"/>
        </w:rPr>
        <w:t xml:space="preserve">Yes. </w:t>
      </w:r>
    </w:p>
    <w:p w:rsidR="00192A90" w:rsidRDefault="00192A90" w:rsidP="00192A90">
      <w:pPr>
        <w:spacing w:line="240" w:lineRule="auto"/>
        <w:rPr>
          <w:szCs w:val="22"/>
          <w:bdr w:val="none" w:sz="0" w:space="0" w:color="auto" w:frame="1"/>
        </w:rPr>
      </w:pPr>
      <w:r w:rsidRPr="00FA1C6F">
        <w:rPr>
          <w:szCs w:val="22"/>
          <w:bdr w:val="none" w:sz="0" w:space="0" w:color="auto" w:frame="1"/>
        </w:rPr>
        <w:t>Firms would highlight that they will be dependent on the trading venues to provide waiver specific information. If the information is provided accurately and timely to the investment firms then there should be no problem in populating this field</w:t>
      </w:r>
    </w:p>
    <w:p w:rsidR="00192A90" w:rsidRPr="002C5279" w:rsidRDefault="00192A90" w:rsidP="00192A90">
      <w:pPr>
        <w:spacing w:line="240" w:lineRule="auto"/>
        <w:rPr>
          <w:szCs w:val="22"/>
        </w:rPr>
      </w:pPr>
    </w:p>
    <w:p w:rsidR="00192A90" w:rsidRPr="002C5279" w:rsidRDefault="00192A90" w:rsidP="00192A90">
      <w:pPr>
        <w:spacing w:line="240" w:lineRule="auto"/>
        <w:rPr>
          <w:szCs w:val="22"/>
        </w:rPr>
      </w:pPr>
      <w:r w:rsidRPr="002C5279">
        <w:rPr>
          <w:szCs w:val="22"/>
        </w:rPr>
        <w:t xml:space="preserve">It is likely that some non-EEA venues will not populate this field and indeed this problem exists today. </w:t>
      </w:r>
    </w:p>
    <w:permEnd w:id="150173650"/>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192A90" w:rsidRDefault="00192A90" w:rsidP="00192A90">
      <w:pPr>
        <w:spacing w:line="240" w:lineRule="auto"/>
        <w:rPr>
          <w:szCs w:val="22"/>
        </w:rPr>
      </w:pPr>
      <w:permStart w:id="2050690658" w:edGrp="everyone"/>
      <w:r w:rsidRPr="002C5279">
        <w:rPr>
          <w:szCs w:val="22"/>
        </w:rPr>
        <w:t>Firms agree with the approach</w:t>
      </w:r>
      <w:r>
        <w:rPr>
          <w:szCs w:val="22"/>
        </w:rPr>
        <w:t xml:space="preserve"> stated in Article 11</w:t>
      </w:r>
      <w:r w:rsidRPr="002C5279">
        <w:rPr>
          <w:szCs w:val="22"/>
        </w:rPr>
        <w:t xml:space="preserve">. </w:t>
      </w:r>
      <w:r w:rsidRPr="004B456A">
        <w:rPr>
          <w:szCs w:val="22"/>
        </w:rPr>
        <w:t>However, we would ask that Article 3 (3) (h) is amended to ensure that changes in compositions of baskets are also not reportable after a transaction has occurred:</w:t>
      </w:r>
    </w:p>
    <w:p w:rsidR="00895AC7" w:rsidRPr="004B456A" w:rsidRDefault="00895AC7" w:rsidP="00192A90">
      <w:pPr>
        <w:spacing w:line="240" w:lineRule="auto"/>
        <w:rPr>
          <w:szCs w:val="22"/>
        </w:rPr>
      </w:pPr>
    </w:p>
    <w:p w:rsidR="00192A90" w:rsidRPr="002C5279" w:rsidRDefault="00192A90" w:rsidP="00192A90">
      <w:pPr>
        <w:spacing w:after="200"/>
        <w:rPr>
          <w:szCs w:val="22"/>
        </w:rPr>
      </w:pPr>
      <w:r w:rsidRPr="004B456A">
        <w:rPr>
          <w:szCs w:val="22"/>
        </w:rPr>
        <w:t xml:space="preserve">“A change in the composition of an index </w:t>
      </w:r>
      <w:r w:rsidRPr="00895AC7">
        <w:rPr>
          <w:b/>
          <w:szCs w:val="22"/>
        </w:rPr>
        <w:t>or basket</w:t>
      </w:r>
      <w:r w:rsidRPr="004B456A">
        <w:rPr>
          <w:szCs w:val="22"/>
        </w:rPr>
        <w:t xml:space="preserve"> </w:t>
      </w:r>
      <w:r>
        <w:rPr>
          <w:szCs w:val="22"/>
        </w:rPr>
        <w:t xml:space="preserve">or sector </w:t>
      </w:r>
      <w:r w:rsidRPr="004B456A">
        <w:rPr>
          <w:szCs w:val="22"/>
        </w:rPr>
        <w:t>after a transaction occurred”</w:t>
      </w:r>
      <w:r w:rsidRPr="002C5279">
        <w:rPr>
          <w:szCs w:val="22"/>
        </w:rPr>
        <w:t xml:space="preserve">  </w:t>
      </w:r>
    </w:p>
    <w:permEnd w:id="2050690658"/>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182912" w:rsidRPr="002C5279" w:rsidRDefault="00182912" w:rsidP="00182912">
      <w:pPr>
        <w:spacing w:after="200"/>
        <w:rPr>
          <w:szCs w:val="22"/>
        </w:rPr>
      </w:pPr>
      <w:permStart w:id="766902646" w:edGrp="everyone"/>
      <w:r w:rsidRPr="002C5279">
        <w:rPr>
          <w:szCs w:val="22"/>
        </w:rPr>
        <w:t xml:space="preserve">Firms are concerned about ESMA’s proposals to have baskets identified by the underlying components </w:t>
      </w:r>
      <w:r w:rsidRPr="000837F7">
        <w:rPr>
          <w:b/>
          <w:szCs w:val="22"/>
        </w:rPr>
        <w:t>which are reportable financial instruments</w:t>
      </w:r>
      <w:r w:rsidRPr="002C5279">
        <w:rPr>
          <w:szCs w:val="22"/>
        </w:rPr>
        <w:t>. Once a basket has been identified as reportable (i.e. at least one component of the basket is a financial instrument admitted to trading or traded) we would suggest all the component of the basket to be identified in the report. As ESMA is aware the components of baskets can change continuously and this would require firms to perform filters on a continuous basis which would be technically very complex</w:t>
      </w:r>
      <w:r>
        <w:rPr>
          <w:szCs w:val="22"/>
        </w:rPr>
        <w:t xml:space="preserve"> and disproportionate</w:t>
      </w:r>
      <w:r w:rsidRPr="002C5279">
        <w:rPr>
          <w:szCs w:val="22"/>
        </w:rPr>
        <w:t>.</w:t>
      </w:r>
      <w:r>
        <w:rPr>
          <w:szCs w:val="22"/>
        </w:rPr>
        <w:t xml:space="preserve">  </w:t>
      </w:r>
    </w:p>
    <w:p w:rsidR="00182912" w:rsidRPr="002C5279" w:rsidRDefault="00182912" w:rsidP="00182912">
      <w:pPr>
        <w:spacing w:after="200"/>
        <w:rPr>
          <w:szCs w:val="22"/>
        </w:rPr>
      </w:pPr>
      <w:r w:rsidRPr="002C5279">
        <w:rPr>
          <w:szCs w:val="22"/>
        </w:rPr>
        <w:lastRenderedPageBreak/>
        <w:t xml:space="preserve">As per our response to question 218 Field 58 poses problems in terms of the potential large number of underlying ISINs that it might be needed to populate in this field.  </w:t>
      </w:r>
    </w:p>
    <w:p w:rsidR="00182912" w:rsidRPr="002C5279" w:rsidRDefault="00182912" w:rsidP="00182912">
      <w:pPr>
        <w:spacing w:after="200"/>
        <w:rPr>
          <w:szCs w:val="22"/>
        </w:rPr>
      </w:pPr>
      <w:r w:rsidRPr="002C5279">
        <w:rPr>
          <w:szCs w:val="22"/>
        </w:rPr>
        <w:t>For example</w:t>
      </w:r>
      <w:r>
        <w:rPr>
          <w:szCs w:val="22"/>
        </w:rPr>
        <w:t>,</w:t>
      </w:r>
      <w:r w:rsidRPr="002C5279">
        <w:rPr>
          <w:szCs w:val="22"/>
        </w:rPr>
        <w:t xml:space="preserve"> an Equity Swap on a bespoke baske</w:t>
      </w:r>
      <w:r>
        <w:rPr>
          <w:szCs w:val="22"/>
        </w:rPr>
        <w:t>t</w:t>
      </w:r>
      <w:r w:rsidRPr="002C5279">
        <w:rPr>
          <w:szCs w:val="22"/>
        </w:rPr>
        <w:t xml:space="preserve"> of the FTSE250 index with the banking stocks removed – would result in a repeating group population of in excess of 200 lines. </w:t>
      </w:r>
    </w:p>
    <w:p w:rsidR="00182912" w:rsidRPr="002C5279" w:rsidRDefault="00182912" w:rsidP="00182912">
      <w:pPr>
        <w:spacing w:after="200"/>
        <w:rPr>
          <w:szCs w:val="22"/>
        </w:rPr>
      </w:pPr>
      <w:r w:rsidRPr="002C5279">
        <w:rPr>
          <w:szCs w:val="22"/>
        </w:rPr>
        <w:t xml:space="preserve">Firms suggest that where ISINs </w:t>
      </w:r>
      <w:r>
        <w:rPr>
          <w:szCs w:val="22"/>
        </w:rPr>
        <w:t xml:space="preserve">or official names </w:t>
      </w:r>
      <w:r w:rsidRPr="002C5279">
        <w:rPr>
          <w:szCs w:val="22"/>
        </w:rPr>
        <w:t xml:space="preserve">are available to identify </w:t>
      </w:r>
      <w:r>
        <w:rPr>
          <w:szCs w:val="22"/>
        </w:rPr>
        <w:t>b</w:t>
      </w:r>
      <w:r w:rsidRPr="002C5279">
        <w:rPr>
          <w:szCs w:val="22"/>
        </w:rPr>
        <w:t>askets</w:t>
      </w:r>
      <w:r>
        <w:rPr>
          <w:szCs w:val="22"/>
        </w:rPr>
        <w:t xml:space="preserve">, </w:t>
      </w:r>
      <w:r w:rsidRPr="002C5279" w:rsidDel="00F90E42">
        <w:rPr>
          <w:szCs w:val="22"/>
        </w:rPr>
        <w:t>sectors</w:t>
      </w:r>
      <w:r>
        <w:rPr>
          <w:szCs w:val="22"/>
        </w:rPr>
        <w:t xml:space="preserve"> and indices</w:t>
      </w:r>
      <w:r w:rsidRPr="002C5279">
        <w:rPr>
          <w:szCs w:val="22"/>
        </w:rPr>
        <w:t xml:space="preserve"> then these should be used as opposed to free form text which is likely to be widely different amongst firms and therefore less helpful to regulators in detecting market abuse.  </w:t>
      </w:r>
    </w:p>
    <w:p w:rsidR="00182912" w:rsidRDefault="00182912" w:rsidP="00182912">
      <w:pPr>
        <w:rPr>
          <w:color w:val="000000" w:themeColor="text1"/>
          <w:szCs w:val="22"/>
        </w:rPr>
      </w:pPr>
      <w:r>
        <w:rPr>
          <w:color w:val="000000" w:themeColor="text1"/>
          <w:szCs w:val="22"/>
        </w:rPr>
        <w:t xml:space="preserve">In addition, the BBA members would be willing to work with ESMA to establish </w:t>
      </w:r>
      <w:r w:rsidR="00A353FB">
        <w:rPr>
          <w:color w:val="000000" w:themeColor="text1"/>
          <w:szCs w:val="22"/>
        </w:rPr>
        <w:t>consistent product</w:t>
      </w:r>
      <w:r>
        <w:rPr>
          <w:color w:val="000000" w:themeColor="text1"/>
          <w:szCs w:val="22"/>
        </w:rPr>
        <w:t xml:space="preserve"> taxonomy, including a golden source of reportable instruments.</w:t>
      </w:r>
    </w:p>
    <w:permEnd w:id="766902646"/>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182912" w:rsidRPr="002C5279" w:rsidRDefault="00182912" w:rsidP="006310A9">
      <w:pPr>
        <w:framePr w:hSpace="180" w:wrap="around" w:vAnchor="text" w:hAnchor="text" w:xAlign="right" w:y="1"/>
        <w:spacing w:after="200"/>
        <w:suppressOverlap/>
        <w:rPr>
          <w:szCs w:val="22"/>
        </w:rPr>
      </w:pPr>
      <w:permStart w:id="701978553" w:edGrp="everyone"/>
      <w:r w:rsidRPr="002C5279">
        <w:rPr>
          <w:szCs w:val="22"/>
        </w:rPr>
        <w:t xml:space="preserve">In order to achieve clarity as to the population of the fields relating to the branches involved in the transaction – firms consider that it would be useful to define more precisely the scenarios and to set out the relationships between branches to ensure that this field is populated consistently.  </w:t>
      </w:r>
      <w:r>
        <w:rPr>
          <w:szCs w:val="22"/>
        </w:rPr>
        <w:t>We would suggest this be reflected in level 3 guidelines.</w:t>
      </w:r>
    </w:p>
    <w:p w:rsidR="00182912" w:rsidRPr="002C5279" w:rsidRDefault="00182912" w:rsidP="006310A9">
      <w:pPr>
        <w:framePr w:hSpace="180" w:wrap="around" w:vAnchor="text" w:hAnchor="text" w:xAlign="right" w:y="1"/>
        <w:autoSpaceDE w:val="0"/>
        <w:autoSpaceDN w:val="0"/>
        <w:spacing w:after="200"/>
        <w:suppressOverlap/>
        <w:rPr>
          <w:szCs w:val="22"/>
        </w:rPr>
      </w:pPr>
      <w:r w:rsidRPr="002C5279">
        <w:rPr>
          <w:szCs w:val="22"/>
        </w:rPr>
        <w:t xml:space="preserve">In addition, although we support ESMA’s proposal for investment firm to report all their transactions to their home component authority, ESMA has not considered the case of </w:t>
      </w:r>
      <w:r w:rsidRPr="000837F7">
        <w:rPr>
          <w:b/>
          <w:szCs w:val="22"/>
        </w:rPr>
        <w:t>EEA branches of non-EEA firm</w:t>
      </w:r>
      <w:r>
        <w:rPr>
          <w:b/>
          <w:szCs w:val="22"/>
        </w:rPr>
        <w:t>s</w:t>
      </w:r>
      <w:r w:rsidRPr="002C5279">
        <w:rPr>
          <w:szCs w:val="22"/>
        </w:rPr>
        <w:t>, where the competent authority of the home office will be based outside the EU.  In this case, firms would suggest for EEA branches of non-EEA firm to report to the competent authority of their location (i.e. the host competent authority). We would therefore suggest the draft RTS 32 Article 13 (5) to include the following:</w:t>
      </w:r>
    </w:p>
    <w:p w:rsidR="00182912" w:rsidRDefault="00182912" w:rsidP="00EC2C93">
      <w:pPr>
        <w:keepNext/>
        <w:rPr>
          <w:b/>
          <w:i/>
          <w:szCs w:val="22"/>
        </w:rPr>
      </w:pPr>
      <w:r w:rsidRPr="002C5279">
        <w:rPr>
          <w:szCs w:val="22"/>
        </w:rPr>
        <w:t>‘All transaction reports for transactions executed in whole or in part by the investment firm, including through its bra</w:t>
      </w:r>
      <w:r>
        <w:rPr>
          <w:szCs w:val="22"/>
        </w:rPr>
        <w:t>n</w:t>
      </w:r>
      <w:r w:rsidRPr="002C5279">
        <w:rPr>
          <w:szCs w:val="22"/>
        </w:rPr>
        <w:t xml:space="preserve">ches, shall be sent to the home competent authority of the investment firm. </w:t>
      </w:r>
      <w:r w:rsidRPr="002C5279">
        <w:rPr>
          <w:b/>
          <w:i/>
          <w:szCs w:val="22"/>
        </w:rPr>
        <w:t>Where the transaction is executed by an a EEA branch of a non-EEA investment firm, reports must be sent to the host competent authority of the investment firm based in the Union</w:t>
      </w:r>
    </w:p>
    <w:permEnd w:id="701978553"/>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182912" w:rsidRPr="002C5279" w:rsidRDefault="00182912" w:rsidP="00182912">
      <w:pPr>
        <w:spacing w:after="200"/>
        <w:rPr>
          <w:szCs w:val="22"/>
        </w:rPr>
      </w:pPr>
      <w:permStart w:id="573000696" w:edGrp="everyone"/>
      <w:r w:rsidRPr="00A81A67">
        <w:rPr>
          <w:szCs w:val="22"/>
        </w:rPr>
        <w:t xml:space="preserve">Whilst we accept the point that LEI will be more widely accepted / widespread </w:t>
      </w:r>
      <w:r>
        <w:rPr>
          <w:szCs w:val="22"/>
        </w:rPr>
        <w:t xml:space="preserve">by 2017 </w:t>
      </w:r>
      <w:r w:rsidRPr="00A81A67">
        <w:rPr>
          <w:szCs w:val="22"/>
        </w:rPr>
        <w:t xml:space="preserve">ESMA should be aware that firms may still transact with firms who don’t have an LEI if only to close out existing positions / reduce exposure to a counterparty.  </w:t>
      </w:r>
      <w:r w:rsidRPr="00547954">
        <w:rPr>
          <w:szCs w:val="22"/>
        </w:rPr>
        <w:t>Indeed, ESMA’s proposal might be significantly challenging for existing clients who have already entered in</w:t>
      </w:r>
      <w:r>
        <w:rPr>
          <w:szCs w:val="22"/>
        </w:rPr>
        <w:t>to</w:t>
      </w:r>
      <w:r w:rsidRPr="00547954">
        <w:rPr>
          <w:szCs w:val="22"/>
        </w:rPr>
        <w:t xml:space="preserve"> positions.  Whilst both the buyer and seller will strive to get this completed ahead of the compliance date, it is a concern that  if some clients with positions are unable to get the LEI approved by the compliance date then this may result in the firms being penalized for events outside their controls.   For this reason and </w:t>
      </w:r>
      <w:r>
        <w:rPr>
          <w:szCs w:val="22"/>
        </w:rPr>
        <w:t>f</w:t>
      </w:r>
      <w:r w:rsidRPr="00A81A67">
        <w:rPr>
          <w:szCs w:val="22"/>
        </w:rPr>
        <w:t xml:space="preserve">or transactions with those clients then it would be useful for </w:t>
      </w:r>
      <w:r w:rsidRPr="00A81A67">
        <w:rPr>
          <w:szCs w:val="22"/>
        </w:rPr>
        <w:lastRenderedPageBreak/>
        <w:t>ESMA to permit reporting using BIC codes.   Firms would also appreciate consistency across NCA’s in their implementation of trade ability criteria for clients without LEIs</w:t>
      </w:r>
    </w:p>
    <w:p w:rsidR="00182912" w:rsidRPr="002C4069" w:rsidRDefault="00182912" w:rsidP="00182912">
      <w:pPr>
        <w:autoSpaceDE w:val="0"/>
        <w:autoSpaceDN w:val="0"/>
        <w:spacing w:line="240" w:lineRule="atLeast"/>
        <w:rPr>
          <w:szCs w:val="22"/>
        </w:rPr>
      </w:pPr>
      <w:r>
        <w:rPr>
          <w:szCs w:val="22"/>
        </w:rPr>
        <w:t>Members</w:t>
      </w:r>
      <w:r w:rsidRPr="002C4069">
        <w:rPr>
          <w:szCs w:val="22"/>
        </w:rPr>
        <w:t xml:space="preserve"> </w:t>
      </w:r>
      <w:r w:rsidR="00895AC7">
        <w:rPr>
          <w:szCs w:val="22"/>
        </w:rPr>
        <w:t xml:space="preserve">also </w:t>
      </w:r>
      <w:r w:rsidRPr="002C4069">
        <w:rPr>
          <w:szCs w:val="22"/>
        </w:rPr>
        <w:t>have concern</w:t>
      </w:r>
      <w:r>
        <w:rPr>
          <w:szCs w:val="22"/>
        </w:rPr>
        <w:t>s</w:t>
      </w:r>
      <w:r w:rsidRPr="002C4069">
        <w:rPr>
          <w:szCs w:val="22"/>
        </w:rPr>
        <w:t xml:space="preserve"> </w:t>
      </w:r>
      <w:r>
        <w:rPr>
          <w:szCs w:val="22"/>
        </w:rPr>
        <w:t xml:space="preserve">that by the </w:t>
      </w:r>
      <w:r w:rsidRPr="002C4069">
        <w:rPr>
          <w:szCs w:val="22"/>
        </w:rPr>
        <w:t>Jan 2017 deadline LEI might not yet be fully rolled out</w:t>
      </w:r>
      <w:r>
        <w:rPr>
          <w:szCs w:val="22"/>
        </w:rPr>
        <w:t xml:space="preserve"> </w:t>
      </w:r>
      <w:r w:rsidRPr="002C4069">
        <w:rPr>
          <w:szCs w:val="22"/>
        </w:rPr>
        <w:t xml:space="preserve">and this could </w:t>
      </w:r>
      <w:r>
        <w:rPr>
          <w:szCs w:val="22"/>
        </w:rPr>
        <w:t>firms</w:t>
      </w:r>
      <w:r w:rsidRPr="002C4069">
        <w:rPr>
          <w:szCs w:val="22"/>
        </w:rPr>
        <w:t xml:space="preserve"> in a difficult situation when facing a non EEA counterparty in a jurisdiction</w:t>
      </w:r>
      <w:r w:rsidR="00895AC7">
        <w:rPr>
          <w:szCs w:val="22"/>
        </w:rPr>
        <w:t xml:space="preserve"> where LEI is not yet mandatory.  </w:t>
      </w:r>
      <w:r>
        <w:rPr>
          <w:szCs w:val="22"/>
        </w:rPr>
        <w:t>Practically firms</w:t>
      </w:r>
      <w:r w:rsidRPr="002C4069">
        <w:rPr>
          <w:szCs w:val="22"/>
        </w:rPr>
        <w:t xml:space="preserve"> would need </w:t>
      </w:r>
      <w:r>
        <w:rPr>
          <w:szCs w:val="22"/>
        </w:rPr>
        <w:t>their client</w:t>
      </w:r>
      <w:r w:rsidRPr="002C4069">
        <w:rPr>
          <w:szCs w:val="22"/>
        </w:rPr>
        <w:t xml:space="preserve"> to acquire LEI in order to allow us to make the transaction while another</w:t>
      </w:r>
      <w:r>
        <w:rPr>
          <w:szCs w:val="22"/>
        </w:rPr>
        <w:t xml:space="preserve"> non-MiFID</w:t>
      </w:r>
      <w:r w:rsidRPr="002C4069">
        <w:rPr>
          <w:szCs w:val="22"/>
        </w:rPr>
        <w:t xml:space="preserve"> Firm would not impose this. </w:t>
      </w:r>
      <w:r>
        <w:rPr>
          <w:szCs w:val="22"/>
        </w:rPr>
        <w:t>Therefore members</w:t>
      </w:r>
      <w:r w:rsidRPr="002C4069">
        <w:rPr>
          <w:szCs w:val="22"/>
        </w:rPr>
        <w:t xml:space="preserve"> would welcome a phase-in period where alternative identifiers (like BIC) would be allowed still during the first year (2017).</w:t>
      </w:r>
    </w:p>
    <w:p w:rsidR="00182912" w:rsidRPr="002C4069" w:rsidRDefault="00182912" w:rsidP="00182912">
      <w:pPr>
        <w:autoSpaceDE w:val="0"/>
        <w:autoSpaceDN w:val="0"/>
        <w:spacing w:line="240" w:lineRule="atLeast"/>
        <w:rPr>
          <w:szCs w:val="22"/>
        </w:rPr>
      </w:pPr>
    </w:p>
    <w:p w:rsidR="00182912" w:rsidRPr="002C5279" w:rsidRDefault="00182912" w:rsidP="00182912">
      <w:pPr>
        <w:autoSpaceDE w:val="0"/>
        <w:autoSpaceDN w:val="0"/>
        <w:spacing w:after="200" w:line="240" w:lineRule="atLeast"/>
        <w:rPr>
          <w:szCs w:val="22"/>
        </w:rPr>
      </w:pPr>
      <w:r>
        <w:rPr>
          <w:szCs w:val="22"/>
        </w:rPr>
        <w:t>Furthermore we</w:t>
      </w:r>
      <w:r w:rsidRPr="002C4069">
        <w:rPr>
          <w:szCs w:val="22"/>
        </w:rPr>
        <w:t xml:space="preserve"> would urge ESMA to consult with </w:t>
      </w:r>
      <w:r>
        <w:rPr>
          <w:szCs w:val="22"/>
        </w:rPr>
        <w:t>the Regulatory Oversight Committee (</w:t>
      </w:r>
      <w:r w:rsidRPr="002C4069">
        <w:rPr>
          <w:szCs w:val="22"/>
        </w:rPr>
        <w:t>ROC</w:t>
      </w:r>
      <w:r>
        <w:rPr>
          <w:szCs w:val="22"/>
        </w:rPr>
        <w:t>)</w:t>
      </w:r>
      <w:r w:rsidRPr="002C4069">
        <w:rPr>
          <w:szCs w:val="22"/>
        </w:rPr>
        <w:t xml:space="preserve"> and</w:t>
      </w:r>
      <w:r>
        <w:t xml:space="preserve"> </w:t>
      </w:r>
      <w:r w:rsidRPr="004A2D42">
        <w:rPr>
          <w:szCs w:val="22"/>
        </w:rPr>
        <w:t xml:space="preserve">Local operating Units </w:t>
      </w:r>
      <w:r>
        <w:rPr>
          <w:szCs w:val="22"/>
        </w:rPr>
        <w:t>(</w:t>
      </w:r>
      <w:r w:rsidRPr="002C4069">
        <w:rPr>
          <w:szCs w:val="22"/>
        </w:rPr>
        <w:t>LOU</w:t>
      </w:r>
      <w:r>
        <w:rPr>
          <w:szCs w:val="22"/>
        </w:rPr>
        <w:t>)</w:t>
      </w:r>
      <w:r w:rsidRPr="002C4069">
        <w:rPr>
          <w:szCs w:val="22"/>
        </w:rPr>
        <w:t xml:space="preserve"> and review the pricing for the maintenance of the</w:t>
      </w:r>
      <w:r>
        <w:rPr>
          <w:szCs w:val="22"/>
        </w:rPr>
        <w:t xml:space="preserve"> LEI for NFC (non-</w:t>
      </w:r>
      <w:r w:rsidRPr="002C4069">
        <w:rPr>
          <w:szCs w:val="22"/>
        </w:rPr>
        <w:t>financials)</w:t>
      </w:r>
      <w:r>
        <w:rPr>
          <w:szCs w:val="22"/>
        </w:rPr>
        <w:t>.  T</w:t>
      </w:r>
      <w:r w:rsidRPr="002C4069">
        <w:rPr>
          <w:szCs w:val="22"/>
        </w:rPr>
        <w:t>he yearly cost to maintain the LEI in a valid status can be high if taking into consideration the low number of trades they have, and might lead to large number of LEI to go into “lapsed” status.</w:t>
      </w:r>
      <w:r w:rsidRPr="002C5279">
        <w:rPr>
          <w:szCs w:val="22"/>
        </w:rPr>
        <w:t xml:space="preserve"> </w:t>
      </w:r>
    </w:p>
    <w:p w:rsidR="00182912" w:rsidRPr="002C5279" w:rsidRDefault="00182912" w:rsidP="00182912">
      <w:pPr>
        <w:spacing w:after="200"/>
        <w:rPr>
          <w:szCs w:val="22"/>
        </w:rPr>
      </w:pPr>
      <w:r w:rsidRPr="00302CDF">
        <w:rPr>
          <w:szCs w:val="22"/>
        </w:rPr>
        <w:t>Firms anticipate that it is not ESMA’s intention to curtail investment activity to EEA domiciled clients and counterparties, there is however concern that the mandatory usage of LEIs could unintentionally result in this restriction emerging, should the expected progress in LEI global adoption not be fully realised prior to 2017.</w:t>
      </w:r>
    </w:p>
    <w:permEnd w:id="573000696"/>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182912" w:rsidRDefault="00182912" w:rsidP="00182912">
      <w:pPr>
        <w:spacing w:line="240" w:lineRule="auto"/>
        <w:rPr>
          <w:szCs w:val="22"/>
        </w:rPr>
      </w:pPr>
      <w:permStart w:id="403662271" w:edGrp="everyone"/>
      <w:r w:rsidRPr="00F97B85">
        <w:rPr>
          <w:b/>
          <w:szCs w:val="22"/>
        </w:rPr>
        <w:t>Over reporting</w:t>
      </w:r>
      <w:r>
        <w:rPr>
          <w:szCs w:val="22"/>
        </w:rPr>
        <w:t xml:space="preserve">: </w:t>
      </w:r>
    </w:p>
    <w:p w:rsidR="00182912" w:rsidRDefault="00182912" w:rsidP="00182912">
      <w:pPr>
        <w:spacing w:line="240" w:lineRule="auto"/>
        <w:rPr>
          <w:szCs w:val="22"/>
        </w:rPr>
      </w:pPr>
    </w:p>
    <w:p w:rsidR="00182912" w:rsidRPr="001A6D76" w:rsidRDefault="00182912" w:rsidP="00182912">
      <w:pPr>
        <w:spacing w:line="240" w:lineRule="auto"/>
        <w:rPr>
          <w:szCs w:val="22"/>
        </w:rPr>
      </w:pPr>
      <w:r w:rsidRPr="001A6D76">
        <w:rPr>
          <w:szCs w:val="22"/>
        </w:rPr>
        <w:t xml:space="preserve">Firms wish to reiterate that although best efforts will be made not to over-report; </w:t>
      </w:r>
      <w:r w:rsidRPr="000837F7">
        <w:rPr>
          <w:b/>
          <w:szCs w:val="22"/>
        </w:rPr>
        <w:t>we do not think that over-reporting should be explicitly precluded in the RTS</w:t>
      </w:r>
      <w:r w:rsidRPr="001A6D76">
        <w:rPr>
          <w:szCs w:val="22"/>
        </w:rPr>
        <w:t xml:space="preserve">. When in doubt firms will prefer to over-report to ensure they meet their transaction reporting obligations. </w:t>
      </w:r>
      <w:r>
        <w:rPr>
          <w:szCs w:val="22"/>
        </w:rPr>
        <w:t xml:space="preserve"> </w:t>
      </w:r>
      <w:r w:rsidRPr="00547954">
        <w:rPr>
          <w:szCs w:val="22"/>
        </w:rPr>
        <w:t>We therefore do not think firms should be penalised (required to back report) for over-reporting as long as they make best efforts not to over-report and the information they send is complete and accurate.</w:t>
      </w:r>
    </w:p>
    <w:p w:rsidR="00182912" w:rsidRPr="001A6D76" w:rsidRDefault="00182912" w:rsidP="00182912">
      <w:pPr>
        <w:spacing w:line="240" w:lineRule="auto"/>
        <w:rPr>
          <w:szCs w:val="22"/>
        </w:rPr>
      </w:pPr>
    </w:p>
    <w:p w:rsidR="00182912" w:rsidRPr="001A6D76" w:rsidRDefault="00182912" w:rsidP="00182912">
      <w:pPr>
        <w:spacing w:line="240" w:lineRule="auto"/>
        <w:rPr>
          <w:szCs w:val="22"/>
        </w:rPr>
      </w:pPr>
      <w:r w:rsidRPr="001A6D76">
        <w:rPr>
          <w:szCs w:val="22"/>
        </w:rPr>
        <w:t xml:space="preserve">Firms would like to reiterate that in the absence of a golden source of reportable products, firms will report on a best endeavours basis and err on the side of caution and report transactions where there is an element of doubt.  </w:t>
      </w:r>
    </w:p>
    <w:p w:rsidR="00182912" w:rsidRPr="001A6D76" w:rsidRDefault="00182912" w:rsidP="00182912">
      <w:pPr>
        <w:spacing w:line="240" w:lineRule="auto"/>
        <w:rPr>
          <w:szCs w:val="22"/>
        </w:rPr>
      </w:pPr>
    </w:p>
    <w:p w:rsidR="00182912" w:rsidRDefault="00182912" w:rsidP="00182912">
      <w:pPr>
        <w:spacing w:after="200"/>
        <w:rPr>
          <w:szCs w:val="22"/>
        </w:rPr>
      </w:pPr>
      <w:r w:rsidRPr="00F97B85">
        <w:rPr>
          <w:b/>
          <w:szCs w:val="22"/>
        </w:rPr>
        <w:t>Calculation of positions:</w:t>
      </w:r>
      <w:r>
        <w:rPr>
          <w:szCs w:val="22"/>
        </w:rPr>
        <w:t xml:space="preserve"> </w:t>
      </w:r>
    </w:p>
    <w:p w:rsidR="00182912" w:rsidRPr="002C5279" w:rsidRDefault="00182912" w:rsidP="00182912">
      <w:pPr>
        <w:spacing w:after="200"/>
        <w:rPr>
          <w:szCs w:val="22"/>
        </w:rPr>
      </w:pPr>
      <w:r w:rsidRPr="002C5279">
        <w:rPr>
          <w:szCs w:val="22"/>
        </w:rPr>
        <w:t>Firms welcome ESMA’s efforts to define ‘transaction’ and ‘execution of a transaction’ for transaction reporting purposes. As stated in the draft RTS 32 Article 3, not all actions and transactions are included in the transaction reporting scope. As not all actions/transactions are reportable it would be impossible for competent authorities to use transaction reports to calculate firms’ exact positions. However, the draft RTS 32 Article 14(5) (a), seem to require investment firms to ‘have adequate arrangements in place to ensure that the transaction reports submitted by the firm accurately reflect the changes in position of the firm’. Firms are concerned that compliance with Article 14 (5) (a) as currently written will not be possible</w:t>
      </w:r>
      <w:r w:rsidR="00895AC7">
        <w:rPr>
          <w:szCs w:val="22"/>
        </w:rPr>
        <w:t xml:space="preserve"> i</w:t>
      </w:r>
      <w:r w:rsidRPr="002C5279">
        <w:rPr>
          <w:szCs w:val="22"/>
        </w:rPr>
        <w:t xml:space="preserve">.e. some of the excluded transactions although occurring for example solely as a result of external events do in themselves have an impact on the positions of the firm and/or its </w:t>
      </w:r>
      <w:r w:rsidRPr="002C5279">
        <w:rPr>
          <w:szCs w:val="22"/>
        </w:rPr>
        <w:lastRenderedPageBreak/>
        <w:t xml:space="preserve">clients.  ESMA further clarifies its rationale in excluding these transactions in Paragraphs 10 – 14 of the Consultation Paper.  </w:t>
      </w:r>
    </w:p>
    <w:p w:rsidR="00182912" w:rsidRPr="00182912" w:rsidRDefault="00182912" w:rsidP="00182912">
      <w:pPr>
        <w:spacing w:after="200"/>
        <w:rPr>
          <w:b/>
          <w:i/>
          <w:szCs w:val="22"/>
        </w:rPr>
      </w:pPr>
      <w:r w:rsidRPr="002C5279">
        <w:rPr>
          <w:szCs w:val="22"/>
        </w:rPr>
        <w:t>Firms therefore suggest for Article 14 (5</w:t>
      </w:r>
      <w:proofErr w:type="gramStart"/>
      <w:r w:rsidRPr="002C5279">
        <w:rPr>
          <w:szCs w:val="22"/>
        </w:rPr>
        <w:t>)(</w:t>
      </w:r>
      <w:proofErr w:type="gramEnd"/>
      <w:r w:rsidRPr="002C5279">
        <w:rPr>
          <w:szCs w:val="22"/>
        </w:rPr>
        <w:t xml:space="preserve">a) to be redrafted in order to take into consideration the limitation of Article 3: ’ the transaction reports submitted by the firm when viewed cumulatively accurately reflect the changes in position of the firm and/or its clients in the financial instrument at the time the changes in position took </w:t>
      </w:r>
      <w:r w:rsidRPr="002C5279">
        <w:rPr>
          <w:b/>
          <w:i/>
          <w:szCs w:val="22"/>
        </w:rPr>
        <w:t xml:space="preserve">place and taking into consideration the limitations imposed by Article 3(3) of RTS 32.’ </w:t>
      </w:r>
    </w:p>
    <w:permEnd w:id="403662271"/>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2047550459" w:edGrp="everyone"/>
      <w:r>
        <w:t>TYPE YOUR TEXT HERE</w:t>
      </w:r>
    </w:p>
    <w:permEnd w:id="2047550459"/>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384715164" w:edGrp="everyone"/>
      <w:r>
        <w:t>TYPE YOUR TEXT HERE</w:t>
      </w:r>
    </w:p>
    <w:permEnd w:id="384715164"/>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t>&lt;ESMA_QUESTION_CP_MIFID_228&gt;</w:t>
      </w:r>
    </w:p>
    <w:p w:rsidR="00577C33" w:rsidRDefault="00577C33" w:rsidP="00EC2C93">
      <w:pPr>
        <w:keepNext/>
      </w:pPr>
      <w:permStart w:id="1998545322" w:edGrp="everyone"/>
      <w:r>
        <w:t>TYPE YOUR TEXT HERE</w:t>
      </w:r>
    </w:p>
    <w:permEnd w:id="1998545322"/>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456538299" w:edGrp="everyone"/>
      <w:r>
        <w:t>TYPE YOUR TEXT HERE</w:t>
      </w:r>
    </w:p>
    <w:permEnd w:id="456538299"/>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1270880662" w:edGrp="everyone"/>
      <w:r>
        <w:t>TYPE YOUR TEXT HERE</w:t>
      </w:r>
    </w:p>
    <w:permEnd w:id="1270880662"/>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lastRenderedPageBreak/>
        <w:t>&lt;ESMA_QUESTION_CP_MIFID_231&gt;</w:t>
      </w:r>
    </w:p>
    <w:p w:rsidR="00577C33" w:rsidRDefault="00577C33" w:rsidP="00EC2C93">
      <w:pPr>
        <w:keepNext/>
      </w:pPr>
      <w:permStart w:id="599737645" w:edGrp="everyone"/>
      <w:r>
        <w:t>TYPE YOUR TEXT HERE</w:t>
      </w:r>
    </w:p>
    <w:permEnd w:id="599737645"/>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674564060" w:edGrp="everyone"/>
      <w:r>
        <w:t>TYPE YOUR TEXT HERE</w:t>
      </w:r>
    </w:p>
    <w:permEnd w:id="674564060"/>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1964845554" w:edGrp="everyone"/>
      <w:r>
        <w:t>TYPE YOUR TEXT HERE</w:t>
      </w:r>
    </w:p>
    <w:permEnd w:id="1964845554"/>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1640708145" w:edGrp="everyone"/>
      <w:r>
        <w:t>TYPE YOUR TEXT HERE</w:t>
      </w:r>
    </w:p>
    <w:permEnd w:id="1640708145"/>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t>&lt;ESMA_QUESTION_CP_MIFID_235&gt;</w:t>
      </w:r>
    </w:p>
    <w:p w:rsidR="00577C33" w:rsidRDefault="00577C33" w:rsidP="00EC2C93">
      <w:pPr>
        <w:keepNext/>
      </w:pPr>
      <w:permStart w:id="1810523775" w:edGrp="everyone"/>
      <w:r>
        <w:t>TYPE YOUR TEXT HERE</w:t>
      </w:r>
    </w:p>
    <w:permEnd w:id="1810523775"/>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856903993" w:edGrp="everyone"/>
      <w:r>
        <w:t>TYPE YOUR TEXT HERE</w:t>
      </w:r>
    </w:p>
    <w:permEnd w:id="856903993"/>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477236338" w:edGrp="everyone"/>
      <w:r>
        <w:t>TYPE YOUR TEXT HERE</w:t>
      </w:r>
    </w:p>
    <w:permEnd w:id="477236338"/>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lastRenderedPageBreak/>
        <w:t>&lt;ESMA_QUESTION_CP_MIFID_238&gt;</w:t>
      </w:r>
    </w:p>
    <w:p w:rsidR="00577C33" w:rsidRDefault="00577C33" w:rsidP="00EC2C93">
      <w:pPr>
        <w:keepNext/>
      </w:pPr>
      <w:permStart w:id="1003841153" w:edGrp="everyone"/>
      <w:r>
        <w:t>TYPE YOUR TEXT HERE</w:t>
      </w:r>
    </w:p>
    <w:permEnd w:id="1003841153"/>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5" w:name="_Toc406692615"/>
      <w:bookmarkStart w:id="26" w:name="_Toc406692458"/>
      <w:bookmarkStart w:id="27" w:name="_Toc406691848"/>
      <w:r>
        <w:lastRenderedPageBreak/>
        <w:t>Post-trading issues</w:t>
      </w:r>
      <w:bookmarkEnd w:id="25"/>
      <w:bookmarkEnd w:id="26"/>
      <w:bookmarkEnd w:id="27"/>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1085743440" w:edGrp="everyone"/>
      <w:r>
        <w:t>TYPE YOUR TEXT HERE</w:t>
      </w:r>
    </w:p>
    <w:permEnd w:id="1085743440"/>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981885486" w:edGrp="everyone"/>
      <w:r>
        <w:t>TYPE YOUR TEXT HERE</w:t>
      </w:r>
    </w:p>
    <w:permEnd w:id="981885486"/>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1507879167" w:edGrp="everyone"/>
      <w:r>
        <w:t>TYPE YOUR TEXT HERE</w:t>
      </w:r>
    </w:p>
    <w:permEnd w:id="1507879167"/>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905983727" w:edGrp="everyone"/>
      <w:r>
        <w:t>TYPE YOUR TEXT HERE</w:t>
      </w:r>
    </w:p>
    <w:permEnd w:id="905983727"/>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136471051" w:edGrp="everyone"/>
      <w:r>
        <w:t>TYPE YOUR TEXT HERE</w:t>
      </w:r>
    </w:p>
    <w:permEnd w:id="136471051"/>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361708688" w:edGrp="everyone"/>
      <w:r>
        <w:t>TYPE YOUR TEXT HERE</w:t>
      </w:r>
    </w:p>
    <w:permEnd w:id="361708688"/>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lastRenderedPageBreak/>
        <w:t>&lt;ESMA_QUESTION_CP_MIFID_245&gt;</w:t>
      </w:r>
    </w:p>
    <w:p w:rsidR="00577C33" w:rsidRDefault="00577C33" w:rsidP="00EC2C93">
      <w:pPr>
        <w:keepNext/>
      </w:pPr>
      <w:permStart w:id="343888798" w:edGrp="everyone"/>
      <w:r>
        <w:t>TYPE YOUR TEXT HERE</w:t>
      </w:r>
    </w:p>
    <w:permEnd w:id="343888798"/>
    <w:p w:rsidR="00577C33" w:rsidRDefault="00577C33" w:rsidP="00EC2C93">
      <w:pPr>
        <w:keepNext/>
      </w:pPr>
      <w:r>
        <w:t>&lt;ESMA_QUESTION_CP_MIFID_245&gt;</w:t>
      </w:r>
    </w:p>
    <w:p w:rsidR="00577C33" w:rsidRDefault="00577C33" w:rsidP="00EC2C93">
      <w:pPr>
        <w:keepNext/>
      </w:pPr>
    </w:p>
    <w:sectPr w:rsidR="00577C33" w:rsidSect="00192A12">
      <w:headerReference w:type="default" r:id="rId11"/>
      <w:footerReference w:type="default" r:id="rId12"/>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1F5" w:rsidRDefault="00A501F5" w:rsidP="007E7997">
      <w:pPr>
        <w:spacing w:line="240" w:lineRule="auto"/>
      </w:pPr>
      <w:r>
        <w:separator/>
      </w:r>
    </w:p>
  </w:endnote>
  <w:endnote w:type="continuationSeparator" w:id="0">
    <w:p w:rsidR="00A501F5" w:rsidRDefault="00A501F5"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C93" w:rsidRDefault="00EC2C93">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14451"/>
      <w:docPartObj>
        <w:docPartGallery w:val="Page Numbers (Bottom of Page)"/>
        <w:docPartUnique/>
      </w:docPartObj>
    </w:sdtPr>
    <w:sdtEndPr>
      <w:rPr>
        <w:noProof/>
      </w:rPr>
    </w:sdtEndPr>
    <w:sdtContent>
      <w:p w:rsidR="00EC2C93" w:rsidRDefault="00EC2C93" w:rsidP="00375BA2">
        <w:pPr>
          <w:pStyle w:val="Footer"/>
          <w:jc w:val="right"/>
        </w:pPr>
        <w:r>
          <w:fldChar w:fldCharType="begin"/>
        </w:r>
        <w:r>
          <w:instrText xml:space="preserve"> PAGE   \* MERGEFORMAT </w:instrText>
        </w:r>
        <w:r>
          <w:fldChar w:fldCharType="separate"/>
        </w:r>
        <w:r w:rsidR="00061A6A">
          <w:rPr>
            <w:noProof/>
          </w:rPr>
          <w:t>64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1F5" w:rsidRDefault="00A501F5" w:rsidP="007E7997">
      <w:pPr>
        <w:spacing w:line="240" w:lineRule="auto"/>
      </w:pPr>
      <w:r>
        <w:separator/>
      </w:r>
    </w:p>
  </w:footnote>
  <w:footnote w:type="continuationSeparator" w:id="0">
    <w:p w:rsidR="00A501F5" w:rsidRDefault="00A501F5" w:rsidP="007E7997">
      <w:pPr>
        <w:spacing w:line="240" w:lineRule="auto"/>
      </w:pPr>
      <w:r>
        <w:continuationSeparator/>
      </w:r>
    </w:p>
  </w:footnote>
  <w:footnote w:id="1">
    <w:p w:rsidR="00EC2C93" w:rsidRPr="00AA7A30" w:rsidRDefault="00EC2C93"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C93" w:rsidRDefault="00EC2C93">
    <w:pPr>
      <w:pStyle w:val="Header"/>
    </w:pPr>
    <w:r>
      <w:rPr>
        <w:noProof/>
        <w:lang w:eastAsia="en-GB"/>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C93" w:rsidRDefault="00EC2C93" w:rsidP="00B50534">
    <w:pPr>
      <w:pStyle w:val="Header"/>
      <w:jc w:val="right"/>
      <w:rPr>
        <w:b/>
        <w:color w:val="FF0000"/>
      </w:rPr>
    </w:pPr>
  </w:p>
  <w:p w:rsidR="00EC2C93" w:rsidRDefault="00EC2C93" w:rsidP="00B50534">
    <w:pPr>
      <w:pStyle w:val="Header"/>
      <w:jc w:val="right"/>
      <w:rPr>
        <w:b/>
        <w:color w:val="FF0000"/>
      </w:rPr>
    </w:pPr>
    <w:r w:rsidRPr="008D5F86">
      <w:rPr>
        <w:rFonts w:ascii="Arial" w:hAnsi="Arial" w:cs="Arial"/>
        <w:noProof/>
        <w:lang w:eastAsia="en-GB"/>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EC2C93" w:rsidRPr="00B50534" w:rsidRDefault="00EC2C93" w:rsidP="00B50534">
    <w:pPr>
      <w:pStyle w:val="Header"/>
      <w:jc w:val="right"/>
      <w:rPr>
        <w:b/>
        <w:color w:val="FF0000"/>
      </w:rPr>
    </w:pPr>
    <w:r w:rsidRPr="0038331A">
      <w:rPr>
        <w:b/>
        <w:noProof/>
        <w:color w:val="FF0000"/>
        <w:sz w:val="20"/>
        <w:lang w:eastAsia="en-GB"/>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02C3"/>
    <w:multiLevelType w:val="hybridMultilevel"/>
    <w:tmpl w:val="45089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FB2B75"/>
    <w:multiLevelType w:val="hybridMultilevel"/>
    <w:tmpl w:val="E1484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3F553F0"/>
    <w:multiLevelType w:val="hybridMultilevel"/>
    <w:tmpl w:val="D548AB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4CC0A61"/>
    <w:multiLevelType w:val="hybridMultilevel"/>
    <w:tmpl w:val="C44E63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9631227"/>
    <w:multiLevelType w:val="hybridMultilevel"/>
    <w:tmpl w:val="355EC6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C93649C"/>
    <w:multiLevelType w:val="hybridMultilevel"/>
    <w:tmpl w:val="E30AA9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2BD245B2"/>
    <w:multiLevelType w:val="hybridMultilevel"/>
    <w:tmpl w:val="E404F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30916AAB"/>
    <w:multiLevelType w:val="hybridMultilevel"/>
    <w:tmpl w:val="C6DA0C64"/>
    <w:lvl w:ilvl="0" w:tplc="6CD6A95C">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1FA734E"/>
    <w:multiLevelType w:val="hybridMultilevel"/>
    <w:tmpl w:val="81A86D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32940D6F"/>
    <w:multiLevelType w:val="hybridMultilevel"/>
    <w:tmpl w:val="2FFA0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337E2886"/>
    <w:multiLevelType w:val="hybridMultilevel"/>
    <w:tmpl w:val="5CFEFF60"/>
    <w:lvl w:ilvl="0" w:tplc="B4AE051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308497F"/>
    <w:multiLevelType w:val="hybridMultilevel"/>
    <w:tmpl w:val="93C8F6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4A5E3E13"/>
    <w:multiLevelType w:val="hybridMultilevel"/>
    <w:tmpl w:val="283018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4C690F7C"/>
    <w:multiLevelType w:val="hybridMultilevel"/>
    <w:tmpl w:val="7FB852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4CF50FD4"/>
    <w:multiLevelType w:val="hybridMultilevel"/>
    <w:tmpl w:val="707E2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EDD3F41"/>
    <w:multiLevelType w:val="hybridMultilevel"/>
    <w:tmpl w:val="B39A8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53A6458A"/>
    <w:multiLevelType w:val="hybridMultilevel"/>
    <w:tmpl w:val="2474D6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566E72A0"/>
    <w:multiLevelType w:val="hybridMultilevel"/>
    <w:tmpl w:val="5E8461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57274E4C"/>
    <w:multiLevelType w:val="hybridMultilevel"/>
    <w:tmpl w:val="45089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7E95FC4"/>
    <w:multiLevelType w:val="hybridMultilevel"/>
    <w:tmpl w:val="80328F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57F634DB"/>
    <w:multiLevelType w:val="hybridMultilevel"/>
    <w:tmpl w:val="DB5E2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5E066587"/>
    <w:multiLevelType w:val="hybridMultilevel"/>
    <w:tmpl w:val="6F22F8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62FA5A6D"/>
    <w:multiLevelType w:val="hybridMultilevel"/>
    <w:tmpl w:val="8C784834"/>
    <w:lvl w:ilvl="0" w:tplc="79F04D7A">
      <w:start w:val="1"/>
      <w:numFmt w:val="decimal"/>
      <w:pStyle w:val="ListParagraph"/>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8">
    <w:nsid w:val="6B766B24"/>
    <w:multiLevelType w:val="hybridMultilevel"/>
    <w:tmpl w:val="41D291F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1">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31A040D"/>
    <w:multiLevelType w:val="hybridMultilevel"/>
    <w:tmpl w:val="0C3009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73E14EAE"/>
    <w:multiLevelType w:val="hybridMultilevel"/>
    <w:tmpl w:val="7FCE94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75EC408C"/>
    <w:multiLevelType w:val="hybridMultilevel"/>
    <w:tmpl w:val="45089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AF25C6E"/>
    <w:multiLevelType w:val="hybridMultilevel"/>
    <w:tmpl w:val="45089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7"/>
  </w:num>
  <w:num w:numId="3">
    <w:abstractNumId w:val="29"/>
  </w:num>
  <w:num w:numId="4">
    <w:abstractNumId w:val="8"/>
  </w:num>
  <w:num w:numId="5">
    <w:abstractNumId w:val="27"/>
  </w:num>
  <w:num w:numId="6">
    <w:abstractNumId w:val="15"/>
  </w:num>
  <w:num w:numId="7">
    <w:abstractNumId w:val="31"/>
  </w:num>
  <w:num w:numId="8">
    <w:abstractNumId w:val="6"/>
  </w:num>
  <w:num w:numId="9">
    <w:abstractNumId w:val="30"/>
  </w:num>
  <w:num w:numId="10">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1"/>
  </w:num>
  <w:num w:numId="14">
    <w:abstractNumId w:val="14"/>
  </w:num>
  <w:num w:numId="15">
    <w:abstractNumId w:val="16"/>
  </w:num>
  <w:num w:numId="16">
    <w:abstractNumId w:val="21"/>
  </w:num>
  <w:num w:numId="17">
    <w:abstractNumId w:val="1"/>
  </w:num>
  <w:num w:numId="18">
    <w:abstractNumId w:val="26"/>
  </w:num>
  <w:num w:numId="19">
    <w:abstractNumId w:val="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5"/>
  </w:num>
  <w:num w:numId="23">
    <w:abstractNumId w:val="25"/>
  </w:num>
  <w:num w:numId="24">
    <w:abstractNumId w:val="9"/>
  </w:num>
  <w:num w:numId="25">
    <w:abstractNumId w:val="24"/>
  </w:num>
  <w:num w:numId="26">
    <w:abstractNumId w:val="4"/>
  </w:num>
  <w:num w:numId="27">
    <w:abstractNumId w:val="22"/>
  </w:num>
  <w:num w:numId="28">
    <w:abstractNumId w:val="2"/>
  </w:num>
  <w:num w:numId="29">
    <w:abstractNumId w:val="20"/>
  </w:num>
  <w:num w:numId="30">
    <w:abstractNumId w:val="32"/>
  </w:num>
  <w:num w:numId="31">
    <w:abstractNumId w:val="18"/>
  </w:num>
  <w:num w:numId="32">
    <w:abstractNumId w:val="33"/>
  </w:num>
  <w:num w:numId="33">
    <w:abstractNumId w:val="23"/>
  </w:num>
  <w:num w:numId="34">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0"/>
  </w:num>
  <w:num w:numId="39">
    <w:abstractNumId w:val="35"/>
  </w:num>
  <w:num w:numId="40">
    <w:abstractNumId w:val="34"/>
  </w:num>
  <w:num w:numId="41">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A5"/>
    <w:rsid w:val="00012D68"/>
    <w:rsid w:val="0001524F"/>
    <w:rsid w:val="00020300"/>
    <w:rsid w:val="00021351"/>
    <w:rsid w:val="000372BF"/>
    <w:rsid w:val="00044C5A"/>
    <w:rsid w:val="000460EA"/>
    <w:rsid w:val="0005509E"/>
    <w:rsid w:val="00061A6A"/>
    <w:rsid w:val="000632C2"/>
    <w:rsid w:val="0006528D"/>
    <w:rsid w:val="00070A52"/>
    <w:rsid w:val="000932BC"/>
    <w:rsid w:val="000A3D10"/>
    <w:rsid w:val="000B2CC4"/>
    <w:rsid w:val="000B5D3D"/>
    <w:rsid w:val="000C0CE0"/>
    <w:rsid w:val="000C32A1"/>
    <w:rsid w:val="000D1038"/>
    <w:rsid w:val="00130EF9"/>
    <w:rsid w:val="001319C7"/>
    <w:rsid w:val="00136584"/>
    <w:rsid w:val="00144AAD"/>
    <w:rsid w:val="00163B72"/>
    <w:rsid w:val="00171A5A"/>
    <w:rsid w:val="0017438A"/>
    <w:rsid w:val="0017613C"/>
    <w:rsid w:val="00182912"/>
    <w:rsid w:val="00192A12"/>
    <w:rsid w:val="00192A90"/>
    <w:rsid w:val="001B2151"/>
    <w:rsid w:val="001B3CFF"/>
    <w:rsid w:val="001B4996"/>
    <w:rsid w:val="001D18C9"/>
    <w:rsid w:val="001D47A5"/>
    <w:rsid w:val="001F3D9D"/>
    <w:rsid w:val="00211C22"/>
    <w:rsid w:val="00212442"/>
    <w:rsid w:val="0021268B"/>
    <w:rsid w:val="00234B90"/>
    <w:rsid w:val="00241E03"/>
    <w:rsid w:val="00253B88"/>
    <w:rsid w:val="002574D1"/>
    <w:rsid w:val="00287C8F"/>
    <w:rsid w:val="002931A9"/>
    <w:rsid w:val="00296EA1"/>
    <w:rsid w:val="002E1C11"/>
    <w:rsid w:val="00314117"/>
    <w:rsid w:val="00317EDF"/>
    <w:rsid w:val="003260C3"/>
    <w:rsid w:val="003279E7"/>
    <w:rsid w:val="0033324D"/>
    <w:rsid w:val="003454ED"/>
    <w:rsid w:val="00366D42"/>
    <w:rsid w:val="00375BA2"/>
    <w:rsid w:val="0038331A"/>
    <w:rsid w:val="003C4EB5"/>
    <w:rsid w:val="003F39B1"/>
    <w:rsid w:val="00401F79"/>
    <w:rsid w:val="00430F70"/>
    <w:rsid w:val="00435FE9"/>
    <w:rsid w:val="00445696"/>
    <w:rsid w:val="00455213"/>
    <w:rsid w:val="00476087"/>
    <w:rsid w:val="00484BC5"/>
    <w:rsid w:val="00486D05"/>
    <w:rsid w:val="00487944"/>
    <w:rsid w:val="00494B66"/>
    <w:rsid w:val="004E42ED"/>
    <w:rsid w:val="00526E5D"/>
    <w:rsid w:val="00541729"/>
    <w:rsid w:val="00565193"/>
    <w:rsid w:val="0057799E"/>
    <w:rsid w:val="00577C33"/>
    <w:rsid w:val="0059703C"/>
    <w:rsid w:val="005B6B12"/>
    <w:rsid w:val="005D2DE7"/>
    <w:rsid w:val="005E7969"/>
    <w:rsid w:val="005F6C99"/>
    <w:rsid w:val="00611583"/>
    <w:rsid w:val="006200E5"/>
    <w:rsid w:val="0063565E"/>
    <w:rsid w:val="00636E02"/>
    <w:rsid w:val="00642297"/>
    <w:rsid w:val="00644A34"/>
    <w:rsid w:val="00662882"/>
    <w:rsid w:val="00665A7C"/>
    <w:rsid w:val="00671363"/>
    <w:rsid w:val="006A7A10"/>
    <w:rsid w:val="006B0DA4"/>
    <w:rsid w:val="006B1B6B"/>
    <w:rsid w:val="006D48A6"/>
    <w:rsid w:val="006E3A96"/>
    <w:rsid w:val="006F4443"/>
    <w:rsid w:val="006F53E8"/>
    <w:rsid w:val="00706072"/>
    <w:rsid w:val="00733C10"/>
    <w:rsid w:val="00750A88"/>
    <w:rsid w:val="00754B57"/>
    <w:rsid w:val="007575D2"/>
    <w:rsid w:val="007876B9"/>
    <w:rsid w:val="00797E0C"/>
    <w:rsid w:val="007E7997"/>
    <w:rsid w:val="007F6F2E"/>
    <w:rsid w:val="00817F68"/>
    <w:rsid w:val="00830D00"/>
    <w:rsid w:val="00846692"/>
    <w:rsid w:val="00867DB2"/>
    <w:rsid w:val="0089075A"/>
    <w:rsid w:val="00895AC7"/>
    <w:rsid w:val="008A3E1D"/>
    <w:rsid w:val="008C767A"/>
    <w:rsid w:val="008D3660"/>
    <w:rsid w:val="008D5C28"/>
    <w:rsid w:val="008D6F66"/>
    <w:rsid w:val="009175A8"/>
    <w:rsid w:val="00924236"/>
    <w:rsid w:val="009243C8"/>
    <w:rsid w:val="00940EFD"/>
    <w:rsid w:val="009663D9"/>
    <w:rsid w:val="0097016D"/>
    <w:rsid w:val="0099526D"/>
    <w:rsid w:val="00995812"/>
    <w:rsid w:val="009C7694"/>
    <w:rsid w:val="009D7294"/>
    <w:rsid w:val="009E0AA7"/>
    <w:rsid w:val="009E5107"/>
    <w:rsid w:val="00A026A4"/>
    <w:rsid w:val="00A31186"/>
    <w:rsid w:val="00A32DFB"/>
    <w:rsid w:val="00A353FB"/>
    <w:rsid w:val="00A410CC"/>
    <w:rsid w:val="00A42B43"/>
    <w:rsid w:val="00A451AC"/>
    <w:rsid w:val="00A501F5"/>
    <w:rsid w:val="00A53AF0"/>
    <w:rsid w:val="00A800EF"/>
    <w:rsid w:val="00A91D91"/>
    <w:rsid w:val="00AA054E"/>
    <w:rsid w:val="00AB7542"/>
    <w:rsid w:val="00AC79E0"/>
    <w:rsid w:val="00AE4FC7"/>
    <w:rsid w:val="00AE6C93"/>
    <w:rsid w:val="00AF3B7F"/>
    <w:rsid w:val="00B04283"/>
    <w:rsid w:val="00B11730"/>
    <w:rsid w:val="00B15C0B"/>
    <w:rsid w:val="00B17AF3"/>
    <w:rsid w:val="00B208BD"/>
    <w:rsid w:val="00B27499"/>
    <w:rsid w:val="00B348A5"/>
    <w:rsid w:val="00B40D81"/>
    <w:rsid w:val="00B4602F"/>
    <w:rsid w:val="00B50534"/>
    <w:rsid w:val="00B52E10"/>
    <w:rsid w:val="00B655D1"/>
    <w:rsid w:val="00B91B6E"/>
    <w:rsid w:val="00B944A7"/>
    <w:rsid w:val="00BB449C"/>
    <w:rsid w:val="00BC2561"/>
    <w:rsid w:val="00BC422A"/>
    <w:rsid w:val="00BD242C"/>
    <w:rsid w:val="00BE225E"/>
    <w:rsid w:val="00BF25CD"/>
    <w:rsid w:val="00C0358F"/>
    <w:rsid w:val="00C035F1"/>
    <w:rsid w:val="00C0696A"/>
    <w:rsid w:val="00C109D9"/>
    <w:rsid w:val="00C212A5"/>
    <w:rsid w:val="00C3432F"/>
    <w:rsid w:val="00C54C50"/>
    <w:rsid w:val="00C978C6"/>
    <w:rsid w:val="00CB50EF"/>
    <w:rsid w:val="00CB791A"/>
    <w:rsid w:val="00CD1313"/>
    <w:rsid w:val="00CD47B2"/>
    <w:rsid w:val="00CE49F8"/>
    <w:rsid w:val="00D14F6A"/>
    <w:rsid w:val="00D22F2F"/>
    <w:rsid w:val="00D46275"/>
    <w:rsid w:val="00D73338"/>
    <w:rsid w:val="00D978C6"/>
    <w:rsid w:val="00DE3688"/>
    <w:rsid w:val="00DF1ED8"/>
    <w:rsid w:val="00DF3785"/>
    <w:rsid w:val="00DF76B5"/>
    <w:rsid w:val="00E24D42"/>
    <w:rsid w:val="00E3456B"/>
    <w:rsid w:val="00E640E2"/>
    <w:rsid w:val="00E93E7D"/>
    <w:rsid w:val="00EA2103"/>
    <w:rsid w:val="00EB48FA"/>
    <w:rsid w:val="00EC2C93"/>
    <w:rsid w:val="00EC6BD8"/>
    <w:rsid w:val="00ED73A8"/>
    <w:rsid w:val="00ED74D7"/>
    <w:rsid w:val="00EF667D"/>
    <w:rsid w:val="00F00B3D"/>
    <w:rsid w:val="00F226E0"/>
    <w:rsid w:val="00F2686F"/>
    <w:rsid w:val="00F37EF9"/>
    <w:rsid w:val="00F401BC"/>
    <w:rsid w:val="00F53CBE"/>
    <w:rsid w:val="00F5412D"/>
    <w:rsid w:val="00F67EBD"/>
    <w:rsid w:val="00F76FA3"/>
    <w:rsid w:val="00F80FAB"/>
    <w:rsid w:val="00F92286"/>
    <w:rsid w:val="00FB24ED"/>
    <w:rsid w:val="00FC7DB0"/>
    <w:rsid w:val="00FE0B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lang w:val="en-GB"/>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lang w:val="en-GB"/>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sz w:val="22"/>
      <w:lang w:val="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lang w:val="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sz w:val="22"/>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lang w:val="en-GB"/>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6"/>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9"/>
      </w:numPr>
    </w:pPr>
    <w:rPr>
      <w:rFonts w:cstheme="majorHAnsi"/>
      <w:lang w:val="nl-BE"/>
    </w:rPr>
  </w:style>
  <w:style w:type="paragraph" w:customStyle="1" w:styleId="CPTitle3">
    <w:name w:val="CP_Title3"/>
    <w:basedOn w:val="Heading2"/>
    <w:qFormat/>
    <w:rsid w:val="009E5107"/>
    <w:pPr>
      <w:numPr>
        <w:ilvl w:val="2"/>
        <w:numId w:val="9"/>
      </w:numPr>
      <w:tabs>
        <w:tab w:val="num" w:pos="360"/>
      </w:tabs>
      <w:spacing w:before="250"/>
    </w:pPr>
    <w:rPr>
      <w:rFonts w:cstheme="majorHAnsi"/>
    </w:rPr>
  </w:style>
  <w:style w:type="paragraph" w:customStyle="1" w:styleId="CPTitle4">
    <w:name w:val="CP_Title4"/>
    <w:basedOn w:val="Normal"/>
    <w:qFormat/>
    <w:rsid w:val="009E5107"/>
    <w:pPr>
      <w:numPr>
        <w:ilvl w:val="3"/>
        <w:numId w:val="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9"/>
      </w:numPr>
      <w:spacing w:before="250"/>
    </w:pPr>
  </w:style>
  <w:style w:type="paragraph" w:customStyle="1" w:styleId="CPisubtitles">
    <w:name w:val="CP_isubtitles"/>
    <w:basedOn w:val="Normal"/>
    <w:qFormat/>
    <w:rsid w:val="009E5107"/>
    <w:pPr>
      <w:numPr>
        <w:ilvl w:val="7"/>
        <w:numId w:val="9"/>
      </w:numPr>
      <w:spacing w:before="250"/>
    </w:pPr>
  </w:style>
  <w:style w:type="paragraph" w:customStyle="1" w:styleId="CPasubtitles">
    <w:name w:val="CP_asubtitles"/>
    <w:basedOn w:val="Normal"/>
    <w:qFormat/>
    <w:rsid w:val="009E5107"/>
    <w:pPr>
      <w:numPr>
        <w:ilvl w:val="8"/>
        <w:numId w:val="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12"/>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customStyle="1" w:styleId="Default">
    <w:name w:val="Default"/>
    <w:rsid w:val="00817F68"/>
    <w:pPr>
      <w:autoSpaceDE w:val="0"/>
      <w:autoSpaceDN w:val="0"/>
      <w:adjustRightInd w:val="0"/>
      <w:spacing w:after="0" w:line="240" w:lineRule="auto"/>
    </w:pPr>
    <w:rPr>
      <w:rFonts w:ascii="Cambria" w:eastAsiaTheme="minorHAnsi" w:hAnsi="Cambria" w:cs="Cambria"/>
      <w:color w:val="000000"/>
      <w:sz w:val="24"/>
      <w:szCs w:val="24"/>
      <w:lang w:val="en-US"/>
    </w:rPr>
  </w:style>
  <w:style w:type="character" w:styleId="CommentReference">
    <w:name w:val="annotation reference"/>
    <w:basedOn w:val="DefaultParagraphFont"/>
    <w:uiPriority w:val="99"/>
    <w:semiHidden/>
    <w:unhideWhenUsed/>
    <w:rsid w:val="00B4602F"/>
    <w:rPr>
      <w:sz w:val="16"/>
      <w:szCs w:val="16"/>
    </w:rPr>
  </w:style>
  <w:style w:type="paragraph" w:styleId="CommentText">
    <w:name w:val="annotation text"/>
    <w:basedOn w:val="Normal"/>
    <w:link w:val="CommentTextChar"/>
    <w:uiPriority w:val="99"/>
    <w:semiHidden/>
    <w:unhideWhenUsed/>
    <w:rsid w:val="00B4602F"/>
    <w:pPr>
      <w:spacing w:after="200" w:line="240" w:lineRule="auto"/>
      <w:jc w:val="left"/>
    </w:pPr>
    <w:rPr>
      <w:rFonts w:ascii="Arial" w:eastAsiaTheme="minorHAnsi" w:hAnsi="Arial" w:cs="Arial"/>
      <w:sz w:val="20"/>
    </w:rPr>
  </w:style>
  <w:style w:type="character" w:customStyle="1" w:styleId="CommentTextChar">
    <w:name w:val="Comment Text Char"/>
    <w:basedOn w:val="DefaultParagraphFont"/>
    <w:link w:val="CommentText"/>
    <w:uiPriority w:val="99"/>
    <w:semiHidden/>
    <w:rsid w:val="00B4602F"/>
    <w:rPr>
      <w:rFonts w:ascii="Arial" w:eastAsiaTheme="minorHAnsi" w:hAnsi="Arial" w:cs="Arial"/>
      <w:lang w:val="en-GB"/>
    </w:rPr>
  </w:style>
  <w:style w:type="paragraph" w:styleId="PlainText">
    <w:name w:val="Plain Text"/>
    <w:basedOn w:val="Normal"/>
    <w:link w:val="PlainTextChar"/>
    <w:uiPriority w:val="99"/>
    <w:unhideWhenUsed/>
    <w:rsid w:val="0097016D"/>
    <w:pPr>
      <w:spacing w:line="240" w:lineRule="auto"/>
      <w:jc w:val="left"/>
    </w:pPr>
    <w:rPr>
      <w:rFonts w:ascii="Calibri" w:eastAsia="Times New Roman" w:hAnsi="Calibri" w:cs="Consolas"/>
      <w:szCs w:val="21"/>
    </w:rPr>
  </w:style>
  <w:style w:type="character" w:customStyle="1" w:styleId="PlainTextChar">
    <w:name w:val="Plain Text Char"/>
    <w:basedOn w:val="DefaultParagraphFont"/>
    <w:link w:val="PlainText"/>
    <w:uiPriority w:val="99"/>
    <w:rsid w:val="0097016D"/>
    <w:rPr>
      <w:rFonts w:ascii="Calibri" w:eastAsia="Times New Roman" w:hAnsi="Calibri" w:cs="Consolas"/>
      <w:sz w:val="22"/>
      <w:szCs w:val="2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lang w:val="en-GB"/>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lang w:val="en-GB"/>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sz w:val="22"/>
      <w:lang w:val="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lang w:val="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sz w:val="22"/>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lang w:val="en-GB"/>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6"/>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9"/>
      </w:numPr>
    </w:pPr>
    <w:rPr>
      <w:rFonts w:cstheme="majorHAnsi"/>
      <w:lang w:val="nl-BE"/>
    </w:rPr>
  </w:style>
  <w:style w:type="paragraph" w:customStyle="1" w:styleId="CPTitle3">
    <w:name w:val="CP_Title3"/>
    <w:basedOn w:val="Heading2"/>
    <w:qFormat/>
    <w:rsid w:val="009E5107"/>
    <w:pPr>
      <w:numPr>
        <w:ilvl w:val="2"/>
        <w:numId w:val="9"/>
      </w:numPr>
      <w:tabs>
        <w:tab w:val="num" w:pos="360"/>
      </w:tabs>
      <w:spacing w:before="250"/>
    </w:pPr>
    <w:rPr>
      <w:rFonts w:cstheme="majorHAnsi"/>
    </w:rPr>
  </w:style>
  <w:style w:type="paragraph" w:customStyle="1" w:styleId="CPTitle4">
    <w:name w:val="CP_Title4"/>
    <w:basedOn w:val="Normal"/>
    <w:qFormat/>
    <w:rsid w:val="009E5107"/>
    <w:pPr>
      <w:numPr>
        <w:ilvl w:val="3"/>
        <w:numId w:val="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9"/>
      </w:numPr>
      <w:spacing w:before="250"/>
    </w:pPr>
  </w:style>
  <w:style w:type="paragraph" w:customStyle="1" w:styleId="CPisubtitles">
    <w:name w:val="CP_isubtitles"/>
    <w:basedOn w:val="Normal"/>
    <w:qFormat/>
    <w:rsid w:val="009E5107"/>
    <w:pPr>
      <w:numPr>
        <w:ilvl w:val="7"/>
        <w:numId w:val="9"/>
      </w:numPr>
      <w:spacing w:before="250"/>
    </w:pPr>
  </w:style>
  <w:style w:type="paragraph" w:customStyle="1" w:styleId="CPasubtitles">
    <w:name w:val="CP_asubtitles"/>
    <w:basedOn w:val="Normal"/>
    <w:qFormat/>
    <w:rsid w:val="009E5107"/>
    <w:pPr>
      <w:numPr>
        <w:ilvl w:val="8"/>
        <w:numId w:val="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12"/>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customStyle="1" w:styleId="Default">
    <w:name w:val="Default"/>
    <w:rsid w:val="00817F68"/>
    <w:pPr>
      <w:autoSpaceDE w:val="0"/>
      <w:autoSpaceDN w:val="0"/>
      <w:adjustRightInd w:val="0"/>
      <w:spacing w:after="0" w:line="240" w:lineRule="auto"/>
    </w:pPr>
    <w:rPr>
      <w:rFonts w:ascii="Cambria" w:eastAsiaTheme="minorHAnsi" w:hAnsi="Cambria" w:cs="Cambria"/>
      <w:color w:val="000000"/>
      <w:sz w:val="24"/>
      <w:szCs w:val="24"/>
      <w:lang w:val="en-US"/>
    </w:rPr>
  </w:style>
  <w:style w:type="character" w:styleId="CommentReference">
    <w:name w:val="annotation reference"/>
    <w:basedOn w:val="DefaultParagraphFont"/>
    <w:uiPriority w:val="99"/>
    <w:semiHidden/>
    <w:unhideWhenUsed/>
    <w:rsid w:val="00B4602F"/>
    <w:rPr>
      <w:sz w:val="16"/>
      <w:szCs w:val="16"/>
    </w:rPr>
  </w:style>
  <w:style w:type="paragraph" w:styleId="CommentText">
    <w:name w:val="annotation text"/>
    <w:basedOn w:val="Normal"/>
    <w:link w:val="CommentTextChar"/>
    <w:uiPriority w:val="99"/>
    <w:semiHidden/>
    <w:unhideWhenUsed/>
    <w:rsid w:val="00B4602F"/>
    <w:pPr>
      <w:spacing w:after="200" w:line="240" w:lineRule="auto"/>
      <w:jc w:val="left"/>
    </w:pPr>
    <w:rPr>
      <w:rFonts w:ascii="Arial" w:eastAsiaTheme="minorHAnsi" w:hAnsi="Arial" w:cs="Arial"/>
      <w:sz w:val="20"/>
    </w:rPr>
  </w:style>
  <w:style w:type="character" w:customStyle="1" w:styleId="CommentTextChar">
    <w:name w:val="Comment Text Char"/>
    <w:basedOn w:val="DefaultParagraphFont"/>
    <w:link w:val="CommentText"/>
    <w:uiPriority w:val="99"/>
    <w:semiHidden/>
    <w:rsid w:val="00B4602F"/>
    <w:rPr>
      <w:rFonts w:ascii="Arial" w:eastAsiaTheme="minorHAnsi" w:hAnsi="Arial" w:cs="Arial"/>
      <w:lang w:val="en-GB"/>
    </w:rPr>
  </w:style>
  <w:style w:type="paragraph" w:styleId="PlainText">
    <w:name w:val="Plain Text"/>
    <w:basedOn w:val="Normal"/>
    <w:link w:val="PlainTextChar"/>
    <w:uiPriority w:val="99"/>
    <w:unhideWhenUsed/>
    <w:rsid w:val="0097016D"/>
    <w:pPr>
      <w:spacing w:line="240" w:lineRule="auto"/>
      <w:jc w:val="left"/>
    </w:pPr>
    <w:rPr>
      <w:rFonts w:ascii="Calibri" w:eastAsia="Times New Roman" w:hAnsi="Calibri" w:cs="Consolas"/>
      <w:szCs w:val="21"/>
    </w:rPr>
  </w:style>
  <w:style w:type="character" w:customStyle="1" w:styleId="PlainTextChar">
    <w:name w:val="Plain Text Char"/>
    <w:basedOn w:val="DefaultParagraphFont"/>
    <w:link w:val="PlainText"/>
    <w:uiPriority w:val="99"/>
    <w:rsid w:val="0097016D"/>
    <w:rPr>
      <w:rFonts w:ascii="Calibri" w:eastAsia="Times New Roman" w:hAnsi="Calibri" w:cs="Consolas"/>
      <w:sz w:val="22"/>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2860">
      <w:bodyDiv w:val="1"/>
      <w:marLeft w:val="0"/>
      <w:marRight w:val="0"/>
      <w:marTop w:val="0"/>
      <w:marBottom w:val="0"/>
      <w:divBdr>
        <w:top w:val="none" w:sz="0" w:space="0" w:color="auto"/>
        <w:left w:val="none" w:sz="0" w:space="0" w:color="auto"/>
        <w:bottom w:val="none" w:sz="0" w:space="0" w:color="auto"/>
        <w:right w:val="none" w:sz="0" w:space="0" w:color="auto"/>
      </w:divBdr>
    </w:div>
    <w:div w:id="46146504">
      <w:bodyDiv w:val="1"/>
      <w:marLeft w:val="0"/>
      <w:marRight w:val="0"/>
      <w:marTop w:val="0"/>
      <w:marBottom w:val="0"/>
      <w:divBdr>
        <w:top w:val="none" w:sz="0" w:space="0" w:color="auto"/>
        <w:left w:val="none" w:sz="0" w:space="0" w:color="auto"/>
        <w:bottom w:val="none" w:sz="0" w:space="0" w:color="auto"/>
        <w:right w:val="none" w:sz="0" w:space="0" w:color="auto"/>
      </w:divBdr>
    </w:div>
    <w:div w:id="106852954">
      <w:bodyDiv w:val="1"/>
      <w:marLeft w:val="0"/>
      <w:marRight w:val="0"/>
      <w:marTop w:val="0"/>
      <w:marBottom w:val="0"/>
      <w:divBdr>
        <w:top w:val="none" w:sz="0" w:space="0" w:color="auto"/>
        <w:left w:val="none" w:sz="0" w:space="0" w:color="auto"/>
        <w:bottom w:val="none" w:sz="0" w:space="0" w:color="auto"/>
        <w:right w:val="none" w:sz="0" w:space="0" w:color="auto"/>
      </w:divBdr>
    </w:div>
    <w:div w:id="115223182">
      <w:bodyDiv w:val="1"/>
      <w:marLeft w:val="0"/>
      <w:marRight w:val="0"/>
      <w:marTop w:val="0"/>
      <w:marBottom w:val="0"/>
      <w:divBdr>
        <w:top w:val="none" w:sz="0" w:space="0" w:color="auto"/>
        <w:left w:val="none" w:sz="0" w:space="0" w:color="auto"/>
        <w:bottom w:val="none" w:sz="0" w:space="0" w:color="auto"/>
        <w:right w:val="none" w:sz="0" w:space="0" w:color="auto"/>
      </w:divBdr>
    </w:div>
    <w:div w:id="141653928">
      <w:bodyDiv w:val="1"/>
      <w:marLeft w:val="0"/>
      <w:marRight w:val="0"/>
      <w:marTop w:val="0"/>
      <w:marBottom w:val="0"/>
      <w:divBdr>
        <w:top w:val="none" w:sz="0" w:space="0" w:color="auto"/>
        <w:left w:val="none" w:sz="0" w:space="0" w:color="auto"/>
        <w:bottom w:val="none" w:sz="0" w:space="0" w:color="auto"/>
        <w:right w:val="none" w:sz="0" w:space="0" w:color="auto"/>
      </w:divBdr>
    </w:div>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190729849">
      <w:bodyDiv w:val="1"/>
      <w:marLeft w:val="0"/>
      <w:marRight w:val="0"/>
      <w:marTop w:val="0"/>
      <w:marBottom w:val="0"/>
      <w:divBdr>
        <w:top w:val="none" w:sz="0" w:space="0" w:color="auto"/>
        <w:left w:val="none" w:sz="0" w:space="0" w:color="auto"/>
        <w:bottom w:val="none" w:sz="0" w:space="0" w:color="auto"/>
        <w:right w:val="none" w:sz="0" w:space="0" w:color="auto"/>
      </w:divBdr>
    </w:div>
    <w:div w:id="195890747">
      <w:bodyDiv w:val="1"/>
      <w:marLeft w:val="0"/>
      <w:marRight w:val="0"/>
      <w:marTop w:val="0"/>
      <w:marBottom w:val="0"/>
      <w:divBdr>
        <w:top w:val="none" w:sz="0" w:space="0" w:color="auto"/>
        <w:left w:val="none" w:sz="0" w:space="0" w:color="auto"/>
        <w:bottom w:val="none" w:sz="0" w:space="0" w:color="auto"/>
        <w:right w:val="none" w:sz="0" w:space="0" w:color="auto"/>
      </w:divBdr>
    </w:div>
    <w:div w:id="205528248">
      <w:bodyDiv w:val="1"/>
      <w:marLeft w:val="0"/>
      <w:marRight w:val="0"/>
      <w:marTop w:val="0"/>
      <w:marBottom w:val="0"/>
      <w:divBdr>
        <w:top w:val="none" w:sz="0" w:space="0" w:color="auto"/>
        <w:left w:val="none" w:sz="0" w:space="0" w:color="auto"/>
        <w:bottom w:val="none" w:sz="0" w:space="0" w:color="auto"/>
        <w:right w:val="none" w:sz="0" w:space="0" w:color="auto"/>
      </w:divBdr>
    </w:div>
    <w:div w:id="206722853">
      <w:bodyDiv w:val="1"/>
      <w:marLeft w:val="0"/>
      <w:marRight w:val="0"/>
      <w:marTop w:val="0"/>
      <w:marBottom w:val="0"/>
      <w:divBdr>
        <w:top w:val="none" w:sz="0" w:space="0" w:color="auto"/>
        <w:left w:val="none" w:sz="0" w:space="0" w:color="auto"/>
        <w:bottom w:val="none" w:sz="0" w:space="0" w:color="auto"/>
        <w:right w:val="none" w:sz="0" w:space="0" w:color="auto"/>
      </w:divBdr>
    </w:div>
    <w:div w:id="214238427">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251474311">
      <w:bodyDiv w:val="1"/>
      <w:marLeft w:val="0"/>
      <w:marRight w:val="0"/>
      <w:marTop w:val="0"/>
      <w:marBottom w:val="0"/>
      <w:divBdr>
        <w:top w:val="none" w:sz="0" w:space="0" w:color="auto"/>
        <w:left w:val="none" w:sz="0" w:space="0" w:color="auto"/>
        <w:bottom w:val="none" w:sz="0" w:space="0" w:color="auto"/>
        <w:right w:val="none" w:sz="0" w:space="0" w:color="auto"/>
      </w:divBdr>
    </w:div>
    <w:div w:id="266960319">
      <w:bodyDiv w:val="1"/>
      <w:marLeft w:val="0"/>
      <w:marRight w:val="0"/>
      <w:marTop w:val="0"/>
      <w:marBottom w:val="0"/>
      <w:divBdr>
        <w:top w:val="none" w:sz="0" w:space="0" w:color="auto"/>
        <w:left w:val="none" w:sz="0" w:space="0" w:color="auto"/>
        <w:bottom w:val="none" w:sz="0" w:space="0" w:color="auto"/>
        <w:right w:val="none" w:sz="0" w:space="0" w:color="auto"/>
      </w:divBdr>
    </w:div>
    <w:div w:id="321931615">
      <w:bodyDiv w:val="1"/>
      <w:marLeft w:val="0"/>
      <w:marRight w:val="0"/>
      <w:marTop w:val="0"/>
      <w:marBottom w:val="0"/>
      <w:divBdr>
        <w:top w:val="none" w:sz="0" w:space="0" w:color="auto"/>
        <w:left w:val="none" w:sz="0" w:space="0" w:color="auto"/>
        <w:bottom w:val="none" w:sz="0" w:space="0" w:color="auto"/>
        <w:right w:val="none" w:sz="0" w:space="0" w:color="auto"/>
      </w:divBdr>
    </w:div>
    <w:div w:id="368141489">
      <w:bodyDiv w:val="1"/>
      <w:marLeft w:val="0"/>
      <w:marRight w:val="0"/>
      <w:marTop w:val="0"/>
      <w:marBottom w:val="0"/>
      <w:divBdr>
        <w:top w:val="none" w:sz="0" w:space="0" w:color="auto"/>
        <w:left w:val="none" w:sz="0" w:space="0" w:color="auto"/>
        <w:bottom w:val="none" w:sz="0" w:space="0" w:color="auto"/>
        <w:right w:val="none" w:sz="0" w:space="0" w:color="auto"/>
      </w:divBdr>
    </w:div>
    <w:div w:id="373967866">
      <w:bodyDiv w:val="1"/>
      <w:marLeft w:val="0"/>
      <w:marRight w:val="0"/>
      <w:marTop w:val="0"/>
      <w:marBottom w:val="0"/>
      <w:divBdr>
        <w:top w:val="none" w:sz="0" w:space="0" w:color="auto"/>
        <w:left w:val="none" w:sz="0" w:space="0" w:color="auto"/>
        <w:bottom w:val="none" w:sz="0" w:space="0" w:color="auto"/>
        <w:right w:val="none" w:sz="0" w:space="0" w:color="auto"/>
      </w:divBdr>
    </w:div>
    <w:div w:id="398018583">
      <w:bodyDiv w:val="1"/>
      <w:marLeft w:val="0"/>
      <w:marRight w:val="0"/>
      <w:marTop w:val="0"/>
      <w:marBottom w:val="0"/>
      <w:divBdr>
        <w:top w:val="none" w:sz="0" w:space="0" w:color="auto"/>
        <w:left w:val="none" w:sz="0" w:space="0" w:color="auto"/>
        <w:bottom w:val="none" w:sz="0" w:space="0" w:color="auto"/>
        <w:right w:val="none" w:sz="0" w:space="0" w:color="auto"/>
      </w:divBdr>
    </w:div>
    <w:div w:id="412509312">
      <w:bodyDiv w:val="1"/>
      <w:marLeft w:val="0"/>
      <w:marRight w:val="0"/>
      <w:marTop w:val="0"/>
      <w:marBottom w:val="0"/>
      <w:divBdr>
        <w:top w:val="none" w:sz="0" w:space="0" w:color="auto"/>
        <w:left w:val="none" w:sz="0" w:space="0" w:color="auto"/>
        <w:bottom w:val="none" w:sz="0" w:space="0" w:color="auto"/>
        <w:right w:val="none" w:sz="0" w:space="0" w:color="auto"/>
      </w:divBdr>
    </w:div>
    <w:div w:id="430667583">
      <w:bodyDiv w:val="1"/>
      <w:marLeft w:val="0"/>
      <w:marRight w:val="0"/>
      <w:marTop w:val="0"/>
      <w:marBottom w:val="0"/>
      <w:divBdr>
        <w:top w:val="none" w:sz="0" w:space="0" w:color="auto"/>
        <w:left w:val="none" w:sz="0" w:space="0" w:color="auto"/>
        <w:bottom w:val="none" w:sz="0" w:space="0" w:color="auto"/>
        <w:right w:val="none" w:sz="0" w:space="0" w:color="auto"/>
      </w:divBdr>
    </w:div>
    <w:div w:id="466514071">
      <w:bodyDiv w:val="1"/>
      <w:marLeft w:val="0"/>
      <w:marRight w:val="0"/>
      <w:marTop w:val="0"/>
      <w:marBottom w:val="0"/>
      <w:divBdr>
        <w:top w:val="none" w:sz="0" w:space="0" w:color="auto"/>
        <w:left w:val="none" w:sz="0" w:space="0" w:color="auto"/>
        <w:bottom w:val="none" w:sz="0" w:space="0" w:color="auto"/>
        <w:right w:val="none" w:sz="0" w:space="0" w:color="auto"/>
      </w:divBdr>
    </w:div>
    <w:div w:id="473909557">
      <w:bodyDiv w:val="1"/>
      <w:marLeft w:val="0"/>
      <w:marRight w:val="0"/>
      <w:marTop w:val="0"/>
      <w:marBottom w:val="0"/>
      <w:divBdr>
        <w:top w:val="none" w:sz="0" w:space="0" w:color="auto"/>
        <w:left w:val="none" w:sz="0" w:space="0" w:color="auto"/>
        <w:bottom w:val="none" w:sz="0" w:space="0" w:color="auto"/>
        <w:right w:val="none" w:sz="0" w:space="0" w:color="auto"/>
      </w:divBdr>
    </w:div>
    <w:div w:id="479343380">
      <w:bodyDiv w:val="1"/>
      <w:marLeft w:val="0"/>
      <w:marRight w:val="0"/>
      <w:marTop w:val="0"/>
      <w:marBottom w:val="0"/>
      <w:divBdr>
        <w:top w:val="none" w:sz="0" w:space="0" w:color="auto"/>
        <w:left w:val="none" w:sz="0" w:space="0" w:color="auto"/>
        <w:bottom w:val="none" w:sz="0" w:space="0" w:color="auto"/>
        <w:right w:val="none" w:sz="0" w:space="0" w:color="auto"/>
      </w:divBdr>
    </w:div>
    <w:div w:id="483858887">
      <w:bodyDiv w:val="1"/>
      <w:marLeft w:val="0"/>
      <w:marRight w:val="0"/>
      <w:marTop w:val="0"/>
      <w:marBottom w:val="0"/>
      <w:divBdr>
        <w:top w:val="none" w:sz="0" w:space="0" w:color="auto"/>
        <w:left w:val="none" w:sz="0" w:space="0" w:color="auto"/>
        <w:bottom w:val="none" w:sz="0" w:space="0" w:color="auto"/>
        <w:right w:val="none" w:sz="0" w:space="0" w:color="auto"/>
      </w:divBdr>
    </w:div>
    <w:div w:id="485512237">
      <w:bodyDiv w:val="1"/>
      <w:marLeft w:val="0"/>
      <w:marRight w:val="0"/>
      <w:marTop w:val="0"/>
      <w:marBottom w:val="0"/>
      <w:divBdr>
        <w:top w:val="none" w:sz="0" w:space="0" w:color="auto"/>
        <w:left w:val="none" w:sz="0" w:space="0" w:color="auto"/>
        <w:bottom w:val="none" w:sz="0" w:space="0" w:color="auto"/>
        <w:right w:val="none" w:sz="0" w:space="0" w:color="auto"/>
      </w:divBdr>
    </w:div>
    <w:div w:id="515733699">
      <w:bodyDiv w:val="1"/>
      <w:marLeft w:val="0"/>
      <w:marRight w:val="0"/>
      <w:marTop w:val="0"/>
      <w:marBottom w:val="0"/>
      <w:divBdr>
        <w:top w:val="none" w:sz="0" w:space="0" w:color="auto"/>
        <w:left w:val="none" w:sz="0" w:space="0" w:color="auto"/>
        <w:bottom w:val="none" w:sz="0" w:space="0" w:color="auto"/>
        <w:right w:val="none" w:sz="0" w:space="0" w:color="auto"/>
      </w:divBdr>
    </w:div>
    <w:div w:id="517237912">
      <w:bodyDiv w:val="1"/>
      <w:marLeft w:val="0"/>
      <w:marRight w:val="0"/>
      <w:marTop w:val="0"/>
      <w:marBottom w:val="0"/>
      <w:divBdr>
        <w:top w:val="none" w:sz="0" w:space="0" w:color="auto"/>
        <w:left w:val="none" w:sz="0" w:space="0" w:color="auto"/>
        <w:bottom w:val="none" w:sz="0" w:space="0" w:color="auto"/>
        <w:right w:val="none" w:sz="0" w:space="0" w:color="auto"/>
      </w:divBdr>
    </w:div>
    <w:div w:id="578906954">
      <w:bodyDiv w:val="1"/>
      <w:marLeft w:val="0"/>
      <w:marRight w:val="0"/>
      <w:marTop w:val="0"/>
      <w:marBottom w:val="0"/>
      <w:divBdr>
        <w:top w:val="none" w:sz="0" w:space="0" w:color="auto"/>
        <w:left w:val="none" w:sz="0" w:space="0" w:color="auto"/>
        <w:bottom w:val="none" w:sz="0" w:space="0" w:color="auto"/>
        <w:right w:val="none" w:sz="0" w:space="0" w:color="auto"/>
      </w:divBdr>
    </w:div>
    <w:div w:id="615717645">
      <w:bodyDiv w:val="1"/>
      <w:marLeft w:val="0"/>
      <w:marRight w:val="0"/>
      <w:marTop w:val="0"/>
      <w:marBottom w:val="0"/>
      <w:divBdr>
        <w:top w:val="none" w:sz="0" w:space="0" w:color="auto"/>
        <w:left w:val="none" w:sz="0" w:space="0" w:color="auto"/>
        <w:bottom w:val="none" w:sz="0" w:space="0" w:color="auto"/>
        <w:right w:val="none" w:sz="0" w:space="0" w:color="auto"/>
      </w:divBdr>
    </w:div>
    <w:div w:id="693045477">
      <w:bodyDiv w:val="1"/>
      <w:marLeft w:val="0"/>
      <w:marRight w:val="0"/>
      <w:marTop w:val="0"/>
      <w:marBottom w:val="0"/>
      <w:divBdr>
        <w:top w:val="none" w:sz="0" w:space="0" w:color="auto"/>
        <w:left w:val="none" w:sz="0" w:space="0" w:color="auto"/>
        <w:bottom w:val="none" w:sz="0" w:space="0" w:color="auto"/>
        <w:right w:val="none" w:sz="0" w:space="0" w:color="auto"/>
      </w:divBdr>
    </w:div>
    <w:div w:id="716658290">
      <w:bodyDiv w:val="1"/>
      <w:marLeft w:val="0"/>
      <w:marRight w:val="0"/>
      <w:marTop w:val="0"/>
      <w:marBottom w:val="0"/>
      <w:divBdr>
        <w:top w:val="none" w:sz="0" w:space="0" w:color="auto"/>
        <w:left w:val="none" w:sz="0" w:space="0" w:color="auto"/>
        <w:bottom w:val="none" w:sz="0" w:space="0" w:color="auto"/>
        <w:right w:val="none" w:sz="0" w:space="0" w:color="auto"/>
      </w:divBdr>
    </w:div>
    <w:div w:id="732696487">
      <w:bodyDiv w:val="1"/>
      <w:marLeft w:val="0"/>
      <w:marRight w:val="0"/>
      <w:marTop w:val="0"/>
      <w:marBottom w:val="0"/>
      <w:divBdr>
        <w:top w:val="none" w:sz="0" w:space="0" w:color="auto"/>
        <w:left w:val="none" w:sz="0" w:space="0" w:color="auto"/>
        <w:bottom w:val="none" w:sz="0" w:space="0" w:color="auto"/>
        <w:right w:val="none" w:sz="0" w:space="0" w:color="auto"/>
      </w:divBdr>
    </w:div>
    <w:div w:id="784078185">
      <w:bodyDiv w:val="1"/>
      <w:marLeft w:val="0"/>
      <w:marRight w:val="0"/>
      <w:marTop w:val="0"/>
      <w:marBottom w:val="0"/>
      <w:divBdr>
        <w:top w:val="none" w:sz="0" w:space="0" w:color="auto"/>
        <w:left w:val="none" w:sz="0" w:space="0" w:color="auto"/>
        <w:bottom w:val="none" w:sz="0" w:space="0" w:color="auto"/>
        <w:right w:val="none" w:sz="0" w:space="0" w:color="auto"/>
      </w:divBdr>
    </w:div>
    <w:div w:id="789473754">
      <w:bodyDiv w:val="1"/>
      <w:marLeft w:val="0"/>
      <w:marRight w:val="0"/>
      <w:marTop w:val="0"/>
      <w:marBottom w:val="0"/>
      <w:divBdr>
        <w:top w:val="none" w:sz="0" w:space="0" w:color="auto"/>
        <w:left w:val="none" w:sz="0" w:space="0" w:color="auto"/>
        <w:bottom w:val="none" w:sz="0" w:space="0" w:color="auto"/>
        <w:right w:val="none" w:sz="0" w:space="0" w:color="auto"/>
      </w:divBdr>
    </w:div>
    <w:div w:id="840268589">
      <w:bodyDiv w:val="1"/>
      <w:marLeft w:val="0"/>
      <w:marRight w:val="0"/>
      <w:marTop w:val="0"/>
      <w:marBottom w:val="0"/>
      <w:divBdr>
        <w:top w:val="none" w:sz="0" w:space="0" w:color="auto"/>
        <w:left w:val="none" w:sz="0" w:space="0" w:color="auto"/>
        <w:bottom w:val="none" w:sz="0" w:space="0" w:color="auto"/>
        <w:right w:val="none" w:sz="0" w:space="0" w:color="auto"/>
      </w:divBdr>
    </w:div>
    <w:div w:id="870802054">
      <w:bodyDiv w:val="1"/>
      <w:marLeft w:val="0"/>
      <w:marRight w:val="0"/>
      <w:marTop w:val="0"/>
      <w:marBottom w:val="0"/>
      <w:divBdr>
        <w:top w:val="none" w:sz="0" w:space="0" w:color="auto"/>
        <w:left w:val="none" w:sz="0" w:space="0" w:color="auto"/>
        <w:bottom w:val="none" w:sz="0" w:space="0" w:color="auto"/>
        <w:right w:val="none" w:sz="0" w:space="0" w:color="auto"/>
      </w:divBdr>
    </w:div>
    <w:div w:id="876968682">
      <w:bodyDiv w:val="1"/>
      <w:marLeft w:val="0"/>
      <w:marRight w:val="0"/>
      <w:marTop w:val="0"/>
      <w:marBottom w:val="0"/>
      <w:divBdr>
        <w:top w:val="none" w:sz="0" w:space="0" w:color="auto"/>
        <w:left w:val="none" w:sz="0" w:space="0" w:color="auto"/>
        <w:bottom w:val="none" w:sz="0" w:space="0" w:color="auto"/>
        <w:right w:val="none" w:sz="0" w:space="0" w:color="auto"/>
      </w:divBdr>
    </w:div>
    <w:div w:id="942570465">
      <w:bodyDiv w:val="1"/>
      <w:marLeft w:val="0"/>
      <w:marRight w:val="0"/>
      <w:marTop w:val="0"/>
      <w:marBottom w:val="0"/>
      <w:divBdr>
        <w:top w:val="none" w:sz="0" w:space="0" w:color="auto"/>
        <w:left w:val="none" w:sz="0" w:space="0" w:color="auto"/>
        <w:bottom w:val="none" w:sz="0" w:space="0" w:color="auto"/>
        <w:right w:val="none" w:sz="0" w:space="0" w:color="auto"/>
      </w:divBdr>
    </w:div>
    <w:div w:id="950166924">
      <w:bodyDiv w:val="1"/>
      <w:marLeft w:val="0"/>
      <w:marRight w:val="0"/>
      <w:marTop w:val="0"/>
      <w:marBottom w:val="0"/>
      <w:divBdr>
        <w:top w:val="none" w:sz="0" w:space="0" w:color="auto"/>
        <w:left w:val="none" w:sz="0" w:space="0" w:color="auto"/>
        <w:bottom w:val="none" w:sz="0" w:space="0" w:color="auto"/>
        <w:right w:val="none" w:sz="0" w:space="0" w:color="auto"/>
      </w:divBdr>
    </w:div>
    <w:div w:id="956569011">
      <w:bodyDiv w:val="1"/>
      <w:marLeft w:val="0"/>
      <w:marRight w:val="0"/>
      <w:marTop w:val="0"/>
      <w:marBottom w:val="0"/>
      <w:divBdr>
        <w:top w:val="none" w:sz="0" w:space="0" w:color="auto"/>
        <w:left w:val="none" w:sz="0" w:space="0" w:color="auto"/>
        <w:bottom w:val="none" w:sz="0" w:space="0" w:color="auto"/>
        <w:right w:val="none" w:sz="0" w:space="0" w:color="auto"/>
      </w:divBdr>
    </w:div>
    <w:div w:id="972758585">
      <w:bodyDiv w:val="1"/>
      <w:marLeft w:val="0"/>
      <w:marRight w:val="0"/>
      <w:marTop w:val="0"/>
      <w:marBottom w:val="0"/>
      <w:divBdr>
        <w:top w:val="none" w:sz="0" w:space="0" w:color="auto"/>
        <w:left w:val="none" w:sz="0" w:space="0" w:color="auto"/>
        <w:bottom w:val="none" w:sz="0" w:space="0" w:color="auto"/>
        <w:right w:val="none" w:sz="0" w:space="0" w:color="auto"/>
      </w:divBdr>
    </w:div>
    <w:div w:id="972950826">
      <w:bodyDiv w:val="1"/>
      <w:marLeft w:val="0"/>
      <w:marRight w:val="0"/>
      <w:marTop w:val="0"/>
      <w:marBottom w:val="0"/>
      <w:divBdr>
        <w:top w:val="none" w:sz="0" w:space="0" w:color="auto"/>
        <w:left w:val="none" w:sz="0" w:space="0" w:color="auto"/>
        <w:bottom w:val="none" w:sz="0" w:space="0" w:color="auto"/>
        <w:right w:val="none" w:sz="0" w:space="0" w:color="auto"/>
      </w:divBdr>
    </w:div>
    <w:div w:id="979502206">
      <w:bodyDiv w:val="1"/>
      <w:marLeft w:val="0"/>
      <w:marRight w:val="0"/>
      <w:marTop w:val="0"/>
      <w:marBottom w:val="0"/>
      <w:divBdr>
        <w:top w:val="none" w:sz="0" w:space="0" w:color="auto"/>
        <w:left w:val="none" w:sz="0" w:space="0" w:color="auto"/>
        <w:bottom w:val="none" w:sz="0" w:space="0" w:color="auto"/>
        <w:right w:val="none" w:sz="0" w:space="0" w:color="auto"/>
      </w:divBdr>
    </w:div>
    <w:div w:id="999697206">
      <w:bodyDiv w:val="1"/>
      <w:marLeft w:val="0"/>
      <w:marRight w:val="0"/>
      <w:marTop w:val="0"/>
      <w:marBottom w:val="0"/>
      <w:divBdr>
        <w:top w:val="none" w:sz="0" w:space="0" w:color="auto"/>
        <w:left w:val="none" w:sz="0" w:space="0" w:color="auto"/>
        <w:bottom w:val="none" w:sz="0" w:space="0" w:color="auto"/>
        <w:right w:val="none" w:sz="0" w:space="0" w:color="auto"/>
      </w:divBdr>
    </w:div>
    <w:div w:id="1000236295">
      <w:bodyDiv w:val="1"/>
      <w:marLeft w:val="0"/>
      <w:marRight w:val="0"/>
      <w:marTop w:val="0"/>
      <w:marBottom w:val="0"/>
      <w:divBdr>
        <w:top w:val="none" w:sz="0" w:space="0" w:color="auto"/>
        <w:left w:val="none" w:sz="0" w:space="0" w:color="auto"/>
        <w:bottom w:val="none" w:sz="0" w:space="0" w:color="auto"/>
        <w:right w:val="none" w:sz="0" w:space="0" w:color="auto"/>
      </w:divBdr>
    </w:div>
    <w:div w:id="1000473090">
      <w:bodyDiv w:val="1"/>
      <w:marLeft w:val="0"/>
      <w:marRight w:val="0"/>
      <w:marTop w:val="0"/>
      <w:marBottom w:val="0"/>
      <w:divBdr>
        <w:top w:val="none" w:sz="0" w:space="0" w:color="auto"/>
        <w:left w:val="none" w:sz="0" w:space="0" w:color="auto"/>
        <w:bottom w:val="none" w:sz="0" w:space="0" w:color="auto"/>
        <w:right w:val="none" w:sz="0" w:space="0" w:color="auto"/>
      </w:divBdr>
    </w:div>
    <w:div w:id="1002702359">
      <w:bodyDiv w:val="1"/>
      <w:marLeft w:val="0"/>
      <w:marRight w:val="0"/>
      <w:marTop w:val="0"/>
      <w:marBottom w:val="0"/>
      <w:divBdr>
        <w:top w:val="none" w:sz="0" w:space="0" w:color="auto"/>
        <w:left w:val="none" w:sz="0" w:space="0" w:color="auto"/>
        <w:bottom w:val="none" w:sz="0" w:space="0" w:color="auto"/>
        <w:right w:val="none" w:sz="0" w:space="0" w:color="auto"/>
      </w:divBdr>
    </w:div>
    <w:div w:id="1017004707">
      <w:bodyDiv w:val="1"/>
      <w:marLeft w:val="0"/>
      <w:marRight w:val="0"/>
      <w:marTop w:val="0"/>
      <w:marBottom w:val="0"/>
      <w:divBdr>
        <w:top w:val="none" w:sz="0" w:space="0" w:color="auto"/>
        <w:left w:val="none" w:sz="0" w:space="0" w:color="auto"/>
        <w:bottom w:val="none" w:sz="0" w:space="0" w:color="auto"/>
        <w:right w:val="none" w:sz="0" w:space="0" w:color="auto"/>
      </w:divBdr>
    </w:div>
    <w:div w:id="1025061866">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05808120">
      <w:bodyDiv w:val="1"/>
      <w:marLeft w:val="0"/>
      <w:marRight w:val="0"/>
      <w:marTop w:val="0"/>
      <w:marBottom w:val="0"/>
      <w:divBdr>
        <w:top w:val="none" w:sz="0" w:space="0" w:color="auto"/>
        <w:left w:val="none" w:sz="0" w:space="0" w:color="auto"/>
        <w:bottom w:val="none" w:sz="0" w:space="0" w:color="auto"/>
        <w:right w:val="none" w:sz="0" w:space="0" w:color="auto"/>
      </w:divBdr>
    </w:div>
    <w:div w:id="1155300870">
      <w:bodyDiv w:val="1"/>
      <w:marLeft w:val="0"/>
      <w:marRight w:val="0"/>
      <w:marTop w:val="0"/>
      <w:marBottom w:val="0"/>
      <w:divBdr>
        <w:top w:val="none" w:sz="0" w:space="0" w:color="auto"/>
        <w:left w:val="none" w:sz="0" w:space="0" w:color="auto"/>
        <w:bottom w:val="none" w:sz="0" w:space="0" w:color="auto"/>
        <w:right w:val="none" w:sz="0" w:space="0" w:color="auto"/>
      </w:divBdr>
    </w:div>
    <w:div w:id="1156187695">
      <w:bodyDiv w:val="1"/>
      <w:marLeft w:val="0"/>
      <w:marRight w:val="0"/>
      <w:marTop w:val="0"/>
      <w:marBottom w:val="0"/>
      <w:divBdr>
        <w:top w:val="none" w:sz="0" w:space="0" w:color="auto"/>
        <w:left w:val="none" w:sz="0" w:space="0" w:color="auto"/>
        <w:bottom w:val="none" w:sz="0" w:space="0" w:color="auto"/>
        <w:right w:val="none" w:sz="0" w:space="0" w:color="auto"/>
      </w:divBdr>
    </w:div>
    <w:div w:id="1176000808">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246575579">
      <w:bodyDiv w:val="1"/>
      <w:marLeft w:val="0"/>
      <w:marRight w:val="0"/>
      <w:marTop w:val="0"/>
      <w:marBottom w:val="0"/>
      <w:divBdr>
        <w:top w:val="none" w:sz="0" w:space="0" w:color="auto"/>
        <w:left w:val="none" w:sz="0" w:space="0" w:color="auto"/>
        <w:bottom w:val="none" w:sz="0" w:space="0" w:color="auto"/>
        <w:right w:val="none" w:sz="0" w:space="0" w:color="auto"/>
      </w:divBdr>
    </w:div>
    <w:div w:id="1250624557">
      <w:bodyDiv w:val="1"/>
      <w:marLeft w:val="0"/>
      <w:marRight w:val="0"/>
      <w:marTop w:val="0"/>
      <w:marBottom w:val="0"/>
      <w:divBdr>
        <w:top w:val="none" w:sz="0" w:space="0" w:color="auto"/>
        <w:left w:val="none" w:sz="0" w:space="0" w:color="auto"/>
        <w:bottom w:val="none" w:sz="0" w:space="0" w:color="auto"/>
        <w:right w:val="none" w:sz="0" w:space="0" w:color="auto"/>
      </w:divBdr>
    </w:div>
    <w:div w:id="1263301466">
      <w:bodyDiv w:val="1"/>
      <w:marLeft w:val="0"/>
      <w:marRight w:val="0"/>
      <w:marTop w:val="0"/>
      <w:marBottom w:val="0"/>
      <w:divBdr>
        <w:top w:val="none" w:sz="0" w:space="0" w:color="auto"/>
        <w:left w:val="none" w:sz="0" w:space="0" w:color="auto"/>
        <w:bottom w:val="none" w:sz="0" w:space="0" w:color="auto"/>
        <w:right w:val="none" w:sz="0" w:space="0" w:color="auto"/>
      </w:divBdr>
    </w:div>
    <w:div w:id="1304311107">
      <w:bodyDiv w:val="1"/>
      <w:marLeft w:val="0"/>
      <w:marRight w:val="0"/>
      <w:marTop w:val="0"/>
      <w:marBottom w:val="0"/>
      <w:divBdr>
        <w:top w:val="none" w:sz="0" w:space="0" w:color="auto"/>
        <w:left w:val="none" w:sz="0" w:space="0" w:color="auto"/>
        <w:bottom w:val="none" w:sz="0" w:space="0" w:color="auto"/>
        <w:right w:val="none" w:sz="0" w:space="0" w:color="auto"/>
      </w:divBdr>
    </w:div>
    <w:div w:id="1305550008">
      <w:bodyDiv w:val="1"/>
      <w:marLeft w:val="0"/>
      <w:marRight w:val="0"/>
      <w:marTop w:val="0"/>
      <w:marBottom w:val="0"/>
      <w:divBdr>
        <w:top w:val="none" w:sz="0" w:space="0" w:color="auto"/>
        <w:left w:val="none" w:sz="0" w:space="0" w:color="auto"/>
        <w:bottom w:val="none" w:sz="0" w:space="0" w:color="auto"/>
        <w:right w:val="none" w:sz="0" w:space="0" w:color="auto"/>
      </w:divBdr>
    </w:div>
    <w:div w:id="1320695939">
      <w:bodyDiv w:val="1"/>
      <w:marLeft w:val="0"/>
      <w:marRight w:val="0"/>
      <w:marTop w:val="0"/>
      <w:marBottom w:val="0"/>
      <w:divBdr>
        <w:top w:val="none" w:sz="0" w:space="0" w:color="auto"/>
        <w:left w:val="none" w:sz="0" w:space="0" w:color="auto"/>
        <w:bottom w:val="none" w:sz="0" w:space="0" w:color="auto"/>
        <w:right w:val="none" w:sz="0" w:space="0" w:color="auto"/>
      </w:divBdr>
    </w:div>
    <w:div w:id="1378966856">
      <w:bodyDiv w:val="1"/>
      <w:marLeft w:val="0"/>
      <w:marRight w:val="0"/>
      <w:marTop w:val="0"/>
      <w:marBottom w:val="0"/>
      <w:divBdr>
        <w:top w:val="none" w:sz="0" w:space="0" w:color="auto"/>
        <w:left w:val="none" w:sz="0" w:space="0" w:color="auto"/>
        <w:bottom w:val="none" w:sz="0" w:space="0" w:color="auto"/>
        <w:right w:val="none" w:sz="0" w:space="0" w:color="auto"/>
      </w:divBdr>
    </w:div>
    <w:div w:id="1390880135">
      <w:bodyDiv w:val="1"/>
      <w:marLeft w:val="0"/>
      <w:marRight w:val="0"/>
      <w:marTop w:val="0"/>
      <w:marBottom w:val="0"/>
      <w:divBdr>
        <w:top w:val="none" w:sz="0" w:space="0" w:color="auto"/>
        <w:left w:val="none" w:sz="0" w:space="0" w:color="auto"/>
        <w:bottom w:val="none" w:sz="0" w:space="0" w:color="auto"/>
        <w:right w:val="none" w:sz="0" w:space="0" w:color="auto"/>
      </w:divBdr>
    </w:div>
    <w:div w:id="1411149250">
      <w:bodyDiv w:val="1"/>
      <w:marLeft w:val="0"/>
      <w:marRight w:val="0"/>
      <w:marTop w:val="0"/>
      <w:marBottom w:val="0"/>
      <w:divBdr>
        <w:top w:val="none" w:sz="0" w:space="0" w:color="auto"/>
        <w:left w:val="none" w:sz="0" w:space="0" w:color="auto"/>
        <w:bottom w:val="none" w:sz="0" w:space="0" w:color="auto"/>
        <w:right w:val="none" w:sz="0" w:space="0" w:color="auto"/>
      </w:divBdr>
    </w:div>
    <w:div w:id="1421755141">
      <w:bodyDiv w:val="1"/>
      <w:marLeft w:val="0"/>
      <w:marRight w:val="0"/>
      <w:marTop w:val="0"/>
      <w:marBottom w:val="0"/>
      <w:divBdr>
        <w:top w:val="none" w:sz="0" w:space="0" w:color="auto"/>
        <w:left w:val="none" w:sz="0" w:space="0" w:color="auto"/>
        <w:bottom w:val="none" w:sz="0" w:space="0" w:color="auto"/>
        <w:right w:val="none" w:sz="0" w:space="0" w:color="auto"/>
      </w:divBdr>
    </w:div>
    <w:div w:id="1426266772">
      <w:bodyDiv w:val="1"/>
      <w:marLeft w:val="0"/>
      <w:marRight w:val="0"/>
      <w:marTop w:val="0"/>
      <w:marBottom w:val="0"/>
      <w:divBdr>
        <w:top w:val="none" w:sz="0" w:space="0" w:color="auto"/>
        <w:left w:val="none" w:sz="0" w:space="0" w:color="auto"/>
        <w:bottom w:val="none" w:sz="0" w:space="0" w:color="auto"/>
        <w:right w:val="none" w:sz="0" w:space="0" w:color="auto"/>
      </w:divBdr>
    </w:div>
    <w:div w:id="1484468813">
      <w:bodyDiv w:val="1"/>
      <w:marLeft w:val="0"/>
      <w:marRight w:val="0"/>
      <w:marTop w:val="0"/>
      <w:marBottom w:val="0"/>
      <w:divBdr>
        <w:top w:val="none" w:sz="0" w:space="0" w:color="auto"/>
        <w:left w:val="none" w:sz="0" w:space="0" w:color="auto"/>
        <w:bottom w:val="none" w:sz="0" w:space="0" w:color="auto"/>
        <w:right w:val="none" w:sz="0" w:space="0" w:color="auto"/>
      </w:divBdr>
    </w:div>
    <w:div w:id="1490750439">
      <w:bodyDiv w:val="1"/>
      <w:marLeft w:val="0"/>
      <w:marRight w:val="0"/>
      <w:marTop w:val="0"/>
      <w:marBottom w:val="0"/>
      <w:divBdr>
        <w:top w:val="none" w:sz="0" w:space="0" w:color="auto"/>
        <w:left w:val="none" w:sz="0" w:space="0" w:color="auto"/>
        <w:bottom w:val="none" w:sz="0" w:space="0" w:color="auto"/>
        <w:right w:val="none" w:sz="0" w:space="0" w:color="auto"/>
      </w:divBdr>
    </w:div>
    <w:div w:id="1515874638">
      <w:bodyDiv w:val="1"/>
      <w:marLeft w:val="0"/>
      <w:marRight w:val="0"/>
      <w:marTop w:val="0"/>
      <w:marBottom w:val="0"/>
      <w:divBdr>
        <w:top w:val="none" w:sz="0" w:space="0" w:color="auto"/>
        <w:left w:val="none" w:sz="0" w:space="0" w:color="auto"/>
        <w:bottom w:val="none" w:sz="0" w:space="0" w:color="auto"/>
        <w:right w:val="none" w:sz="0" w:space="0" w:color="auto"/>
      </w:divBdr>
    </w:div>
    <w:div w:id="1529179963">
      <w:bodyDiv w:val="1"/>
      <w:marLeft w:val="0"/>
      <w:marRight w:val="0"/>
      <w:marTop w:val="0"/>
      <w:marBottom w:val="0"/>
      <w:divBdr>
        <w:top w:val="none" w:sz="0" w:space="0" w:color="auto"/>
        <w:left w:val="none" w:sz="0" w:space="0" w:color="auto"/>
        <w:bottom w:val="none" w:sz="0" w:space="0" w:color="auto"/>
        <w:right w:val="none" w:sz="0" w:space="0" w:color="auto"/>
      </w:divBdr>
    </w:div>
    <w:div w:id="1549755231">
      <w:bodyDiv w:val="1"/>
      <w:marLeft w:val="0"/>
      <w:marRight w:val="0"/>
      <w:marTop w:val="0"/>
      <w:marBottom w:val="0"/>
      <w:divBdr>
        <w:top w:val="none" w:sz="0" w:space="0" w:color="auto"/>
        <w:left w:val="none" w:sz="0" w:space="0" w:color="auto"/>
        <w:bottom w:val="none" w:sz="0" w:space="0" w:color="auto"/>
        <w:right w:val="none" w:sz="0" w:space="0" w:color="auto"/>
      </w:divBdr>
    </w:div>
    <w:div w:id="1555004593">
      <w:bodyDiv w:val="1"/>
      <w:marLeft w:val="0"/>
      <w:marRight w:val="0"/>
      <w:marTop w:val="0"/>
      <w:marBottom w:val="0"/>
      <w:divBdr>
        <w:top w:val="none" w:sz="0" w:space="0" w:color="auto"/>
        <w:left w:val="none" w:sz="0" w:space="0" w:color="auto"/>
        <w:bottom w:val="none" w:sz="0" w:space="0" w:color="auto"/>
        <w:right w:val="none" w:sz="0" w:space="0" w:color="auto"/>
      </w:divBdr>
    </w:div>
    <w:div w:id="1561018773">
      <w:bodyDiv w:val="1"/>
      <w:marLeft w:val="0"/>
      <w:marRight w:val="0"/>
      <w:marTop w:val="0"/>
      <w:marBottom w:val="0"/>
      <w:divBdr>
        <w:top w:val="none" w:sz="0" w:space="0" w:color="auto"/>
        <w:left w:val="none" w:sz="0" w:space="0" w:color="auto"/>
        <w:bottom w:val="none" w:sz="0" w:space="0" w:color="auto"/>
        <w:right w:val="none" w:sz="0" w:space="0" w:color="auto"/>
      </w:divBdr>
    </w:div>
    <w:div w:id="1578320804">
      <w:bodyDiv w:val="1"/>
      <w:marLeft w:val="0"/>
      <w:marRight w:val="0"/>
      <w:marTop w:val="0"/>
      <w:marBottom w:val="0"/>
      <w:divBdr>
        <w:top w:val="none" w:sz="0" w:space="0" w:color="auto"/>
        <w:left w:val="none" w:sz="0" w:space="0" w:color="auto"/>
        <w:bottom w:val="none" w:sz="0" w:space="0" w:color="auto"/>
        <w:right w:val="none" w:sz="0" w:space="0" w:color="auto"/>
      </w:divBdr>
    </w:div>
    <w:div w:id="1591889530">
      <w:bodyDiv w:val="1"/>
      <w:marLeft w:val="0"/>
      <w:marRight w:val="0"/>
      <w:marTop w:val="0"/>
      <w:marBottom w:val="0"/>
      <w:divBdr>
        <w:top w:val="none" w:sz="0" w:space="0" w:color="auto"/>
        <w:left w:val="none" w:sz="0" w:space="0" w:color="auto"/>
        <w:bottom w:val="none" w:sz="0" w:space="0" w:color="auto"/>
        <w:right w:val="none" w:sz="0" w:space="0" w:color="auto"/>
      </w:divBdr>
    </w:div>
    <w:div w:id="1598370233">
      <w:bodyDiv w:val="1"/>
      <w:marLeft w:val="0"/>
      <w:marRight w:val="0"/>
      <w:marTop w:val="0"/>
      <w:marBottom w:val="0"/>
      <w:divBdr>
        <w:top w:val="none" w:sz="0" w:space="0" w:color="auto"/>
        <w:left w:val="none" w:sz="0" w:space="0" w:color="auto"/>
        <w:bottom w:val="none" w:sz="0" w:space="0" w:color="auto"/>
        <w:right w:val="none" w:sz="0" w:space="0" w:color="auto"/>
      </w:divBdr>
    </w:div>
    <w:div w:id="1600217595">
      <w:bodyDiv w:val="1"/>
      <w:marLeft w:val="0"/>
      <w:marRight w:val="0"/>
      <w:marTop w:val="0"/>
      <w:marBottom w:val="0"/>
      <w:divBdr>
        <w:top w:val="none" w:sz="0" w:space="0" w:color="auto"/>
        <w:left w:val="none" w:sz="0" w:space="0" w:color="auto"/>
        <w:bottom w:val="none" w:sz="0" w:space="0" w:color="auto"/>
        <w:right w:val="none" w:sz="0" w:space="0" w:color="auto"/>
      </w:divBdr>
    </w:div>
    <w:div w:id="1605919804">
      <w:bodyDiv w:val="1"/>
      <w:marLeft w:val="0"/>
      <w:marRight w:val="0"/>
      <w:marTop w:val="0"/>
      <w:marBottom w:val="0"/>
      <w:divBdr>
        <w:top w:val="none" w:sz="0" w:space="0" w:color="auto"/>
        <w:left w:val="none" w:sz="0" w:space="0" w:color="auto"/>
        <w:bottom w:val="none" w:sz="0" w:space="0" w:color="auto"/>
        <w:right w:val="none" w:sz="0" w:space="0" w:color="auto"/>
      </w:divBdr>
    </w:div>
    <w:div w:id="1619608248">
      <w:bodyDiv w:val="1"/>
      <w:marLeft w:val="0"/>
      <w:marRight w:val="0"/>
      <w:marTop w:val="0"/>
      <w:marBottom w:val="0"/>
      <w:divBdr>
        <w:top w:val="none" w:sz="0" w:space="0" w:color="auto"/>
        <w:left w:val="none" w:sz="0" w:space="0" w:color="auto"/>
        <w:bottom w:val="none" w:sz="0" w:space="0" w:color="auto"/>
        <w:right w:val="none" w:sz="0" w:space="0" w:color="auto"/>
      </w:divBdr>
    </w:div>
    <w:div w:id="1653174401">
      <w:bodyDiv w:val="1"/>
      <w:marLeft w:val="0"/>
      <w:marRight w:val="0"/>
      <w:marTop w:val="0"/>
      <w:marBottom w:val="0"/>
      <w:divBdr>
        <w:top w:val="none" w:sz="0" w:space="0" w:color="auto"/>
        <w:left w:val="none" w:sz="0" w:space="0" w:color="auto"/>
        <w:bottom w:val="none" w:sz="0" w:space="0" w:color="auto"/>
        <w:right w:val="none" w:sz="0" w:space="0" w:color="auto"/>
      </w:divBdr>
    </w:div>
    <w:div w:id="1653942731">
      <w:bodyDiv w:val="1"/>
      <w:marLeft w:val="0"/>
      <w:marRight w:val="0"/>
      <w:marTop w:val="0"/>
      <w:marBottom w:val="0"/>
      <w:divBdr>
        <w:top w:val="none" w:sz="0" w:space="0" w:color="auto"/>
        <w:left w:val="none" w:sz="0" w:space="0" w:color="auto"/>
        <w:bottom w:val="none" w:sz="0" w:space="0" w:color="auto"/>
        <w:right w:val="none" w:sz="0" w:space="0" w:color="auto"/>
      </w:divBdr>
    </w:div>
    <w:div w:id="1663699962">
      <w:bodyDiv w:val="1"/>
      <w:marLeft w:val="0"/>
      <w:marRight w:val="0"/>
      <w:marTop w:val="0"/>
      <w:marBottom w:val="0"/>
      <w:divBdr>
        <w:top w:val="none" w:sz="0" w:space="0" w:color="auto"/>
        <w:left w:val="none" w:sz="0" w:space="0" w:color="auto"/>
        <w:bottom w:val="none" w:sz="0" w:space="0" w:color="auto"/>
        <w:right w:val="none" w:sz="0" w:space="0" w:color="auto"/>
      </w:divBdr>
    </w:div>
    <w:div w:id="1675380043">
      <w:bodyDiv w:val="1"/>
      <w:marLeft w:val="0"/>
      <w:marRight w:val="0"/>
      <w:marTop w:val="0"/>
      <w:marBottom w:val="0"/>
      <w:divBdr>
        <w:top w:val="none" w:sz="0" w:space="0" w:color="auto"/>
        <w:left w:val="none" w:sz="0" w:space="0" w:color="auto"/>
        <w:bottom w:val="none" w:sz="0" w:space="0" w:color="auto"/>
        <w:right w:val="none" w:sz="0" w:space="0" w:color="auto"/>
      </w:divBdr>
    </w:div>
    <w:div w:id="1687438987">
      <w:bodyDiv w:val="1"/>
      <w:marLeft w:val="0"/>
      <w:marRight w:val="0"/>
      <w:marTop w:val="0"/>
      <w:marBottom w:val="0"/>
      <w:divBdr>
        <w:top w:val="none" w:sz="0" w:space="0" w:color="auto"/>
        <w:left w:val="none" w:sz="0" w:space="0" w:color="auto"/>
        <w:bottom w:val="none" w:sz="0" w:space="0" w:color="auto"/>
        <w:right w:val="none" w:sz="0" w:space="0" w:color="auto"/>
      </w:divBdr>
    </w:div>
    <w:div w:id="169411400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785687165">
      <w:bodyDiv w:val="1"/>
      <w:marLeft w:val="0"/>
      <w:marRight w:val="0"/>
      <w:marTop w:val="0"/>
      <w:marBottom w:val="0"/>
      <w:divBdr>
        <w:top w:val="none" w:sz="0" w:space="0" w:color="auto"/>
        <w:left w:val="none" w:sz="0" w:space="0" w:color="auto"/>
        <w:bottom w:val="none" w:sz="0" w:space="0" w:color="auto"/>
        <w:right w:val="none" w:sz="0" w:space="0" w:color="auto"/>
      </w:divBdr>
    </w:div>
    <w:div w:id="1828935476">
      <w:bodyDiv w:val="1"/>
      <w:marLeft w:val="0"/>
      <w:marRight w:val="0"/>
      <w:marTop w:val="0"/>
      <w:marBottom w:val="0"/>
      <w:divBdr>
        <w:top w:val="none" w:sz="0" w:space="0" w:color="auto"/>
        <w:left w:val="none" w:sz="0" w:space="0" w:color="auto"/>
        <w:bottom w:val="none" w:sz="0" w:space="0" w:color="auto"/>
        <w:right w:val="none" w:sz="0" w:space="0" w:color="auto"/>
      </w:divBdr>
    </w:div>
    <w:div w:id="1845778593">
      <w:bodyDiv w:val="1"/>
      <w:marLeft w:val="0"/>
      <w:marRight w:val="0"/>
      <w:marTop w:val="0"/>
      <w:marBottom w:val="0"/>
      <w:divBdr>
        <w:top w:val="none" w:sz="0" w:space="0" w:color="auto"/>
        <w:left w:val="none" w:sz="0" w:space="0" w:color="auto"/>
        <w:bottom w:val="none" w:sz="0" w:space="0" w:color="auto"/>
        <w:right w:val="none" w:sz="0" w:space="0" w:color="auto"/>
      </w:divBdr>
    </w:div>
    <w:div w:id="1855849011">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1887376381">
      <w:bodyDiv w:val="1"/>
      <w:marLeft w:val="0"/>
      <w:marRight w:val="0"/>
      <w:marTop w:val="0"/>
      <w:marBottom w:val="0"/>
      <w:divBdr>
        <w:top w:val="none" w:sz="0" w:space="0" w:color="auto"/>
        <w:left w:val="none" w:sz="0" w:space="0" w:color="auto"/>
        <w:bottom w:val="none" w:sz="0" w:space="0" w:color="auto"/>
        <w:right w:val="none" w:sz="0" w:space="0" w:color="auto"/>
      </w:divBdr>
    </w:div>
    <w:div w:id="1920866669">
      <w:bodyDiv w:val="1"/>
      <w:marLeft w:val="0"/>
      <w:marRight w:val="0"/>
      <w:marTop w:val="0"/>
      <w:marBottom w:val="0"/>
      <w:divBdr>
        <w:top w:val="none" w:sz="0" w:space="0" w:color="auto"/>
        <w:left w:val="none" w:sz="0" w:space="0" w:color="auto"/>
        <w:bottom w:val="none" w:sz="0" w:space="0" w:color="auto"/>
        <w:right w:val="none" w:sz="0" w:space="0" w:color="auto"/>
      </w:divBdr>
    </w:div>
    <w:div w:id="1957448640">
      <w:bodyDiv w:val="1"/>
      <w:marLeft w:val="0"/>
      <w:marRight w:val="0"/>
      <w:marTop w:val="0"/>
      <w:marBottom w:val="0"/>
      <w:divBdr>
        <w:top w:val="none" w:sz="0" w:space="0" w:color="auto"/>
        <w:left w:val="none" w:sz="0" w:space="0" w:color="auto"/>
        <w:bottom w:val="none" w:sz="0" w:space="0" w:color="auto"/>
        <w:right w:val="none" w:sz="0" w:space="0" w:color="auto"/>
      </w:divBdr>
    </w:div>
    <w:div w:id="1961835176">
      <w:bodyDiv w:val="1"/>
      <w:marLeft w:val="0"/>
      <w:marRight w:val="0"/>
      <w:marTop w:val="0"/>
      <w:marBottom w:val="0"/>
      <w:divBdr>
        <w:top w:val="none" w:sz="0" w:space="0" w:color="auto"/>
        <w:left w:val="none" w:sz="0" w:space="0" w:color="auto"/>
        <w:bottom w:val="none" w:sz="0" w:space="0" w:color="auto"/>
        <w:right w:val="none" w:sz="0" w:space="0" w:color="auto"/>
      </w:divBdr>
    </w:div>
    <w:div w:id="1981424013">
      <w:bodyDiv w:val="1"/>
      <w:marLeft w:val="0"/>
      <w:marRight w:val="0"/>
      <w:marTop w:val="0"/>
      <w:marBottom w:val="0"/>
      <w:divBdr>
        <w:top w:val="none" w:sz="0" w:space="0" w:color="auto"/>
        <w:left w:val="none" w:sz="0" w:space="0" w:color="auto"/>
        <w:bottom w:val="none" w:sz="0" w:space="0" w:color="auto"/>
        <w:right w:val="none" w:sz="0" w:space="0" w:color="auto"/>
      </w:divBdr>
    </w:div>
    <w:div w:id="2017925108">
      <w:bodyDiv w:val="1"/>
      <w:marLeft w:val="0"/>
      <w:marRight w:val="0"/>
      <w:marTop w:val="0"/>
      <w:marBottom w:val="0"/>
      <w:divBdr>
        <w:top w:val="none" w:sz="0" w:space="0" w:color="auto"/>
        <w:left w:val="none" w:sz="0" w:space="0" w:color="auto"/>
        <w:bottom w:val="none" w:sz="0" w:space="0" w:color="auto"/>
        <w:right w:val="none" w:sz="0" w:space="0" w:color="auto"/>
      </w:divBdr>
    </w:div>
    <w:div w:id="2030567778">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20680882">
      <w:bodyDiv w:val="1"/>
      <w:marLeft w:val="0"/>
      <w:marRight w:val="0"/>
      <w:marTop w:val="0"/>
      <w:marBottom w:val="0"/>
      <w:divBdr>
        <w:top w:val="none" w:sz="0" w:space="0" w:color="auto"/>
        <w:left w:val="none" w:sz="0" w:space="0" w:color="auto"/>
        <w:bottom w:val="none" w:sz="0" w:space="0" w:color="auto"/>
        <w:right w:val="none" w:sz="0" w:space="0" w:color="auto"/>
      </w:divBdr>
    </w:div>
    <w:div w:id="2126270827">
      <w:bodyDiv w:val="1"/>
      <w:marLeft w:val="0"/>
      <w:marRight w:val="0"/>
      <w:marTop w:val="0"/>
      <w:marBottom w:val="0"/>
      <w:divBdr>
        <w:top w:val="none" w:sz="0" w:space="0" w:color="auto"/>
        <w:left w:val="none" w:sz="0" w:space="0" w:color="auto"/>
        <w:bottom w:val="none" w:sz="0" w:space="0" w:color="auto"/>
        <w:right w:val="none" w:sz="0" w:space="0" w:color="auto"/>
      </w:divBdr>
    </w:div>
    <w:div w:id="214689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6F2F6-77B5-4B11-853E-D6846252A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Guidelines&amp;Recommendations_Template_Public.dotx</Template>
  <TotalTime>1</TotalTime>
  <Pages>69</Pages>
  <Words>22162</Words>
  <Characters>126330</Characters>
  <Application>Microsoft Office Word</Application>
  <DocSecurity>8</DocSecurity>
  <Lines>1052</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Sally Springer</cp:lastModifiedBy>
  <cp:revision>4</cp:revision>
  <dcterms:created xsi:type="dcterms:W3CDTF">2015-03-02T15:44:00Z</dcterms:created>
  <dcterms:modified xsi:type="dcterms:W3CDTF">2015-03-02T15:45:00Z</dcterms:modified>
</cp:coreProperties>
</file>