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C2094B" w:rsidRPr="004E49B0" w:rsidTr="00315E96">
        <w:trPr>
          <w:trHeight w:val="284"/>
        </w:trPr>
        <w:tc>
          <w:tcPr>
            <w:tcW w:w="9412" w:type="dxa"/>
          </w:tcPr>
          <w:p w:rsidR="00C2094B" w:rsidRPr="004E49B0" w:rsidRDefault="003A5DAC" w:rsidP="00EF0769">
            <w:pPr>
              <w:pStyle w:val="00bDBInfo"/>
              <w:rPr>
                <w:rFonts w:cs="Arial"/>
              </w:rPr>
            </w:pPr>
            <w:r>
              <w:rPr>
                <w:rFonts w:cs="Arial"/>
              </w:rPr>
              <w:t>1</w:t>
            </w:r>
            <w:r w:rsidR="00EF0769">
              <w:rPr>
                <w:rFonts w:cs="Arial"/>
              </w:rPr>
              <w:t>8</w:t>
            </w:r>
            <w:r>
              <w:rPr>
                <w:rFonts w:cs="Arial"/>
              </w:rPr>
              <w:t xml:space="preserve"> February</w:t>
            </w:r>
            <w:r w:rsidR="00ED351E" w:rsidRPr="004E49B0">
              <w:rPr>
                <w:rFonts w:cs="Arial"/>
              </w:rPr>
              <w:t xml:space="preserve"> </w:t>
            </w:r>
            <w:r w:rsidR="006F4B04" w:rsidRPr="004E49B0">
              <w:rPr>
                <w:rFonts w:cs="Arial"/>
              </w:rPr>
              <w:t>20</w:t>
            </w:r>
            <w:r>
              <w:rPr>
                <w:rFonts w:cs="Arial"/>
              </w:rPr>
              <w:t>15</w:t>
            </w:r>
          </w:p>
        </w:tc>
      </w:tr>
    </w:tbl>
    <w:p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rsidTr="00B835D5">
        <w:trPr>
          <w:trHeight w:hRule="exact" w:val="1209"/>
        </w:trPr>
        <w:tc>
          <w:tcPr>
            <w:tcW w:w="9397" w:type="dxa"/>
            <w:vAlign w:val="bottom"/>
          </w:tcPr>
          <w:p w:rsidR="006F4403" w:rsidRPr="00616B9B" w:rsidRDefault="00AE627C" w:rsidP="00C000A5">
            <w:pPr>
              <w:pStyle w:val="01aDBTitle"/>
              <w:rPr>
                <w:rFonts w:cs="Arial"/>
              </w:rPr>
            </w:pPr>
            <w:r w:rsidRPr="00616B9B">
              <w:rPr>
                <w:rFonts w:cs="Arial"/>
              </w:rPr>
              <w:t>Reply form</w:t>
            </w:r>
            <w:r w:rsidR="00B835D5" w:rsidRPr="00616B9B">
              <w:rPr>
                <w:rFonts w:cs="Arial"/>
              </w:rPr>
              <w:t xml:space="preserve"> </w:t>
            </w:r>
            <w:r w:rsidR="0043173B" w:rsidRPr="00616B9B">
              <w:rPr>
                <w:rFonts w:cs="Arial"/>
              </w:rPr>
              <w:t>for</w:t>
            </w:r>
            <w:r w:rsidR="00027ECF" w:rsidRPr="00616B9B">
              <w:rPr>
                <w:rFonts w:cs="Arial"/>
              </w:rPr>
              <w:t xml:space="preserve"> the </w:t>
            </w:r>
          </w:p>
          <w:p w:rsidR="00422A7D" w:rsidRPr="00616B9B" w:rsidRDefault="00EF0769" w:rsidP="00C000A5">
            <w:pPr>
              <w:pStyle w:val="01aDBTitle"/>
              <w:rPr>
                <w:rFonts w:cs="Arial"/>
              </w:rPr>
            </w:pPr>
            <w:r>
              <w:rPr>
                <w:rFonts w:cs="Arial"/>
              </w:rPr>
              <w:t xml:space="preserve">Addendum </w:t>
            </w:r>
            <w:r w:rsidR="003A5DAC">
              <w:rPr>
                <w:rFonts w:cs="Arial"/>
              </w:rPr>
              <w:t xml:space="preserve">Consultation Paper </w:t>
            </w:r>
            <w:r>
              <w:rPr>
                <w:rFonts w:cs="Arial"/>
              </w:rPr>
              <w:t>on MiFID II/MiFIR</w:t>
            </w:r>
            <w:r w:rsidR="00422A7D" w:rsidRPr="00616B9B">
              <w:rPr>
                <w:rFonts w:cs="Arial"/>
              </w:rPr>
              <w:t xml:space="preserve"> </w:t>
            </w:r>
          </w:p>
          <w:p w:rsidR="00791EB4" w:rsidRPr="00616B9B" w:rsidRDefault="00791EB4" w:rsidP="00C000A5">
            <w:pPr>
              <w:pStyle w:val="01aDBTitle"/>
              <w:rPr>
                <w:rFonts w:cs="Arial"/>
              </w:rPr>
            </w:pPr>
          </w:p>
        </w:tc>
      </w:tr>
      <w:tr w:rsidR="00060F72" w:rsidRPr="00616B9B" w:rsidTr="00B835D5">
        <w:trPr>
          <w:trHeight w:hRule="exact" w:val="605"/>
        </w:trPr>
        <w:tc>
          <w:tcPr>
            <w:tcW w:w="9397" w:type="dxa"/>
            <w:tcMar>
              <w:top w:w="142" w:type="dxa"/>
            </w:tcMar>
          </w:tcPr>
          <w:p w:rsidR="00D91010" w:rsidRPr="00616B9B" w:rsidRDefault="00013CCE" w:rsidP="00027ECF">
            <w:pPr>
              <w:pStyle w:val="01bDBSubtitle"/>
              <w:rPr>
                <w:rFonts w:ascii="Arial" w:hAnsi="Arial" w:cs="Arial"/>
              </w:rPr>
            </w:pPr>
            <w:r w:rsidRPr="00616B9B">
              <w:rPr>
                <w:rFonts w:ascii="Arial" w:hAnsi="Arial" w:cs="Arial"/>
              </w:rPr>
              <w:t xml:space="preserve"> </w:t>
            </w:r>
          </w:p>
        </w:tc>
      </w:tr>
    </w:tbl>
    <w:p w:rsidR="00620D7C" w:rsidRPr="00616B9B" w:rsidRDefault="00620D7C" w:rsidP="00C00012">
      <w:pPr>
        <w:pStyle w:val="05HeadlinenoIndex"/>
        <w:rPr>
          <w:rFonts w:cs="Arial"/>
        </w:rPr>
        <w:sectPr w:rsidR="00620D7C" w:rsidRPr="00616B9B" w:rsidSect="006E3C72">
          <w:headerReference w:type="default" r:id="rId9"/>
          <w:footerReference w:type="default" r:id="rId10"/>
          <w:headerReference w:type="first" r:id="rId11"/>
          <w:pgSz w:w="11906" w:h="16838" w:code="9"/>
          <w:pgMar w:top="2835" w:right="1247" w:bottom="1361" w:left="1247" w:header="709" w:footer="709" w:gutter="0"/>
          <w:cols w:space="708"/>
          <w:titlePg/>
          <w:docGrid w:linePitch="360"/>
        </w:sectPr>
      </w:pPr>
      <w:bookmarkStart w:id="0" w:name="_GoBack"/>
      <w:bookmarkEnd w:id="0"/>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616B9B" w:rsidTr="00315E96">
        <w:trPr>
          <w:trHeight w:hRule="exact" w:val="964"/>
        </w:trPr>
        <w:tc>
          <w:tcPr>
            <w:tcW w:w="2325" w:type="dxa"/>
          </w:tcPr>
          <w:p w:rsidR="00620D7C" w:rsidRPr="004E49B0" w:rsidRDefault="00620D7C" w:rsidP="00EF0769">
            <w:pPr>
              <w:pStyle w:val="02Date"/>
              <w:rPr>
                <w:rFonts w:cs="Arial"/>
              </w:rPr>
            </w:pPr>
            <w:r w:rsidRPr="004E49B0">
              <w:rPr>
                <w:rFonts w:cs="Arial"/>
              </w:rPr>
              <w:lastRenderedPageBreak/>
              <w:t xml:space="preserve">Date: </w:t>
            </w:r>
            <w:r w:rsidR="004E49B0" w:rsidRPr="004E49B0">
              <w:rPr>
                <w:rFonts w:cs="Arial"/>
              </w:rPr>
              <w:t>1</w:t>
            </w:r>
            <w:r w:rsidR="00EF0769">
              <w:rPr>
                <w:rFonts w:cs="Arial"/>
              </w:rPr>
              <w:t>8</w:t>
            </w:r>
            <w:r w:rsidR="004E49B0" w:rsidRPr="004E49B0">
              <w:rPr>
                <w:rFonts w:cs="Arial"/>
              </w:rPr>
              <w:t xml:space="preserve"> </w:t>
            </w:r>
            <w:r w:rsidR="003A5DAC">
              <w:rPr>
                <w:rFonts w:cs="Arial"/>
              </w:rPr>
              <w:t>February</w:t>
            </w:r>
            <w:r w:rsidR="004E49B0" w:rsidRPr="004E49B0">
              <w:rPr>
                <w:rFonts w:cs="Arial"/>
              </w:rPr>
              <w:t xml:space="preserve"> 201</w:t>
            </w:r>
            <w:r w:rsidR="003A5DAC">
              <w:rPr>
                <w:rFonts w:cs="Arial"/>
              </w:rPr>
              <w:t>5</w:t>
            </w:r>
          </w:p>
        </w:tc>
      </w:tr>
    </w:tbl>
    <w:p w:rsidR="00F574D0" w:rsidRPr="00616B9B" w:rsidRDefault="00F574D0" w:rsidP="00F574D0">
      <w:pPr>
        <w:pStyle w:val="05HeadlinenoIndex"/>
        <w:rPr>
          <w:rFonts w:cs="Arial"/>
        </w:rPr>
      </w:pPr>
      <w:bookmarkStart w:id="1" w:name="_Toc280628648"/>
      <w:r w:rsidRPr="00616B9B">
        <w:rPr>
          <w:rFonts w:cs="Arial"/>
        </w:rPr>
        <w:t xml:space="preserve">Responding to this paper </w:t>
      </w:r>
    </w:p>
    <w:p w:rsidR="00F574D0" w:rsidRPr="00EF0769" w:rsidRDefault="00F574D0" w:rsidP="00F574D0">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the ESMA </w:t>
      </w:r>
      <w:r w:rsidR="00332304">
        <w:rPr>
          <w:rFonts w:cs="Arial"/>
        </w:rPr>
        <w:t xml:space="preserve">Addendum </w:t>
      </w:r>
      <w:r w:rsidR="00332304" w:rsidRPr="00EF0769">
        <w:rPr>
          <w:rFonts w:cs="Arial"/>
        </w:rPr>
        <w:t xml:space="preserve">Consultation Paper </w:t>
      </w:r>
      <w:r w:rsidR="00332304">
        <w:rPr>
          <w:rFonts w:cs="Arial"/>
        </w:rPr>
        <w:t xml:space="preserve">on </w:t>
      </w:r>
      <w:r w:rsidR="00955F48" w:rsidRPr="00EF0769">
        <w:rPr>
          <w:rFonts w:cs="Arial"/>
        </w:rPr>
        <w:t>MiFID II/MiFIR</w:t>
      </w:r>
      <w:r w:rsidR="00015B5E" w:rsidRPr="00EF0769">
        <w:rPr>
          <w:rFonts w:cs="Arial"/>
        </w:rPr>
        <w:t>, published on the ESMA website</w:t>
      </w:r>
      <w:r w:rsidR="004E49B0" w:rsidRPr="00EF0769">
        <w:rPr>
          <w:rFonts w:cs="Arial"/>
        </w:rPr>
        <w:t>.</w:t>
      </w:r>
    </w:p>
    <w:p w:rsidR="001D000A" w:rsidRDefault="001D000A" w:rsidP="00F574D0">
      <w:pPr>
        <w:autoSpaceDE w:val="0"/>
        <w:autoSpaceDN w:val="0"/>
        <w:adjustRightInd w:val="0"/>
        <w:spacing w:before="120" w:after="120" w:line="276" w:lineRule="auto"/>
        <w:jc w:val="both"/>
        <w:rPr>
          <w:rStyle w:val="Strong4"/>
          <w:rFonts w:cs="Arial"/>
          <w:i/>
        </w:rPr>
      </w:pPr>
    </w:p>
    <w:p w:rsidR="00F574D0" w:rsidRPr="00EF0769" w:rsidRDefault="00F574D0" w:rsidP="00F574D0">
      <w:pPr>
        <w:autoSpaceDE w:val="0"/>
        <w:autoSpaceDN w:val="0"/>
        <w:adjustRightInd w:val="0"/>
        <w:spacing w:before="120" w:after="120" w:line="276" w:lineRule="auto"/>
        <w:jc w:val="both"/>
        <w:rPr>
          <w:rStyle w:val="Strong4"/>
          <w:rFonts w:cs="Arial"/>
          <w:i/>
        </w:rPr>
      </w:pPr>
      <w:r w:rsidRPr="00EF0769">
        <w:rPr>
          <w:rStyle w:val="Strong4"/>
          <w:rFonts w:cs="Arial"/>
          <w:i/>
        </w:rPr>
        <w:t>Instructions</w:t>
      </w:r>
    </w:p>
    <w:p w:rsidR="00F574D0" w:rsidRPr="00EF0769" w:rsidRDefault="00D75FEE" w:rsidP="00F574D0">
      <w:pPr>
        <w:pStyle w:val="04BodyText"/>
        <w:spacing w:before="120" w:after="120"/>
        <w:rPr>
          <w:rFonts w:cs="Arial"/>
        </w:rPr>
      </w:pPr>
      <w:r w:rsidRPr="00EF0769">
        <w:rPr>
          <w:rFonts w:cs="Arial"/>
        </w:rPr>
        <w:t xml:space="preserve">Please note that, in order to facilitate the analysis of the large number of responses expected, you are requested to use this file to send your response to ESMA so as to allow us to process it properly. Therefore, </w:t>
      </w:r>
      <w:r w:rsidR="00332304">
        <w:rPr>
          <w:rFonts w:cs="Arial"/>
        </w:rPr>
        <w:t xml:space="preserve">ESMA will only be able to consider responses which follow the instructions described </w:t>
      </w:r>
      <w:r w:rsidRPr="00EF0769">
        <w:rPr>
          <w:rFonts w:cs="Arial"/>
        </w:rPr>
        <w:t>below</w:t>
      </w:r>
      <w:r w:rsidR="00F574D0" w:rsidRPr="00EF0769">
        <w:rPr>
          <w:rFonts w:cs="Arial"/>
        </w:rPr>
        <w:t>:</w:t>
      </w:r>
    </w:p>
    <w:p w:rsidR="00F574D0" w:rsidRPr="00EF0769" w:rsidRDefault="00F574D0" w:rsidP="00573871">
      <w:pPr>
        <w:pStyle w:val="04bList"/>
        <w:numPr>
          <w:ilvl w:val="0"/>
          <w:numId w:val="32"/>
        </w:numPr>
        <w:spacing w:before="120" w:after="120"/>
        <w:rPr>
          <w:rFonts w:cs="Arial"/>
        </w:rPr>
      </w:pPr>
      <w:r w:rsidRPr="00EF0769">
        <w:rPr>
          <w:rFonts w:cs="Arial"/>
        </w:rPr>
        <w:t xml:space="preserve">use </w:t>
      </w:r>
      <w:r w:rsidR="00332304">
        <w:rPr>
          <w:rFonts w:cs="Arial"/>
        </w:rPr>
        <w:t>this form</w:t>
      </w:r>
      <w:r w:rsidR="00955F48" w:rsidRPr="00EF0769">
        <w:rPr>
          <w:rFonts w:cs="Arial"/>
        </w:rPr>
        <w:t xml:space="preserve"> and send </w:t>
      </w:r>
      <w:r w:rsidR="00332304">
        <w:rPr>
          <w:rFonts w:cs="Arial"/>
        </w:rPr>
        <w:t>your</w:t>
      </w:r>
      <w:r w:rsidR="00955F48" w:rsidRPr="00EF0769">
        <w:rPr>
          <w:rFonts w:cs="Arial"/>
        </w:rPr>
        <w:t xml:space="preserve"> responses in Word format (pdf documents will not be considered except for annexes);</w:t>
      </w:r>
    </w:p>
    <w:p w:rsidR="00F574D0" w:rsidRPr="00EF0769" w:rsidRDefault="00D75FEE" w:rsidP="00573871">
      <w:pPr>
        <w:pStyle w:val="04bList"/>
        <w:numPr>
          <w:ilvl w:val="0"/>
          <w:numId w:val="32"/>
        </w:numPr>
        <w:spacing w:before="120" w:after="120"/>
        <w:rPr>
          <w:rFonts w:cs="Arial"/>
        </w:rPr>
      </w:pPr>
      <w:r w:rsidRPr="00EF0769">
        <w:rPr>
          <w:rFonts w:cs="Arial"/>
        </w:rPr>
        <w:t xml:space="preserve">do </w:t>
      </w:r>
      <w:r w:rsidR="00F574D0" w:rsidRPr="00EF0769">
        <w:rPr>
          <w:rFonts w:cs="Arial"/>
        </w:rPr>
        <w:t>not remove the tags of type &lt;ESMA_</w:t>
      </w:r>
      <w:r w:rsidR="00955F48" w:rsidRPr="00EF0769">
        <w:rPr>
          <w:rFonts w:cs="Arial"/>
        </w:rPr>
        <w:t xml:space="preserve"> QUESTION_MIFID_ADD</w:t>
      </w:r>
      <w:r w:rsidR="00E9344E" w:rsidRPr="00EF0769">
        <w:rPr>
          <w:rFonts w:cs="Arial"/>
        </w:rPr>
        <w:t>_</w:t>
      </w:r>
      <w:r w:rsidR="00F574D0" w:rsidRPr="00EF0769">
        <w:rPr>
          <w:rFonts w:cs="Arial"/>
        </w:rPr>
        <w:t>1&gt; - i.e. the response to one question has to be framed by the 2 tags corresponding to the question; and</w:t>
      </w:r>
    </w:p>
    <w:p w:rsidR="00F574D0" w:rsidRPr="00EF0769" w:rsidRDefault="00F574D0" w:rsidP="00573871">
      <w:pPr>
        <w:pStyle w:val="04bList"/>
        <w:numPr>
          <w:ilvl w:val="0"/>
          <w:numId w:val="32"/>
        </w:numPr>
        <w:spacing w:before="120" w:after="120"/>
        <w:rPr>
          <w:rFonts w:cs="Arial"/>
        </w:rPr>
      </w:pPr>
      <w:r w:rsidRPr="00EF0769">
        <w:rPr>
          <w:rFonts w:cs="Arial"/>
        </w:rPr>
        <w:t xml:space="preserve">if </w:t>
      </w:r>
      <w:r w:rsidR="00D75FEE" w:rsidRPr="00EF0769">
        <w:rPr>
          <w:rFonts w:cs="Arial"/>
        </w:rPr>
        <w:t>you do not have a</w:t>
      </w:r>
      <w:r w:rsidRPr="00EF0769">
        <w:rPr>
          <w:rFonts w:cs="Arial"/>
        </w:rPr>
        <w:t xml:space="preserve"> response to a question, </w:t>
      </w:r>
      <w:r w:rsidR="00D75FEE" w:rsidRPr="00EF0769">
        <w:rPr>
          <w:rFonts w:cs="Arial"/>
        </w:rPr>
        <w:t xml:space="preserve">do </w:t>
      </w:r>
      <w:r w:rsidRPr="00EF0769">
        <w:rPr>
          <w:rFonts w:cs="Arial"/>
        </w:rPr>
        <w:t>not delete it and leave the text “TYPE YOUR TEXT HERE” between the tags.</w:t>
      </w:r>
    </w:p>
    <w:p w:rsidR="00F574D0" w:rsidRPr="00EF0769" w:rsidRDefault="00F574D0" w:rsidP="00F574D0">
      <w:pPr>
        <w:pStyle w:val="04bList"/>
        <w:numPr>
          <w:ilvl w:val="0"/>
          <w:numId w:val="0"/>
        </w:numPr>
        <w:spacing w:before="120" w:after="120"/>
        <w:rPr>
          <w:rFonts w:cs="Arial"/>
        </w:rPr>
      </w:pPr>
      <w:r w:rsidRPr="00EF0769">
        <w:rPr>
          <w:rFonts w:cs="Arial"/>
        </w:rPr>
        <w:t>Responses are most helpful:</w:t>
      </w:r>
    </w:p>
    <w:p w:rsidR="00F574D0" w:rsidRPr="00EF0769" w:rsidRDefault="00F574D0" w:rsidP="00573871">
      <w:pPr>
        <w:pStyle w:val="04bList"/>
        <w:numPr>
          <w:ilvl w:val="0"/>
          <w:numId w:val="33"/>
        </w:numPr>
        <w:spacing w:before="120" w:after="120"/>
        <w:rPr>
          <w:rFonts w:cs="Arial"/>
        </w:rPr>
      </w:pPr>
      <w:r w:rsidRPr="00EF0769">
        <w:rPr>
          <w:rFonts w:cs="Arial"/>
        </w:rPr>
        <w:t>if they respond to the question stated;</w:t>
      </w:r>
    </w:p>
    <w:p w:rsidR="00F574D0" w:rsidRPr="00EF0769" w:rsidRDefault="00F574D0" w:rsidP="00573871">
      <w:pPr>
        <w:pStyle w:val="04bList"/>
        <w:numPr>
          <w:ilvl w:val="0"/>
          <w:numId w:val="33"/>
        </w:numPr>
        <w:spacing w:before="120" w:after="120"/>
        <w:rPr>
          <w:rFonts w:cs="Arial"/>
        </w:rPr>
      </w:pPr>
      <w:r w:rsidRPr="00EF0769">
        <w:rPr>
          <w:rFonts w:cs="Arial"/>
        </w:rPr>
        <w:t>contain a clear rationale, including on any related costs and benefits; and</w:t>
      </w:r>
    </w:p>
    <w:p w:rsidR="00A35728" w:rsidRPr="00EF0769" w:rsidRDefault="00F574D0" w:rsidP="00573871">
      <w:pPr>
        <w:pStyle w:val="04bList"/>
        <w:numPr>
          <w:ilvl w:val="0"/>
          <w:numId w:val="33"/>
        </w:numPr>
        <w:spacing w:before="120" w:after="120"/>
        <w:rPr>
          <w:rFonts w:cs="Arial"/>
        </w:rPr>
      </w:pPr>
      <w:r w:rsidRPr="00EF0769">
        <w:rPr>
          <w:rFonts w:cs="Arial"/>
        </w:rPr>
        <w:t>describe any alternatives that ESMA should consider</w:t>
      </w:r>
    </w:p>
    <w:p w:rsidR="001D000A" w:rsidRDefault="001D000A" w:rsidP="000D17AA">
      <w:pPr>
        <w:pStyle w:val="04BodyText"/>
        <w:spacing w:before="120" w:after="120"/>
        <w:jc w:val="left"/>
        <w:rPr>
          <w:rFonts w:cs="Arial"/>
          <w:b/>
        </w:rPr>
      </w:pPr>
    </w:p>
    <w:p w:rsidR="000D17AA" w:rsidRPr="00EF0769" w:rsidRDefault="00606240" w:rsidP="000D17AA">
      <w:pPr>
        <w:pStyle w:val="04BodyText"/>
        <w:spacing w:before="120" w:after="120"/>
        <w:jc w:val="left"/>
        <w:rPr>
          <w:rFonts w:cs="Arial"/>
          <w:b/>
        </w:rPr>
      </w:pPr>
      <w:r>
        <w:rPr>
          <w:rFonts w:cs="Arial"/>
          <w:b/>
        </w:rPr>
        <w:t>Naming protocol</w:t>
      </w:r>
    </w:p>
    <w:p w:rsidR="000D17AA" w:rsidRPr="00EF0769" w:rsidRDefault="000D17AA" w:rsidP="000D17AA">
      <w:pPr>
        <w:pStyle w:val="04BodyText"/>
        <w:spacing w:before="120" w:after="120"/>
        <w:jc w:val="left"/>
        <w:rPr>
          <w:rFonts w:cs="Arial"/>
        </w:rPr>
      </w:pPr>
      <w:r w:rsidRPr="00EF0769">
        <w:rPr>
          <w:rFonts w:cs="Arial"/>
        </w:rPr>
        <w:t>In order to facilitate the handling of stakeholders responses please save your document using the following format:</w:t>
      </w:r>
    </w:p>
    <w:p w:rsidR="000D17AA" w:rsidRPr="00EF0769" w:rsidRDefault="00021E83" w:rsidP="000D17AA">
      <w:pPr>
        <w:pStyle w:val="04BodyText"/>
        <w:spacing w:before="120" w:after="120"/>
        <w:jc w:val="left"/>
        <w:rPr>
          <w:rFonts w:cs="Arial"/>
        </w:rPr>
      </w:pPr>
      <w:r w:rsidRPr="00EF0769">
        <w:rPr>
          <w:rFonts w:cs="Arial"/>
        </w:rPr>
        <w:t>ESMA_MiFID_</w:t>
      </w:r>
      <w:r w:rsidR="00332304">
        <w:rPr>
          <w:rFonts w:cs="Arial"/>
        </w:rPr>
        <w:t>ADD</w:t>
      </w:r>
      <w:r w:rsidRPr="00EF0769">
        <w:rPr>
          <w:rFonts w:cs="Arial"/>
        </w:rPr>
        <w:t>_NAMEOFCOMPANY_NAMEOFDOCUMENT</w:t>
      </w:r>
      <w:r w:rsidR="000D17AA" w:rsidRPr="00EF0769">
        <w:rPr>
          <w:rFonts w:cs="Arial"/>
        </w:rPr>
        <w:t>.</w:t>
      </w:r>
    </w:p>
    <w:p w:rsidR="00021E83" w:rsidRPr="00EF0769" w:rsidRDefault="000D17AA" w:rsidP="000D17AA">
      <w:pPr>
        <w:pStyle w:val="04BodyText"/>
        <w:spacing w:before="120" w:after="120"/>
        <w:jc w:val="left"/>
        <w:rPr>
          <w:rFonts w:cs="Arial"/>
        </w:rPr>
      </w:pPr>
      <w:r w:rsidRPr="00EF0769">
        <w:rPr>
          <w:rFonts w:cs="Arial"/>
        </w:rPr>
        <w:t xml:space="preserve">E.g. if the respondent were ESMA, the </w:t>
      </w:r>
      <w:r w:rsidR="00021E83" w:rsidRPr="00EF0769">
        <w:rPr>
          <w:rFonts w:cs="Arial"/>
        </w:rPr>
        <w:t>name of the reply form would be:</w:t>
      </w:r>
    </w:p>
    <w:p w:rsidR="00021E83" w:rsidRPr="00EF0769" w:rsidRDefault="00021E83" w:rsidP="000D17AA">
      <w:pPr>
        <w:pStyle w:val="04BodyText"/>
        <w:spacing w:before="120" w:after="120"/>
        <w:jc w:val="left"/>
        <w:rPr>
          <w:rFonts w:cs="Arial"/>
        </w:rPr>
      </w:pPr>
      <w:r w:rsidRPr="00EF0769">
        <w:rPr>
          <w:rFonts w:cs="Arial"/>
        </w:rPr>
        <w:t>ESMA_MiFID</w:t>
      </w:r>
      <w:r w:rsidR="00332304">
        <w:rPr>
          <w:rFonts w:cs="Arial"/>
        </w:rPr>
        <w:t>_ADD_</w:t>
      </w:r>
      <w:r w:rsidRPr="00EF0769">
        <w:rPr>
          <w:rFonts w:cs="Arial"/>
        </w:rPr>
        <w:t xml:space="preserve">ESMA_REPLYFORM or </w:t>
      </w:r>
    </w:p>
    <w:p w:rsidR="000D17AA" w:rsidRPr="00EF0769" w:rsidRDefault="00021E83" w:rsidP="000D17AA">
      <w:pPr>
        <w:pStyle w:val="04BodyText"/>
        <w:spacing w:before="120" w:after="120"/>
        <w:jc w:val="left"/>
        <w:rPr>
          <w:rFonts w:cs="Arial"/>
        </w:rPr>
      </w:pPr>
      <w:r w:rsidRPr="00EF0769">
        <w:rPr>
          <w:rFonts w:cs="Arial"/>
        </w:rPr>
        <w:t>ESMA_MiFID_</w:t>
      </w:r>
      <w:r w:rsidR="00332304">
        <w:rPr>
          <w:rFonts w:cs="Arial"/>
        </w:rPr>
        <w:t>ADD</w:t>
      </w:r>
      <w:r w:rsidRPr="00EF0769">
        <w:rPr>
          <w:rFonts w:cs="Arial"/>
        </w:rPr>
        <w:t>_ESMA_ANNEX1</w:t>
      </w:r>
    </w:p>
    <w:p w:rsidR="004E1A0F" w:rsidRPr="00EF0769" w:rsidRDefault="004E1A0F" w:rsidP="00F574D0">
      <w:pPr>
        <w:pStyle w:val="04bList"/>
        <w:numPr>
          <w:ilvl w:val="0"/>
          <w:numId w:val="0"/>
        </w:numPr>
        <w:spacing w:before="120" w:after="120"/>
        <w:rPr>
          <w:rFonts w:cs="Arial"/>
        </w:rPr>
      </w:pPr>
      <w:r w:rsidRPr="00EF0769">
        <w:rPr>
          <w:rFonts w:cs="Arial"/>
        </w:rPr>
        <w:t>To help you navigate this document more easily, bookmarks are available in “Navigation Pane” for Word 2010 and in “Document Map” for Word 2007.</w:t>
      </w:r>
    </w:p>
    <w:p w:rsidR="00332304" w:rsidRDefault="00332304" w:rsidP="00332304">
      <w:pPr>
        <w:autoSpaceDE w:val="0"/>
        <w:autoSpaceDN w:val="0"/>
        <w:adjustRightInd w:val="0"/>
        <w:spacing w:before="120" w:after="120" w:line="276" w:lineRule="auto"/>
        <w:jc w:val="both"/>
        <w:rPr>
          <w:rFonts w:cs="Arial"/>
          <w:b/>
          <w:bCs/>
          <w:i/>
          <w:color w:val="000000"/>
          <w:szCs w:val="20"/>
          <w:lang w:eastAsia="en-GB"/>
        </w:rPr>
      </w:pPr>
    </w:p>
    <w:p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rsidR="00F574D0" w:rsidRPr="00EF0769" w:rsidRDefault="00F574D0" w:rsidP="00F574D0">
      <w:pPr>
        <w:pStyle w:val="04BodyText"/>
        <w:spacing w:before="120" w:after="120"/>
        <w:rPr>
          <w:rFonts w:cs="Arial"/>
        </w:rPr>
      </w:pPr>
      <w:r w:rsidRPr="00EF0769">
        <w:rPr>
          <w:rFonts w:cs="Arial"/>
        </w:rPr>
        <w:t xml:space="preserve">Responses must reach us by </w:t>
      </w:r>
      <w:r w:rsidR="00021E83" w:rsidRPr="00EF0769">
        <w:rPr>
          <w:rFonts w:cs="Arial"/>
          <w:b/>
        </w:rPr>
        <w:t>20 March 2015.</w:t>
      </w:r>
    </w:p>
    <w:p w:rsidR="00F574D0" w:rsidRPr="00EF0769" w:rsidRDefault="00F574D0" w:rsidP="00F574D0">
      <w:pPr>
        <w:pStyle w:val="04BodyText"/>
        <w:spacing w:before="120" w:after="120"/>
        <w:rPr>
          <w:rFonts w:cs="Arial"/>
        </w:rPr>
      </w:pPr>
      <w:r w:rsidRPr="00EF0769">
        <w:rPr>
          <w:rFonts w:cs="Arial"/>
        </w:rPr>
        <w:t xml:space="preserve">All contributions should be submitted online at </w:t>
      </w:r>
      <w:hyperlink r:id="rId12" w:history="1">
        <w:r w:rsidRPr="00EF0769">
          <w:rPr>
            <w:rStyle w:val="Hyperlink"/>
            <w:rFonts w:cs="Arial"/>
          </w:rPr>
          <w:t>www.esma.europa.eu</w:t>
        </w:r>
      </w:hyperlink>
      <w:r w:rsidRPr="00EF0769">
        <w:rPr>
          <w:rFonts w:cs="Arial"/>
        </w:rPr>
        <w:t xml:space="preserve"> under the heading ‘Your input/Consultations’. </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4"/>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lastRenderedPageBreak/>
        <w:t>Publication of responses</w:t>
      </w:r>
      <w:bookmarkEnd w:id="2"/>
    </w:p>
    <w:p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documents. We may consult you if we receive such a request. Any decision we make is reviewable by ESMA’s Board of Appeal and the European Ombudsman.</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3" w:name="_Toc335141335"/>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3"/>
    </w:p>
    <w:p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3"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headings ‘Legal notice’ and ‘Data protection’</w:t>
      </w:r>
      <w:r w:rsidRPr="00EF0769">
        <w:rPr>
          <w:rFonts w:cs="Arial"/>
          <w:szCs w:val="20"/>
        </w:rPr>
        <w:t>.</w:t>
      </w:r>
    </w:p>
    <w:p w:rsidR="003755C6" w:rsidRDefault="003755C6" w:rsidP="00F574D0">
      <w:pPr>
        <w:autoSpaceDE w:val="0"/>
        <w:autoSpaceDN w:val="0"/>
        <w:adjustRightInd w:val="0"/>
        <w:spacing w:before="120" w:after="120" w:line="276" w:lineRule="auto"/>
        <w:jc w:val="both"/>
        <w:rPr>
          <w:rFonts w:cs="Arial"/>
          <w:szCs w:val="20"/>
        </w:rPr>
      </w:pPr>
    </w:p>
    <w:bookmarkEnd w:id="1"/>
    <w:p w:rsidR="00332304" w:rsidRDefault="00332304">
      <w:pPr>
        <w:rPr>
          <w:rFonts w:cs="Arial"/>
          <w:b/>
          <w:bCs/>
          <w:kern w:val="32"/>
          <w:sz w:val="24"/>
          <w:szCs w:val="32"/>
        </w:rPr>
      </w:pPr>
      <w:r>
        <w:br w:type="page"/>
      </w:r>
    </w:p>
    <w:p w:rsidR="00D34282" w:rsidRPr="00AB6D88" w:rsidRDefault="00D34282" w:rsidP="00D34282">
      <w:pPr>
        <w:pStyle w:val="Heading1"/>
        <w:numPr>
          <w:ilvl w:val="0"/>
          <w:numId w:val="0"/>
        </w:numPr>
      </w:pPr>
      <w:r w:rsidRPr="00AB6D88">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D34282" w:rsidRPr="00AB6D88" w:rsidTr="00D81020">
        <w:tc>
          <w:tcPr>
            <w:tcW w:w="3929" w:type="dxa"/>
            <w:shd w:val="clear" w:color="auto" w:fill="auto"/>
          </w:tcPr>
          <w:p w:rsidR="00D34282" w:rsidRPr="00AB6D88" w:rsidRDefault="00D34282" w:rsidP="00D81020">
            <w:pPr>
              <w:rPr>
                <w:rFonts w:cs="Arial"/>
              </w:rPr>
            </w:pPr>
            <w:permStart w:id="92291643" w:edGrp="everyone" w:colFirst="1" w:colLast="1"/>
            <w:r w:rsidRPr="00AB6D88">
              <w:rPr>
                <w:rFonts w:cs="Arial"/>
              </w:rPr>
              <w:t>Name of the company / organisation</w:t>
            </w:r>
          </w:p>
        </w:tc>
        <w:sdt>
          <w:sdtPr>
            <w:rPr>
              <w:rFonts w:ascii="Verdana" w:eastAsiaTheme="minorEastAsia" w:hAnsi="Verdana" w:cs="Arial"/>
              <w:b/>
              <w:noProof/>
              <w:color w:val="595959" w:themeColor="text1" w:themeTint="A6"/>
              <w:szCs w:val="20"/>
              <w:lang w:eastAsia="en-GB"/>
            </w:rPr>
            <w:id w:val="-1905066999"/>
            <w:text/>
          </w:sdtPr>
          <w:sdtContent>
            <w:permStart w:id="105912931" w:edGrp="everyone" w:displacedByCustomXml="prev"/>
            <w:tc>
              <w:tcPr>
                <w:tcW w:w="5595" w:type="dxa"/>
                <w:shd w:val="clear" w:color="auto" w:fill="auto"/>
              </w:tcPr>
              <w:p w:rsidR="00D34282" w:rsidRPr="00AB6D88" w:rsidRDefault="004A6D0D" w:rsidP="00D81020">
                <w:pPr>
                  <w:rPr>
                    <w:rStyle w:val="PlaceholderText"/>
                    <w:rFonts w:cs="Arial"/>
                  </w:rPr>
                </w:pPr>
                <w:r w:rsidRPr="004A6D0D">
                  <w:rPr>
                    <w:rFonts w:ascii="Verdana" w:eastAsiaTheme="minorEastAsia" w:hAnsi="Verdana" w:cs="Arial"/>
                    <w:b/>
                    <w:noProof/>
                    <w:color w:val="595959" w:themeColor="text1" w:themeTint="A6"/>
                    <w:szCs w:val="20"/>
                    <w:lang w:eastAsia="en-GB"/>
                  </w:rPr>
                  <w:t>Wholesale Markets Brokers’ Association</w:t>
                </w:r>
              </w:p>
            </w:tc>
            <w:permEnd w:id="105912931" w:displacedByCustomXml="next"/>
          </w:sdtContent>
        </w:sdt>
      </w:tr>
      <w:tr w:rsidR="00D34282" w:rsidRPr="00AB6D88" w:rsidTr="00D81020">
        <w:tc>
          <w:tcPr>
            <w:tcW w:w="3929" w:type="dxa"/>
            <w:shd w:val="clear" w:color="auto" w:fill="auto"/>
          </w:tcPr>
          <w:p w:rsidR="00D34282" w:rsidRPr="00AB6D88" w:rsidRDefault="00D34282" w:rsidP="00D81020">
            <w:pPr>
              <w:rPr>
                <w:rFonts w:cs="Arial"/>
              </w:rPr>
            </w:pPr>
            <w:permStart w:id="363669760" w:edGrp="everyone" w:colFirst="1" w:colLast="1"/>
            <w:permEnd w:id="92291643"/>
            <w:r w:rsidRPr="00AB6D88">
              <w:rPr>
                <w:rFonts w:cs="Arial"/>
              </w:rPr>
              <w:t>Confidential</w:t>
            </w:r>
            <w:r w:rsidRPr="00AB6D88">
              <w:rPr>
                <w:rStyle w:val="FootnoteReference"/>
                <w:rFonts w:cs="Arial"/>
              </w:rPr>
              <w:footnoteReference w:id="2"/>
            </w:r>
          </w:p>
        </w:tc>
        <w:sdt>
          <w:sdtPr>
            <w:rPr>
              <w:rStyle w:val="PlaceholderText"/>
              <w:rFonts w:cs="Arial"/>
            </w:rPr>
            <w:id w:val="-2035031634"/>
            <w14:checkbox>
              <w14:checked w14:val="0"/>
              <w14:checkedState w14:val="2612" w14:font="MS Gothic"/>
              <w14:uncheckedState w14:val="2610" w14:font="MS Gothic"/>
            </w14:checkbox>
          </w:sdtPr>
          <w:sdtContent>
            <w:tc>
              <w:tcPr>
                <w:tcW w:w="5595" w:type="dxa"/>
                <w:shd w:val="clear" w:color="auto" w:fill="auto"/>
              </w:tcPr>
              <w:p w:rsidR="00D34282" w:rsidRPr="00AB6D88" w:rsidRDefault="00D34282" w:rsidP="00D81020">
                <w:pPr>
                  <w:rPr>
                    <w:rStyle w:val="PlaceholderText"/>
                    <w:rFonts w:cs="Arial"/>
                  </w:rPr>
                </w:pPr>
                <w:r>
                  <w:rPr>
                    <w:rStyle w:val="PlaceholderText"/>
                    <w:rFonts w:ascii="MS Gothic" w:eastAsia="MS Gothic" w:hAnsi="MS Gothic" w:cs="Arial" w:hint="eastAsia"/>
                  </w:rPr>
                  <w:t>☐</w:t>
                </w:r>
              </w:p>
            </w:tc>
          </w:sdtContent>
        </w:sdt>
      </w:tr>
      <w:tr w:rsidR="00D34282" w:rsidRPr="00AB6D88" w:rsidTr="00D81020">
        <w:tc>
          <w:tcPr>
            <w:tcW w:w="3929" w:type="dxa"/>
            <w:shd w:val="clear" w:color="auto" w:fill="auto"/>
          </w:tcPr>
          <w:p w:rsidR="00D34282" w:rsidRPr="00AB6D88" w:rsidRDefault="00D34282" w:rsidP="00D81020">
            <w:pPr>
              <w:rPr>
                <w:rFonts w:cs="Arial"/>
              </w:rPr>
            </w:pPr>
            <w:permStart w:id="1363619821" w:edGrp="everyone" w:colFirst="1" w:colLast="1"/>
            <w:permEnd w:id="363669760"/>
            <w:r w:rsidRPr="00AB6D88">
              <w:rPr>
                <w:rFonts w:cs="Arial"/>
              </w:rPr>
              <w:t>Activity</w:t>
            </w:r>
          </w:p>
        </w:tc>
        <w:tc>
          <w:tcPr>
            <w:tcW w:w="5595" w:type="dxa"/>
            <w:shd w:val="clear" w:color="auto" w:fill="auto"/>
          </w:tcPr>
          <w:p w:rsidR="00D34282" w:rsidRPr="00AB6D88" w:rsidRDefault="00D81020" w:rsidP="00D81020">
            <w:pPr>
              <w:rPr>
                <w:rFonts w:cs="Arial"/>
              </w:rPr>
            </w:pPr>
            <w:sdt>
              <w:sdtPr>
                <w:rPr>
                  <w:rFonts w:cs="Arial"/>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Content>
                <w:permStart w:id="699008551" w:edGrp="everyone"/>
                <w:r w:rsidR="004A6D0D">
                  <w:rPr>
                    <w:rFonts w:cs="Arial"/>
                  </w:rPr>
                  <w:t>Regulated markets/Exchanges/Trading Systems</w:t>
                </w:r>
                <w:permEnd w:id="699008551"/>
              </w:sdtContent>
            </w:sdt>
          </w:p>
        </w:tc>
      </w:tr>
      <w:tr w:rsidR="00D34282" w:rsidRPr="00AB6D88" w:rsidTr="00D81020">
        <w:tc>
          <w:tcPr>
            <w:tcW w:w="3929" w:type="dxa"/>
            <w:shd w:val="clear" w:color="auto" w:fill="auto"/>
          </w:tcPr>
          <w:p w:rsidR="00D34282" w:rsidRPr="00AB6D88" w:rsidRDefault="00D34282" w:rsidP="00D81020">
            <w:pPr>
              <w:rPr>
                <w:rFonts w:cs="Arial"/>
              </w:rPr>
            </w:pPr>
            <w:permStart w:id="988892733" w:edGrp="everyone" w:colFirst="1" w:colLast="1"/>
            <w:permEnd w:id="1363619821"/>
            <w:r w:rsidRPr="00AB6D88">
              <w:rPr>
                <w:rFonts w:cs="Arial"/>
              </w:rPr>
              <w:t>Are you representing an association?</w:t>
            </w:r>
          </w:p>
        </w:tc>
        <w:sdt>
          <w:sdtPr>
            <w:rPr>
              <w:rFonts w:cs="Arial"/>
            </w:rPr>
            <w:id w:val="-242871467"/>
            <w14:checkbox>
              <w14:checked w14:val="1"/>
              <w14:checkedState w14:val="2612" w14:font="MS Gothic"/>
              <w14:uncheckedState w14:val="2610" w14:font="MS Gothic"/>
            </w14:checkbox>
          </w:sdtPr>
          <w:sdtContent>
            <w:tc>
              <w:tcPr>
                <w:tcW w:w="5595" w:type="dxa"/>
                <w:shd w:val="clear" w:color="auto" w:fill="auto"/>
              </w:tcPr>
              <w:p w:rsidR="00D34282" w:rsidRPr="00AB6D88" w:rsidRDefault="004A6D0D" w:rsidP="00D81020">
                <w:pPr>
                  <w:rPr>
                    <w:rFonts w:cs="Arial"/>
                  </w:rPr>
                </w:pPr>
                <w:r>
                  <w:rPr>
                    <w:rFonts w:ascii="MS Gothic" w:eastAsia="MS Gothic" w:hAnsi="MS Gothic" w:cs="Arial" w:hint="eastAsia"/>
                  </w:rPr>
                  <w:t>☒</w:t>
                </w:r>
              </w:p>
            </w:tc>
          </w:sdtContent>
        </w:sdt>
      </w:tr>
      <w:tr w:rsidR="00D34282" w:rsidRPr="00AB6D88" w:rsidTr="00D81020">
        <w:tc>
          <w:tcPr>
            <w:tcW w:w="3929" w:type="dxa"/>
            <w:shd w:val="clear" w:color="auto" w:fill="auto"/>
          </w:tcPr>
          <w:p w:rsidR="00D34282" w:rsidRPr="00AB6D88" w:rsidRDefault="00D34282" w:rsidP="00D81020">
            <w:pPr>
              <w:rPr>
                <w:rFonts w:cs="Arial"/>
              </w:rPr>
            </w:pPr>
            <w:permStart w:id="889614841" w:edGrp="everyone" w:colFirst="1" w:colLast="1"/>
            <w:permEnd w:id="988892733"/>
            <w:r w:rsidRPr="00AB6D88">
              <w:rPr>
                <w:rFonts w:cs="Arial"/>
              </w:rPr>
              <w:t>Country/Region</w:t>
            </w:r>
          </w:p>
        </w:tc>
        <w:permStart w:id="936930862" w:edGrp="everyone" w:displacedByCustomXml="next"/>
        <w:sdt>
          <w:sdtPr>
            <w:rPr>
              <w:rFonts w:cs="Arial"/>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permStart w:id="861411597" w:edGrp="everyone" w:displacedByCustomXml="prev"/>
            <w:tc>
              <w:tcPr>
                <w:tcW w:w="5595" w:type="dxa"/>
                <w:shd w:val="clear" w:color="auto" w:fill="auto"/>
              </w:tcPr>
              <w:p w:rsidR="00D34282" w:rsidRPr="00AB6D88" w:rsidRDefault="004A6D0D" w:rsidP="00D81020">
                <w:pPr>
                  <w:rPr>
                    <w:rFonts w:cs="Arial"/>
                  </w:rPr>
                </w:pPr>
                <w:r>
                  <w:rPr>
                    <w:rFonts w:cs="Arial"/>
                  </w:rPr>
                  <w:t>Europe</w:t>
                </w:r>
              </w:p>
            </w:tc>
            <w:permEnd w:id="861411597" w:displacedByCustomXml="next"/>
          </w:sdtContent>
        </w:sdt>
        <w:permEnd w:id="936930862" w:displacedByCustomXml="prev"/>
      </w:tr>
      <w:permEnd w:id="889614841"/>
    </w:tbl>
    <w:p w:rsidR="00D34282" w:rsidRDefault="00D34282" w:rsidP="00D34282">
      <w:pPr>
        <w:spacing w:after="120" w:line="264" w:lineRule="auto"/>
      </w:pPr>
    </w:p>
    <w:p w:rsidR="00D34282" w:rsidRDefault="00D34282" w:rsidP="00D34282">
      <w:pPr>
        <w:spacing w:after="120" w:line="264" w:lineRule="auto"/>
      </w:pPr>
    </w:p>
    <w:p w:rsidR="00D34282" w:rsidRDefault="00D34282" w:rsidP="00D34282">
      <w:pPr>
        <w:pStyle w:val="Heading1"/>
        <w:numPr>
          <w:ilvl w:val="0"/>
          <w:numId w:val="0"/>
        </w:numPr>
        <w:ind w:left="431" w:hanging="431"/>
      </w:pPr>
      <w:r>
        <w:t>Introduction</w:t>
      </w:r>
    </w:p>
    <w:p w:rsidR="00D34282" w:rsidRPr="001D47A5" w:rsidRDefault="00D34282" w:rsidP="00D34282">
      <w:pPr>
        <w:rPr>
          <w:rStyle w:val="IntenseEmphasis"/>
        </w:rPr>
      </w:pPr>
      <w:r w:rsidRPr="001D47A5">
        <w:rPr>
          <w:rStyle w:val="IntenseEmphasis"/>
        </w:rPr>
        <w:t>Please make your introductory comments below, if any:</w:t>
      </w:r>
    </w:p>
    <w:p w:rsidR="00D34282" w:rsidRPr="00C25863" w:rsidRDefault="00D34282" w:rsidP="00D34282">
      <w:r w:rsidRPr="00C25863">
        <w:t>&lt;</w:t>
      </w:r>
      <w:r w:rsidRPr="00D74C9D">
        <w:t xml:space="preserve"> </w:t>
      </w:r>
      <w:r>
        <w:t>ESMA_COMMENT</w:t>
      </w:r>
      <w:r w:rsidRPr="00C25863">
        <w:t>_</w:t>
      </w:r>
      <w:r w:rsidR="00F70207">
        <w:t>MIFID_ADD</w:t>
      </w:r>
      <w:r w:rsidRPr="00C25863">
        <w:t>_1&gt;</w:t>
      </w:r>
    </w:p>
    <w:p w:rsidR="00466ABE" w:rsidRDefault="00466ABE" w:rsidP="00822471">
      <w:pPr>
        <w:spacing w:before="100" w:beforeAutospacing="1" w:after="100" w:afterAutospacing="1"/>
        <w:contextualSpacing/>
        <w:jc w:val="center"/>
        <w:rPr>
          <w:rFonts w:asciiTheme="minorHAnsi" w:hAnsiTheme="minorHAnsi" w:cs="Arial"/>
          <w:b/>
          <w:sz w:val="22"/>
          <w:szCs w:val="22"/>
          <w:u w:val="single"/>
        </w:rPr>
      </w:pPr>
      <w:permStart w:id="1457873458" w:edGrp="everyone"/>
      <w:r w:rsidRPr="00822471">
        <w:rPr>
          <w:rFonts w:asciiTheme="minorHAnsi" w:hAnsiTheme="minorHAnsi" w:cs="Arial"/>
          <w:b/>
          <w:sz w:val="22"/>
          <w:szCs w:val="22"/>
          <w:u w:val="single"/>
        </w:rPr>
        <w:t>INTRODUCTION</w:t>
      </w:r>
    </w:p>
    <w:p w:rsidR="00822471" w:rsidRPr="00822471" w:rsidRDefault="00822471" w:rsidP="00822471">
      <w:pPr>
        <w:spacing w:before="100" w:beforeAutospacing="1" w:after="100" w:afterAutospacing="1"/>
        <w:contextualSpacing/>
        <w:jc w:val="both"/>
        <w:rPr>
          <w:rFonts w:asciiTheme="minorHAnsi" w:hAnsiTheme="minorHAnsi" w:cs="Arial"/>
          <w:b/>
          <w:sz w:val="22"/>
          <w:szCs w:val="22"/>
          <w:u w:val="single"/>
        </w:rPr>
      </w:pPr>
    </w:p>
    <w:p w:rsidR="00466ABE" w:rsidRPr="00822471" w:rsidRDefault="00466ABE" w:rsidP="00822471">
      <w:pPr>
        <w:spacing w:before="100" w:beforeAutospacing="1" w:after="100" w:afterAutospacing="1"/>
        <w:jc w:val="both"/>
        <w:rPr>
          <w:rFonts w:asciiTheme="minorHAnsi" w:hAnsiTheme="minorHAnsi"/>
          <w:color w:val="000000"/>
          <w:sz w:val="22"/>
          <w:szCs w:val="22"/>
        </w:rPr>
      </w:pPr>
      <w:r w:rsidRPr="00822471">
        <w:rPr>
          <w:rFonts w:asciiTheme="minorHAnsi" w:hAnsiTheme="minorHAnsi"/>
          <w:color w:val="000000"/>
          <w:sz w:val="22"/>
          <w:szCs w:val="22"/>
        </w:rPr>
        <w:t>The WMBA</w:t>
      </w:r>
      <w:r w:rsidRPr="00822471">
        <w:rPr>
          <w:rStyle w:val="FootnoteReference"/>
          <w:rFonts w:asciiTheme="minorHAnsi" w:hAnsiTheme="minorHAnsi"/>
          <w:color w:val="000000"/>
          <w:sz w:val="22"/>
          <w:szCs w:val="22"/>
        </w:rPr>
        <w:footnoteReference w:customMarkFollows="1" w:id="3"/>
        <w:t>[1]</w:t>
      </w:r>
      <w:r w:rsidRPr="00822471">
        <w:rPr>
          <w:rFonts w:asciiTheme="minorHAnsi" w:hAnsiTheme="minorHAnsi"/>
          <w:color w:val="000000"/>
          <w:sz w:val="22"/>
          <w:szCs w:val="22"/>
        </w:rPr>
        <w:t xml:space="preserve"> welcomes the opportunity to reply to this addendum as the predominantly FX and Credit markets scope is fundamental to our member firms operations. Our members are completely committed to fostering fair</w:t>
      </w:r>
      <w:r w:rsidRPr="00822471">
        <w:rPr>
          <w:rFonts w:asciiTheme="minorHAnsi" w:hAnsiTheme="minorHAnsi"/>
          <w:i/>
          <w:iCs/>
          <w:color w:val="000000"/>
          <w:sz w:val="22"/>
          <w:szCs w:val="22"/>
        </w:rPr>
        <w:t xml:space="preserve"> and effective</w:t>
      </w:r>
      <w:r w:rsidRPr="00822471">
        <w:rPr>
          <w:rFonts w:asciiTheme="minorHAnsi" w:hAnsiTheme="minorHAnsi"/>
          <w:color w:val="000000"/>
          <w:sz w:val="22"/>
          <w:szCs w:val="22"/>
        </w:rPr>
        <w:t xml:space="preserve"> marketplaces by organising liquidity globally in these product sets.</w:t>
      </w:r>
    </w:p>
    <w:p w:rsidR="00466ABE" w:rsidRPr="00822471" w:rsidRDefault="00466ABE" w:rsidP="00822471">
      <w:pPr>
        <w:spacing w:before="100" w:beforeAutospacing="1" w:after="100" w:afterAutospacing="1"/>
        <w:jc w:val="both"/>
        <w:rPr>
          <w:rFonts w:asciiTheme="minorHAnsi" w:hAnsiTheme="minorHAnsi"/>
          <w:color w:val="000000"/>
          <w:sz w:val="22"/>
          <w:szCs w:val="22"/>
        </w:rPr>
      </w:pPr>
      <w:r w:rsidRPr="00822471">
        <w:rPr>
          <w:rFonts w:asciiTheme="minorHAnsi" w:hAnsiTheme="minorHAnsi"/>
          <w:color w:val="000000"/>
          <w:sz w:val="22"/>
          <w:szCs w:val="22"/>
        </w:rPr>
        <w:t>To that end it is crucial that we respectfully state upfront that responding properly to this Addendum has been very difficult because in the cases of both FX Forwards and Options, and separately of Credit Derivatives, the WMBA believes strongly that the methodologies proposed for the liquidity framework are neither appropriate nor suitable. Therefore the WMBA does not recognise or believe that the data sets as analysed accurately represent these markets. In particular, reliance solely on the inaugural three months of DTCC Europe Trade Repository reported data has been unfit for purpose, especially as the marketplace generally, the EU Commission, and IOSCO widely acknowledge that the first year of dual-sided EMIR reporting was a failure</w:t>
      </w:r>
      <w:r w:rsidRPr="00822471">
        <w:rPr>
          <w:rFonts w:asciiTheme="minorHAnsi" w:hAnsiTheme="minorHAnsi"/>
          <w:color w:val="000000"/>
          <w:sz w:val="22"/>
          <w:szCs w:val="22"/>
          <w:vertAlign w:val="superscript"/>
        </w:rPr>
        <w:t>2</w:t>
      </w:r>
      <w:r w:rsidRPr="00822471">
        <w:rPr>
          <w:rFonts w:asciiTheme="minorHAnsi" w:hAnsiTheme="minorHAnsi"/>
          <w:color w:val="000000"/>
          <w:sz w:val="22"/>
          <w:szCs w:val="22"/>
        </w:rPr>
        <w:t>. Remediation by market participants has been made all but impossible by the ‘black-box’ nature of the data and the process.</w:t>
      </w:r>
    </w:p>
    <w:p w:rsidR="00466ABE" w:rsidRPr="00822471" w:rsidRDefault="00466ABE" w:rsidP="00822471">
      <w:pPr>
        <w:spacing w:before="100" w:beforeAutospacing="1" w:after="100" w:afterAutospacing="1"/>
        <w:jc w:val="both"/>
        <w:rPr>
          <w:rFonts w:asciiTheme="minorHAnsi" w:hAnsiTheme="minorHAnsi"/>
          <w:color w:val="000000"/>
          <w:sz w:val="22"/>
          <w:szCs w:val="22"/>
        </w:rPr>
      </w:pPr>
      <w:r w:rsidRPr="00822471">
        <w:rPr>
          <w:rFonts w:asciiTheme="minorHAnsi" w:hAnsiTheme="minorHAnsi"/>
          <w:color w:val="000000"/>
          <w:sz w:val="22"/>
          <w:szCs w:val="22"/>
        </w:rPr>
        <w:t>In light of this fact, and that these specific markets are both global in reach and largely wholesale in terms of notional amounts executed, there is inherent danger in these proposals. Venues within the EU that will place complete reliance on the appropriate MiFIR waivers to operate are at risk of market share fleeing to other geographies. Therefore impact of these ill-constructed proposals on liquidity and the locus of transactions quickly becomes critical. WMBA does remind however, that whilst an instrument has to be sufficiently liquid to trade on a multilateral trading venue, it is not necessarily the case under MiFIR that such an instrument which should be deemed liquid for transparency purposes will be also deemed sufficiently liquid under any trading obligation.</w:t>
      </w:r>
    </w:p>
    <w:p w:rsidR="00466ABE" w:rsidRPr="00822471" w:rsidRDefault="00466ABE" w:rsidP="00822471">
      <w:pPr>
        <w:spacing w:before="100" w:beforeAutospacing="1" w:after="100" w:afterAutospacing="1"/>
        <w:jc w:val="both"/>
        <w:rPr>
          <w:rFonts w:asciiTheme="minorHAnsi" w:hAnsiTheme="minorHAnsi"/>
          <w:color w:val="000000"/>
          <w:sz w:val="22"/>
          <w:szCs w:val="22"/>
        </w:rPr>
      </w:pPr>
      <w:r w:rsidRPr="00822471">
        <w:rPr>
          <w:rFonts w:asciiTheme="minorHAnsi" w:hAnsiTheme="minorHAnsi"/>
          <w:color w:val="000000"/>
          <w:sz w:val="22"/>
          <w:szCs w:val="22"/>
        </w:rPr>
        <w:t xml:space="preserve">Specifically, the FX markets have been fragmented by (a) allotting currency pairs as commodities, (b) non-credible and out-of-scope data sets being deployed, (c) option notionals and hedge notionals being duplicated, and (d) NDFs reclassified as deliverable currencies. The global nature of the FX markets which are organised and booked into European entities has not been appropriately classified and understood in this proposal. Secondly, the data used to analyse Credit Derivatives markets is simply not believable, and in our opinion would appear to be simply a report of compression and other non-price forming trades. WMBA understands that the fundamental foundation for a liquidity methodology is the ‘on-the run’ five year sector of the most widely used indices. The data for these sectors appears to be frequently and astonishingly over-stated by magnitudes of over one hundred times, whilst the buckets used divide commonly collective trade sets have not. The ephemeral nature of interest in certain single names or sectors has not been accounted for, and the key liquidity parameter for single name CDS, which is inclusion into the dominant indices, has remarkably not been considered at all. </w:t>
      </w:r>
    </w:p>
    <w:p w:rsidR="00466ABE" w:rsidRPr="00822471" w:rsidRDefault="00466ABE" w:rsidP="00822471">
      <w:pPr>
        <w:spacing w:before="100" w:beforeAutospacing="1" w:after="100" w:afterAutospacing="1"/>
        <w:jc w:val="both"/>
        <w:rPr>
          <w:rFonts w:asciiTheme="minorHAnsi" w:hAnsiTheme="minorHAnsi"/>
          <w:color w:val="000000"/>
          <w:sz w:val="22"/>
          <w:szCs w:val="22"/>
        </w:rPr>
      </w:pPr>
      <w:r w:rsidRPr="00822471">
        <w:rPr>
          <w:rFonts w:asciiTheme="minorHAnsi" w:hAnsiTheme="minorHAnsi"/>
          <w:color w:val="000000"/>
          <w:sz w:val="22"/>
          <w:szCs w:val="22"/>
        </w:rPr>
        <w:t xml:space="preserve">Therefore we would suggest that any coherent and worthwhile analysis and feedback that may be provided by WMBA has been severely limited. In general, therefore, our respectful request to ESMA would be to utilise the full year of transaction data that the WMBA members already provided in the summer of 2014, together with more active engagements with all wholesale market participants, to produce a revised approach and a more coherent  data set. We recognise that this may take time and could even impinge upon the 2017 MiFID2 commencement date for these two sets of products. However should the current proposal not be radically reshaped the very likely result will be the drastic undermining of </w:t>
      </w:r>
      <w:r w:rsidRPr="00822471">
        <w:rPr>
          <w:rFonts w:asciiTheme="minorHAnsi" w:hAnsiTheme="minorHAnsi"/>
          <w:i/>
          <w:iCs/>
          <w:color w:val="000000"/>
          <w:sz w:val="22"/>
          <w:szCs w:val="22"/>
        </w:rPr>
        <w:t>fair and effective</w:t>
      </w:r>
      <w:r w:rsidRPr="00822471">
        <w:rPr>
          <w:rFonts w:asciiTheme="minorHAnsi" w:hAnsiTheme="minorHAnsi"/>
          <w:color w:val="000000"/>
          <w:sz w:val="22"/>
          <w:szCs w:val="22"/>
        </w:rPr>
        <w:t xml:space="preserve"> markets.</w:t>
      </w:r>
    </w:p>
    <w:p w:rsidR="00466ABE" w:rsidRPr="00822471" w:rsidRDefault="00466ABE" w:rsidP="00822471">
      <w:pPr>
        <w:spacing w:before="100" w:beforeAutospacing="1" w:after="100" w:afterAutospacing="1"/>
        <w:jc w:val="both"/>
        <w:rPr>
          <w:rFonts w:asciiTheme="minorHAnsi" w:hAnsiTheme="minorHAnsi"/>
          <w:color w:val="000000"/>
          <w:sz w:val="22"/>
          <w:szCs w:val="22"/>
        </w:rPr>
      </w:pPr>
      <w:r w:rsidRPr="00822471">
        <w:rPr>
          <w:rFonts w:asciiTheme="minorHAnsi" w:hAnsiTheme="minorHAnsi"/>
          <w:color w:val="000000"/>
          <w:sz w:val="22"/>
          <w:szCs w:val="22"/>
        </w:rPr>
        <w:t>Therefore, whilst we understand that the task for this level 2 work is to find those instruments with sufficient liquidity to support transparency obligations rather than simply categorising the most liquid instruments per se, in the cases of FX and Credit Markets even this objective has not been achieved. Fundamental changes to the process of calculation and any predicated ongoing periodic recalculation are indeed outside the scope of ESMA’s present remit for these Regulatory Technical Standards, however WMBA would still endorse ESMA challenging the Commission for a mandate to more thoroughly revise the RTS to introduce revised formula and asset classes based on an entirely revised data set including all the procedure and processes attached to that.</w:t>
      </w:r>
    </w:p>
    <w:p w:rsidR="00466ABE" w:rsidRDefault="00466ABE" w:rsidP="00466ABE">
      <w:pPr>
        <w:spacing w:before="100" w:beforeAutospacing="1" w:after="100" w:afterAutospacing="1"/>
        <w:jc w:val="both"/>
        <w:rPr>
          <w:rFonts w:ascii="Calibri" w:hAnsi="Calibri"/>
          <w:color w:val="000000"/>
        </w:rPr>
      </w:pPr>
      <w:r>
        <w:rPr>
          <w:rFonts w:ascii="Calibri" w:hAnsi="Calibri"/>
          <w:color w:val="000000"/>
        </w:rPr>
        <w:pict>
          <v:rect id="_x0000_i1025" style="width:0;height:1.5pt" o:hralign="center" o:hrstd="t" o:hr="t" fillcolor="#a0a0a0" stroked="f"/>
        </w:pict>
      </w:r>
    </w:p>
    <w:p w:rsidR="00466ABE" w:rsidRPr="00CB077C" w:rsidRDefault="00466ABE" w:rsidP="00466ABE">
      <w:pPr>
        <w:spacing w:before="100" w:beforeAutospacing="1" w:after="100" w:afterAutospacing="1"/>
        <w:jc w:val="both"/>
        <w:rPr>
          <w:rFonts w:asciiTheme="minorHAnsi" w:hAnsiTheme="minorHAnsi"/>
          <w:color w:val="000000"/>
        </w:rPr>
      </w:pPr>
      <w:r w:rsidRPr="00CB077C">
        <w:rPr>
          <w:rStyle w:val="FootnoteReference"/>
          <w:rFonts w:asciiTheme="minorHAnsi" w:hAnsiTheme="minorHAnsi"/>
        </w:rPr>
        <w:t>[1]</w:t>
      </w:r>
      <w:r w:rsidRPr="00CB077C">
        <w:rPr>
          <w:rFonts w:asciiTheme="minorHAnsi" w:hAnsiTheme="minorHAnsi"/>
        </w:rPr>
        <w:t xml:space="preserve"> </w:t>
      </w:r>
      <w:r w:rsidRPr="00CB077C">
        <w:rPr>
          <w:rFonts w:asciiTheme="minorHAnsi" w:hAnsiTheme="minorHAnsi"/>
          <w:i/>
          <w:iCs/>
          <w:color w:val="7F7F7F"/>
        </w:rPr>
        <w:t>The Wholesale Markets Brokers’ Association (WMBA) and the London Energy Brokers’ Association (LEBA) (jointly referred to in this document as ‘WMBA’) are the European industry associations for the wholesale intermediation of Organised Venue and Over-the-Counter (OTC) markets in financial, energy, commodity and emissions markets and their traded derivatives.  Our members act solely as intermediaries in wholesale financial markets and do not undertake any proprietary trading.  As a result they are classified as Limited Activity and Limited Licence under BIPRU and IFPRU in the UK where they carry out the vast majority of their activities regardless of home domicile of the individual holding companies.  This makes them MiFID Investment Firms as opposed to being MTFs per se.</w:t>
      </w:r>
    </w:p>
    <w:permEnd w:id="1457873458"/>
    <w:p w:rsidR="00D34282" w:rsidRPr="00C25863" w:rsidRDefault="00D34282" w:rsidP="00D34282">
      <w:r w:rsidRPr="00C25863">
        <w:t>&lt;</w:t>
      </w:r>
      <w:r w:rsidRPr="00D74C9D">
        <w:t xml:space="preserve"> </w:t>
      </w:r>
      <w:r>
        <w:t>ESMA_COMMENT</w:t>
      </w:r>
      <w:r w:rsidRPr="00C25863">
        <w:t>_</w:t>
      </w:r>
      <w:r w:rsidR="00F70207">
        <w:t>MIFID_ADD</w:t>
      </w:r>
      <w:r w:rsidRPr="00C25863">
        <w:t>_1&gt;</w:t>
      </w:r>
    </w:p>
    <w:p w:rsidR="00A8728B" w:rsidRPr="00B62727" w:rsidRDefault="00F32462" w:rsidP="00A8728B">
      <w:pPr>
        <w:pStyle w:val="CPQuestions"/>
        <w:ind w:left="714" w:hanging="357"/>
      </w:pPr>
      <w:r>
        <w:rPr>
          <w:rFonts w:cs="Arial"/>
          <w:szCs w:val="22"/>
        </w:rPr>
        <w:br w:type="page"/>
      </w:r>
      <w:r w:rsidR="00A8728B" w:rsidRPr="00C24BCA">
        <w:lastRenderedPageBreak/>
        <w:t>Do you agree with ESMA’s proposal for the definition of a liquid market? Please provide an answer detailed per asset class identified (deliverable forwards, non-deliverable forwards, options, swaps, spread</w:t>
      </w:r>
      <w:r w:rsidR="00A8728B">
        <w:t xml:space="preserve"> betting contracts and futures)</w:t>
      </w:r>
      <w:r w:rsidR="00A8728B" w:rsidRPr="00B62727">
        <w:t xml:space="preserve"> </w:t>
      </w:r>
      <w:r w:rsidR="00A8728B">
        <w:t>a</w:t>
      </w:r>
      <w:r w:rsidR="00A8728B" w:rsidRPr="00B62727">
        <w:t xml:space="preserve">ddressing the following points: </w:t>
      </w:r>
    </w:p>
    <w:p w:rsidR="00A8728B" w:rsidRPr="00B62727" w:rsidRDefault="00A8728B" w:rsidP="00566C6A">
      <w:pPr>
        <w:pStyle w:val="CPQuest2"/>
      </w:pPr>
      <w:r w:rsidRPr="00B62727">
        <w:t>Would you use different qualitative criteria to define the sub-classes?</w:t>
      </w:r>
      <w:r>
        <w:t xml:space="preserve"> Please also specify if you agree in </w:t>
      </w:r>
      <w:r w:rsidRPr="00313056">
        <w:t>distinguish</w:t>
      </w:r>
      <w:r>
        <w:t>ing or not distinguishing</w:t>
      </w:r>
      <w:r w:rsidRPr="00313056">
        <w:t xml:space="preserve"> between deliverable and non-deliverable contracts</w:t>
      </w:r>
      <w:r>
        <w:t>. If you would distinguish between deliverable and non-deliverable contracts for other classes besides forwards, please provide your</w:t>
      </w:r>
      <w:r w:rsidRPr="00313056">
        <w:t xml:space="preserve"> feedback </w:t>
      </w:r>
      <w:r>
        <w:t>as specific as possible with regard to the sub-classes that should be deemed liquid for deliverable contracts and those for non-deliverable contracts, pointing out the differences between the two sub-groups.</w:t>
      </w:r>
    </w:p>
    <w:p w:rsidR="00A8728B" w:rsidRPr="00B62727" w:rsidRDefault="00A8728B" w:rsidP="00566C6A">
      <w:pPr>
        <w:pStyle w:val="CPQuest2"/>
      </w:pPr>
      <w:r w:rsidRPr="00B62727">
        <w:t>Would you use different parameters or the same parameters (i.e. average number of trades per day and average notional amount traded per day) but different thresholds in order to define a sub-class as liquid?</w:t>
      </w:r>
    </w:p>
    <w:p w:rsidR="00A8728B" w:rsidRPr="00B62727" w:rsidRDefault="00A8728B" w:rsidP="00566C6A">
      <w:pPr>
        <w:pStyle w:val="CPQuest2"/>
      </w:pPr>
      <w:r w:rsidRPr="00B62727">
        <w:t xml:space="preserve">Would you define </w:t>
      </w:r>
      <w:r>
        <w:t xml:space="preserve">some specific </w:t>
      </w:r>
      <w:r w:rsidRPr="00B62727">
        <w:t>classes declared as liquid in ESMA’s proposal as illiquid (</w:t>
      </w:r>
      <w:r>
        <w:t>and</w:t>
      </w:r>
      <w:r w:rsidRPr="00B62727">
        <w:t xml:space="preserve"> vice versa)? Please provide reasons for your answer.</w:t>
      </w:r>
    </w:p>
    <w:p w:rsidR="00A8728B" w:rsidRDefault="00A8728B" w:rsidP="00A8728B">
      <w:r>
        <w:t>&lt;ESMA_QUESTION_MIFID_ADD_1&gt;</w:t>
      </w:r>
    </w:p>
    <w:p w:rsidR="00466ABE" w:rsidRPr="00CB077C" w:rsidRDefault="00466ABE" w:rsidP="00CB077C">
      <w:pPr>
        <w:spacing w:before="100" w:beforeAutospacing="1" w:after="100" w:afterAutospacing="1"/>
        <w:jc w:val="both"/>
        <w:rPr>
          <w:rFonts w:asciiTheme="minorHAnsi" w:hAnsiTheme="minorHAnsi"/>
          <w:sz w:val="22"/>
          <w:szCs w:val="22"/>
        </w:rPr>
      </w:pPr>
      <w:permStart w:id="959666126" w:edGrp="everyone"/>
      <w:r w:rsidRPr="00CB077C">
        <w:rPr>
          <w:rFonts w:asciiTheme="minorHAnsi" w:hAnsiTheme="minorHAnsi"/>
          <w:sz w:val="22"/>
          <w:szCs w:val="22"/>
        </w:rPr>
        <w:t xml:space="preserve">No, the WMBA does not agree with ESMAs definition of a liquid market.  </w:t>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 xml:space="preserve">We consider that ESMA has: </w:t>
      </w:r>
    </w:p>
    <w:p w:rsidR="00466ABE" w:rsidRPr="00CB077C" w:rsidRDefault="00466ABE" w:rsidP="004052F8">
      <w:pPr>
        <w:pStyle w:val="ListParagraph"/>
        <w:numPr>
          <w:ilvl w:val="0"/>
          <w:numId w:val="47"/>
        </w:numPr>
        <w:spacing w:before="100" w:beforeAutospacing="1" w:after="100" w:afterAutospacing="1"/>
        <w:contextualSpacing w:val="0"/>
        <w:jc w:val="both"/>
        <w:rPr>
          <w:rFonts w:asciiTheme="minorHAnsi" w:hAnsiTheme="minorHAnsi"/>
          <w:sz w:val="22"/>
          <w:szCs w:val="22"/>
        </w:rPr>
      </w:pPr>
      <w:r w:rsidRPr="00CB077C">
        <w:rPr>
          <w:rFonts w:asciiTheme="minorHAnsi" w:hAnsiTheme="minorHAnsi"/>
          <w:sz w:val="22"/>
          <w:szCs w:val="22"/>
        </w:rPr>
        <w:t>Used data that does not delineate the perimeter of the EU market for foreign exchange</w:t>
      </w:r>
    </w:p>
    <w:p w:rsidR="00466ABE" w:rsidRPr="00CB077C" w:rsidRDefault="00466ABE" w:rsidP="004052F8">
      <w:pPr>
        <w:pStyle w:val="ListParagraph"/>
        <w:numPr>
          <w:ilvl w:val="0"/>
          <w:numId w:val="47"/>
        </w:numPr>
        <w:spacing w:before="100" w:beforeAutospacing="1" w:after="100" w:afterAutospacing="1"/>
        <w:contextualSpacing w:val="0"/>
        <w:jc w:val="both"/>
        <w:rPr>
          <w:rFonts w:asciiTheme="minorHAnsi" w:hAnsiTheme="minorHAnsi"/>
          <w:sz w:val="22"/>
          <w:szCs w:val="22"/>
        </w:rPr>
      </w:pPr>
      <w:r w:rsidRPr="00CB077C">
        <w:rPr>
          <w:rFonts w:asciiTheme="minorHAnsi" w:hAnsiTheme="minorHAnsi"/>
          <w:sz w:val="22"/>
          <w:szCs w:val="22"/>
        </w:rPr>
        <w:t>Used data that is clearly erroneous and of insufficient quality</w:t>
      </w:r>
    </w:p>
    <w:p w:rsidR="00466ABE" w:rsidRPr="00CB077C" w:rsidRDefault="00466ABE" w:rsidP="004052F8">
      <w:pPr>
        <w:pStyle w:val="ListParagraph"/>
        <w:numPr>
          <w:ilvl w:val="0"/>
          <w:numId w:val="47"/>
        </w:numPr>
        <w:spacing w:before="100" w:beforeAutospacing="1" w:after="100" w:afterAutospacing="1"/>
        <w:contextualSpacing w:val="0"/>
        <w:jc w:val="both"/>
        <w:rPr>
          <w:rFonts w:asciiTheme="minorHAnsi" w:hAnsiTheme="minorHAnsi"/>
          <w:sz w:val="22"/>
          <w:szCs w:val="22"/>
        </w:rPr>
      </w:pPr>
      <w:r w:rsidRPr="00CB077C">
        <w:rPr>
          <w:rFonts w:asciiTheme="minorHAnsi" w:hAnsiTheme="minorHAnsi"/>
          <w:sz w:val="22"/>
          <w:szCs w:val="22"/>
        </w:rPr>
        <w:t>Used data from an unrepresentative short sampling period</w:t>
      </w:r>
    </w:p>
    <w:p w:rsidR="00466ABE" w:rsidRPr="00CB077C" w:rsidRDefault="00466ABE" w:rsidP="004052F8">
      <w:pPr>
        <w:pStyle w:val="ListParagraph"/>
        <w:numPr>
          <w:ilvl w:val="0"/>
          <w:numId w:val="47"/>
        </w:numPr>
        <w:spacing w:before="100" w:beforeAutospacing="1" w:after="100" w:afterAutospacing="1"/>
        <w:contextualSpacing w:val="0"/>
        <w:jc w:val="both"/>
        <w:rPr>
          <w:rFonts w:asciiTheme="minorHAnsi" w:hAnsiTheme="minorHAnsi"/>
          <w:sz w:val="22"/>
          <w:szCs w:val="22"/>
        </w:rPr>
      </w:pPr>
      <w:r w:rsidRPr="00CB077C">
        <w:rPr>
          <w:rFonts w:asciiTheme="minorHAnsi" w:hAnsiTheme="minorHAnsi"/>
          <w:sz w:val="22"/>
          <w:szCs w:val="22"/>
        </w:rPr>
        <w:t>Disregarded submitted data sets that would have added clarity</w:t>
      </w:r>
    </w:p>
    <w:p w:rsidR="00466ABE" w:rsidRPr="00CB077C" w:rsidRDefault="00466ABE" w:rsidP="004052F8">
      <w:pPr>
        <w:pStyle w:val="ListParagraph"/>
        <w:numPr>
          <w:ilvl w:val="0"/>
          <w:numId w:val="47"/>
        </w:numPr>
        <w:spacing w:before="100" w:beforeAutospacing="1" w:after="100" w:afterAutospacing="1"/>
        <w:contextualSpacing w:val="0"/>
        <w:jc w:val="both"/>
        <w:rPr>
          <w:rFonts w:asciiTheme="minorHAnsi" w:hAnsiTheme="minorHAnsi"/>
          <w:sz w:val="22"/>
          <w:szCs w:val="22"/>
        </w:rPr>
      </w:pPr>
      <w:r w:rsidRPr="00CB077C">
        <w:rPr>
          <w:rFonts w:asciiTheme="minorHAnsi" w:hAnsiTheme="minorHAnsi"/>
          <w:sz w:val="22"/>
          <w:szCs w:val="22"/>
        </w:rPr>
        <w:t>Disregarded smaller trades that form a large proportion of the EU market for foreign exchange</w:t>
      </w:r>
    </w:p>
    <w:p w:rsidR="00466ABE" w:rsidRPr="00CB077C" w:rsidRDefault="00466ABE" w:rsidP="004052F8">
      <w:pPr>
        <w:pStyle w:val="ListParagraph"/>
        <w:numPr>
          <w:ilvl w:val="0"/>
          <w:numId w:val="47"/>
        </w:numPr>
        <w:spacing w:before="100" w:beforeAutospacing="1" w:after="100" w:afterAutospacing="1"/>
        <w:contextualSpacing w:val="0"/>
        <w:jc w:val="both"/>
        <w:rPr>
          <w:rFonts w:asciiTheme="minorHAnsi" w:hAnsiTheme="minorHAnsi"/>
          <w:sz w:val="22"/>
          <w:szCs w:val="22"/>
        </w:rPr>
      </w:pPr>
      <w:r w:rsidRPr="00CB077C">
        <w:rPr>
          <w:rFonts w:asciiTheme="minorHAnsi" w:hAnsiTheme="minorHAnsi"/>
          <w:sz w:val="22"/>
          <w:szCs w:val="22"/>
        </w:rPr>
        <w:t>Contains too many incorrectly classified instruments</w:t>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Consequently, the proposal contains many incorrect conclusions which prima facie do not accord at all with the market participants’ assessment of the available instruments and their liquidity.</w:t>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The WMBA note that the member firms passed to ESMA complete files for the calendar year [to June 2014] of transactions in respect of the FX asset class. However, we note that it is very difficult, especially in Europe, to delineate the perimeter of the EU market for foreign exchange which should be either for EU venues or for transactions with at least one EU counterparty. However, since it is common practice for each of counterparties, venues and prime brokers to book trades done anywhere in the world in their EU centralised booking function, then the number of trades recognised as EU trades are inflated. Similarly, trades executed around the clock are booked in the EU offices and time stamps will often be outside ‘normal market hours’. It is apparent to us that ESMA has not regarded and aggregated the submitted trade files nor therefore made commensurate filtering to delineate those which may be regarded to have traded in the EU.</w:t>
      </w:r>
    </w:p>
    <w:p w:rsidR="00466ABE" w:rsidRPr="00CB077C" w:rsidRDefault="00466ABE" w:rsidP="00CB077C">
      <w:pPr>
        <w:spacing w:before="100" w:beforeAutospacing="1" w:after="100" w:afterAutospacing="1"/>
        <w:jc w:val="both"/>
        <w:rPr>
          <w:rFonts w:asciiTheme="minorHAnsi" w:hAnsiTheme="minorHAnsi"/>
          <w:sz w:val="22"/>
          <w:szCs w:val="22"/>
        </w:rPr>
      </w:pP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 xml:space="preserve">Conversely the deployment of the first three months of trade repository data can only be viewed as bizarre. </w:t>
      </w:r>
    </w:p>
    <w:p w:rsidR="00466ABE" w:rsidRPr="00CB077C" w:rsidRDefault="00466ABE" w:rsidP="004052F8">
      <w:pPr>
        <w:pStyle w:val="ListParagraph"/>
        <w:numPr>
          <w:ilvl w:val="0"/>
          <w:numId w:val="48"/>
        </w:numPr>
        <w:spacing w:before="100" w:beforeAutospacing="1" w:after="100" w:afterAutospacing="1"/>
        <w:contextualSpacing w:val="0"/>
        <w:jc w:val="both"/>
        <w:rPr>
          <w:rFonts w:asciiTheme="minorHAnsi" w:hAnsiTheme="minorHAnsi"/>
          <w:sz w:val="22"/>
          <w:szCs w:val="22"/>
        </w:rPr>
      </w:pPr>
      <w:r w:rsidRPr="00CB077C">
        <w:rPr>
          <w:rFonts w:asciiTheme="minorHAnsi" w:hAnsiTheme="minorHAnsi"/>
          <w:sz w:val="22"/>
          <w:szCs w:val="22"/>
        </w:rPr>
        <w:t>Whilst these data sets similarly do not specifically consist of qualifying MiFID transactions within the EU perimeter, they are also manifestly both incomplete and replete with errors. By dint of the short and initial timeframe, the data set is additionally insufficient.  The WMBA note that in the case of every end user asked, beyond their own two-side matches, no matching of any FX trades inside the trade repositories were evident in the first year of reporting</w:t>
      </w:r>
      <w:r w:rsidRPr="00CB077C">
        <w:rPr>
          <w:rStyle w:val="FootnoteReference"/>
          <w:rFonts w:asciiTheme="minorHAnsi" w:hAnsiTheme="minorHAnsi"/>
          <w:sz w:val="22"/>
          <w:szCs w:val="22"/>
        </w:rPr>
        <w:footnoteReference w:id="4"/>
      </w:r>
      <w:r w:rsidRPr="00CB077C">
        <w:rPr>
          <w:rFonts w:asciiTheme="minorHAnsi" w:hAnsiTheme="minorHAnsi"/>
          <w:sz w:val="22"/>
          <w:szCs w:val="22"/>
        </w:rPr>
        <w:t xml:space="preserve">. Therefore, we question why a data set with an apparent 100% error rate was considered sufficient for the analysis of the liquidity framework. </w:t>
      </w:r>
    </w:p>
    <w:p w:rsidR="00466ABE" w:rsidRPr="00CB077C" w:rsidRDefault="00466ABE" w:rsidP="004052F8">
      <w:pPr>
        <w:pStyle w:val="ListParagraph"/>
        <w:numPr>
          <w:ilvl w:val="0"/>
          <w:numId w:val="48"/>
        </w:numPr>
        <w:spacing w:before="100" w:beforeAutospacing="1" w:after="100" w:afterAutospacing="1"/>
        <w:contextualSpacing w:val="0"/>
        <w:jc w:val="both"/>
        <w:rPr>
          <w:rFonts w:asciiTheme="minorHAnsi" w:hAnsiTheme="minorHAnsi"/>
          <w:sz w:val="22"/>
          <w:szCs w:val="22"/>
        </w:rPr>
      </w:pPr>
      <w:r w:rsidRPr="00CB077C">
        <w:rPr>
          <w:rFonts w:asciiTheme="minorHAnsi" w:hAnsiTheme="minorHAnsi"/>
          <w:sz w:val="22"/>
          <w:szCs w:val="22"/>
        </w:rPr>
        <w:t>In most cases, Trade Repository (TR) data was collected over a three month period between 1 March 2014 and 31 May 2014. It is clear that a three month data set is too short to properly account for any anomalous trading activity during that time and may not accurately depict the liquidity of the markets of those asset classes over a normalised timeframe, particularly for FX Derivatives which are extremely cyclical in nature.</w:t>
      </w:r>
      <w:r w:rsidRPr="00CB077C">
        <w:rPr>
          <w:rStyle w:val="FootnoteReference"/>
          <w:rFonts w:asciiTheme="minorHAnsi" w:hAnsiTheme="minorHAnsi"/>
          <w:sz w:val="22"/>
          <w:szCs w:val="22"/>
        </w:rPr>
        <w:footnoteReference w:id="5"/>
      </w:r>
      <w:r w:rsidRPr="00CB077C">
        <w:rPr>
          <w:rFonts w:asciiTheme="minorHAnsi" w:hAnsiTheme="minorHAnsi"/>
          <w:sz w:val="22"/>
          <w:szCs w:val="22"/>
        </w:rPr>
        <w:t xml:space="preserve"> </w:t>
      </w:r>
      <w:r w:rsidRPr="00CB077C">
        <w:rPr>
          <w:rFonts w:asciiTheme="minorHAnsi" w:hAnsiTheme="minorHAnsi"/>
          <w:bCs/>
          <w:sz w:val="22"/>
          <w:szCs w:val="22"/>
        </w:rPr>
        <w:t>The number of days traded is a specific factor in the determination of liquidity, in that in order for a class of derivatives to be liquid one of the categories assessed is the “</w:t>
      </w:r>
      <w:r w:rsidRPr="00CB077C">
        <w:rPr>
          <w:rFonts w:asciiTheme="minorHAnsi" w:hAnsiTheme="minorHAnsi"/>
          <w:bCs/>
          <w:i/>
          <w:sz w:val="22"/>
          <w:szCs w:val="22"/>
        </w:rPr>
        <w:t>number of days traded greater than or equal to 80% of the available trading days in the period</w:t>
      </w:r>
      <w:r w:rsidRPr="00CB077C">
        <w:rPr>
          <w:rFonts w:asciiTheme="minorHAnsi" w:hAnsiTheme="minorHAnsi"/>
          <w:bCs/>
          <w:sz w:val="22"/>
          <w:szCs w:val="22"/>
        </w:rPr>
        <w:t xml:space="preserve">”.  </w:t>
      </w:r>
    </w:p>
    <w:p w:rsidR="00466ABE" w:rsidRPr="00CB077C" w:rsidRDefault="00466ABE" w:rsidP="004052F8">
      <w:pPr>
        <w:pStyle w:val="ListParagraph"/>
        <w:numPr>
          <w:ilvl w:val="0"/>
          <w:numId w:val="48"/>
        </w:numPr>
        <w:spacing w:before="100" w:beforeAutospacing="1" w:after="100" w:afterAutospacing="1"/>
        <w:contextualSpacing w:val="0"/>
        <w:jc w:val="both"/>
        <w:rPr>
          <w:rFonts w:asciiTheme="minorHAnsi" w:hAnsiTheme="minorHAnsi"/>
          <w:sz w:val="22"/>
          <w:szCs w:val="22"/>
        </w:rPr>
      </w:pPr>
      <w:r w:rsidRPr="00CB077C">
        <w:rPr>
          <w:rFonts w:asciiTheme="minorHAnsi" w:hAnsiTheme="minorHAnsi"/>
          <w:sz w:val="22"/>
          <w:szCs w:val="22"/>
        </w:rPr>
        <w:t>Further, the TR data would appear to include compression trades and other non-price forming trades which are not market trades such as portfolio transactions, intra-group trades and sleeves/switches. The data being used should be cleansed.</w:t>
      </w:r>
    </w:p>
    <w:p w:rsidR="00466ABE" w:rsidRPr="00CB077C" w:rsidRDefault="00466ABE" w:rsidP="004052F8">
      <w:pPr>
        <w:pStyle w:val="ListParagraph"/>
        <w:numPr>
          <w:ilvl w:val="0"/>
          <w:numId w:val="48"/>
        </w:numPr>
        <w:spacing w:before="100" w:beforeAutospacing="1" w:after="100" w:afterAutospacing="1"/>
        <w:contextualSpacing w:val="0"/>
        <w:jc w:val="both"/>
        <w:rPr>
          <w:rFonts w:asciiTheme="minorHAnsi" w:hAnsiTheme="minorHAnsi"/>
          <w:sz w:val="22"/>
          <w:szCs w:val="22"/>
        </w:rPr>
      </w:pPr>
      <w:r w:rsidRPr="00CB077C">
        <w:rPr>
          <w:rFonts w:asciiTheme="minorHAnsi" w:hAnsiTheme="minorHAnsi"/>
          <w:sz w:val="22"/>
          <w:szCs w:val="22"/>
        </w:rPr>
        <w:t>TR data does not appear to facilitate the consideration of further factors which are key in assessing a liquid market, namely the number and type of market participants and the average size of spreads. Consequently, these factors, which are both time and geographically variable, appear to have been overlooked or ignored.</w:t>
      </w:r>
    </w:p>
    <w:p w:rsidR="00466ABE" w:rsidRPr="00CB077C" w:rsidRDefault="00466ABE" w:rsidP="004052F8">
      <w:pPr>
        <w:pStyle w:val="ListParagraph"/>
        <w:numPr>
          <w:ilvl w:val="0"/>
          <w:numId w:val="48"/>
        </w:numPr>
        <w:spacing w:before="100" w:beforeAutospacing="1" w:after="100" w:afterAutospacing="1"/>
        <w:contextualSpacing w:val="0"/>
        <w:jc w:val="both"/>
        <w:rPr>
          <w:rFonts w:asciiTheme="minorHAnsi" w:hAnsiTheme="minorHAnsi"/>
          <w:sz w:val="22"/>
          <w:szCs w:val="22"/>
        </w:rPr>
      </w:pPr>
      <w:r w:rsidRPr="00CB077C">
        <w:rPr>
          <w:rFonts w:asciiTheme="minorHAnsi" w:hAnsiTheme="minorHAnsi"/>
          <w:sz w:val="22"/>
          <w:szCs w:val="22"/>
        </w:rPr>
        <w:t>Additionally, TR data does not appear to flag and delineate package transactions which characterise the vast majority of wholesale FX markets</w:t>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 xml:space="preserve">The WMBA believes that the ESMA approach to FX forwards derives purely from the form of the TR data sets and is misguided. The nature of the categorisation which defines currency pairs as assets does not accord with risk management and trading across the industry which focuses upon each FX forward curve. Much of this misleading tone derives from the failure to designate forwards away from derivatives. Because the entirety of each forward curve is fungible via maturity transformation, it would appear to us to commend a broader categorisation of buckets in contrast to the more usual requirements towards greater granularity. </w:t>
      </w:r>
    </w:p>
    <w:p w:rsidR="00466ABE" w:rsidRPr="0072721E" w:rsidRDefault="00466ABE" w:rsidP="00CB077C">
      <w:pPr>
        <w:spacing w:before="100" w:beforeAutospacing="1" w:after="100" w:afterAutospacing="1"/>
        <w:jc w:val="both"/>
      </w:pPr>
      <w:r w:rsidRPr="00CB077C">
        <w:rPr>
          <w:rFonts w:asciiTheme="minorHAnsi" w:hAnsiTheme="minorHAnsi"/>
          <w:sz w:val="22"/>
          <w:szCs w:val="22"/>
        </w:rPr>
        <w:t xml:space="preserve">Clearly forward FX pairs are not commodities but rather future double entry balance sheet entries in the banking system. Therefore, these </w:t>
      </w:r>
      <w:r w:rsidRPr="00CB077C">
        <w:rPr>
          <w:rFonts w:asciiTheme="minorHAnsi" w:hAnsiTheme="minorHAnsi"/>
          <w:i/>
          <w:sz w:val="22"/>
          <w:szCs w:val="22"/>
        </w:rPr>
        <w:t>forward payments</w:t>
      </w:r>
      <w:r w:rsidRPr="00CB077C">
        <w:rPr>
          <w:rFonts w:asciiTheme="minorHAnsi" w:hAnsiTheme="minorHAnsi"/>
          <w:sz w:val="22"/>
          <w:szCs w:val="22"/>
        </w:rPr>
        <w:t xml:space="preserve"> are fungible and able to be recreated or synthesized from an unrelated set of cash flows. Because the liquidity framework needs to replicate risk management, we would replace the ESMA approach with single currency forward curves and remove reference to currency</w:t>
      </w:r>
      <w:r w:rsidRPr="0072721E">
        <w:t xml:space="preserve"> pairs, such simple forward currencies would cross reference to a basis translation from the associated forward interest rate curves. We would remind ESMA that currency pairs the remainder are ratios as opposed to instruments. Classification therefore should be forward currencies individually and in buckets.</w:t>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More generally the WMBA does not understand where ESMA finds the direct linkage between the MiFID definition of a ‘liquid market’ (Article 2(17</w:t>
      </w:r>
      <w:proofErr w:type="gramStart"/>
      <w:r w:rsidRPr="00CB077C">
        <w:rPr>
          <w:rFonts w:asciiTheme="minorHAnsi" w:hAnsiTheme="minorHAnsi"/>
          <w:sz w:val="22"/>
          <w:szCs w:val="22"/>
        </w:rPr>
        <w:t>)(</w:t>
      </w:r>
      <w:proofErr w:type="gramEnd"/>
      <w:r w:rsidRPr="00CB077C">
        <w:rPr>
          <w:rFonts w:asciiTheme="minorHAnsi" w:hAnsiTheme="minorHAnsi"/>
          <w:sz w:val="22"/>
          <w:szCs w:val="22"/>
        </w:rPr>
        <w:t xml:space="preserve">a) of MiFIR) which requires there to be “ready and willing buyers and sellers on a continuous basis”, and the joint observation of Eur500mm per day, 80% traded days and over 100 trades per day. Evidently the delineation of individual instruments within each class is important, as is the pre-trade liquidity accessible in the EU for each instrument. Given that the FX market is global in nature and forms the basis of the global payments system, resulting is a very large number of market participants, it does not appear to be particularly rewarding to attempt to divide and compartmentalise what is in effect a forward set of cash flows into global balance sheets. </w:t>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The outcomes could only be more fragmentation, compartmentalisation and geographical migration of business, which are each the opposite of systemic risk desires and operational efficiency. We would also therefore reiterate that the WMBA does not concur that forward payments (</w:t>
      </w:r>
      <w:r w:rsidRPr="00CB077C">
        <w:rPr>
          <w:rFonts w:asciiTheme="minorHAnsi" w:hAnsiTheme="minorHAnsi"/>
          <w:i/>
          <w:sz w:val="22"/>
          <w:szCs w:val="22"/>
        </w:rPr>
        <w:t>including the exchange of two different currencies on a specific future date at a fixed rate agreed upon on the inception of the contract covering that exchange</w:t>
      </w:r>
      <w:r w:rsidRPr="00CB077C">
        <w:rPr>
          <w:rFonts w:asciiTheme="minorHAnsi" w:hAnsiTheme="minorHAnsi"/>
          <w:sz w:val="22"/>
          <w:szCs w:val="22"/>
        </w:rPr>
        <w:t>) are financial instruments, albeit outside the scope of this reply.</w:t>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We recognise the willingness of ESMA to consider a great number of sub-classes for FX products. However, given the fact that payments are fungible and can be made globally, the arbitrate separation and segregation of forward cash flows appears to generate little benefit in the analysis and could result in the sorts of fragmentation that has plagued MiFID1 or the migration that has been a legacy to Dodd-Frank. In this way, and mindful of the ubiquity of packaged products, it would likely be better likely be better to make any assessments at the aggregate level of the FX derivatives asset class rather than at the level of each class or sub-class.</w:t>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The WMBA also notes that Spread Betting has been included as an asset class. Spread betting is not an instrument as such but is more akin to a transaction type and should be considered in that way. We therefore consider that the definition in RTS 9 should be amended to adequately reflect this.</w:t>
      </w:r>
    </w:p>
    <w:p w:rsidR="00466ABE" w:rsidRPr="00CB077C" w:rsidRDefault="00466ABE" w:rsidP="004052F8">
      <w:pPr>
        <w:pStyle w:val="ListParagraph"/>
        <w:numPr>
          <w:ilvl w:val="0"/>
          <w:numId w:val="49"/>
        </w:numPr>
        <w:spacing w:before="100" w:beforeAutospacing="1" w:after="100" w:afterAutospacing="1"/>
        <w:jc w:val="both"/>
        <w:rPr>
          <w:rFonts w:asciiTheme="minorHAnsi" w:hAnsiTheme="minorHAnsi"/>
          <w:b/>
          <w:sz w:val="22"/>
          <w:szCs w:val="22"/>
        </w:rPr>
      </w:pPr>
      <w:r w:rsidRPr="00CB077C">
        <w:rPr>
          <w:rFonts w:asciiTheme="minorHAnsi" w:hAnsiTheme="minorHAnsi"/>
          <w:b/>
          <w:sz w:val="22"/>
          <w:szCs w:val="22"/>
        </w:rPr>
        <w:t>Would you use different qualitative criteria to define the sub-classes?</w:t>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The WMBA would use different criteria to define the sub-classes.  Specifically, we would consider the ISDA FX taxonomy to accurately represent how the market trades FX through IDBs.  For non-spot trades, participants report this data under the ‘Product ID Value’ field to the TRs and we suggest that this data should be made available to ESMA for consideration.</w:t>
      </w:r>
    </w:p>
    <w:p w:rsidR="00466ABE" w:rsidRPr="00CB077C" w:rsidRDefault="00466ABE" w:rsidP="00CB077C">
      <w:pPr>
        <w:spacing w:before="100" w:beforeAutospacing="1" w:after="100" w:afterAutospacing="1"/>
        <w:jc w:val="both"/>
        <w:rPr>
          <w:rFonts w:asciiTheme="minorHAnsi" w:hAnsiTheme="minorHAnsi"/>
          <w:b/>
          <w:sz w:val="22"/>
          <w:szCs w:val="22"/>
        </w:rPr>
      </w:pPr>
      <w:r w:rsidRPr="00CB077C">
        <w:rPr>
          <w:rFonts w:asciiTheme="minorHAnsi" w:hAnsiTheme="minorHAnsi"/>
          <w:b/>
          <w:sz w:val="22"/>
          <w:szCs w:val="22"/>
        </w:rPr>
        <w:t xml:space="preserve">The ISDA FX taxonomy is as follows: </w:t>
      </w:r>
    </w:p>
    <w:p w:rsidR="00466ABE" w:rsidRPr="00CB077C" w:rsidRDefault="00466ABE" w:rsidP="004052F8">
      <w:pPr>
        <w:pStyle w:val="ListParagraph"/>
        <w:numPr>
          <w:ilvl w:val="0"/>
          <w:numId w:val="50"/>
        </w:numPr>
        <w:spacing w:before="100" w:beforeAutospacing="1" w:after="100" w:afterAutospacing="1"/>
        <w:ind w:hanging="371"/>
        <w:contextualSpacing w:val="0"/>
        <w:jc w:val="both"/>
        <w:rPr>
          <w:rFonts w:asciiTheme="minorHAnsi" w:hAnsiTheme="minorHAnsi"/>
          <w:sz w:val="22"/>
          <w:szCs w:val="22"/>
        </w:rPr>
      </w:pPr>
      <w:r w:rsidRPr="00CB077C">
        <w:rPr>
          <w:rFonts w:asciiTheme="minorHAnsi" w:hAnsiTheme="minorHAnsi"/>
          <w:sz w:val="22"/>
          <w:szCs w:val="22"/>
        </w:rPr>
        <w:t xml:space="preserve">FX spot </w:t>
      </w:r>
    </w:p>
    <w:p w:rsidR="00466ABE" w:rsidRPr="00CB077C" w:rsidRDefault="00466ABE" w:rsidP="004052F8">
      <w:pPr>
        <w:pStyle w:val="ListParagraph"/>
        <w:numPr>
          <w:ilvl w:val="0"/>
          <w:numId w:val="50"/>
        </w:numPr>
        <w:spacing w:before="100" w:beforeAutospacing="1" w:after="100" w:afterAutospacing="1"/>
        <w:ind w:hanging="371"/>
        <w:contextualSpacing w:val="0"/>
        <w:jc w:val="both"/>
        <w:rPr>
          <w:rFonts w:asciiTheme="minorHAnsi" w:hAnsiTheme="minorHAnsi"/>
          <w:sz w:val="22"/>
          <w:szCs w:val="22"/>
        </w:rPr>
      </w:pPr>
      <w:r w:rsidRPr="00CB077C">
        <w:rPr>
          <w:rFonts w:asciiTheme="minorHAnsi" w:hAnsiTheme="minorHAnsi"/>
          <w:sz w:val="22"/>
          <w:szCs w:val="22"/>
        </w:rPr>
        <w:t xml:space="preserve">FX NDF (non-deliverable forwards) (Product ID Value: </w:t>
      </w:r>
      <w:r w:rsidRPr="00CB077C">
        <w:rPr>
          <w:rFonts w:asciiTheme="minorHAnsi" w:hAnsiTheme="minorHAnsi"/>
          <w:i/>
          <w:sz w:val="22"/>
          <w:szCs w:val="22"/>
        </w:rPr>
        <w:t>Foreign Exchange: NDF</w:t>
      </w:r>
      <w:r w:rsidRPr="00CB077C">
        <w:rPr>
          <w:rFonts w:asciiTheme="minorHAnsi" w:hAnsiTheme="minorHAnsi"/>
          <w:sz w:val="22"/>
          <w:szCs w:val="22"/>
        </w:rPr>
        <w:t>)</w:t>
      </w:r>
    </w:p>
    <w:p w:rsidR="00466ABE" w:rsidRPr="00CB077C" w:rsidRDefault="00466ABE" w:rsidP="004052F8">
      <w:pPr>
        <w:pStyle w:val="ListParagraph"/>
        <w:numPr>
          <w:ilvl w:val="0"/>
          <w:numId w:val="50"/>
        </w:numPr>
        <w:spacing w:before="100" w:beforeAutospacing="1" w:after="100" w:afterAutospacing="1"/>
        <w:ind w:hanging="371"/>
        <w:contextualSpacing w:val="0"/>
        <w:jc w:val="both"/>
        <w:rPr>
          <w:rFonts w:asciiTheme="minorHAnsi" w:hAnsiTheme="minorHAnsi"/>
          <w:sz w:val="22"/>
          <w:szCs w:val="22"/>
        </w:rPr>
      </w:pPr>
      <w:r w:rsidRPr="00CB077C">
        <w:rPr>
          <w:rFonts w:asciiTheme="minorHAnsi" w:hAnsiTheme="minorHAnsi"/>
          <w:sz w:val="22"/>
          <w:szCs w:val="22"/>
        </w:rPr>
        <w:t xml:space="preserve">FX NDO (non-deliverable options) (Product ID Value: </w:t>
      </w:r>
      <w:r w:rsidRPr="00CB077C">
        <w:rPr>
          <w:rFonts w:asciiTheme="minorHAnsi" w:hAnsiTheme="minorHAnsi"/>
          <w:i/>
          <w:sz w:val="22"/>
          <w:szCs w:val="22"/>
        </w:rPr>
        <w:t>Foreign Exchange: NDO</w:t>
      </w:r>
      <w:r w:rsidRPr="00CB077C">
        <w:rPr>
          <w:rFonts w:asciiTheme="minorHAnsi" w:hAnsiTheme="minorHAnsi"/>
          <w:sz w:val="22"/>
          <w:szCs w:val="22"/>
        </w:rPr>
        <w:t>)</w:t>
      </w:r>
    </w:p>
    <w:p w:rsidR="00466ABE" w:rsidRPr="00CB077C" w:rsidRDefault="00466ABE" w:rsidP="004052F8">
      <w:pPr>
        <w:pStyle w:val="ListParagraph"/>
        <w:numPr>
          <w:ilvl w:val="0"/>
          <w:numId w:val="50"/>
        </w:numPr>
        <w:spacing w:before="100" w:beforeAutospacing="1" w:after="100" w:afterAutospacing="1"/>
        <w:ind w:hanging="371"/>
        <w:contextualSpacing w:val="0"/>
        <w:jc w:val="both"/>
        <w:rPr>
          <w:rFonts w:asciiTheme="minorHAnsi" w:hAnsiTheme="minorHAnsi"/>
          <w:sz w:val="22"/>
          <w:szCs w:val="22"/>
        </w:rPr>
      </w:pPr>
      <w:r w:rsidRPr="00CB077C">
        <w:rPr>
          <w:rFonts w:asciiTheme="minorHAnsi" w:hAnsiTheme="minorHAnsi"/>
          <w:sz w:val="22"/>
          <w:szCs w:val="22"/>
        </w:rPr>
        <w:t xml:space="preserve">FX forward (Product ID Value: Foreign Exchange: </w:t>
      </w:r>
      <w:r w:rsidRPr="00CB077C">
        <w:rPr>
          <w:rFonts w:asciiTheme="minorHAnsi" w:hAnsiTheme="minorHAnsi"/>
          <w:i/>
          <w:sz w:val="22"/>
          <w:szCs w:val="22"/>
        </w:rPr>
        <w:t>Forward</w:t>
      </w:r>
      <w:r w:rsidRPr="00CB077C">
        <w:rPr>
          <w:rFonts w:asciiTheme="minorHAnsi" w:hAnsiTheme="minorHAnsi"/>
          <w:sz w:val="22"/>
          <w:szCs w:val="22"/>
        </w:rPr>
        <w:t>)</w:t>
      </w:r>
    </w:p>
    <w:p w:rsidR="00466ABE" w:rsidRPr="00CB077C" w:rsidRDefault="00466ABE" w:rsidP="004052F8">
      <w:pPr>
        <w:pStyle w:val="ListParagraph"/>
        <w:numPr>
          <w:ilvl w:val="0"/>
          <w:numId w:val="50"/>
        </w:numPr>
        <w:spacing w:before="100" w:beforeAutospacing="1" w:after="100" w:afterAutospacing="1"/>
        <w:ind w:hanging="371"/>
        <w:contextualSpacing w:val="0"/>
        <w:jc w:val="both"/>
        <w:rPr>
          <w:rFonts w:asciiTheme="minorHAnsi" w:hAnsiTheme="minorHAnsi"/>
          <w:sz w:val="22"/>
          <w:szCs w:val="22"/>
        </w:rPr>
      </w:pPr>
      <w:r w:rsidRPr="00CB077C">
        <w:rPr>
          <w:rFonts w:asciiTheme="minorHAnsi" w:hAnsiTheme="minorHAnsi"/>
          <w:sz w:val="22"/>
          <w:szCs w:val="22"/>
        </w:rPr>
        <w:t xml:space="preserve">FX vanilla options (Product ID Value: Foreign Exchange: </w:t>
      </w:r>
      <w:r w:rsidRPr="00CB077C">
        <w:rPr>
          <w:rFonts w:asciiTheme="minorHAnsi" w:hAnsiTheme="minorHAnsi"/>
          <w:i/>
          <w:sz w:val="22"/>
          <w:szCs w:val="22"/>
        </w:rPr>
        <w:t>Vanilla Options</w:t>
      </w:r>
      <w:r w:rsidRPr="00CB077C">
        <w:rPr>
          <w:rFonts w:asciiTheme="minorHAnsi" w:hAnsiTheme="minorHAnsi"/>
          <w:sz w:val="22"/>
          <w:szCs w:val="22"/>
        </w:rPr>
        <w:t>)</w:t>
      </w:r>
    </w:p>
    <w:p w:rsidR="00466ABE" w:rsidRPr="00CB077C" w:rsidRDefault="00466ABE" w:rsidP="004052F8">
      <w:pPr>
        <w:pStyle w:val="ListParagraph"/>
        <w:numPr>
          <w:ilvl w:val="0"/>
          <w:numId w:val="50"/>
        </w:numPr>
        <w:spacing w:before="100" w:beforeAutospacing="1" w:after="100" w:afterAutospacing="1"/>
        <w:ind w:hanging="371"/>
        <w:contextualSpacing w:val="0"/>
        <w:jc w:val="both"/>
        <w:rPr>
          <w:rFonts w:asciiTheme="minorHAnsi" w:hAnsiTheme="minorHAnsi"/>
          <w:sz w:val="22"/>
          <w:szCs w:val="22"/>
        </w:rPr>
      </w:pPr>
      <w:r w:rsidRPr="00CB077C">
        <w:rPr>
          <w:rFonts w:asciiTheme="minorHAnsi" w:hAnsiTheme="minorHAnsi"/>
          <w:sz w:val="22"/>
          <w:szCs w:val="22"/>
        </w:rPr>
        <w:t xml:space="preserve">FX simple exotics (including barriers and digitals) (Product ID Value: Foreign Exchange: </w:t>
      </w:r>
      <w:r w:rsidRPr="00CB077C">
        <w:rPr>
          <w:rFonts w:asciiTheme="minorHAnsi" w:hAnsiTheme="minorHAnsi"/>
          <w:i/>
          <w:sz w:val="22"/>
          <w:szCs w:val="22"/>
        </w:rPr>
        <w:t>Simple-Exotic</w:t>
      </w:r>
      <w:r w:rsidRPr="00CB077C">
        <w:rPr>
          <w:rFonts w:asciiTheme="minorHAnsi" w:hAnsiTheme="minorHAnsi"/>
          <w:sz w:val="22"/>
          <w:szCs w:val="22"/>
        </w:rPr>
        <w:t>)</w:t>
      </w:r>
    </w:p>
    <w:p w:rsidR="00466ABE" w:rsidRPr="00CB077C" w:rsidRDefault="00466ABE" w:rsidP="004052F8">
      <w:pPr>
        <w:pStyle w:val="ListParagraph"/>
        <w:numPr>
          <w:ilvl w:val="0"/>
          <w:numId w:val="50"/>
        </w:numPr>
        <w:spacing w:before="100" w:beforeAutospacing="1" w:after="100" w:afterAutospacing="1"/>
        <w:ind w:hanging="371"/>
        <w:contextualSpacing w:val="0"/>
        <w:jc w:val="both"/>
        <w:rPr>
          <w:rFonts w:asciiTheme="minorHAnsi" w:hAnsiTheme="minorHAnsi"/>
          <w:sz w:val="22"/>
          <w:szCs w:val="22"/>
        </w:rPr>
      </w:pPr>
      <w:r w:rsidRPr="00CB077C">
        <w:rPr>
          <w:rFonts w:asciiTheme="minorHAnsi" w:hAnsiTheme="minorHAnsi"/>
          <w:sz w:val="22"/>
          <w:szCs w:val="22"/>
        </w:rPr>
        <w:t xml:space="preserve">FX complex exotics (Product ID Value: Foreign Exchange: </w:t>
      </w:r>
      <w:r w:rsidRPr="00CB077C">
        <w:rPr>
          <w:rFonts w:asciiTheme="minorHAnsi" w:hAnsiTheme="minorHAnsi"/>
          <w:i/>
          <w:sz w:val="22"/>
          <w:szCs w:val="22"/>
        </w:rPr>
        <w:t>Complex-Exotic</w:t>
      </w:r>
      <w:r w:rsidRPr="00CB077C">
        <w:rPr>
          <w:rFonts w:asciiTheme="minorHAnsi" w:hAnsiTheme="minorHAnsi"/>
          <w:sz w:val="22"/>
          <w:szCs w:val="22"/>
        </w:rPr>
        <w:t>)</w:t>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 xml:space="preserve">To reiterate here that the WMBA does not recognise </w:t>
      </w:r>
      <w:r w:rsidRPr="00CB077C">
        <w:rPr>
          <w:rFonts w:asciiTheme="minorHAnsi" w:hAnsiTheme="minorHAnsi"/>
          <w:i/>
          <w:sz w:val="22"/>
          <w:szCs w:val="22"/>
        </w:rPr>
        <w:t>FX Forwards</w:t>
      </w:r>
      <w:r w:rsidRPr="00CB077C">
        <w:rPr>
          <w:rFonts w:asciiTheme="minorHAnsi" w:hAnsiTheme="minorHAnsi"/>
          <w:sz w:val="22"/>
          <w:szCs w:val="22"/>
        </w:rPr>
        <w:t xml:space="preserve"> as analogues to </w:t>
      </w:r>
      <w:r w:rsidRPr="00CB077C">
        <w:rPr>
          <w:rFonts w:asciiTheme="minorHAnsi" w:hAnsiTheme="minorHAnsi"/>
          <w:i/>
          <w:sz w:val="22"/>
          <w:szCs w:val="22"/>
        </w:rPr>
        <w:t>Futures</w:t>
      </w:r>
      <w:r w:rsidRPr="00CB077C">
        <w:rPr>
          <w:rFonts w:asciiTheme="minorHAnsi" w:hAnsiTheme="minorHAnsi"/>
          <w:sz w:val="22"/>
          <w:szCs w:val="22"/>
        </w:rPr>
        <w:t xml:space="preserve"> and does not recognise </w:t>
      </w:r>
      <w:r w:rsidRPr="00CB077C">
        <w:rPr>
          <w:rFonts w:asciiTheme="minorHAnsi" w:hAnsiTheme="minorHAnsi"/>
          <w:i/>
          <w:sz w:val="22"/>
          <w:szCs w:val="22"/>
        </w:rPr>
        <w:t>Spread Betting</w:t>
      </w:r>
      <w:r w:rsidRPr="00CB077C">
        <w:rPr>
          <w:rFonts w:asciiTheme="minorHAnsi" w:hAnsiTheme="minorHAnsi"/>
          <w:sz w:val="22"/>
          <w:szCs w:val="22"/>
        </w:rPr>
        <w:t xml:space="preserve"> as part of the C4 perimeter.</w:t>
      </w:r>
    </w:p>
    <w:tbl>
      <w:tblPr>
        <w:tblW w:w="8874" w:type="dxa"/>
        <w:tblInd w:w="91" w:type="dxa"/>
        <w:tblLook w:val="04A0" w:firstRow="1" w:lastRow="0" w:firstColumn="1" w:lastColumn="0" w:noHBand="0" w:noVBand="1"/>
      </w:tblPr>
      <w:tblGrid>
        <w:gridCol w:w="2167"/>
        <w:gridCol w:w="1532"/>
        <w:gridCol w:w="2296"/>
        <w:gridCol w:w="2879"/>
      </w:tblGrid>
      <w:tr w:rsidR="00466ABE" w:rsidRPr="0072721E" w:rsidTr="00822471">
        <w:trPr>
          <w:trHeight w:val="283"/>
        </w:trPr>
        <w:tc>
          <w:tcPr>
            <w:tcW w:w="216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66ABE" w:rsidRPr="00466ABE" w:rsidRDefault="00466ABE" w:rsidP="00466ABE">
            <w:pPr>
              <w:spacing w:before="100" w:beforeAutospacing="1" w:after="100" w:afterAutospacing="1"/>
              <w:jc w:val="center"/>
              <w:rPr>
                <w:b/>
                <w:bCs/>
                <w:color w:val="000000"/>
                <w:sz w:val="18"/>
                <w:szCs w:val="18"/>
              </w:rPr>
            </w:pPr>
            <w:r w:rsidRPr="00466ABE">
              <w:rPr>
                <w:b/>
                <w:bCs/>
                <w:color w:val="000000"/>
                <w:sz w:val="18"/>
                <w:szCs w:val="18"/>
              </w:rPr>
              <w:t>Financial Instrument</w:t>
            </w:r>
          </w:p>
        </w:tc>
        <w:tc>
          <w:tcPr>
            <w:tcW w:w="1532" w:type="dxa"/>
            <w:tcBorders>
              <w:top w:val="single" w:sz="8" w:space="0" w:color="auto"/>
              <w:left w:val="nil"/>
              <w:bottom w:val="single" w:sz="8" w:space="0" w:color="auto"/>
              <w:right w:val="single" w:sz="8" w:space="0" w:color="auto"/>
            </w:tcBorders>
            <w:shd w:val="clear" w:color="000000" w:fill="FFFFFF"/>
            <w:noWrap/>
            <w:vAlign w:val="center"/>
            <w:hideMark/>
          </w:tcPr>
          <w:p w:rsidR="00466ABE" w:rsidRPr="00466ABE" w:rsidRDefault="00466ABE" w:rsidP="00466ABE">
            <w:pPr>
              <w:spacing w:before="100" w:beforeAutospacing="1" w:after="100" w:afterAutospacing="1"/>
              <w:jc w:val="center"/>
              <w:rPr>
                <w:b/>
                <w:bCs/>
                <w:color w:val="000000"/>
                <w:sz w:val="18"/>
                <w:szCs w:val="18"/>
              </w:rPr>
            </w:pPr>
            <w:r w:rsidRPr="00466ABE">
              <w:rPr>
                <w:b/>
                <w:bCs/>
                <w:color w:val="000000"/>
                <w:sz w:val="18"/>
                <w:szCs w:val="18"/>
              </w:rPr>
              <w:t>Product Types</w:t>
            </w:r>
          </w:p>
        </w:tc>
        <w:tc>
          <w:tcPr>
            <w:tcW w:w="2296" w:type="dxa"/>
            <w:tcBorders>
              <w:top w:val="single" w:sz="8" w:space="0" w:color="auto"/>
              <w:left w:val="nil"/>
              <w:bottom w:val="single" w:sz="8" w:space="0" w:color="auto"/>
              <w:right w:val="single" w:sz="8" w:space="0" w:color="auto"/>
            </w:tcBorders>
            <w:shd w:val="clear" w:color="000000" w:fill="FFFFFF"/>
            <w:noWrap/>
            <w:vAlign w:val="center"/>
            <w:hideMark/>
          </w:tcPr>
          <w:p w:rsidR="00466ABE" w:rsidRPr="00466ABE" w:rsidRDefault="00466ABE" w:rsidP="00466ABE">
            <w:pPr>
              <w:spacing w:before="100" w:beforeAutospacing="1" w:after="100" w:afterAutospacing="1"/>
              <w:jc w:val="center"/>
              <w:rPr>
                <w:b/>
                <w:bCs/>
                <w:color w:val="000000"/>
                <w:sz w:val="18"/>
                <w:szCs w:val="18"/>
              </w:rPr>
            </w:pPr>
            <w:r w:rsidRPr="00466ABE">
              <w:rPr>
                <w:b/>
                <w:bCs/>
                <w:color w:val="000000"/>
                <w:sz w:val="18"/>
                <w:szCs w:val="18"/>
              </w:rPr>
              <w:t>Sub-Product Types</w:t>
            </w:r>
          </w:p>
        </w:tc>
        <w:tc>
          <w:tcPr>
            <w:tcW w:w="2879" w:type="dxa"/>
            <w:tcBorders>
              <w:top w:val="single" w:sz="8" w:space="0" w:color="auto"/>
              <w:left w:val="nil"/>
              <w:bottom w:val="nil"/>
              <w:right w:val="single" w:sz="8" w:space="0" w:color="auto"/>
            </w:tcBorders>
            <w:shd w:val="clear" w:color="000000" w:fill="FFFFFF"/>
            <w:noWrap/>
            <w:vAlign w:val="center"/>
            <w:hideMark/>
          </w:tcPr>
          <w:p w:rsidR="00466ABE" w:rsidRPr="00466ABE" w:rsidRDefault="00466ABE" w:rsidP="00466ABE">
            <w:pPr>
              <w:spacing w:before="100" w:beforeAutospacing="1" w:after="100" w:afterAutospacing="1"/>
              <w:jc w:val="center"/>
              <w:rPr>
                <w:b/>
                <w:bCs/>
                <w:color w:val="000000"/>
                <w:sz w:val="18"/>
                <w:szCs w:val="18"/>
              </w:rPr>
            </w:pPr>
            <w:r w:rsidRPr="00466ABE">
              <w:rPr>
                <w:b/>
                <w:bCs/>
                <w:color w:val="000000"/>
                <w:sz w:val="18"/>
                <w:szCs w:val="18"/>
              </w:rPr>
              <w:t>Recommended Liquidity sub-categories</w:t>
            </w:r>
          </w:p>
        </w:tc>
      </w:tr>
      <w:tr w:rsidR="00466ABE" w:rsidRPr="0072721E" w:rsidTr="00822471">
        <w:trPr>
          <w:trHeight w:val="283"/>
        </w:trPr>
        <w:tc>
          <w:tcPr>
            <w:tcW w:w="216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466ABE" w:rsidRDefault="00466ABE" w:rsidP="00D81020">
            <w:pPr>
              <w:spacing w:before="100" w:beforeAutospacing="1" w:after="100" w:afterAutospacing="1"/>
              <w:jc w:val="center"/>
              <w:rPr>
                <w:color w:val="000000"/>
                <w:sz w:val="18"/>
                <w:szCs w:val="18"/>
              </w:rPr>
            </w:pPr>
            <w:r w:rsidRPr="00466ABE">
              <w:rPr>
                <w:color w:val="000000"/>
                <w:sz w:val="18"/>
                <w:szCs w:val="18"/>
              </w:rPr>
              <w:t xml:space="preserve">Foreign Exchange </w:t>
            </w:r>
          </w:p>
          <w:p w:rsidR="00466ABE" w:rsidRPr="00466ABE" w:rsidRDefault="00466ABE" w:rsidP="00D81020">
            <w:pPr>
              <w:spacing w:before="100" w:beforeAutospacing="1" w:after="100" w:afterAutospacing="1"/>
              <w:jc w:val="center"/>
              <w:rPr>
                <w:color w:val="000000"/>
                <w:sz w:val="18"/>
                <w:szCs w:val="18"/>
              </w:rPr>
            </w:pPr>
            <w:r w:rsidRPr="00466ABE">
              <w:rPr>
                <w:color w:val="000000"/>
                <w:sz w:val="18"/>
                <w:szCs w:val="18"/>
              </w:rPr>
              <w:t>Derivatives</w:t>
            </w:r>
          </w:p>
        </w:tc>
        <w:tc>
          <w:tcPr>
            <w:tcW w:w="1532" w:type="dxa"/>
            <w:tcBorders>
              <w:top w:val="nil"/>
              <w:left w:val="nil"/>
              <w:bottom w:val="single" w:sz="8" w:space="0" w:color="auto"/>
              <w:right w:val="single" w:sz="8" w:space="0" w:color="auto"/>
            </w:tcBorders>
            <w:shd w:val="clear" w:color="000000" w:fill="FFFFFF"/>
            <w:noWrap/>
            <w:vAlign w:val="center"/>
            <w:hideMark/>
          </w:tcPr>
          <w:p w:rsidR="00466ABE" w:rsidRPr="00466ABE" w:rsidRDefault="00466ABE" w:rsidP="00D81020">
            <w:pPr>
              <w:spacing w:before="100" w:beforeAutospacing="1" w:after="100" w:afterAutospacing="1"/>
              <w:jc w:val="center"/>
              <w:rPr>
                <w:color w:val="000000"/>
                <w:sz w:val="18"/>
                <w:szCs w:val="18"/>
              </w:rPr>
            </w:pPr>
            <w:r w:rsidRPr="00466ABE">
              <w:rPr>
                <w:color w:val="000000"/>
                <w:sz w:val="18"/>
                <w:szCs w:val="18"/>
              </w:rPr>
              <w:t>Futures</w:t>
            </w:r>
          </w:p>
        </w:tc>
        <w:tc>
          <w:tcPr>
            <w:tcW w:w="2296" w:type="dxa"/>
            <w:tcBorders>
              <w:top w:val="nil"/>
              <w:left w:val="nil"/>
              <w:bottom w:val="single" w:sz="8" w:space="0" w:color="auto"/>
              <w:right w:val="nil"/>
            </w:tcBorders>
            <w:shd w:val="clear" w:color="000000" w:fill="FFFFFF"/>
            <w:vAlign w:val="center"/>
            <w:hideMark/>
          </w:tcPr>
          <w:p w:rsidR="00466ABE" w:rsidRPr="00466ABE" w:rsidRDefault="00466ABE" w:rsidP="00D81020">
            <w:pPr>
              <w:spacing w:before="100" w:beforeAutospacing="1" w:after="100" w:afterAutospacing="1"/>
              <w:jc w:val="center"/>
              <w:rPr>
                <w:color w:val="000000"/>
                <w:sz w:val="18"/>
                <w:szCs w:val="18"/>
              </w:rPr>
            </w:pPr>
            <w:r w:rsidRPr="00466ABE">
              <w:rPr>
                <w:color w:val="000000"/>
                <w:sz w:val="18"/>
                <w:szCs w:val="18"/>
              </w:rPr>
              <w:t>N/A</w:t>
            </w:r>
          </w:p>
        </w:tc>
        <w:tc>
          <w:tcPr>
            <w:tcW w:w="2879" w:type="dxa"/>
            <w:tcBorders>
              <w:top w:val="single" w:sz="8" w:space="0" w:color="auto"/>
              <w:left w:val="single" w:sz="8" w:space="0" w:color="auto"/>
              <w:bottom w:val="nil"/>
              <w:right w:val="single" w:sz="8" w:space="0" w:color="auto"/>
            </w:tcBorders>
            <w:shd w:val="clear" w:color="000000" w:fill="FFFFFF"/>
            <w:noWrap/>
            <w:vAlign w:val="center"/>
            <w:hideMark/>
          </w:tcPr>
          <w:p w:rsidR="00466ABE" w:rsidRPr="00466ABE" w:rsidRDefault="00466ABE" w:rsidP="00D81020">
            <w:pPr>
              <w:spacing w:before="100" w:beforeAutospacing="1" w:after="100" w:afterAutospacing="1"/>
              <w:rPr>
                <w:color w:val="000000"/>
                <w:sz w:val="18"/>
                <w:szCs w:val="18"/>
              </w:rPr>
            </w:pPr>
            <w:r w:rsidRPr="00466ABE">
              <w:rPr>
                <w:color w:val="000000"/>
                <w:sz w:val="18"/>
                <w:szCs w:val="18"/>
              </w:rPr>
              <w:t> </w:t>
            </w:r>
          </w:p>
        </w:tc>
      </w:tr>
      <w:tr w:rsidR="00466ABE" w:rsidRPr="0072721E" w:rsidTr="00822471">
        <w:trPr>
          <w:trHeight w:val="1632"/>
        </w:trPr>
        <w:tc>
          <w:tcPr>
            <w:tcW w:w="2167" w:type="dxa"/>
            <w:vMerge/>
            <w:tcBorders>
              <w:top w:val="nil"/>
              <w:left w:val="single" w:sz="8" w:space="0" w:color="auto"/>
              <w:bottom w:val="single" w:sz="8" w:space="0" w:color="000000"/>
              <w:right w:val="single" w:sz="8" w:space="0" w:color="auto"/>
            </w:tcBorders>
            <w:vAlign w:val="center"/>
            <w:hideMark/>
          </w:tcPr>
          <w:p w:rsidR="00466ABE" w:rsidRPr="00466ABE" w:rsidRDefault="00466ABE" w:rsidP="00D81020">
            <w:pPr>
              <w:spacing w:before="100" w:beforeAutospacing="1" w:after="100" w:afterAutospacing="1"/>
              <w:jc w:val="center"/>
              <w:rPr>
                <w:color w:val="000000"/>
                <w:sz w:val="18"/>
                <w:szCs w:val="18"/>
              </w:rPr>
            </w:pPr>
          </w:p>
        </w:tc>
        <w:tc>
          <w:tcPr>
            <w:tcW w:w="153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466ABE" w:rsidRPr="00466ABE" w:rsidRDefault="00466ABE" w:rsidP="00D81020">
            <w:pPr>
              <w:spacing w:before="100" w:beforeAutospacing="1" w:after="100" w:afterAutospacing="1"/>
              <w:jc w:val="center"/>
              <w:rPr>
                <w:color w:val="000000"/>
                <w:sz w:val="18"/>
                <w:szCs w:val="18"/>
              </w:rPr>
            </w:pPr>
            <w:r w:rsidRPr="00466ABE">
              <w:rPr>
                <w:color w:val="000000"/>
                <w:sz w:val="18"/>
                <w:szCs w:val="18"/>
              </w:rPr>
              <w:t>Options</w:t>
            </w:r>
          </w:p>
        </w:tc>
        <w:tc>
          <w:tcPr>
            <w:tcW w:w="2296" w:type="dxa"/>
            <w:tcBorders>
              <w:top w:val="nil"/>
              <w:left w:val="nil"/>
              <w:bottom w:val="single" w:sz="8" w:space="0" w:color="auto"/>
              <w:right w:val="nil"/>
            </w:tcBorders>
            <w:shd w:val="clear" w:color="000000" w:fill="FFFFFF"/>
            <w:vAlign w:val="center"/>
            <w:hideMark/>
          </w:tcPr>
          <w:p w:rsidR="00466ABE" w:rsidRPr="00466ABE" w:rsidRDefault="00466ABE" w:rsidP="00D81020">
            <w:pPr>
              <w:spacing w:before="100" w:beforeAutospacing="1" w:after="100" w:afterAutospacing="1"/>
              <w:jc w:val="center"/>
              <w:rPr>
                <w:color w:val="000000"/>
                <w:sz w:val="18"/>
                <w:szCs w:val="18"/>
              </w:rPr>
            </w:pPr>
            <w:r w:rsidRPr="00466ABE">
              <w:rPr>
                <w:color w:val="000000"/>
                <w:sz w:val="18"/>
                <w:szCs w:val="18"/>
              </w:rPr>
              <w:t>Non-Deliverable Option - NDO (only European type options are NDO - not any other FX options settled in non-deliverable currency)</w:t>
            </w:r>
          </w:p>
        </w:tc>
        <w:tc>
          <w:tcPr>
            <w:tcW w:w="2879" w:type="dxa"/>
            <w:tcBorders>
              <w:top w:val="nil"/>
              <w:left w:val="single" w:sz="8" w:space="0" w:color="auto"/>
              <w:bottom w:val="nil"/>
              <w:right w:val="single" w:sz="8" w:space="0" w:color="auto"/>
            </w:tcBorders>
            <w:shd w:val="clear" w:color="000000" w:fill="FFFFFF"/>
            <w:noWrap/>
            <w:vAlign w:val="center"/>
            <w:hideMark/>
          </w:tcPr>
          <w:p w:rsidR="00466ABE" w:rsidRPr="00466ABE" w:rsidRDefault="00466ABE" w:rsidP="00D81020">
            <w:pPr>
              <w:spacing w:before="100" w:beforeAutospacing="1" w:after="100" w:afterAutospacing="1"/>
              <w:rPr>
                <w:color w:val="000000"/>
                <w:sz w:val="18"/>
                <w:szCs w:val="18"/>
              </w:rPr>
            </w:pPr>
            <w:r w:rsidRPr="00466ABE">
              <w:rPr>
                <w:color w:val="000000"/>
                <w:sz w:val="18"/>
                <w:szCs w:val="18"/>
              </w:rPr>
              <w:t>Currency Pair</w:t>
            </w:r>
          </w:p>
        </w:tc>
      </w:tr>
      <w:tr w:rsidR="00466ABE" w:rsidRPr="0072721E" w:rsidTr="00822471">
        <w:trPr>
          <w:trHeight w:val="620"/>
        </w:trPr>
        <w:tc>
          <w:tcPr>
            <w:tcW w:w="2167" w:type="dxa"/>
            <w:vMerge/>
            <w:tcBorders>
              <w:top w:val="nil"/>
              <w:left w:val="single" w:sz="8" w:space="0" w:color="auto"/>
              <w:bottom w:val="single" w:sz="8" w:space="0" w:color="000000"/>
              <w:right w:val="single" w:sz="8" w:space="0" w:color="auto"/>
            </w:tcBorders>
            <w:vAlign w:val="center"/>
            <w:hideMark/>
          </w:tcPr>
          <w:p w:rsidR="00466ABE" w:rsidRPr="00466ABE" w:rsidRDefault="00466ABE" w:rsidP="00D81020">
            <w:pPr>
              <w:spacing w:before="100" w:beforeAutospacing="1" w:after="100" w:afterAutospacing="1"/>
              <w:jc w:val="center"/>
              <w:rPr>
                <w:color w:val="000000"/>
                <w:sz w:val="18"/>
                <w:szCs w:val="18"/>
              </w:rPr>
            </w:pPr>
          </w:p>
        </w:tc>
        <w:tc>
          <w:tcPr>
            <w:tcW w:w="1532" w:type="dxa"/>
            <w:vMerge/>
            <w:tcBorders>
              <w:top w:val="nil"/>
              <w:left w:val="single" w:sz="8" w:space="0" w:color="auto"/>
              <w:bottom w:val="single" w:sz="8" w:space="0" w:color="000000"/>
              <w:right w:val="single" w:sz="8" w:space="0" w:color="auto"/>
            </w:tcBorders>
            <w:vAlign w:val="center"/>
            <w:hideMark/>
          </w:tcPr>
          <w:p w:rsidR="00466ABE" w:rsidRPr="00466ABE" w:rsidRDefault="00466ABE" w:rsidP="00D81020">
            <w:pPr>
              <w:spacing w:before="100" w:beforeAutospacing="1" w:after="100" w:afterAutospacing="1"/>
              <w:jc w:val="center"/>
              <w:rPr>
                <w:color w:val="000000"/>
                <w:sz w:val="18"/>
                <w:szCs w:val="18"/>
              </w:rPr>
            </w:pPr>
          </w:p>
        </w:tc>
        <w:tc>
          <w:tcPr>
            <w:tcW w:w="2296" w:type="dxa"/>
            <w:tcBorders>
              <w:top w:val="nil"/>
              <w:left w:val="nil"/>
              <w:bottom w:val="single" w:sz="8" w:space="0" w:color="auto"/>
              <w:right w:val="nil"/>
            </w:tcBorders>
            <w:shd w:val="clear" w:color="000000" w:fill="FFFFFF"/>
            <w:vAlign w:val="center"/>
            <w:hideMark/>
          </w:tcPr>
          <w:p w:rsidR="00466ABE" w:rsidRPr="00466ABE" w:rsidRDefault="00466ABE" w:rsidP="00D81020">
            <w:pPr>
              <w:spacing w:before="100" w:beforeAutospacing="1" w:after="100" w:afterAutospacing="1"/>
              <w:jc w:val="center"/>
              <w:rPr>
                <w:color w:val="000000"/>
                <w:sz w:val="18"/>
                <w:szCs w:val="18"/>
              </w:rPr>
            </w:pPr>
            <w:r w:rsidRPr="00466ABE">
              <w:rPr>
                <w:color w:val="000000"/>
                <w:sz w:val="18"/>
                <w:szCs w:val="18"/>
              </w:rPr>
              <w:t>Vanilla Option (European and American)</w:t>
            </w:r>
          </w:p>
        </w:tc>
        <w:tc>
          <w:tcPr>
            <w:tcW w:w="2879" w:type="dxa"/>
            <w:tcBorders>
              <w:top w:val="nil"/>
              <w:left w:val="single" w:sz="8" w:space="0" w:color="auto"/>
              <w:bottom w:val="nil"/>
              <w:right w:val="single" w:sz="8" w:space="0" w:color="auto"/>
            </w:tcBorders>
            <w:shd w:val="clear" w:color="000000" w:fill="FFFFFF"/>
            <w:noWrap/>
            <w:vAlign w:val="center"/>
            <w:hideMark/>
          </w:tcPr>
          <w:p w:rsidR="00466ABE" w:rsidRPr="00466ABE" w:rsidRDefault="00466ABE" w:rsidP="00D81020">
            <w:pPr>
              <w:spacing w:before="100" w:beforeAutospacing="1" w:after="100" w:afterAutospacing="1"/>
              <w:rPr>
                <w:color w:val="000000"/>
                <w:sz w:val="18"/>
                <w:szCs w:val="18"/>
              </w:rPr>
            </w:pPr>
            <w:r w:rsidRPr="00466ABE">
              <w:rPr>
                <w:color w:val="000000"/>
                <w:sz w:val="18"/>
                <w:szCs w:val="18"/>
              </w:rPr>
              <w:t>Maturity</w:t>
            </w:r>
          </w:p>
        </w:tc>
      </w:tr>
      <w:tr w:rsidR="00466ABE" w:rsidRPr="0072721E" w:rsidTr="00822471">
        <w:trPr>
          <w:trHeight w:val="418"/>
        </w:trPr>
        <w:tc>
          <w:tcPr>
            <w:tcW w:w="2167" w:type="dxa"/>
            <w:vMerge/>
            <w:tcBorders>
              <w:top w:val="nil"/>
              <w:left w:val="single" w:sz="8" w:space="0" w:color="auto"/>
              <w:bottom w:val="single" w:sz="8" w:space="0" w:color="000000"/>
              <w:right w:val="single" w:sz="8" w:space="0" w:color="auto"/>
            </w:tcBorders>
            <w:vAlign w:val="center"/>
            <w:hideMark/>
          </w:tcPr>
          <w:p w:rsidR="00466ABE" w:rsidRPr="00466ABE" w:rsidRDefault="00466ABE" w:rsidP="00D81020">
            <w:pPr>
              <w:spacing w:before="100" w:beforeAutospacing="1" w:after="100" w:afterAutospacing="1"/>
              <w:jc w:val="center"/>
              <w:rPr>
                <w:color w:val="000000"/>
                <w:sz w:val="18"/>
                <w:szCs w:val="18"/>
              </w:rPr>
            </w:pPr>
          </w:p>
        </w:tc>
        <w:tc>
          <w:tcPr>
            <w:tcW w:w="153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466ABE" w:rsidRPr="00466ABE" w:rsidRDefault="00466ABE" w:rsidP="00D81020">
            <w:pPr>
              <w:spacing w:before="100" w:beforeAutospacing="1" w:after="100" w:afterAutospacing="1"/>
              <w:jc w:val="center"/>
              <w:rPr>
                <w:color w:val="000000"/>
                <w:sz w:val="18"/>
                <w:szCs w:val="18"/>
              </w:rPr>
            </w:pPr>
            <w:r w:rsidRPr="00466ABE">
              <w:rPr>
                <w:color w:val="000000"/>
                <w:sz w:val="18"/>
                <w:szCs w:val="18"/>
              </w:rPr>
              <w:t>Forwards</w:t>
            </w:r>
          </w:p>
        </w:tc>
        <w:tc>
          <w:tcPr>
            <w:tcW w:w="2296" w:type="dxa"/>
            <w:tcBorders>
              <w:top w:val="nil"/>
              <w:left w:val="nil"/>
              <w:bottom w:val="single" w:sz="8" w:space="0" w:color="auto"/>
              <w:right w:val="nil"/>
            </w:tcBorders>
            <w:shd w:val="clear" w:color="000000" w:fill="FFFF00"/>
            <w:vAlign w:val="center"/>
            <w:hideMark/>
          </w:tcPr>
          <w:p w:rsidR="00466ABE" w:rsidRDefault="00466ABE" w:rsidP="00D81020">
            <w:pPr>
              <w:spacing w:before="100" w:beforeAutospacing="1" w:after="100" w:afterAutospacing="1"/>
              <w:jc w:val="center"/>
              <w:rPr>
                <w:color w:val="000000"/>
                <w:sz w:val="18"/>
                <w:szCs w:val="18"/>
              </w:rPr>
            </w:pPr>
            <w:r w:rsidRPr="00466ABE">
              <w:rPr>
                <w:color w:val="000000"/>
                <w:sz w:val="18"/>
                <w:szCs w:val="18"/>
              </w:rPr>
              <w:t xml:space="preserve">Deliverable </w:t>
            </w:r>
          </w:p>
          <w:p w:rsidR="00466ABE" w:rsidRPr="00466ABE" w:rsidRDefault="00466ABE" w:rsidP="00D81020">
            <w:pPr>
              <w:spacing w:before="100" w:beforeAutospacing="1" w:after="100" w:afterAutospacing="1"/>
              <w:jc w:val="center"/>
              <w:rPr>
                <w:color w:val="000000"/>
                <w:sz w:val="18"/>
                <w:szCs w:val="18"/>
              </w:rPr>
            </w:pPr>
            <w:r w:rsidRPr="00466ABE">
              <w:rPr>
                <w:color w:val="000000"/>
                <w:sz w:val="18"/>
                <w:szCs w:val="18"/>
              </w:rPr>
              <w:t>Forward</w:t>
            </w:r>
          </w:p>
        </w:tc>
        <w:tc>
          <w:tcPr>
            <w:tcW w:w="2879" w:type="dxa"/>
            <w:tcBorders>
              <w:top w:val="nil"/>
              <w:left w:val="single" w:sz="8" w:space="0" w:color="auto"/>
              <w:bottom w:val="nil"/>
              <w:right w:val="single" w:sz="8" w:space="0" w:color="auto"/>
            </w:tcBorders>
            <w:shd w:val="clear" w:color="000000" w:fill="FFFFFF"/>
            <w:noWrap/>
            <w:vAlign w:val="center"/>
            <w:hideMark/>
          </w:tcPr>
          <w:p w:rsidR="00466ABE" w:rsidRPr="00466ABE" w:rsidRDefault="00466ABE" w:rsidP="00D81020">
            <w:pPr>
              <w:spacing w:before="100" w:beforeAutospacing="1" w:after="100" w:afterAutospacing="1"/>
              <w:rPr>
                <w:color w:val="000000"/>
                <w:sz w:val="18"/>
                <w:szCs w:val="18"/>
              </w:rPr>
            </w:pPr>
            <w:r w:rsidRPr="00466ABE">
              <w:rPr>
                <w:color w:val="000000"/>
                <w:sz w:val="18"/>
                <w:szCs w:val="18"/>
              </w:rPr>
              <w:t> </w:t>
            </w:r>
          </w:p>
        </w:tc>
      </w:tr>
      <w:tr w:rsidR="00466ABE" w:rsidRPr="0072721E" w:rsidTr="00822471">
        <w:trPr>
          <w:trHeight w:val="283"/>
        </w:trPr>
        <w:tc>
          <w:tcPr>
            <w:tcW w:w="2167" w:type="dxa"/>
            <w:vMerge/>
            <w:tcBorders>
              <w:top w:val="nil"/>
              <w:left w:val="single" w:sz="8" w:space="0" w:color="auto"/>
              <w:bottom w:val="single" w:sz="8" w:space="0" w:color="000000"/>
              <w:right w:val="single" w:sz="8" w:space="0" w:color="auto"/>
            </w:tcBorders>
            <w:vAlign w:val="center"/>
            <w:hideMark/>
          </w:tcPr>
          <w:p w:rsidR="00466ABE" w:rsidRPr="00466ABE" w:rsidRDefault="00466ABE" w:rsidP="00D81020">
            <w:pPr>
              <w:spacing w:before="100" w:beforeAutospacing="1" w:after="100" w:afterAutospacing="1"/>
              <w:jc w:val="center"/>
              <w:rPr>
                <w:color w:val="000000"/>
                <w:sz w:val="18"/>
                <w:szCs w:val="18"/>
              </w:rPr>
            </w:pPr>
          </w:p>
        </w:tc>
        <w:tc>
          <w:tcPr>
            <w:tcW w:w="1532" w:type="dxa"/>
            <w:vMerge/>
            <w:tcBorders>
              <w:top w:val="nil"/>
              <w:left w:val="single" w:sz="8" w:space="0" w:color="auto"/>
              <w:bottom w:val="single" w:sz="8" w:space="0" w:color="000000"/>
              <w:right w:val="single" w:sz="8" w:space="0" w:color="auto"/>
            </w:tcBorders>
            <w:vAlign w:val="center"/>
            <w:hideMark/>
          </w:tcPr>
          <w:p w:rsidR="00466ABE" w:rsidRPr="00466ABE" w:rsidRDefault="00466ABE" w:rsidP="00D81020">
            <w:pPr>
              <w:spacing w:before="100" w:beforeAutospacing="1" w:after="100" w:afterAutospacing="1"/>
              <w:jc w:val="center"/>
              <w:rPr>
                <w:color w:val="000000"/>
                <w:sz w:val="18"/>
                <w:szCs w:val="18"/>
              </w:rPr>
            </w:pPr>
          </w:p>
        </w:tc>
        <w:tc>
          <w:tcPr>
            <w:tcW w:w="2296" w:type="dxa"/>
            <w:tcBorders>
              <w:top w:val="nil"/>
              <w:left w:val="nil"/>
              <w:bottom w:val="single" w:sz="8" w:space="0" w:color="auto"/>
              <w:right w:val="nil"/>
            </w:tcBorders>
            <w:shd w:val="clear" w:color="000000" w:fill="FFFFFF"/>
            <w:vAlign w:val="center"/>
            <w:hideMark/>
          </w:tcPr>
          <w:p w:rsidR="00466ABE" w:rsidRPr="00466ABE" w:rsidRDefault="00466ABE" w:rsidP="00D81020">
            <w:pPr>
              <w:spacing w:before="100" w:beforeAutospacing="1" w:after="100" w:afterAutospacing="1"/>
              <w:jc w:val="center"/>
              <w:rPr>
                <w:color w:val="000000"/>
                <w:sz w:val="18"/>
                <w:szCs w:val="18"/>
              </w:rPr>
            </w:pPr>
            <w:r w:rsidRPr="00466ABE">
              <w:rPr>
                <w:color w:val="000000"/>
                <w:sz w:val="18"/>
                <w:szCs w:val="18"/>
              </w:rPr>
              <w:t>NDF</w:t>
            </w:r>
          </w:p>
        </w:tc>
        <w:tc>
          <w:tcPr>
            <w:tcW w:w="2879" w:type="dxa"/>
            <w:tcBorders>
              <w:top w:val="nil"/>
              <w:left w:val="single" w:sz="8" w:space="0" w:color="auto"/>
              <w:bottom w:val="nil"/>
              <w:right w:val="single" w:sz="8" w:space="0" w:color="auto"/>
            </w:tcBorders>
            <w:shd w:val="clear" w:color="000000" w:fill="FFFFFF"/>
            <w:noWrap/>
            <w:vAlign w:val="center"/>
            <w:hideMark/>
          </w:tcPr>
          <w:p w:rsidR="00466ABE" w:rsidRPr="00466ABE" w:rsidRDefault="00466ABE" w:rsidP="00D81020">
            <w:pPr>
              <w:spacing w:before="100" w:beforeAutospacing="1" w:after="100" w:afterAutospacing="1"/>
              <w:rPr>
                <w:color w:val="000000"/>
                <w:sz w:val="18"/>
                <w:szCs w:val="18"/>
              </w:rPr>
            </w:pPr>
            <w:r w:rsidRPr="00466ABE">
              <w:rPr>
                <w:color w:val="000000"/>
                <w:sz w:val="18"/>
                <w:szCs w:val="18"/>
              </w:rPr>
              <w:t> </w:t>
            </w:r>
          </w:p>
        </w:tc>
      </w:tr>
      <w:tr w:rsidR="00466ABE" w:rsidRPr="0072721E" w:rsidTr="00822471">
        <w:trPr>
          <w:trHeight w:val="283"/>
        </w:trPr>
        <w:tc>
          <w:tcPr>
            <w:tcW w:w="2167" w:type="dxa"/>
            <w:vMerge/>
            <w:tcBorders>
              <w:top w:val="nil"/>
              <w:left w:val="single" w:sz="8" w:space="0" w:color="auto"/>
              <w:bottom w:val="single" w:sz="8" w:space="0" w:color="000000"/>
              <w:right w:val="single" w:sz="8" w:space="0" w:color="auto"/>
            </w:tcBorders>
            <w:vAlign w:val="center"/>
            <w:hideMark/>
          </w:tcPr>
          <w:p w:rsidR="00466ABE" w:rsidRPr="00466ABE" w:rsidRDefault="00466ABE" w:rsidP="00D81020">
            <w:pPr>
              <w:spacing w:before="100" w:beforeAutospacing="1" w:after="100" w:afterAutospacing="1"/>
              <w:jc w:val="center"/>
              <w:rPr>
                <w:color w:val="000000"/>
                <w:sz w:val="18"/>
                <w:szCs w:val="18"/>
              </w:rPr>
            </w:pPr>
          </w:p>
        </w:tc>
        <w:tc>
          <w:tcPr>
            <w:tcW w:w="153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466ABE" w:rsidRPr="00466ABE" w:rsidRDefault="00466ABE" w:rsidP="00D81020">
            <w:pPr>
              <w:spacing w:before="100" w:beforeAutospacing="1" w:after="100" w:afterAutospacing="1"/>
              <w:jc w:val="center"/>
              <w:rPr>
                <w:color w:val="000000"/>
                <w:sz w:val="18"/>
                <w:szCs w:val="18"/>
              </w:rPr>
            </w:pPr>
            <w:r w:rsidRPr="00466ABE">
              <w:rPr>
                <w:color w:val="000000"/>
                <w:sz w:val="18"/>
                <w:szCs w:val="18"/>
              </w:rPr>
              <w:t>FX Swaps</w:t>
            </w:r>
          </w:p>
        </w:tc>
        <w:tc>
          <w:tcPr>
            <w:tcW w:w="2296" w:type="dxa"/>
            <w:tcBorders>
              <w:top w:val="nil"/>
              <w:left w:val="nil"/>
              <w:bottom w:val="single" w:sz="8" w:space="0" w:color="auto"/>
              <w:right w:val="nil"/>
            </w:tcBorders>
            <w:shd w:val="clear" w:color="000000" w:fill="FFFF00"/>
            <w:vAlign w:val="center"/>
            <w:hideMark/>
          </w:tcPr>
          <w:p w:rsidR="00466ABE" w:rsidRPr="00466ABE" w:rsidRDefault="00466ABE" w:rsidP="00D81020">
            <w:pPr>
              <w:spacing w:before="100" w:beforeAutospacing="1" w:after="100" w:afterAutospacing="1"/>
              <w:jc w:val="center"/>
              <w:rPr>
                <w:color w:val="000000"/>
                <w:sz w:val="18"/>
                <w:szCs w:val="18"/>
              </w:rPr>
            </w:pPr>
            <w:r w:rsidRPr="00466ABE">
              <w:rPr>
                <w:color w:val="000000"/>
                <w:sz w:val="18"/>
                <w:szCs w:val="18"/>
              </w:rPr>
              <w:t>Deliverable FX Swap</w:t>
            </w:r>
          </w:p>
        </w:tc>
        <w:tc>
          <w:tcPr>
            <w:tcW w:w="2879" w:type="dxa"/>
            <w:tcBorders>
              <w:top w:val="nil"/>
              <w:left w:val="single" w:sz="8" w:space="0" w:color="auto"/>
              <w:bottom w:val="nil"/>
              <w:right w:val="single" w:sz="8" w:space="0" w:color="auto"/>
            </w:tcBorders>
            <w:shd w:val="clear" w:color="000000" w:fill="FFFFFF"/>
            <w:noWrap/>
            <w:vAlign w:val="center"/>
            <w:hideMark/>
          </w:tcPr>
          <w:p w:rsidR="00466ABE" w:rsidRPr="00466ABE" w:rsidRDefault="00466ABE" w:rsidP="00D81020">
            <w:pPr>
              <w:spacing w:before="100" w:beforeAutospacing="1" w:after="100" w:afterAutospacing="1"/>
              <w:rPr>
                <w:color w:val="000000"/>
                <w:sz w:val="18"/>
                <w:szCs w:val="18"/>
              </w:rPr>
            </w:pPr>
            <w:r w:rsidRPr="00466ABE">
              <w:rPr>
                <w:color w:val="000000"/>
                <w:sz w:val="18"/>
                <w:szCs w:val="18"/>
              </w:rPr>
              <w:t> </w:t>
            </w:r>
          </w:p>
        </w:tc>
      </w:tr>
      <w:tr w:rsidR="00466ABE" w:rsidRPr="0072721E" w:rsidTr="00822471">
        <w:trPr>
          <w:trHeight w:val="418"/>
        </w:trPr>
        <w:tc>
          <w:tcPr>
            <w:tcW w:w="2167" w:type="dxa"/>
            <w:vMerge/>
            <w:tcBorders>
              <w:top w:val="nil"/>
              <w:left w:val="single" w:sz="8" w:space="0" w:color="auto"/>
              <w:bottom w:val="single" w:sz="8" w:space="0" w:color="000000"/>
              <w:right w:val="single" w:sz="8" w:space="0" w:color="auto"/>
            </w:tcBorders>
            <w:vAlign w:val="center"/>
            <w:hideMark/>
          </w:tcPr>
          <w:p w:rsidR="00466ABE" w:rsidRPr="00466ABE" w:rsidRDefault="00466ABE" w:rsidP="00D81020">
            <w:pPr>
              <w:spacing w:before="100" w:beforeAutospacing="1" w:after="100" w:afterAutospacing="1"/>
              <w:jc w:val="center"/>
              <w:rPr>
                <w:color w:val="000000"/>
                <w:sz w:val="18"/>
                <w:szCs w:val="18"/>
              </w:rPr>
            </w:pPr>
          </w:p>
        </w:tc>
        <w:tc>
          <w:tcPr>
            <w:tcW w:w="1532" w:type="dxa"/>
            <w:vMerge/>
            <w:tcBorders>
              <w:top w:val="nil"/>
              <w:left w:val="single" w:sz="8" w:space="0" w:color="auto"/>
              <w:bottom w:val="single" w:sz="8" w:space="0" w:color="000000"/>
              <w:right w:val="single" w:sz="8" w:space="0" w:color="auto"/>
            </w:tcBorders>
            <w:vAlign w:val="center"/>
            <w:hideMark/>
          </w:tcPr>
          <w:p w:rsidR="00466ABE" w:rsidRPr="00466ABE" w:rsidRDefault="00466ABE" w:rsidP="00D81020">
            <w:pPr>
              <w:spacing w:before="100" w:beforeAutospacing="1" w:after="100" w:afterAutospacing="1"/>
              <w:jc w:val="center"/>
              <w:rPr>
                <w:color w:val="000000"/>
                <w:sz w:val="18"/>
                <w:szCs w:val="18"/>
              </w:rPr>
            </w:pPr>
          </w:p>
        </w:tc>
        <w:tc>
          <w:tcPr>
            <w:tcW w:w="2296" w:type="dxa"/>
            <w:tcBorders>
              <w:top w:val="nil"/>
              <w:left w:val="nil"/>
              <w:bottom w:val="single" w:sz="8" w:space="0" w:color="auto"/>
              <w:right w:val="nil"/>
            </w:tcBorders>
            <w:shd w:val="clear" w:color="000000" w:fill="FFFF00"/>
            <w:vAlign w:val="center"/>
            <w:hideMark/>
          </w:tcPr>
          <w:p w:rsidR="00466ABE" w:rsidRPr="00466ABE" w:rsidRDefault="00466ABE" w:rsidP="00D81020">
            <w:pPr>
              <w:spacing w:before="100" w:beforeAutospacing="1" w:after="100" w:afterAutospacing="1"/>
              <w:jc w:val="center"/>
              <w:rPr>
                <w:color w:val="000000"/>
                <w:sz w:val="18"/>
                <w:szCs w:val="18"/>
              </w:rPr>
            </w:pPr>
            <w:r w:rsidRPr="00466ABE">
              <w:rPr>
                <w:color w:val="000000"/>
                <w:sz w:val="18"/>
                <w:szCs w:val="18"/>
              </w:rPr>
              <w:t>Non-Deliverable FX Swap</w:t>
            </w:r>
          </w:p>
        </w:tc>
        <w:tc>
          <w:tcPr>
            <w:tcW w:w="2879" w:type="dxa"/>
            <w:tcBorders>
              <w:top w:val="nil"/>
              <w:left w:val="single" w:sz="8" w:space="0" w:color="auto"/>
              <w:bottom w:val="nil"/>
              <w:right w:val="single" w:sz="8" w:space="0" w:color="auto"/>
            </w:tcBorders>
            <w:shd w:val="clear" w:color="000000" w:fill="FFFFFF"/>
            <w:noWrap/>
            <w:vAlign w:val="center"/>
            <w:hideMark/>
          </w:tcPr>
          <w:p w:rsidR="00466ABE" w:rsidRPr="00466ABE" w:rsidRDefault="00466ABE" w:rsidP="00D81020">
            <w:pPr>
              <w:spacing w:before="100" w:beforeAutospacing="1" w:after="100" w:afterAutospacing="1"/>
              <w:rPr>
                <w:color w:val="000000"/>
                <w:sz w:val="18"/>
                <w:szCs w:val="18"/>
              </w:rPr>
            </w:pPr>
            <w:r w:rsidRPr="00466ABE">
              <w:rPr>
                <w:color w:val="000000"/>
                <w:sz w:val="18"/>
                <w:szCs w:val="18"/>
              </w:rPr>
              <w:t> </w:t>
            </w:r>
          </w:p>
        </w:tc>
      </w:tr>
      <w:tr w:rsidR="00466ABE" w:rsidRPr="0072721E" w:rsidTr="00822471">
        <w:trPr>
          <w:trHeight w:val="418"/>
        </w:trPr>
        <w:tc>
          <w:tcPr>
            <w:tcW w:w="2167" w:type="dxa"/>
            <w:vMerge/>
            <w:tcBorders>
              <w:top w:val="nil"/>
              <w:left w:val="single" w:sz="8" w:space="0" w:color="auto"/>
              <w:bottom w:val="single" w:sz="8" w:space="0" w:color="000000"/>
              <w:right w:val="single" w:sz="8" w:space="0" w:color="auto"/>
            </w:tcBorders>
            <w:vAlign w:val="center"/>
            <w:hideMark/>
          </w:tcPr>
          <w:p w:rsidR="00466ABE" w:rsidRPr="00466ABE" w:rsidRDefault="00466ABE" w:rsidP="00D81020">
            <w:pPr>
              <w:spacing w:before="100" w:beforeAutospacing="1" w:after="100" w:afterAutospacing="1"/>
              <w:jc w:val="center"/>
              <w:rPr>
                <w:color w:val="000000"/>
                <w:sz w:val="18"/>
                <w:szCs w:val="18"/>
              </w:rPr>
            </w:pPr>
          </w:p>
        </w:tc>
        <w:tc>
          <w:tcPr>
            <w:tcW w:w="153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466ABE" w:rsidRPr="00466ABE" w:rsidRDefault="00466ABE" w:rsidP="00D81020">
            <w:pPr>
              <w:spacing w:before="100" w:beforeAutospacing="1" w:after="100" w:afterAutospacing="1"/>
              <w:jc w:val="center"/>
              <w:rPr>
                <w:color w:val="000000"/>
                <w:sz w:val="18"/>
                <w:szCs w:val="18"/>
              </w:rPr>
            </w:pPr>
            <w:r w:rsidRPr="00466ABE">
              <w:rPr>
                <w:color w:val="000000"/>
                <w:sz w:val="18"/>
                <w:szCs w:val="18"/>
              </w:rPr>
              <w:t>Others</w:t>
            </w:r>
          </w:p>
        </w:tc>
        <w:tc>
          <w:tcPr>
            <w:tcW w:w="2296" w:type="dxa"/>
            <w:tcBorders>
              <w:top w:val="nil"/>
              <w:left w:val="nil"/>
              <w:bottom w:val="single" w:sz="8" w:space="0" w:color="auto"/>
              <w:right w:val="nil"/>
            </w:tcBorders>
            <w:shd w:val="clear" w:color="000000" w:fill="FFFFFF"/>
            <w:vAlign w:val="center"/>
            <w:hideMark/>
          </w:tcPr>
          <w:p w:rsidR="00466ABE" w:rsidRPr="00466ABE" w:rsidRDefault="00466ABE" w:rsidP="00D81020">
            <w:pPr>
              <w:spacing w:before="100" w:beforeAutospacing="1" w:after="100" w:afterAutospacing="1"/>
              <w:jc w:val="center"/>
              <w:rPr>
                <w:color w:val="000000"/>
                <w:sz w:val="18"/>
                <w:szCs w:val="18"/>
              </w:rPr>
            </w:pPr>
            <w:r w:rsidRPr="00466ABE">
              <w:rPr>
                <w:color w:val="000000"/>
                <w:sz w:val="18"/>
                <w:szCs w:val="18"/>
              </w:rPr>
              <w:t>Simple exotic (Barrier &amp; Digital)</w:t>
            </w:r>
          </w:p>
        </w:tc>
        <w:tc>
          <w:tcPr>
            <w:tcW w:w="2879" w:type="dxa"/>
            <w:tcBorders>
              <w:top w:val="nil"/>
              <w:left w:val="single" w:sz="8" w:space="0" w:color="auto"/>
              <w:bottom w:val="nil"/>
              <w:right w:val="single" w:sz="8" w:space="0" w:color="auto"/>
            </w:tcBorders>
            <w:shd w:val="clear" w:color="000000" w:fill="FFFFFF"/>
            <w:noWrap/>
            <w:vAlign w:val="center"/>
            <w:hideMark/>
          </w:tcPr>
          <w:p w:rsidR="00466ABE" w:rsidRPr="00466ABE" w:rsidRDefault="00466ABE" w:rsidP="00D81020">
            <w:pPr>
              <w:spacing w:before="100" w:beforeAutospacing="1" w:after="100" w:afterAutospacing="1"/>
              <w:rPr>
                <w:color w:val="000000"/>
                <w:sz w:val="18"/>
                <w:szCs w:val="18"/>
              </w:rPr>
            </w:pPr>
            <w:r w:rsidRPr="00466ABE">
              <w:rPr>
                <w:color w:val="000000"/>
                <w:sz w:val="18"/>
                <w:szCs w:val="18"/>
              </w:rPr>
              <w:t> </w:t>
            </w:r>
          </w:p>
        </w:tc>
      </w:tr>
      <w:tr w:rsidR="00466ABE" w:rsidRPr="0072721E" w:rsidTr="00822471">
        <w:trPr>
          <w:trHeight w:val="283"/>
        </w:trPr>
        <w:tc>
          <w:tcPr>
            <w:tcW w:w="2167" w:type="dxa"/>
            <w:vMerge/>
            <w:tcBorders>
              <w:top w:val="nil"/>
              <w:left w:val="single" w:sz="8" w:space="0" w:color="auto"/>
              <w:bottom w:val="single" w:sz="8" w:space="0" w:color="000000"/>
              <w:right w:val="single" w:sz="8" w:space="0" w:color="auto"/>
            </w:tcBorders>
            <w:vAlign w:val="center"/>
            <w:hideMark/>
          </w:tcPr>
          <w:p w:rsidR="00466ABE" w:rsidRPr="00466ABE" w:rsidRDefault="00466ABE" w:rsidP="00D81020">
            <w:pPr>
              <w:spacing w:before="100" w:beforeAutospacing="1" w:after="100" w:afterAutospacing="1"/>
              <w:jc w:val="center"/>
              <w:rPr>
                <w:color w:val="000000"/>
                <w:sz w:val="18"/>
                <w:szCs w:val="18"/>
              </w:rPr>
            </w:pPr>
          </w:p>
        </w:tc>
        <w:tc>
          <w:tcPr>
            <w:tcW w:w="1532" w:type="dxa"/>
            <w:vMerge/>
            <w:tcBorders>
              <w:top w:val="nil"/>
              <w:left w:val="single" w:sz="8" w:space="0" w:color="auto"/>
              <w:bottom w:val="single" w:sz="8" w:space="0" w:color="000000"/>
              <w:right w:val="single" w:sz="8" w:space="0" w:color="auto"/>
            </w:tcBorders>
            <w:vAlign w:val="center"/>
            <w:hideMark/>
          </w:tcPr>
          <w:p w:rsidR="00466ABE" w:rsidRPr="00466ABE" w:rsidRDefault="00466ABE" w:rsidP="00D81020">
            <w:pPr>
              <w:spacing w:before="100" w:beforeAutospacing="1" w:after="100" w:afterAutospacing="1"/>
              <w:jc w:val="center"/>
              <w:rPr>
                <w:color w:val="000000"/>
                <w:sz w:val="18"/>
                <w:szCs w:val="18"/>
              </w:rPr>
            </w:pPr>
          </w:p>
        </w:tc>
        <w:tc>
          <w:tcPr>
            <w:tcW w:w="2296" w:type="dxa"/>
            <w:tcBorders>
              <w:top w:val="nil"/>
              <w:left w:val="nil"/>
              <w:bottom w:val="single" w:sz="8" w:space="0" w:color="auto"/>
              <w:right w:val="nil"/>
            </w:tcBorders>
            <w:shd w:val="clear" w:color="000000" w:fill="FFFFFF"/>
            <w:vAlign w:val="center"/>
            <w:hideMark/>
          </w:tcPr>
          <w:p w:rsidR="00466ABE" w:rsidRPr="00466ABE" w:rsidRDefault="00466ABE" w:rsidP="00D81020">
            <w:pPr>
              <w:spacing w:before="100" w:beforeAutospacing="1" w:after="100" w:afterAutospacing="1"/>
              <w:jc w:val="center"/>
              <w:rPr>
                <w:color w:val="000000"/>
                <w:sz w:val="18"/>
                <w:szCs w:val="18"/>
              </w:rPr>
            </w:pPr>
            <w:r w:rsidRPr="00466ABE">
              <w:rPr>
                <w:color w:val="000000"/>
                <w:sz w:val="18"/>
                <w:szCs w:val="18"/>
              </w:rPr>
              <w:t>Complex Exotic</w:t>
            </w:r>
          </w:p>
        </w:tc>
        <w:tc>
          <w:tcPr>
            <w:tcW w:w="2879" w:type="dxa"/>
            <w:tcBorders>
              <w:top w:val="nil"/>
              <w:left w:val="single" w:sz="8" w:space="0" w:color="auto"/>
              <w:bottom w:val="single" w:sz="8" w:space="0" w:color="auto"/>
              <w:right w:val="single" w:sz="8" w:space="0" w:color="auto"/>
            </w:tcBorders>
            <w:shd w:val="clear" w:color="000000" w:fill="FFFFFF"/>
            <w:noWrap/>
            <w:vAlign w:val="center"/>
            <w:hideMark/>
          </w:tcPr>
          <w:p w:rsidR="00466ABE" w:rsidRPr="00466ABE" w:rsidRDefault="00466ABE" w:rsidP="00D81020">
            <w:pPr>
              <w:spacing w:before="100" w:beforeAutospacing="1" w:after="100" w:afterAutospacing="1"/>
              <w:rPr>
                <w:color w:val="000000"/>
                <w:sz w:val="18"/>
                <w:szCs w:val="18"/>
              </w:rPr>
            </w:pPr>
            <w:r w:rsidRPr="00466ABE">
              <w:rPr>
                <w:color w:val="000000"/>
                <w:sz w:val="18"/>
                <w:szCs w:val="18"/>
              </w:rPr>
              <w:t> </w:t>
            </w:r>
          </w:p>
        </w:tc>
      </w:tr>
    </w:tbl>
    <w:p w:rsidR="00466ABE" w:rsidRPr="00CB077C" w:rsidRDefault="00466ABE" w:rsidP="00CB077C">
      <w:pPr>
        <w:spacing w:before="100" w:beforeAutospacing="1" w:after="100" w:afterAutospacing="1"/>
        <w:jc w:val="both"/>
        <w:rPr>
          <w:rFonts w:asciiTheme="minorHAnsi" w:hAnsiTheme="minorHAnsi"/>
          <w:i/>
          <w:sz w:val="22"/>
          <w:szCs w:val="22"/>
        </w:rPr>
      </w:pPr>
      <w:r w:rsidRPr="00CB077C">
        <w:rPr>
          <w:rFonts w:asciiTheme="minorHAnsi" w:hAnsiTheme="minorHAnsi"/>
          <w:sz w:val="22"/>
          <w:szCs w:val="22"/>
        </w:rPr>
        <w:t>Having identified the importance ubiquity of packaged products within the FX asset class, the WMBA reit</w:t>
      </w:r>
      <w:proofErr w:type="gramStart"/>
      <w:r w:rsidRPr="00CB077C">
        <w:rPr>
          <w:rFonts w:asciiTheme="minorHAnsi" w:hAnsiTheme="minorHAnsi"/>
          <w:sz w:val="22"/>
          <w:szCs w:val="22"/>
        </w:rPr>
        <w:t>erate</w:t>
      </w:r>
      <w:proofErr w:type="gramEnd"/>
      <w:r w:rsidRPr="00CB077C">
        <w:rPr>
          <w:rFonts w:asciiTheme="minorHAnsi" w:hAnsiTheme="minorHAnsi"/>
          <w:sz w:val="22"/>
          <w:szCs w:val="22"/>
        </w:rPr>
        <w:t xml:space="preserve"> its support of the ISDA approach on a ‘</w:t>
      </w:r>
      <w:r w:rsidRPr="00CB077C">
        <w:rPr>
          <w:rFonts w:asciiTheme="minorHAnsi" w:hAnsiTheme="minorHAnsi"/>
          <w:i/>
          <w:sz w:val="22"/>
          <w:szCs w:val="22"/>
        </w:rPr>
        <w:t xml:space="preserve">package transaction’. </w:t>
      </w:r>
    </w:p>
    <w:p w:rsidR="00466ABE" w:rsidRPr="00CB077C" w:rsidRDefault="00466ABE" w:rsidP="00CB077C">
      <w:pPr>
        <w:spacing w:before="100" w:beforeAutospacing="1" w:after="100" w:afterAutospacing="1"/>
        <w:ind w:left="720"/>
        <w:jc w:val="both"/>
        <w:rPr>
          <w:rFonts w:asciiTheme="minorHAnsi" w:hAnsiTheme="minorHAnsi"/>
          <w:b/>
          <w:sz w:val="22"/>
          <w:szCs w:val="22"/>
        </w:rPr>
      </w:pPr>
      <w:r w:rsidRPr="00CB077C">
        <w:rPr>
          <w:rFonts w:asciiTheme="minorHAnsi" w:hAnsiTheme="minorHAnsi"/>
          <w:b/>
          <w:sz w:val="22"/>
          <w:szCs w:val="22"/>
        </w:rPr>
        <w:t>1. Definition of package transaction</w:t>
      </w:r>
    </w:p>
    <w:p w:rsidR="00466ABE" w:rsidRPr="00CB077C" w:rsidRDefault="00466ABE" w:rsidP="00CB077C">
      <w:pPr>
        <w:spacing w:before="100" w:beforeAutospacing="1" w:after="100" w:afterAutospacing="1"/>
        <w:ind w:left="720"/>
        <w:jc w:val="both"/>
        <w:rPr>
          <w:rFonts w:asciiTheme="minorHAnsi" w:hAnsiTheme="minorHAnsi"/>
          <w:sz w:val="22"/>
          <w:szCs w:val="22"/>
        </w:rPr>
      </w:pPr>
      <w:r w:rsidRPr="00CB077C">
        <w:rPr>
          <w:rFonts w:asciiTheme="minorHAnsi" w:hAnsiTheme="minorHAnsi"/>
          <w:sz w:val="22"/>
          <w:szCs w:val="22"/>
        </w:rPr>
        <w:t>WMBA concurs hat a “package transaction” be defined as a transaction comprising two or more components, each of which is a bond, structured finance product, emission allowance or derivative where:</w:t>
      </w:r>
    </w:p>
    <w:p w:rsidR="00466ABE" w:rsidRPr="00CB077C" w:rsidRDefault="00466ABE" w:rsidP="004052F8">
      <w:pPr>
        <w:pStyle w:val="ListParagraph"/>
        <w:numPr>
          <w:ilvl w:val="0"/>
          <w:numId w:val="51"/>
        </w:numPr>
        <w:spacing w:before="100" w:beforeAutospacing="1" w:after="100" w:afterAutospacing="1"/>
        <w:contextualSpacing w:val="0"/>
        <w:jc w:val="both"/>
        <w:rPr>
          <w:rFonts w:asciiTheme="minorHAnsi" w:hAnsiTheme="minorHAnsi"/>
          <w:sz w:val="22"/>
          <w:szCs w:val="22"/>
        </w:rPr>
      </w:pPr>
      <w:r w:rsidRPr="00CB077C">
        <w:rPr>
          <w:rFonts w:asciiTheme="minorHAnsi" w:hAnsiTheme="minorHAnsi"/>
          <w:sz w:val="22"/>
          <w:szCs w:val="22"/>
        </w:rPr>
        <w:t>The components are priced as a “package” with simultaneous execution of all such components;</w:t>
      </w:r>
    </w:p>
    <w:p w:rsidR="00466ABE" w:rsidRPr="00CB077C" w:rsidRDefault="00466ABE" w:rsidP="004052F8">
      <w:pPr>
        <w:pStyle w:val="ListParagraph"/>
        <w:numPr>
          <w:ilvl w:val="0"/>
          <w:numId w:val="51"/>
        </w:numPr>
        <w:spacing w:before="100" w:beforeAutospacing="1" w:after="100" w:afterAutospacing="1"/>
        <w:contextualSpacing w:val="0"/>
        <w:jc w:val="both"/>
        <w:rPr>
          <w:rFonts w:asciiTheme="minorHAnsi" w:hAnsiTheme="minorHAnsi"/>
          <w:sz w:val="22"/>
          <w:szCs w:val="22"/>
        </w:rPr>
      </w:pPr>
      <w:r w:rsidRPr="00CB077C">
        <w:rPr>
          <w:rFonts w:asciiTheme="minorHAnsi" w:hAnsiTheme="minorHAnsi"/>
          <w:sz w:val="22"/>
          <w:szCs w:val="22"/>
        </w:rPr>
        <w:t>The execution of each component is contingent on the execution of the other components;</w:t>
      </w:r>
    </w:p>
    <w:p w:rsidR="00466ABE" w:rsidRPr="00CB077C" w:rsidRDefault="00466ABE" w:rsidP="004052F8">
      <w:pPr>
        <w:pStyle w:val="ListParagraph"/>
        <w:numPr>
          <w:ilvl w:val="0"/>
          <w:numId w:val="51"/>
        </w:numPr>
        <w:spacing w:before="100" w:beforeAutospacing="1" w:after="100" w:afterAutospacing="1"/>
        <w:contextualSpacing w:val="0"/>
        <w:jc w:val="both"/>
        <w:rPr>
          <w:rFonts w:asciiTheme="minorHAnsi" w:hAnsiTheme="minorHAnsi"/>
          <w:sz w:val="22"/>
          <w:szCs w:val="22"/>
        </w:rPr>
      </w:pPr>
      <w:r w:rsidRPr="00CB077C">
        <w:rPr>
          <w:rFonts w:asciiTheme="minorHAnsi" w:hAnsiTheme="minorHAnsi"/>
          <w:sz w:val="22"/>
          <w:szCs w:val="22"/>
        </w:rPr>
        <w:t>Each component must be able to stand alone and must be able to bear economic risk; and</w:t>
      </w:r>
    </w:p>
    <w:p w:rsidR="00466ABE" w:rsidRPr="00CB077C" w:rsidRDefault="00466ABE" w:rsidP="004052F8">
      <w:pPr>
        <w:pStyle w:val="ListParagraph"/>
        <w:numPr>
          <w:ilvl w:val="0"/>
          <w:numId w:val="51"/>
        </w:numPr>
        <w:spacing w:before="100" w:beforeAutospacing="1" w:after="100" w:afterAutospacing="1"/>
        <w:contextualSpacing w:val="0"/>
        <w:jc w:val="both"/>
        <w:rPr>
          <w:rFonts w:asciiTheme="minorHAnsi" w:hAnsiTheme="minorHAnsi"/>
          <w:sz w:val="22"/>
          <w:szCs w:val="22"/>
        </w:rPr>
      </w:pPr>
      <w:r w:rsidRPr="00CB077C">
        <w:rPr>
          <w:rFonts w:asciiTheme="minorHAnsi" w:hAnsiTheme="minorHAnsi"/>
          <w:sz w:val="22"/>
          <w:szCs w:val="22"/>
        </w:rPr>
        <w:t>Either:</w:t>
      </w:r>
    </w:p>
    <w:p w:rsidR="00466ABE" w:rsidRPr="00CB077C" w:rsidRDefault="00466ABE" w:rsidP="004052F8">
      <w:pPr>
        <w:pStyle w:val="ListParagraph"/>
        <w:numPr>
          <w:ilvl w:val="0"/>
          <w:numId w:val="52"/>
        </w:numPr>
        <w:spacing w:before="100" w:beforeAutospacing="1" w:after="100" w:afterAutospacing="1"/>
        <w:contextualSpacing w:val="0"/>
        <w:jc w:val="both"/>
        <w:rPr>
          <w:rFonts w:asciiTheme="minorHAnsi" w:hAnsiTheme="minorHAnsi"/>
          <w:sz w:val="22"/>
          <w:szCs w:val="22"/>
        </w:rPr>
      </w:pPr>
      <w:r w:rsidRPr="00CB077C">
        <w:rPr>
          <w:rFonts w:asciiTheme="minorHAnsi" w:hAnsiTheme="minorHAnsi"/>
          <w:sz w:val="22"/>
          <w:szCs w:val="22"/>
        </w:rPr>
        <w:t>the components are economically similar in nature such that the pricing of one component can affect the pricing of the other component; or</w:t>
      </w:r>
    </w:p>
    <w:p w:rsidR="00466ABE" w:rsidRPr="00CB077C" w:rsidRDefault="00466ABE" w:rsidP="004052F8">
      <w:pPr>
        <w:pStyle w:val="ListParagraph"/>
        <w:numPr>
          <w:ilvl w:val="0"/>
          <w:numId w:val="52"/>
        </w:numPr>
        <w:spacing w:before="100" w:beforeAutospacing="1" w:after="100" w:afterAutospacing="1"/>
        <w:contextualSpacing w:val="0"/>
        <w:jc w:val="both"/>
        <w:rPr>
          <w:rFonts w:asciiTheme="minorHAnsi" w:hAnsiTheme="minorHAnsi"/>
          <w:sz w:val="22"/>
          <w:szCs w:val="22"/>
        </w:rPr>
      </w:pPr>
      <w:proofErr w:type="gramStart"/>
      <w:r w:rsidRPr="00CB077C">
        <w:rPr>
          <w:rFonts w:asciiTheme="minorHAnsi" w:hAnsiTheme="minorHAnsi"/>
          <w:sz w:val="22"/>
          <w:szCs w:val="22"/>
        </w:rPr>
        <w:t>the</w:t>
      </w:r>
      <w:proofErr w:type="gramEnd"/>
      <w:r w:rsidRPr="00CB077C">
        <w:rPr>
          <w:rFonts w:asciiTheme="minorHAnsi" w:hAnsiTheme="minorHAnsi"/>
          <w:sz w:val="22"/>
          <w:szCs w:val="22"/>
        </w:rPr>
        <w:t xml:space="preserve"> components must have a reasonable degree of correlation.</w:t>
      </w:r>
    </w:p>
    <w:p w:rsidR="00466ABE" w:rsidRPr="00CB077C" w:rsidRDefault="00466ABE" w:rsidP="00CB077C">
      <w:pPr>
        <w:spacing w:before="100" w:beforeAutospacing="1" w:after="100" w:afterAutospacing="1"/>
        <w:ind w:left="720"/>
        <w:contextualSpacing/>
        <w:jc w:val="both"/>
        <w:rPr>
          <w:rFonts w:asciiTheme="minorHAnsi" w:hAnsiTheme="minorHAnsi"/>
          <w:b/>
          <w:sz w:val="22"/>
          <w:szCs w:val="22"/>
        </w:rPr>
      </w:pPr>
      <w:r w:rsidRPr="00CB077C">
        <w:rPr>
          <w:rFonts w:asciiTheme="minorHAnsi" w:hAnsiTheme="minorHAnsi"/>
          <w:b/>
          <w:sz w:val="22"/>
          <w:szCs w:val="22"/>
        </w:rPr>
        <w:t xml:space="preserve">2. Post-trade transparency flag </w:t>
      </w:r>
    </w:p>
    <w:p w:rsidR="00466ABE" w:rsidRPr="00CB077C" w:rsidRDefault="00466ABE" w:rsidP="00CB077C">
      <w:pPr>
        <w:spacing w:before="100" w:beforeAutospacing="1" w:after="100" w:afterAutospacing="1"/>
        <w:ind w:left="720"/>
        <w:jc w:val="both"/>
        <w:rPr>
          <w:rFonts w:asciiTheme="minorHAnsi" w:hAnsiTheme="minorHAnsi"/>
          <w:sz w:val="22"/>
          <w:szCs w:val="22"/>
        </w:rPr>
      </w:pPr>
      <w:r w:rsidRPr="00CB077C">
        <w:rPr>
          <w:rFonts w:asciiTheme="minorHAnsi" w:hAnsiTheme="minorHAnsi"/>
          <w:sz w:val="22"/>
          <w:szCs w:val="22"/>
        </w:rPr>
        <w:t>With a view to assisting the monitoring of package transactions by supervisors, and as stated in our response to Question 74, ISDA recommends that an additional flag to be reported on trades that are components of package transactions be added to the list of flags set out in Table 2 of Annex II of RTS 9.</w:t>
      </w:r>
    </w:p>
    <w:p w:rsidR="00466ABE" w:rsidRPr="00CB077C" w:rsidRDefault="00466ABE" w:rsidP="00CB077C">
      <w:pPr>
        <w:spacing w:before="100" w:beforeAutospacing="1" w:after="100" w:afterAutospacing="1"/>
        <w:ind w:left="720"/>
        <w:jc w:val="both"/>
        <w:rPr>
          <w:rFonts w:asciiTheme="minorHAnsi" w:hAnsiTheme="minorHAnsi"/>
          <w:sz w:val="22"/>
          <w:szCs w:val="22"/>
        </w:rPr>
      </w:pPr>
      <w:r w:rsidRPr="00CB077C">
        <w:rPr>
          <w:rFonts w:asciiTheme="minorHAnsi" w:hAnsiTheme="minorHAnsi"/>
          <w:sz w:val="22"/>
          <w:szCs w:val="22"/>
        </w:rPr>
        <w:t>We would also draw attention to our response to Question 218 where we suggest that ESMA may wish to consider including a "link ID" field in transaction reports (for the purposes of the Article 26 MiFIR transaction reporting regime). In ISDA's response to ESMA's recent consultation paper on the review of reporting technical standards under EMIR, we recommended the inclusion of a "link ID" field to link together trade reports of components of the same package. ESMA may wish to consider whether to incorporate such a field in the transaction reports required under the MiFIR transaction reporting regime as this would give supervisors greater visibility in respect of the usage of package transactions.’</w:t>
      </w:r>
    </w:p>
    <w:p w:rsidR="00466ABE" w:rsidRPr="00CB077C" w:rsidRDefault="00466ABE" w:rsidP="00CB077C">
      <w:pPr>
        <w:spacing w:before="100" w:beforeAutospacing="1" w:after="100" w:afterAutospacing="1"/>
        <w:contextualSpacing/>
        <w:jc w:val="both"/>
        <w:rPr>
          <w:rFonts w:asciiTheme="minorHAnsi" w:hAnsiTheme="minorHAnsi"/>
          <w:b/>
          <w:sz w:val="22"/>
          <w:szCs w:val="22"/>
        </w:rPr>
      </w:pPr>
      <w:r w:rsidRPr="00CB077C">
        <w:rPr>
          <w:rFonts w:asciiTheme="minorHAnsi" w:hAnsiTheme="minorHAnsi"/>
          <w:b/>
          <w:sz w:val="22"/>
          <w:szCs w:val="22"/>
        </w:rPr>
        <w:t>(2) Would you use different parameters or the same parameters but different thresholds in order to define a sub-class as liquid?</w:t>
      </w:r>
    </w:p>
    <w:p w:rsidR="00CB077C" w:rsidRPr="00CB077C" w:rsidRDefault="00CB077C" w:rsidP="00CB077C">
      <w:pPr>
        <w:spacing w:before="100" w:beforeAutospacing="1" w:after="100" w:afterAutospacing="1"/>
        <w:contextualSpacing/>
        <w:jc w:val="both"/>
        <w:rPr>
          <w:rFonts w:asciiTheme="minorHAnsi" w:hAnsiTheme="minorHAnsi"/>
          <w:b/>
          <w:sz w:val="22"/>
          <w:szCs w:val="22"/>
        </w:rPr>
      </w:pPr>
    </w:p>
    <w:p w:rsidR="00466ABE" w:rsidRPr="00CB077C" w:rsidRDefault="00466ABE" w:rsidP="00CB077C">
      <w:pPr>
        <w:spacing w:before="100" w:beforeAutospacing="1" w:after="100" w:afterAutospacing="1"/>
        <w:jc w:val="both"/>
        <w:rPr>
          <w:rFonts w:asciiTheme="minorHAnsi" w:hAnsiTheme="minorHAnsi"/>
          <w:i/>
          <w:sz w:val="22"/>
          <w:szCs w:val="22"/>
        </w:rPr>
      </w:pPr>
      <w:r w:rsidRPr="00CB077C">
        <w:rPr>
          <w:rFonts w:asciiTheme="minorHAnsi" w:hAnsiTheme="minorHAnsi"/>
          <w:sz w:val="22"/>
          <w:szCs w:val="22"/>
        </w:rPr>
        <w:t xml:space="preserve">The WMBA disagrees with the ESMA approach for defining via the </w:t>
      </w:r>
      <w:r w:rsidRPr="00CB077C">
        <w:rPr>
          <w:rFonts w:asciiTheme="minorHAnsi" w:hAnsiTheme="minorHAnsi"/>
          <w:i/>
          <w:sz w:val="22"/>
          <w:szCs w:val="22"/>
        </w:rPr>
        <w:t>Notional Amount/Number of trades a day.</w:t>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The reason for this is the inability of the stated parameter to capture the objective. This is because post-trade statistics cannot delimit and define neither between products nor between borders because these FX markets are homogenous and global. Payments are fungible and can be made anywhere in the globe. Any attempts to segment these for measuring or other regulations results in unwelcome and unintended consequences. Indeed, any of the ESMA sub-classes can be synthetically reproduced from other classes with the addition of a spot transaction. Clearly the synthetics will not have the same categorisation, which underlines the flawed approach.</w:t>
      </w:r>
    </w:p>
    <w:p w:rsidR="00466ABE" w:rsidRPr="00CB077C" w:rsidRDefault="00466ABE" w:rsidP="00CB077C">
      <w:pPr>
        <w:spacing w:before="100" w:beforeAutospacing="1" w:after="100" w:afterAutospacing="1"/>
        <w:jc w:val="both"/>
        <w:rPr>
          <w:rFonts w:asciiTheme="minorHAnsi" w:hAnsiTheme="minorHAnsi"/>
          <w:i/>
          <w:sz w:val="22"/>
          <w:szCs w:val="22"/>
        </w:rPr>
      </w:pPr>
      <w:r w:rsidRPr="00CB077C">
        <w:rPr>
          <w:rFonts w:asciiTheme="minorHAnsi" w:hAnsiTheme="minorHAnsi"/>
          <w:sz w:val="22"/>
          <w:szCs w:val="22"/>
        </w:rPr>
        <w:t xml:space="preserve">Rather the parameter used should mirror the objective. The objective is liquidity, and therefore the analysis should focus upon the pre-trade liquidity and the numbers and types of participants. For FX markets, it should ignore and disregard the </w:t>
      </w:r>
      <w:r w:rsidRPr="00CB077C">
        <w:rPr>
          <w:rFonts w:asciiTheme="minorHAnsi" w:hAnsiTheme="minorHAnsi"/>
          <w:i/>
          <w:sz w:val="22"/>
          <w:szCs w:val="22"/>
        </w:rPr>
        <w:t>Notional Amount/Number of trades a day.</w:t>
      </w:r>
    </w:p>
    <w:p w:rsidR="00466ABE" w:rsidRPr="00CB077C" w:rsidRDefault="00466ABE" w:rsidP="00CB077C">
      <w:pPr>
        <w:spacing w:before="100" w:beforeAutospacing="1" w:after="100" w:afterAutospacing="1"/>
        <w:contextualSpacing/>
        <w:jc w:val="both"/>
        <w:rPr>
          <w:rFonts w:asciiTheme="minorHAnsi" w:hAnsiTheme="minorHAnsi"/>
          <w:sz w:val="22"/>
          <w:szCs w:val="22"/>
        </w:rPr>
      </w:pPr>
    </w:p>
    <w:p w:rsidR="00466ABE" w:rsidRPr="00CB077C" w:rsidRDefault="00466ABE" w:rsidP="00CB077C">
      <w:pPr>
        <w:spacing w:before="100" w:beforeAutospacing="1" w:after="100" w:afterAutospacing="1"/>
        <w:contextualSpacing/>
        <w:jc w:val="both"/>
        <w:rPr>
          <w:rFonts w:asciiTheme="minorHAnsi" w:hAnsiTheme="minorHAnsi"/>
          <w:b/>
          <w:sz w:val="22"/>
          <w:szCs w:val="22"/>
        </w:rPr>
      </w:pPr>
      <w:r w:rsidRPr="00CB077C">
        <w:rPr>
          <w:rFonts w:asciiTheme="minorHAnsi" w:hAnsiTheme="minorHAnsi"/>
          <w:b/>
          <w:sz w:val="22"/>
          <w:szCs w:val="22"/>
        </w:rPr>
        <w:t>(3) Would you define some specific classes declared as liquid in ESMA’s proposal as illiquid (and vice versa)?</w:t>
      </w:r>
    </w:p>
    <w:p w:rsidR="00466ABE" w:rsidRPr="00CB077C" w:rsidRDefault="00466ABE" w:rsidP="00CB077C">
      <w:pPr>
        <w:spacing w:before="100" w:beforeAutospacing="1" w:after="100" w:afterAutospacing="1"/>
        <w:contextualSpacing/>
        <w:jc w:val="both"/>
        <w:rPr>
          <w:rFonts w:asciiTheme="minorHAnsi" w:hAnsiTheme="minorHAnsi"/>
          <w:sz w:val="22"/>
          <w:szCs w:val="22"/>
        </w:rPr>
      </w:pPr>
    </w:p>
    <w:p w:rsidR="00466ABE" w:rsidRPr="00CB077C" w:rsidRDefault="00466ABE" w:rsidP="00CB077C">
      <w:pPr>
        <w:spacing w:before="100" w:beforeAutospacing="1" w:after="100" w:afterAutospacing="1"/>
        <w:jc w:val="both"/>
        <w:rPr>
          <w:rFonts w:asciiTheme="minorHAnsi" w:hAnsiTheme="minorHAnsi"/>
          <w:bCs/>
          <w:sz w:val="22"/>
          <w:szCs w:val="22"/>
        </w:rPr>
      </w:pPr>
      <w:r w:rsidRPr="00CB077C">
        <w:rPr>
          <w:rFonts w:asciiTheme="minorHAnsi" w:hAnsiTheme="minorHAnsi"/>
          <w:sz w:val="22"/>
          <w:szCs w:val="22"/>
        </w:rPr>
        <w:t xml:space="preserve">The WMBA would define some classes declared liquid by ESMA as illiquid and vice-versa. </w:t>
      </w:r>
      <w:r w:rsidRPr="00CB077C">
        <w:rPr>
          <w:rFonts w:asciiTheme="minorHAnsi" w:hAnsiTheme="minorHAnsi"/>
          <w:bCs/>
          <w:sz w:val="22"/>
          <w:szCs w:val="22"/>
        </w:rPr>
        <w:t>It is immediately obvious that these charts do not mirror the data published by the established and recognised trade repository, CLS (</w:t>
      </w:r>
      <w:hyperlink r:id="rId14" w:history="1">
        <w:r w:rsidRPr="00CB077C">
          <w:rPr>
            <w:rStyle w:val="Hyperlink"/>
            <w:rFonts w:asciiTheme="minorHAnsi" w:hAnsiTheme="minorHAnsi"/>
            <w:bCs/>
            <w:sz w:val="22"/>
            <w:szCs w:val="22"/>
          </w:rPr>
          <w:t>http://www.cls-group.com/MarketInsight/Pages/MarketReports.aspx</w:t>
        </w:r>
      </w:hyperlink>
      <w:r w:rsidRPr="00CB077C">
        <w:rPr>
          <w:rFonts w:asciiTheme="minorHAnsi" w:hAnsiTheme="minorHAnsi"/>
          <w:bCs/>
          <w:sz w:val="22"/>
          <w:szCs w:val="22"/>
        </w:rPr>
        <w:t>) nor by the widely watched surveys including the Bank of International Settlements (BIS) Triennial Central Bank Survey of Foreign Exchange turnover (</w:t>
      </w:r>
      <w:hyperlink r:id="rId15" w:history="1">
        <w:r w:rsidRPr="00CB077C">
          <w:rPr>
            <w:rStyle w:val="Hyperlink"/>
            <w:rFonts w:asciiTheme="minorHAnsi" w:hAnsiTheme="minorHAnsi"/>
            <w:bCs/>
            <w:sz w:val="22"/>
            <w:szCs w:val="22"/>
          </w:rPr>
          <w:t>http://www.bis.org/publ/rpfx13fx.pdf</w:t>
        </w:r>
      </w:hyperlink>
      <w:r w:rsidRPr="00CB077C">
        <w:rPr>
          <w:rFonts w:asciiTheme="minorHAnsi" w:hAnsiTheme="minorHAnsi"/>
          <w:bCs/>
          <w:sz w:val="22"/>
          <w:szCs w:val="22"/>
        </w:rPr>
        <w:t>), nor that published by the Bank of England in its semi-annual FX surveys (</w:t>
      </w:r>
      <w:hyperlink r:id="rId16" w:history="1">
        <w:r w:rsidRPr="00CB077C">
          <w:rPr>
            <w:rStyle w:val="Hyperlink"/>
            <w:rFonts w:asciiTheme="minorHAnsi" w:hAnsiTheme="minorHAnsi"/>
            <w:bCs/>
            <w:sz w:val="22"/>
            <w:szCs w:val="22"/>
          </w:rPr>
          <w:t>http://www.bankofengland.co.uk/markets/Pages/forex/fxjsc/default.aspx</w:t>
        </w:r>
      </w:hyperlink>
      <w:r w:rsidRPr="00CB077C">
        <w:rPr>
          <w:rFonts w:asciiTheme="minorHAnsi" w:hAnsiTheme="minorHAnsi"/>
          <w:bCs/>
          <w:sz w:val="22"/>
          <w:szCs w:val="22"/>
        </w:rPr>
        <w:t>). These sources do not sufficiently segment by geography and location of the participant which illustrates why the approach by ESMA in the CP is flawed. They are, however, widely accepted by the FX industry (including Central Banks) as being representative of turnover within the FX markets, both sources reporting similar market splits by instrument traded and currency pairs</w:t>
      </w:r>
      <w:r w:rsidRPr="00CB077C">
        <w:rPr>
          <w:rStyle w:val="FootnoteReference"/>
          <w:rFonts w:asciiTheme="minorHAnsi" w:hAnsiTheme="minorHAnsi"/>
          <w:bCs/>
          <w:sz w:val="22"/>
          <w:szCs w:val="22"/>
        </w:rPr>
        <w:footnoteReference w:id="6"/>
      </w:r>
      <w:r w:rsidRPr="00CB077C">
        <w:rPr>
          <w:rFonts w:asciiTheme="minorHAnsi" w:hAnsiTheme="minorHAnsi"/>
          <w:bCs/>
          <w:sz w:val="22"/>
          <w:szCs w:val="22"/>
        </w:rPr>
        <w:t xml:space="preserve">.  </w:t>
      </w:r>
    </w:p>
    <w:p w:rsidR="00466ABE" w:rsidRPr="00CB077C" w:rsidRDefault="00466ABE" w:rsidP="00CB077C">
      <w:pPr>
        <w:spacing w:before="100" w:beforeAutospacing="1" w:after="100" w:afterAutospacing="1"/>
        <w:jc w:val="both"/>
        <w:rPr>
          <w:rFonts w:asciiTheme="minorHAnsi" w:hAnsiTheme="minorHAnsi"/>
          <w:bCs/>
          <w:sz w:val="22"/>
          <w:szCs w:val="22"/>
        </w:rPr>
      </w:pPr>
      <w:r w:rsidRPr="00CB077C">
        <w:rPr>
          <w:rFonts w:asciiTheme="minorHAnsi" w:hAnsiTheme="minorHAnsi"/>
          <w:bCs/>
          <w:sz w:val="22"/>
          <w:szCs w:val="22"/>
        </w:rPr>
        <w:t>It is clear that the product splits in Figure 2 (ESMA Addendum CP) are considerably different to those seen in Figures 3 and 4a/b (BIS and BoE) and are even more obvious in Figure 5.  The volume of each product is either considerably greater/smaller than expected and there is the addition of a new product, ‘spread-betting’, which was unexpected (and is in fact misrepresentative) and is discussed in more detail elsewhere in Q1.</w:t>
      </w:r>
    </w:p>
    <w:p w:rsidR="00466ABE" w:rsidRPr="0072721E" w:rsidRDefault="00466ABE" w:rsidP="00466ABE">
      <w:pPr>
        <w:spacing w:before="100" w:beforeAutospacing="1" w:after="100" w:afterAutospacing="1"/>
      </w:pPr>
    </w:p>
    <w:p w:rsidR="00466ABE" w:rsidRDefault="00466ABE" w:rsidP="00466ABE">
      <w:pPr>
        <w:spacing w:before="100" w:beforeAutospacing="1" w:after="100" w:afterAutospacing="1"/>
        <w:jc w:val="center"/>
      </w:pPr>
      <w:r w:rsidRPr="0072721E">
        <w:rPr>
          <w:noProof/>
          <w:lang w:eastAsia="en-GB"/>
        </w:rPr>
        <w:drawing>
          <wp:inline distT="0" distB="0" distL="0" distR="0" wp14:anchorId="44673F10" wp14:editId="47EB263F">
            <wp:extent cx="4891177" cy="371684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893451" cy="3718568"/>
                    </a:xfrm>
                    <a:prstGeom prst="rect">
                      <a:avLst/>
                    </a:prstGeom>
                    <a:noFill/>
                    <a:ln w="9525">
                      <a:noFill/>
                      <a:miter lim="800000"/>
                      <a:headEnd/>
                      <a:tailEnd/>
                    </a:ln>
                  </pic:spPr>
                </pic:pic>
              </a:graphicData>
            </a:graphic>
          </wp:inline>
        </w:drawing>
      </w:r>
    </w:p>
    <w:p w:rsidR="00466ABE" w:rsidRDefault="00466ABE" w:rsidP="00466ABE">
      <w:pPr>
        <w:spacing w:before="100" w:beforeAutospacing="1" w:after="100" w:afterAutospacing="1"/>
      </w:pP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The WMBA therefore agree with the conclusions of GFMA_GFXD that there are inconsistencies between ESMA analysis and the generally accepted market structure in that:</w:t>
      </w:r>
    </w:p>
    <w:p w:rsidR="00466ABE" w:rsidRPr="00CB077C" w:rsidRDefault="00466ABE" w:rsidP="004052F8">
      <w:pPr>
        <w:numPr>
          <w:ilvl w:val="0"/>
          <w:numId w:val="53"/>
        </w:numPr>
        <w:spacing w:before="100" w:beforeAutospacing="1" w:after="100" w:afterAutospacing="1"/>
        <w:jc w:val="both"/>
        <w:rPr>
          <w:rFonts w:asciiTheme="minorHAnsi" w:hAnsiTheme="minorHAnsi"/>
          <w:bCs/>
          <w:sz w:val="22"/>
          <w:szCs w:val="22"/>
        </w:rPr>
      </w:pPr>
      <w:r w:rsidRPr="00CB077C">
        <w:rPr>
          <w:rFonts w:asciiTheme="minorHAnsi" w:hAnsiTheme="minorHAnsi"/>
          <w:bCs/>
          <w:sz w:val="22"/>
          <w:szCs w:val="22"/>
        </w:rPr>
        <w:t xml:space="preserve">Inclusion of deliverable currency crosses within the NDF bucket </w:t>
      </w:r>
    </w:p>
    <w:p w:rsidR="00466ABE" w:rsidRPr="00CB077C" w:rsidRDefault="00466ABE" w:rsidP="004052F8">
      <w:pPr>
        <w:numPr>
          <w:ilvl w:val="0"/>
          <w:numId w:val="53"/>
        </w:numPr>
        <w:spacing w:before="100" w:beforeAutospacing="1" w:after="100" w:afterAutospacing="1"/>
        <w:jc w:val="both"/>
        <w:rPr>
          <w:rFonts w:asciiTheme="minorHAnsi" w:hAnsiTheme="minorHAnsi"/>
          <w:bCs/>
          <w:sz w:val="22"/>
          <w:szCs w:val="22"/>
        </w:rPr>
      </w:pPr>
      <w:r w:rsidRPr="00CB077C">
        <w:rPr>
          <w:rFonts w:asciiTheme="minorHAnsi" w:hAnsiTheme="minorHAnsi"/>
          <w:bCs/>
          <w:sz w:val="22"/>
          <w:szCs w:val="22"/>
        </w:rPr>
        <w:t>Inclusion of non-deliverable currency crosses within the DF bucket</w:t>
      </w:r>
    </w:p>
    <w:p w:rsidR="00466ABE" w:rsidRPr="00CB077C" w:rsidRDefault="00466ABE" w:rsidP="004052F8">
      <w:pPr>
        <w:numPr>
          <w:ilvl w:val="0"/>
          <w:numId w:val="53"/>
        </w:numPr>
        <w:spacing w:before="100" w:beforeAutospacing="1" w:after="100" w:afterAutospacing="1"/>
        <w:jc w:val="both"/>
        <w:rPr>
          <w:rFonts w:asciiTheme="minorHAnsi" w:hAnsiTheme="minorHAnsi"/>
          <w:bCs/>
          <w:sz w:val="22"/>
          <w:szCs w:val="22"/>
        </w:rPr>
      </w:pPr>
      <w:r w:rsidRPr="00CB077C">
        <w:rPr>
          <w:rFonts w:asciiTheme="minorHAnsi" w:hAnsiTheme="minorHAnsi"/>
          <w:bCs/>
          <w:sz w:val="22"/>
          <w:szCs w:val="22"/>
        </w:rPr>
        <w:t>Inclusion of a new product category, ‘spread betting’, which appears to be being used by ESMA as a ‘catch all’ category for the EMIR trade reporting product category ‘Other’.  We also consider that there could be an overlap of this category with the Financial Contracts for Difference (CFD)  product which is defined under MiFID Annex C9 and not C4 which is where FX derivatives are defined</w:t>
      </w:r>
    </w:p>
    <w:p w:rsidR="00466ABE" w:rsidRPr="00CB077C" w:rsidRDefault="00466ABE" w:rsidP="004052F8">
      <w:pPr>
        <w:numPr>
          <w:ilvl w:val="0"/>
          <w:numId w:val="53"/>
        </w:numPr>
        <w:spacing w:before="100" w:beforeAutospacing="1" w:after="100" w:afterAutospacing="1"/>
        <w:jc w:val="both"/>
        <w:rPr>
          <w:rFonts w:asciiTheme="minorHAnsi" w:hAnsiTheme="minorHAnsi"/>
          <w:bCs/>
          <w:sz w:val="22"/>
          <w:szCs w:val="22"/>
        </w:rPr>
      </w:pPr>
      <w:r w:rsidRPr="00CB077C">
        <w:rPr>
          <w:rFonts w:asciiTheme="minorHAnsi" w:hAnsiTheme="minorHAnsi"/>
          <w:bCs/>
          <w:sz w:val="22"/>
          <w:szCs w:val="22"/>
        </w:rPr>
        <w:t>Inclusion of precious metals within the FX data, which at best has the potential to result in confusing and conflicting rules between the FX and Commodities asset classes, and at worst creates unhelpful incentives to repackage economic exposure into different ‘wrappers’ in order to obtain different regulatory treatment. These commodity products should be removed from the requirements for FX products and addressed solely within the requirements for the Commodities asset class.</w:t>
      </w:r>
    </w:p>
    <w:p w:rsidR="00466ABE" w:rsidRPr="00CB077C" w:rsidRDefault="00466ABE" w:rsidP="00CB077C">
      <w:pPr>
        <w:spacing w:before="100" w:beforeAutospacing="1" w:after="100" w:afterAutospacing="1"/>
        <w:jc w:val="both"/>
        <w:rPr>
          <w:rFonts w:asciiTheme="minorHAnsi" w:hAnsiTheme="minorHAnsi"/>
          <w:bCs/>
          <w:sz w:val="22"/>
          <w:szCs w:val="22"/>
        </w:rPr>
      </w:pPr>
      <w:r w:rsidRPr="00CB077C">
        <w:rPr>
          <w:rFonts w:asciiTheme="minorHAnsi" w:hAnsiTheme="minorHAnsi"/>
          <w:bCs/>
          <w:sz w:val="22"/>
          <w:szCs w:val="22"/>
        </w:rPr>
        <w:t xml:space="preserve">The </w:t>
      </w:r>
      <w:r w:rsidRPr="00CB077C">
        <w:rPr>
          <w:rFonts w:asciiTheme="minorHAnsi" w:hAnsiTheme="minorHAnsi"/>
          <w:bCs/>
          <w:sz w:val="22"/>
          <w:szCs w:val="22"/>
          <w:u w:val="single"/>
        </w:rPr>
        <w:t>impact</w:t>
      </w:r>
      <w:r w:rsidRPr="00CB077C">
        <w:rPr>
          <w:rFonts w:asciiTheme="minorHAnsi" w:hAnsiTheme="minorHAnsi"/>
          <w:bCs/>
          <w:sz w:val="22"/>
          <w:szCs w:val="22"/>
        </w:rPr>
        <w:t xml:space="preserve"> of these data inconsistencies is that:</w:t>
      </w:r>
    </w:p>
    <w:p w:rsidR="00466ABE" w:rsidRPr="00CB077C" w:rsidRDefault="00466ABE" w:rsidP="004052F8">
      <w:pPr>
        <w:numPr>
          <w:ilvl w:val="0"/>
          <w:numId w:val="53"/>
        </w:numPr>
        <w:spacing w:before="100" w:beforeAutospacing="1" w:after="100" w:afterAutospacing="1"/>
        <w:jc w:val="both"/>
        <w:rPr>
          <w:rFonts w:asciiTheme="minorHAnsi" w:hAnsiTheme="minorHAnsi"/>
          <w:bCs/>
          <w:sz w:val="22"/>
          <w:szCs w:val="22"/>
        </w:rPr>
      </w:pPr>
      <w:r w:rsidRPr="00CB077C">
        <w:rPr>
          <w:rFonts w:asciiTheme="minorHAnsi" w:hAnsiTheme="minorHAnsi"/>
          <w:bCs/>
          <w:sz w:val="22"/>
          <w:szCs w:val="22"/>
        </w:rPr>
        <w:t>Some FX instruments we had expected to be considered liquid have been classified as illiquid</w:t>
      </w:r>
    </w:p>
    <w:p w:rsidR="00466ABE" w:rsidRPr="00CB077C" w:rsidRDefault="00466ABE" w:rsidP="004052F8">
      <w:pPr>
        <w:numPr>
          <w:ilvl w:val="1"/>
          <w:numId w:val="53"/>
        </w:numPr>
        <w:spacing w:before="100" w:beforeAutospacing="1" w:after="100" w:afterAutospacing="1"/>
        <w:jc w:val="both"/>
        <w:rPr>
          <w:rFonts w:asciiTheme="minorHAnsi" w:hAnsiTheme="minorHAnsi"/>
          <w:bCs/>
          <w:sz w:val="22"/>
          <w:szCs w:val="22"/>
        </w:rPr>
      </w:pPr>
      <w:r w:rsidRPr="00CB077C">
        <w:rPr>
          <w:rFonts w:asciiTheme="minorHAnsi" w:hAnsiTheme="minorHAnsi"/>
          <w:bCs/>
          <w:sz w:val="22"/>
          <w:szCs w:val="22"/>
        </w:rPr>
        <w:t xml:space="preserve">e.g. deliverable forward USDAUD crosses </w:t>
      </w:r>
    </w:p>
    <w:p w:rsidR="00466ABE" w:rsidRPr="00CB077C" w:rsidRDefault="00466ABE" w:rsidP="004052F8">
      <w:pPr>
        <w:numPr>
          <w:ilvl w:val="0"/>
          <w:numId w:val="53"/>
        </w:numPr>
        <w:spacing w:before="100" w:beforeAutospacing="1" w:after="100" w:afterAutospacing="1"/>
        <w:jc w:val="both"/>
        <w:rPr>
          <w:rFonts w:asciiTheme="minorHAnsi" w:hAnsiTheme="minorHAnsi"/>
          <w:bCs/>
          <w:sz w:val="22"/>
          <w:szCs w:val="22"/>
        </w:rPr>
      </w:pPr>
      <w:r w:rsidRPr="00CB077C">
        <w:rPr>
          <w:rFonts w:asciiTheme="minorHAnsi" w:hAnsiTheme="minorHAnsi"/>
          <w:bCs/>
          <w:sz w:val="22"/>
          <w:szCs w:val="22"/>
        </w:rPr>
        <w:t>Some FX instruments which we had expected to be to be considered illiquid have been classified as liquid</w:t>
      </w:r>
    </w:p>
    <w:p w:rsidR="00466ABE" w:rsidRPr="00CB077C" w:rsidRDefault="00466ABE" w:rsidP="004052F8">
      <w:pPr>
        <w:numPr>
          <w:ilvl w:val="1"/>
          <w:numId w:val="53"/>
        </w:numPr>
        <w:spacing w:before="100" w:beforeAutospacing="1" w:after="100" w:afterAutospacing="1"/>
        <w:jc w:val="both"/>
        <w:rPr>
          <w:rFonts w:asciiTheme="minorHAnsi" w:hAnsiTheme="minorHAnsi"/>
          <w:bCs/>
          <w:sz w:val="22"/>
          <w:szCs w:val="22"/>
        </w:rPr>
      </w:pPr>
      <w:r w:rsidRPr="00CB077C">
        <w:rPr>
          <w:rFonts w:asciiTheme="minorHAnsi" w:hAnsiTheme="minorHAnsi"/>
          <w:bCs/>
          <w:sz w:val="22"/>
          <w:szCs w:val="22"/>
        </w:rPr>
        <w:t>e.g. deliverable forward non-USD crosses</w:t>
      </w:r>
    </w:p>
    <w:p w:rsidR="00466ABE" w:rsidRPr="00CB077C" w:rsidRDefault="00466ABE" w:rsidP="004052F8">
      <w:pPr>
        <w:numPr>
          <w:ilvl w:val="0"/>
          <w:numId w:val="53"/>
        </w:numPr>
        <w:spacing w:before="100" w:beforeAutospacing="1" w:after="100" w:afterAutospacing="1"/>
        <w:jc w:val="both"/>
        <w:rPr>
          <w:rFonts w:asciiTheme="minorHAnsi" w:hAnsiTheme="minorHAnsi"/>
          <w:bCs/>
          <w:sz w:val="22"/>
          <w:szCs w:val="22"/>
        </w:rPr>
      </w:pPr>
      <w:r w:rsidRPr="00CB077C">
        <w:rPr>
          <w:rFonts w:asciiTheme="minorHAnsi" w:hAnsiTheme="minorHAnsi"/>
          <w:bCs/>
          <w:sz w:val="22"/>
          <w:szCs w:val="22"/>
        </w:rPr>
        <w:t>Some FX instruments are classified beyond the realms of credulity</w:t>
      </w:r>
    </w:p>
    <w:p w:rsidR="00466ABE" w:rsidRPr="00CB077C" w:rsidRDefault="00466ABE" w:rsidP="004052F8">
      <w:pPr>
        <w:numPr>
          <w:ilvl w:val="1"/>
          <w:numId w:val="53"/>
        </w:numPr>
        <w:spacing w:before="100" w:beforeAutospacing="1" w:after="100" w:afterAutospacing="1"/>
        <w:jc w:val="both"/>
        <w:rPr>
          <w:rFonts w:asciiTheme="minorHAnsi" w:hAnsiTheme="minorHAnsi"/>
          <w:bCs/>
          <w:sz w:val="22"/>
          <w:szCs w:val="22"/>
        </w:rPr>
      </w:pPr>
      <w:r w:rsidRPr="00CB077C">
        <w:rPr>
          <w:rFonts w:asciiTheme="minorHAnsi" w:hAnsiTheme="minorHAnsi"/>
          <w:bCs/>
          <w:sz w:val="22"/>
          <w:szCs w:val="22"/>
        </w:rPr>
        <w:t xml:space="preserve">NDFs – COP-USD pair with a tenor from 4 days to 7 days is considered liquid and the Large-In-Scale (LiS) thresholds are set at a clearly unrealistic €700 million, which is greater than the average daily volume for that market.  </w:t>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 xml:space="preserve">The current ESMA analysis includes a large proportion of instruments which are rarely, if ever, traded as FX non-deliverables. The ESMA analysis includes instruments in non-deliverable currencies that are very rarely [never] traded as deliverables and a large proportion of instruments that typically are not deemed liquid (e.g. non-USD crosses) in the normal course of trading have been categorized as liquid by ESMA.  </w:t>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It also includes erratic instruments such as precious metals and those same metals denominated in currencies other than USD, which are clearly not in the scope of this context.</w:t>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The WMBA reiterate that these false outcomes would not occur if the analysis had been predicated upon the offerings of liquidity of instruments within the EU. However, given the difficulties widely evident with the approach adopted, combined with the passing over of the critical venue data provided by WMBA members, leaves us concerned that ESMA does not propose to recalibrate the liquidity assessment at all. Clearly, in the opinion of the WMBA, a progressive and dynamic data gathering and iteration of the calibration is essential. This should also be adapted to better reflect changing liquidity conditions inherent with not only MiFIR implementation but also the impact on market structure and commensurate liquidity of margin on uncleared derivatives, CRD4, LCR and NSFR through the coming years.</w:t>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In the absence of regular and accurate recalibration, we urge ESMA to compensate through both a more conservative initial assessment of liquidity, and also by calibrating the LiS and SSTI thresholds at lower levels. Finally, such a static approach will not leverage developments within the trade reporting requirements, most notably those being driven by ESMA as well as global standardisation through the use of the UPI.</w:t>
      </w:r>
    </w:p>
    <w:p w:rsidR="00466ABE" w:rsidRPr="00CB077C" w:rsidRDefault="00466ABE" w:rsidP="00CB077C">
      <w:pPr>
        <w:spacing w:before="100" w:beforeAutospacing="1" w:after="100" w:afterAutospacing="1"/>
        <w:contextualSpacing/>
        <w:jc w:val="both"/>
        <w:rPr>
          <w:rFonts w:asciiTheme="minorHAnsi" w:hAnsiTheme="minorHAnsi"/>
          <w:b/>
          <w:sz w:val="22"/>
          <w:szCs w:val="22"/>
        </w:rPr>
      </w:pPr>
      <w:r w:rsidRPr="00CB077C">
        <w:rPr>
          <w:rFonts w:asciiTheme="minorHAnsi" w:hAnsiTheme="minorHAnsi"/>
          <w:b/>
          <w:sz w:val="22"/>
          <w:szCs w:val="22"/>
        </w:rPr>
        <w:t>FX Options</w:t>
      </w:r>
    </w:p>
    <w:p w:rsidR="00466ABE" w:rsidRPr="00CB077C" w:rsidRDefault="00466ABE" w:rsidP="00CB077C">
      <w:pPr>
        <w:spacing w:before="100" w:beforeAutospacing="1" w:after="100" w:afterAutospacing="1"/>
        <w:jc w:val="both"/>
        <w:rPr>
          <w:rFonts w:asciiTheme="minorHAnsi" w:hAnsiTheme="minorHAnsi"/>
          <w:sz w:val="22"/>
          <w:szCs w:val="22"/>
        </w:rPr>
      </w:pP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 xml:space="preserve">As recognised by ESMA and outlined in the BIS data, options are a very important part of the FX market forming approximately 15% of the volume of instruments in scope. They are important to market liquidity formation and supply though delta hedging and they are even more important for end users in their risk management and hedging activities. This fact is most likely disproportionately important for FX relative to the other wholesale markets coming into the scope of MiFIR. Therefore their treatment and consideration needs to be correct and proportionate. The approach proposed by ESMA in the CP is not robust, suitable and consequently not fit for purpose. </w:t>
      </w:r>
    </w:p>
    <w:p w:rsidR="00466ABE" w:rsidRDefault="00466ABE" w:rsidP="00466ABE">
      <w:pPr>
        <w:spacing w:before="100" w:beforeAutospacing="1" w:after="100" w:afterAutospacing="1"/>
        <w:jc w:val="center"/>
      </w:pPr>
      <w:r w:rsidRPr="0072721E">
        <w:rPr>
          <w:bCs/>
          <w:noProof/>
          <w:lang w:eastAsia="en-GB"/>
        </w:rPr>
        <w:drawing>
          <wp:inline distT="0" distB="0" distL="0" distR="0" wp14:anchorId="35ABC732" wp14:editId="1A0587F5">
            <wp:extent cx="3773817" cy="2957863"/>
            <wp:effectExtent l="19050" t="19050" r="17145" b="13970"/>
            <wp:docPr id="12" name="Picture 1"/>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18" cstate="print"/>
                    <a:srcRect l="17668" t="11084" r="21621" b="19759"/>
                    <a:stretch>
                      <a:fillRect/>
                    </a:stretch>
                  </pic:blipFill>
                  <pic:spPr bwMode="auto">
                    <a:xfrm>
                      <a:off x="0" y="0"/>
                      <a:ext cx="3785221" cy="2966801"/>
                    </a:xfrm>
                    <a:prstGeom prst="rect">
                      <a:avLst/>
                    </a:prstGeom>
                    <a:noFill/>
                    <a:ln w="3175">
                      <a:solidFill>
                        <a:schemeClr val="tx1"/>
                      </a:solidFill>
                      <a:miter lim="800000"/>
                      <a:headEnd/>
                      <a:tailEnd/>
                    </a:ln>
                  </pic:spPr>
                </pic:pic>
              </a:graphicData>
            </a:graphic>
          </wp:inline>
        </w:drawing>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The WMBA believe that a liquidity framework for any options market should be broadly based on the workings of the instruments and the operative market structure. We believe that a workable liquidity framework is important in its own right despite the fact that all options in wholesale markets are traded as ‘packaged products’ in delta-neutral pairings, even before combinations of options are considered in a structure. It is the opinion of the WMBA that the ESMA analysis of TR data does not offset the traded options with their associated spot hedge which is a further factor in the failings of the approach set out in the CP. Given that the trade is initiated in a delta-neutral form, it is the passive act of holding the position as other pricing factors change which generates the risk – this is an expansion which is not considered across the MiFID2/MiFIR proposals including both transparency and position reporting.</w:t>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In the first instance, it is clear that the limiting case needs to apply whereby if the underlying is not liquid, then the option cannot be liquid. Secondly it is clear that where the underlying is a liquid product, the option can only be considered liquid if each of the relevant pricing factors (‘</w:t>
      </w:r>
      <w:r w:rsidRPr="00CB077C">
        <w:rPr>
          <w:rFonts w:asciiTheme="minorHAnsi" w:hAnsiTheme="minorHAnsi"/>
          <w:i/>
          <w:sz w:val="22"/>
          <w:szCs w:val="22"/>
        </w:rPr>
        <w:t>the Greeks’: Delta, Theta, Gamma</w:t>
      </w:r>
      <w:r w:rsidRPr="00CB077C">
        <w:rPr>
          <w:rFonts w:asciiTheme="minorHAnsi" w:hAnsiTheme="minorHAnsi"/>
          <w:sz w:val="22"/>
          <w:szCs w:val="22"/>
        </w:rPr>
        <w:t xml:space="preserve">) are in a normal range within certain limits. Therefore, for qualifying options, there is a secondary qualification which is either zero or 1 from a set of binary constraints. These are clearly, however, time dependant, throwing the concept of </w:t>
      </w:r>
      <w:r w:rsidRPr="00CB077C">
        <w:rPr>
          <w:rFonts w:asciiTheme="minorHAnsi" w:hAnsiTheme="minorHAnsi"/>
          <w:i/>
          <w:sz w:val="22"/>
          <w:szCs w:val="22"/>
        </w:rPr>
        <w:t>no-recalibration</w:t>
      </w:r>
      <w:r w:rsidRPr="00CB077C">
        <w:rPr>
          <w:rFonts w:asciiTheme="minorHAnsi" w:hAnsiTheme="minorHAnsi"/>
          <w:sz w:val="22"/>
          <w:szCs w:val="22"/>
        </w:rPr>
        <w:t xml:space="preserve"> into substantial jeopardy in our view unless the qualification for option liquidity is set out in terms of both the underlying instrument and the pertinent parameters of the option. Here, the WMBA would suggest that each of the following criteria need to be satisfied: Delta &gt; 35% / Gamma &lt; 50% / Theta &lt; 50%.</w:t>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Additionally, the WMBA would state that options with multiple strikes or other structured features are simply and clearly stated as illiquid before assignment as packaged products.</w:t>
      </w:r>
    </w:p>
    <w:p w:rsidR="00466ABE" w:rsidRPr="00CB077C" w:rsidRDefault="00466ABE" w:rsidP="00CB077C">
      <w:pPr>
        <w:spacing w:before="100" w:beforeAutospacing="1" w:after="100" w:afterAutospacing="1"/>
        <w:contextualSpacing/>
        <w:jc w:val="both"/>
        <w:rPr>
          <w:rFonts w:asciiTheme="minorHAnsi" w:hAnsiTheme="minorHAnsi"/>
          <w:sz w:val="22"/>
          <w:szCs w:val="22"/>
        </w:rPr>
      </w:pPr>
    </w:p>
    <w:p w:rsidR="00466ABE" w:rsidRDefault="00466ABE" w:rsidP="00CB077C">
      <w:pPr>
        <w:spacing w:before="100" w:beforeAutospacing="1" w:after="100" w:afterAutospacing="1"/>
        <w:contextualSpacing/>
        <w:jc w:val="both"/>
        <w:rPr>
          <w:rFonts w:asciiTheme="minorHAnsi" w:hAnsiTheme="minorHAnsi"/>
          <w:b/>
          <w:bCs/>
          <w:sz w:val="22"/>
          <w:szCs w:val="22"/>
          <w:u w:val="single"/>
        </w:rPr>
      </w:pPr>
      <w:r w:rsidRPr="00CB077C">
        <w:rPr>
          <w:rFonts w:asciiTheme="minorHAnsi" w:hAnsiTheme="minorHAnsi"/>
          <w:b/>
          <w:bCs/>
          <w:sz w:val="22"/>
          <w:szCs w:val="22"/>
          <w:u w:val="single"/>
        </w:rPr>
        <w:t>NDF Markets</w:t>
      </w:r>
    </w:p>
    <w:p w:rsidR="00822471" w:rsidRPr="00CB077C" w:rsidRDefault="00822471" w:rsidP="00CB077C">
      <w:pPr>
        <w:spacing w:before="100" w:beforeAutospacing="1" w:after="100" w:afterAutospacing="1"/>
        <w:contextualSpacing/>
        <w:jc w:val="both"/>
        <w:rPr>
          <w:rFonts w:asciiTheme="minorHAnsi" w:hAnsiTheme="minorHAnsi"/>
          <w:b/>
          <w:bCs/>
          <w:sz w:val="22"/>
          <w:szCs w:val="22"/>
          <w:u w:val="single"/>
        </w:rPr>
      </w:pPr>
    </w:p>
    <w:p w:rsidR="00466ABE" w:rsidRPr="00CB077C" w:rsidRDefault="00466ABE" w:rsidP="00CB077C">
      <w:pPr>
        <w:spacing w:before="100" w:beforeAutospacing="1" w:after="100" w:afterAutospacing="1"/>
        <w:jc w:val="both"/>
        <w:rPr>
          <w:rFonts w:asciiTheme="minorHAnsi" w:hAnsiTheme="minorHAnsi"/>
          <w:bCs/>
          <w:sz w:val="22"/>
          <w:szCs w:val="22"/>
        </w:rPr>
      </w:pPr>
      <w:r w:rsidRPr="00CB077C">
        <w:rPr>
          <w:rFonts w:asciiTheme="minorHAnsi" w:hAnsiTheme="minorHAnsi"/>
          <w:bCs/>
          <w:sz w:val="22"/>
          <w:szCs w:val="22"/>
        </w:rPr>
        <w:t>The NDF market in Europe is approximately 4% of the total FX market. However, much of this as reported are not transactions that actually occurred within the EU, nor by EU counterparties. Rather this is a function of the booking structures used by banks and venues alike. We do not believe that the NDF market has sufficient volume to be considered liquid and recommend that, like structured and exotic options, NDF are deemed illiquid. Any other outcome is both needlessly complex and would encourage the market to migrate outside the EU.</w:t>
      </w:r>
    </w:p>
    <w:p w:rsidR="00466ABE" w:rsidRPr="00CB077C" w:rsidRDefault="00466ABE" w:rsidP="00CB077C">
      <w:pPr>
        <w:spacing w:before="100" w:beforeAutospacing="1" w:after="100" w:afterAutospacing="1"/>
        <w:jc w:val="both"/>
        <w:rPr>
          <w:rFonts w:asciiTheme="minorHAnsi" w:hAnsiTheme="minorHAnsi"/>
          <w:color w:val="000000"/>
          <w:szCs w:val="20"/>
        </w:rPr>
      </w:pPr>
      <w:r w:rsidRPr="00CB077C">
        <w:rPr>
          <w:rFonts w:asciiTheme="minorHAnsi" w:hAnsiTheme="minorHAnsi"/>
          <w:color w:val="000000"/>
          <w:szCs w:val="20"/>
        </w:rPr>
        <w:pict>
          <v:rect id="_x0000_i1027" style="width:0;height:1.5pt" o:hralign="center" o:hrstd="t" o:hr="t" fillcolor="#a0a0a0" stroked="f"/>
        </w:pict>
      </w:r>
    </w:p>
    <w:p w:rsidR="00466ABE" w:rsidRPr="00CB077C" w:rsidRDefault="00466ABE" w:rsidP="00CB077C">
      <w:pPr>
        <w:pStyle w:val="FootnoteText"/>
        <w:jc w:val="both"/>
        <w:rPr>
          <w:rFonts w:asciiTheme="minorHAnsi" w:hAnsiTheme="minorHAnsi"/>
          <w:bCs/>
          <w:i/>
          <w:color w:val="7F7F7F" w:themeColor="text1" w:themeTint="80"/>
          <w:sz w:val="20"/>
        </w:rPr>
      </w:pPr>
      <w:r w:rsidRPr="00CB077C">
        <w:rPr>
          <w:rStyle w:val="FootnoteReference"/>
          <w:rFonts w:asciiTheme="minorHAnsi" w:hAnsiTheme="minorHAnsi"/>
          <w:sz w:val="20"/>
        </w:rPr>
        <w:t>1</w:t>
      </w:r>
      <w:r w:rsidRPr="00CB077C">
        <w:rPr>
          <w:rFonts w:asciiTheme="minorHAnsi" w:hAnsiTheme="minorHAnsi"/>
          <w:sz w:val="20"/>
        </w:rPr>
        <w:t xml:space="preserve"> </w:t>
      </w:r>
      <w:r w:rsidRPr="00CB077C">
        <w:rPr>
          <w:rFonts w:asciiTheme="minorHAnsi" w:hAnsiTheme="minorHAnsi"/>
          <w:bCs/>
          <w:i/>
          <w:color w:val="7F7F7F" w:themeColor="text1" w:themeTint="80"/>
          <w:sz w:val="20"/>
        </w:rPr>
        <w:t xml:space="preserve">Footnote 5 on page 17 clearly states that the number of trading days for the period of data chosen for analysis was 65.  However, Table 1 states that the number of trading days for each of the product types was </w:t>
      </w:r>
      <w:r w:rsidRPr="00CB077C">
        <w:rPr>
          <w:rFonts w:asciiTheme="minorHAnsi" w:hAnsiTheme="minorHAnsi"/>
          <w:bCs/>
          <w:i/>
          <w:color w:val="7F7F7F" w:themeColor="text1" w:themeTint="80"/>
          <w:sz w:val="20"/>
          <w:u w:val="single"/>
        </w:rPr>
        <w:t>above</w:t>
      </w:r>
      <w:r w:rsidRPr="00CB077C">
        <w:rPr>
          <w:rFonts w:asciiTheme="minorHAnsi" w:hAnsiTheme="minorHAnsi"/>
          <w:bCs/>
          <w:i/>
          <w:color w:val="7F7F7F" w:themeColor="text1" w:themeTint="80"/>
          <w:sz w:val="20"/>
        </w:rPr>
        <w:t xml:space="preserve"> 65, and for NDFs was actually 92. We believe that the number of days traded should not exceed 100% which this suggests that yet more of the data submitted to the TR was not representative.</w:t>
      </w:r>
    </w:p>
    <w:p w:rsidR="00466ABE" w:rsidRPr="00CB077C" w:rsidRDefault="00466ABE" w:rsidP="00CB077C">
      <w:pPr>
        <w:pStyle w:val="FootnoteText"/>
        <w:jc w:val="both"/>
        <w:rPr>
          <w:rFonts w:asciiTheme="minorHAnsi" w:hAnsiTheme="minorHAnsi"/>
          <w:bCs/>
          <w:i/>
          <w:color w:val="7F7F7F" w:themeColor="text1" w:themeTint="80"/>
          <w:sz w:val="20"/>
        </w:rPr>
      </w:pPr>
    </w:p>
    <w:p w:rsidR="00466ABE" w:rsidRPr="00CB077C" w:rsidRDefault="00466ABE" w:rsidP="00CB077C">
      <w:pPr>
        <w:pStyle w:val="FootnoteText"/>
        <w:jc w:val="both"/>
        <w:rPr>
          <w:rFonts w:asciiTheme="minorHAnsi" w:hAnsiTheme="minorHAnsi"/>
          <w:i/>
          <w:color w:val="7F7F7F" w:themeColor="text1" w:themeTint="80"/>
          <w:sz w:val="20"/>
        </w:rPr>
      </w:pPr>
      <w:r w:rsidRPr="00CB077C">
        <w:rPr>
          <w:rStyle w:val="FootnoteReference"/>
          <w:rFonts w:asciiTheme="minorHAnsi" w:hAnsiTheme="minorHAnsi"/>
          <w:sz w:val="20"/>
        </w:rPr>
        <w:t>2</w:t>
      </w:r>
      <w:r w:rsidRPr="00CB077C">
        <w:rPr>
          <w:rFonts w:asciiTheme="minorHAnsi" w:hAnsiTheme="minorHAnsi"/>
          <w:sz w:val="20"/>
        </w:rPr>
        <w:t xml:space="preserve"> </w:t>
      </w:r>
      <w:r w:rsidRPr="00CB077C">
        <w:rPr>
          <w:rFonts w:asciiTheme="minorHAnsi" w:hAnsiTheme="minorHAnsi"/>
          <w:i/>
          <w:color w:val="7F7F7F" w:themeColor="text1" w:themeTint="80"/>
          <w:sz w:val="20"/>
        </w:rPr>
        <w:t>For FX, there are at least 6 trade repositories that have been registered in the EU, with the larger market participants almost all reporting to DTCC.  The dual sided nature of reporting creates the need for both parties to validate that their submission matches that of their counterparty and this is usually performed via exception (or ‘miss-matching’) reporting.  During the first 3 months of data submissions (i.e. the extract used by ESMA in this CP), the ability for either party to check their submission for accuracy intra TR, or even inter TRs, did not exist due to the absence of any exception reporting.  Even now, some 14 months since the go-live of EMIR trade reporting obligations, the availability of exception reporting is limited.  ESMA therefore used miss-matched trade data in their assessment of trading activity in Europe, impacting their assessment of notionals, financial instruments and volumes traded.</w:t>
      </w:r>
    </w:p>
    <w:p w:rsidR="00466ABE" w:rsidRPr="00CB077C" w:rsidRDefault="00466ABE" w:rsidP="00CB077C">
      <w:pPr>
        <w:pStyle w:val="FootnoteText"/>
        <w:jc w:val="both"/>
        <w:rPr>
          <w:rFonts w:asciiTheme="minorHAnsi" w:hAnsiTheme="minorHAnsi"/>
          <w:sz w:val="20"/>
        </w:rPr>
      </w:pPr>
    </w:p>
    <w:p w:rsidR="00466ABE" w:rsidRPr="00CB077C" w:rsidRDefault="00466ABE" w:rsidP="00CB077C">
      <w:pPr>
        <w:pStyle w:val="FootnoteText"/>
        <w:jc w:val="both"/>
        <w:rPr>
          <w:rFonts w:asciiTheme="minorHAnsi" w:hAnsiTheme="minorHAnsi"/>
          <w:sz w:val="20"/>
        </w:rPr>
      </w:pPr>
    </w:p>
    <w:p w:rsidR="00466ABE" w:rsidRPr="00CB077C" w:rsidRDefault="00466ABE" w:rsidP="00CB077C">
      <w:pPr>
        <w:pStyle w:val="FootnoteText"/>
        <w:jc w:val="both"/>
        <w:rPr>
          <w:rFonts w:asciiTheme="minorHAnsi" w:hAnsiTheme="minorHAnsi"/>
          <w:sz w:val="20"/>
        </w:rPr>
      </w:pPr>
      <w:r w:rsidRPr="00CB077C">
        <w:rPr>
          <w:rStyle w:val="FootnoteReference"/>
          <w:rFonts w:asciiTheme="minorHAnsi" w:hAnsiTheme="minorHAnsi"/>
          <w:sz w:val="20"/>
        </w:rPr>
        <w:t>3</w:t>
      </w:r>
      <w:r w:rsidRPr="00CB077C">
        <w:rPr>
          <w:rFonts w:asciiTheme="minorHAnsi" w:hAnsiTheme="minorHAnsi"/>
          <w:sz w:val="20"/>
        </w:rPr>
        <w:t xml:space="preserve"> </w:t>
      </w:r>
      <w:r w:rsidRPr="00CB077C">
        <w:rPr>
          <w:rFonts w:asciiTheme="minorHAnsi" w:hAnsiTheme="minorHAnsi"/>
          <w:bCs/>
          <w:i/>
          <w:color w:val="7F7F7F" w:themeColor="text1" w:themeTint="80"/>
          <w:sz w:val="20"/>
        </w:rPr>
        <w:t>Whilst the BoE survey captures the UK market only, it is important to understand that this represents 70% of the FX market in Europe (by notional traded) and is considered representative across Europe. Both data sources have been used over a number of years (BoE since 2008, for instance), with the data collection models being refined over time.  These surveys are considered accurate by the FX industry, including central banks and ESMA (BIS was used by ESMA in the 2014 CP on FX NDF Clearing).</w:t>
      </w:r>
    </w:p>
    <w:p w:rsidR="00466ABE" w:rsidRPr="0072721E" w:rsidRDefault="00466ABE" w:rsidP="00466ABE">
      <w:pPr>
        <w:spacing w:before="100" w:beforeAutospacing="1" w:after="100" w:afterAutospacing="1"/>
      </w:pPr>
    </w:p>
    <w:permEnd w:id="959666126"/>
    <w:p w:rsidR="00A8728B" w:rsidRDefault="00A8728B" w:rsidP="00A8728B">
      <w:r>
        <w:t>&lt;ESMA_QUESTION_MIFID_ADD_1&gt;</w:t>
      </w:r>
    </w:p>
    <w:p w:rsidR="00A8728B" w:rsidRDefault="00A8728B" w:rsidP="00A8728B">
      <w:pPr>
        <w:pStyle w:val="CPQuestions"/>
        <w:ind w:left="714" w:hanging="357"/>
      </w:pPr>
      <w:r w:rsidRPr="00C24BCA">
        <w:t>Do you agree with ESMA’s proposal for foreign exchange derivatives? Please specify, for each sub-class (non-deliverable forwards</w:t>
      </w:r>
      <w:r>
        <w:t xml:space="preserve"> (NDF), deliverable forwards (DF)</w:t>
      </w:r>
      <w:r w:rsidRPr="000E6B5B">
        <w:t xml:space="preserve">, </w:t>
      </w:r>
      <w:r>
        <w:t>FX options, FX swaps,</w:t>
      </w:r>
      <w:r w:rsidRPr="00A94FC9">
        <w:t xml:space="preserve"> </w:t>
      </w:r>
      <w:r>
        <w:t>spread betting and FX futures)</w:t>
      </w:r>
      <w:r w:rsidRPr="000E6B5B">
        <w:t xml:space="preserve"> if you agree on the following points providing reasons for your answer and, if you disagree providing ESMA with your alternative proposal:</w:t>
      </w:r>
      <w:r w:rsidRPr="00B62727">
        <w:t xml:space="preserve"> </w:t>
      </w:r>
    </w:p>
    <w:p w:rsidR="00A8728B" w:rsidRPr="00B62727" w:rsidRDefault="00A8728B" w:rsidP="00566C6A">
      <w:pPr>
        <w:pStyle w:val="CPQuest2"/>
        <w:numPr>
          <w:ilvl w:val="0"/>
          <w:numId w:val="37"/>
        </w:numPr>
      </w:pPr>
      <w:r w:rsidRPr="00B62727">
        <w:t>deferral period set to 48 hours</w:t>
      </w:r>
    </w:p>
    <w:p w:rsidR="00A8728B" w:rsidRPr="00B62727" w:rsidRDefault="00A8728B" w:rsidP="00566C6A">
      <w:pPr>
        <w:pStyle w:val="CPQuest2"/>
      </w:pPr>
      <w:r w:rsidRPr="00B62727">
        <w:t>size specific to the instrument threshold set as 50% of the large in scale threshold</w:t>
      </w:r>
    </w:p>
    <w:p w:rsidR="00A8728B" w:rsidRPr="00C24BCA" w:rsidRDefault="00A8728B" w:rsidP="00566C6A">
      <w:pPr>
        <w:pStyle w:val="CPQuest2"/>
      </w:pPr>
      <w:r w:rsidRPr="00B62727">
        <w:t xml:space="preserve">volume measure used to set the large in scale and size specific to the instrument threshold as </w:t>
      </w:r>
      <w:r w:rsidRPr="00C24BCA">
        <w:t>specified in Annex II, Table 3 of draft RTS 9</w:t>
      </w:r>
    </w:p>
    <w:p w:rsidR="00A8728B" w:rsidRPr="00B62727" w:rsidRDefault="00A8728B" w:rsidP="00566C6A">
      <w:pPr>
        <w:pStyle w:val="CPQuest2"/>
      </w:pPr>
      <w:r w:rsidRPr="00B62727">
        <w:t xml:space="preserve">pre-trade and post-trade </w:t>
      </w:r>
      <w:r>
        <w:t>thresholds set at the same size</w:t>
      </w:r>
    </w:p>
    <w:p w:rsidR="00A8728B" w:rsidRDefault="00A8728B" w:rsidP="00566C6A">
      <w:pPr>
        <w:pStyle w:val="CPQuest2"/>
      </w:pPr>
      <w:r w:rsidRPr="00B62727">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A8728B" w:rsidRPr="00B62727" w:rsidRDefault="00A8728B" w:rsidP="00566C6A">
      <w:pPr>
        <w:pStyle w:val="CPQuest2"/>
      </w:pPr>
      <w:r>
        <w:rPr>
          <w:u w:val="single"/>
        </w:rPr>
        <w:t>f</w:t>
      </w:r>
      <w:r w:rsidRPr="00A94FC9">
        <w:rPr>
          <w:u w:val="single"/>
        </w:rPr>
        <w:t xml:space="preserve">or non-deliverable forwards (NDF) and spread betting </w:t>
      </w:r>
      <w:r>
        <w:rPr>
          <w:u w:val="single"/>
        </w:rPr>
        <w:t xml:space="preserve">contracts </w:t>
      </w:r>
      <w:r w:rsidRPr="00A94FC9">
        <w:rPr>
          <w:u w:val="single"/>
        </w:rPr>
        <w:t>only:</w:t>
      </w:r>
      <w:r>
        <w:t xml:space="preserve"> </w:t>
      </w:r>
      <w:r w:rsidRPr="00A90E83">
        <w:t>express your preference</w:t>
      </w:r>
      <w:r>
        <w:t xml:space="preserve"> for </w:t>
      </w:r>
      <w:r w:rsidRPr="00A90E83">
        <w:t>either “</w:t>
      </w:r>
      <w:r>
        <w:t>Alternative</w:t>
      </w:r>
      <w:r w:rsidRPr="00A90E83">
        <w:t xml:space="preserve"> </w:t>
      </w:r>
      <w:r>
        <w:t>A</w:t>
      </w:r>
      <w:r w:rsidRPr="00A90E83">
        <w:t>” or “</w:t>
      </w:r>
      <w:r>
        <w:t>Alternative</w:t>
      </w:r>
      <w:r w:rsidRPr="00A90E83">
        <w:t xml:space="preserve"> </w:t>
      </w:r>
      <w:r>
        <w:t>B</w:t>
      </w:r>
      <w:r w:rsidRPr="00A90E83">
        <w:t xml:space="preserve">”. If you disagree with both ESMA’s proposal provides your alternative proposal </w:t>
      </w:r>
      <w:r>
        <w:t>for the LIS threshold floor.</w:t>
      </w:r>
    </w:p>
    <w:p w:rsidR="00A8728B" w:rsidRDefault="00A8728B" w:rsidP="00A8728B">
      <w:r>
        <w:t>&lt;ESMA_QUESTION_MIFID_ADD_2&gt;</w:t>
      </w:r>
    </w:p>
    <w:p w:rsidR="00466ABE" w:rsidRPr="00CB077C" w:rsidRDefault="00466ABE" w:rsidP="00CB077C">
      <w:pPr>
        <w:spacing w:before="100" w:beforeAutospacing="1" w:after="100" w:afterAutospacing="1"/>
        <w:jc w:val="both"/>
        <w:rPr>
          <w:rFonts w:asciiTheme="minorHAnsi" w:hAnsiTheme="minorHAnsi" w:cs="Arial"/>
          <w:bCs/>
          <w:sz w:val="22"/>
          <w:szCs w:val="22"/>
        </w:rPr>
      </w:pPr>
      <w:permStart w:id="409210927" w:edGrp="everyone"/>
      <w:r w:rsidRPr="00CB077C">
        <w:rPr>
          <w:rFonts w:asciiTheme="minorHAnsi" w:hAnsiTheme="minorHAnsi" w:cs="Arial"/>
          <w:bCs/>
          <w:sz w:val="22"/>
          <w:szCs w:val="22"/>
        </w:rPr>
        <w:t xml:space="preserve">For FX non-deliverable forwards (NDF), FX forwards, FX options and FX swaps, the WMBA does not agree with ESMA’s proposals, each of which is discussed in more details below.  </w:t>
      </w:r>
    </w:p>
    <w:p w:rsidR="00466ABE" w:rsidRPr="00CB077C" w:rsidRDefault="00466ABE" w:rsidP="00CB077C">
      <w:pPr>
        <w:spacing w:before="100" w:beforeAutospacing="1" w:after="100" w:afterAutospacing="1"/>
        <w:contextualSpacing/>
        <w:jc w:val="both"/>
        <w:rPr>
          <w:rFonts w:asciiTheme="minorHAnsi" w:hAnsiTheme="minorHAnsi" w:cs="Arial"/>
          <w:b/>
          <w:sz w:val="22"/>
          <w:szCs w:val="22"/>
        </w:rPr>
      </w:pPr>
    </w:p>
    <w:p w:rsidR="00466ABE" w:rsidRPr="00CB077C" w:rsidRDefault="00466ABE" w:rsidP="00CB077C">
      <w:pPr>
        <w:spacing w:before="100" w:beforeAutospacing="1" w:after="100" w:afterAutospacing="1"/>
        <w:contextualSpacing/>
        <w:jc w:val="both"/>
        <w:rPr>
          <w:rFonts w:asciiTheme="minorHAnsi" w:hAnsiTheme="minorHAnsi" w:cs="Arial"/>
          <w:b/>
          <w:sz w:val="22"/>
          <w:szCs w:val="22"/>
        </w:rPr>
      </w:pPr>
      <w:r w:rsidRPr="00CB077C">
        <w:rPr>
          <w:rFonts w:asciiTheme="minorHAnsi" w:hAnsiTheme="minorHAnsi" w:cs="Arial"/>
          <w:b/>
          <w:sz w:val="22"/>
          <w:szCs w:val="22"/>
        </w:rPr>
        <w:t xml:space="preserve">(1) </w:t>
      </w:r>
      <w:proofErr w:type="gramStart"/>
      <w:r w:rsidRPr="00CB077C">
        <w:rPr>
          <w:rFonts w:asciiTheme="minorHAnsi" w:hAnsiTheme="minorHAnsi" w:cs="Arial"/>
          <w:b/>
          <w:sz w:val="22"/>
          <w:szCs w:val="22"/>
        </w:rPr>
        <w:t>deferral</w:t>
      </w:r>
      <w:proofErr w:type="gramEnd"/>
      <w:r w:rsidRPr="00CB077C">
        <w:rPr>
          <w:rFonts w:asciiTheme="minorHAnsi" w:hAnsiTheme="minorHAnsi" w:cs="Arial"/>
          <w:b/>
          <w:sz w:val="22"/>
          <w:szCs w:val="22"/>
        </w:rPr>
        <w:t xml:space="preserve"> period set to 48 hours </w:t>
      </w:r>
    </w:p>
    <w:p w:rsidR="00466ABE" w:rsidRPr="00CB077C" w:rsidRDefault="00466ABE" w:rsidP="00CB077C">
      <w:pPr>
        <w:spacing w:before="100" w:beforeAutospacing="1" w:after="100" w:afterAutospacing="1"/>
        <w:contextualSpacing/>
        <w:jc w:val="both"/>
        <w:rPr>
          <w:rFonts w:asciiTheme="minorHAnsi" w:hAnsiTheme="minorHAnsi"/>
          <w:sz w:val="22"/>
          <w:szCs w:val="22"/>
        </w:rPr>
      </w:pP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A volume omission regime is necessary but is not sufficient. The WMBA notes that a period of 48 hours is often trivial in the time taken to execute a client FX order, especially if it involves long term risk and structured products. Therefore, it may be necessary to protect market participants by extending deferrals for a minimum of a month. Further, whilst ESMA proposes volume masks, the other related trade details are frequently far more indicative to the wholesale markets of the ongoing order and therefore the masking and deferrals need to be far more comprehensive than proposed.</w:t>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Further, in our prior reply, the WMBA noted that a rolling 48 hour deferral is overly complex to operate where participants and venues are transacting large volumes of trades. Rather we would commend ESMA to replace any rolling date with fixed end of day deferrals in order to simply manage wholesale compliance.</w:t>
      </w:r>
    </w:p>
    <w:p w:rsidR="00466ABE" w:rsidRPr="00CB077C" w:rsidRDefault="00466ABE" w:rsidP="00CB077C">
      <w:pPr>
        <w:spacing w:before="100" w:beforeAutospacing="1" w:after="100" w:afterAutospacing="1"/>
        <w:jc w:val="both"/>
        <w:rPr>
          <w:rFonts w:asciiTheme="minorHAnsi" w:hAnsiTheme="minorHAnsi"/>
          <w:sz w:val="22"/>
          <w:szCs w:val="22"/>
        </w:rPr>
      </w:pPr>
      <w:r w:rsidRPr="00CB077C">
        <w:rPr>
          <w:rFonts w:asciiTheme="minorHAnsi" w:hAnsiTheme="minorHAnsi"/>
          <w:sz w:val="22"/>
          <w:szCs w:val="22"/>
        </w:rPr>
        <w:t>The WMBA would, however, add that unmasking volume can be extremely detrimental to the abilities of a market maker to unwind risk resulting from a large transaction, and therefore 48 hours is only adequate if National Competent Authorities (NCAs) permit extended volume omission as envisaged under the supplementary deferral regime.</w:t>
      </w:r>
    </w:p>
    <w:p w:rsidR="00466ABE" w:rsidRPr="00466ABE" w:rsidRDefault="00466ABE" w:rsidP="00466ABE">
      <w:pPr>
        <w:spacing w:before="100" w:beforeAutospacing="1" w:after="100" w:afterAutospacing="1"/>
        <w:contextualSpacing/>
        <w:rPr>
          <w:rFonts w:asciiTheme="minorHAnsi" w:hAnsiTheme="minorHAnsi"/>
          <w:sz w:val="22"/>
          <w:szCs w:val="22"/>
        </w:rPr>
      </w:pPr>
    </w:p>
    <w:p w:rsidR="00466ABE" w:rsidRPr="00466ABE" w:rsidRDefault="00466ABE" w:rsidP="00466ABE">
      <w:pPr>
        <w:spacing w:before="100" w:beforeAutospacing="1" w:after="100" w:afterAutospacing="1"/>
        <w:contextualSpacing/>
        <w:jc w:val="both"/>
        <w:rPr>
          <w:rFonts w:asciiTheme="minorHAnsi" w:hAnsiTheme="minorHAnsi" w:cs="Arial"/>
          <w:b/>
          <w:sz w:val="22"/>
          <w:szCs w:val="22"/>
        </w:rPr>
      </w:pPr>
      <w:r w:rsidRPr="00466ABE">
        <w:rPr>
          <w:rFonts w:asciiTheme="minorHAnsi" w:hAnsiTheme="minorHAnsi" w:cs="Arial"/>
          <w:b/>
          <w:sz w:val="22"/>
          <w:szCs w:val="22"/>
        </w:rPr>
        <w:t xml:space="preserve">(2) </w:t>
      </w:r>
      <w:proofErr w:type="gramStart"/>
      <w:r w:rsidRPr="00466ABE">
        <w:rPr>
          <w:rFonts w:asciiTheme="minorHAnsi" w:hAnsiTheme="minorHAnsi" w:cs="Arial"/>
          <w:b/>
          <w:sz w:val="22"/>
          <w:szCs w:val="22"/>
        </w:rPr>
        <w:t>size</w:t>
      </w:r>
      <w:proofErr w:type="gramEnd"/>
      <w:r w:rsidRPr="00466ABE">
        <w:rPr>
          <w:rFonts w:asciiTheme="minorHAnsi" w:hAnsiTheme="minorHAnsi" w:cs="Arial"/>
          <w:b/>
          <w:sz w:val="22"/>
          <w:szCs w:val="22"/>
        </w:rPr>
        <w:t xml:space="preserve"> specific to the instrument threshold set as 50% of the large in scale threshold</w:t>
      </w:r>
    </w:p>
    <w:p w:rsidR="00466ABE" w:rsidRPr="00466ABE" w:rsidRDefault="00466ABE" w:rsidP="00466ABE">
      <w:pPr>
        <w:spacing w:before="100" w:beforeAutospacing="1" w:after="100" w:afterAutospacing="1"/>
        <w:contextualSpacing/>
        <w:jc w:val="both"/>
        <w:rPr>
          <w:rFonts w:asciiTheme="minorHAnsi" w:hAnsiTheme="minorHAnsi" w:cs="Arial"/>
          <w:b/>
          <w:sz w:val="22"/>
          <w:szCs w:val="22"/>
        </w:rPr>
      </w:pPr>
    </w:p>
    <w:p w:rsidR="00466ABE" w:rsidRPr="00466ABE" w:rsidRDefault="00466ABE" w:rsidP="00466ABE">
      <w:pPr>
        <w:spacing w:before="100" w:beforeAutospacing="1" w:after="100" w:afterAutospacing="1"/>
        <w:jc w:val="both"/>
        <w:rPr>
          <w:rFonts w:asciiTheme="minorHAnsi" w:hAnsiTheme="minorHAnsi"/>
          <w:sz w:val="22"/>
          <w:szCs w:val="22"/>
        </w:rPr>
      </w:pPr>
      <w:r w:rsidRPr="00466ABE">
        <w:rPr>
          <w:rFonts w:asciiTheme="minorHAnsi" w:hAnsiTheme="minorHAnsi"/>
          <w:sz w:val="22"/>
          <w:szCs w:val="22"/>
        </w:rPr>
        <w:t>The WMBA have been keen advocates of the SSTI and repeat here our firm view that the SSTI is necessary to mitigate the specific risks of liquidity commitment and is therefore very different in scope and threshold to the LiS measure. As such, we have consistently set out our understanding that the SSTI should be formulated bottom up from a risk basis rather than top down from a framework basis akin to the LiS waiver. This fact stands independently of the multiple and manifest errors in the LiS data set stemming from the poor and incomplete data set utilised by ESMA from TRs</w:t>
      </w:r>
      <w:r w:rsidRPr="00466ABE">
        <w:rPr>
          <w:rStyle w:val="FootnoteReference"/>
          <w:rFonts w:asciiTheme="minorHAnsi" w:hAnsiTheme="minorHAnsi"/>
          <w:sz w:val="22"/>
          <w:szCs w:val="22"/>
        </w:rPr>
        <w:footnoteReference w:id="7"/>
      </w:r>
      <w:r w:rsidRPr="00466ABE">
        <w:rPr>
          <w:rFonts w:asciiTheme="minorHAnsi" w:hAnsiTheme="minorHAnsi"/>
          <w:sz w:val="22"/>
          <w:szCs w:val="22"/>
        </w:rPr>
        <w:t>. Further, it is clearly wrong to witness the value of the LiS increasing with tenor, which is contrary to that observed in the market.</w:t>
      </w:r>
    </w:p>
    <w:p w:rsidR="00466ABE" w:rsidRPr="00466ABE" w:rsidRDefault="00466ABE" w:rsidP="00466ABE">
      <w:pPr>
        <w:spacing w:before="100" w:beforeAutospacing="1" w:after="100" w:afterAutospacing="1"/>
        <w:jc w:val="both"/>
        <w:rPr>
          <w:rFonts w:asciiTheme="minorHAnsi" w:hAnsiTheme="minorHAnsi"/>
          <w:sz w:val="22"/>
          <w:szCs w:val="22"/>
        </w:rPr>
      </w:pPr>
      <w:r w:rsidRPr="00466ABE">
        <w:rPr>
          <w:rFonts w:asciiTheme="minorHAnsi" w:hAnsiTheme="minorHAnsi"/>
          <w:sz w:val="22"/>
          <w:szCs w:val="22"/>
        </w:rPr>
        <w:t>For global wholesale markets, the SSTI needs to encompass the standard market size of risk transfer. Therefore, to calculate the SSTI as both a derivation of the LiS and also as a derivation of the dealer-to-customer trade population rather than the dealer-to-dealer risk offset are both grossly inappropriate. The WMBA set out in the February 2015 CP our approach of comparing standard market size against the proposed SSTI metric to create a gap analysis and we repeat that offer here. Breaking the link to LiS would prevent the SSTI being skewed by individual, large transactions (which could result under ESMA’s current proposal for LiS calibration).</w:t>
      </w:r>
    </w:p>
    <w:p w:rsidR="00466ABE" w:rsidRPr="00466ABE" w:rsidRDefault="00466ABE" w:rsidP="00466ABE">
      <w:pPr>
        <w:spacing w:before="100" w:beforeAutospacing="1" w:after="100" w:afterAutospacing="1"/>
        <w:jc w:val="both"/>
        <w:rPr>
          <w:rFonts w:asciiTheme="minorHAnsi" w:hAnsiTheme="minorHAnsi"/>
          <w:bCs/>
          <w:sz w:val="22"/>
          <w:szCs w:val="22"/>
        </w:rPr>
      </w:pPr>
      <w:r w:rsidRPr="00466ABE">
        <w:rPr>
          <w:rFonts w:asciiTheme="minorHAnsi" w:hAnsiTheme="minorHAnsi"/>
          <w:sz w:val="22"/>
          <w:szCs w:val="22"/>
        </w:rPr>
        <w:t xml:space="preserve">Repeating our comments of the prior CP, the </w:t>
      </w:r>
      <w:r w:rsidRPr="00466ABE">
        <w:rPr>
          <w:rFonts w:asciiTheme="minorHAnsi" w:hAnsiTheme="minorHAnsi"/>
          <w:bCs/>
          <w:sz w:val="22"/>
          <w:szCs w:val="22"/>
        </w:rPr>
        <w:t>WMBA do not support the proposal that the SSTI threshold is set as 50% of the LiS threshold which is both arbitrary and too high to correct for the errors in the control framework. For simplicity and until a suitable database of EU trades can be assembled in the period from 2017, the WMBA proposed that the SSTI should be set at 10% of the LiS threshold for the relevant sub-class.</w:t>
      </w:r>
    </w:p>
    <w:p w:rsidR="00466ABE" w:rsidRPr="00466ABE" w:rsidRDefault="00466ABE" w:rsidP="00466ABE">
      <w:pPr>
        <w:spacing w:before="100" w:beforeAutospacing="1" w:after="100" w:afterAutospacing="1"/>
        <w:jc w:val="both"/>
        <w:rPr>
          <w:rFonts w:asciiTheme="minorHAnsi" w:hAnsiTheme="minorHAnsi"/>
          <w:sz w:val="22"/>
          <w:szCs w:val="22"/>
        </w:rPr>
      </w:pPr>
      <w:r w:rsidRPr="00466ABE">
        <w:rPr>
          <w:rFonts w:asciiTheme="minorHAnsi" w:hAnsiTheme="minorHAnsi"/>
          <w:bCs/>
          <w:sz w:val="22"/>
          <w:szCs w:val="22"/>
        </w:rPr>
        <w:t xml:space="preserve">Secondly, the WMBA </w:t>
      </w:r>
      <w:r w:rsidRPr="00466ABE">
        <w:rPr>
          <w:rFonts w:asciiTheme="minorHAnsi" w:hAnsiTheme="minorHAnsi"/>
          <w:sz w:val="22"/>
          <w:szCs w:val="22"/>
        </w:rPr>
        <w:t>set out in the February 2015 CP our approach of separating the pre-trade SSTI/LiS from the post-trade SSTI/LiS. Clearly the risks to market participants engaging in risk transfer and committing risk capital are more significant in the pre-trade context: a counterparty is putting its capital at risk and pre-trade disclosure of its quoted prices increases the possibility that the market will move against the firm before it is able to execute those transactions. The risks are of a different nature in the post-trade context where they relate to the management of the new exposures and related hedging.</w:t>
      </w:r>
    </w:p>
    <w:p w:rsidR="00466ABE" w:rsidRPr="00466ABE" w:rsidRDefault="00466ABE" w:rsidP="00466ABE">
      <w:pPr>
        <w:spacing w:before="100" w:beforeAutospacing="1" w:after="100" w:afterAutospacing="1"/>
        <w:jc w:val="both"/>
        <w:rPr>
          <w:rFonts w:asciiTheme="minorHAnsi" w:hAnsiTheme="minorHAnsi"/>
          <w:sz w:val="22"/>
          <w:szCs w:val="22"/>
        </w:rPr>
      </w:pPr>
      <w:r w:rsidRPr="00466ABE">
        <w:rPr>
          <w:rFonts w:asciiTheme="minorHAnsi" w:hAnsiTheme="minorHAnsi"/>
          <w:sz w:val="22"/>
          <w:szCs w:val="22"/>
        </w:rPr>
        <w:t>Whilst the WMBA advocate a metric of standard market size, it is also appropriate to consider generating the SSTI from the median trade size in the EU.  In respect of this we highlight the very strong trend for smaller and small trade size in FX as a consequence of both electronic latency and lower transaction costs. This is clearly demonstrated in the CLS trade size statistics for spot transactions.</w:t>
      </w:r>
    </w:p>
    <w:p w:rsidR="00466ABE" w:rsidRDefault="00466ABE" w:rsidP="00466ABE">
      <w:pPr>
        <w:spacing w:before="100" w:beforeAutospacing="1" w:after="100" w:afterAutospacing="1"/>
        <w:jc w:val="center"/>
      </w:pPr>
      <w:r>
        <w:rPr>
          <w:noProof/>
          <w:lang w:eastAsia="en-GB"/>
        </w:rPr>
        <w:drawing>
          <wp:inline distT="0" distB="0" distL="0" distR="0" wp14:anchorId="285EBB1E" wp14:editId="553D317C">
            <wp:extent cx="4221887" cy="3124084"/>
            <wp:effectExtent l="0" t="0" r="762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5938" cy="3127081"/>
                    </a:xfrm>
                    <a:prstGeom prst="rect">
                      <a:avLst/>
                    </a:prstGeom>
                  </pic:spPr>
                </pic:pic>
              </a:graphicData>
            </a:graphic>
          </wp:inline>
        </w:drawing>
      </w:r>
    </w:p>
    <w:p w:rsidR="00466ABE" w:rsidRPr="00466ABE" w:rsidRDefault="00466ABE" w:rsidP="00822471">
      <w:pPr>
        <w:spacing w:before="100" w:beforeAutospacing="1" w:after="100" w:afterAutospacing="1"/>
        <w:contextualSpacing/>
        <w:jc w:val="both"/>
        <w:rPr>
          <w:rFonts w:asciiTheme="minorHAnsi" w:hAnsiTheme="minorHAnsi" w:cs="Arial"/>
          <w:b/>
          <w:sz w:val="22"/>
          <w:szCs w:val="22"/>
        </w:rPr>
      </w:pPr>
      <w:r w:rsidRPr="00466ABE">
        <w:rPr>
          <w:rFonts w:asciiTheme="minorHAnsi" w:hAnsiTheme="minorHAnsi" w:cs="Arial"/>
          <w:b/>
          <w:sz w:val="22"/>
          <w:szCs w:val="22"/>
        </w:rPr>
        <w:t>(3) Volume measure used to set the large in scale and size specific to the instrument threshold as specified in Annex II, Table 3 of draft RTS 9</w:t>
      </w:r>
    </w:p>
    <w:p w:rsidR="00466ABE" w:rsidRPr="00466ABE" w:rsidRDefault="00466ABE" w:rsidP="00822471">
      <w:pPr>
        <w:spacing w:before="100" w:beforeAutospacing="1" w:after="100" w:afterAutospacing="1"/>
        <w:contextualSpacing/>
        <w:jc w:val="both"/>
        <w:rPr>
          <w:rFonts w:asciiTheme="minorHAnsi" w:hAnsiTheme="minorHAnsi" w:cs="Arial"/>
          <w:b/>
          <w:sz w:val="22"/>
          <w:szCs w:val="22"/>
        </w:rPr>
      </w:pPr>
    </w:p>
    <w:p w:rsidR="00466ABE" w:rsidRPr="00466ABE" w:rsidRDefault="00466ABE" w:rsidP="00822471">
      <w:pPr>
        <w:spacing w:before="100" w:beforeAutospacing="1" w:after="100" w:afterAutospacing="1"/>
        <w:contextualSpacing/>
        <w:jc w:val="both"/>
        <w:rPr>
          <w:rFonts w:asciiTheme="minorHAnsi" w:hAnsiTheme="minorHAnsi" w:cs="Arial"/>
          <w:b/>
          <w:sz w:val="22"/>
          <w:szCs w:val="22"/>
        </w:rPr>
      </w:pPr>
      <w:r w:rsidRPr="00466ABE">
        <w:rPr>
          <w:rFonts w:asciiTheme="minorHAnsi" w:hAnsiTheme="minorHAnsi"/>
          <w:sz w:val="22"/>
          <w:szCs w:val="22"/>
        </w:rPr>
        <w:t>The WMBA note that the volume measure used to set the waiver thresholds in Table 3 is the ‘notional amount’ in the case of non-deliverable FX Forwards. This would appear to us to be the appropriate measure.</w:t>
      </w:r>
    </w:p>
    <w:p w:rsidR="00466ABE" w:rsidRPr="00466ABE" w:rsidRDefault="00466ABE" w:rsidP="00822471">
      <w:pPr>
        <w:spacing w:before="100" w:beforeAutospacing="1" w:after="100" w:afterAutospacing="1"/>
        <w:contextualSpacing/>
        <w:jc w:val="both"/>
        <w:rPr>
          <w:rFonts w:asciiTheme="minorHAnsi" w:hAnsiTheme="minorHAnsi" w:cs="Arial"/>
          <w:b/>
          <w:sz w:val="22"/>
          <w:szCs w:val="22"/>
        </w:rPr>
      </w:pPr>
    </w:p>
    <w:p w:rsidR="00466ABE" w:rsidRPr="00466ABE" w:rsidRDefault="00466ABE" w:rsidP="00822471">
      <w:pPr>
        <w:spacing w:before="100" w:beforeAutospacing="1" w:after="100" w:afterAutospacing="1"/>
        <w:contextualSpacing/>
        <w:jc w:val="both"/>
        <w:rPr>
          <w:rFonts w:asciiTheme="minorHAnsi" w:hAnsiTheme="minorHAnsi" w:cs="Arial"/>
          <w:b/>
          <w:sz w:val="22"/>
          <w:szCs w:val="22"/>
        </w:rPr>
      </w:pPr>
      <w:r w:rsidRPr="00466ABE">
        <w:rPr>
          <w:rFonts w:asciiTheme="minorHAnsi" w:hAnsiTheme="minorHAnsi" w:cs="Arial"/>
          <w:b/>
          <w:sz w:val="22"/>
          <w:szCs w:val="22"/>
        </w:rPr>
        <w:t>(4) Pre-trade and post-trade thresholds set at the same size</w:t>
      </w:r>
    </w:p>
    <w:p w:rsidR="00466ABE" w:rsidRPr="00466ABE" w:rsidRDefault="00466ABE" w:rsidP="00822471">
      <w:pPr>
        <w:spacing w:before="100" w:beforeAutospacing="1" w:after="100" w:afterAutospacing="1"/>
        <w:contextualSpacing/>
        <w:jc w:val="both"/>
        <w:rPr>
          <w:rFonts w:asciiTheme="minorHAnsi" w:hAnsiTheme="minorHAnsi" w:cs="Arial"/>
          <w:b/>
          <w:sz w:val="22"/>
          <w:szCs w:val="22"/>
        </w:rPr>
      </w:pPr>
    </w:p>
    <w:p w:rsidR="00466ABE" w:rsidRPr="00466ABE" w:rsidRDefault="00466ABE" w:rsidP="00822471">
      <w:pPr>
        <w:spacing w:before="100" w:beforeAutospacing="1" w:after="100" w:afterAutospacing="1"/>
        <w:jc w:val="both"/>
        <w:rPr>
          <w:rFonts w:asciiTheme="minorHAnsi" w:hAnsiTheme="minorHAnsi"/>
          <w:sz w:val="22"/>
          <w:szCs w:val="22"/>
        </w:rPr>
      </w:pPr>
      <w:r w:rsidRPr="00466ABE">
        <w:rPr>
          <w:rFonts w:asciiTheme="minorHAnsi" w:hAnsiTheme="minorHAnsi"/>
          <w:sz w:val="22"/>
          <w:szCs w:val="22"/>
        </w:rPr>
        <w:t>The WMBA set out in the February 2015 CP our approach of separating the pre-trade SSTI/LiS from the post-trade SSTI/LiS. Simply put, any framework should encourage the capital commitment of making prices and forming liquidity. Clearly the risks to market participants engaging in risk transfer and committing risk capital are more significant in the pre-trade context: a counterparty is putting its capital at risk and pre-trade disclosure of its quoted prices increases the possibility that the market will move against the firm before it is able to execute those transactions. The risks are of a different nature in the post-trade context where they relate to the management of the new exposures and related hedging.</w:t>
      </w:r>
    </w:p>
    <w:p w:rsidR="00466ABE" w:rsidRDefault="00466ABE" w:rsidP="00822471">
      <w:pPr>
        <w:spacing w:before="100" w:beforeAutospacing="1" w:after="100" w:afterAutospacing="1"/>
        <w:contextualSpacing/>
        <w:jc w:val="both"/>
        <w:rPr>
          <w:rFonts w:cs="Arial"/>
          <w:b/>
        </w:rPr>
      </w:pPr>
    </w:p>
    <w:p w:rsidR="00466ABE" w:rsidRPr="00822471" w:rsidRDefault="00466ABE" w:rsidP="00822471">
      <w:pPr>
        <w:spacing w:before="100" w:beforeAutospacing="1" w:after="100" w:afterAutospacing="1"/>
        <w:contextualSpacing/>
        <w:jc w:val="both"/>
        <w:rPr>
          <w:rFonts w:asciiTheme="minorHAnsi" w:hAnsiTheme="minorHAnsi" w:cs="Arial"/>
          <w:b/>
          <w:i/>
          <w:color w:val="7F7F7F" w:themeColor="text1" w:themeTint="80"/>
          <w:sz w:val="22"/>
          <w:szCs w:val="22"/>
        </w:rPr>
      </w:pPr>
      <w:r w:rsidRPr="00822471">
        <w:rPr>
          <w:rFonts w:asciiTheme="minorHAnsi" w:hAnsiTheme="minorHAnsi" w:cs="Arial"/>
          <w:b/>
          <w:i/>
          <w:color w:val="7F7F7F" w:themeColor="text1" w:themeTint="80"/>
          <w:sz w:val="22"/>
          <w:szCs w:val="22"/>
        </w:rPr>
        <w:t xml:space="preserve">(5) 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 </w:t>
      </w:r>
    </w:p>
    <w:p w:rsidR="00466ABE" w:rsidRPr="00466ABE" w:rsidRDefault="00466ABE" w:rsidP="00822471">
      <w:pPr>
        <w:spacing w:before="100" w:beforeAutospacing="1" w:after="100" w:afterAutospacing="1"/>
        <w:contextualSpacing/>
        <w:jc w:val="both"/>
        <w:rPr>
          <w:rFonts w:asciiTheme="minorHAnsi" w:hAnsiTheme="minorHAnsi" w:cs="Arial"/>
          <w:b/>
          <w:sz w:val="22"/>
          <w:szCs w:val="22"/>
        </w:rPr>
      </w:pPr>
    </w:p>
    <w:p w:rsidR="00466ABE" w:rsidRPr="00466ABE" w:rsidRDefault="00466ABE" w:rsidP="00822471">
      <w:pPr>
        <w:spacing w:before="100" w:beforeAutospacing="1" w:after="100" w:afterAutospacing="1"/>
        <w:contextualSpacing/>
        <w:jc w:val="both"/>
        <w:rPr>
          <w:rFonts w:asciiTheme="minorHAnsi" w:hAnsiTheme="minorHAnsi"/>
          <w:sz w:val="22"/>
          <w:szCs w:val="22"/>
        </w:rPr>
      </w:pPr>
      <w:r w:rsidRPr="00466ABE">
        <w:rPr>
          <w:rFonts w:asciiTheme="minorHAnsi" w:hAnsiTheme="minorHAnsi"/>
          <w:sz w:val="22"/>
          <w:szCs w:val="22"/>
        </w:rPr>
        <w:t xml:space="preserve">The WMBA would firmly advocate a dynamic calibration model of the LiS waiver thresholds, with a static SSTI being independently set from a bottom up analysis of the standard market size of risk transfer. </w:t>
      </w:r>
    </w:p>
    <w:p w:rsidR="00466ABE" w:rsidRPr="00466ABE" w:rsidRDefault="00466ABE" w:rsidP="00466ABE">
      <w:pPr>
        <w:spacing w:before="100" w:beforeAutospacing="1" w:after="100" w:afterAutospacing="1"/>
        <w:contextualSpacing/>
        <w:rPr>
          <w:rFonts w:asciiTheme="minorHAnsi" w:hAnsiTheme="minorHAnsi"/>
          <w:sz w:val="22"/>
          <w:szCs w:val="22"/>
        </w:rPr>
      </w:pPr>
    </w:p>
    <w:p w:rsidR="00466ABE" w:rsidRPr="00466ABE" w:rsidRDefault="00466ABE" w:rsidP="00822471">
      <w:pPr>
        <w:spacing w:before="100" w:beforeAutospacing="1" w:after="100" w:afterAutospacing="1"/>
        <w:contextualSpacing/>
        <w:jc w:val="both"/>
        <w:rPr>
          <w:rFonts w:asciiTheme="minorHAnsi" w:hAnsiTheme="minorHAnsi"/>
          <w:sz w:val="22"/>
          <w:szCs w:val="22"/>
        </w:rPr>
      </w:pPr>
      <w:r w:rsidRPr="00466ABE">
        <w:rPr>
          <w:rFonts w:asciiTheme="minorHAnsi" w:hAnsiTheme="minorHAnsi"/>
          <w:sz w:val="22"/>
          <w:szCs w:val="22"/>
        </w:rPr>
        <w:t xml:space="preserve">We disagree with the proposals of ESMA here and note that the rationale of </w:t>
      </w:r>
      <w:r w:rsidRPr="00466ABE">
        <w:rPr>
          <w:rFonts w:asciiTheme="minorHAnsi" w:hAnsiTheme="minorHAnsi"/>
          <w:i/>
          <w:sz w:val="22"/>
          <w:szCs w:val="22"/>
        </w:rPr>
        <w:t>question [2] - part [5]</w:t>
      </w:r>
      <w:r w:rsidRPr="00466ABE">
        <w:rPr>
          <w:rFonts w:asciiTheme="minorHAnsi" w:hAnsiTheme="minorHAnsi"/>
          <w:sz w:val="22"/>
          <w:szCs w:val="22"/>
        </w:rPr>
        <w:t xml:space="preserve"> is the suspect and volatile data set acting as the basis for the calibrations being proposed. Rather than enter into a remedial debate between option 1 and option 2, the WMBA would propose a revised approach based in the first instance upon liquidity in the EU and the number and type of market participants, then subsequently upon a robust complete and correct data set.</w:t>
      </w:r>
    </w:p>
    <w:p w:rsidR="00466ABE" w:rsidRPr="00466ABE" w:rsidRDefault="00466ABE" w:rsidP="00822471">
      <w:pPr>
        <w:spacing w:before="100" w:beforeAutospacing="1" w:after="100" w:afterAutospacing="1"/>
        <w:contextualSpacing/>
        <w:jc w:val="both"/>
        <w:rPr>
          <w:rFonts w:asciiTheme="minorHAnsi" w:hAnsiTheme="minorHAnsi"/>
          <w:sz w:val="22"/>
          <w:szCs w:val="22"/>
        </w:rPr>
      </w:pPr>
    </w:p>
    <w:p w:rsidR="00466ABE" w:rsidRPr="00466ABE" w:rsidRDefault="00466ABE" w:rsidP="00822471">
      <w:pPr>
        <w:spacing w:before="100" w:beforeAutospacing="1" w:after="100" w:afterAutospacing="1"/>
        <w:contextualSpacing/>
        <w:jc w:val="both"/>
        <w:rPr>
          <w:rFonts w:asciiTheme="minorHAnsi" w:hAnsiTheme="minorHAnsi"/>
          <w:sz w:val="22"/>
          <w:szCs w:val="22"/>
        </w:rPr>
      </w:pPr>
      <w:r w:rsidRPr="00466ABE">
        <w:rPr>
          <w:rFonts w:asciiTheme="minorHAnsi" w:hAnsiTheme="minorHAnsi"/>
          <w:sz w:val="22"/>
          <w:szCs w:val="22"/>
        </w:rPr>
        <w:t>That said, the WMBA advocates frequent recalibrations by recalculating thresholds on frequent and regular basis. Therefore, annually from 2018 would appear to appropriate.</w:t>
      </w:r>
    </w:p>
    <w:p w:rsidR="00466ABE" w:rsidRPr="00466ABE" w:rsidRDefault="00466ABE" w:rsidP="00822471">
      <w:pPr>
        <w:pStyle w:val="Default"/>
        <w:jc w:val="both"/>
        <w:rPr>
          <w:rFonts w:asciiTheme="minorHAnsi" w:hAnsiTheme="minorHAnsi"/>
          <w:b/>
          <w:bCs/>
          <w:sz w:val="22"/>
          <w:szCs w:val="22"/>
        </w:rPr>
      </w:pPr>
      <w:r w:rsidRPr="00466ABE">
        <w:rPr>
          <w:rFonts w:asciiTheme="minorHAnsi" w:hAnsiTheme="minorHAnsi"/>
          <w:b/>
          <w:sz w:val="22"/>
          <w:szCs w:val="22"/>
        </w:rPr>
        <w:t>(</w:t>
      </w:r>
      <w:r w:rsidRPr="00466ABE">
        <w:rPr>
          <w:rFonts w:asciiTheme="minorHAnsi" w:hAnsiTheme="minorHAnsi"/>
          <w:b/>
          <w:bCs/>
          <w:sz w:val="22"/>
          <w:szCs w:val="22"/>
        </w:rPr>
        <w:t>6) For non-</w:t>
      </w:r>
      <w:proofErr w:type="spellStart"/>
      <w:r w:rsidRPr="00466ABE">
        <w:rPr>
          <w:rFonts w:asciiTheme="minorHAnsi" w:hAnsiTheme="minorHAnsi"/>
          <w:b/>
          <w:bCs/>
          <w:sz w:val="22"/>
          <w:szCs w:val="22"/>
        </w:rPr>
        <w:t>deliverable</w:t>
      </w:r>
      <w:proofErr w:type="spellEnd"/>
      <w:r w:rsidRPr="00466ABE">
        <w:rPr>
          <w:rFonts w:asciiTheme="minorHAnsi" w:hAnsiTheme="minorHAnsi"/>
          <w:b/>
          <w:bCs/>
          <w:sz w:val="22"/>
          <w:szCs w:val="22"/>
        </w:rPr>
        <w:t xml:space="preserve"> </w:t>
      </w:r>
      <w:proofErr w:type="spellStart"/>
      <w:r w:rsidRPr="00466ABE">
        <w:rPr>
          <w:rFonts w:asciiTheme="minorHAnsi" w:hAnsiTheme="minorHAnsi"/>
          <w:b/>
          <w:bCs/>
          <w:sz w:val="22"/>
          <w:szCs w:val="22"/>
        </w:rPr>
        <w:t>forwards</w:t>
      </w:r>
      <w:proofErr w:type="spellEnd"/>
      <w:r w:rsidRPr="00466ABE">
        <w:rPr>
          <w:rFonts w:asciiTheme="minorHAnsi" w:hAnsiTheme="minorHAnsi"/>
          <w:b/>
          <w:bCs/>
          <w:sz w:val="22"/>
          <w:szCs w:val="22"/>
        </w:rPr>
        <w:t xml:space="preserve"> (NDF) and spread betting </w:t>
      </w:r>
      <w:proofErr w:type="spellStart"/>
      <w:r w:rsidRPr="00466ABE">
        <w:rPr>
          <w:rFonts w:asciiTheme="minorHAnsi" w:hAnsiTheme="minorHAnsi"/>
          <w:b/>
          <w:bCs/>
          <w:sz w:val="22"/>
          <w:szCs w:val="22"/>
        </w:rPr>
        <w:t>contracts</w:t>
      </w:r>
      <w:proofErr w:type="spellEnd"/>
      <w:r w:rsidRPr="00466ABE">
        <w:rPr>
          <w:rFonts w:asciiTheme="minorHAnsi" w:hAnsiTheme="minorHAnsi"/>
          <w:b/>
          <w:bCs/>
          <w:sz w:val="22"/>
          <w:szCs w:val="22"/>
        </w:rPr>
        <w:t xml:space="preserve"> </w:t>
      </w:r>
      <w:proofErr w:type="spellStart"/>
      <w:r w:rsidRPr="00466ABE">
        <w:rPr>
          <w:rFonts w:asciiTheme="minorHAnsi" w:hAnsiTheme="minorHAnsi"/>
          <w:b/>
          <w:bCs/>
          <w:sz w:val="22"/>
          <w:szCs w:val="22"/>
        </w:rPr>
        <w:t>only</w:t>
      </w:r>
      <w:proofErr w:type="spellEnd"/>
      <w:r w:rsidRPr="00466ABE">
        <w:rPr>
          <w:rFonts w:asciiTheme="minorHAnsi" w:hAnsiTheme="minorHAnsi"/>
          <w:b/>
          <w:bCs/>
          <w:sz w:val="22"/>
          <w:szCs w:val="22"/>
        </w:rPr>
        <w:t xml:space="preserve">: express </w:t>
      </w:r>
      <w:proofErr w:type="spellStart"/>
      <w:r w:rsidRPr="00466ABE">
        <w:rPr>
          <w:rFonts w:asciiTheme="minorHAnsi" w:hAnsiTheme="minorHAnsi"/>
          <w:b/>
          <w:bCs/>
          <w:sz w:val="22"/>
          <w:szCs w:val="22"/>
        </w:rPr>
        <w:t>your</w:t>
      </w:r>
      <w:proofErr w:type="spellEnd"/>
      <w:r w:rsidRPr="00466ABE">
        <w:rPr>
          <w:rFonts w:asciiTheme="minorHAnsi" w:hAnsiTheme="minorHAnsi"/>
          <w:b/>
          <w:bCs/>
          <w:sz w:val="22"/>
          <w:szCs w:val="22"/>
        </w:rPr>
        <w:t xml:space="preserve"> </w:t>
      </w:r>
      <w:proofErr w:type="spellStart"/>
      <w:r w:rsidRPr="00466ABE">
        <w:rPr>
          <w:rFonts w:asciiTheme="minorHAnsi" w:hAnsiTheme="minorHAnsi"/>
          <w:b/>
          <w:bCs/>
          <w:sz w:val="22"/>
          <w:szCs w:val="22"/>
        </w:rPr>
        <w:t>preference</w:t>
      </w:r>
      <w:proofErr w:type="spellEnd"/>
      <w:r w:rsidRPr="00466ABE">
        <w:rPr>
          <w:rFonts w:asciiTheme="minorHAnsi" w:hAnsiTheme="minorHAnsi"/>
          <w:b/>
          <w:bCs/>
          <w:sz w:val="22"/>
          <w:szCs w:val="22"/>
        </w:rPr>
        <w:t xml:space="preserve"> for </w:t>
      </w:r>
      <w:proofErr w:type="spellStart"/>
      <w:r w:rsidRPr="00466ABE">
        <w:rPr>
          <w:rFonts w:asciiTheme="minorHAnsi" w:hAnsiTheme="minorHAnsi"/>
          <w:b/>
          <w:bCs/>
          <w:sz w:val="22"/>
          <w:szCs w:val="22"/>
        </w:rPr>
        <w:t>either</w:t>
      </w:r>
      <w:proofErr w:type="spellEnd"/>
      <w:r w:rsidRPr="00466ABE">
        <w:rPr>
          <w:rFonts w:asciiTheme="minorHAnsi" w:hAnsiTheme="minorHAnsi"/>
          <w:b/>
          <w:bCs/>
          <w:sz w:val="22"/>
          <w:szCs w:val="22"/>
        </w:rPr>
        <w:t xml:space="preserve"> “Alternative A” or “Alternative B”.</w:t>
      </w:r>
    </w:p>
    <w:p w:rsidR="00466ABE" w:rsidRPr="00466ABE" w:rsidRDefault="00466ABE" w:rsidP="00822471">
      <w:pPr>
        <w:spacing w:before="100" w:beforeAutospacing="1" w:after="100" w:afterAutospacing="1"/>
        <w:contextualSpacing/>
        <w:jc w:val="both"/>
        <w:rPr>
          <w:rFonts w:asciiTheme="minorHAnsi" w:hAnsiTheme="minorHAnsi" w:cs="Arial"/>
          <w:b/>
          <w:sz w:val="22"/>
          <w:szCs w:val="22"/>
        </w:rPr>
      </w:pPr>
      <w:r w:rsidRPr="00466ABE">
        <w:rPr>
          <w:rFonts w:asciiTheme="minorHAnsi" w:hAnsiTheme="minorHAnsi"/>
          <w:sz w:val="22"/>
          <w:szCs w:val="22"/>
        </w:rPr>
        <w:t>The WMBA agrees with Alternative B with the calculation referring to the lower floor of Eur 100,000.</w:t>
      </w:r>
    </w:p>
    <w:p w:rsidR="00466ABE" w:rsidRDefault="00466ABE" w:rsidP="00466ABE">
      <w:pPr>
        <w:spacing w:before="100" w:beforeAutospacing="1" w:after="100" w:afterAutospacing="1"/>
        <w:jc w:val="both"/>
        <w:rPr>
          <w:rFonts w:ascii="Calibri" w:hAnsi="Calibri"/>
          <w:color w:val="000000"/>
        </w:rPr>
      </w:pPr>
      <w:r>
        <w:rPr>
          <w:rFonts w:ascii="Calibri" w:hAnsi="Calibri"/>
          <w:color w:val="000000"/>
        </w:rPr>
        <w:pict>
          <v:rect id="_x0000_i1026" style="width:0;height:1.5pt" o:hralign="center" o:hrstd="t" o:hr="t" fillcolor="#a0a0a0" stroked="f"/>
        </w:pict>
      </w:r>
    </w:p>
    <w:p w:rsidR="00466ABE" w:rsidRPr="00D81020" w:rsidRDefault="00466ABE" w:rsidP="00D81020">
      <w:pPr>
        <w:pStyle w:val="FootnoteText"/>
        <w:jc w:val="both"/>
        <w:rPr>
          <w:rFonts w:asciiTheme="minorHAnsi" w:hAnsiTheme="minorHAnsi"/>
          <w:bCs/>
          <w:sz w:val="20"/>
        </w:rPr>
      </w:pPr>
      <w:r w:rsidRPr="00D81020">
        <w:rPr>
          <w:rStyle w:val="FootnoteReference"/>
          <w:rFonts w:asciiTheme="minorHAnsi" w:hAnsiTheme="minorHAnsi"/>
          <w:sz w:val="20"/>
        </w:rPr>
        <w:t>4</w:t>
      </w:r>
      <w:r w:rsidRPr="00D81020">
        <w:rPr>
          <w:rFonts w:asciiTheme="minorHAnsi" w:hAnsiTheme="minorHAnsi"/>
          <w:sz w:val="20"/>
        </w:rPr>
        <w:t xml:space="preserve"> </w:t>
      </w:r>
      <w:r w:rsidRPr="00D81020">
        <w:rPr>
          <w:rFonts w:asciiTheme="minorHAnsi" w:hAnsiTheme="minorHAnsi"/>
          <w:bCs/>
          <w:i/>
          <w:color w:val="7F7F7F" w:themeColor="text1" w:themeTint="80"/>
          <w:sz w:val="20"/>
        </w:rPr>
        <w:t>There are multiple examples where the LIS number is not representative of the market traded, again due to the poor quality of the data used in the assessment.  For instance, USDCOP NDFs (4days to 7 days) have a LIS value of EUR 700million and USDCLP (3 months to 6 months) has a LIS value of EUR 175million. Both of these are many multiples greater than the LIS for the most liquid FX currency pairs, such as USDEUR and can be close to or more than the average daily notional amount per day that is stated in the liquidity assessment tables.</w:t>
      </w:r>
    </w:p>
    <w:p w:rsidR="00466ABE" w:rsidRPr="00086596" w:rsidRDefault="00466ABE" w:rsidP="00466ABE">
      <w:pPr>
        <w:spacing w:before="100" w:beforeAutospacing="1" w:after="100" w:afterAutospacing="1"/>
        <w:jc w:val="both"/>
      </w:pPr>
    </w:p>
    <w:permEnd w:id="409210927"/>
    <w:p w:rsidR="00A8728B" w:rsidRDefault="00A8728B" w:rsidP="00A8728B">
      <w:r>
        <w:t>&lt;ESMA_QUESTION_MIFID_ADD_2&gt;</w:t>
      </w:r>
    </w:p>
    <w:p w:rsidR="00A8728B" w:rsidRPr="00B62727" w:rsidRDefault="00A8728B" w:rsidP="00A8728B">
      <w:pPr>
        <w:pStyle w:val="CPQuestions"/>
        <w:ind w:left="714" w:hanging="357"/>
      </w:pPr>
      <w:r w:rsidRPr="00C24BCA">
        <w:t>Which is your preferred option for the definition of a liquid market of single name CDS? Please provide an answer detailed</w:t>
      </w:r>
      <w:r w:rsidRPr="00B62727">
        <w:t xml:space="preserve"> per underlying </w:t>
      </w:r>
      <w:r>
        <w:t xml:space="preserve">issuer type </w:t>
      </w:r>
      <w:r w:rsidRPr="00B62727">
        <w:t>identified</w:t>
      </w:r>
      <w:r>
        <w:t xml:space="preserve"> (sovereign and corporate)</w:t>
      </w:r>
      <w:r w:rsidRPr="00B62727">
        <w:t xml:space="preserve">, addressing the following points: </w:t>
      </w:r>
    </w:p>
    <w:p w:rsidR="00A8728B" w:rsidRPr="00B62727" w:rsidRDefault="00A8728B" w:rsidP="00566C6A">
      <w:pPr>
        <w:pStyle w:val="CPQuest2"/>
        <w:numPr>
          <w:ilvl w:val="0"/>
          <w:numId w:val="38"/>
        </w:numPr>
      </w:pPr>
      <w:r w:rsidRPr="00B62727">
        <w:t>Would you use different qualitative criteria to define the sub-classes?</w:t>
      </w:r>
    </w:p>
    <w:p w:rsidR="00A8728B" w:rsidRPr="00B62727" w:rsidRDefault="00A8728B" w:rsidP="00566C6A">
      <w:pPr>
        <w:pStyle w:val="CPQuest2"/>
      </w:pPr>
      <w:r w:rsidRPr="00B62727">
        <w:t>Would you use different parameters or the same parameters (i.e. average number of trades per day and average notional amount traded per day) but different thresholds in order to define a sub-class as liquid?</w:t>
      </w:r>
    </w:p>
    <w:p w:rsidR="00A8728B" w:rsidRPr="00B62727" w:rsidRDefault="00A8728B" w:rsidP="00566C6A">
      <w:pPr>
        <w:pStyle w:val="CPQuest2"/>
      </w:pPr>
      <w:r w:rsidRPr="00B62727">
        <w:t>Would you define classes declared as liquid in ESMA’s proposal as illiquid (or vice versa)? Please provide reasons for your answer.</w:t>
      </w:r>
    </w:p>
    <w:p w:rsidR="00A8728B" w:rsidRDefault="00A8728B" w:rsidP="00A8728B">
      <w:r>
        <w:t>&lt;ESMA_QUESTION_MIFID_ADD_3&gt;</w:t>
      </w:r>
    </w:p>
    <w:p w:rsidR="00D81020" w:rsidRPr="00D81020" w:rsidRDefault="00D81020" w:rsidP="00D81020">
      <w:pPr>
        <w:spacing w:before="100" w:beforeAutospacing="1" w:after="100" w:afterAutospacing="1"/>
        <w:jc w:val="both"/>
        <w:rPr>
          <w:rFonts w:asciiTheme="minorHAnsi" w:hAnsiTheme="minorHAnsi"/>
          <w:b/>
          <w:sz w:val="22"/>
          <w:szCs w:val="22"/>
        </w:rPr>
      </w:pPr>
      <w:permStart w:id="1857582153" w:edGrp="everyone"/>
      <w:r w:rsidRPr="00D81020">
        <w:rPr>
          <w:rFonts w:asciiTheme="minorHAnsi" w:hAnsiTheme="minorHAnsi"/>
          <w:sz w:val="22"/>
          <w:szCs w:val="22"/>
        </w:rPr>
        <w:t>The WMBA recommends that ESMA considers the following general points:</w:t>
      </w:r>
    </w:p>
    <w:p w:rsidR="00D81020" w:rsidRPr="00D81020" w:rsidRDefault="00D81020" w:rsidP="004052F8">
      <w:pPr>
        <w:pStyle w:val="ListParagraph"/>
        <w:numPr>
          <w:ilvl w:val="0"/>
          <w:numId w:val="55"/>
        </w:numPr>
        <w:spacing w:before="100" w:beforeAutospacing="1" w:after="100" w:afterAutospacing="1"/>
        <w:contextualSpacing w:val="0"/>
        <w:jc w:val="both"/>
        <w:rPr>
          <w:rFonts w:asciiTheme="minorHAnsi" w:hAnsiTheme="minorHAnsi"/>
          <w:sz w:val="22"/>
          <w:szCs w:val="22"/>
        </w:rPr>
      </w:pPr>
      <w:r w:rsidRPr="00D81020">
        <w:rPr>
          <w:rFonts w:asciiTheme="minorHAnsi" w:hAnsiTheme="minorHAnsi"/>
          <w:sz w:val="22"/>
          <w:szCs w:val="22"/>
        </w:rPr>
        <w:t xml:space="preserve">The COFIA approach to liquidity assessment needs to be more granular to reduce the number of false positives. </w:t>
      </w:r>
    </w:p>
    <w:p w:rsidR="00D81020" w:rsidRPr="00D81020" w:rsidRDefault="00D81020" w:rsidP="004052F8">
      <w:pPr>
        <w:pStyle w:val="ListParagraph"/>
        <w:numPr>
          <w:ilvl w:val="0"/>
          <w:numId w:val="55"/>
        </w:numPr>
        <w:spacing w:before="100" w:beforeAutospacing="1" w:after="100" w:afterAutospacing="1"/>
        <w:contextualSpacing w:val="0"/>
        <w:jc w:val="both"/>
        <w:rPr>
          <w:rFonts w:asciiTheme="minorHAnsi" w:hAnsiTheme="minorHAnsi"/>
          <w:sz w:val="22"/>
          <w:szCs w:val="22"/>
        </w:rPr>
      </w:pPr>
      <w:r w:rsidRPr="00D81020">
        <w:rPr>
          <w:rFonts w:asciiTheme="minorHAnsi" w:hAnsiTheme="minorHAnsi"/>
          <w:sz w:val="22"/>
          <w:szCs w:val="22"/>
        </w:rPr>
        <w:t>The starting point for any assessment of a liquidity framework for CDS for single name entities needs to be their inclusion or not into the widely traded indices. This is because liquidity in not only the CDS markets but also in those for the underlying corporate debt, now originates in the CDS indices which therefore need to become the starting point or reference origin.</w:t>
      </w:r>
    </w:p>
    <w:p w:rsidR="00D81020" w:rsidRPr="00D81020" w:rsidRDefault="00D81020" w:rsidP="004052F8">
      <w:pPr>
        <w:pStyle w:val="ListParagraph"/>
        <w:numPr>
          <w:ilvl w:val="0"/>
          <w:numId w:val="55"/>
        </w:numPr>
        <w:spacing w:before="100" w:beforeAutospacing="1" w:after="100" w:afterAutospacing="1"/>
        <w:contextualSpacing w:val="0"/>
        <w:jc w:val="both"/>
        <w:rPr>
          <w:rFonts w:asciiTheme="minorHAnsi" w:hAnsiTheme="minorHAnsi"/>
          <w:sz w:val="22"/>
          <w:szCs w:val="22"/>
        </w:rPr>
      </w:pPr>
      <w:r w:rsidRPr="00D81020">
        <w:rPr>
          <w:rFonts w:asciiTheme="minorHAnsi" w:hAnsiTheme="minorHAnsi"/>
          <w:sz w:val="22"/>
          <w:szCs w:val="22"/>
        </w:rPr>
        <w:t xml:space="preserve">Any liquidity assessment should (i) distinguish between cleared and non-cleared financial instruments and (ii) take into account ‘packaged transactions’ and their specific treatment.  </w:t>
      </w:r>
    </w:p>
    <w:p w:rsidR="00D81020" w:rsidRPr="00D81020" w:rsidRDefault="00D81020" w:rsidP="004052F8">
      <w:pPr>
        <w:pStyle w:val="ListParagraph"/>
        <w:numPr>
          <w:ilvl w:val="0"/>
          <w:numId w:val="55"/>
        </w:numPr>
        <w:spacing w:before="100" w:beforeAutospacing="1" w:after="100" w:afterAutospacing="1"/>
        <w:contextualSpacing w:val="0"/>
        <w:jc w:val="both"/>
        <w:rPr>
          <w:rFonts w:asciiTheme="minorHAnsi" w:hAnsiTheme="minorHAnsi"/>
          <w:sz w:val="22"/>
          <w:szCs w:val="22"/>
        </w:rPr>
      </w:pPr>
      <w:r w:rsidRPr="00D81020">
        <w:rPr>
          <w:rFonts w:asciiTheme="minorHAnsi" w:hAnsiTheme="minorHAnsi"/>
          <w:sz w:val="22"/>
          <w:szCs w:val="22"/>
        </w:rPr>
        <w:t>The size of traded financial instruments will change due to the mandatory trading requirement introduced by MiFIR. The sizes of financial instruments traded will reduce, which will in turn render the thresholds for liquidity, LiS and SSTI inappropriate.</w:t>
      </w:r>
    </w:p>
    <w:p w:rsidR="00D81020" w:rsidRPr="00D81020" w:rsidRDefault="00D81020" w:rsidP="00D81020">
      <w:pPr>
        <w:spacing w:before="100" w:beforeAutospacing="1" w:after="100" w:afterAutospacing="1"/>
        <w:jc w:val="both"/>
        <w:rPr>
          <w:rFonts w:asciiTheme="minorHAnsi" w:hAnsiTheme="minorHAnsi"/>
          <w:b/>
          <w:sz w:val="22"/>
          <w:szCs w:val="22"/>
        </w:rPr>
      </w:pPr>
      <w:r w:rsidRPr="00D81020">
        <w:rPr>
          <w:rFonts w:asciiTheme="minorHAnsi" w:hAnsiTheme="minorHAnsi"/>
          <w:sz w:val="22"/>
          <w:szCs w:val="22"/>
        </w:rPr>
        <w:t>The WMBA in general supports the ISDA analysis of CDS markets under the MiFIR RTS addendum CP and does not intend to duplicate their reply. We do believe that ‘</w:t>
      </w:r>
      <w:r w:rsidRPr="00D81020">
        <w:rPr>
          <w:rFonts w:asciiTheme="minorHAnsi" w:hAnsiTheme="minorHAnsi"/>
          <w:b/>
          <w:i/>
          <w:sz w:val="22"/>
          <w:szCs w:val="22"/>
        </w:rPr>
        <w:t>Option B</w:t>
      </w:r>
      <w:r w:rsidRPr="00D81020">
        <w:rPr>
          <w:rFonts w:asciiTheme="minorHAnsi" w:hAnsiTheme="minorHAnsi"/>
          <w:sz w:val="22"/>
          <w:szCs w:val="22"/>
        </w:rPr>
        <w:t xml:space="preserve">’ is a better solution for the definition of a liquid market of single name CDS; however, we are of the view that it suffers from flaws for the following reasons. </w:t>
      </w:r>
    </w:p>
    <w:p w:rsidR="00D81020" w:rsidRPr="00D81020" w:rsidRDefault="00D81020" w:rsidP="004052F8">
      <w:pPr>
        <w:pStyle w:val="ListParagraph"/>
        <w:numPr>
          <w:ilvl w:val="0"/>
          <w:numId w:val="54"/>
        </w:numPr>
        <w:spacing w:before="100" w:beforeAutospacing="1" w:after="100" w:afterAutospacing="1"/>
        <w:contextualSpacing w:val="0"/>
        <w:jc w:val="both"/>
        <w:rPr>
          <w:rFonts w:asciiTheme="minorHAnsi" w:hAnsiTheme="minorHAnsi"/>
          <w:b/>
          <w:sz w:val="22"/>
          <w:szCs w:val="22"/>
        </w:rPr>
      </w:pPr>
      <w:r w:rsidRPr="00D81020">
        <w:rPr>
          <w:rFonts w:asciiTheme="minorHAnsi" w:hAnsiTheme="minorHAnsi"/>
          <w:sz w:val="22"/>
          <w:szCs w:val="22"/>
        </w:rPr>
        <w:t xml:space="preserve">Although we agree, in line with Option B, that the inclusion of the reference entity/obligation on a liquid CDS index (as specified in Table 60, Annex III, Section 7 draft RTS 9) should be the paramount criterion for determining single name CDS belonging to a ‘single name CDS liquid class’, we believe that further granularity must be applied to this criterion in order to produce valid determinations.  </w:t>
      </w:r>
    </w:p>
    <w:p w:rsidR="00D81020" w:rsidRPr="00D81020" w:rsidRDefault="00D81020" w:rsidP="004052F8">
      <w:pPr>
        <w:pStyle w:val="ListParagraph"/>
        <w:numPr>
          <w:ilvl w:val="0"/>
          <w:numId w:val="54"/>
        </w:numPr>
        <w:spacing w:before="100" w:beforeAutospacing="1" w:after="100" w:afterAutospacing="1"/>
        <w:contextualSpacing w:val="0"/>
        <w:jc w:val="both"/>
        <w:rPr>
          <w:rFonts w:asciiTheme="minorHAnsi" w:hAnsiTheme="minorHAnsi"/>
          <w:sz w:val="22"/>
          <w:szCs w:val="22"/>
        </w:rPr>
      </w:pPr>
      <w:r w:rsidRPr="00D81020">
        <w:rPr>
          <w:rFonts w:asciiTheme="minorHAnsi" w:hAnsiTheme="minorHAnsi"/>
          <w:sz w:val="22"/>
          <w:szCs w:val="22"/>
        </w:rPr>
        <w:t xml:space="preserve">By way of illustration, applying Option B, a 5 year iTraxx Europe CDS Index is considered liquid (Table 60, Annex III, Section 7 draft RTS 9).  Table 41 states that there were 22,696 trades in a quarter of single corporate name CDS with a tenor of 5 years.  However, in applying Option B to determine ‘single name CDS liquid class’, ESMA has not considered the underlying constituent names of the iTraxx reference portfolio.  Therefore, we would ask the crucial question: </w:t>
      </w:r>
      <w:r w:rsidRPr="00D81020">
        <w:rPr>
          <w:rFonts w:asciiTheme="minorHAnsi" w:hAnsiTheme="minorHAnsi"/>
          <w:i/>
          <w:sz w:val="22"/>
          <w:szCs w:val="22"/>
        </w:rPr>
        <w:t>did ESMA analyse the reference portfolio constituents in those 22,696 trades? If so, what was the sample size of constituents analysed and the methodology used?</w:t>
      </w:r>
    </w:p>
    <w:p w:rsidR="00D81020" w:rsidRPr="00D81020" w:rsidRDefault="00D81020" w:rsidP="004052F8">
      <w:pPr>
        <w:pStyle w:val="ListParagraph"/>
        <w:numPr>
          <w:ilvl w:val="0"/>
          <w:numId w:val="54"/>
        </w:numPr>
        <w:spacing w:before="100" w:beforeAutospacing="1" w:after="100" w:afterAutospacing="1"/>
        <w:contextualSpacing w:val="0"/>
        <w:jc w:val="both"/>
        <w:rPr>
          <w:rFonts w:asciiTheme="minorHAnsi" w:hAnsiTheme="minorHAnsi"/>
          <w:sz w:val="22"/>
          <w:szCs w:val="22"/>
        </w:rPr>
      </w:pPr>
      <w:r w:rsidRPr="00D81020">
        <w:rPr>
          <w:rFonts w:asciiTheme="minorHAnsi" w:hAnsiTheme="minorHAnsi"/>
          <w:sz w:val="22"/>
          <w:szCs w:val="22"/>
        </w:rPr>
        <w:t xml:space="preserve">We believe this type of granularity is crucial to the methodology for ‘single name CDS liquid class’ determination and a failure on ESMA’s part to undertake an analysis of constituent names does not result in meaningful conclusions. We therefore urge ESMA to amend Option B by adding further granularity following a thorough analysis of the reference portfolio constituents of indices.  </w:t>
      </w:r>
    </w:p>
    <w:permEnd w:id="1857582153"/>
    <w:p w:rsidR="00A8728B" w:rsidRDefault="00A8728B" w:rsidP="00A8728B">
      <w:r>
        <w:t>&lt;ESMA_QUESTION_MIFID_ADD_3&gt;</w:t>
      </w:r>
    </w:p>
    <w:p w:rsidR="00A8728B" w:rsidRPr="00B62727" w:rsidRDefault="00A8728B" w:rsidP="00A8728B">
      <w:pPr>
        <w:pStyle w:val="CPQuestions"/>
        <w:ind w:left="714" w:hanging="357"/>
      </w:pPr>
      <w:r>
        <w:t>For all the other classes (CDS Index, Bespoke basket CDS, CDS index options and Single name CDS options): d</w:t>
      </w:r>
      <w:r w:rsidRPr="00B62727">
        <w:t>o you agree with ESMA’s proposal for the definition of a liquid market? Please provide an answer detailed per contract type</w:t>
      </w:r>
      <w:r>
        <w:t xml:space="preserve"> (CDS and </w:t>
      </w:r>
      <w:r w:rsidRPr="00D10A1C">
        <w:t>CDS options</w:t>
      </w:r>
      <w:r>
        <w:t>)</w:t>
      </w:r>
      <w:r w:rsidRPr="00B62727">
        <w:t xml:space="preserve">, underlying type </w:t>
      </w:r>
      <w:r>
        <w:t xml:space="preserve">(index, single name, bespoke basket) </w:t>
      </w:r>
      <w:r w:rsidRPr="00B62727">
        <w:t xml:space="preserve">and underlying identified, addressing the following points: </w:t>
      </w:r>
    </w:p>
    <w:p w:rsidR="00A8728B" w:rsidRPr="00B62727" w:rsidRDefault="00A8728B" w:rsidP="00566C6A">
      <w:pPr>
        <w:pStyle w:val="CPQuest2"/>
        <w:numPr>
          <w:ilvl w:val="0"/>
          <w:numId w:val="39"/>
        </w:numPr>
      </w:pPr>
      <w:r w:rsidRPr="00B62727">
        <w:t>Would you use different qualitative criteria to define the sub-classes?</w:t>
      </w:r>
    </w:p>
    <w:p w:rsidR="00A8728B" w:rsidRPr="00B62727" w:rsidRDefault="00A8728B" w:rsidP="00566C6A">
      <w:pPr>
        <w:pStyle w:val="CPQuest2"/>
      </w:pPr>
      <w:r w:rsidRPr="00B62727">
        <w:t>Would you use different parameters or the same parameters (i.e. average number of trades per day and average notional amount traded per day) but different thresholds in order to define a sub-class as liquid?</w:t>
      </w:r>
    </w:p>
    <w:p w:rsidR="00A8728B" w:rsidRPr="00B62727" w:rsidRDefault="00A8728B" w:rsidP="00566C6A">
      <w:pPr>
        <w:pStyle w:val="CPQuest2"/>
      </w:pPr>
      <w:r w:rsidRPr="00B62727">
        <w:t>Would you define classes declared as liquid in ESMA’s proposal as illiquid (or vice versa)? Please provide reasons for your answer.</w:t>
      </w:r>
    </w:p>
    <w:p w:rsidR="00A8728B" w:rsidRDefault="00A8728B" w:rsidP="00A8728B">
      <w:r>
        <w:t>&lt;ESMA_QUESTION_MIFID_ADD_4&gt;</w:t>
      </w:r>
    </w:p>
    <w:p w:rsidR="00D81020" w:rsidRPr="00822471" w:rsidRDefault="00D81020" w:rsidP="00822471">
      <w:pPr>
        <w:spacing w:before="100" w:beforeAutospacing="1" w:after="100" w:afterAutospacing="1"/>
        <w:contextualSpacing/>
        <w:jc w:val="both"/>
        <w:rPr>
          <w:rFonts w:asciiTheme="minorHAnsi" w:hAnsiTheme="minorHAnsi" w:cs="Arial"/>
          <w:sz w:val="22"/>
        </w:rPr>
      </w:pPr>
      <w:permStart w:id="1561815456" w:edGrp="everyone"/>
      <w:r w:rsidRPr="00822471">
        <w:rPr>
          <w:rFonts w:asciiTheme="minorHAnsi" w:hAnsiTheme="minorHAnsi" w:cs="Arial"/>
          <w:sz w:val="22"/>
        </w:rPr>
        <w:t xml:space="preserve">The WMBA does not agree with the ESMA proposal for the definition of a liquid market. Concisely, errors in the data set and flaws in the proposed framework lead to a volatile, heterogeneous and wrong set of proposed calibrations. </w:t>
      </w:r>
    </w:p>
    <w:p w:rsidR="00D81020" w:rsidRPr="00822471" w:rsidRDefault="00D81020" w:rsidP="00822471">
      <w:pPr>
        <w:spacing w:before="100" w:beforeAutospacing="1" w:after="100" w:afterAutospacing="1"/>
        <w:contextualSpacing/>
        <w:jc w:val="both"/>
        <w:rPr>
          <w:rFonts w:asciiTheme="minorHAnsi" w:hAnsiTheme="minorHAnsi" w:cs="Arial"/>
          <w:sz w:val="22"/>
        </w:rPr>
      </w:pPr>
    </w:p>
    <w:p w:rsidR="00D81020" w:rsidRPr="00822471" w:rsidRDefault="00D81020" w:rsidP="00822471">
      <w:pPr>
        <w:spacing w:before="100" w:beforeAutospacing="1" w:after="100" w:afterAutospacing="1"/>
        <w:contextualSpacing/>
        <w:jc w:val="both"/>
        <w:rPr>
          <w:rFonts w:asciiTheme="minorHAnsi" w:hAnsiTheme="minorHAnsi" w:cs="Arial"/>
          <w:sz w:val="22"/>
        </w:rPr>
      </w:pPr>
      <w:r w:rsidRPr="00822471">
        <w:rPr>
          <w:rFonts w:asciiTheme="minorHAnsi" w:hAnsiTheme="minorHAnsi" w:cs="Arial"/>
          <w:sz w:val="22"/>
        </w:rPr>
        <w:t>At the outset it is important to bear in mind that important CDS Index markets will likely be conferred into the trading mandate and that all the MiFID venues negotiate and trade blocks or ‘units’ of Eur 25mm amongst a very small (single digit) set of global participants. Therefore post MiFIR, the CDS venue market will almost entirely trade indices in standardised Eur25mm units, and it is imperative for this market to begin to function that the LiS threshold is set at this amount</w:t>
      </w:r>
      <w:r w:rsidRPr="00822471">
        <w:rPr>
          <w:rStyle w:val="FootnoteReference"/>
          <w:rFonts w:asciiTheme="minorHAnsi" w:hAnsiTheme="minorHAnsi" w:cs="Arial"/>
          <w:sz w:val="22"/>
        </w:rPr>
        <w:footnoteReference w:id="8"/>
      </w:r>
      <w:r w:rsidRPr="00822471">
        <w:rPr>
          <w:rFonts w:asciiTheme="minorHAnsi" w:hAnsiTheme="minorHAnsi" w:cs="Arial"/>
          <w:sz w:val="22"/>
        </w:rPr>
        <w:t xml:space="preserve">. By setting the LiS at the ubiquitous wholesale venue size, ESMA would assuage the widespread concerns from those respondents to ESMA's discussion paper that noted there is unlikely to be sufficient liquidity for trading platforms to support LIS transactions – i.e. once a transaction in an instrument is large in scale, it is no longer liquid – and who endorsed the CFTC approach whereby block trades can be executed off-venue.  </w:t>
      </w:r>
    </w:p>
    <w:p w:rsidR="00D81020" w:rsidRPr="00822471" w:rsidRDefault="00D81020" w:rsidP="00822471">
      <w:pPr>
        <w:spacing w:before="100" w:beforeAutospacing="1" w:after="100" w:afterAutospacing="1"/>
        <w:contextualSpacing/>
        <w:jc w:val="both"/>
        <w:rPr>
          <w:rFonts w:asciiTheme="minorHAnsi" w:hAnsiTheme="minorHAnsi" w:cs="Arial"/>
          <w:sz w:val="22"/>
        </w:rPr>
      </w:pPr>
    </w:p>
    <w:p w:rsidR="00D81020" w:rsidRPr="00822471" w:rsidRDefault="00D81020" w:rsidP="00822471">
      <w:pPr>
        <w:spacing w:before="100" w:beforeAutospacing="1" w:after="100" w:afterAutospacing="1"/>
        <w:contextualSpacing/>
        <w:jc w:val="both"/>
        <w:rPr>
          <w:rFonts w:asciiTheme="minorHAnsi" w:hAnsiTheme="minorHAnsi" w:cs="Arial"/>
          <w:sz w:val="22"/>
        </w:rPr>
      </w:pPr>
      <w:r w:rsidRPr="00822471">
        <w:rPr>
          <w:rFonts w:asciiTheme="minorHAnsi" w:hAnsiTheme="minorHAnsi" w:cs="Arial"/>
          <w:sz w:val="22"/>
        </w:rPr>
        <w:t>For any analysis to suggest that the largest 10% of the trade population each averages over Eur 5500mm (200 times wholesale market size) is plainly incredible. Conversely each of  the WMBA member venues in the EU will themselves arrange over 2,500 CDS on-the-run index trades per quarter, yet the ESMA analysed data suggests that the entire market is little over 6000 trades re quarter. Here we suggest that that ESMA analysis is wrong by a magnitude of 10 times. Further, and in summary the WMBA believes that the data describing CDS index options and Single name CDS options are wrong by greater magnitudes. We also note that there are 792,288 contracts included in the DTCC single name dataset, over six times as many as in ESMA’s dataset (largely because the DTCC data covers a full year).</w:t>
      </w:r>
    </w:p>
    <w:p w:rsidR="00D81020" w:rsidRPr="00822471" w:rsidRDefault="00D81020" w:rsidP="00822471">
      <w:pPr>
        <w:spacing w:before="100" w:beforeAutospacing="1" w:after="100" w:afterAutospacing="1"/>
        <w:contextualSpacing/>
        <w:jc w:val="both"/>
        <w:rPr>
          <w:rFonts w:asciiTheme="minorHAnsi" w:hAnsiTheme="minorHAnsi" w:cs="Arial"/>
          <w:sz w:val="22"/>
        </w:rPr>
      </w:pPr>
    </w:p>
    <w:p w:rsidR="00D81020" w:rsidRPr="00822471" w:rsidRDefault="00D81020" w:rsidP="00822471">
      <w:pPr>
        <w:spacing w:before="100" w:beforeAutospacing="1" w:after="100" w:afterAutospacing="1"/>
        <w:contextualSpacing/>
        <w:jc w:val="both"/>
        <w:rPr>
          <w:rFonts w:asciiTheme="minorHAnsi" w:hAnsiTheme="minorHAnsi" w:cs="Arial"/>
          <w:sz w:val="22"/>
        </w:rPr>
      </w:pPr>
      <w:r w:rsidRPr="00822471">
        <w:rPr>
          <w:rFonts w:asciiTheme="minorHAnsi" w:hAnsiTheme="minorHAnsi" w:cs="Arial"/>
          <w:i/>
          <w:sz w:val="22"/>
        </w:rPr>
        <w:t>Figure 1: LiS Calculations on the Critical CDS Index Products</w:t>
      </w:r>
    </w:p>
    <w:tbl>
      <w:tblPr>
        <w:tblStyle w:val="TableGrid"/>
        <w:tblW w:w="0" w:type="auto"/>
        <w:tblInd w:w="-431" w:type="dxa"/>
        <w:tblLayout w:type="fixed"/>
        <w:tblLook w:val="04A0" w:firstRow="1" w:lastRow="0" w:firstColumn="1" w:lastColumn="0" w:noHBand="0" w:noVBand="1"/>
      </w:tblPr>
      <w:tblGrid>
        <w:gridCol w:w="1277"/>
        <w:gridCol w:w="425"/>
        <w:gridCol w:w="851"/>
        <w:gridCol w:w="1275"/>
        <w:gridCol w:w="851"/>
        <w:gridCol w:w="1559"/>
        <w:gridCol w:w="851"/>
        <w:gridCol w:w="992"/>
        <w:gridCol w:w="1276"/>
      </w:tblGrid>
      <w:tr w:rsidR="00D81020" w:rsidTr="00D81020">
        <w:tc>
          <w:tcPr>
            <w:tcW w:w="1277" w:type="dxa"/>
          </w:tcPr>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Index CDS</w:t>
            </w:r>
          </w:p>
        </w:tc>
        <w:tc>
          <w:tcPr>
            <w:tcW w:w="425" w:type="dxa"/>
          </w:tcPr>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w:t>
            </w:r>
          </w:p>
        </w:tc>
        <w:tc>
          <w:tcPr>
            <w:tcW w:w="851" w:type="dxa"/>
          </w:tcPr>
          <w:p w:rsidR="00D81020" w:rsidRPr="00A51E16" w:rsidRDefault="00D81020" w:rsidP="00D81020">
            <w:pPr>
              <w:spacing w:before="100" w:beforeAutospacing="1" w:after="100" w:afterAutospacing="1"/>
              <w:contextualSpacing/>
              <w:jc w:val="center"/>
              <w:rPr>
                <w:rFonts w:cs="Arial"/>
                <w:b/>
                <w:sz w:val="16"/>
                <w:szCs w:val="16"/>
                <w:u w:val="single"/>
              </w:rPr>
            </w:pPr>
            <w:r>
              <w:rPr>
                <w:rFonts w:cs="Arial"/>
                <w:b/>
                <w:sz w:val="16"/>
                <w:szCs w:val="16"/>
                <w:u w:val="single"/>
              </w:rPr>
              <w:t># of Days Traded</w:t>
            </w:r>
          </w:p>
        </w:tc>
        <w:tc>
          <w:tcPr>
            <w:tcW w:w="1275" w:type="dxa"/>
          </w:tcPr>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LiS Value</w:t>
            </w:r>
          </w:p>
        </w:tc>
        <w:tc>
          <w:tcPr>
            <w:tcW w:w="851" w:type="dxa"/>
          </w:tcPr>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Trades above LiS</w:t>
            </w:r>
          </w:p>
        </w:tc>
        <w:tc>
          <w:tcPr>
            <w:tcW w:w="1559" w:type="dxa"/>
          </w:tcPr>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Notional Amount above LiS</w:t>
            </w:r>
          </w:p>
        </w:tc>
        <w:tc>
          <w:tcPr>
            <w:tcW w:w="851" w:type="dxa"/>
          </w:tcPr>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 xml:space="preserve">Trades above LiS </w:t>
            </w:r>
          </w:p>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w:t>
            </w:r>
          </w:p>
        </w:tc>
        <w:tc>
          <w:tcPr>
            <w:tcW w:w="992" w:type="dxa"/>
          </w:tcPr>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 xml:space="preserve">Notional Amount above LiS </w:t>
            </w:r>
          </w:p>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w:t>
            </w:r>
          </w:p>
        </w:tc>
        <w:tc>
          <w:tcPr>
            <w:tcW w:w="1276" w:type="dxa"/>
          </w:tcPr>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LiS Rounded Value</w:t>
            </w:r>
          </w:p>
        </w:tc>
      </w:tr>
      <w:tr w:rsidR="00D81020" w:rsidTr="00D81020">
        <w:tc>
          <w:tcPr>
            <w:tcW w:w="1277" w:type="dxa"/>
          </w:tcPr>
          <w:p w:rsidR="00D81020" w:rsidRPr="00A51E16" w:rsidRDefault="00D81020" w:rsidP="00D81020">
            <w:pPr>
              <w:spacing w:before="100" w:beforeAutospacing="1" w:after="100" w:afterAutospacing="1"/>
              <w:contextualSpacing/>
              <w:jc w:val="both"/>
              <w:rPr>
                <w:rFonts w:cs="Arial"/>
                <w:b/>
                <w:sz w:val="16"/>
                <w:szCs w:val="16"/>
                <w:u w:val="single"/>
              </w:rPr>
            </w:pPr>
            <w:r w:rsidRPr="00A51E16">
              <w:rPr>
                <w:rFonts w:cs="Arial"/>
                <w:b/>
                <w:sz w:val="16"/>
                <w:szCs w:val="16"/>
                <w:u w:val="single"/>
              </w:rPr>
              <w:t xml:space="preserve">30% Basis </w:t>
            </w:r>
          </w:p>
        </w:tc>
        <w:tc>
          <w:tcPr>
            <w:tcW w:w="425" w:type="dxa"/>
            <w:shd w:val="clear" w:color="auto" w:fill="A6A6A6" w:themeFill="background1" w:themeFillShade="A6"/>
          </w:tcPr>
          <w:p w:rsidR="00D81020" w:rsidRDefault="00D81020" w:rsidP="00D81020">
            <w:pPr>
              <w:spacing w:before="100" w:beforeAutospacing="1" w:after="100" w:afterAutospacing="1"/>
              <w:contextualSpacing/>
              <w:jc w:val="both"/>
              <w:rPr>
                <w:rFonts w:cs="Arial"/>
                <w:u w:val="single"/>
              </w:rPr>
            </w:pPr>
          </w:p>
        </w:tc>
        <w:tc>
          <w:tcPr>
            <w:tcW w:w="851" w:type="dxa"/>
            <w:shd w:val="clear" w:color="auto" w:fill="A6A6A6" w:themeFill="background1" w:themeFillShade="A6"/>
          </w:tcPr>
          <w:p w:rsidR="00D81020" w:rsidRDefault="00D81020" w:rsidP="00D81020">
            <w:pPr>
              <w:spacing w:before="100" w:beforeAutospacing="1" w:after="100" w:afterAutospacing="1"/>
              <w:contextualSpacing/>
              <w:jc w:val="both"/>
              <w:rPr>
                <w:rFonts w:cs="Arial"/>
                <w:u w:val="single"/>
              </w:rPr>
            </w:pPr>
          </w:p>
        </w:tc>
        <w:tc>
          <w:tcPr>
            <w:tcW w:w="1275" w:type="dxa"/>
            <w:shd w:val="clear" w:color="auto" w:fill="A6A6A6" w:themeFill="background1" w:themeFillShade="A6"/>
          </w:tcPr>
          <w:p w:rsidR="00D81020" w:rsidRDefault="00D81020" w:rsidP="00D81020">
            <w:pPr>
              <w:spacing w:before="100" w:beforeAutospacing="1" w:after="100" w:afterAutospacing="1"/>
              <w:contextualSpacing/>
              <w:jc w:val="both"/>
              <w:rPr>
                <w:rFonts w:cs="Arial"/>
                <w:u w:val="single"/>
              </w:rPr>
            </w:pPr>
          </w:p>
        </w:tc>
        <w:tc>
          <w:tcPr>
            <w:tcW w:w="851" w:type="dxa"/>
            <w:shd w:val="clear" w:color="auto" w:fill="A6A6A6" w:themeFill="background1" w:themeFillShade="A6"/>
          </w:tcPr>
          <w:p w:rsidR="00D81020" w:rsidRDefault="00D81020" w:rsidP="00D81020">
            <w:pPr>
              <w:spacing w:before="100" w:beforeAutospacing="1" w:after="100" w:afterAutospacing="1"/>
              <w:contextualSpacing/>
              <w:jc w:val="both"/>
              <w:rPr>
                <w:rFonts w:cs="Arial"/>
                <w:u w:val="single"/>
              </w:rPr>
            </w:pPr>
          </w:p>
        </w:tc>
        <w:tc>
          <w:tcPr>
            <w:tcW w:w="1559" w:type="dxa"/>
            <w:shd w:val="clear" w:color="auto" w:fill="A6A6A6" w:themeFill="background1" w:themeFillShade="A6"/>
          </w:tcPr>
          <w:p w:rsidR="00D81020" w:rsidRDefault="00D81020" w:rsidP="00D81020">
            <w:pPr>
              <w:spacing w:before="100" w:beforeAutospacing="1" w:after="100" w:afterAutospacing="1"/>
              <w:contextualSpacing/>
              <w:jc w:val="both"/>
              <w:rPr>
                <w:rFonts w:cs="Arial"/>
                <w:u w:val="single"/>
              </w:rPr>
            </w:pPr>
          </w:p>
        </w:tc>
        <w:tc>
          <w:tcPr>
            <w:tcW w:w="851" w:type="dxa"/>
            <w:shd w:val="clear" w:color="auto" w:fill="A6A6A6" w:themeFill="background1" w:themeFillShade="A6"/>
          </w:tcPr>
          <w:p w:rsidR="00D81020" w:rsidRDefault="00D81020" w:rsidP="00D81020">
            <w:pPr>
              <w:spacing w:before="100" w:beforeAutospacing="1" w:after="100" w:afterAutospacing="1"/>
              <w:contextualSpacing/>
              <w:jc w:val="both"/>
              <w:rPr>
                <w:rFonts w:cs="Arial"/>
                <w:u w:val="single"/>
              </w:rPr>
            </w:pPr>
          </w:p>
        </w:tc>
        <w:tc>
          <w:tcPr>
            <w:tcW w:w="992" w:type="dxa"/>
            <w:shd w:val="clear" w:color="auto" w:fill="A6A6A6" w:themeFill="background1" w:themeFillShade="A6"/>
          </w:tcPr>
          <w:p w:rsidR="00D81020" w:rsidRDefault="00D81020" w:rsidP="00D81020">
            <w:pPr>
              <w:spacing w:before="100" w:beforeAutospacing="1" w:after="100" w:afterAutospacing="1"/>
              <w:contextualSpacing/>
              <w:jc w:val="both"/>
              <w:rPr>
                <w:rFonts w:cs="Arial"/>
                <w:u w:val="single"/>
              </w:rPr>
            </w:pPr>
          </w:p>
        </w:tc>
        <w:tc>
          <w:tcPr>
            <w:tcW w:w="1276" w:type="dxa"/>
            <w:shd w:val="clear" w:color="auto" w:fill="A6A6A6" w:themeFill="background1" w:themeFillShade="A6"/>
          </w:tcPr>
          <w:p w:rsidR="00D81020" w:rsidRDefault="00D81020" w:rsidP="00D81020">
            <w:pPr>
              <w:spacing w:before="100" w:beforeAutospacing="1" w:after="100" w:afterAutospacing="1"/>
              <w:contextualSpacing/>
              <w:jc w:val="both"/>
              <w:rPr>
                <w:rFonts w:cs="Arial"/>
                <w:u w:val="single"/>
              </w:rPr>
            </w:pPr>
          </w:p>
        </w:tc>
      </w:tr>
      <w:tr w:rsidR="00D81020" w:rsidTr="00D81020">
        <w:tc>
          <w:tcPr>
            <w:tcW w:w="1277" w:type="dxa"/>
          </w:tcPr>
          <w:p w:rsidR="00D81020" w:rsidRPr="00A51E16" w:rsidRDefault="00D81020" w:rsidP="00D81020">
            <w:pPr>
              <w:spacing w:before="100" w:beforeAutospacing="1" w:after="100" w:afterAutospacing="1"/>
              <w:contextualSpacing/>
              <w:jc w:val="both"/>
              <w:rPr>
                <w:rFonts w:cs="Arial"/>
              </w:rPr>
            </w:pPr>
            <w:r w:rsidRPr="00A51E16">
              <w:rPr>
                <w:rFonts w:cs="Arial"/>
                <w:sz w:val="16"/>
              </w:rPr>
              <w:t>iTraxx 4 Years</w:t>
            </w:r>
          </w:p>
        </w:tc>
        <w:tc>
          <w:tcPr>
            <w:tcW w:w="425" w:type="dxa"/>
          </w:tcPr>
          <w:p w:rsidR="00D81020" w:rsidRPr="00A51E16" w:rsidRDefault="00D81020" w:rsidP="00D81020">
            <w:pPr>
              <w:spacing w:before="100" w:beforeAutospacing="1" w:after="100" w:afterAutospacing="1"/>
              <w:contextualSpacing/>
              <w:jc w:val="center"/>
              <w:rPr>
                <w:rFonts w:cs="Arial"/>
                <w:sz w:val="16"/>
                <w:szCs w:val="16"/>
              </w:rPr>
            </w:pPr>
            <w:r w:rsidRPr="00A51E16">
              <w:rPr>
                <w:rFonts w:cs="Arial"/>
                <w:sz w:val="16"/>
                <w:szCs w:val="16"/>
              </w:rPr>
              <w:t>30</w:t>
            </w:r>
          </w:p>
        </w:tc>
        <w:tc>
          <w:tcPr>
            <w:tcW w:w="851" w:type="dxa"/>
          </w:tcPr>
          <w:p w:rsidR="00D81020" w:rsidRPr="00A51E16" w:rsidRDefault="00D81020" w:rsidP="00D81020">
            <w:pPr>
              <w:spacing w:before="100" w:beforeAutospacing="1" w:after="100" w:afterAutospacing="1"/>
              <w:contextualSpacing/>
              <w:jc w:val="right"/>
              <w:rPr>
                <w:rFonts w:cs="Arial"/>
                <w:sz w:val="16"/>
                <w:szCs w:val="16"/>
              </w:rPr>
            </w:pPr>
          </w:p>
        </w:tc>
        <w:tc>
          <w:tcPr>
            <w:tcW w:w="1275" w:type="dxa"/>
          </w:tcPr>
          <w:p w:rsidR="00D81020" w:rsidRPr="00A51E16" w:rsidRDefault="00D81020" w:rsidP="00D81020">
            <w:pPr>
              <w:spacing w:before="100" w:beforeAutospacing="1" w:after="100" w:afterAutospacing="1"/>
              <w:contextualSpacing/>
              <w:jc w:val="right"/>
              <w:rPr>
                <w:rFonts w:cs="Arial"/>
                <w:sz w:val="16"/>
                <w:szCs w:val="16"/>
              </w:rPr>
            </w:pPr>
            <w:r w:rsidRPr="00A51E16">
              <w:rPr>
                <w:rFonts w:cs="Arial"/>
                <w:sz w:val="16"/>
                <w:szCs w:val="16"/>
              </w:rPr>
              <w:t>4,531,687,586</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8</w:t>
            </w:r>
          </w:p>
        </w:tc>
        <w:tc>
          <w:tcPr>
            <w:tcW w:w="1559"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72,116,762,254</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1.80</w:t>
            </w:r>
          </w:p>
        </w:tc>
        <w:tc>
          <w:tcPr>
            <w:tcW w:w="992"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30.82</w:t>
            </w:r>
          </w:p>
        </w:tc>
        <w:tc>
          <w:tcPr>
            <w:tcW w:w="1276"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4,525,000,000</w:t>
            </w:r>
          </w:p>
        </w:tc>
      </w:tr>
      <w:tr w:rsidR="00D81020" w:rsidTr="00D81020">
        <w:tc>
          <w:tcPr>
            <w:tcW w:w="1277" w:type="dxa"/>
          </w:tcPr>
          <w:p w:rsidR="00D81020" w:rsidRPr="00A51E16" w:rsidRDefault="00D81020" w:rsidP="00D81020">
            <w:pPr>
              <w:spacing w:before="100" w:beforeAutospacing="1" w:after="100" w:afterAutospacing="1"/>
              <w:contextualSpacing/>
              <w:jc w:val="both"/>
              <w:rPr>
                <w:rFonts w:cs="Arial"/>
              </w:rPr>
            </w:pPr>
            <w:r w:rsidRPr="00A51E16">
              <w:rPr>
                <w:rFonts w:cs="Arial"/>
                <w:sz w:val="16"/>
              </w:rPr>
              <w:t xml:space="preserve">iTraxx </w:t>
            </w:r>
            <w:r>
              <w:rPr>
                <w:rFonts w:cs="Arial"/>
                <w:sz w:val="16"/>
              </w:rPr>
              <w:t>5</w:t>
            </w:r>
            <w:r w:rsidRPr="00A51E16">
              <w:rPr>
                <w:rFonts w:cs="Arial"/>
                <w:sz w:val="16"/>
              </w:rPr>
              <w:t xml:space="preserve"> Years</w:t>
            </w:r>
          </w:p>
        </w:tc>
        <w:tc>
          <w:tcPr>
            <w:tcW w:w="425" w:type="dxa"/>
          </w:tcPr>
          <w:p w:rsidR="00D81020" w:rsidRPr="00A51E16" w:rsidRDefault="00D81020" w:rsidP="00D81020">
            <w:pPr>
              <w:spacing w:before="100" w:beforeAutospacing="1" w:after="100" w:afterAutospacing="1"/>
              <w:contextualSpacing/>
              <w:jc w:val="center"/>
              <w:rPr>
                <w:rFonts w:cs="Arial"/>
                <w:sz w:val="16"/>
                <w:szCs w:val="16"/>
              </w:rPr>
            </w:pPr>
            <w:r w:rsidRPr="00A51E16">
              <w:rPr>
                <w:rFonts w:cs="Arial"/>
                <w:sz w:val="16"/>
                <w:szCs w:val="16"/>
              </w:rPr>
              <w:t>30</w:t>
            </w:r>
          </w:p>
        </w:tc>
        <w:tc>
          <w:tcPr>
            <w:tcW w:w="851" w:type="dxa"/>
          </w:tcPr>
          <w:p w:rsidR="00D81020" w:rsidRPr="00A51E16" w:rsidRDefault="00D81020" w:rsidP="00D81020">
            <w:pPr>
              <w:spacing w:before="100" w:beforeAutospacing="1" w:after="100" w:afterAutospacing="1"/>
              <w:contextualSpacing/>
              <w:jc w:val="right"/>
              <w:rPr>
                <w:rFonts w:cs="Arial"/>
                <w:sz w:val="16"/>
                <w:szCs w:val="16"/>
              </w:rPr>
            </w:pPr>
          </w:p>
        </w:tc>
        <w:tc>
          <w:tcPr>
            <w:tcW w:w="1275" w:type="dxa"/>
          </w:tcPr>
          <w:p w:rsidR="00D81020" w:rsidRPr="00A51E16" w:rsidRDefault="00D81020" w:rsidP="00D81020">
            <w:pPr>
              <w:spacing w:before="100" w:beforeAutospacing="1" w:after="100" w:afterAutospacing="1"/>
              <w:contextualSpacing/>
              <w:jc w:val="right"/>
              <w:rPr>
                <w:rFonts w:cs="Arial"/>
                <w:sz w:val="16"/>
                <w:szCs w:val="16"/>
              </w:rPr>
            </w:pPr>
            <w:r w:rsidRPr="00A51E16">
              <w:rPr>
                <w:rFonts w:cs="Arial"/>
                <w:sz w:val="16"/>
                <w:szCs w:val="16"/>
              </w:rPr>
              <w:t>3,358,669,400</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60</w:t>
            </w:r>
          </w:p>
        </w:tc>
        <w:tc>
          <w:tcPr>
            <w:tcW w:w="1559"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337,833,523,366</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0.91</w:t>
            </w:r>
          </w:p>
        </w:tc>
        <w:tc>
          <w:tcPr>
            <w:tcW w:w="992"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30.14</w:t>
            </w:r>
          </w:p>
        </w:tc>
        <w:tc>
          <w:tcPr>
            <w:tcW w:w="1276"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3,350,000,000</w:t>
            </w:r>
          </w:p>
        </w:tc>
      </w:tr>
      <w:tr w:rsidR="00D81020" w:rsidTr="00D81020">
        <w:tc>
          <w:tcPr>
            <w:tcW w:w="1277" w:type="dxa"/>
          </w:tcPr>
          <w:p w:rsidR="00D81020" w:rsidRPr="00A51E16" w:rsidRDefault="00D81020" w:rsidP="00D81020">
            <w:pPr>
              <w:spacing w:before="100" w:beforeAutospacing="1" w:after="100" w:afterAutospacing="1"/>
              <w:contextualSpacing/>
              <w:jc w:val="both"/>
              <w:rPr>
                <w:rFonts w:cs="Arial"/>
              </w:rPr>
            </w:pPr>
            <w:r w:rsidRPr="00A51E16">
              <w:rPr>
                <w:rFonts w:cs="Arial"/>
                <w:sz w:val="16"/>
              </w:rPr>
              <w:t xml:space="preserve">iTraxx </w:t>
            </w:r>
            <w:r>
              <w:rPr>
                <w:rFonts w:cs="Arial"/>
                <w:sz w:val="16"/>
              </w:rPr>
              <w:t>6</w:t>
            </w:r>
            <w:r w:rsidRPr="00A51E16">
              <w:rPr>
                <w:rFonts w:cs="Arial"/>
                <w:sz w:val="16"/>
              </w:rPr>
              <w:t xml:space="preserve"> Years</w:t>
            </w:r>
          </w:p>
        </w:tc>
        <w:tc>
          <w:tcPr>
            <w:tcW w:w="425" w:type="dxa"/>
          </w:tcPr>
          <w:p w:rsidR="00D81020" w:rsidRPr="00A51E16" w:rsidRDefault="00D81020" w:rsidP="00D81020">
            <w:pPr>
              <w:spacing w:before="100" w:beforeAutospacing="1" w:after="100" w:afterAutospacing="1"/>
              <w:contextualSpacing/>
              <w:jc w:val="center"/>
              <w:rPr>
                <w:rFonts w:cs="Arial"/>
                <w:sz w:val="16"/>
                <w:szCs w:val="16"/>
              </w:rPr>
            </w:pPr>
            <w:r w:rsidRPr="00A51E16">
              <w:rPr>
                <w:rFonts w:cs="Arial"/>
                <w:sz w:val="16"/>
                <w:szCs w:val="16"/>
              </w:rPr>
              <w:t>30</w:t>
            </w:r>
          </w:p>
        </w:tc>
        <w:tc>
          <w:tcPr>
            <w:tcW w:w="851" w:type="dxa"/>
          </w:tcPr>
          <w:p w:rsidR="00D81020" w:rsidRPr="00A51E16" w:rsidRDefault="00D81020" w:rsidP="00D81020">
            <w:pPr>
              <w:spacing w:before="100" w:beforeAutospacing="1" w:after="100" w:afterAutospacing="1"/>
              <w:contextualSpacing/>
              <w:jc w:val="right"/>
              <w:rPr>
                <w:rFonts w:cs="Arial"/>
                <w:sz w:val="16"/>
                <w:szCs w:val="16"/>
              </w:rPr>
            </w:pPr>
          </w:p>
        </w:tc>
        <w:tc>
          <w:tcPr>
            <w:tcW w:w="1275" w:type="dxa"/>
          </w:tcPr>
          <w:p w:rsidR="00D81020" w:rsidRPr="00A51E16" w:rsidRDefault="00D81020" w:rsidP="00D81020">
            <w:pPr>
              <w:spacing w:before="100" w:beforeAutospacing="1" w:after="100" w:afterAutospacing="1"/>
              <w:contextualSpacing/>
              <w:jc w:val="right"/>
              <w:rPr>
                <w:rFonts w:cs="Arial"/>
                <w:sz w:val="16"/>
                <w:szCs w:val="16"/>
              </w:rPr>
            </w:pPr>
            <w:r w:rsidRPr="00A51E16">
              <w:rPr>
                <w:rFonts w:cs="Arial"/>
                <w:sz w:val="16"/>
                <w:szCs w:val="16"/>
              </w:rPr>
              <w:t>825,000,000</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93</w:t>
            </w:r>
          </w:p>
        </w:tc>
        <w:tc>
          <w:tcPr>
            <w:tcW w:w="1559"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169,089,704,326</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1.05</w:t>
            </w:r>
          </w:p>
        </w:tc>
        <w:tc>
          <w:tcPr>
            <w:tcW w:w="992"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30.10</w:t>
            </w:r>
          </w:p>
        </w:tc>
        <w:tc>
          <w:tcPr>
            <w:tcW w:w="1276"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825,000,000</w:t>
            </w:r>
          </w:p>
        </w:tc>
      </w:tr>
      <w:tr w:rsidR="00D81020" w:rsidTr="00D81020">
        <w:tc>
          <w:tcPr>
            <w:tcW w:w="1277" w:type="dxa"/>
          </w:tcPr>
          <w:p w:rsidR="00D81020" w:rsidRPr="00A51E16" w:rsidRDefault="00D81020" w:rsidP="00D81020">
            <w:pPr>
              <w:spacing w:before="100" w:beforeAutospacing="1" w:after="100" w:afterAutospacing="1"/>
              <w:contextualSpacing/>
              <w:jc w:val="both"/>
              <w:rPr>
                <w:rFonts w:cs="Arial"/>
                <w:b/>
                <w:u w:val="single"/>
              </w:rPr>
            </w:pPr>
            <w:r w:rsidRPr="00A51E16">
              <w:rPr>
                <w:rFonts w:cs="Arial"/>
                <w:b/>
                <w:sz w:val="16"/>
                <w:u w:val="single"/>
              </w:rPr>
              <w:t>10% Basis</w:t>
            </w:r>
          </w:p>
        </w:tc>
        <w:tc>
          <w:tcPr>
            <w:tcW w:w="425" w:type="dxa"/>
            <w:shd w:val="clear" w:color="auto" w:fill="A6A6A6" w:themeFill="background1" w:themeFillShade="A6"/>
          </w:tcPr>
          <w:p w:rsidR="00D81020" w:rsidRPr="00A51E16" w:rsidRDefault="00D81020" w:rsidP="00D81020">
            <w:pPr>
              <w:spacing w:before="100" w:beforeAutospacing="1" w:after="100" w:afterAutospacing="1"/>
              <w:contextualSpacing/>
              <w:jc w:val="center"/>
              <w:rPr>
                <w:rFonts w:cs="Arial"/>
                <w:sz w:val="16"/>
                <w:szCs w:val="16"/>
              </w:rPr>
            </w:pPr>
          </w:p>
        </w:tc>
        <w:tc>
          <w:tcPr>
            <w:tcW w:w="851" w:type="dxa"/>
            <w:shd w:val="clear" w:color="auto" w:fill="A6A6A6" w:themeFill="background1" w:themeFillShade="A6"/>
          </w:tcPr>
          <w:p w:rsidR="00D81020" w:rsidRPr="00A51E16" w:rsidRDefault="00D81020" w:rsidP="00D81020">
            <w:pPr>
              <w:spacing w:before="100" w:beforeAutospacing="1" w:after="100" w:afterAutospacing="1"/>
              <w:contextualSpacing/>
              <w:jc w:val="both"/>
              <w:rPr>
                <w:rFonts w:cs="Arial"/>
                <w:sz w:val="16"/>
                <w:szCs w:val="16"/>
              </w:rPr>
            </w:pPr>
          </w:p>
        </w:tc>
        <w:tc>
          <w:tcPr>
            <w:tcW w:w="1275" w:type="dxa"/>
            <w:shd w:val="clear" w:color="auto" w:fill="A6A6A6" w:themeFill="background1" w:themeFillShade="A6"/>
          </w:tcPr>
          <w:p w:rsidR="00D81020" w:rsidRPr="00A51E16" w:rsidRDefault="00D81020" w:rsidP="00D81020">
            <w:pPr>
              <w:spacing w:before="100" w:beforeAutospacing="1" w:after="100" w:afterAutospacing="1"/>
              <w:contextualSpacing/>
              <w:jc w:val="right"/>
              <w:rPr>
                <w:rFonts w:cs="Arial"/>
                <w:sz w:val="16"/>
                <w:szCs w:val="16"/>
              </w:rPr>
            </w:pPr>
          </w:p>
        </w:tc>
        <w:tc>
          <w:tcPr>
            <w:tcW w:w="851" w:type="dxa"/>
            <w:shd w:val="clear" w:color="auto" w:fill="A6A6A6" w:themeFill="background1" w:themeFillShade="A6"/>
          </w:tcPr>
          <w:p w:rsidR="00D81020" w:rsidRPr="00A51E16" w:rsidRDefault="00D81020" w:rsidP="00D81020">
            <w:pPr>
              <w:spacing w:before="100" w:beforeAutospacing="1" w:after="100" w:afterAutospacing="1"/>
              <w:contextualSpacing/>
              <w:jc w:val="center"/>
              <w:rPr>
                <w:rFonts w:cs="Arial"/>
                <w:sz w:val="16"/>
                <w:szCs w:val="16"/>
              </w:rPr>
            </w:pPr>
          </w:p>
        </w:tc>
        <w:tc>
          <w:tcPr>
            <w:tcW w:w="1559" w:type="dxa"/>
            <w:shd w:val="clear" w:color="auto" w:fill="A6A6A6" w:themeFill="background1" w:themeFillShade="A6"/>
          </w:tcPr>
          <w:p w:rsidR="00D81020" w:rsidRPr="00A51E16" w:rsidRDefault="00D81020" w:rsidP="00D81020">
            <w:pPr>
              <w:spacing w:before="100" w:beforeAutospacing="1" w:after="100" w:afterAutospacing="1"/>
              <w:contextualSpacing/>
              <w:jc w:val="right"/>
              <w:rPr>
                <w:rFonts w:cs="Arial"/>
                <w:sz w:val="16"/>
                <w:szCs w:val="16"/>
              </w:rPr>
            </w:pPr>
          </w:p>
        </w:tc>
        <w:tc>
          <w:tcPr>
            <w:tcW w:w="851" w:type="dxa"/>
            <w:shd w:val="clear" w:color="auto" w:fill="A6A6A6" w:themeFill="background1" w:themeFillShade="A6"/>
          </w:tcPr>
          <w:p w:rsidR="00D81020" w:rsidRPr="00A51E16" w:rsidRDefault="00D81020" w:rsidP="00D81020">
            <w:pPr>
              <w:spacing w:before="100" w:beforeAutospacing="1" w:after="100" w:afterAutospacing="1"/>
              <w:contextualSpacing/>
              <w:jc w:val="center"/>
              <w:rPr>
                <w:rFonts w:cs="Arial"/>
                <w:sz w:val="16"/>
                <w:szCs w:val="16"/>
              </w:rPr>
            </w:pPr>
          </w:p>
        </w:tc>
        <w:tc>
          <w:tcPr>
            <w:tcW w:w="992" w:type="dxa"/>
            <w:shd w:val="clear" w:color="auto" w:fill="A6A6A6" w:themeFill="background1" w:themeFillShade="A6"/>
          </w:tcPr>
          <w:p w:rsidR="00D81020" w:rsidRPr="00A51E16" w:rsidRDefault="00D81020" w:rsidP="00D81020">
            <w:pPr>
              <w:spacing w:before="100" w:beforeAutospacing="1" w:after="100" w:afterAutospacing="1"/>
              <w:contextualSpacing/>
              <w:jc w:val="center"/>
              <w:rPr>
                <w:rFonts w:cs="Arial"/>
                <w:sz w:val="16"/>
                <w:szCs w:val="16"/>
              </w:rPr>
            </w:pPr>
          </w:p>
        </w:tc>
        <w:tc>
          <w:tcPr>
            <w:tcW w:w="1276" w:type="dxa"/>
            <w:shd w:val="clear" w:color="auto" w:fill="A6A6A6" w:themeFill="background1" w:themeFillShade="A6"/>
          </w:tcPr>
          <w:p w:rsidR="00D81020" w:rsidRPr="00A51E16" w:rsidRDefault="00D81020" w:rsidP="00D81020">
            <w:pPr>
              <w:spacing w:before="100" w:beforeAutospacing="1" w:after="100" w:afterAutospacing="1"/>
              <w:contextualSpacing/>
              <w:jc w:val="right"/>
              <w:rPr>
                <w:rFonts w:cs="Arial"/>
                <w:sz w:val="16"/>
                <w:szCs w:val="16"/>
              </w:rPr>
            </w:pPr>
          </w:p>
        </w:tc>
      </w:tr>
      <w:tr w:rsidR="00D81020" w:rsidTr="00D81020">
        <w:tc>
          <w:tcPr>
            <w:tcW w:w="1277" w:type="dxa"/>
          </w:tcPr>
          <w:p w:rsidR="00D81020" w:rsidRPr="00A51E16" w:rsidRDefault="00D81020" w:rsidP="00D81020">
            <w:pPr>
              <w:spacing w:before="100" w:beforeAutospacing="1" w:after="100" w:afterAutospacing="1"/>
              <w:contextualSpacing/>
              <w:jc w:val="both"/>
              <w:rPr>
                <w:rFonts w:cs="Arial"/>
              </w:rPr>
            </w:pPr>
            <w:r w:rsidRPr="00A51E16">
              <w:rPr>
                <w:rFonts w:cs="Arial"/>
                <w:sz w:val="16"/>
              </w:rPr>
              <w:t>iTraxx 4 Years</w:t>
            </w:r>
          </w:p>
        </w:tc>
        <w:tc>
          <w:tcPr>
            <w:tcW w:w="425" w:type="dxa"/>
          </w:tcPr>
          <w:p w:rsidR="00D81020" w:rsidRPr="00A51E16" w:rsidRDefault="00D81020" w:rsidP="00D81020">
            <w:pPr>
              <w:spacing w:before="100" w:beforeAutospacing="1" w:after="100" w:afterAutospacing="1"/>
              <w:contextualSpacing/>
              <w:jc w:val="center"/>
              <w:rPr>
                <w:rFonts w:cs="Arial"/>
                <w:sz w:val="16"/>
                <w:szCs w:val="16"/>
              </w:rPr>
            </w:pPr>
            <w:r w:rsidRPr="00A51E16">
              <w:rPr>
                <w:rFonts w:cs="Arial"/>
                <w:sz w:val="16"/>
                <w:szCs w:val="16"/>
              </w:rPr>
              <w:t>10</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37</w:t>
            </w:r>
          </w:p>
        </w:tc>
        <w:tc>
          <w:tcPr>
            <w:tcW w:w="1275"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1,362,210,067</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44</w:t>
            </w:r>
          </w:p>
        </w:tc>
        <w:tc>
          <w:tcPr>
            <w:tcW w:w="1559"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150,048,949,909</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9.91</w:t>
            </w:r>
          </w:p>
        </w:tc>
        <w:tc>
          <w:tcPr>
            <w:tcW w:w="992"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64.12</w:t>
            </w:r>
          </w:p>
        </w:tc>
        <w:tc>
          <w:tcPr>
            <w:tcW w:w="1276"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1,350,000,000</w:t>
            </w:r>
          </w:p>
        </w:tc>
      </w:tr>
      <w:tr w:rsidR="00D81020" w:rsidTr="00D81020">
        <w:tc>
          <w:tcPr>
            <w:tcW w:w="1277" w:type="dxa"/>
          </w:tcPr>
          <w:p w:rsidR="00D81020" w:rsidRPr="00A51E16" w:rsidRDefault="00D81020" w:rsidP="00D81020">
            <w:pPr>
              <w:spacing w:before="100" w:beforeAutospacing="1" w:after="100" w:afterAutospacing="1"/>
              <w:contextualSpacing/>
              <w:jc w:val="both"/>
              <w:rPr>
                <w:rFonts w:cs="Arial"/>
              </w:rPr>
            </w:pPr>
            <w:r>
              <w:rPr>
                <w:rFonts w:cs="Arial"/>
                <w:sz w:val="16"/>
              </w:rPr>
              <w:t>iTraxx 5</w:t>
            </w:r>
            <w:r w:rsidRPr="00A51E16">
              <w:rPr>
                <w:rFonts w:cs="Arial"/>
                <w:sz w:val="16"/>
              </w:rPr>
              <w:t xml:space="preserve"> Years </w:t>
            </w:r>
          </w:p>
        </w:tc>
        <w:tc>
          <w:tcPr>
            <w:tcW w:w="425" w:type="dxa"/>
          </w:tcPr>
          <w:p w:rsidR="00D81020" w:rsidRPr="00A51E16" w:rsidRDefault="00D81020" w:rsidP="00D81020">
            <w:pPr>
              <w:spacing w:before="100" w:beforeAutospacing="1" w:after="100" w:afterAutospacing="1"/>
              <w:contextualSpacing/>
              <w:jc w:val="center"/>
              <w:rPr>
                <w:rFonts w:cs="Arial"/>
                <w:sz w:val="16"/>
                <w:szCs w:val="16"/>
              </w:rPr>
            </w:pPr>
            <w:r w:rsidRPr="00A51E16">
              <w:rPr>
                <w:rFonts w:cs="Arial"/>
                <w:sz w:val="16"/>
                <w:szCs w:val="16"/>
              </w:rPr>
              <w:t>10</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61</w:t>
            </w:r>
          </w:p>
        </w:tc>
        <w:tc>
          <w:tcPr>
            <w:tcW w:w="1275"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240,000,000</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658</w:t>
            </w:r>
          </w:p>
        </w:tc>
        <w:tc>
          <w:tcPr>
            <w:tcW w:w="1559"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903,655,572,985</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10.00</w:t>
            </w:r>
          </w:p>
        </w:tc>
        <w:tc>
          <w:tcPr>
            <w:tcW w:w="992"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80.63</w:t>
            </w:r>
          </w:p>
        </w:tc>
        <w:tc>
          <w:tcPr>
            <w:tcW w:w="1276"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250,000,000</w:t>
            </w:r>
          </w:p>
        </w:tc>
      </w:tr>
      <w:tr w:rsidR="00D81020" w:rsidTr="00D81020">
        <w:tc>
          <w:tcPr>
            <w:tcW w:w="1277" w:type="dxa"/>
          </w:tcPr>
          <w:p w:rsidR="00D81020" w:rsidRDefault="00D81020" w:rsidP="00D81020">
            <w:pPr>
              <w:spacing w:before="100" w:beforeAutospacing="1" w:after="100" w:afterAutospacing="1"/>
              <w:contextualSpacing/>
              <w:jc w:val="both"/>
              <w:rPr>
                <w:rFonts w:cs="Arial"/>
                <w:u w:val="single"/>
              </w:rPr>
            </w:pPr>
            <w:r w:rsidRPr="00A51E16">
              <w:rPr>
                <w:rFonts w:cs="Arial"/>
                <w:sz w:val="16"/>
              </w:rPr>
              <w:t xml:space="preserve">iTraxx </w:t>
            </w:r>
            <w:r>
              <w:rPr>
                <w:rFonts w:cs="Arial"/>
                <w:sz w:val="16"/>
              </w:rPr>
              <w:t>6</w:t>
            </w:r>
            <w:r w:rsidRPr="00A51E16">
              <w:rPr>
                <w:rFonts w:cs="Arial"/>
                <w:sz w:val="16"/>
              </w:rPr>
              <w:t xml:space="preserve"> Years</w:t>
            </w:r>
          </w:p>
        </w:tc>
        <w:tc>
          <w:tcPr>
            <w:tcW w:w="425" w:type="dxa"/>
          </w:tcPr>
          <w:p w:rsidR="00D81020" w:rsidRPr="00A51E16" w:rsidRDefault="00D81020" w:rsidP="00D81020">
            <w:pPr>
              <w:spacing w:before="100" w:beforeAutospacing="1" w:after="100" w:afterAutospacing="1"/>
              <w:contextualSpacing/>
              <w:jc w:val="center"/>
              <w:rPr>
                <w:rFonts w:cs="Arial"/>
                <w:sz w:val="16"/>
                <w:szCs w:val="16"/>
              </w:rPr>
            </w:pPr>
            <w:r w:rsidRPr="00A51E16">
              <w:rPr>
                <w:rFonts w:cs="Arial"/>
                <w:sz w:val="16"/>
                <w:szCs w:val="16"/>
              </w:rPr>
              <w:t>10</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48</w:t>
            </w:r>
          </w:p>
        </w:tc>
        <w:tc>
          <w:tcPr>
            <w:tcW w:w="1275"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100,000,000</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886</w:t>
            </w:r>
          </w:p>
        </w:tc>
        <w:tc>
          <w:tcPr>
            <w:tcW w:w="1559"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339,532,255,852</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10.01</w:t>
            </w:r>
          </w:p>
        </w:tc>
        <w:tc>
          <w:tcPr>
            <w:tcW w:w="992"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60.43</w:t>
            </w:r>
          </w:p>
        </w:tc>
        <w:tc>
          <w:tcPr>
            <w:tcW w:w="1276"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100,000,000</w:t>
            </w:r>
          </w:p>
        </w:tc>
      </w:tr>
    </w:tbl>
    <w:p w:rsidR="00D81020" w:rsidRDefault="00D81020" w:rsidP="00D81020">
      <w:pPr>
        <w:spacing w:before="100" w:beforeAutospacing="1" w:after="100" w:afterAutospacing="1"/>
        <w:contextualSpacing/>
        <w:jc w:val="both"/>
        <w:rPr>
          <w:rFonts w:cs="Arial"/>
        </w:rPr>
      </w:pPr>
    </w:p>
    <w:p w:rsidR="00D81020" w:rsidRPr="00822471" w:rsidRDefault="00D81020" w:rsidP="00D81020">
      <w:pPr>
        <w:spacing w:before="100" w:beforeAutospacing="1" w:after="100" w:afterAutospacing="1"/>
        <w:contextualSpacing/>
        <w:jc w:val="both"/>
        <w:rPr>
          <w:rFonts w:asciiTheme="minorHAnsi" w:hAnsiTheme="minorHAnsi" w:cs="Arial"/>
          <w:sz w:val="22"/>
        </w:rPr>
      </w:pPr>
      <w:r w:rsidRPr="00822471">
        <w:rPr>
          <w:rFonts w:asciiTheme="minorHAnsi" w:hAnsiTheme="minorHAnsi" w:cs="Arial"/>
          <w:sz w:val="22"/>
        </w:rPr>
        <w:t>These deficiencies in the data sets are also concerning because the major WMBA venues supplied a year of trading data to ESMA covering the 12 months to June 2014. Clearly any comparable analysis of these aggregated transaction sets should have flagged warnings of data quality at the outset of the analysis. We would urge the venue data, combined with a much longer sample of DTCC data objective lead analysis for the venue trading of the principal on-the-run indices to be the basis of a revised and new analysis. A revised paradigm should focus on the price forming liquidity in and around the five-year sector which will form the benchmark basis under the MiFID trading mandate. ‘Figure 1’ extracts the analysis for the 5 year iTraxx and neighbouring tenors, in order for the venue mandate to be effective we believe that the LiS value for these vintages needs to be set at Eur 25mm.  Currently, this is different by factors of over 100 times.</w:t>
      </w:r>
    </w:p>
    <w:p w:rsidR="00D81020" w:rsidRPr="00822471" w:rsidRDefault="00D81020" w:rsidP="00D81020">
      <w:pPr>
        <w:spacing w:before="100" w:beforeAutospacing="1" w:after="100" w:afterAutospacing="1"/>
        <w:contextualSpacing/>
        <w:jc w:val="both"/>
        <w:rPr>
          <w:rFonts w:asciiTheme="minorHAnsi" w:hAnsiTheme="minorHAnsi" w:cs="Arial"/>
          <w:sz w:val="22"/>
        </w:rPr>
      </w:pPr>
    </w:p>
    <w:p w:rsidR="00D81020" w:rsidRPr="00822471" w:rsidRDefault="00D81020" w:rsidP="00D81020">
      <w:pPr>
        <w:spacing w:before="100" w:beforeAutospacing="1" w:after="100" w:afterAutospacing="1"/>
        <w:contextualSpacing/>
        <w:jc w:val="both"/>
        <w:rPr>
          <w:rFonts w:asciiTheme="minorHAnsi" w:hAnsiTheme="minorHAnsi" w:cs="Arial"/>
          <w:sz w:val="22"/>
          <w:szCs w:val="22"/>
        </w:rPr>
      </w:pPr>
      <w:r w:rsidRPr="00822471">
        <w:rPr>
          <w:rFonts w:asciiTheme="minorHAnsi" w:hAnsiTheme="minorHAnsi" w:cs="Arial"/>
          <w:sz w:val="22"/>
          <w:szCs w:val="22"/>
        </w:rPr>
        <w:t xml:space="preserve">WMBA welcomes and notes that ESMA have adopted the notion of ‘front month’ liquidity as suggested in the WMBA response to the discussion paper. However we would stress the inadequacies in the definition employed and commend the ISDA specification set out in their response to this question. </w:t>
      </w:r>
    </w:p>
    <w:p w:rsidR="00D81020" w:rsidRPr="00822471" w:rsidRDefault="00D81020" w:rsidP="00D81020">
      <w:pPr>
        <w:spacing w:before="100" w:beforeAutospacing="1" w:after="100" w:afterAutospacing="1"/>
        <w:contextualSpacing/>
        <w:jc w:val="both"/>
        <w:rPr>
          <w:rFonts w:asciiTheme="minorHAnsi" w:hAnsiTheme="minorHAnsi" w:cs="Arial"/>
          <w:sz w:val="22"/>
          <w:szCs w:val="22"/>
        </w:rPr>
      </w:pPr>
    </w:p>
    <w:p w:rsidR="00D81020" w:rsidRPr="00822471" w:rsidRDefault="00D81020" w:rsidP="00D81020">
      <w:pPr>
        <w:spacing w:before="100" w:beforeAutospacing="1" w:after="100" w:afterAutospacing="1"/>
        <w:contextualSpacing/>
        <w:jc w:val="both"/>
        <w:rPr>
          <w:rFonts w:asciiTheme="minorHAnsi" w:hAnsiTheme="minorHAnsi" w:cs="Arial"/>
          <w:sz w:val="22"/>
          <w:szCs w:val="22"/>
        </w:rPr>
      </w:pPr>
      <w:r w:rsidRPr="00822471">
        <w:rPr>
          <w:rFonts w:asciiTheme="minorHAnsi" w:hAnsiTheme="minorHAnsi" w:cs="Arial"/>
          <w:sz w:val="22"/>
          <w:szCs w:val="22"/>
        </w:rPr>
        <w:t>In terms of further details and transaction analysis, we defer to the alternative methodology set out and detailed in the response to Question 4 by ISDA. We do reiterate their four chief concerns that ESMA has misclassified many illiquid credit derivatives as liquid:</w:t>
      </w:r>
    </w:p>
    <w:p w:rsidR="00D81020" w:rsidRPr="00822471" w:rsidRDefault="00D81020" w:rsidP="004052F8">
      <w:pPr>
        <w:pStyle w:val="ListParagraph"/>
        <w:numPr>
          <w:ilvl w:val="0"/>
          <w:numId w:val="56"/>
        </w:numPr>
        <w:spacing w:before="100" w:beforeAutospacing="1" w:after="100" w:afterAutospacing="1"/>
        <w:ind w:left="1134"/>
        <w:jc w:val="both"/>
        <w:rPr>
          <w:rFonts w:asciiTheme="minorHAnsi" w:hAnsiTheme="minorHAnsi" w:cs="Arial"/>
          <w:i/>
          <w:sz w:val="22"/>
          <w:szCs w:val="22"/>
        </w:rPr>
      </w:pPr>
      <w:r w:rsidRPr="00822471">
        <w:rPr>
          <w:rFonts w:asciiTheme="minorHAnsi" w:hAnsiTheme="minorHAnsi" w:cs="Arial"/>
          <w:i/>
          <w:sz w:val="22"/>
          <w:szCs w:val="22"/>
        </w:rPr>
        <w:t>not in accordance with the MiFIR definition of liquidity</w:t>
      </w:r>
    </w:p>
    <w:p w:rsidR="00D81020" w:rsidRPr="00822471" w:rsidRDefault="00D81020" w:rsidP="004052F8">
      <w:pPr>
        <w:pStyle w:val="ListParagraph"/>
        <w:numPr>
          <w:ilvl w:val="0"/>
          <w:numId w:val="56"/>
        </w:numPr>
        <w:spacing w:before="100" w:beforeAutospacing="1" w:after="100" w:afterAutospacing="1"/>
        <w:ind w:left="1134"/>
        <w:jc w:val="both"/>
        <w:rPr>
          <w:rFonts w:asciiTheme="minorHAnsi" w:hAnsiTheme="minorHAnsi" w:cs="Arial"/>
          <w:i/>
          <w:sz w:val="22"/>
          <w:szCs w:val="22"/>
        </w:rPr>
      </w:pPr>
      <w:r w:rsidRPr="00822471">
        <w:rPr>
          <w:rFonts w:asciiTheme="minorHAnsi" w:hAnsiTheme="minorHAnsi" w:cs="Arial"/>
          <w:i/>
          <w:sz w:val="22"/>
          <w:szCs w:val="22"/>
        </w:rPr>
        <w:t>no regard for the number and type of market participants, and the average size of spreads</w:t>
      </w:r>
    </w:p>
    <w:p w:rsidR="00D81020" w:rsidRPr="00822471" w:rsidRDefault="00D81020" w:rsidP="004052F8">
      <w:pPr>
        <w:pStyle w:val="ListParagraph"/>
        <w:numPr>
          <w:ilvl w:val="0"/>
          <w:numId w:val="56"/>
        </w:numPr>
        <w:spacing w:before="100" w:beforeAutospacing="1" w:after="100" w:afterAutospacing="1"/>
        <w:ind w:left="1134"/>
        <w:jc w:val="both"/>
        <w:rPr>
          <w:rFonts w:asciiTheme="minorHAnsi" w:hAnsiTheme="minorHAnsi" w:cs="Arial"/>
          <w:i/>
          <w:sz w:val="22"/>
          <w:szCs w:val="22"/>
        </w:rPr>
      </w:pPr>
      <w:r w:rsidRPr="00822471">
        <w:rPr>
          <w:rFonts w:asciiTheme="minorHAnsi" w:hAnsiTheme="minorHAnsi" w:cs="Arial"/>
          <w:i/>
          <w:sz w:val="22"/>
          <w:szCs w:val="22"/>
        </w:rPr>
        <w:t xml:space="preserve">a classification of single-name CDS at a highly insufficient level of granularity </w:t>
      </w:r>
    </w:p>
    <w:p w:rsidR="00D81020" w:rsidRPr="00822471" w:rsidRDefault="00D81020" w:rsidP="004052F8">
      <w:pPr>
        <w:pStyle w:val="ListParagraph"/>
        <w:numPr>
          <w:ilvl w:val="0"/>
          <w:numId w:val="56"/>
        </w:numPr>
        <w:spacing w:before="100" w:beforeAutospacing="1" w:after="100" w:afterAutospacing="1"/>
        <w:ind w:left="1134"/>
        <w:jc w:val="both"/>
        <w:rPr>
          <w:rFonts w:asciiTheme="minorHAnsi" w:hAnsiTheme="minorHAnsi" w:cs="Arial"/>
          <w:i/>
          <w:sz w:val="22"/>
          <w:szCs w:val="22"/>
        </w:rPr>
      </w:pPr>
      <w:r w:rsidRPr="00822471">
        <w:rPr>
          <w:rFonts w:asciiTheme="minorHAnsi" w:hAnsiTheme="minorHAnsi" w:cs="Arial"/>
          <w:i/>
          <w:sz w:val="22"/>
          <w:szCs w:val="22"/>
        </w:rPr>
        <w:t>inclusion of the number of days traded greater to or equal to 80% of the available trading days in the period</w:t>
      </w:r>
    </w:p>
    <w:p w:rsidR="00D81020" w:rsidRDefault="00D81020" w:rsidP="00D81020">
      <w:pPr>
        <w:spacing w:before="100" w:beforeAutospacing="1" w:after="100" w:afterAutospacing="1"/>
        <w:contextualSpacing/>
        <w:jc w:val="both"/>
        <w:rPr>
          <w:rFonts w:ascii="Calibri" w:hAnsi="Calibri"/>
          <w:color w:val="000000"/>
        </w:rPr>
      </w:pPr>
      <w:r>
        <w:rPr>
          <w:rFonts w:ascii="Calibri" w:hAnsi="Calibri"/>
          <w:color w:val="000000"/>
        </w:rPr>
        <w:pict>
          <v:rect id="_x0000_i1035" style="width:0;height:1.5pt" o:hralign="center" o:hrstd="t" o:hr="t" fillcolor="#a0a0a0" stroked="f"/>
        </w:pict>
      </w:r>
    </w:p>
    <w:p w:rsidR="00D81020" w:rsidRPr="00D81020" w:rsidRDefault="00D81020" w:rsidP="00822471">
      <w:pPr>
        <w:pStyle w:val="FootnoteText"/>
        <w:jc w:val="both"/>
        <w:rPr>
          <w:rFonts w:asciiTheme="minorHAnsi" w:hAnsiTheme="minorHAnsi"/>
          <w:sz w:val="20"/>
        </w:rPr>
      </w:pPr>
      <w:r w:rsidRPr="00D81020">
        <w:rPr>
          <w:rStyle w:val="FootnoteReference"/>
          <w:rFonts w:asciiTheme="minorHAnsi" w:hAnsiTheme="minorHAnsi"/>
          <w:sz w:val="20"/>
        </w:rPr>
        <w:footnoteRef/>
      </w:r>
      <w:r w:rsidRPr="00D81020">
        <w:rPr>
          <w:rFonts w:asciiTheme="minorHAnsi" w:hAnsiTheme="minorHAnsi"/>
          <w:sz w:val="20"/>
        </w:rPr>
        <w:t xml:space="preserve"> </w:t>
      </w:r>
      <w:r w:rsidRPr="00D81020">
        <w:rPr>
          <w:rFonts w:asciiTheme="minorHAnsi" w:hAnsiTheme="minorHAnsi"/>
          <w:i/>
          <w:color w:val="7F7F7F" w:themeColor="text1" w:themeTint="80"/>
          <w:sz w:val="20"/>
        </w:rPr>
        <w:t>It is imperative that the assessment of whether there is "</w:t>
      </w:r>
      <w:r w:rsidRPr="00D81020">
        <w:rPr>
          <w:rFonts w:asciiTheme="minorHAnsi" w:hAnsiTheme="minorHAnsi"/>
          <w:b/>
          <w:i/>
          <w:color w:val="7F7F7F" w:themeColor="text1" w:themeTint="80"/>
          <w:sz w:val="20"/>
          <w:u w:val="single"/>
        </w:rPr>
        <w:t>sufficient third-party buying and selling interest in the class of derivatives or subset so that such a class of derivatives is considered sufficiently liquid to trade only on venues</w:t>
      </w:r>
      <w:r w:rsidRPr="00D81020">
        <w:rPr>
          <w:rFonts w:asciiTheme="minorHAnsi" w:hAnsiTheme="minorHAnsi"/>
          <w:i/>
          <w:color w:val="7F7F7F" w:themeColor="text1" w:themeTint="80"/>
          <w:sz w:val="20"/>
        </w:rPr>
        <w:t>", takes into account all variables which may impact the liquidity and tradability of an instrument and the assessment must therefore be conducted at a suitably granular level.  If this approach is not followed then there is a risk that a derivative product which is insufficiently standardised and which cannot be traded on venue or in which there insufficient third-party buying and selling interest will be declared subject to the trading obligation.</w:t>
      </w:r>
    </w:p>
    <w:p w:rsidR="00D81020" w:rsidRPr="006C49A9" w:rsidRDefault="00D81020" w:rsidP="00D81020">
      <w:pPr>
        <w:spacing w:before="100" w:beforeAutospacing="1" w:after="100" w:afterAutospacing="1"/>
        <w:contextualSpacing/>
        <w:jc w:val="both"/>
        <w:rPr>
          <w:rFonts w:cs="Arial"/>
        </w:rPr>
      </w:pPr>
    </w:p>
    <w:permEnd w:id="1561815456"/>
    <w:p w:rsidR="00A8728B" w:rsidRDefault="00A8728B" w:rsidP="00A8728B">
      <w:r>
        <w:t>&lt;ESMA_QUESTION_MIFID_ADD_4&gt;</w:t>
      </w:r>
    </w:p>
    <w:p w:rsidR="00A8728B" w:rsidRPr="00C24BCA" w:rsidRDefault="00A8728B" w:rsidP="00A8728B">
      <w:pPr>
        <w:pStyle w:val="CPQuestions"/>
        <w:ind w:left="714" w:hanging="357"/>
      </w:pPr>
      <w:r w:rsidRPr="00C24BCA">
        <w:t xml:space="preserve">Do you agree with ESMA’s proposal for credit derivatives? Please specify, for each sub-class (single name CDS, CDS index, bespoke basket CDS, single name CDS options, CDS index options) if you agree on the following points providing reasons for your answer and, if you disagree providing ESMA with your alternative proposal: </w:t>
      </w:r>
    </w:p>
    <w:p w:rsidR="00A8728B" w:rsidRPr="00C24BCA" w:rsidRDefault="00A8728B" w:rsidP="00566C6A">
      <w:pPr>
        <w:pStyle w:val="CPQuest2"/>
        <w:numPr>
          <w:ilvl w:val="0"/>
          <w:numId w:val="40"/>
        </w:numPr>
      </w:pPr>
      <w:r w:rsidRPr="00C24BCA">
        <w:t xml:space="preserve">deferral period set to 48 hours </w:t>
      </w:r>
    </w:p>
    <w:p w:rsidR="00A8728B" w:rsidRPr="00C24BCA" w:rsidRDefault="00A8728B" w:rsidP="00566C6A">
      <w:pPr>
        <w:pStyle w:val="CPQuest2"/>
      </w:pPr>
      <w:r w:rsidRPr="00C24BCA">
        <w:t xml:space="preserve">size specific to the instrument threshold set as 50% of the large in scale threshold </w:t>
      </w:r>
    </w:p>
    <w:p w:rsidR="00A8728B" w:rsidRPr="00C24BCA" w:rsidRDefault="00A8728B" w:rsidP="00566C6A">
      <w:pPr>
        <w:pStyle w:val="CPQuest2"/>
      </w:pPr>
      <w:r w:rsidRPr="00C24BCA">
        <w:t>volume measure used to set the large in scale and size specific to the instrument threshold as specified in Annex II, Table 3 of draft RTS 9</w:t>
      </w:r>
    </w:p>
    <w:p w:rsidR="00A8728B" w:rsidRPr="00C24BCA" w:rsidRDefault="00A8728B" w:rsidP="00566C6A">
      <w:pPr>
        <w:pStyle w:val="CPQuest2"/>
      </w:pPr>
      <w:r w:rsidRPr="00C24BCA">
        <w:t xml:space="preserve">pre-trade and post-trade thresholds set at the same size </w:t>
      </w:r>
    </w:p>
    <w:p w:rsidR="00A8728B" w:rsidRPr="00B62727" w:rsidRDefault="00A8728B" w:rsidP="00566C6A">
      <w:pPr>
        <w:pStyle w:val="CPQuest2"/>
      </w:pPr>
      <w:r w:rsidRPr="00B62727">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r>
        <w:t>.</w:t>
      </w:r>
    </w:p>
    <w:p w:rsidR="00A8728B" w:rsidRDefault="00A8728B" w:rsidP="00A8728B">
      <w:r>
        <w:t>&lt;ESMA_QUESTION_MIFID_ADD_5&gt;</w:t>
      </w:r>
    </w:p>
    <w:p w:rsidR="00D81020" w:rsidRPr="00D81020" w:rsidRDefault="00D81020" w:rsidP="00D81020">
      <w:pPr>
        <w:spacing w:before="100" w:beforeAutospacing="1" w:after="100" w:afterAutospacing="1"/>
        <w:jc w:val="both"/>
        <w:rPr>
          <w:rFonts w:asciiTheme="minorHAnsi" w:hAnsiTheme="minorHAnsi"/>
          <w:sz w:val="22"/>
          <w:szCs w:val="22"/>
        </w:rPr>
      </w:pPr>
      <w:permStart w:id="1462503492" w:edGrp="everyone"/>
      <w:r w:rsidRPr="00D81020">
        <w:rPr>
          <w:rFonts w:asciiTheme="minorHAnsi" w:hAnsiTheme="minorHAnsi"/>
          <w:sz w:val="22"/>
          <w:szCs w:val="22"/>
        </w:rPr>
        <w:t>The WMBA does not agree with ESMA’s proposal for credit derivatives LiS and SSTI thresholds</w:t>
      </w:r>
      <w:r w:rsidRPr="00D81020">
        <w:rPr>
          <w:rFonts w:asciiTheme="minorHAnsi" w:hAnsiTheme="minorHAnsi"/>
          <w:color w:val="1F497D"/>
          <w:sz w:val="22"/>
          <w:szCs w:val="22"/>
        </w:rPr>
        <w:t xml:space="preserve"> </w:t>
      </w:r>
      <w:r w:rsidRPr="00D81020">
        <w:rPr>
          <w:rFonts w:asciiTheme="minorHAnsi" w:hAnsiTheme="minorHAnsi"/>
          <w:sz w:val="22"/>
          <w:szCs w:val="22"/>
        </w:rPr>
        <w:t>for the following reasons:</w:t>
      </w:r>
    </w:p>
    <w:p w:rsidR="00D81020" w:rsidRPr="00D81020" w:rsidRDefault="00D81020" w:rsidP="004052F8">
      <w:pPr>
        <w:pStyle w:val="ListParagraph"/>
        <w:numPr>
          <w:ilvl w:val="0"/>
          <w:numId w:val="59"/>
        </w:numPr>
        <w:spacing w:before="100" w:beforeAutospacing="1" w:after="100" w:afterAutospacing="1"/>
        <w:contextualSpacing w:val="0"/>
        <w:jc w:val="both"/>
        <w:rPr>
          <w:rFonts w:asciiTheme="minorHAnsi" w:hAnsiTheme="minorHAnsi"/>
          <w:sz w:val="22"/>
          <w:szCs w:val="22"/>
        </w:rPr>
      </w:pPr>
      <w:r w:rsidRPr="00D81020">
        <w:rPr>
          <w:rFonts w:asciiTheme="minorHAnsi" w:hAnsiTheme="minorHAnsi"/>
          <w:sz w:val="22"/>
          <w:szCs w:val="22"/>
        </w:rPr>
        <w:t xml:space="preserve">It is our view that for a LiS waiver value to be meaningful it should be set at the standard market size of the class of credit derivative or a meaningful multiple thereof. </w:t>
      </w:r>
    </w:p>
    <w:p w:rsidR="00D81020" w:rsidRPr="00D81020" w:rsidRDefault="00D81020" w:rsidP="004052F8">
      <w:pPr>
        <w:pStyle w:val="ListParagraph"/>
        <w:numPr>
          <w:ilvl w:val="0"/>
          <w:numId w:val="59"/>
        </w:numPr>
        <w:spacing w:before="100" w:beforeAutospacing="1" w:after="100" w:afterAutospacing="1"/>
        <w:contextualSpacing w:val="0"/>
        <w:jc w:val="both"/>
        <w:rPr>
          <w:rFonts w:asciiTheme="minorHAnsi" w:hAnsiTheme="minorHAnsi"/>
          <w:color w:val="FF0000"/>
          <w:sz w:val="22"/>
          <w:szCs w:val="22"/>
        </w:rPr>
      </w:pPr>
      <w:r w:rsidRPr="00D81020">
        <w:rPr>
          <w:rFonts w:asciiTheme="minorHAnsi" w:hAnsiTheme="minorHAnsi"/>
          <w:sz w:val="22"/>
          <w:szCs w:val="22"/>
        </w:rPr>
        <w:t>ESMA has not reached appropriate LiS waiver values.  This is acutely the case for CDS Index</w:t>
      </w:r>
      <w:r w:rsidRPr="00D81020">
        <w:rPr>
          <w:rFonts w:asciiTheme="minorHAnsi" w:hAnsiTheme="minorHAnsi"/>
          <w:color w:val="1F497D"/>
          <w:sz w:val="22"/>
          <w:szCs w:val="22"/>
        </w:rPr>
        <w:t xml:space="preserve"> </w:t>
      </w:r>
      <w:r w:rsidRPr="00D81020">
        <w:rPr>
          <w:rFonts w:asciiTheme="minorHAnsi" w:hAnsiTheme="minorHAnsi"/>
          <w:sz w:val="22"/>
          <w:szCs w:val="22"/>
        </w:rPr>
        <w:t>for which the ESMA data set exhibits such a highly skewed nature that we can only assume that it includes</w:t>
      </w:r>
      <w:r w:rsidRPr="00D81020">
        <w:rPr>
          <w:rFonts w:asciiTheme="minorHAnsi" w:hAnsiTheme="minorHAnsi"/>
          <w:color w:val="1F497D"/>
          <w:sz w:val="22"/>
          <w:szCs w:val="22"/>
        </w:rPr>
        <w:t xml:space="preserve"> </w:t>
      </w:r>
      <w:r w:rsidRPr="00D81020">
        <w:rPr>
          <w:rFonts w:asciiTheme="minorHAnsi" w:hAnsiTheme="minorHAnsi"/>
          <w:sz w:val="22"/>
          <w:szCs w:val="22"/>
        </w:rPr>
        <w:t>non-price forming (compression) trade data.</w:t>
      </w:r>
      <w:r w:rsidRPr="00D81020">
        <w:rPr>
          <w:rFonts w:asciiTheme="minorHAnsi" w:hAnsiTheme="minorHAnsi"/>
          <w:color w:val="FF0000"/>
          <w:sz w:val="22"/>
          <w:szCs w:val="22"/>
        </w:rPr>
        <w:t xml:space="preserve"> </w:t>
      </w:r>
      <w:r w:rsidRPr="00D81020">
        <w:rPr>
          <w:rFonts w:asciiTheme="minorHAnsi" w:hAnsiTheme="minorHAnsi"/>
          <w:sz w:val="22"/>
          <w:szCs w:val="22"/>
        </w:rPr>
        <w:t>For example, according to ESMA data on iTraxx Europe 5yr: the largest 60 transactions are on average EUR 5.63 billion in size and the largest are EUR 1.37 billion in size. As a reference, this compares to a standard wholesale market size of EUR 25 million. Therefore, the skewed nature of the data renders the suggested LiS irrelevant.</w:t>
      </w:r>
    </w:p>
    <w:p w:rsidR="00D81020" w:rsidRPr="00D81020" w:rsidRDefault="00D81020" w:rsidP="004052F8">
      <w:pPr>
        <w:pStyle w:val="ListParagraph"/>
        <w:numPr>
          <w:ilvl w:val="0"/>
          <w:numId w:val="59"/>
        </w:numPr>
        <w:spacing w:before="100" w:beforeAutospacing="1" w:after="100" w:afterAutospacing="1"/>
        <w:contextualSpacing w:val="0"/>
        <w:jc w:val="both"/>
        <w:rPr>
          <w:rFonts w:asciiTheme="minorHAnsi" w:hAnsiTheme="minorHAnsi"/>
          <w:sz w:val="22"/>
          <w:szCs w:val="22"/>
        </w:rPr>
      </w:pPr>
      <w:r w:rsidRPr="00D81020">
        <w:rPr>
          <w:rFonts w:asciiTheme="minorHAnsi" w:hAnsiTheme="minorHAnsi"/>
          <w:sz w:val="22"/>
          <w:szCs w:val="22"/>
        </w:rPr>
        <w:t xml:space="preserve">On the other hand, we believe that Tables 46 and 47 show a more sensible methodology. In those tables, the LiS value for a 5 year USD corporate single name CDS is shown to be 20 and 25 million respectively.  Given that the known standard market size for these instruments is 5 million, the LiS values are four or five times the standard market size.  We believe that the single name CDS LiS values arrived at represent far more meaningful numbers than those arrived at for the CDS Index. Therefore, we propose that ESMA correct this inconsistency.  </w:t>
      </w:r>
    </w:p>
    <w:p w:rsidR="00D81020" w:rsidRPr="00D81020" w:rsidRDefault="00D81020" w:rsidP="004052F8">
      <w:pPr>
        <w:pStyle w:val="ListParagraph"/>
        <w:numPr>
          <w:ilvl w:val="0"/>
          <w:numId w:val="59"/>
        </w:numPr>
        <w:spacing w:before="100" w:beforeAutospacing="1" w:after="100" w:afterAutospacing="1"/>
        <w:contextualSpacing w:val="0"/>
        <w:jc w:val="both"/>
        <w:rPr>
          <w:rFonts w:asciiTheme="minorHAnsi" w:hAnsiTheme="minorHAnsi"/>
          <w:sz w:val="22"/>
          <w:szCs w:val="22"/>
        </w:rPr>
      </w:pPr>
      <w:r w:rsidRPr="00D81020">
        <w:rPr>
          <w:rFonts w:asciiTheme="minorHAnsi" w:hAnsiTheme="minorHAnsi"/>
          <w:sz w:val="22"/>
          <w:szCs w:val="22"/>
        </w:rPr>
        <w:t>We also urge ESMA to acknowledge that the LiS thresholds for credit derivatives become far less meaningful when these instruments become subject to the mandatory trading obligation.  The implication of the mandatory trading obligation is that trades above LiS will no longer take place as derivatives and will be forced to trade on trading venues at standard sizes.</w:t>
      </w:r>
      <w:r w:rsidRPr="00D81020">
        <w:rPr>
          <w:rFonts w:asciiTheme="minorHAnsi" w:hAnsiTheme="minorHAnsi"/>
          <w:color w:val="1F497D"/>
          <w:sz w:val="22"/>
          <w:szCs w:val="22"/>
        </w:rPr>
        <w:t xml:space="preserve"> </w:t>
      </w:r>
      <w:r w:rsidRPr="00D81020">
        <w:rPr>
          <w:rFonts w:asciiTheme="minorHAnsi" w:hAnsiTheme="minorHAnsi"/>
          <w:sz w:val="22"/>
          <w:szCs w:val="22"/>
        </w:rPr>
        <w:t xml:space="preserve">For example, it is well known that the standard market size for a 5 year iTraxx Europe CDS Index is 25 million Euros and therefore the proposed LiS is set at 10 times the standard venue trading size. We do not believe that calculations undertaken before the mandatory trading obligation for derivatives comes into force will produce sensible or appropriate results.  ESMA is establishing thresholds for the ‘new world’ based on data from the ‘old world’.  We therefore propose that ESMA should base its calculations on data available after the mandatory trading obligation comes into force as we believe this would produce more accurate and meaningful results. </w:t>
      </w:r>
    </w:p>
    <w:p w:rsidR="00D81020" w:rsidRPr="00D81020" w:rsidRDefault="00D81020" w:rsidP="00D81020">
      <w:pPr>
        <w:spacing w:before="100" w:beforeAutospacing="1" w:after="100" w:afterAutospacing="1"/>
        <w:jc w:val="both"/>
        <w:rPr>
          <w:rFonts w:asciiTheme="minorHAnsi" w:hAnsiTheme="minorHAnsi" w:cs="Arial"/>
          <w:sz w:val="22"/>
          <w:szCs w:val="22"/>
        </w:rPr>
      </w:pPr>
      <w:r w:rsidRPr="00D81020">
        <w:rPr>
          <w:rFonts w:asciiTheme="minorHAnsi" w:hAnsiTheme="minorHAnsi" w:cs="Arial"/>
          <w:sz w:val="22"/>
          <w:szCs w:val="22"/>
        </w:rPr>
        <w:t>In common with our answer to question 2 above, the WMBA does not consider 48 hours to be a sufficient deferral period for such a wholesale market with well under 10 liquidity providers acting globally. We further reiterate the same point on volume masking which is especially relevant in CDS markets. Volume masking alone is utterly insufficient to fulfil the safeguarding task assigned to it. This is because a small set of well under 10 liquidity providers will be ‘shopped around’ (quoting under competition) by key clients looking for volume and price commitment for transfer. All of the key liquidity providers will be aware of the transaction and its parameters, therefore once the set of prices and instruments are published [‘the trade shape’], the volume will simply be inferred and the winners curse re-established.</w:t>
      </w:r>
    </w:p>
    <w:p w:rsidR="00D81020" w:rsidRPr="00D81020" w:rsidRDefault="00D81020" w:rsidP="00D81020">
      <w:pPr>
        <w:spacing w:before="100" w:beforeAutospacing="1" w:after="100" w:afterAutospacing="1"/>
        <w:jc w:val="both"/>
        <w:rPr>
          <w:rFonts w:asciiTheme="minorHAnsi" w:hAnsiTheme="minorHAnsi" w:cs="Arial"/>
          <w:sz w:val="22"/>
          <w:szCs w:val="22"/>
        </w:rPr>
      </w:pPr>
      <w:r w:rsidRPr="00D81020">
        <w:rPr>
          <w:rFonts w:asciiTheme="minorHAnsi" w:hAnsiTheme="minorHAnsi" w:cs="Arial"/>
          <w:sz w:val="22"/>
          <w:szCs w:val="22"/>
        </w:rPr>
        <w:t>Therefore, for transactions under waiver protection or acting as ‘</w:t>
      </w:r>
      <w:r w:rsidRPr="00D81020">
        <w:rPr>
          <w:rFonts w:asciiTheme="minorHAnsi" w:hAnsiTheme="minorHAnsi" w:cs="Arial"/>
          <w:i/>
          <w:sz w:val="22"/>
          <w:szCs w:val="22"/>
        </w:rPr>
        <w:t>packaged products’</w:t>
      </w:r>
      <w:r w:rsidRPr="00D81020">
        <w:rPr>
          <w:rFonts w:asciiTheme="minorHAnsi" w:hAnsiTheme="minorHAnsi" w:cs="Arial"/>
          <w:sz w:val="22"/>
          <w:szCs w:val="22"/>
        </w:rPr>
        <w:t>, the WMBA endorse both price and volume being deferred for a minimum of 7 days.</w:t>
      </w:r>
    </w:p>
    <w:p w:rsidR="00D81020" w:rsidRPr="00D81020" w:rsidRDefault="00D81020" w:rsidP="00D81020">
      <w:pPr>
        <w:spacing w:before="100" w:beforeAutospacing="1" w:after="100" w:afterAutospacing="1"/>
        <w:jc w:val="both"/>
        <w:rPr>
          <w:rFonts w:asciiTheme="minorHAnsi" w:hAnsiTheme="minorHAnsi" w:cs="Arial"/>
          <w:sz w:val="22"/>
          <w:szCs w:val="22"/>
        </w:rPr>
      </w:pPr>
      <w:r w:rsidRPr="00D81020">
        <w:rPr>
          <w:rFonts w:asciiTheme="minorHAnsi" w:hAnsiTheme="minorHAnsi" w:cs="Arial"/>
          <w:sz w:val="22"/>
          <w:szCs w:val="22"/>
        </w:rPr>
        <w:t>In relation, therefore, to a ‘</w:t>
      </w:r>
      <w:r w:rsidRPr="00D81020">
        <w:rPr>
          <w:rFonts w:asciiTheme="minorHAnsi" w:hAnsiTheme="minorHAnsi" w:cs="Arial"/>
          <w:i/>
          <w:sz w:val="22"/>
          <w:szCs w:val="22"/>
        </w:rPr>
        <w:t>packaged products’</w:t>
      </w:r>
      <w:r w:rsidRPr="00D81020">
        <w:rPr>
          <w:rFonts w:asciiTheme="minorHAnsi" w:hAnsiTheme="minorHAnsi" w:cs="Arial"/>
          <w:sz w:val="22"/>
          <w:szCs w:val="22"/>
        </w:rPr>
        <w:t xml:space="preserve"> or ‘</w:t>
      </w:r>
      <w:r w:rsidRPr="00D81020">
        <w:rPr>
          <w:rFonts w:asciiTheme="minorHAnsi" w:hAnsiTheme="minorHAnsi" w:cs="Arial"/>
          <w:i/>
          <w:sz w:val="22"/>
          <w:szCs w:val="22"/>
        </w:rPr>
        <w:t>packaged transactions,’</w:t>
      </w:r>
      <w:r w:rsidRPr="00D81020">
        <w:rPr>
          <w:rFonts w:asciiTheme="minorHAnsi" w:hAnsiTheme="minorHAnsi" w:cs="Arial"/>
          <w:sz w:val="22"/>
          <w:szCs w:val="22"/>
        </w:rPr>
        <w:t xml:space="preserve"> the WMBA note their ubiquity across wholesale markets and therefore create the contingent nature to almost all liquidity provision, in particular that which shall be committed to OTFs. </w:t>
      </w:r>
    </w:p>
    <w:p w:rsidR="00D81020" w:rsidRPr="00D81020" w:rsidRDefault="00D81020" w:rsidP="00D81020">
      <w:pPr>
        <w:spacing w:before="100" w:beforeAutospacing="1" w:after="100" w:afterAutospacing="1"/>
        <w:jc w:val="both"/>
        <w:rPr>
          <w:rFonts w:asciiTheme="minorHAnsi" w:hAnsiTheme="minorHAnsi" w:cs="Arial"/>
          <w:sz w:val="22"/>
          <w:szCs w:val="22"/>
        </w:rPr>
      </w:pPr>
      <w:r w:rsidRPr="00D81020">
        <w:rPr>
          <w:rFonts w:asciiTheme="minorHAnsi" w:hAnsiTheme="minorHAnsi" w:cs="Arial"/>
          <w:sz w:val="22"/>
          <w:szCs w:val="22"/>
        </w:rPr>
        <w:t>We underline that these combinations be defined as:</w:t>
      </w:r>
    </w:p>
    <w:p w:rsidR="00D81020" w:rsidRPr="00D81020" w:rsidRDefault="00D81020" w:rsidP="00D81020">
      <w:pPr>
        <w:spacing w:before="100" w:beforeAutospacing="1" w:after="100" w:afterAutospacing="1"/>
        <w:ind w:left="360"/>
        <w:jc w:val="both"/>
        <w:rPr>
          <w:rFonts w:asciiTheme="minorHAnsi" w:hAnsiTheme="minorHAnsi" w:cs="Arial"/>
          <w:i/>
          <w:sz w:val="22"/>
          <w:szCs w:val="22"/>
        </w:rPr>
      </w:pPr>
      <w:r w:rsidRPr="00D81020">
        <w:rPr>
          <w:rFonts w:asciiTheme="minorHAnsi" w:hAnsiTheme="minorHAnsi" w:cs="Arial"/>
          <w:i/>
          <w:sz w:val="22"/>
          <w:szCs w:val="22"/>
        </w:rPr>
        <w:t>A transaction comprising two or more components, each of which is a bond, structured finance product, emission allowance or derivative where:</w:t>
      </w:r>
    </w:p>
    <w:p w:rsidR="00D81020" w:rsidRPr="00D81020" w:rsidRDefault="00D81020" w:rsidP="004052F8">
      <w:pPr>
        <w:pStyle w:val="ListParagraph"/>
        <w:numPr>
          <w:ilvl w:val="0"/>
          <w:numId w:val="58"/>
        </w:numPr>
        <w:spacing w:before="100" w:beforeAutospacing="1" w:after="100" w:afterAutospacing="1"/>
        <w:contextualSpacing w:val="0"/>
        <w:jc w:val="both"/>
        <w:rPr>
          <w:rFonts w:asciiTheme="minorHAnsi" w:hAnsiTheme="minorHAnsi" w:cs="Arial"/>
          <w:i/>
          <w:sz w:val="22"/>
          <w:szCs w:val="22"/>
        </w:rPr>
      </w:pPr>
      <w:r w:rsidRPr="00D81020">
        <w:rPr>
          <w:rFonts w:asciiTheme="minorHAnsi" w:hAnsiTheme="minorHAnsi" w:cs="Arial"/>
          <w:i/>
          <w:sz w:val="22"/>
          <w:szCs w:val="22"/>
        </w:rPr>
        <w:t>The components are priced as a "package" with simultaneous execution of all such components;</w:t>
      </w:r>
    </w:p>
    <w:p w:rsidR="00D81020" w:rsidRPr="00D81020" w:rsidRDefault="00D81020" w:rsidP="004052F8">
      <w:pPr>
        <w:pStyle w:val="ListParagraph"/>
        <w:numPr>
          <w:ilvl w:val="0"/>
          <w:numId w:val="58"/>
        </w:numPr>
        <w:spacing w:before="100" w:beforeAutospacing="1" w:after="100" w:afterAutospacing="1"/>
        <w:contextualSpacing w:val="0"/>
        <w:jc w:val="both"/>
        <w:rPr>
          <w:rFonts w:asciiTheme="minorHAnsi" w:hAnsiTheme="minorHAnsi" w:cs="Arial"/>
          <w:i/>
          <w:sz w:val="22"/>
          <w:szCs w:val="22"/>
        </w:rPr>
      </w:pPr>
      <w:r w:rsidRPr="00D81020">
        <w:rPr>
          <w:rFonts w:asciiTheme="minorHAnsi" w:hAnsiTheme="minorHAnsi" w:cs="Arial"/>
          <w:i/>
          <w:sz w:val="22"/>
          <w:szCs w:val="22"/>
        </w:rPr>
        <w:t>The execution of each component is contingent on the execution of the other components;</w:t>
      </w:r>
    </w:p>
    <w:p w:rsidR="00D81020" w:rsidRPr="00D81020" w:rsidRDefault="00D81020" w:rsidP="004052F8">
      <w:pPr>
        <w:pStyle w:val="ListParagraph"/>
        <w:numPr>
          <w:ilvl w:val="0"/>
          <w:numId w:val="58"/>
        </w:numPr>
        <w:spacing w:before="100" w:beforeAutospacing="1" w:after="100" w:afterAutospacing="1"/>
        <w:contextualSpacing w:val="0"/>
        <w:jc w:val="both"/>
        <w:rPr>
          <w:rFonts w:asciiTheme="minorHAnsi" w:hAnsiTheme="minorHAnsi" w:cs="Arial"/>
          <w:i/>
          <w:sz w:val="22"/>
          <w:szCs w:val="22"/>
        </w:rPr>
      </w:pPr>
      <w:r w:rsidRPr="00D81020">
        <w:rPr>
          <w:rFonts w:asciiTheme="minorHAnsi" w:hAnsiTheme="minorHAnsi" w:cs="Arial"/>
          <w:i/>
          <w:sz w:val="22"/>
          <w:szCs w:val="22"/>
        </w:rPr>
        <w:t>Each component must be able to stand alone and must be able to bear economic risk; and either:</w:t>
      </w:r>
    </w:p>
    <w:p w:rsidR="00D81020" w:rsidRPr="00D81020" w:rsidRDefault="00D81020" w:rsidP="004052F8">
      <w:pPr>
        <w:pStyle w:val="ListParagraph"/>
        <w:numPr>
          <w:ilvl w:val="0"/>
          <w:numId w:val="57"/>
        </w:numPr>
        <w:spacing w:before="100" w:beforeAutospacing="1" w:after="100" w:afterAutospacing="1"/>
        <w:ind w:left="1800"/>
        <w:contextualSpacing w:val="0"/>
        <w:jc w:val="both"/>
        <w:rPr>
          <w:rFonts w:asciiTheme="minorHAnsi" w:hAnsiTheme="minorHAnsi" w:cs="Arial"/>
          <w:i/>
          <w:sz w:val="22"/>
          <w:szCs w:val="22"/>
        </w:rPr>
      </w:pPr>
      <w:r w:rsidRPr="00D81020">
        <w:rPr>
          <w:rFonts w:asciiTheme="minorHAnsi" w:hAnsiTheme="minorHAnsi" w:cs="Arial"/>
          <w:i/>
          <w:sz w:val="22"/>
          <w:szCs w:val="22"/>
        </w:rPr>
        <w:t>the components are economically similar in nature such that the pricing of one component can affect the pricing of the other component; or</w:t>
      </w:r>
    </w:p>
    <w:p w:rsidR="00D81020" w:rsidRPr="00D81020" w:rsidRDefault="00D81020" w:rsidP="004052F8">
      <w:pPr>
        <w:pStyle w:val="ListParagraph"/>
        <w:numPr>
          <w:ilvl w:val="0"/>
          <w:numId w:val="57"/>
        </w:numPr>
        <w:spacing w:before="100" w:beforeAutospacing="1" w:after="100" w:afterAutospacing="1"/>
        <w:ind w:left="1800"/>
        <w:contextualSpacing w:val="0"/>
        <w:jc w:val="both"/>
        <w:rPr>
          <w:rFonts w:asciiTheme="minorHAnsi" w:hAnsiTheme="minorHAnsi" w:cs="Arial"/>
          <w:i/>
          <w:sz w:val="22"/>
          <w:szCs w:val="22"/>
        </w:rPr>
      </w:pPr>
      <w:proofErr w:type="gramStart"/>
      <w:r w:rsidRPr="00D81020">
        <w:rPr>
          <w:rFonts w:asciiTheme="minorHAnsi" w:hAnsiTheme="minorHAnsi" w:cs="Arial"/>
          <w:i/>
          <w:sz w:val="22"/>
          <w:szCs w:val="22"/>
        </w:rPr>
        <w:t>the</w:t>
      </w:r>
      <w:proofErr w:type="gramEnd"/>
      <w:r w:rsidRPr="00D81020">
        <w:rPr>
          <w:rFonts w:asciiTheme="minorHAnsi" w:hAnsiTheme="minorHAnsi" w:cs="Arial"/>
          <w:i/>
          <w:sz w:val="22"/>
          <w:szCs w:val="22"/>
        </w:rPr>
        <w:t xml:space="preserve"> components must have a reasonable degree of correlation.</w:t>
      </w:r>
    </w:p>
    <w:p w:rsidR="00D81020" w:rsidRPr="00D81020" w:rsidRDefault="00D81020" w:rsidP="00D81020">
      <w:pPr>
        <w:spacing w:before="100" w:beforeAutospacing="1" w:after="100" w:afterAutospacing="1"/>
        <w:jc w:val="both"/>
        <w:rPr>
          <w:rFonts w:asciiTheme="minorHAnsi" w:hAnsiTheme="minorHAnsi" w:cs="Arial"/>
          <w:sz w:val="22"/>
          <w:szCs w:val="22"/>
        </w:rPr>
      </w:pPr>
      <w:r w:rsidRPr="00D81020">
        <w:rPr>
          <w:rFonts w:asciiTheme="minorHAnsi" w:hAnsiTheme="minorHAnsi" w:cs="Arial"/>
          <w:sz w:val="22"/>
          <w:szCs w:val="22"/>
        </w:rPr>
        <w:t xml:space="preserve">The addition of a trade reporting flag to be appended to transactions that are components of packages should be set out in Table 2 of Annex II of RTS 9. We suggest therefore that ESMA may wish to consider including a "link ID" field in transaction reports (for the purposes of the Article 26 MiFIR transaction reporting regime). </w:t>
      </w:r>
    </w:p>
    <w:p w:rsidR="00D81020" w:rsidRPr="00D81020" w:rsidRDefault="00D81020" w:rsidP="00D81020">
      <w:pPr>
        <w:spacing w:before="100" w:beforeAutospacing="1" w:after="100" w:afterAutospacing="1"/>
        <w:contextualSpacing/>
        <w:jc w:val="both"/>
        <w:rPr>
          <w:rFonts w:asciiTheme="minorHAnsi" w:hAnsiTheme="minorHAnsi" w:cs="Arial"/>
          <w:b/>
          <w:i/>
          <w:color w:val="7F7F7F" w:themeColor="text1" w:themeTint="80"/>
          <w:sz w:val="22"/>
          <w:szCs w:val="22"/>
        </w:rPr>
      </w:pPr>
      <w:r w:rsidRPr="00D81020">
        <w:rPr>
          <w:rFonts w:asciiTheme="minorHAnsi" w:hAnsiTheme="minorHAnsi" w:cs="Arial"/>
          <w:b/>
          <w:i/>
          <w:color w:val="7F7F7F" w:themeColor="text1" w:themeTint="80"/>
          <w:sz w:val="22"/>
          <w:szCs w:val="22"/>
        </w:rPr>
        <w:t xml:space="preserve">5) 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 </w:t>
      </w:r>
    </w:p>
    <w:p w:rsidR="00D81020" w:rsidRPr="00D81020" w:rsidRDefault="00D81020" w:rsidP="00D81020">
      <w:pPr>
        <w:spacing w:before="100" w:beforeAutospacing="1" w:after="100" w:afterAutospacing="1"/>
        <w:contextualSpacing/>
        <w:jc w:val="both"/>
        <w:rPr>
          <w:rFonts w:asciiTheme="minorHAnsi" w:hAnsiTheme="minorHAnsi"/>
          <w:sz w:val="22"/>
          <w:szCs w:val="22"/>
        </w:rPr>
      </w:pPr>
    </w:p>
    <w:p w:rsidR="00D81020" w:rsidRPr="00D81020" w:rsidRDefault="00D81020" w:rsidP="00D81020">
      <w:pPr>
        <w:spacing w:before="100" w:beforeAutospacing="1" w:after="100" w:afterAutospacing="1"/>
        <w:jc w:val="both"/>
        <w:rPr>
          <w:rFonts w:asciiTheme="minorHAnsi" w:hAnsiTheme="minorHAnsi"/>
          <w:sz w:val="22"/>
          <w:szCs w:val="22"/>
        </w:rPr>
      </w:pPr>
      <w:r w:rsidRPr="00D81020">
        <w:rPr>
          <w:rFonts w:asciiTheme="minorHAnsi" w:hAnsiTheme="minorHAnsi"/>
          <w:sz w:val="22"/>
          <w:szCs w:val="22"/>
        </w:rPr>
        <w:t>For CDS index products that will be captured by the mandate, it is clearly imperative that the SSTI outcome falls under the standard size transacted on the multi-to-multi MiFID venues (</w:t>
      </w:r>
      <w:r w:rsidRPr="00D81020">
        <w:rPr>
          <w:rFonts w:asciiTheme="minorHAnsi" w:hAnsiTheme="minorHAnsi"/>
          <w:i/>
          <w:sz w:val="22"/>
          <w:szCs w:val="22"/>
        </w:rPr>
        <w:t>‘the wholesale market place’</w:t>
      </w:r>
      <w:r w:rsidRPr="00D81020">
        <w:rPr>
          <w:rFonts w:asciiTheme="minorHAnsi" w:hAnsiTheme="minorHAnsi"/>
          <w:sz w:val="22"/>
          <w:szCs w:val="22"/>
        </w:rPr>
        <w:t>). This is not only because the active number of counterparties providing liquidity numbers well under 10, but also because the variety of methods used to arrange liquidity across venues and platforms are substantially dependent upon the operation of the waivers. Failure to achieve this will most likely either discourage the market place to operate at all, or coerce it to move away from the MiFID perimeter.</w:t>
      </w:r>
    </w:p>
    <w:p w:rsidR="00D81020" w:rsidRPr="00D81020" w:rsidRDefault="00D81020" w:rsidP="00D81020">
      <w:pPr>
        <w:spacing w:before="100" w:beforeAutospacing="1" w:after="100" w:afterAutospacing="1"/>
        <w:jc w:val="both"/>
        <w:rPr>
          <w:rFonts w:asciiTheme="minorHAnsi" w:hAnsiTheme="minorHAnsi"/>
          <w:sz w:val="22"/>
          <w:szCs w:val="22"/>
        </w:rPr>
      </w:pPr>
      <w:r w:rsidRPr="00D81020">
        <w:rPr>
          <w:rFonts w:asciiTheme="minorHAnsi" w:hAnsiTheme="minorHAnsi"/>
          <w:sz w:val="22"/>
          <w:szCs w:val="22"/>
        </w:rPr>
        <w:t>Current market practice between wholesale counterparties is to quote and offer liquidity in units of Eur 25mm (</w:t>
      </w:r>
      <w:r w:rsidRPr="00D81020">
        <w:rPr>
          <w:rFonts w:asciiTheme="minorHAnsi" w:hAnsiTheme="minorHAnsi"/>
          <w:i/>
          <w:sz w:val="22"/>
          <w:szCs w:val="22"/>
        </w:rPr>
        <w:t>“Standard Market Size”</w:t>
      </w:r>
      <w:r w:rsidRPr="00D81020">
        <w:rPr>
          <w:rFonts w:asciiTheme="minorHAnsi" w:hAnsiTheme="minorHAnsi"/>
          <w:sz w:val="22"/>
          <w:szCs w:val="22"/>
        </w:rPr>
        <w:t>). Larger trades will in all probability be negotiated, arranged and booked in sets of Eur 25mm – increasing the trade count but not the average trade size. Therefore, the SSTI for 5 year CDS index such as iTraxx needs to be observed at under Eur 25mm. The WMBA would recommend on this basis that the LiS for ‘on-the-run’ 5 year CDS index such as iTraxx should never be larger than Eur 50mm.</w:t>
      </w:r>
    </w:p>
    <w:p w:rsidR="00D81020" w:rsidRPr="00D81020" w:rsidRDefault="00D81020" w:rsidP="00D81020">
      <w:pPr>
        <w:spacing w:before="100" w:beforeAutospacing="1" w:after="100" w:afterAutospacing="1"/>
        <w:jc w:val="both"/>
        <w:rPr>
          <w:rFonts w:asciiTheme="minorHAnsi" w:hAnsiTheme="minorHAnsi" w:cs="Arial"/>
          <w:sz w:val="22"/>
          <w:szCs w:val="22"/>
        </w:rPr>
      </w:pPr>
      <w:r w:rsidRPr="00D81020">
        <w:rPr>
          <w:rFonts w:asciiTheme="minorHAnsi" w:hAnsiTheme="minorHAnsi"/>
          <w:sz w:val="22"/>
          <w:szCs w:val="22"/>
        </w:rPr>
        <w:t xml:space="preserve">From the tables below, we observe that the 30% Basis generates a LiS at over 100 times </w:t>
      </w:r>
      <w:r w:rsidRPr="00D81020">
        <w:rPr>
          <w:rFonts w:asciiTheme="minorHAnsi" w:hAnsiTheme="minorHAnsi"/>
          <w:i/>
          <w:sz w:val="22"/>
          <w:szCs w:val="22"/>
        </w:rPr>
        <w:t>“Standard Market Size” [</w:t>
      </w:r>
      <w:r w:rsidRPr="00D81020">
        <w:rPr>
          <w:rFonts w:asciiTheme="minorHAnsi" w:hAnsiTheme="minorHAnsi" w:cs="Arial"/>
          <w:sz w:val="22"/>
          <w:szCs w:val="22"/>
        </w:rPr>
        <w:t xml:space="preserve">3,350 mm / 25 mm] whilst the </w:t>
      </w:r>
      <w:r w:rsidRPr="00D81020">
        <w:rPr>
          <w:rFonts w:asciiTheme="minorHAnsi" w:hAnsiTheme="minorHAnsi"/>
          <w:sz w:val="22"/>
          <w:szCs w:val="22"/>
        </w:rPr>
        <w:t xml:space="preserve">30% Basis generates a LiS at over 4 times </w:t>
      </w:r>
      <w:r w:rsidRPr="00D81020">
        <w:rPr>
          <w:rFonts w:asciiTheme="minorHAnsi" w:hAnsiTheme="minorHAnsi"/>
          <w:i/>
          <w:sz w:val="22"/>
          <w:szCs w:val="22"/>
        </w:rPr>
        <w:t>“Standard Market Size” [</w:t>
      </w:r>
      <w:r w:rsidRPr="00D81020">
        <w:rPr>
          <w:rFonts w:asciiTheme="minorHAnsi" w:hAnsiTheme="minorHAnsi" w:cs="Arial"/>
          <w:sz w:val="22"/>
          <w:szCs w:val="22"/>
        </w:rPr>
        <w:t xml:space="preserve">250 mm / 25 mm]. Both of these are clearly wrong and in the view of the WMBA arise from the use of poor quality and poorly understood data sets. </w:t>
      </w:r>
    </w:p>
    <w:p w:rsidR="00D81020" w:rsidRPr="00D81020" w:rsidRDefault="00D81020" w:rsidP="00D81020">
      <w:pPr>
        <w:spacing w:before="100" w:beforeAutospacing="1" w:after="100" w:afterAutospacing="1"/>
        <w:jc w:val="both"/>
        <w:rPr>
          <w:rFonts w:asciiTheme="minorHAnsi" w:hAnsiTheme="minorHAnsi" w:cs="Arial"/>
          <w:sz w:val="22"/>
          <w:szCs w:val="22"/>
        </w:rPr>
      </w:pPr>
      <w:r w:rsidRPr="00D81020">
        <w:rPr>
          <w:rFonts w:asciiTheme="minorHAnsi" w:hAnsiTheme="minorHAnsi" w:cs="Arial"/>
          <w:sz w:val="22"/>
          <w:szCs w:val="22"/>
        </w:rPr>
        <w:t xml:space="preserve">Notably: </w:t>
      </w:r>
    </w:p>
    <w:p w:rsidR="00D81020" w:rsidRPr="00D81020" w:rsidRDefault="00D81020" w:rsidP="004052F8">
      <w:pPr>
        <w:pStyle w:val="ListParagraph"/>
        <w:numPr>
          <w:ilvl w:val="0"/>
          <w:numId w:val="60"/>
        </w:numPr>
        <w:spacing w:before="100" w:beforeAutospacing="1" w:after="100" w:afterAutospacing="1"/>
        <w:contextualSpacing w:val="0"/>
        <w:jc w:val="both"/>
        <w:rPr>
          <w:rFonts w:asciiTheme="minorHAnsi" w:hAnsiTheme="minorHAnsi"/>
          <w:sz w:val="22"/>
          <w:szCs w:val="22"/>
        </w:rPr>
      </w:pPr>
      <w:r w:rsidRPr="00D81020">
        <w:rPr>
          <w:rFonts w:asciiTheme="minorHAnsi" w:hAnsiTheme="minorHAnsi" w:cs="Arial"/>
          <w:sz w:val="22"/>
          <w:szCs w:val="22"/>
        </w:rPr>
        <w:t>It appears likely to us that the 60 trades in the iTraxx 5 Years producing a Notional amount of Eur 337,833,523,366 (therefore with an average trade size of nearly 6 Billion Eur) are either purely compression reports or CVA related bookings. These are all non-price forming trades.</w:t>
      </w:r>
    </w:p>
    <w:p w:rsidR="00D81020" w:rsidRPr="004052F8" w:rsidRDefault="00D81020" w:rsidP="004052F8">
      <w:pPr>
        <w:pStyle w:val="ListParagraph"/>
        <w:numPr>
          <w:ilvl w:val="0"/>
          <w:numId w:val="60"/>
        </w:numPr>
        <w:spacing w:before="100" w:beforeAutospacing="1" w:after="100" w:afterAutospacing="1"/>
        <w:contextualSpacing w:val="0"/>
        <w:jc w:val="both"/>
        <w:rPr>
          <w:rFonts w:asciiTheme="minorHAnsi" w:hAnsiTheme="minorHAnsi"/>
          <w:sz w:val="22"/>
          <w:szCs w:val="22"/>
        </w:rPr>
      </w:pPr>
      <w:r w:rsidRPr="00D81020">
        <w:rPr>
          <w:rFonts w:asciiTheme="minorHAnsi" w:hAnsiTheme="minorHAnsi" w:cs="Arial"/>
          <w:sz w:val="22"/>
          <w:szCs w:val="22"/>
        </w:rPr>
        <w:t>It appears likely to us that many or most of the liquid on-the-run’ 5 year CDS index trades are captured under the ESMA methodology as ‘6 year trades’.  We therefore endorse the ISDA suggestions to change the perimeters of the date buckets.</w:t>
      </w:r>
    </w:p>
    <w:p w:rsidR="00D81020" w:rsidRPr="00516852" w:rsidRDefault="00D81020" w:rsidP="00D81020">
      <w:pPr>
        <w:spacing w:before="100" w:beforeAutospacing="1" w:after="100" w:afterAutospacing="1"/>
        <w:contextualSpacing/>
        <w:jc w:val="both"/>
        <w:rPr>
          <w:rFonts w:cs="Arial"/>
          <w:i/>
        </w:rPr>
      </w:pPr>
      <w:r w:rsidRPr="00516852">
        <w:rPr>
          <w:rFonts w:cs="Arial"/>
          <w:i/>
        </w:rPr>
        <w:t>Figure 1: LiS Calculations on the Critical CDS Index Products</w:t>
      </w:r>
    </w:p>
    <w:tbl>
      <w:tblPr>
        <w:tblStyle w:val="TableGrid"/>
        <w:tblW w:w="0" w:type="auto"/>
        <w:tblInd w:w="-431" w:type="dxa"/>
        <w:tblLayout w:type="fixed"/>
        <w:tblLook w:val="04A0" w:firstRow="1" w:lastRow="0" w:firstColumn="1" w:lastColumn="0" w:noHBand="0" w:noVBand="1"/>
      </w:tblPr>
      <w:tblGrid>
        <w:gridCol w:w="1277"/>
        <w:gridCol w:w="425"/>
        <w:gridCol w:w="851"/>
        <w:gridCol w:w="1275"/>
        <w:gridCol w:w="851"/>
        <w:gridCol w:w="1559"/>
        <w:gridCol w:w="851"/>
        <w:gridCol w:w="992"/>
        <w:gridCol w:w="1276"/>
      </w:tblGrid>
      <w:tr w:rsidR="00D81020" w:rsidTr="00D81020">
        <w:tc>
          <w:tcPr>
            <w:tcW w:w="1277" w:type="dxa"/>
          </w:tcPr>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Index CDS</w:t>
            </w:r>
          </w:p>
        </w:tc>
        <w:tc>
          <w:tcPr>
            <w:tcW w:w="425" w:type="dxa"/>
          </w:tcPr>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w:t>
            </w:r>
          </w:p>
        </w:tc>
        <w:tc>
          <w:tcPr>
            <w:tcW w:w="851" w:type="dxa"/>
          </w:tcPr>
          <w:p w:rsidR="00D81020" w:rsidRPr="00A51E16" w:rsidRDefault="00D81020" w:rsidP="00D81020">
            <w:pPr>
              <w:spacing w:before="100" w:beforeAutospacing="1" w:after="100" w:afterAutospacing="1"/>
              <w:contextualSpacing/>
              <w:jc w:val="center"/>
              <w:rPr>
                <w:rFonts w:cs="Arial"/>
                <w:b/>
                <w:sz w:val="16"/>
                <w:szCs w:val="16"/>
                <w:u w:val="single"/>
              </w:rPr>
            </w:pPr>
            <w:r>
              <w:rPr>
                <w:rFonts w:cs="Arial"/>
                <w:b/>
                <w:sz w:val="16"/>
                <w:szCs w:val="16"/>
                <w:u w:val="single"/>
              </w:rPr>
              <w:t># of Days Traded</w:t>
            </w:r>
          </w:p>
        </w:tc>
        <w:tc>
          <w:tcPr>
            <w:tcW w:w="1275" w:type="dxa"/>
          </w:tcPr>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LiS Value</w:t>
            </w:r>
          </w:p>
        </w:tc>
        <w:tc>
          <w:tcPr>
            <w:tcW w:w="851" w:type="dxa"/>
          </w:tcPr>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Trades above LiS</w:t>
            </w:r>
          </w:p>
        </w:tc>
        <w:tc>
          <w:tcPr>
            <w:tcW w:w="1559" w:type="dxa"/>
          </w:tcPr>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Notional Amount above LiS</w:t>
            </w:r>
          </w:p>
        </w:tc>
        <w:tc>
          <w:tcPr>
            <w:tcW w:w="851" w:type="dxa"/>
          </w:tcPr>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 xml:space="preserve">Trades above LiS </w:t>
            </w:r>
          </w:p>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w:t>
            </w:r>
          </w:p>
        </w:tc>
        <w:tc>
          <w:tcPr>
            <w:tcW w:w="992" w:type="dxa"/>
          </w:tcPr>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 xml:space="preserve">Notional Amount above LiS </w:t>
            </w:r>
          </w:p>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w:t>
            </w:r>
          </w:p>
        </w:tc>
        <w:tc>
          <w:tcPr>
            <w:tcW w:w="1276" w:type="dxa"/>
          </w:tcPr>
          <w:p w:rsidR="00D81020" w:rsidRPr="00A51E16" w:rsidRDefault="00D81020" w:rsidP="00D81020">
            <w:pPr>
              <w:spacing w:before="100" w:beforeAutospacing="1" w:after="100" w:afterAutospacing="1"/>
              <w:contextualSpacing/>
              <w:jc w:val="center"/>
              <w:rPr>
                <w:rFonts w:cs="Arial"/>
                <w:b/>
                <w:sz w:val="16"/>
                <w:szCs w:val="16"/>
                <w:u w:val="single"/>
              </w:rPr>
            </w:pPr>
            <w:r w:rsidRPr="00A51E16">
              <w:rPr>
                <w:rFonts w:cs="Arial"/>
                <w:b/>
                <w:sz w:val="16"/>
                <w:szCs w:val="16"/>
                <w:u w:val="single"/>
              </w:rPr>
              <w:t>LiS Rounded Value</w:t>
            </w:r>
          </w:p>
        </w:tc>
      </w:tr>
      <w:tr w:rsidR="00D81020" w:rsidTr="00D81020">
        <w:tc>
          <w:tcPr>
            <w:tcW w:w="1277" w:type="dxa"/>
          </w:tcPr>
          <w:p w:rsidR="00D81020" w:rsidRPr="00A51E16" w:rsidRDefault="00D81020" w:rsidP="00D81020">
            <w:pPr>
              <w:spacing w:before="100" w:beforeAutospacing="1" w:after="100" w:afterAutospacing="1"/>
              <w:contextualSpacing/>
              <w:jc w:val="both"/>
              <w:rPr>
                <w:rFonts w:cs="Arial"/>
                <w:b/>
                <w:sz w:val="16"/>
                <w:szCs w:val="16"/>
                <w:u w:val="single"/>
              </w:rPr>
            </w:pPr>
            <w:r w:rsidRPr="00A51E16">
              <w:rPr>
                <w:rFonts w:cs="Arial"/>
                <w:b/>
                <w:sz w:val="16"/>
                <w:szCs w:val="16"/>
                <w:u w:val="single"/>
              </w:rPr>
              <w:t xml:space="preserve">30% Basis </w:t>
            </w:r>
          </w:p>
        </w:tc>
        <w:tc>
          <w:tcPr>
            <w:tcW w:w="425" w:type="dxa"/>
            <w:shd w:val="clear" w:color="auto" w:fill="A6A6A6" w:themeFill="background1" w:themeFillShade="A6"/>
          </w:tcPr>
          <w:p w:rsidR="00D81020" w:rsidRDefault="00D81020" w:rsidP="00D81020">
            <w:pPr>
              <w:spacing w:before="100" w:beforeAutospacing="1" w:after="100" w:afterAutospacing="1"/>
              <w:contextualSpacing/>
              <w:jc w:val="both"/>
              <w:rPr>
                <w:rFonts w:cs="Arial"/>
                <w:u w:val="single"/>
              </w:rPr>
            </w:pPr>
          </w:p>
        </w:tc>
        <w:tc>
          <w:tcPr>
            <w:tcW w:w="851" w:type="dxa"/>
            <w:shd w:val="clear" w:color="auto" w:fill="A6A6A6" w:themeFill="background1" w:themeFillShade="A6"/>
          </w:tcPr>
          <w:p w:rsidR="00D81020" w:rsidRDefault="00D81020" w:rsidP="00D81020">
            <w:pPr>
              <w:spacing w:before="100" w:beforeAutospacing="1" w:after="100" w:afterAutospacing="1"/>
              <w:contextualSpacing/>
              <w:jc w:val="both"/>
              <w:rPr>
                <w:rFonts w:cs="Arial"/>
                <w:u w:val="single"/>
              </w:rPr>
            </w:pPr>
          </w:p>
        </w:tc>
        <w:tc>
          <w:tcPr>
            <w:tcW w:w="1275" w:type="dxa"/>
            <w:shd w:val="clear" w:color="auto" w:fill="A6A6A6" w:themeFill="background1" w:themeFillShade="A6"/>
          </w:tcPr>
          <w:p w:rsidR="00D81020" w:rsidRDefault="00D81020" w:rsidP="00D81020">
            <w:pPr>
              <w:spacing w:before="100" w:beforeAutospacing="1" w:after="100" w:afterAutospacing="1"/>
              <w:contextualSpacing/>
              <w:jc w:val="both"/>
              <w:rPr>
                <w:rFonts w:cs="Arial"/>
                <w:u w:val="single"/>
              </w:rPr>
            </w:pPr>
          </w:p>
        </w:tc>
        <w:tc>
          <w:tcPr>
            <w:tcW w:w="851" w:type="dxa"/>
            <w:shd w:val="clear" w:color="auto" w:fill="A6A6A6" w:themeFill="background1" w:themeFillShade="A6"/>
          </w:tcPr>
          <w:p w:rsidR="00D81020" w:rsidRDefault="00D81020" w:rsidP="00D81020">
            <w:pPr>
              <w:spacing w:before="100" w:beforeAutospacing="1" w:after="100" w:afterAutospacing="1"/>
              <w:contextualSpacing/>
              <w:jc w:val="both"/>
              <w:rPr>
                <w:rFonts w:cs="Arial"/>
                <w:u w:val="single"/>
              </w:rPr>
            </w:pPr>
          </w:p>
        </w:tc>
        <w:tc>
          <w:tcPr>
            <w:tcW w:w="1559" w:type="dxa"/>
            <w:shd w:val="clear" w:color="auto" w:fill="A6A6A6" w:themeFill="background1" w:themeFillShade="A6"/>
          </w:tcPr>
          <w:p w:rsidR="00D81020" w:rsidRDefault="00D81020" w:rsidP="00D81020">
            <w:pPr>
              <w:spacing w:before="100" w:beforeAutospacing="1" w:after="100" w:afterAutospacing="1"/>
              <w:contextualSpacing/>
              <w:jc w:val="both"/>
              <w:rPr>
                <w:rFonts w:cs="Arial"/>
                <w:u w:val="single"/>
              </w:rPr>
            </w:pPr>
          </w:p>
        </w:tc>
        <w:tc>
          <w:tcPr>
            <w:tcW w:w="851" w:type="dxa"/>
            <w:shd w:val="clear" w:color="auto" w:fill="A6A6A6" w:themeFill="background1" w:themeFillShade="A6"/>
          </w:tcPr>
          <w:p w:rsidR="00D81020" w:rsidRDefault="00D81020" w:rsidP="00D81020">
            <w:pPr>
              <w:spacing w:before="100" w:beforeAutospacing="1" w:after="100" w:afterAutospacing="1"/>
              <w:contextualSpacing/>
              <w:jc w:val="both"/>
              <w:rPr>
                <w:rFonts w:cs="Arial"/>
                <w:u w:val="single"/>
              </w:rPr>
            </w:pPr>
          </w:p>
        </w:tc>
        <w:tc>
          <w:tcPr>
            <w:tcW w:w="992" w:type="dxa"/>
            <w:shd w:val="clear" w:color="auto" w:fill="A6A6A6" w:themeFill="background1" w:themeFillShade="A6"/>
          </w:tcPr>
          <w:p w:rsidR="00D81020" w:rsidRDefault="00D81020" w:rsidP="00D81020">
            <w:pPr>
              <w:spacing w:before="100" w:beforeAutospacing="1" w:after="100" w:afterAutospacing="1"/>
              <w:contextualSpacing/>
              <w:jc w:val="both"/>
              <w:rPr>
                <w:rFonts w:cs="Arial"/>
                <w:u w:val="single"/>
              </w:rPr>
            </w:pPr>
          </w:p>
        </w:tc>
        <w:tc>
          <w:tcPr>
            <w:tcW w:w="1276" w:type="dxa"/>
            <w:shd w:val="clear" w:color="auto" w:fill="A6A6A6" w:themeFill="background1" w:themeFillShade="A6"/>
          </w:tcPr>
          <w:p w:rsidR="00D81020" w:rsidRDefault="00D81020" w:rsidP="00D81020">
            <w:pPr>
              <w:spacing w:before="100" w:beforeAutospacing="1" w:after="100" w:afterAutospacing="1"/>
              <w:contextualSpacing/>
              <w:jc w:val="both"/>
              <w:rPr>
                <w:rFonts w:cs="Arial"/>
                <w:u w:val="single"/>
              </w:rPr>
            </w:pPr>
          </w:p>
        </w:tc>
      </w:tr>
      <w:tr w:rsidR="00D81020" w:rsidTr="00D81020">
        <w:tc>
          <w:tcPr>
            <w:tcW w:w="1277" w:type="dxa"/>
          </w:tcPr>
          <w:p w:rsidR="00D81020" w:rsidRPr="00A51E16" w:rsidRDefault="00D81020" w:rsidP="00D81020">
            <w:pPr>
              <w:spacing w:before="100" w:beforeAutospacing="1" w:after="100" w:afterAutospacing="1"/>
              <w:contextualSpacing/>
              <w:jc w:val="both"/>
              <w:rPr>
                <w:rFonts w:cs="Arial"/>
              </w:rPr>
            </w:pPr>
            <w:r w:rsidRPr="00A51E16">
              <w:rPr>
                <w:rFonts w:cs="Arial"/>
                <w:sz w:val="16"/>
              </w:rPr>
              <w:t>iTraxx 4 Years</w:t>
            </w:r>
          </w:p>
        </w:tc>
        <w:tc>
          <w:tcPr>
            <w:tcW w:w="425" w:type="dxa"/>
          </w:tcPr>
          <w:p w:rsidR="00D81020" w:rsidRPr="00A51E16" w:rsidRDefault="00D81020" w:rsidP="00D81020">
            <w:pPr>
              <w:spacing w:before="100" w:beforeAutospacing="1" w:after="100" w:afterAutospacing="1"/>
              <w:contextualSpacing/>
              <w:jc w:val="center"/>
              <w:rPr>
                <w:rFonts w:cs="Arial"/>
                <w:sz w:val="16"/>
                <w:szCs w:val="16"/>
              </w:rPr>
            </w:pPr>
            <w:r w:rsidRPr="00A51E16">
              <w:rPr>
                <w:rFonts w:cs="Arial"/>
                <w:sz w:val="16"/>
                <w:szCs w:val="16"/>
              </w:rPr>
              <w:t>30</w:t>
            </w:r>
          </w:p>
        </w:tc>
        <w:tc>
          <w:tcPr>
            <w:tcW w:w="851" w:type="dxa"/>
          </w:tcPr>
          <w:p w:rsidR="00D81020" w:rsidRPr="00A51E16" w:rsidRDefault="00D81020" w:rsidP="00D81020">
            <w:pPr>
              <w:spacing w:before="100" w:beforeAutospacing="1" w:after="100" w:afterAutospacing="1"/>
              <w:contextualSpacing/>
              <w:jc w:val="right"/>
              <w:rPr>
                <w:rFonts w:cs="Arial"/>
                <w:sz w:val="16"/>
                <w:szCs w:val="16"/>
              </w:rPr>
            </w:pPr>
          </w:p>
        </w:tc>
        <w:tc>
          <w:tcPr>
            <w:tcW w:w="1275" w:type="dxa"/>
          </w:tcPr>
          <w:p w:rsidR="00D81020" w:rsidRPr="00A51E16" w:rsidRDefault="00D81020" w:rsidP="00D81020">
            <w:pPr>
              <w:spacing w:before="100" w:beforeAutospacing="1" w:after="100" w:afterAutospacing="1"/>
              <w:contextualSpacing/>
              <w:jc w:val="right"/>
              <w:rPr>
                <w:rFonts w:cs="Arial"/>
                <w:sz w:val="16"/>
                <w:szCs w:val="16"/>
              </w:rPr>
            </w:pPr>
            <w:r w:rsidRPr="00A51E16">
              <w:rPr>
                <w:rFonts w:cs="Arial"/>
                <w:sz w:val="16"/>
                <w:szCs w:val="16"/>
              </w:rPr>
              <w:t>4,531,687,586</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8</w:t>
            </w:r>
          </w:p>
        </w:tc>
        <w:tc>
          <w:tcPr>
            <w:tcW w:w="1559"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72,116,762,254</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1.80</w:t>
            </w:r>
          </w:p>
        </w:tc>
        <w:tc>
          <w:tcPr>
            <w:tcW w:w="992"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30.82</w:t>
            </w:r>
          </w:p>
        </w:tc>
        <w:tc>
          <w:tcPr>
            <w:tcW w:w="1276"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4,525,000,000</w:t>
            </w:r>
          </w:p>
        </w:tc>
      </w:tr>
      <w:tr w:rsidR="00D81020" w:rsidTr="00D81020">
        <w:tc>
          <w:tcPr>
            <w:tcW w:w="1277" w:type="dxa"/>
          </w:tcPr>
          <w:p w:rsidR="00D81020" w:rsidRPr="00A51E16" w:rsidRDefault="00D81020" w:rsidP="00D81020">
            <w:pPr>
              <w:spacing w:before="100" w:beforeAutospacing="1" w:after="100" w:afterAutospacing="1"/>
              <w:contextualSpacing/>
              <w:jc w:val="both"/>
              <w:rPr>
                <w:rFonts w:cs="Arial"/>
              </w:rPr>
            </w:pPr>
            <w:r w:rsidRPr="00A51E16">
              <w:rPr>
                <w:rFonts w:cs="Arial"/>
                <w:sz w:val="16"/>
              </w:rPr>
              <w:t xml:space="preserve">iTraxx </w:t>
            </w:r>
            <w:r>
              <w:rPr>
                <w:rFonts w:cs="Arial"/>
                <w:sz w:val="16"/>
              </w:rPr>
              <w:t>5</w:t>
            </w:r>
            <w:r w:rsidRPr="00A51E16">
              <w:rPr>
                <w:rFonts w:cs="Arial"/>
                <w:sz w:val="16"/>
              </w:rPr>
              <w:t xml:space="preserve"> Years</w:t>
            </w:r>
          </w:p>
        </w:tc>
        <w:tc>
          <w:tcPr>
            <w:tcW w:w="425" w:type="dxa"/>
          </w:tcPr>
          <w:p w:rsidR="00D81020" w:rsidRPr="00A51E16" w:rsidRDefault="00D81020" w:rsidP="00D81020">
            <w:pPr>
              <w:spacing w:before="100" w:beforeAutospacing="1" w:after="100" w:afterAutospacing="1"/>
              <w:contextualSpacing/>
              <w:jc w:val="center"/>
              <w:rPr>
                <w:rFonts w:cs="Arial"/>
                <w:sz w:val="16"/>
                <w:szCs w:val="16"/>
              </w:rPr>
            </w:pPr>
            <w:r w:rsidRPr="00A51E16">
              <w:rPr>
                <w:rFonts w:cs="Arial"/>
                <w:sz w:val="16"/>
                <w:szCs w:val="16"/>
              </w:rPr>
              <w:t>30</w:t>
            </w:r>
          </w:p>
        </w:tc>
        <w:tc>
          <w:tcPr>
            <w:tcW w:w="851" w:type="dxa"/>
          </w:tcPr>
          <w:p w:rsidR="00D81020" w:rsidRPr="00A51E16" w:rsidRDefault="00D81020" w:rsidP="00D81020">
            <w:pPr>
              <w:spacing w:before="100" w:beforeAutospacing="1" w:after="100" w:afterAutospacing="1"/>
              <w:contextualSpacing/>
              <w:jc w:val="right"/>
              <w:rPr>
                <w:rFonts w:cs="Arial"/>
                <w:sz w:val="16"/>
                <w:szCs w:val="16"/>
              </w:rPr>
            </w:pPr>
          </w:p>
        </w:tc>
        <w:tc>
          <w:tcPr>
            <w:tcW w:w="1275" w:type="dxa"/>
          </w:tcPr>
          <w:p w:rsidR="00D81020" w:rsidRPr="00A51E16" w:rsidRDefault="00D81020" w:rsidP="00D81020">
            <w:pPr>
              <w:spacing w:before="100" w:beforeAutospacing="1" w:after="100" w:afterAutospacing="1"/>
              <w:contextualSpacing/>
              <w:jc w:val="right"/>
              <w:rPr>
                <w:rFonts w:cs="Arial"/>
                <w:sz w:val="16"/>
                <w:szCs w:val="16"/>
              </w:rPr>
            </w:pPr>
            <w:r w:rsidRPr="00A51E16">
              <w:rPr>
                <w:rFonts w:cs="Arial"/>
                <w:sz w:val="16"/>
                <w:szCs w:val="16"/>
              </w:rPr>
              <w:t>3,358,669,400</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60</w:t>
            </w:r>
          </w:p>
        </w:tc>
        <w:tc>
          <w:tcPr>
            <w:tcW w:w="1559"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337,833,523,366</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0.91</w:t>
            </w:r>
          </w:p>
        </w:tc>
        <w:tc>
          <w:tcPr>
            <w:tcW w:w="992"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30.14</w:t>
            </w:r>
          </w:p>
        </w:tc>
        <w:tc>
          <w:tcPr>
            <w:tcW w:w="1276"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3,350,000,000</w:t>
            </w:r>
          </w:p>
        </w:tc>
      </w:tr>
      <w:tr w:rsidR="00D81020" w:rsidTr="00D81020">
        <w:tc>
          <w:tcPr>
            <w:tcW w:w="1277" w:type="dxa"/>
          </w:tcPr>
          <w:p w:rsidR="00D81020" w:rsidRPr="00A51E16" w:rsidRDefault="00D81020" w:rsidP="00D81020">
            <w:pPr>
              <w:spacing w:before="100" w:beforeAutospacing="1" w:after="100" w:afterAutospacing="1"/>
              <w:contextualSpacing/>
              <w:jc w:val="both"/>
              <w:rPr>
                <w:rFonts w:cs="Arial"/>
              </w:rPr>
            </w:pPr>
            <w:r w:rsidRPr="00A51E16">
              <w:rPr>
                <w:rFonts w:cs="Arial"/>
                <w:sz w:val="16"/>
              </w:rPr>
              <w:t xml:space="preserve">iTraxx </w:t>
            </w:r>
            <w:r>
              <w:rPr>
                <w:rFonts w:cs="Arial"/>
                <w:sz w:val="16"/>
              </w:rPr>
              <w:t>6</w:t>
            </w:r>
            <w:r w:rsidRPr="00A51E16">
              <w:rPr>
                <w:rFonts w:cs="Arial"/>
                <w:sz w:val="16"/>
              </w:rPr>
              <w:t xml:space="preserve"> Years</w:t>
            </w:r>
          </w:p>
        </w:tc>
        <w:tc>
          <w:tcPr>
            <w:tcW w:w="425" w:type="dxa"/>
          </w:tcPr>
          <w:p w:rsidR="00D81020" w:rsidRPr="00A51E16" w:rsidRDefault="00D81020" w:rsidP="00D81020">
            <w:pPr>
              <w:spacing w:before="100" w:beforeAutospacing="1" w:after="100" w:afterAutospacing="1"/>
              <w:contextualSpacing/>
              <w:jc w:val="center"/>
              <w:rPr>
                <w:rFonts w:cs="Arial"/>
                <w:sz w:val="16"/>
                <w:szCs w:val="16"/>
              </w:rPr>
            </w:pPr>
            <w:r w:rsidRPr="00A51E16">
              <w:rPr>
                <w:rFonts w:cs="Arial"/>
                <w:sz w:val="16"/>
                <w:szCs w:val="16"/>
              </w:rPr>
              <w:t>30</w:t>
            </w:r>
          </w:p>
        </w:tc>
        <w:tc>
          <w:tcPr>
            <w:tcW w:w="851" w:type="dxa"/>
          </w:tcPr>
          <w:p w:rsidR="00D81020" w:rsidRPr="00A51E16" w:rsidRDefault="00D81020" w:rsidP="00D81020">
            <w:pPr>
              <w:spacing w:before="100" w:beforeAutospacing="1" w:after="100" w:afterAutospacing="1"/>
              <w:contextualSpacing/>
              <w:jc w:val="right"/>
              <w:rPr>
                <w:rFonts w:cs="Arial"/>
                <w:sz w:val="16"/>
                <w:szCs w:val="16"/>
              </w:rPr>
            </w:pPr>
          </w:p>
        </w:tc>
        <w:tc>
          <w:tcPr>
            <w:tcW w:w="1275" w:type="dxa"/>
          </w:tcPr>
          <w:p w:rsidR="00D81020" w:rsidRPr="00A51E16" w:rsidRDefault="00D81020" w:rsidP="00D81020">
            <w:pPr>
              <w:spacing w:before="100" w:beforeAutospacing="1" w:after="100" w:afterAutospacing="1"/>
              <w:contextualSpacing/>
              <w:jc w:val="right"/>
              <w:rPr>
                <w:rFonts w:cs="Arial"/>
                <w:sz w:val="16"/>
                <w:szCs w:val="16"/>
              </w:rPr>
            </w:pPr>
            <w:r w:rsidRPr="00A51E16">
              <w:rPr>
                <w:rFonts w:cs="Arial"/>
                <w:sz w:val="16"/>
                <w:szCs w:val="16"/>
              </w:rPr>
              <w:t>825,000,000</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93</w:t>
            </w:r>
          </w:p>
        </w:tc>
        <w:tc>
          <w:tcPr>
            <w:tcW w:w="1559"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169,089,704,326</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1.05</w:t>
            </w:r>
          </w:p>
        </w:tc>
        <w:tc>
          <w:tcPr>
            <w:tcW w:w="992"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30.10</w:t>
            </w:r>
          </w:p>
        </w:tc>
        <w:tc>
          <w:tcPr>
            <w:tcW w:w="1276"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825,000,000</w:t>
            </w:r>
          </w:p>
        </w:tc>
      </w:tr>
      <w:tr w:rsidR="00D81020" w:rsidTr="00D81020">
        <w:tc>
          <w:tcPr>
            <w:tcW w:w="1277" w:type="dxa"/>
          </w:tcPr>
          <w:p w:rsidR="00D81020" w:rsidRPr="00A51E16" w:rsidRDefault="00D81020" w:rsidP="00D81020">
            <w:pPr>
              <w:spacing w:before="100" w:beforeAutospacing="1" w:after="100" w:afterAutospacing="1"/>
              <w:contextualSpacing/>
              <w:jc w:val="both"/>
              <w:rPr>
                <w:rFonts w:cs="Arial"/>
                <w:b/>
                <w:u w:val="single"/>
              </w:rPr>
            </w:pPr>
            <w:r w:rsidRPr="00A51E16">
              <w:rPr>
                <w:rFonts w:cs="Arial"/>
                <w:b/>
                <w:sz w:val="16"/>
                <w:u w:val="single"/>
              </w:rPr>
              <w:t>10% Basis</w:t>
            </w:r>
          </w:p>
        </w:tc>
        <w:tc>
          <w:tcPr>
            <w:tcW w:w="425" w:type="dxa"/>
            <w:shd w:val="clear" w:color="auto" w:fill="A6A6A6" w:themeFill="background1" w:themeFillShade="A6"/>
          </w:tcPr>
          <w:p w:rsidR="00D81020" w:rsidRPr="00A51E16" w:rsidRDefault="00D81020" w:rsidP="00D81020">
            <w:pPr>
              <w:spacing w:before="100" w:beforeAutospacing="1" w:after="100" w:afterAutospacing="1"/>
              <w:contextualSpacing/>
              <w:jc w:val="center"/>
              <w:rPr>
                <w:rFonts w:cs="Arial"/>
                <w:sz w:val="16"/>
                <w:szCs w:val="16"/>
              </w:rPr>
            </w:pPr>
          </w:p>
        </w:tc>
        <w:tc>
          <w:tcPr>
            <w:tcW w:w="851" w:type="dxa"/>
            <w:shd w:val="clear" w:color="auto" w:fill="A6A6A6" w:themeFill="background1" w:themeFillShade="A6"/>
          </w:tcPr>
          <w:p w:rsidR="00D81020" w:rsidRPr="00A51E16" w:rsidRDefault="00D81020" w:rsidP="00D81020">
            <w:pPr>
              <w:spacing w:before="100" w:beforeAutospacing="1" w:after="100" w:afterAutospacing="1"/>
              <w:contextualSpacing/>
              <w:jc w:val="both"/>
              <w:rPr>
                <w:rFonts w:cs="Arial"/>
                <w:sz w:val="16"/>
                <w:szCs w:val="16"/>
              </w:rPr>
            </w:pPr>
          </w:p>
        </w:tc>
        <w:tc>
          <w:tcPr>
            <w:tcW w:w="1275" w:type="dxa"/>
            <w:shd w:val="clear" w:color="auto" w:fill="A6A6A6" w:themeFill="background1" w:themeFillShade="A6"/>
          </w:tcPr>
          <w:p w:rsidR="00D81020" w:rsidRPr="00A51E16" w:rsidRDefault="00D81020" w:rsidP="00D81020">
            <w:pPr>
              <w:spacing w:before="100" w:beforeAutospacing="1" w:after="100" w:afterAutospacing="1"/>
              <w:contextualSpacing/>
              <w:jc w:val="right"/>
              <w:rPr>
                <w:rFonts w:cs="Arial"/>
                <w:sz w:val="16"/>
                <w:szCs w:val="16"/>
              </w:rPr>
            </w:pPr>
          </w:p>
        </w:tc>
        <w:tc>
          <w:tcPr>
            <w:tcW w:w="851" w:type="dxa"/>
            <w:shd w:val="clear" w:color="auto" w:fill="A6A6A6" w:themeFill="background1" w:themeFillShade="A6"/>
          </w:tcPr>
          <w:p w:rsidR="00D81020" w:rsidRPr="00A51E16" w:rsidRDefault="00D81020" w:rsidP="00D81020">
            <w:pPr>
              <w:spacing w:before="100" w:beforeAutospacing="1" w:after="100" w:afterAutospacing="1"/>
              <w:contextualSpacing/>
              <w:jc w:val="center"/>
              <w:rPr>
                <w:rFonts w:cs="Arial"/>
                <w:sz w:val="16"/>
                <w:szCs w:val="16"/>
              </w:rPr>
            </w:pPr>
          </w:p>
        </w:tc>
        <w:tc>
          <w:tcPr>
            <w:tcW w:w="1559" w:type="dxa"/>
            <w:shd w:val="clear" w:color="auto" w:fill="A6A6A6" w:themeFill="background1" w:themeFillShade="A6"/>
          </w:tcPr>
          <w:p w:rsidR="00D81020" w:rsidRPr="00A51E16" w:rsidRDefault="00D81020" w:rsidP="00D81020">
            <w:pPr>
              <w:spacing w:before="100" w:beforeAutospacing="1" w:after="100" w:afterAutospacing="1"/>
              <w:contextualSpacing/>
              <w:jc w:val="right"/>
              <w:rPr>
                <w:rFonts w:cs="Arial"/>
                <w:sz w:val="16"/>
                <w:szCs w:val="16"/>
              </w:rPr>
            </w:pPr>
          </w:p>
        </w:tc>
        <w:tc>
          <w:tcPr>
            <w:tcW w:w="851" w:type="dxa"/>
            <w:shd w:val="clear" w:color="auto" w:fill="A6A6A6" w:themeFill="background1" w:themeFillShade="A6"/>
          </w:tcPr>
          <w:p w:rsidR="00D81020" w:rsidRPr="00A51E16" w:rsidRDefault="00D81020" w:rsidP="00D81020">
            <w:pPr>
              <w:spacing w:before="100" w:beforeAutospacing="1" w:after="100" w:afterAutospacing="1"/>
              <w:contextualSpacing/>
              <w:jc w:val="center"/>
              <w:rPr>
                <w:rFonts w:cs="Arial"/>
                <w:sz w:val="16"/>
                <w:szCs w:val="16"/>
              </w:rPr>
            </w:pPr>
          </w:p>
        </w:tc>
        <w:tc>
          <w:tcPr>
            <w:tcW w:w="992" w:type="dxa"/>
            <w:shd w:val="clear" w:color="auto" w:fill="A6A6A6" w:themeFill="background1" w:themeFillShade="A6"/>
          </w:tcPr>
          <w:p w:rsidR="00D81020" w:rsidRPr="00A51E16" w:rsidRDefault="00D81020" w:rsidP="00D81020">
            <w:pPr>
              <w:spacing w:before="100" w:beforeAutospacing="1" w:after="100" w:afterAutospacing="1"/>
              <w:contextualSpacing/>
              <w:jc w:val="center"/>
              <w:rPr>
                <w:rFonts w:cs="Arial"/>
                <w:sz w:val="16"/>
                <w:szCs w:val="16"/>
              </w:rPr>
            </w:pPr>
          </w:p>
        </w:tc>
        <w:tc>
          <w:tcPr>
            <w:tcW w:w="1276" w:type="dxa"/>
            <w:shd w:val="clear" w:color="auto" w:fill="A6A6A6" w:themeFill="background1" w:themeFillShade="A6"/>
          </w:tcPr>
          <w:p w:rsidR="00D81020" w:rsidRPr="00A51E16" w:rsidRDefault="00D81020" w:rsidP="00D81020">
            <w:pPr>
              <w:spacing w:before="100" w:beforeAutospacing="1" w:after="100" w:afterAutospacing="1"/>
              <w:contextualSpacing/>
              <w:jc w:val="right"/>
              <w:rPr>
                <w:rFonts w:cs="Arial"/>
                <w:sz w:val="16"/>
                <w:szCs w:val="16"/>
              </w:rPr>
            </w:pPr>
          </w:p>
        </w:tc>
      </w:tr>
      <w:tr w:rsidR="00D81020" w:rsidTr="00D81020">
        <w:tc>
          <w:tcPr>
            <w:tcW w:w="1277" w:type="dxa"/>
          </w:tcPr>
          <w:p w:rsidR="00D81020" w:rsidRPr="00A51E16" w:rsidRDefault="00D81020" w:rsidP="00D81020">
            <w:pPr>
              <w:spacing w:before="100" w:beforeAutospacing="1" w:after="100" w:afterAutospacing="1"/>
              <w:contextualSpacing/>
              <w:jc w:val="both"/>
              <w:rPr>
                <w:rFonts w:cs="Arial"/>
              </w:rPr>
            </w:pPr>
            <w:r w:rsidRPr="00A51E16">
              <w:rPr>
                <w:rFonts w:cs="Arial"/>
                <w:sz w:val="16"/>
              </w:rPr>
              <w:t>iTraxx 4 Years</w:t>
            </w:r>
          </w:p>
        </w:tc>
        <w:tc>
          <w:tcPr>
            <w:tcW w:w="425" w:type="dxa"/>
          </w:tcPr>
          <w:p w:rsidR="00D81020" w:rsidRPr="00A51E16" w:rsidRDefault="00D81020" w:rsidP="00D81020">
            <w:pPr>
              <w:spacing w:before="100" w:beforeAutospacing="1" w:after="100" w:afterAutospacing="1"/>
              <w:contextualSpacing/>
              <w:jc w:val="center"/>
              <w:rPr>
                <w:rFonts w:cs="Arial"/>
                <w:sz w:val="16"/>
                <w:szCs w:val="16"/>
              </w:rPr>
            </w:pPr>
            <w:r w:rsidRPr="00A51E16">
              <w:rPr>
                <w:rFonts w:cs="Arial"/>
                <w:sz w:val="16"/>
                <w:szCs w:val="16"/>
              </w:rPr>
              <w:t>10</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37</w:t>
            </w:r>
          </w:p>
        </w:tc>
        <w:tc>
          <w:tcPr>
            <w:tcW w:w="1275"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1,362,210,067</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44</w:t>
            </w:r>
          </w:p>
        </w:tc>
        <w:tc>
          <w:tcPr>
            <w:tcW w:w="1559"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150,048,949,909</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9.91</w:t>
            </w:r>
          </w:p>
        </w:tc>
        <w:tc>
          <w:tcPr>
            <w:tcW w:w="992"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64.12</w:t>
            </w:r>
          </w:p>
        </w:tc>
        <w:tc>
          <w:tcPr>
            <w:tcW w:w="1276"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1,350,000,000</w:t>
            </w:r>
          </w:p>
        </w:tc>
      </w:tr>
      <w:tr w:rsidR="00D81020" w:rsidTr="00D81020">
        <w:tc>
          <w:tcPr>
            <w:tcW w:w="1277" w:type="dxa"/>
          </w:tcPr>
          <w:p w:rsidR="00D81020" w:rsidRPr="00A51E16" w:rsidRDefault="00D81020" w:rsidP="00D81020">
            <w:pPr>
              <w:spacing w:before="100" w:beforeAutospacing="1" w:after="100" w:afterAutospacing="1"/>
              <w:contextualSpacing/>
              <w:jc w:val="both"/>
              <w:rPr>
                <w:rFonts w:cs="Arial"/>
              </w:rPr>
            </w:pPr>
            <w:r>
              <w:rPr>
                <w:rFonts w:cs="Arial"/>
                <w:sz w:val="16"/>
              </w:rPr>
              <w:t>iTraxx 5</w:t>
            </w:r>
            <w:r w:rsidRPr="00A51E16">
              <w:rPr>
                <w:rFonts w:cs="Arial"/>
                <w:sz w:val="16"/>
              </w:rPr>
              <w:t xml:space="preserve"> Years </w:t>
            </w:r>
          </w:p>
        </w:tc>
        <w:tc>
          <w:tcPr>
            <w:tcW w:w="425" w:type="dxa"/>
          </w:tcPr>
          <w:p w:rsidR="00D81020" w:rsidRPr="00A51E16" w:rsidRDefault="00D81020" w:rsidP="00D81020">
            <w:pPr>
              <w:spacing w:before="100" w:beforeAutospacing="1" w:after="100" w:afterAutospacing="1"/>
              <w:contextualSpacing/>
              <w:jc w:val="center"/>
              <w:rPr>
                <w:rFonts w:cs="Arial"/>
                <w:sz w:val="16"/>
                <w:szCs w:val="16"/>
              </w:rPr>
            </w:pPr>
            <w:r w:rsidRPr="00A51E16">
              <w:rPr>
                <w:rFonts w:cs="Arial"/>
                <w:sz w:val="16"/>
                <w:szCs w:val="16"/>
              </w:rPr>
              <w:t>10</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61</w:t>
            </w:r>
          </w:p>
        </w:tc>
        <w:tc>
          <w:tcPr>
            <w:tcW w:w="1275"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240,000,000</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658</w:t>
            </w:r>
          </w:p>
        </w:tc>
        <w:tc>
          <w:tcPr>
            <w:tcW w:w="1559"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903,655,572,985</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10.00</w:t>
            </w:r>
          </w:p>
        </w:tc>
        <w:tc>
          <w:tcPr>
            <w:tcW w:w="992"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80.63</w:t>
            </w:r>
          </w:p>
        </w:tc>
        <w:tc>
          <w:tcPr>
            <w:tcW w:w="1276"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250,000,000</w:t>
            </w:r>
          </w:p>
        </w:tc>
      </w:tr>
      <w:tr w:rsidR="00D81020" w:rsidTr="00D81020">
        <w:tc>
          <w:tcPr>
            <w:tcW w:w="1277" w:type="dxa"/>
          </w:tcPr>
          <w:p w:rsidR="00D81020" w:rsidRDefault="00D81020" w:rsidP="00D81020">
            <w:pPr>
              <w:spacing w:before="100" w:beforeAutospacing="1" w:after="100" w:afterAutospacing="1"/>
              <w:contextualSpacing/>
              <w:jc w:val="both"/>
              <w:rPr>
                <w:rFonts w:cs="Arial"/>
                <w:u w:val="single"/>
              </w:rPr>
            </w:pPr>
            <w:r w:rsidRPr="00A51E16">
              <w:rPr>
                <w:rFonts w:cs="Arial"/>
                <w:sz w:val="16"/>
              </w:rPr>
              <w:t xml:space="preserve">iTraxx </w:t>
            </w:r>
            <w:r>
              <w:rPr>
                <w:rFonts w:cs="Arial"/>
                <w:sz w:val="16"/>
              </w:rPr>
              <w:t>6</w:t>
            </w:r>
            <w:r w:rsidRPr="00A51E16">
              <w:rPr>
                <w:rFonts w:cs="Arial"/>
                <w:sz w:val="16"/>
              </w:rPr>
              <w:t xml:space="preserve"> Years</w:t>
            </w:r>
          </w:p>
        </w:tc>
        <w:tc>
          <w:tcPr>
            <w:tcW w:w="425" w:type="dxa"/>
          </w:tcPr>
          <w:p w:rsidR="00D81020" w:rsidRPr="00A51E16" w:rsidRDefault="00D81020" w:rsidP="00D81020">
            <w:pPr>
              <w:spacing w:before="100" w:beforeAutospacing="1" w:after="100" w:afterAutospacing="1"/>
              <w:contextualSpacing/>
              <w:jc w:val="center"/>
              <w:rPr>
                <w:rFonts w:cs="Arial"/>
                <w:sz w:val="16"/>
                <w:szCs w:val="16"/>
              </w:rPr>
            </w:pPr>
            <w:r w:rsidRPr="00A51E16">
              <w:rPr>
                <w:rFonts w:cs="Arial"/>
                <w:sz w:val="16"/>
                <w:szCs w:val="16"/>
              </w:rPr>
              <w:t>10</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48</w:t>
            </w:r>
          </w:p>
        </w:tc>
        <w:tc>
          <w:tcPr>
            <w:tcW w:w="1275"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100,000,000</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886</w:t>
            </w:r>
          </w:p>
        </w:tc>
        <w:tc>
          <w:tcPr>
            <w:tcW w:w="1559"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339,532,255,852</w:t>
            </w:r>
          </w:p>
        </w:tc>
        <w:tc>
          <w:tcPr>
            <w:tcW w:w="851"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10.01</w:t>
            </w:r>
          </w:p>
        </w:tc>
        <w:tc>
          <w:tcPr>
            <w:tcW w:w="992" w:type="dxa"/>
          </w:tcPr>
          <w:p w:rsidR="00D81020" w:rsidRPr="00A51E16" w:rsidRDefault="00D81020" w:rsidP="00D81020">
            <w:pPr>
              <w:spacing w:before="100" w:beforeAutospacing="1" w:after="100" w:afterAutospacing="1"/>
              <w:contextualSpacing/>
              <w:jc w:val="center"/>
              <w:rPr>
                <w:rFonts w:cs="Arial"/>
                <w:sz w:val="16"/>
                <w:szCs w:val="16"/>
              </w:rPr>
            </w:pPr>
            <w:r>
              <w:rPr>
                <w:rFonts w:cs="Arial"/>
                <w:sz w:val="16"/>
                <w:szCs w:val="16"/>
              </w:rPr>
              <w:t>60.43</w:t>
            </w:r>
          </w:p>
        </w:tc>
        <w:tc>
          <w:tcPr>
            <w:tcW w:w="1276" w:type="dxa"/>
          </w:tcPr>
          <w:p w:rsidR="00D81020" w:rsidRPr="00A51E16" w:rsidRDefault="00D81020" w:rsidP="00D81020">
            <w:pPr>
              <w:spacing w:before="100" w:beforeAutospacing="1" w:after="100" w:afterAutospacing="1"/>
              <w:contextualSpacing/>
              <w:jc w:val="right"/>
              <w:rPr>
                <w:rFonts w:cs="Arial"/>
                <w:sz w:val="16"/>
                <w:szCs w:val="16"/>
              </w:rPr>
            </w:pPr>
            <w:r>
              <w:rPr>
                <w:rFonts w:cs="Arial"/>
                <w:sz w:val="16"/>
                <w:szCs w:val="16"/>
              </w:rPr>
              <w:t>100,000,000</w:t>
            </w:r>
          </w:p>
        </w:tc>
      </w:tr>
    </w:tbl>
    <w:p w:rsidR="00D81020" w:rsidRPr="00D81020" w:rsidRDefault="00D81020" w:rsidP="00D81020">
      <w:pPr>
        <w:spacing w:before="100" w:beforeAutospacing="1" w:after="100" w:afterAutospacing="1"/>
        <w:jc w:val="both"/>
        <w:rPr>
          <w:rFonts w:asciiTheme="minorHAnsi" w:hAnsiTheme="minorHAnsi" w:cs="Arial"/>
          <w:sz w:val="22"/>
          <w:szCs w:val="22"/>
        </w:rPr>
      </w:pPr>
    </w:p>
    <w:permEnd w:id="1462503492"/>
    <w:p w:rsidR="00A8728B" w:rsidRDefault="00A8728B" w:rsidP="00A8728B">
      <w:r>
        <w:t>&lt;ESMA_QUESTION_MIFID_ADD_5&gt;</w:t>
      </w:r>
    </w:p>
    <w:p w:rsidR="00A8728B" w:rsidRDefault="00A8728B" w:rsidP="00A8728B">
      <w:pPr>
        <w:pStyle w:val="CPQuestions"/>
        <w:ind w:left="714" w:hanging="357"/>
      </w:pPr>
      <w:r>
        <w:t>D</w:t>
      </w:r>
      <w:r w:rsidRPr="00B62727">
        <w:t xml:space="preserve">o you agree with ESMA’s proposal for the definition of a liquid market? Please provide an answer detailed per </w:t>
      </w:r>
      <w:r>
        <w:t xml:space="preserve">class of derivatives (freight derivatives, emissions derivatives, weather derivatives and other exotic derivatives) and contract type identified (options, futures, forwards, swaps, others). If you do not agree with ESMA’s proposal for the definition of a liquid market, please specify </w:t>
      </w:r>
      <w:r w:rsidRPr="00B62727">
        <w:t xml:space="preserve">per </w:t>
      </w:r>
      <w:r>
        <w:t>class of derivatives</w:t>
      </w:r>
      <w:r w:rsidRPr="007E46F4">
        <w:t xml:space="preserve"> </w:t>
      </w:r>
      <w:r>
        <w:t>and contract type identified:</w:t>
      </w:r>
    </w:p>
    <w:p w:rsidR="00A8728B" w:rsidRDefault="00A8728B" w:rsidP="00566C6A">
      <w:pPr>
        <w:pStyle w:val="CPQuest2"/>
        <w:numPr>
          <w:ilvl w:val="0"/>
          <w:numId w:val="49"/>
        </w:numPr>
      </w:pPr>
      <w:r>
        <w:t>your alternative proposal;</w:t>
      </w:r>
    </w:p>
    <w:p w:rsidR="00A8728B" w:rsidRDefault="00A8728B" w:rsidP="00566C6A">
      <w:pPr>
        <w:pStyle w:val="CPQuest2"/>
      </w:pPr>
      <w:r>
        <w:t>which qualitative criteria would you use to define the sub-classes;</w:t>
      </w:r>
    </w:p>
    <w:p w:rsidR="00A8728B" w:rsidRDefault="00A8728B" w:rsidP="00566C6A">
      <w:pPr>
        <w:pStyle w:val="CPQuest2"/>
      </w:pPr>
      <w:r>
        <w:t>which parameters and related threshold values would you use in order to define a sub-class as liquid.</w:t>
      </w:r>
      <w:r w:rsidRPr="007E46F4">
        <w:t xml:space="preserve"> </w:t>
      </w:r>
      <w:r>
        <w:t>Please, provide r</w:t>
      </w:r>
      <w:r w:rsidRPr="000E6B5B">
        <w:t>easons for your answer</w:t>
      </w:r>
      <w:r>
        <w:t>.</w:t>
      </w:r>
    </w:p>
    <w:p w:rsidR="00A8728B" w:rsidRDefault="00A8728B" w:rsidP="00A8728B">
      <w:r>
        <w:t>&lt;ESMA_QUESTION_MIFID_ADD_6&gt;</w:t>
      </w:r>
    </w:p>
    <w:p w:rsidR="00D81020" w:rsidRPr="00D81020" w:rsidRDefault="00D81020" w:rsidP="00D81020">
      <w:pPr>
        <w:pStyle w:val="Default"/>
        <w:spacing w:before="100" w:beforeAutospacing="1" w:after="100" w:afterAutospacing="1"/>
        <w:contextualSpacing/>
        <w:jc w:val="both"/>
        <w:rPr>
          <w:rFonts w:asciiTheme="minorHAnsi" w:hAnsiTheme="minorHAnsi"/>
          <w:sz w:val="22"/>
          <w:szCs w:val="22"/>
          <w:lang w:val="en-GB"/>
        </w:rPr>
      </w:pPr>
      <w:permStart w:id="695339292" w:edGrp="everyone"/>
      <w:r w:rsidRPr="00D81020">
        <w:rPr>
          <w:rFonts w:asciiTheme="minorHAnsi" w:hAnsiTheme="minorHAnsi"/>
          <w:sz w:val="22"/>
          <w:szCs w:val="22"/>
          <w:lang w:val="en-GB"/>
        </w:rPr>
        <w:t>WMBA and LEBA members operate both Freight and Emissions markets. Both markets principally trade as negotiated futures blocks and therefore we defer to the Baltic Exchange and to Intercontinental Exchange respectively in terms of the front month contracts.</w:t>
      </w:r>
    </w:p>
    <w:p w:rsidR="00D81020" w:rsidRPr="00D81020" w:rsidRDefault="00D81020" w:rsidP="00D81020">
      <w:pPr>
        <w:pStyle w:val="Default"/>
        <w:spacing w:before="100" w:beforeAutospacing="1" w:after="100" w:afterAutospacing="1"/>
        <w:contextualSpacing/>
        <w:jc w:val="both"/>
        <w:rPr>
          <w:rFonts w:asciiTheme="minorHAnsi" w:hAnsiTheme="minorHAnsi"/>
          <w:sz w:val="22"/>
          <w:szCs w:val="22"/>
          <w:lang w:val="en-GB"/>
        </w:rPr>
      </w:pPr>
    </w:p>
    <w:p w:rsidR="00D81020" w:rsidRPr="00D81020" w:rsidRDefault="00D81020" w:rsidP="00D81020">
      <w:pPr>
        <w:pStyle w:val="Default"/>
        <w:spacing w:before="100" w:beforeAutospacing="1" w:after="100" w:afterAutospacing="1"/>
        <w:contextualSpacing/>
        <w:jc w:val="both"/>
        <w:rPr>
          <w:rFonts w:asciiTheme="minorHAnsi" w:hAnsiTheme="minorHAnsi"/>
          <w:sz w:val="22"/>
          <w:szCs w:val="22"/>
        </w:rPr>
      </w:pPr>
      <w:r w:rsidRPr="00D81020">
        <w:rPr>
          <w:rFonts w:asciiTheme="minorHAnsi" w:hAnsiTheme="minorHAnsi"/>
          <w:sz w:val="22"/>
          <w:szCs w:val="22"/>
          <w:lang w:val="en-GB"/>
        </w:rPr>
        <w:t>LEBA members operate options venues for both Freight and Emissions markets. Additionally, LEBA provides certain CCPs with daily marks to market on the cleared Emissions options traded outside regulated markets. This gives us a close insight into the available liquidity. We agree with ESMA that in both these cases the options markets are not liquid under any definition</w:t>
      </w:r>
      <w:r w:rsidRPr="00D81020">
        <w:rPr>
          <w:rFonts w:asciiTheme="minorHAnsi" w:hAnsiTheme="minorHAnsi"/>
          <w:sz w:val="22"/>
          <w:szCs w:val="22"/>
        </w:rPr>
        <w:t xml:space="preserve">. </w:t>
      </w:r>
    </w:p>
    <w:permEnd w:id="695339292"/>
    <w:p w:rsidR="00A8728B" w:rsidRDefault="00A8728B" w:rsidP="00A8728B">
      <w:r>
        <w:t>&lt;ESMA_QUESTION_MIFID_ADD_6&gt;</w:t>
      </w:r>
    </w:p>
    <w:p w:rsidR="00A8728B" w:rsidRPr="00C24BCA" w:rsidRDefault="00A8728B" w:rsidP="00A8728B">
      <w:pPr>
        <w:pStyle w:val="CPQuestions"/>
        <w:ind w:left="714" w:hanging="357"/>
      </w:pPr>
      <w:r w:rsidRPr="00C24BCA">
        <w:t>Which is your preferred option? Please express your preference either for “Alternative A” or for “Alternative B”. If you disagree with both ESMA’s proposals provide your alternative proposal by answering the following question.</w:t>
      </w:r>
    </w:p>
    <w:p w:rsidR="00A8728B" w:rsidRDefault="00A8728B" w:rsidP="00A8728B">
      <w:r>
        <w:t>&lt;ESMA_QUESTION_MIFID_ADD_7&gt;</w:t>
      </w:r>
    </w:p>
    <w:p w:rsidR="00EC57F9" w:rsidRDefault="00EC57F9" w:rsidP="00EC57F9">
      <w:pPr>
        <w:jc w:val="both"/>
        <w:rPr>
          <w:rFonts w:asciiTheme="minorHAnsi" w:hAnsiTheme="minorHAnsi"/>
          <w:sz w:val="22"/>
        </w:rPr>
      </w:pPr>
      <w:permStart w:id="1184777241" w:edGrp="everyone"/>
      <w:r w:rsidRPr="00EC57F9">
        <w:rPr>
          <w:rFonts w:asciiTheme="minorHAnsi" w:hAnsiTheme="minorHAnsi"/>
          <w:sz w:val="22"/>
        </w:rPr>
        <w:t xml:space="preserve">The WMBA prefers Alternative B to Alternative A. </w:t>
      </w:r>
    </w:p>
    <w:p w:rsidR="00EC57F9" w:rsidRDefault="00EC57F9" w:rsidP="00EC57F9">
      <w:pPr>
        <w:jc w:val="both"/>
        <w:rPr>
          <w:rFonts w:asciiTheme="minorHAnsi" w:hAnsiTheme="minorHAnsi"/>
          <w:sz w:val="22"/>
        </w:rPr>
      </w:pPr>
    </w:p>
    <w:p w:rsidR="00A8728B" w:rsidRDefault="00EC57F9" w:rsidP="00EC57F9">
      <w:pPr>
        <w:jc w:val="both"/>
        <w:rPr>
          <w:rFonts w:asciiTheme="minorHAnsi" w:hAnsiTheme="minorHAnsi"/>
          <w:sz w:val="22"/>
        </w:rPr>
      </w:pPr>
      <w:r w:rsidRPr="00EC57F9">
        <w:rPr>
          <w:rFonts w:asciiTheme="minorHAnsi" w:hAnsiTheme="minorHAnsi"/>
          <w:sz w:val="22"/>
        </w:rPr>
        <w:t xml:space="preserve">However, in respect of emissions derivatives we believe the asset classes should be sub-divided by relevant instrument type (European Union Allowances (EUA), Certified Emission Reductions (CER), European Union Aviation Allowance (EUAA), and Emission Reducing Units (ERU) and other) rather than by contract type (i.e. future, option, </w:t>
      </w:r>
      <w:r w:rsidR="004052F8" w:rsidRPr="00EC57F9">
        <w:rPr>
          <w:rFonts w:asciiTheme="minorHAnsi" w:hAnsiTheme="minorHAnsi"/>
          <w:sz w:val="22"/>
        </w:rPr>
        <w:t>and forward</w:t>
      </w:r>
      <w:r w:rsidRPr="00EC57F9">
        <w:rPr>
          <w:rFonts w:asciiTheme="minorHAnsi" w:hAnsiTheme="minorHAnsi"/>
          <w:sz w:val="22"/>
        </w:rPr>
        <w:t>).</w:t>
      </w:r>
    </w:p>
    <w:p w:rsidR="00EC57F9" w:rsidRPr="00EC57F9" w:rsidRDefault="00EC57F9" w:rsidP="00A8728B">
      <w:pPr>
        <w:rPr>
          <w:rFonts w:asciiTheme="minorHAnsi" w:hAnsiTheme="minorHAnsi"/>
          <w:sz w:val="22"/>
        </w:rPr>
      </w:pPr>
    </w:p>
    <w:permEnd w:id="1184777241"/>
    <w:p w:rsidR="00A8728B" w:rsidRDefault="00A8728B" w:rsidP="00A8728B">
      <w:r>
        <w:t>&lt;ESMA_QUESTION_MIFID_ADD_7&gt;</w:t>
      </w:r>
    </w:p>
    <w:p w:rsidR="00A8728B" w:rsidRPr="00C24BCA" w:rsidRDefault="00A8728B" w:rsidP="00A8728B">
      <w:pPr>
        <w:pStyle w:val="CPQuestions"/>
        <w:ind w:left="714" w:hanging="357"/>
      </w:pPr>
      <w:r w:rsidRPr="00C24BCA">
        <w:t xml:space="preserve">Please specify, for each class (defined as follows if you have stated your preference for Alternative A: freight derivatives, emissions derivatives, weather derivatives and other exotic derivatives. Defined as combination of underlying type and contract type if you have stated a preference for Alternative B: freight options, freight futures, freight forwards, etc.) if you agree on the following points providing reasons for your answer and, if you disagree, providing ESMA with your alternative proposal: </w:t>
      </w:r>
    </w:p>
    <w:p w:rsidR="00A8728B" w:rsidRPr="00C24BCA" w:rsidRDefault="00A8728B" w:rsidP="00566C6A">
      <w:pPr>
        <w:pStyle w:val="CPQuest2"/>
        <w:numPr>
          <w:ilvl w:val="0"/>
          <w:numId w:val="42"/>
        </w:numPr>
      </w:pPr>
      <w:r w:rsidRPr="00C24BCA">
        <w:t xml:space="preserve">deferral period set to 48 hours </w:t>
      </w:r>
    </w:p>
    <w:p w:rsidR="00A8728B" w:rsidRPr="00C24BCA" w:rsidRDefault="00A8728B" w:rsidP="00566C6A">
      <w:pPr>
        <w:pStyle w:val="CPQuest2"/>
      </w:pPr>
      <w:r w:rsidRPr="00C24BCA">
        <w:t xml:space="preserve">size specific to the instrument threshold set as 50% of the large in scale threshold </w:t>
      </w:r>
    </w:p>
    <w:p w:rsidR="00A8728B" w:rsidRPr="00C24BCA" w:rsidRDefault="00A8728B" w:rsidP="00566C6A">
      <w:pPr>
        <w:pStyle w:val="CPQuest2"/>
      </w:pPr>
      <w:r w:rsidRPr="00C24BCA">
        <w:t>volume measure used to set the large in scale and size specific to the instrument threshold as specified in Annex II, Table 3 of draft RTS 9</w:t>
      </w:r>
    </w:p>
    <w:p w:rsidR="00A8728B" w:rsidRPr="00C24BCA" w:rsidRDefault="00A8728B" w:rsidP="00566C6A">
      <w:pPr>
        <w:pStyle w:val="CPQuest2"/>
      </w:pPr>
      <w:r w:rsidRPr="00C24BCA">
        <w:t xml:space="preserve">pre-trade and post-trade thresholds set at the same size </w:t>
      </w:r>
    </w:p>
    <w:p w:rsidR="00A8728B" w:rsidRPr="00C24BCA" w:rsidRDefault="00A8728B" w:rsidP="00566C6A">
      <w:pPr>
        <w:pStyle w:val="CPQuest2"/>
      </w:pPr>
      <w:r w:rsidRPr="00C24BCA">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p>
    <w:p w:rsidR="00A8728B" w:rsidRDefault="00A8728B" w:rsidP="00A8728B">
      <w:r>
        <w:t>&lt;ESMA_QUESTION_MIFID_ADD_8&gt;</w:t>
      </w:r>
    </w:p>
    <w:p w:rsidR="00EC57F9" w:rsidRPr="00EC57F9" w:rsidRDefault="00EC57F9" w:rsidP="00EC57F9">
      <w:pPr>
        <w:jc w:val="both"/>
        <w:rPr>
          <w:rFonts w:asciiTheme="minorHAnsi" w:hAnsiTheme="minorHAnsi"/>
          <w:sz w:val="22"/>
          <w:szCs w:val="22"/>
        </w:rPr>
      </w:pPr>
      <w:permStart w:id="1942442949" w:edGrp="everyone"/>
      <w:r w:rsidRPr="00EC57F9">
        <w:rPr>
          <w:rFonts w:asciiTheme="minorHAnsi" w:hAnsiTheme="minorHAnsi"/>
          <w:sz w:val="22"/>
          <w:szCs w:val="22"/>
        </w:rPr>
        <w:t>The WMBA supports ESMA’s extension of the deferral period for LIS trades from end-of-day (as proposed in ESMA’s May 2014 Discussion Paper) to 48 hours, but notes that the deferral point should be fixed at end of next day to avoid operational complications of a great many successive rolling threshold expiries.</w:t>
      </w:r>
    </w:p>
    <w:p w:rsidR="00EC57F9" w:rsidRPr="00EC57F9" w:rsidRDefault="00EC57F9" w:rsidP="00EC57F9">
      <w:pPr>
        <w:jc w:val="both"/>
        <w:rPr>
          <w:rFonts w:asciiTheme="minorHAnsi" w:hAnsiTheme="minorHAnsi"/>
          <w:sz w:val="22"/>
          <w:szCs w:val="22"/>
        </w:rPr>
      </w:pPr>
    </w:p>
    <w:p w:rsidR="00EC57F9" w:rsidRPr="00EC57F9" w:rsidRDefault="00EC57F9" w:rsidP="00EC57F9">
      <w:pPr>
        <w:jc w:val="both"/>
        <w:rPr>
          <w:rFonts w:asciiTheme="minorHAnsi" w:hAnsiTheme="minorHAnsi"/>
          <w:sz w:val="22"/>
          <w:szCs w:val="22"/>
        </w:rPr>
      </w:pPr>
      <w:r w:rsidRPr="00EC57F9">
        <w:rPr>
          <w:rFonts w:asciiTheme="minorHAnsi" w:hAnsiTheme="minorHAnsi"/>
          <w:sz w:val="22"/>
          <w:szCs w:val="22"/>
        </w:rPr>
        <w:t xml:space="preserve">We also believe that </w:t>
      </w:r>
      <w:r w:rsidRPr="00EC57F9">
        <w:rPr>
          <w:rFonts w:asciiTheme="minorHAnsi" w:hAnsiTheme="minorHAnsi"/>
          <w:sz w:val="22"/>
          <w:szCs w:val="22"/>
        </w:rPr>
        <w:t xml:space="preserve">it is necessary for ESMA to conduct an appropriate market assessment of the liquidity of the contracts that will subject to the MiFID2 transparency regime based on complete data available from the major </w:t>
      </w:r>
      <w:r w:rsidRPr="00EC57F9">
        <w:rPr>
          <w:rFonts w:asciiTheme="minorHAnsi" w:hAnsiTheme="minorHAnsi"/>
          <w:sz w:val="22"/>
          <w:szCs w:val="22"/>
        </w:rPr>
        <w:t>MiFID set of</w:t>
      </w:r>
      <w:r w:rsidRPr="00EC57F9">
        <w:rPr>
          <w:rFonts w:asciiTheme="minorHAnsi" w:hAnsiTheme="minorHAnsi"/>
          <w:sz w:val="22"/>
          <w:szCs w:val="22"/>
        </w:rPr>
        <w:t xml:space="preserve"> </w:t>
      </w:r>
      <w:r w:rsidRPr="00EC57F9">
        <w:rPr>
          <w:rFonts w:asciiTheme="minorHAnsi" w:hAnsiTheme="minorHAnsi"/>
          <w:sz w:val="22"/>
          <w:szCs w:val="22"/>
        </w:rPr>
        <w:t xml:space="preserve">RM, MTF and OTF </w:t>
      </w:r>
      <w:r w:rsidRPr="00EC57F9">
        <w:rPr>
          <w:rFonts w:asciiTheme="minorHAnsi" w:hAnsiTheme="minorHAnsi"/>
          <w:sz w:val="22"/>
          <w:szCs w:val="22"/>
        </w:rPr>
        <w:t>trading venues, for on venue contracts, and the data from trade repositories for the contracts which are currently traded OTC.  We do not believe that the SSTI should be linked to the LIS and reiterate the need to conduct a full analysis in order to consider the potential impact on the market. In terms of our preference for the system to set the thresholds, we strongly believe that an annual recalculation of the thresholds would be more appropriate.</w:t>
      </w:r>
    </w:p>
    <w:p w:rsidR="00EC57F9" w:rsidRDefault="00EC57F9" w:rsidP="00A8728B"/>
    <w:p w:rsidR="00A8728B" w:rsidRDefault="00EC57F9" w:rsidP="00A8728B">
      <w:r w:rsidRPr="00EC57F9">
        <w:t xml:space="preserve">  </w:t>
      </w:r>
      <w:permEnd w:id="1942442949"/>
      <w:r w:rsidR="00A8728B">
        <w:t>&lt;ESMA_QUESTION_MIFID_ADD_8&gt;</w:t>
      </w:r>
    </w:p>
    <w:p w:rsidR="00A8728B" w:rsidRDefault="00A8728B" w:rsidP="00A8728B">
      <w:pPr>
        <w:pStyle w:val="CPQuestions"/>
        <w:ind w:left="714" w:hanging="357"/>
      </w:pPr>
      <w:r>
        <w:t xml:space="preserve">Do you agree with the approach taken for </w:t>
      </w:r>
      <w:r w:rsidRPr="002D60BB">
        <w:t>shares</w:t>
      </w:r>
      <w:r>
        <w:t xml:space="preserve"> where any CFD based on a liquid share would be considered as having a liquid market? More specifically, please provide feedback on the following:</w:t>
      </w:r>
    </w:p>
    <w:p w:rsidR="00A8728B" w:rsidRDefault="00A8728B" w:rsidP="00566C6A">
      <w:pPr>
        <w:pStyle w:val="CPQuest2"/>
        <w:numPr>
          <w:ilvl w:val="0"/>
          <w:numId w:val="43"/>
        </w:numPr>
      </w:pPr>
      <w:r>
        <w:t>Would you prefer to follow a similar approach as that proposed in option 2 on liquidity for equity derivatives (paragraph 90 page 132 of December CP), i.e. qualify all CFDs on equity as liquid irrespectively of the liquidity of the underlying?</w:t>
      </w:r>
    </w:p>
    <w:p w:rsidR="00A8728B" w:rsidRPr="00C24BCA" w:rsidRDefault="00A8728B" w:rsidP="00566C6A">
      <w:pPr>
        <w:pStyle w:val="CPQuest2"/>
      </w:pPr>
      <w:r>
        <w:t xml:space="preserve">Would you </w:t>
      </w:r>
      <w:r w:rsidRPr="00C24BCA">
        <w:t>have used different criteria to define the classes or sub-classes?</w:t>
      </w:r>
    </w:p>
    <w:p w:rsidR="00A8728B" w:rsidRPr="00C24BCA" w:rsidRDefault="00A8728B" w:rsidP="00566C6A">
      <w:pPr>
        <w:pStyle w:val="CPQuest2"/>
      </w:pPr>
      <w:r w:rsidRPr="00C24BCA">
        <w:t>Would you have used different parameters or the same parameters (i.e. average number of trades per day and average notional amount traded per day) but different thresholds in order to define a sub-class as liquid?</w:t>
      </w:r>
    </w:p>
    <w:p w:rsidR="00A8728B" w:rsidRPr="00C24BCA" w:rsidRDefault="00A8728B" w:rsidP="00566C6A">
      <w:pPr>
        <w:pStyle w:val="CPQuest2"/>
      </w:pPr>
      <w:r w:rsidRPr="00C24BCA">
        <w:t xml:space="preserve">Would you support extending the approach taken for shares to other equity (ETFs, depositary receipts and certificates) and equity-like instruments? </w:t>
      </w:r>
    </w:p>
    <w:p w:rsidR="00A8728B" w:rsidRDefault="00A8728B" w:rsidP="00A8728B">
      <w:r>
        <w:t>&lt;ESMA_QUESTION_MIFID_ADD_9&gt;</w:t>
      </w:r>
    </w:p>
    <w:p w:rsidR="00EC57F9" w:rsidRPr="00EC57F9" w:rsidRDefault="00EC57F9" w:rsidP="00EC57F9">
      <w:pPr>
        <w:spacing w:before="100" w:beforeAutospacing="1" w:after="100" w:afterAutospacing="1"/>
        <w:contextualSpacing/>
        <w:jc w:val="both"/>
        <w:rPr>
          <w:rFonts w:asciiTheme="minorHAnsi" w:hAnsiTheme="minorHAnsi" w:cs="Arial"/>
          <w:sz w:val="22"/>
          <w:szCs w:val="22"/>
        </w:rPr>
      </w:pPr>
      <w:permStart w:id="612594889" w:edGrp="everyone"/>
      <w:r w:rsidRPr="00EC57F9">
        <w:rPr>
          <w:rFonts w:asciiTheme="minorHAnsi" w:hAnsiTheme="minorHAnsi" w:cs="Arial"/>
          <w:sz w:val="22"/>
          <w:szCs w:val="22"/>
        </w:rPr>
        <w:t>The WMBA and LEBA note that IDBs do not arrange nor venue CFDs since they are not (or very rarely) wholesale market products. Therefore, the clear boundary and delineation of swaps from CFDs remains very important.</w:t>
      </w:r>
    </w:p>
    <w:p w:rsidR="00EC57F9" w:rsidRPr="00EC57F9" w:rsidRDefault="00EC57F9" w:rsidP="00EC57F9">
      <w:pPr>
        <w:spacing w:before="100" w:beforeAutospacing="1" w:after="100" w:afterAutospacing="1"/>
        <w:contextualSpacing/>
        <w:jc w:val="both"/>
        <w:rPr>
          <w:rFonts w:asciiTheme="minorHAnsi" w:hAnsiTheme="minorHAnsi" w:cs="Arial"/>
          <w:sz w:val="22"/>
          <w:szCs w:val="22"/>
        </w:rPr>
      </w:pPr>
    </w:p>
    <w:p w:rsidR="00EC57F9" w:rsidRPr="00EC57F9" w:rsidRDefault="00EC57F9" w:rsidP="00EC57F9">
      <w:pPr>
        <w:spacing w:before="100" w:beforeAutospacing="1" w:after="100" w:afterAutospacing="1"/>
        <w:contextualSpacing/>
        <w:jc w:val="both"/>
        <w:rPr>
          <w:rFonts w:asciiTheme="minorHAnsi" w:hAnsiTheme="minorHAnsi" w:cs="Arial"/>
          <w:sz w:val="22"/>
          <w:szCs w:val="22"/>
        </w:rPr>
      </w:pPr>
      <w:r w:rsidRPr="00EC57F9">
        <w:rPr>
          <w:rFonts w:asciiTheme="minorHAnsi" w:hAnsiTheme="minorHAnsi" w:cs="Arial"/>
          <w:sz w:val="22"/>
          <w:szCs w:val="22"/>
        </w:rPr>
        <w:t>We do, however, draw the attention of ESMA to developments such as UK Electricity market reform wherein CFDs are being newly deployed into the traded infrastructure for retail and consumer appropriate access to what are otherwise wholesale markets. In this case, the aim is common pooling of renewable ‘green’ supply.</w:t>
      </w:r>
    </w:p>
    <w:p w:rsidR="00EC57F9" w:rsidRPr="00EC57F9" w:rsidRDefault="00EC57F9" w:rsidP="00EC57F9">
      <w:pPr>
        <w:spacing w:before="100" w:beforeAutospacing="1" w:after="100" w:afterAutospacing="1"/>
        <w:contextualSpacing/>
        <w:jc w:val="both"/>
        <w:rPr>
          <w:rFonts w:asciiTheme="minorHAnsi" w:hAnsiTheme="minorHAnsi"/>
          <w:sz w:val="22"/>
          <w:szCs w:val="22"/>
        </w:rPr>
      </w:pPr>
    </w:p>
    <w:p w:rsidR="00EC57F9" w:rsidRPr="00EC57F9" w:rsidRDefault="00EC57F9" w:rsidP="00EC57F9">
      <w:pPr>
        <w:spacing w:before="100" w:beforeAutospacing="1" w:after="100" w:afterAutospacing="1"/>
        <w:contextualSpacing/>
        <w:jc w:val="both"/>
        <w:rPr>
          <w:rFonts w:asciiTheme="minorHAnsi" w:hAnsiTheme="minorHAnsi"/>
          <w:sz w:val="22"/>
          <w:szCs w:val="22"/>
        </w:rPr>
      </w:pPr>
      <w:r w:rsidRPr="00EC57F9">
        <w:rPr>
          <w:rFonts w:asciiTheme="minorHAnsi" w:hAnsiTheme="minorHAnsi"/>
          <w:sz w:val="22"/>
          <w:szCs w:val="22"/>
        </w:rPr>
        <w:t>The WMBA does not agree with ESMA's definition of contracts for difference and understand that ESMA's proposed CFD definition is too broad and should therefore be narrowed, in order to make clear that equity swaps do not fall within the CFD definition. Unlike a CFD, a swap is a highly bespoke product that is typically negotiated on a transaction-by- transaction basis, including terms relating to the calculation agent, dividend, optional early termination, hedging disruption and swap tenor.</w:t>
      </w:r>
    </w:p>
    <w:p w:rsidR="00EC57F9" w:rsidRPr="00EC57F9" w:rsidRDefault="00EC57F9" w:rsidP="00EC57F9">
      <w:pPr>
        <w:spacing w:before="100" w:beforeAutospacing="1" w:after="100" w:afterAutospacing="1"/>
        <w:contextualSpacing/>
        <w:jc w:val="both"/>
        <w:rPr>
          <w:rFonts w:asciiTheme="minorHAnsi" w:hAnsiTheme="minorHAnsi"/>
          <w:sz w:val="22"/>
          <w:szCs w:val="22"/>
        </w:rPr>
      </w:pPr>
    </w:p>
    <w:p w:rsidR="00EC57F9" w:rsidRPr="00EC57F9" w:rsidRDefault="00EC57F9" w:rsidP="00EC57F9">
      <w:pPr>
        <w:spacing w:before="100" w:beforeAutospacing="1" w:after="100" w:afterAutospacing="1"/>
        <w:contextualSpacing/>
        <w:jc w:val="both"/>
        <w:rPr>
          <w:rFonts w:asciiTheme="minorHAnsi" w:hAnsiTheme="minorHAnsi"/>
          <w:sz w:val="22"/>
          <w:szCs w:val="22"/>
        </w:rPr>
      </w:pPr>
      <w:r w:rsidRPr="00EC57F9">
        <w:rPr>
          <w:rFonts w:asciiTheme="minorHAnsi" w:hAnsiTheme="minorHAnsi"/>
          <w:sz w:val="22"/>
          <w:szCs w:val="22"/>
        </w:rPr>
        <w:t xml:space="preserve">We therefore support ISDA's proposal that the definition in RTS 9, Annex III, </w:t>
      </w:r>
      <w:proofErr w:type="gramStart"/>
      <w:r w:rsidRPr="00EC57F9">
        <w:rPr>
          <w:rFonts w:asciiTheme="minorHAnsi" w:hAnsiTheme="minorHAnsi"/>
          <w:sz w:val="22"/>
          <w:szCs w:val="22"/>
        </w:rPr>
        <w:t>Section</w:t>
      </w:r>
      <w:proofErr w:type="gramEnd"/>
      <w:r w:rsidRPr="00EC57F9">
        <w:rPr>
          <w:rFonts w:asciiTheme="minorHAnsi" w:hAnsiTheme="minorHAnsi"/>
          <w:sz w:val="22"/>
          <w:szCs w:val="22"/>
        </w:rPr>
        <w:t xml:space="preserve"> 9(1) be amended as follows:</w:t>
      </w:r>
    </w:p>
    <w:p w:rsidR="00EC57F9" w:rsidRPr="00EC57F9" w:rsidRDefault="00EC57F9" w:rsidP="00EC57F9">
      <w:pPr>
        <w:spacing w:before="100" w:beforeAutospacing="1" w:after="100" w:afterAutospacing="1"/>
        <w:ind w:left="720"/>
        <w:contextualSpacing/>
        <w:jc w:val="both"/>
        <w:rPr>
          <w:rFonts w:asciiTheme="minorHAnsi" w:hAnsiTheme="minorHAnsi"/>
          <w:i/>
          <w:sz w:val="22"/>
          <w:szCs w:val="22"/>
        </w:rPr>
      </w:pPr>
      <w:r w:rsidRPr="00EC57F9">
        <w:rPr>
          <w:rFonts w:asciiTheme="minorHAnsi" w:hAnsiTheme="minorHAnsi"/>
          <w:b/>
          <w:i/>
          <w:sz w:val="22"/>
          <w:szCs w:val="22"/>
        </w:rPr>
        <w:t>'Financial contract for difference'</w:t>
      </w:r>
      <w:r w:rsidRPr="00EC57F9">
        <w:rPr>
          <w:rFonts w:asciiTheme="minorHAnsi" w:hAnsiTheme="minorHAnsi"/>
          <w:i/>
          <w:sz w:val="22"/>
          <w:szCs w:val="22"/>
        </w:rPr>
        <w:t xml:space="preserve"> or </w:t>
      </w:r>
      <w:r w:rsidRPr="00EC57F9">
        <w:rPr>
          <w:rFonts w:asciiTheme="minorHAnsi" w:hAnsiTheme="minorHAnsi"/>
          <w:b/>
          <w:i/>
          <w:sz w:val="22"/>
          <w:szCs w:val="22"/>
        </w:rPr>
        <w:t>'CFD'</w:t>
      </w:r>
      <w:r w:rsidRPr="00EC57F9">
        <w:rPr>
          <w:rFonts w:asciiTheme="minorHAnsi" w:hAnsiTheme="minorHAnsi"/>
          <w:i/>
          <w:sz w:val="22"/>
          <w:szCs w:val="22"/>
        </w:rPr>
        <w:t xml:space="preserve"> means </w:t>
      </w:r>
      <w:r w:rsidRPr="00EC57F9">
        <w:rPr>
          <w:rFonts w:asciiTheme="minorHAnsi" w:hAnsiTheme="minorHAnsi"/>
          <w:i/>
          <w:sz w:val="22"/>
          <w:szCs w:val="22"/>
          <w:u w:val="single"/>
        </w:rPr>
        <w:t>a cash-settled, open-ended</w:t>
      </w:r>
      <w:r w:rsidRPr="00EC57F9">
        <w:rPr>
          <w:rFonts w:asciiTheme="minorHAnsi" w:hAnsiTheme="minorHAnsi"/>
          <w:i/>
          <w:sz w:val="22"/>
          <w:szCs w:val="22"/>
        </w:rPr>
        <w:t xml:space="preserve"> derivative </w:t>
      </w:r>
      <w:r w:rsidRPr="00EC57F9">
        <w:rPr>
          <w:rFonts w:asciiTheme="minorHAnsi" w:hAnsiTheme="minorHAnsi"/>
          <w:i/>
          <w:sz w:val="22"/>
          <w:szCs w:val="22"/>
          <w:u w:val="single"/>
        </w:rPr>
        <w:t>contract</w:t>
      </w:r>
      <w:r w:rsidRPr="00EC57F9">
        <w:rPr>
          <w:rFonts w:asciiTheme="minorHAnsi" w:hAnsiTheme="minorHAnsi"/>
          <w:i/>
          <w:sz w:val="22"/>
          <w:szCs w:val="22"/>
        </w:rPr>
        <w:t xml:space="preserve"> </w:t>
      </w:r>
      <w:r w:rsidRPr="00EC57F9">
        <w:rPr>
          <w:rFonts w:asciiTheme="minorHAnsi" w:hAnsiTheme="minorHAnsi"/>
          <w:i/>
          <w:strike/>
          <w:sz w:val="22"/>
          <w:szCs w:val="22"/>
        </w:rPr>
        <w:t>product</w:t>
      </w:r>
      <w:r w:rsidRPr="00EC57F9">
        <w:rPr>
          <w:rFonts w:asciiTheme="minorHAnsi" w:hAnsiTheme="minorHAnsi"/>
          <w:i/>
          <w:sz w:val="22"/>
          <w:szCs w:val="22"/>
        </w:rPr>
        <w:t xml:space="preserve">, </w:t>
      </w:r>
      <w:r w:rsidRPr="00EC57F9">
        <w:rPr>
          <w:rFonts w:asciiTheme="minorHAnsi" w:hAnsiTheme="minorHAnsi"/>
          <w:i/>
          <w:sz w:val="22"/>
          <w:szCs w:val="22"/>
          <w:u w:val="single"/>
        </w:rPr>
        <w:t>which can be entered into by both retail and wholesale investors</w:t>
      </w:r>
      <w:r w:rsidRPr="00EC57F9">
        <w:rPr>
          <w:rFonts w:asciiTheme="minorHAnsi" w:hAnsiTheme="minorHAnsi"/>
          <w:i/>
          <w:sz w:val="22"/>
          <w:szCs w:val="22"/>
        </w:rPr>
        <w:t xml:space="preserve">, that gives the holder an </w:t>
      </w:r>
      <w:r w:rsidRPr="00EC57F9">
        <w:rPr>
          <w:rFonts w:asciiTheme="minorHAnsi" w:hAnsiTheme="minorHAnsi"/>
          <w:i/>
          <w:strike/>
          <w:sz w:val="22"/>
          <w:szCs w:val="22"/>
        </w:rPr>
        <w:t>economic</w:t>
      </w:r>
      <w:r w:rsidRPr="00EC57F9">
        <w:rPr>
          <w:rFonts w:asciiTheme="minorHAnsi" w:hAnsiTheme="minorHAnsi"/>
          <w:i/>
          <w:sz w:val="22"/>
          <w:szCs w:val="22"/>
        </w:rPr>
        <w:t xml:space="preserve"> exposure, which can be long or short, to the difference between the price of an underlying asset at the start of the contract and the price </w:t>
      </w:r>
      <w:r w:rsidRPr="00EC57F9">
        <w:rPr>
          <w:rFonts w:asciiTheme="minorHAnsi" w:hAnsiTheme="minorHAnsi"/>
          <w:i/>
          <w:strike/>
          <w:sz w:val="22"/>
          <w:szCs w:val="22"/>
        </w:rPr>
        <w:t>when</w:t>
      </w:r>
      <w:r w:rsidRPr="00EC57F9">
        <w:rPr>
          <w:rFonts w:asciiTheme="minorHAnsi" w:hAnsiTheme="minorHAnsi"/>
          <w:i/>
          <w:sz w:val="22"/>
          <w:szCs w:val="22"/>
        </w:rPr>
        <w:t xml:space="preserve"> </w:t>
      </w:r>
      <w:r w:rsidRPr="00EC57F9">
        <w:rPr>
          <w:rFonts w:asciiTheme="minorHAnsi" w:hAnsiTheme="minorHAnsi"/>
          <w:i/>
          <w:sz w:val="22"/>
          <w:szCs w:val="22"/>
          <w:u w:val="single"/>
        </w:rPr>
        <w:t>at the maturity of</w:t>
      </w:r>
      <w:r w:rsidRPr="00EC57F9">
        <w:rPr>
          <w:rFonts w:asciiTheme="minorHAnsi" w:hAnsiTheme="minorHAnsi"/>
          <w:i/>
          <w:sz w:val="22"/>
          <w:szCs w:val="22"/>
        </w:rPr>
        <w:t xml:space="preserve"> the contract </w:t>
      </w:r>
      <w:r w:rsidRPr="00EC57F9">
        <w:rPr>
          <w:rFonts w:asciiTheme="minorHAnsi" w:hAnsiTheme="minorHAnsi"/>
          <w:i/>
          <w:strike/>
          <w:sz w:val="22"/>
          <w:szCs w:val="22"/>
        </w:rPr>
        <w:t>is closed</w:t>
      </w:r>
      <w:r w:rsidRPr="00EC57F9">
        <w:rPr>
          <w:rFonts w:asciiTheme="minorHAnsi" w:hAnsiTheme="minorHAnsi"/>
          <w:i/>
          <w:sz w:val="22"/>
          <w:szCs w:val="22"/>
        </w:rPr>
        <w:t>, and which is not a cash-settled option, swap or other similar contract.</w:t>
      </w:r>
    </w:p>
    <w:p w:rsidR="00EC57F9" w:rsidRPr="00EC57F9" w:rsidRDefault="00EC57F9" w:rsidP="00EC57F9">
      <w:pPr>
        <w:spacing w:before="100" w:beforeAutospacing="1" w:after="100" w:afterAutospacing="1"/>
        <w:ind w:left="720"/>
        <w:contextualSpacing/>
        <w:jc w:val="both"/>
        <w:rPr>
          <w:rFonts w:asciiTheme="minorHAnsi" w:hAnsiTheme="minorHAnsi"/>
          <w:sz w:val="22"/>
          <w:szCs w:val="22"/>
        </w:rPr>
      </w:pPr>
    </w:p>
    <w:p w:rsidR="00EC57F9" w:rsidRPr="00EC57F9" w:rsidRDefault="00EC57F9" w:rsidP="00EC57F9">
      <w:pPr>
        <w:spacing w:before="100" w:beforeAutospacing="1" w:after="100" w:afterAutospacing="1"/>
        <w:contextualSpacing/>
        <w:jc w:val="both"/>
        <w:rPr>
          <w:rFonts w:asciiTheme="minorHAnsi" w:hAnsiTheme="minorHAnsi"/>
          <w:sz w:val="22"/>
          <w:szCs w:val="22"/>
        </w:rPr>
      </w:pPr>
      <w:r w:rsidRPr="00EC57F9">
        <w:rPr>
          <w:rFonts w:asciiTheme="minorHAnsi" w:hAnsiTheme="minorHAnsi"/>
          <w:sz w:val="22"/>
          <w:szCs w:val="22"/>
        </w:rPr>
        <w:t xml:space="preserve">It appears most probable that ESMA's thresholds and liquidity determinations analysis was conducted across multiple products, that is - including </w:t>
      </w:r>
      <w:r w:rsidRPr="00EC57F9">
        <w:rPr>
          <w:rFonts w:asciiTheme="minorHAnsi" w:hAnsiTheme="minorHAnsi"/>
          <w:i/>
          <w:sz w:val="22"/>
          <w:szCs w:val="22"/>
          <w:u w:val="single"/>
        </w:rPr>
        <w:t>both</w:t>
      </w:r>
      <w:r w:rsidRPr="00EC57F9">
        <w:rPr>
          <w:rFonts w:asciiTheme="minorHAnsi" w:hAnsiTheme="minorHAnsi"/>
          <w:sz w:val="22"/>
          <w:szCs w:val="22"/>
        </w:rPr>
        <w:t xml:space="preserve"> CFDs and swaps. </w:t>
      </w:r>
    </w:p>
    <w:permEnd w:id="612594889"/>
    <w:p w:rsidR="00A8728B" w:rsidRDefault="00A8728B" w:rsidP="00A8728B">
      <w:r>
        <w:t>&lt;ESMA_QUESTION_MIFID_ADD_9&gt;</w:t>
      </w:r>
    </w:p>
    <w:p w:rsidR="00A8728B" w:rsidRDefault="00A8728B" w:rsidP="00A8728B">
      <w:pPr>
        <w:pStyle w:val="CPQuestions"/>
        <w:ind w:left="714" w:hanging="357"/>
      </w:pPr>
      <w:r w:rsidRPr="00C24BCA">
        <w:t>Do you agree with ESMA’s proposal for the definition of a liquid market for CFDs on currencies? Please provide a feedback on</w:t>
      </w:r>
      <w:r>
        <w:t xml:space="preserve"> the following in your answer:</w:t>
      </w:r>
    </w:p>
    <w:p w:rsidR="00A8728B" w:rsidRPr="00B62727" w:rsidRDefault="00A8728B" w:rsidP="00566C6A">
      <w:pPr>
        <w:pStyle w:val="CPQuest2"/>
        <w:numPr>
          <w:ilvl w:val="0"/>
          <w:numId w:val="44"/>
        </w:numPr>
      </w:pPr>
      <w:r w:rsidRPr="00B62727">
        <w:t>Would you use different qualitative criteria to define the sub-classes?</w:t>
      </w:r>
    </w:p>
    <w:p w:rsidR="00A8728B" w:rsidRPr="00B62727" w:rsidRDefault="00A8728B" w:rsidP="00566C6A">
      <w:pPr>
        <w:pStyle w:val="CPQuest2"/>
      </w:pPr>
      <w:r w:rsidRPr="00B62727">
        <w:t>Would you use different parameters or the same parameters (i.e. average number of trades per day and average notional amount traded per day) but different thresholds in order to define a sub-class as liquid?</w:t>
      </w:r>
    </w:p>
    <w:p w:rsidR="00A8728B" w:rsidRPr="00B62727" w:rsidRDefault="00A8728B" w:rsidP="00566C6A">
      <w:pPr>
        <w:pStyle w:val="CPQuest2"/>
      </w:pPr>
      <w:r w:rsidRPr="00B62727">
        <w:t xml:space="preserve">Would you define </w:t>
      </w:r>
      <w:r>
        <w:t>sub-</w:t>
      </w:r>
      <w:r w:rsidRPr="00B62727">
        <w:t>classes declared as liquid in ESMA’s proposal as illiquid (or vice versa)? Please provide reasons for your answer.</w:t>
      </w:r>
    </w:p>
    <w:p w:rsidR="00A8728B" w:rsidRDefault="00A8728B" w:rsidP="00A8728B">
      <w:r>
        <w:t>&lt;ESMA_QUESTION_MIFID_ADD_10&gt;</w:t>
      </w:r>
    </w:p>
    <w:p w:rsidR="004052F8" w:rsidRPr="004052F8" w:rsidRDefault="004052F8" w:rsidP="004052F8">
      <w:pPr>
        <w:jc w:val="both"/>
        <w:rPr>
          <w:rFonts w:asciiTheme="minorHAnsi" w:hAnsiTheme="minorHAnsi"/>
          <w:sz w:val="22"/>
        </w:rPr>
      </w:pPr>
      <w:permStart w:id="132608067" w:edGrp="everyone"/>
      <w:r w:rsidRPr="004052F8">
        <w:rPr>
          <w:rFonts w:asciiTheme="minorHAnsi" w:hAnsiTheme="minorHAnsi"/>
          <w:sz w:val="22"/>
        </w:rPr>
        <w:t>The WMBA and LEBA note that IDBs do not arrange nor venue CFDs since they are not (or very rarely) wholesale market products. Therefore the clear boundary and delineation of swaps from CFDs remains very important.</w:t>
      </w:r>
    </w:p>
    <w:permEnd w:id="132608067"/>
    <w:p w:rsidR="00A8728B" w:rsidRDefault="00A8728B" w:rsidP="00A8728B">
      <w:proofErr w:type="gramStart"/>
      <w:r>
        <w:t>&lt;</w:t>
      </w:r>
      <w:proofErr w:type="gramEnd"/>
      <w:r>
        <w:t>ESMA_QUESTION_MIFID_ADD_10&gt;</w:t>
      </w:r>
    </w:p>
    <w:p w:rsidR="00A8728B" w:rsidRDefault="00A8728B" w:rsidP="00A8728B">
      <w:pPr>
        <w:pStyle w:val="CPQuestions"/>
        <w:ind w:left="714" w:hanging="357"/>
      </w:pPr>
      <w:r>
        <w:t>Do you agree that CFDs on instruments other than equities and currencies are illiquid?</w:t>
      </w:r>
      <w:r w:rsidRPr="002D60BB">
        <w:t xml:space="preserve"> </w:t>
      </w:r>
      <w:r>
        <w:t>If you do not agree with ESMA’s proposal for the definition of a liquid market for those classes, please provide your alternative proposal specifying the following:</w:t>
      </w:r>
    </w:p>
    <w:p w:rsidR="00A8728B" w:rsidRDefault="00A8728B" w:rsidP="00566C6A">
      <w:pPr>
        <w:pStyle w:val="CPQuest2"/>
        <w:numPr>
          <w:ilvl w:val="0"/>
          <w:numId w:val="45"/>
        </w:numPr>
      </w:pPr>
      <w:r>
        <w:t xml:space="preserve">How would you define the sub-classes, i.e. which </w:t>
      </w:r>
      <w:r w:rsidRPr="00B62727">
        <w:t xml:space="preserve">qualitative criteria </w:t>
      </w:r>
      <w:r>
        <w:t>would you use?</w:t>
      </w:r>
    </w:p>
    <w:p w:rsidR="00A8728B" w:rsidRDefault="00A8728B" w:rsidP="00566C6A">
      <w:pPr>
        <w:pStyle w:val="CPQuest2"/>
      </w:pPr>
      <w:r>
        <w:t xml:space="preserve">Which </w:t>
      </w:r>
      <w:r w:rsidRPr="00B62727">
        <w:t xml:space="preserve">parameters </w:t>
      </w:r>
      <w:r>
        <w:t xml:space="preserve">and related thresholds would you use to classify a </w:t>
      </w:r>
      <w:r w:rsidRPr="00B62727">
        <w:t>sub-class as liquid?</w:t>
      </w:r>
    </w:p>
    <w:p w:rsidR="00A8728B" w:rsidRDefault="00A8728B" w:rsidP="00566C6A">
      <w:pPr>
        <w:pStyle w:val="CPQuest2"/>
      </w:pPr>
      <w:r>
        <w:t>Which sub-classes would you define as liquid?</w:t>
      </w:r>
    </w:p>
    <w:p w:rsidR="00A8728B" w:rsidRDefault="00A8728B" w:rsidP="00A8728B">
      <w:r>
        <w:t>&lt;ESMA_QUESTION_MIFID_ADD_11&gt;</w:t>
      </w:r>
    </w:p>
    <w:p w:rsidR="004052F8" w:rsidRPr="004052F8" w:rsidRDefault="004052F8" w:rsidP="004052F8">
      <w:pPr>
        <w:spacing w:before="100" w:beforeAutospacing="1" w:after="100" w:afterAutospacing="1"/>
        <w:contextualSpacing/>
        <w:jc w:val="both"/>
        <w:rPr>
          <w:rFonts w:asciiTheme="minorHAnsi" w:hAnsiTheme="minorHAnsi" w:cs="Arial"/>
          <w:sz w:val="22"/>
        </w:rPr>
      </w:pPr>
      <w:permStart w:id="341927629" w:edGrp="everyone"/>
      <w:r w:rsidRPr="004052F8">
        <w:rPr>
          <w:rFonts w:asciiTheme="minorHAnsi" w:hAnsiTheme="minorHAnsi"/>
          <w:sz w:val="22"/>
        </w:rPr>
        <w:t xml:space="preserve">The WMBA and LEBA note that IDBs do not arrange nor venue CFDs since they are not (or very rarely) wholesale market products. </w:t>
      </w:r>
      <w:r w:rsidRPr="004052F8">
        <w:rPr>
          <w:rFonts w:asciiTheme="minorHAnsi" w:hAnsiTheme="minorHAnsi" w:cs="Arial"/>
          <w:sz w:val="22"/>
        </w:rPr>
        <w:t>Therefore the clear boundary and delineation of swaps from CFDs remains very important.</w:t>
      </w:r>
    </w:p>
    <w:p w:rsidR="004052F8" w:rsidRPr="00DB39F7" w:rsidRDefault="004052F8" w:rsidP="004052F8">
      <w:pPr>
        <w:spacing w:before="100" w:beforeAutospacing="1" w:after="100" w:afterAutospacing="1"/>
        <w:contextualSpacing/>
        <w:jc w:val="both"/>
        <w:rPr>
          <w:rFonts w:cs="Arial"/>
        </w:rPr>
      </w:pPr>
    </w:p>
    <w:permEnd w:id="341927629"/>
    <w:p w:rsidR="00A8728B" w:rsidRDefault="00A8728B" w:rsidP="00A8728B">
      <w:r>
        <w:t>&lt;ESMA_QUESTION_MIFID_ADD_11&gt;</w:t>
      </w:r>
    </w:p>
    <w:p w:rsidR="00A8728B" w:rsidRPr="00C24BCA" w:rsidRDefault="00A8728B" w:rsidP="00A8728B">
      <w:pPr>
        <w:pStyle w:val="CPQuestions"/>
        <w:ind w:left="714" w:hanging="357"/>
      </w:pPr>
      <w:r w:rsidRPr="00C24BCA">
        <w:t xml:space="preserve">Do you agree with ESMA’s proposal for CFDs? Please specify, for each sub-class (CFDs on equity, CFDs on currency, CFDs on commodity, CFDs on bonds, CFDs on futures </w:t>
      </w:r>
      <w:r w:rsidR="00992D4E" w:rsidRPr="00C24BCA">
        <w:t xml:space="preserve">on equity </w:t>
      </w:r>
      <w:r w:rsidRPr="00C24BCA">
        <w:t xml:space="preserve">and CFDs on options on equity, others) if you agree on the following points providing reasons for your answer and, if you disagree providing ESMA with an alternative proposal regarding: </w:t>
      </w:r>
    </w:p>
    <w:p w:rsidR="00A8728B" w:rsidRPr="00C24BCA" w:rsidRDefault="00A8728B" w:rsidP="00566C6A">
      <w:pPr>
        <w:pStyle w:val="CPQuest2"/>
        <w:numPr>
          <w:ilvl w:val="0"/>
          <w:numId w:val="46"/>
        </w:numPr>
      </w:pPr>
      <w:r w:rsidRPr="00C24BCA">
        <w:t>deferral period set to 48 hours</w:t>
      </w:r>
    </w:p>
    <w:p w:rsidR="00A8728B" w:rsidRPr="00C24BCA" w:rsidRDefault="00A8728B" w:rsidP="00566C6A">
      <w:pPr>
        <w:pStyle w:val="CPQuest2"/>
      </w:pPr>
      <w:r w:rsidRPr="00C24BCA">
        <w:t>size specific to the instrument threshold set as 50% of the large in scale threshold</w:t>
      </w:r>
    </w:p>
    <w:p w:rsidR="00A8728B" w:rsidRPr="00C24BCA" w:rsidRDefault="00A8728B" w:rsidP="00566C6A">
      <w:pPr>
        <w:pStyle w:val="CPQuest2"/>
      </w:pPr>
      <w:r w:rsidRPr="00C24BCA">
        <w:t>volume measure used to set the large in scale and size specific to the instrument threshold as specified in Annex II, Table 3 of draft RTS 9</w:t>
      </w:r>
    </w:p>
    <w:p w:rsidR="00A8728B" w:rsidRPr="00C24BCA" w:rsidRDefault="00A8728B" w:rsidP="00566C6A">
      <w:pPr>
        <w:pStyle w:val="CPQuest2"/>
      </w:pPr>
      <w:r w:rsidRPr="00C24BCA">
        <w:t>pre-trade and post-trade thresholds set at the same size</w:t>
      </w:r>
    </w:p>
    <w:p w:rsidR="00A8728B" w:rsidRDefault="00A8728B" w:rsidP="00566C6A">
      <w:pPr>
        <w:pStyle w:val="CPQuest2"/>
      </w:pPr>
      <w:r w:rsidRPr="00B62727">
        <w:t>large in scale thresholds: (a) state your preference for the system to set the thresholds (i.e. annual recalculation of the thresholds vs. no recalculation of the thresholds) (b) in the case of a preference for a system with no recalculation (i.e. option 1), provide feedback on the thresholds determined. In the case of a preference for a system with recalculation (i.e. option 2), provide feedback on the thresholds determined for 2017 and on the methodology to recalculate the thresholds from 2018 onwards including the level of granularity of the classes on which the recalculations will be performed</w:t>
      </w:r>
      <w:r>
        <w:t>.</w:t>
      </w:r>
    </w:p>
    <w:p w:rsidR="00A8728B" w:rsidRDefault="00A8728B" w:rsidP="00A8728B">
      <w:r>
        <w:t>&lt;ESMA_QUESTION_MIFID_ADD_12&gt;</w:t>
      </w:r>
    </w:p>
    <w:p w:rsidR="00A8728B" w:rsidRPr="004052F8" w:rsidRDefault="004052F8" w:rsidP="004052F8">
      <w:pPr>
        <w:jc w:val="both"/>
        <w:rPr>
          <w:rFonts w:asciiTheme="minorHAnsi" w:hAnsiTheme="minorHAnsi"/>
          <w:sz w:val="22"/>
          <w:szCs w:val="22"/>
        </w:rPr>
      </w:pPr>
      <w:permStart w:id="475004991" w:edGrp="everyone"/>
      <w:r w:rsidRPr="004052F8">
        <w:rPr>
          <w:rFonts w:asciiTheme="minorHAnsi" w:hAnsiTheme="minorHAnsi"/>
          <w:sz w:val="22"/>
          <w:szCs w:val="22"/>
        </w:rPr>
        <w:t>The WMBA has no specific comments as CFDs are not wholesale non-equity market products. We do however reiterate the delineation of swaps away from CFDs whose standardised terms make them largely used for retail participants not present on WMBA member IDB MiFID (or other) venues.</w:t>
      </w:r>
    </w:p>
    <w:permEnd w:id="475004991"/>
    <w:p w:rsidR="00A8728B" w:rsidRDefault="00A8728B" w:rsidP="00A8728B">
      <w:r>
        <w:t>&lt;ESMA_QUESTION_MIFID_ADD_12&gt;</w:t>
      </w:r>
    </w:p>
    <w:p w:rsidR="00A8728B" w:rsidRDefault="00A8728B" w:rsidP="00A8728B"/>
    <w:p w:rsidR="00F32462" w:rsidRDefault="00F32462">
      <w:pPr>
        <w:rPr>
          <w:rFonts w:cs="Arial"/>
          <w:b/>
          <w:sz w:val="22"/>
          <w:szCs w:val="22"/>
          <w:lang w:eastAsia="en-US"/>
        </w:rPr>
      </w:pPr>
    </w:p>
    <w:sectPr w:rsidR="00F32462" w:rsidSect="00A8728B">
      <w:headerReference w:type="even" r:id="rId20"/>
      <w:headerReference w:type="first" r:id="rId21"/>
      <w:footerReference w:type="first" r:id="rId22"/>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020" w:rsidRDefault="00D81020">
      <w:r>
        <w:separator/>
      </w:r>
    </w:p>
    <w:p w:rsidR="00D81020" w:rsidRDefault="00D81020"/>
  </w:endnote>
  <w:endnote w:type="continuationSeparator" w:id="0">
    <w:p w:rsidR="00D81020" w:rsidRDefault="00D81020">
      <w:r>
        <w:continuationSeparator/>
      </w:r>
    </w:p>
    <w:p w:rsidR="00D81020" w:rsidRDefault="00D81020"/>
  </w:endnote>
  <w:endnote w:type="continuationNotice" w:id="1">
    <w:p w:rsidR="00D81020" w:rsidRDefault="00D810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D81020" w:rsidRPr="00616B9B" w:rsidTr="00315E96">
      <w:trPr>
        <w:trHeight w:val="284"/>
      </w:trPr>
      <w:tc>
        <w:tcPr>
          <w:tcW w:w="8460" w:type="dxa"/>
        </w:tcPr>
        <w:p w:rsidR="00D81020" w:rsidRPr="00315E96" w:rsidRDefault="00D81020" w:rsidP="00315E96">
          <w:pPr>
            <w:pStyle w:val="00Footer"/>
            <w:rPr>
              <w:lang w:val="fr-FR"/>
            </w:rPr>
          </w:pPr>
        </w:p>
      </w:tc>
      <w:tc>
        <w:tcPr>
          <w:tcW w:w="952" w:type="dxa"/>
        </w:tcPr>
        <w:p w:rsidR="00D81020" w:rsidRPr="00616B9B" w:rsidRDefault="00D81020"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D37AC1">
            <w:rPr>
              <w:rFonts w:cs="Arial"/>
              <w:noProof/>
              <w:sz w:val="22"/>
              <w:szCs w:val="22"/>
            </w:rPr>
            <w:t>21</w:t>
          </w:r>
          <w:r w:rsidRPr="00616B9B">
            <w:rPr>
              <w:rFonts w:cs="Arial"/>
              <w:noProof/>
              <w:sz w:val="22"/>
              <w:szCs w:val="22"/>
            </w:rPr>
            <w:fldChar w:fldCharType="end"/>
          </w:r>
        </w:p>
      </w:tc>
    </w:tr>
  </w:tbl>
  <w:p w:rsidR="00D81020" w:rsidRDefault="00D810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20" w:rsidRDefault="00D810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020" w:rsidRDefault="00D81020">
      <w:r>
        <w:separator/>
      </w:r>
    </w:p>
    <w:p w:rsidR="00D81020" w:rsidRDefault="00D81020"/>
  </w:footnote>
  <w:footnote w:type="continuationSeparator" w:id="0">
    <w:p w:rsidR="00D81020" w:rsidRDefault="00D81020">
      <w:r>
        <w:continuationSeparator/>
      </w:r>
    </w:p>
    <w:p w:rsidR="00D81020" w:rsidRDefault="00D81020"/>
  </w:footnote>
  <w:footnote w:type="continuationNotice" w:id="1">
    <w:p w:rsidR="00D81020" w:rsidRDefault="00D81020"/>
  </w:footnote>
  <w:footnote w:id="2">
    <w:p w:rsidR="00D81020" w:rsidRPr="00AA7A30" w:rsidRDefault="00D81020" w:rsidP="00D34282">
      <w:pPr>
        <w:pStyle w:val="FootnoteText"/>
        <w:rPr>
          <w:rFonts w:cs="Arial"/>
        </w:rPr>
      </w:pPr>
      <w:r w:rsidRPr="00AA7A30">
        <w:rPr>
          <w:rStyle w:val="FootnoteReference"/>
          <w:rFonts w:cs="Arial"/>
        </w:rPr>
        <w:footnoteRef/>
      </w:r>
      <w:r w:rsidRPr="00AA7A30">
        <w:rPr>
          <w:rFonts w:cs="Arial"/>
        </w:rPr>
        <w:t xml:space="preserve"> The field will used for consistency checks. If its value is different from the value indicated during submission on the website form, the latest one will be taken into account.</w:t>
      </w:r>
    </w:p>
  </w:footnote>
  <w:footnote w:id="3">
    <w:p w:rsidR="00D81020" w:rsidRDefault="00D81020" w:rsidP="00466ABE">
      <w:pPr>
        <w:spacing w:before="100" w:beforeAutospacing="1" w:after="100" w:afterAutospacing="1"/>
        <w:rPr>
          <w:rFonts w:ascii="Calibri" w:hAnsi="Calibri"/>
        </w:rPr>
      </w:pPr>
      <w:r>
        <w:rPr>
          <w:rStyle w:val="FootnoteReference"/>
        </w:rPr>
        <w:t>[1]</w:t>
      </w:r>
      <w:r>
        <w:t xml:space="preserve"> </w:t>
      </w:r>
      <w:r>
        <w:rPr>
          <w:rFonts w:ascii="Calibri" w:hAnsi="Calibri"/>
          <w:i/>
          <w:iCs/>
          <w:color w:val="7F7F7F"/>
        </w:rPr>
        <w:t>The Wholesale Markets Brokers’ Association (WMBA) and the London Energy Brokers’ Association (LEBA) (jointly referred to in this document as ‘WMBA’) are the European industry associations for the wholesale intermediation of Organised Venue and Over-the-Counter (OTC) markets in financial, energy, commodity and emissions markets and their traded derivatives.  Our members act solely as intermediaries in wholesale financial markets and do not undertake any proprietary trading.  As a result they are classified as Limited Activity and Limited Licence under BIPRU and IFPRU in the UK where they carry out the vast majority of their activities regardless of home domicile of the individual holding companies.  This makes them MiFID Investment Firms as opposed to being MTFs per se.</w:t>
      </w:r>
    </w:p>
  </w:footnote>
  <w:footnote w:id="4">
    <w:p w:rsidR="00D81020" w:rsidRDefault="00D81020" w:rsidP="00CB077C">
      <w:pPr>
        <w:pStyle w:val="FootnoteText"/>
        <w:jc w:val="both"/>
        <w:rPr>
          <w:rFonts w:asciiTheme="minorHAnsi" w:hAnsiTheme="minorHAnsi"/>
          <w:i/>
          <w:color w:val="7F7F7F" w:themeColor="text1" w:themeTint="80"/>
          <w:sz w:val="20"/>
        </w:rPr>
      </w:pPr>
      <w:r w:rsidRPr="00CB077C">
        <w:rPr>
          <w:rStyle w:val="FootnoteReference"/>
          <w:rFonts w:asciiTheme="minorHAnsi" w:hAnsiTheme="minorHAnsi"/>
          <w:sz w:val="20"/>
        </w:rPr>
        <w:footnoteRef/>
      </w:r>
      <w:r w:rsidRPr="00CB077C">
        <w:rPr>
          <w:rFonts w:asciiTheme="minorHAnsi" w:hAnsiTheme="minorHAnsi"/>
          <w:sz w:val="20"/>
        </w:rPr>
        <w:t xml:space="preserve"> </w:t>
      </w:r>
      <w:r w:rsidRPr="00CB077C">
        <w:rPr>
          <w:rFonts w:asciiTheme="minorHAnsi" w:hAnsiTheme="minorHAnsi"/>
          <w:i/>
          <w:color w:val="7F7F7F" w:themeColor="text1" w:themeTint="80"/>
          <w:sz w:val="20"/>
        </w:rPr>
        <w:t>For FX, there are at least 6 trade repositories that have been registered in the EU, with the larger market participants almost all reporting to DTCC.  The dual sided nature of reporting creates the need for both parties to validate that their submission matches that of their counterparty and this is usually performed via exception (or ‘miss-matching’) reporting.  During the first 3 months of data submissions (i.e. the extract used by ESMA in this CP), the ability for either party to check their submission for accuracy intra TR, or even inter TRs, did not exist due to the absence of any exception reporting.  Even now, some 14 months since the go-live of EMIR trade reporting obligations, the availability of exception reporting is limited.  ESMA therefore used miss-matched trade data in their assessment of trading activity in Europe, impacting their assessment of notionals, financial instruments and volumes traded.</w:t>
      </w:r>
    </w:p>
    <w:p w:rsidR="00D81020" w:rsidRPr="00CB077C" w:rsidRDefault="00D81020" w:rsidP="00CB077C">
      <w:pPr>
        <w:pStyle w:val="FootnoteText"/>
        <w:jc w:val="both"/>
        <w:rPr>
          <w:rFonts w:asciiTheme="minorHAnsi" w:hAnsiTheme="minorHAnsi"/>
          <w:i/>
          <w:color w:val="7F7F7F" w:themeColor="text1" w:themeTint="80"/>
          <w:sz w:val="20"/>
        </w:rPr>
      </w:pPr>
    </w:p>
  </w:footnote>
  <w:footnote w:id="5">
    <w:p w:rsidR="00D81020" w:rsidRDefault="00D81020" w:rsidP="00CB077C">
      <w:pPr>
        <w:pStyle w:val="FootnoteText"/>
        <w:jc w:val="both"/>
      </w:pPr>
      <w:r w:rsidRPr="00CB077C">
        <w:rPr>
          <w:rStyle w:val="FootnoteReference"/>
          <w:rFonts w:asciiTheme="minorHAnsi" w:hAnsiTheme="minorHAnsi"/>
          <w:sz w:val="20"/>
        </w:rPr>
        <w:footnoteRef/>
      </w:r>
      <w:r w:rsidRPr="00CB077C">
        <w:rPr>
          <w:rFonts w:asciiTheme="minorHAnsi" w:hAnsiTheme="minorHAnsi"/>
          <w:sz w:val="20"/>
        </w:rPr>
        <w:t xml:space="preserve"> </w:t>
      </w:r>
      <w:r w:rsidRPr="00CB077C">
        <w:rPr>
          <w:rFonts w:asciiTheme="minorHAnsi" w:hAnsiTheme="minorHAnsi"/>
          <w:bCs/>
          <w:i/>
          <w:color w:val="7F7F7F" w:themeColor="text1" w:themeTint="80"/>
          <w:sz w:val="20"/>
        </w:rPr>
        <w:t xml:space="preserve">Footnote 5 on page 17 clearly states that the number of trading days for the period of data chosen for analysis was 65.  However, Table 1 states that the number of trading days for each of the product types was </w:t>
      </w:r>
      <w:r w:rsidRPr="00CB077C">
        <w:rPr>
          <w:rFonts w:asciiTheme="minorHAnsi" w:hAnsiTheme="minorHAnsi"/>
          <w:bCs/>
          <w:i/>
          <w:color w:val="7F7F7F" w:themeColor="text1" w:themeTint="80"/>
          <w:sz w:val="20"/>
          <w:u w:val="single"/>
        </w:rPr>
        <w:t>above</w:t>
      </w:r>
      <w:r w:rsidRPr="00CB077C">
        <w:rPr>
          <w:rFonts w:asciiTheme="minorHAnsi" w:hAnsiTheme="minorHAnsi"/>
          <w:bCs/>
          <w:i/>
          <w:color w:val="7F7F7F" w:themeColor="text1" w:themeTint="80"/>
          <w:sz w:val="20"/>
        </w:rPr>
        <w:t xml:space="preserve"> 65, and for NDFs was actually 92. We believe that the number of days traded should not exceed 100% which this suggests that yet more of the data submitted to the TR was not representative.</w:t>
      </w:r>
    </w:p>
  </w:footnote>
  <w:footnote w:id="6">
    <w:p w:rsidR="00D81020" w:rsidRDefault="00D81020" w:rsidP="00466ABE">
      <w:pPr>
        <w:pStyle w:val="FootnoteText"/>
      </w:pPr>
      <w:r>
        <w:rPr>
          <w:rStyle w:val="FootnoteReference"/>
        </w:rPr>
        <w:footnoteRef/>
      </w:r>
      <w:r>
        <w:t xml:space="preserve"> </w:t>
      </w:r>
      <w:r w:rsidRPr="008962D8">
        <w:rPr>
          <w:bCs/>
          <w:i/>
          <w:color w:val="7F7F7F" w:themeColor="text1" w:themeTint="80"/>
        </w:rPr>
        <w:t>Whilst the BoE survey captures the UK market only, it is important to understand that this represents 70% of the FX market in Europe (by notional traded) and is considered representative across Europe. Both data sources have been used over a number of years (BoE since 2008, for instance), with the data collection models being refined over time.  These surveys are considered accurate by the FX industry, including central banks and ESMA (BIS was used by ESMA in the 2014 CP on FX NDF Clearing).</w:t>
      </w:r>
      <w:r w:rsidRPr="008962D8">
        <w:rPr>
          <w:bCs/>
          <w:color w:val="7F7F7F" w:themeColor="text1" w:themeTint="80"/>
        </w:rPr>
        <w:t xml:space="preserve">  </w:t>
      </w:r>
    </w:p>
  </w:footnote>
  <w:footnote w:id="7">
    <w:p w:rsidR="00D81020" w:rsidRPr="00F94D6C" w:rsidRDefault="00D81020" w:rsidP="00466ABE">
      <w:pPr>
        <w:pStyle w:val="FootnoteText"/>
        <w:rPr>
          <w:bCs/>
        </w:rPr>
      </w:pPr>
      <w:r>
        <w:rPr>
          <w:rStyle w:val="FootnoteReference"/>
        </w:rPr>
        <w:footnoteRef/>
      </w:r>
      <w:r>
        <w:t xml:space="preserve"> </w:t>
      </w:r>
      <w:r w:rsidRPr="00F94D6C">
        <w:rPr>
          <w:bCs/>
          <w:i/>
          <w:color w:val="7F7F7F" w:themeColor="text1" w:themeTint="80"/>
        </w:rPr>
        <w:t>There are multiple examples where the LIS number is not representative of the market traded, again due to the poor quality of the data used in the assessment.  For instance, USDCOP NDFs (4days to 7 days) have a LIS value of EUR 700million and USDCLP (3 months to 6 months) has a LIS value of EUR 175million. Both of these are many multiples greater than the LIS for the most liquid FX currency pairs, such as USDEUR and can be close to or more than the average daily notional amount per day that is stated in the liquidity assessment tables.</w:t>
      </w:r>
    </w:p>
    <w:p w:rsidR="00D81020" w:rsidRDefault="00D81020" w:rsidP="00466ABE">
      <w:pPr>
        <w:pStyle w:val="FootnoteText"/>
      </w:pPr>
    </w:p>
  </w:footnote>
  <w:footnote w:id="8">
    <w:p w:rsidR="00D81020" w:rsidRDefault="00D81020" w:rsidP="00D81020">
      <w:pPr>
        <w:pStyle w:val="FootnoteText"/>
      </w:pPr>
      <w:r>
        <w:rPr>
          <w:rStyle w:val="FootnoteReference"/>
        </w:rPr>
        <w:footnoteRef/>
      </w:r>
      <w:r>
        <w:t xml:space="preserve"> </w:t>
      </w:r>
      <w:r w:rsidRPr="006C49A9">
        <w:rPr>
          <w:i/>
          <w:color w:val="7F7F7F" w:themeColor="text1" w:themeTint="80"/>
        </w:rPr>
        <w:t>It is imperative that the assessment of whether there is "</w:t>
      </w:r>
      <w:r w:rsidRPr="006C49A9">
        <w:rPr>
          <w:b/>
          <w:i/>
          <w:color w:val="7F7F7F" w:themeColor="text1" w:themeTint="80"/>
          <w:u w:val="single"/>
        </w:rPr>
        <w:t>sufficient third-party buying and selling interest in the class of derivatives or subset so that such a class of derivatives is considered sufficiently liquid to trade only on venues</w:t>
      </w:r>
      <w:r w:rsidRPr="006C49A9">
        <w:rPr>
          <w:i/>
          <w:color w:val="7F7F7F" w:themeColor="text1" w:themeTint="80"/>
        </w:rPr>
        <w:t>", takes into account all variables which may impact the liquidity and tradability of an instrument and the assessment must therefore be conducted at a suitably granular level.  If this approach is not followed then there is a risk that a derivative product which is insufficiently standardised and which cannot be traded on venue or in which there insufficient third-party buying and selling interest will be declared subject to the trading obligation.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20" w:rsidRDefault="00D81020">
    <w:pPr>
      <w:pStyle w:val="Header"/>
    </w:pPr>
    <w:r>
      <w:rPr>
        <w:noProof/>
        <w:lang w:eastAsia="en-GB"/>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295" distR="114295" simplePos="0" relativeHeight="251656192" behindDoc="0" locked="0" layoutInCell="1" allowOverlap="1">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8CD69"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20" w:rsidRDefault="00D81020" w:rsidP="00013CCE">
    <w:pPr>
      <w:pStyle w:val="Header"/>
      <w:jc w:val="right"/>
    </w:pPr>
    <w:r>
      <w:rPr>
        <w:noProof/>
        <w:lang w:eastAsia="en-GB"/>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20" w:rsidRDefault="00D8102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D81020" w:rsidRPr="002F4496" w:rsidTr="000C06C9">
      <w:trPr>
        <w:trHeight w:val="284"/>
      </w:trPr>
      <w:tc>
        <w:tcPr>
          <w:tcW w:w="8460" w:type="dxa"/>
        </w:tcPr>
        <w:p w:rsidR="00D81020" w:rsidRPr="000C3B6D" w:rsidRDefault="00D81020" w:rsidP="000C06C9">
          <w:pPr>
            <w:pStyle w:val="00Footer"/>
            <w:rPr>
              <w:lang w:val="fr-FR"/>
            </w:rPr>
          </w:pPr>
        </w:p>
      </w:tc>
      <w:tc>
        <w:tcPr>
          <w:tcW w:w="952" w:type="dxa"/>
        </w:tcPr>
        <w:p w:rsidR="00D81020" w:rsidRPr="00146B34" w:rsidRDefault="00D81020" w:rsidP="000C06C9">
          <w:pPr>
            <w:pStyle w:val="00aPagenumber"/>
            <w:rPr>
              <w:lang w:val="fr-FR"/>
            </w:rPr>
          </w:pPr>
        </w:p>
      </w:tc>
    </w:tr>
  </w:tbl>
  <w:p w:rsidR="00D81020" w:rsidRPr="00DB46C3" w:rsidRDefault="00D81020">
    <w:pPr>
      <w:rPr>
        <w:lang w:val="fr-FR"/>
      </w:rPr>
    </w:pPr>
  </w:p>
  <w:p w:rsidR="00D81020" w:rsidRPr="002F4496" w:rsidRDefault="00D81020">
    <w:pPr>
      <w:pStyle w:val="Header"/>
      <w:rPr>
        <w:lang w:val="fr-FR"/>
      </w:rPr>
    </w:pPr>
  </w:p>
  <w:p w:rsidR="00D81020" w:rsidRPr="002F4496" w:rsidRDefault="00D81020" w:rsidP="000C06C9">
    <w:pPr>
      <w:pStyle w:val="Header"/>
      <w:tabs>
        <w:tab w:val="clear" w:pos="4536"/>
        <w:tab w:val="clear" w:pos="9072"/>
        <w:tab w:val="left" w:pos="8227"/>
      </w:tabs>
      <w:rPr>
        <w:lang w:val="fr-FR"/>
      </w:rPr>
    </w:pPr>
  </w:p>
  <w:p w:rsidR="00D81020" w:rsidRPr="002F4496" w:rsidRDefault="00D81020" w:rsidP="000C06C9">
    <w:pPr>
      <w:pStyle w:val="Header"/>
      <w:tabs>
        <w:tab w:val="clear" w:pos="4536"/>
        <w:tab w:val="clear" w:pos="9072"/>
        <w:tab w:val="left" w:pos="8227"/>
      </w:tabs>
      <w:rPr>
        <w:lang w:val="fr-FR"/>
      </w:rPr>
    </w:pPr>
  </w:p>
  <w:p w:rsidR="00D81020" w:rsidRPr="002F4496" w:rsidRDefault="00D81020">
    <w:pPr>
      <w:pStyle w:val="Header"/>
      <w:rPr>
        <w:lang w:val="fr-FR"/>
      </w:rPr>
    </w:pPr>
  </w:p>
  <w:p w:rsidR="00D81020" w:rsidRPr="002F4496" w:rsidRDefault="00D81020">
    <w:pPr>
      <w:pStyle w:val="Header"/>
      <w:rPr>
        <w:lang w:val="fr-FR"/>
      </w:rPr>
    </w:pPr>
  </w:p>
  <w:p w:rsidR="00D81020" w:rsidRPr="002F4496" w:rsidRDefault="00D81020">
    <w:pPr>
      <w:pStyle w:val="Header"/>
      <w:rPr>
        <w:lang w:val="fr-FR"/>
      </w:rPr>
    </w:pPr>
  </w:p>
  <w:p w:rsidR="00D81020" w:rsidRPr="002F4496" w:rsidRDefault="00D81020">
    <w:pPr>
      <w:pStyle w:val="Header"/>
      <w:rPr>
        <w:lang w:val="fr-FR"/>
      </w:rPr>
    </w:pPr>
  </w:p>
  <w:p w:rsidR="00D81020" w:rsidRPr="002F4496" w:rsidRDefault="00D81020">
    <w:pPr>
      <w:pStyle w:val="Header"/>
      <w:rPr>
        <w:highlight w:val="yellow"/>
        <w:lang w:val="fr-FR"/>
      </w:rPr>
    </w:pPr>
  </w:p>
  <w:p w:rsidR="00D81020" w:rsidRDefault="00D81020">
    <w:pPr>
      <w:pStyle w:val="Header"/>
    </w:pPr>
    <w:r>
      <w:rPr>
        <w:noProof/>
        <w:lang w:eastAsia="en-GB"/>
      </w:rPr>
      <mc:AlternateContent>
        <mc:Choice Requires="wps">
          <w:drawing>
            <wp:anchor distT="0" distB="0" distL="114299" distR="114299" simplePos="0" relativeHeight="251660288" behindDoc="0" locked="0" layoutInCell="1" allowOverlap="1" wp14:anchorId="22F5F3E4" wp14:editId="509A417A">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FFA42"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en-GB"/>
      </w:rPr>
      <w:drawing>
        <wp:anchor distT="0" distB="0" distL="114300" distR="114300" simplePos="0" relativeHeight="251659264" behindDoc="0" locked="0" layoutInCell="1" allowOverlap="1" wp14:anchorId="48CEC262" wp14:editId="3F03F401">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02648"/>
    <w:multiLevelType w:val="hybridMultilevel"/>
    <w:tmpl w:val="86FE2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D10946"/>
    <w:multiLevelType w:val="hybridMultilevel"/>
    <w:tmpl w:val="D214CAC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3">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7BC6EC9"/>
    <w:multiLevelType w:val="hybridMultilevel"/>
    <w:tmpl w:val="B534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135FA2"/>
    <w:multiLevelType w:val="hybridMultilevel"/>
    <w:tmpl w:val="DBEA46CE"/>
    <w:lvl w:ilvl="0" w:tplc="B4AA618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28C3064"/>
    <w:multiLevelType w:val="hybridMultilevel"/>
    <w:tmpl w:val="DCCC3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9">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36D497A"/>
    <w:multiLevelType w:val="hybridMultilevel"/>
    <w:tmpl w:val="41A4AFD6"/>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nsid w:val="23843D77"/>
    <w:multiLevelType w:val="hybridMultilevel"/>
    <w:tmpl w:val="795A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3">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27CD2842"/>
    <w:multiLevelType w:val="hybridMultilevel"/>
    <w:tmpl w:val="5CB4ECC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6">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nsid w:val="32726E4A"/>
    <w:multiLevelType w:val="hybridMultilevel"/>
    <w:tmpl w:val="1C066A5E"/>
    <w:lvl w:ilvl="0" w:tplc="0809001B">
      <w:start w:val="1"/>
      <w:numFmt w:val="lowerRoman"/>
      <w:lvlText w:val="%1."/>
      <w:lvlJc w:val="right"/>
      <w:pPr>
        <w:ind w:left="1440" w:hanging="360"/>
      </w:pPr>
    </w:lvl>
    <w:lvl w:ilvl="1" w:tplc="235E1AB0">
      <w:start w:val="1"/>
      <w:numFmt w:val="lowerRoman"/>
      <w:lvlText w:val="(%2)"/>
      <w:lvlJc w:val="left"/>
      <w:pPr>
        <w:ind w:left="2520" w:hanging="72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nsid w:val="381A03C9"/>
    <w:multiLevelType w:val="hybridMultilevel"/>
    <w:tmpl w:val="A164201E"/>
    <w:lvl w:ilvl="0" w:tplc="91CA7D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21">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23">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25">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26">
    <w:nsid w:val="48122ECA"/>
    <w:multiLevelType w:val="hybridMultilevel"/>
    <w:tmpl w:val="4B72A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8">
    <w:nsid w:val="4A8501C1"/>
    <w:multiLevelType w:val="hybridMultilevel"/>
    <w:tmpl w:val="BF34BB12"/>
    <w:lvl w:ilvl="0" w:tplc="37900E30">
      <w:start w:val="1"/>
      <w:numFmt w:val="decimal"/>
      <w:pStyle w:val="CPQuestions"/>
      <w:lvlText w:val="Q%1."/>
      <w:lvlJc w:val="right"/>
      <w:pPr>
        <w:ind w:left="720" w:hanging="360"/>
      </w:pPr>
      <w:rPr>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094FC0"/>
    <w:multiLevelType w:val="hybridMultilevel"/>
    <w:tmpl w:val="00425D2E"/>
    <w:lvl w:ilvl="0" w:tplc="A0BCC39E">
      <w:start w:val="1"/>
      <w:numFmt w:val="decimal"/>
      <w:lvlText w:val="%1."/>
      <w:lvlJc w:val="left"/>
      <w:pPr>
        <w:ind w:left="720" w:hanging="360"/>
      </w:pPr>
      <w:rPr>
        <w:b w:val="0"/>
      </w:rPr>
    </w:lvl>
    <w:lvl w:ilvl="1" w:tplc="202222C8">
      <w:start w:val="1"/>
      <w:numFmt w:val="lowerLetter"/>
      <w:lvlText w:val="%2."/>
      <w:lvlJc w:val="left"/>
      <w:pPr>
        <w:ind w:left="144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1">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2">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53C617A5"/>
    <w:multiLevelType w:val="hybridMultilevel"/>
    <w:tmpl w:val="B5EED84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5">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37">
    <w:nsid w:val="58EE7A77"/>
    <w:multiLevelType w:val="hybridMultilevel"/>
    <w:tmpl w:val="01C677D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nsid w:val="5A4E1F51"/>
    <w:multiLevelType w:val="hybridMultilevel"/>
    <w:tmpl w:val="E8B612DE"/>
    <w:lvl w:ilvl="0" w:tplc="C87E0638">
      <w:numFmt w:val="bullet"/>
      <w:lvlText w:val="•"/>
      <w:lvlJc w:val="left"/>
      <w:pPr>
        <w:ind w:left="1080" w:hanging="720"/>
      </w:pPr>
      <w:rPr>
        <w:rFonts w:ascii="Calibri Light" w:eastAsiaTheme="minorHAnsi" w:hAnsi="Calibri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41">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2">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44">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5">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46">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nsid w:val="749076D2"/>
    <w:multiLevelType w:val="hybridMultilevel"/>
    <w:tmpl w:val="51B60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5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23"/>
  </w:num>
  <w:num w:numId="2">
    <w:abstractNumId w:val="25"/>
  </w:num>
  <w:num w:numId="3">
    <w:abstractNumId w:val="19"/>
  </w:num>
  <w:num w:numId="4">
    <w:abstractNumId w:val="32"/>
  </w:num>
  <w:num w:numId="5">
    <w:abstractNumId w:val="35"/>
  </w:num>
  <w:num w:numId="6">
    <w:abstractNumId w:val="2"/>
  </w:num>
  <w:num w:numId="7">
    <w:abstractNumId w:val="8"/>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num>
  <w:num w:numId="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num>
  <w:num w:numId="13">
    <w:abstractNumId w:val="42"/>
  </w:num>
  <w:num w:numId="14">
    <w:abstractNumId w:val="31"/>
  </w:num>
  <w:num w:numId="15">
    <w:abstractNumId w:val="16"/>
  </w:num>
  <w:num w:numId="16">
    <w:abstractNumId w:val="3"/>
  </w:num>
  <w:num w:numId="17">
    <w:abstractNumId w:val="21"/>
  </w:num>
  <w:num w:numId="18">
    <w:abstractNumId w:val="22"/>
  </w:num>
  <w:num w:numId="19">
    <w:abstractNumId w:val="24"/>
  </w:num>
  <w:num w:numId="20">
    <w:abstractNumId w:val="36"/>
  </w:num>
  <w:num w:numId="21">
    <w:abstractNumId w:val="47"/>
  </w:num>
  <w:num w:numId="22">
    <w:abstractNumId w:val="34"/>
  </w:num>
  <w:num w:numId="23">
    <w:abstractNumId w:val="15"/>
  </w:num>
  <w:num w:numId="24">
    <w:abstractNumId w:val="41"/>
  </w:num>
  <w:num w:numId="25">
    <w:abstractNumId w:val="40"/>
  </w:num>
  <w:num w:numId="26">
    <w:abstractNumId w:val="27"/>
  </w:num>
  <w:num w:numId="27">
    <w:abstractNumId w:val="44"/>
  </w:num>
  <w:num w:numId="28">
    <w:abstractNumId w:val="50"/>
  </w:num>
  <w:num w:numId="29">
    <w:abstractNumId w:val="12"/>
  </w:num>
  <w:num w:numId="30">
    <w:abstractNumId w:val="7"/>
  </w:num>
  <w:num w:numId="31">
    <w:abstractNumId w:val="30"/>
  </w:num>
  <w:num w:numId="32">
    <w:abstractNumId w:val="4"/>
  </w:num>
  <w:num w:numId="33">
    <w:abstractNumId w:val="11"/>
  </w:num>
  <w:num w:numId="34">
    <w:abstractNumId w:val="28"/>
  </w:num>
  <w:num w:numId="35">
    <w:abstractNumId w:val="46"/>
  </w:num>
  <w:num w:numId="36">
    <w:abstractNumId w:val="46"/>
    <w:lvlOverride w:ilvl="0">
      <w:startOverride w:val="1"/>
    </w:lvlOverride>
  </w:num>
  <w:num w:numId="37">
    <w:abstractNumId w:val="46"/>
    <w:lvlOverride w:ilvl="0">
      <w:startOverride w:val="1"/>
    </w:lvlOverride>
  </w:num>
  <w:num w:numId="38">
    <w:abstractNumId w:val="46"/>
    <w:lvlOverride w:ilvl="0">
      <w:startOverride w:val="1"/>
    </w:lvlOverride>
  </w:num>
  <w:num w:numId="39">
    <w:abstractNumId w:val="46"/>
    <w:lvlOverride w:ilvl="0">
      <w:startOverride w:val="1"/>
    </w:lvlOverride>
  </w:num>
  <w:num w:numId="40">
    <w:abstractNumId w:val="46"/>
    <w:lvlOverride w:ilvl="0">
      <w:startOverride w:val="1"/>
    </w:lvlOverride>
  </w:num>
  <w:num w:numId="41">
    <w:abstractNumId w:val="46"/>
    <w:lvlOverride w:ilvl="0">
      <w:startOverride w:val="1"/>
    </w:lvlOverride>
  </w:num>
  <w:num w:numId="42">
    <w:abstractNumId w:val="46"/>
    <w:lvlOverride w:ilvl="0">
      <w:startOverride w:val="1"/>
    </w:lvlOverride>
  </w:num>
  <w:num w:numId="43">
    <w:abstractNumId w:val="46"/>
    <w:lvlOverride w:ilvl="0">
      <w:startOverride w:val="1"/>
    </w:lvlOverride>
  </w:num>
  <w:num w:numId="44">
    <w:abstractNumId w:val="46"/>
    <w:lvlOverride w:ilvl="0">
      <w:startOverride w:val="1"/>
    </w:lvlOverride>
  </w:num>
  <w:num w:numId="45">
    <w:abstractNumId w:val="45"/>
  </w:num>
  <w:num w:numId="46">
    <w:abstractNumId w:val="46"/>
    <w:lvlOverride w:ilvl="0">
      <w:startOverride w:val="1"/>
    </w:lvlOverride>
  </w:num>
  <w:num w:numId="47">
    <w:abstractNumId w:val="37"/>
  </w:num>
  <w:num w:numId="48">
    <w:abstractNumId w:val="48"/>
  </w:num>
  <w:num w:numId="49">
    <w:abstractNumId w:val="18"/>
  </w:num>
  <w:num w:numId="50">
    <w:abstractNumId w:val="39"/>
  </w:num>
  <w:num w:numId="51">
    <w:abstractNumId w:val="17"/>
  </w:num>
  <w:num w:numId="52">
    <w:abstractNumId w:val="10"/>
  </w:num>
  <w:num w:numId="53">
    <w:abstractNumId w:val="6"/>
  </w:num>
  <w:num w:numId="54">
    <w:abstractNumId w:val="29"/>
  </w:num>
  <w:num w:numId="55">
    <w:abstractNumId w:val="26"/>
  </w:num>
  <w:num w:numId="56">
    <w:abstractNumId w:val="14"/>
  </w:num>
  <w:num w:numId="57">
    <w:abstractNumId w:val="33"/>
  </w:num>
  <w:num w:numId="58">
    <w:abstractNumId w:val="1"/>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Full" w:cryptAlgorithmClass="hash" w:cryptAlgorithmType="typeAny" w:cryptAlgorithmSid="4" w:cryptSpinCount="100000" w:hash="NxXaH8KyD8QgqtQ9Kldtrt3DnIk=" w:salt="3xub1WRPctATi7RQzt2SsA=="/>
  <w:defaultTabStop w:val="709"/>
  <w:autoHyphenation/>
  <w:hyphenationZone w:val="567"/>
  <w:characterSpacingControl w:val="doNotCompress"/>
  <w:hdrShapeDefaults>
    <o:shapedefaults v:ext="edit" spidmax="12289">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69"/>
    <w:rsid w:val="00027154"/>
    <w:rsid w:val="00027ECF"/>
    <w:rsid w:val="000303BE"/>
    <w:rsid w:val="000344D6"/>
    <w:rsid w:val="00034960"/>
    <w:rsid w:val="00036FAE"/>
    <w:rsid w:val="00041858"/>
    <w:rsid w:val="0004389E"/>
    <w:rsid w:val="000463A6"/>
    <w:rsid w:val="00046CC9"/>
    <w:rsid w:val="00046E91"/>
    <w:rsid w:val="000502FE"/>
    <w:rsid w:val="0005126D"/>
    <w:rsid w:val="00051992"/>
    <w:rsid w:val="00051E9A"/>
    <w:rsid w:val="000521A7"/>
    <w:rsid w:val="00052F47"/>
    <w:rsid w:val="0005399B"/>
    <w:rsid w:val="00054DE6"/>
    <w:rsid w:val="000569D7"/>
    <w:rsid w:val="000576D7"/>
    <w:rsid w:val="00060F72"/>
    <w:rsid w:val="00062592"/>
    <w:rsid w:val="000636A1"/>
    <w:rsid w:val="000649D9"/>
    <w:rsid w:val="000652BE"/>
    <w:rsid w:val="00066479"/>
    <w:rsid w:val="0006723C"/>
    <w:rsid w:val="00070376"/>
    <w:rsid w:val="00070974"/>
    <w:rsid w:val="00071EAD"/>
    <w:rsid w:val="00071F4E"/>
    <w:rsid w:val="00072271"/>
    <w:rsid w:val="00072B54"/>
    <w:rsid w:val="0007463D"/>
    <w:rsid w:val="000749F0"/>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2E0"/>
    <w:rsid w:val="00094C4C"/>
    <w:rsid w:val="00096762"/>
    <w:rsid w:val="000969C8"/>
    <w:rsid w:val="0009752D"/>
    <w:rsid w:val="00097AEE"/>
    <w:rsid w:val="000A014A"/>
    <w:rsid w:val="000A04B6"/>
    <w:rsid w:val="000A0E36"/>
    <w:rsid w:val="000A1BD2"/>
    <w:rsid w:val="000A2127"/>
    <w:rsid w:val="000A358F"/>
    <w:rsid w:val="000A43CC"/>
    <w:rsid w:val="000A7314"/>
    <w:rsid w:val="000A7B53"/>
    <w:rsid w:val="000A7B64"/>
    <w:rsid w:val="000B275C"/>
    <w:rsid w:val="000B2C3D"/>
    <w:rsid w:val="000B55C0"/>
    <w:rsid w:val="000B5DF2"/>
    <w:rsid w:val="000C06C9"/>
    <w:rsid w:val="000C1DCC"/>
    <w:rsid w:val="000C1FBC"/>
    <w:rsid w:val="000C2B6A"/>
    <w:rsid w:val="000C2F88"/>
    <w:rsid w:val="000C55C8"/>
    <w:rsid w:val="000C57C4"/>
    <w:rsid w:val="000C5FD3"/>
    <w:rsid w:val="000C701D"/>
    <w:rsid w:val="000C7C4A"/>
    <w:rsid w:val="000D17AA"/>
    <w:rsid w:val="000D2D0B"/>
    <w:rsid w:val="000D4660"/>
    <w:rsid w:val="000D705D"/>
    <w:rsid w:val="000D7EB9"/>
    <w:rsid w:val="000E0223"/>
    <w:rsid w:val="000E0CF3"/>
    <w:rsid w:val="000E18A8"/>
    <w:rsid w:val="000E1AEC"/>
    <w:rsid w:val="000E3937"/>
    <w:rsid w:val="000E4926"/>
    <w:rsid w:val="000E5F7F"/>
    <w:rsid w:val="000E7086"/>
    <w:rsid w:val="000E7C65"/>
    <w:rsid w:val="000F04D2"/>
    <w:rsid w:val="000F55B7"/>
    <w:rsid w:val="000F604F"/>
    <w:rsid w:val="000F7399"/>
    <w:rsid w:val="001027F1"/>
    <w:rsid w:val="00104F2E"/>
    <w:rsid w:val="001072DD"/>
    <w:rsid w:val="00110D7A"/>
    <w:rsid w:val="00111464"/>
    <w:rsid w:val="0011167D"/>
    <w:rsid w:val="00112892"/>
    <w:rsid w:val="00112E48"/>
    <w:rsid w:val="001130EA"/>
    <w:rsid w:val="00114259"/>
    <w:rsid w:val="001168B2"/>
    <w:rsid w:val="00117C20"/>
    <w:rsid w:val="00120F0E"/>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3138"/>
    <w:rsid w:val="001B4E4B"/>
    <w:rsid w:val="001B50AC"/>
    <w:rsid w:val="001B5E05"/>
    <w:rsid w:val="001B6D68"/>
    <w:rsid w:val="001B6F2E"/>
    <w:rsid w:val="001C0344"/>
    <w:rsid w:val="001C0F2A"/>
    <w:rsid w:val="001C1A59"/>
    <w:rsid w:val="001C270F"/>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FB4"/>
    <w:rsid w:val="00250898"/>
    <w:rsid w:val="00251EA9"/>
    <w:rsid w:val="00252843"/>
    <w:rsid w:val="0025334A"/>
    <w:rsid w:val="002543F8"/>
    <w:rsid w:val="002551A4"/>
    <w:rsid w:val="002559F3"/>
    <w:rsid w:val="00256DFE"/>
    <w:rsid w:val="00261D56"/>
    <w:rsid w:val="00261FD3"/>
    <w:rsid w:val="00264077"/>
    <w:rsid w:val="00266B9A"/>
    <w:rsid w:val="00270E54"/>
    <w:rsid w:val="0027283A"/>
    <w:rsid w:val="00273681"/>
    <w:rsid w:val="002754B5"/>
    <w:rsid w:val="002764C5"/>
    <w:rsid w:val="002772AE"/>
    <w:rsid w:val="00280613"/>
    <w:rsid w:val="0028274D"/>
    <w:rsid w:val="00282B96"/>
    <w:rsid w:val="002833D6"/>
    <w:rsid w:val="00283F51"/>
    <w:rsid w:val="00286064"/>
    <w:rsid w:val="002867B1"/>
    <w:rsid w:val="00287BBB"/>
    <w:rsid w:val="00287E3B"/>
    <w:rsid w:val="00290638"/>
    <w:rsid w:val="00291763"/>
    <w:rsid w:val="00291D80"/>
    <w:rsid w:val="00293156"/>
    <w:rsid w:val="00293BE7"/>
    <w:rsid w:val="002946DC"/>
    <w:rsid w:val="002A0C82"/>
    <w:rsid w:val="002A0CD8"/>
    <w:rsid w:val="002A13EB"/>
    <w:rsid w:val="002A35EF"/>
    <w:rsid w:val="002A3DE0"/>
    <w:rsid w:val="002A40EA"/>
    <w:rsid w:val="002A46E8"/>
    <w:rsid w:val="002A491C"/>
    <w:rsid w:val="002B1FEF"/>
    <w:rsid w:val="002B2DF8"/>
    <w:rsid w:val="002B354F"/>
    <w:rsid w:val="002B3614"/>
    <w:rsid w:val="002B45D1"/>
    <w:rsid w:val="002B4ED8"/>
    <w:rsid w:val="002B4FAA"/>
    <w:rsid w:val="002B52C2"/>
    <w:rsid w:val="002B7656"/>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036D"/>
    <w:rsid w:val="002E1517"/>
    <w:rsid w:val="002E1B22"/>
    <w:rsid w:val="002E387F"/>
    <w:rsid w:val="002E7F4B"/>
    <w:rsid w:val="002F0C91"/>
    <w:rsid w:val="002F0E3E"/>
    <w:rsid w:val="002F1B19"/>
    <w:rsid w:val="002F1FBF"/>
    <w:rsid w:val="002F4139"/>
    <w:rsid w:val="00300624"/>
    <w:rsid w:val="00300F56"/>
    <w:rsid w:val="00301006"/>
    <w:rsid w:val="00304A71"/>
    <w:rsid w:val="003066C8"/>
    <w:rsid w:val="0030739D"/>
    <w:rsid w:val="00307AFB"/>
    <w:rsid w:val="00311184"/>
    <w:rsid w:val="00312675"/>
    <w:rsid w:val="00314013"/>
    <w:rsid w:val="00314945"/>
    <w:rsid w:val="00315389"/>
    <w:rsid w:val="00315746"/>
    <w:rsid w:val="00315E96"/>
    <w:rsid w:val="00317FC8"/>
    <w:rsid w:val="003223D7"/>
    <w:rsid w:val="00323D9F"/>
    <w:rsid w:val="00324FDB"/>
    <w:rsid w:val="00325F48"/>
    <w:rsid w:val="0033194F"/>
    <w:rsid w:val="00332304"/>
    <w:rsid w:val="00332406"/>
    <w:rsid w:val="00332D8D"/>
    <w:rsid w:val="00336B56"/>
    <w:rsid w:val="00341B25"/>
    <w:rsid w:val="00341EC0"/>
    <w:rsid w:val="0034240C"/>
    <w:rsid w:val="00344496"/>
    <w:rsid w:val="00345968"/>
    <w:rsid w:val="00347667"/>
    <w:rsid w:val="003507E2"/>
    <w:rsid w:val="003522B2"/>
    <w:rsid w:val="0035455E"/>
    <w:rsid w:val="00354A6F"/>
    <w:rsid w:val="00354B48"/>
    <w:rsid w:val="00355789"/>
    <w:rsid w:val="003609B6"/>
    <w:rsid w:val="00361119"/>
    <w:rsid w:val="0036538D"/>
    <w:rsid w:val="00365D12"/>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5DAC"/>
    <w:rsid w:val="003A6591"/>
    <w:rsid w:val="003A6E9A"/>
    <w:rsid w:val="003B08C8"/>
    <w:rsid w:val="003B2567"/>
    <w:rsid w:val="003B381A"/>
    <w:rsid w:val="003B4976"/>
    <w:rsid w:val="003B4B3F"/>
    <w:rsid w:val="003B6258"/>
    <w:rsid w:val="003B7A99"/>
    <w:rsid w:val="003C0343"/>
    <w:rsid w:val="003C1C32"/>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FCB"/>
    <w:rsid w:val="003E0F84"/>
    <w:rsid w:val="003E1FF3"/>
    <w:rsid w:val="003E3ACA"/>
    <w:rsid w:val="003E50EA"/>
    <w:rsid w:val="003E68C7"/>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52F8"/>
    <w:rsid w:val="00406E90"/>
    <w:rsid w:val="00410240"/>
    <w:rsid w:val="00412253"/>
    <w:rsid w:val="004142ED"/>
    <w:rsid w:val="0041634D"/>
    <w:rsid w:val="00417EF7"/>
    <w:rsid w:val="00422A7D"/>
    <w:rsid w:val="00422BFC"/>
    <w:rsid w:val="00424642"/>
    <w:rsid w:val="00425ABB"/>
    <w:rsid w:val="00425BB6"/>
    <w:rsid w:val="004261A0"/>
    <w:rsid w:val="004265AA"/>
    <w:rsid w:val="00426BC3"/>
    <w:rsid w:val="00426CE1"/>
    <w:rsid w:val="00427D52"/>
    <w:rsid w:val="00430412"/>
    <w:rsid w:val="00430497"/>
    <w:rsid w:val="0043173B"/>
    <w:rsid w:val="00432A91"/>
    <w:rsid w:val="004332A4"/>
    <w:rsid w:val="0043453F"/>
    <w:rsid w:val="00434A74"/>
    <w:rsid w:val="00437929"/>
    <w:rsid w:val="00437A4A"/>
    <w:rsid w:val="00440541"/>
    <w:rsid w:val="0044162D"/>
    <w:rsid w:val="0044277A"/>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ABE"/>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A6D0D"/>
    <w:rsid w:val="004B0335"/>
    <w:rsid w:val="004B0F1C"/>
    <w:rsid w:val="004B1E61"/>
    <w:rsid w:val="004B21AB"/>
    <w:rsid w:val="004B59E0"/>
    <w:rsid w:val="004B667B"/>
    <w:rsid w:val="004B71C7"/>
    <w:rsid w:val="004C03AA"/>
    <w:rsid w:val="004C0B9A"/>
    <w:rsid w:val="004C14E7"/>
    <w:rsid w:val="004C1D89"/>
    <w:rsid w:val="004C2A94"/>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32B5"/>
    <w:rsid w:val="00554A05"/>
    <w:rsid w:val="00555849"/>
    <w:rsid w:val="005559A8"/>
    <w:rsid w:val="00557048"/>
    <w:rsid w:val="00557FB5"/>
    <w:rsid w:val="00561AED"/>
    <w:rsid w:val="005648A8"/>
    <w:rsid w:val="00564DE3"/>
    <w:rsid w:val="00564E44"/>
    <w:rsid w:val="00566C6A"/>
    <w:rsid w:val="00566CE5"/>
    <w:rsid w:val="00566D36"/>
    <w:rsid w:val="00573569"/>
    <w:rsid w:val="00573871"/>
    <w:rsid w:val="0057389E"/>
    <w:rsid w:val="005765C0"/>
    <w:rsid w:val="005778DE"/>
    <w:rsid w:val="00580B3F"/>
    <w:rsid w:val="005825F2"/>
    <w:rsid w:val="005860AF"/>
    <w:rsid w:val="00587F1D"/>
    <w:rsid w:val="00590348"/>
    <w:rsid w:val="00591161"/>
    <w:rsid w:val="00592318"/>
    <w:rsid w:val="00593133"/>
    <w:rsid w:val="0059575D"/>
    <w:rsid w:val="00596825"/>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FB1"/>
    <w:rsid w:val="005F5ACF"/>
    <w:rsid w:val="005F60DC"/>
    <w:rsid w:val="006000DD"/>
    <w:rsid w:val="00600F63"/>
    <w:rsid w:val="006012E1"/>
    <w:rsid w:val="00602253"/>
    <w:rsid w:val="006023E1"/>
    <w:rsid w:val="00605531"/>
    <w:rsid w:val="00606240"/>
    <w:rsid w:val="0060674A"/>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6F74"/>
    <w:rsid w:val="00667FEA"/>
    <w:rsid w:val="006710D2"/>
    <w:rsid w:val="00671A8B"/>
    <w:rsid w:val="00671F53"/>
    <w:rsid w:val="006725A0"/>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A2CA2"/>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700247"/>
    <w:rsid w:val="00701051"/>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209DD"/>
    <w:rsid w:val="00722E49"/>
    <w:rsid w:val="00723A08"/>
    <w:rsid w:val="00723B5C"/>
    <w:rsid w:val="00724391"/>
    <w:rsid w:val="00724C18"/>
    <w:rsid w:val="00726630"/>
    <w:rsid w:val="00727F73"/>
    <w:rsid w:val="00730705"/>
    <w:rsid w:val="00730944"/>
    <w:rsid w:val="0073248E"/>
    <w:rsid w:val="00733EE9"/>
    <w:rsid w:val="00735B8E"/>
    <w:rsid w:val="0073673C"/>
    <w:rsid w:val="00736935"/>
    <w:rsid w:val="00743DE7"/>
    <w:rsid w:val="0074509E"/>
    <w:rsid w:val="00745B9F"/>
    <w:rsid w:val="0074726F"/>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3514"/>
    <w:rsid w:val="007E4AAA"/>
    <w:rsid w:val="007E4BD2"/>
    <w:rsid w:val="007E4C29"/>
    <w:rsid w:val="007E5E44"/>
    <w:rsid w:val="007F0DDA"/>
    <w:rsid w:val="007F1939"/>
    <w:rsid w:val="007F365C"/>
    <w:rsid w:val="007F5066"/>
    <w:rsid w:val="007F621C"/>
    <w:rsid w:val="007F7155"/>
    <w:rsid w:val="00800C28"/>
    <w:rsid w:val="0080245E"/>
    <w:rsid w:val="00803480"/>
    <w:rsid w:val="0080359C"/>
    <w:rsid w:val="008037AE"/>
    <w:rsid w:val="008043F4"/>
    <w:rsid w:val="00804BB4"/>
    <w:rsid w:val="00805D9F"/>
    <w:rsid w:val="00807A4D"/>
    <w:rsid w:val="00807F30"/>
    <w:rsid w:val="008103DC"/>
    <w:rsid w:val="0081119F"/>
    <w:rsid w:val="0081134D"/>
    <w:rsid w:val="00811EDA"/>
    <w:rsid w:val="00812403"/>
    <w:rsid w:val="00812FD7"/>
    <w:rsid w:val="00820623"/>
    <w:rsid w:val="00821747"/>
    <w:rsid w:val="00822471"/>
    <w:rsid w:val="008229A3"/>
    <w:rsid w:val="00822DFB"/>
    <w:rsid w:val="00822F64"/>
    <w:rsid w:val="008253A6"/>
    <w:rsid w:val="00825A6B"/>
    <w:rsid w:val="00825C50"/>
    <w:rsid w:val="00826577"/>
    <w:rsid w:val="00827439"/>
    <w:rsid w:val="00827C79"/>
    <w:rsid w:val="0083003F"/>
    <w:rsid w:val="00831077"/>
    <w:rsid w:val="00831A4A"/>
    <w:rsid w:val="00832134"/>
    <w:rsid w:val="0083219E"/>
    <w:rsid w:val="0083497C"/>
    <w:rsid w:val="008352A6"/>
    <w:rsid w:val="00835B5B"/>
    <w:rsid w:val="008367AE"/>
    <w:rsid w:val="00836E50"/>
    <w:rsid w:val="00840477"/>
    <w:rsid w:val="0084121D"/>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E7A"/>
    <w:rsid w:val="00903E11"/>
    <w:rsid w:val="00903EBE"/>
    <w:rsid w:val="009041DE"/>
    <w:rsid w:val="00905D59"/>
    <w:rsid w:val="009062CA"/>
    <w:rsid w:val="00907631"/>
    <w:rsid w:val="00907776"/>
    <w:rsid w:val="00913401"/>
    <w:rsid w:val="00913567"/>
    <w:rsid w:val="009137B6"/>
    <w:rsid w:val="00915EBA"/>
    <w:rsid w:val="00917093"/>
    <w:rsid w:val="0092030E"/>
    <w:rsid w:val="009217B1"/>
    <w:rsid w:val="00921A42"/>
    <w:rsid w:val="009223BB"/>
    <w:rsid w:val="00922491"/>
    <w:rsid w:val="00923BCF"/>
    <w:rsid w:val="00925AEC"/>
    <w:rsid w:val="0092751A"/>
    <w:rsid w:val="009305C4"/>
    <w:rsid w:val="00931FAF"/>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91276"/>
    <w:rsid w:val="009923E7"/>
    <w:rsid w:val="00992697"/>
    <w:rsid w:val="00992D4E"/>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D0219"/>
    <w:rsid w:val="009D0D55"/>
    <w:rsid w:val="009D2295"/>
    <w:rsid w:val="009D2511"/>
    <w:rsid w:val="009D3E7C"/>
    <w:rsid w:val="009D55CA"/>
    <w:rsid w:val="009D5EF0"/>
    <w:rsid w:val="009D6401"/>
    <w:rsid w:val="009E0711"/>
    <w:rsid w:val="009E1917"/>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4269"/>
    <w:rsid w:val="00A243E4"/>
    <w:rsid w:val="00A25ED4"/>
    <w:rsid w:val="00A26C5C"/>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4A7"/>
    <w:rsid w:val="00A83644"/>
    <w:rsid w:val="00A83C07"/>
    <w:rsid w:val="00A83F40"/>
    <w:rsid w:val="00A84945"/>
    <w:rsid w:val="00A85543"/>
    <w:rsid w:val="00A8728B"/>
    <w:rsid w:val="00A91682"/>
    <w:rsid w:val="00A92E4A"/>
    <w:rsid w:val="00A958CA"/>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B1D"/>
    <w:rsid w:val="00AB6B5E"/>
    <w:rsid w:val="00AC047F"/>
    <w:rsid w:val="00AC3934"/>
    <w:rsid w:val="00AC50C8"/>
    <w:rsid w:val="00AC5581"/>
    <w:rsid w:val="00AC56AD"/>
    <w:rsid w:val="00AC61BE"/>
    <w:rsid w:val="00AD0CB4"/>
    <w:rsid w:val="00AD1FF2"/>
    <w:rsid w:val="00AD2A21"/>
    <w:rsid w:val="00AD3B43"/>
    <w:rsid w:val="00AD4FF2"/>
    <w:rsid w:val="00AD506C"/>
    <w:rsid w:val="00AD6BE5"/>
    <w:rsid w:val="00AD783E"/>
    <w:rsid w:val="00AE1393"/>
    <w:rsid w:val="00AE3BC6"/>
    <w:rsid w:val="00AE4D4F"/>
    <w:rsid w:val="00AE627C"/>
    <w:rsid w:val="00AE62B0"/>
    <w:rsid w:val="00AE68A2"/>
    <w:rsid w:val="00AF0029"/>
    <w:rsid w:val="00AF0354"/>
    <w:rsid w:val="00AF1236"/>
    <w:rsid w:val="00AF3C29"/>
    <w:rsid w:val="00AF4401"/>
    <w:rsid w:val="00AF4463"/>
    <w:rsid w:val="00AF53CB"/>
    <w:rsid w:val="00AF65C5"/>
    <w:rsid w:val="00B03CE2"/>
    <w:rsid w:val="00B06544"/>
    <w:rsid w:val="00B105F2"/>
    <w:rsid w:val="00B10991"/>
    <w:rsid w:val="00B12128"/>
    <w:rsid w:val="00B12945"/>
    <w:rsid w:val="00B12C1E"/>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401C"/>
    <w:rsid w:val="00B44802"/>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7107"/>
    <w:rsid w:val="00B60D27"/>
    <w:rsid w:val="00B619E4"/>
    <w:rsid w:val="00B61D0B"/>
    <w:rsid w:val="00B6439A"/>
    <w:rsid w:val="00B6443B"/>
    <w:rsid w:val="00B6517B"/>
    <w:rsid w:val="00B65E71"/>
    <w:rsid w:val="00B66C26"/>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7897"/>
    <w:rsid w:val="00BD0F35"/>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373A"/>
    <w:rsid w:val="00BF62D2"/>
    <w:rsid w:val="00BF6D9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30A54"/>
    <w:rsid w:val="00C316F7"/>
    <w:rsid w:val="00C31DF0"/>
    <w:rsid w:val="00C33916"/>
    <w:rsid w:val="00C33BCF"/>
    <w:rsid w:val="00C353A0"/>
    <w:rsid w:val="00C368D7"/>
    <w:rsid w:val="00C36FD1"/>
    <w:rsid w:val="00C371A5"/>
    <w:rsid w:val="00C400B0"/>
    <w:rsid w:val="00C413FC"/>
    <w:rsid w:val="00C43D33"/>
    <w:rsid w:val="00C44407"/>
    <w:rsid w:val="00C456E8"/>
    <w:rsid w:val="00C46630"/>
    <w:rsid w:val="00C47A2F"/>
    <w:rsid w:val="00C50D18"/>
    <w:rsid w:val="00C51179"/>
    <w:rsid w:val="00C5282C"/>
    <w:rsid w:val="00C52FBE"/>
    <w:rsid w:val="00C5355E"/>
    <w:rsid w:val="00C535E2"/>
    <w:rsid w:val="00C53FC1"/>
    <w:rsid w:val="00C56438"/>
    <w:rsid w:val="00C570B3"/>
    <w:rsid w:val="00C6009F"/>
    <w:rsid w:val="00C60417"/>
    <w:rsid w:val="00C6046F"/>
    <w:rsid w:val="00C638C2"/>
    <w:rsid w:val="00C651D4"/>
    <w:rsid w:val="00C6669E"/>
    <w:rsid w:val="00C672B0"/>
    <w:rsid w:val="00C729C7"/>
    <w:rsid w:val="00C777AD"/>
    <w:rsid w:val="00C80C53"/>
    <w:rsid w:val="00C81195"/>
    <w:rsid w:val="00C85387"/>
    <w:rsid w:val="00C85E52"/>
    <w:rsid w:val="00C86471"/>
    <w:rsid w:val="00C8677B"/>
    <w:rsid w:val="00C86F96"/>
    <w:rsid w:val="00C909C6"/>
    <w:rsid w:val="00C923B7"/>
    <w:rsid w:val="00C94D4C"/>
    <w:rsid w:val="00CA012C"/>
    <w:rsid w:val="00CA0AA6"/>
    <w:rsid w:val="00CA2897"/>
    <w:rsid w:val="00CA44F3"/>
    <w:rsid w:val="00CA582C"/>
    <w:rsid w:val="00CA6077"/>
    <w:rsid w:val="00CA715B"/>
    <w:rsid w:val="00CA7988"/>
    <w:rsid w:val="00CA7BA2"/>
    <w:rsid w:val="00CB077C"/>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3881"/>
    <w:rsid w:val="00D34282"/>
    <w:rsid w:val="00D366B1"/>
    <w:rsid w:val="00D37AC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4050"/>
    <w:rsid w:val="00D56AC0"/>
    <w:rsid w:val="00D6081B"/>
    <w:rsid w:val="00D6240A"/>
    <w:rsid w:val="00D63093"/>
    <w:rsid w:val="00D63599"/>
    <w:rsid w:val="00D63EBD"/>
    <w:rsid w:val="00D67101"/>
    <w:rsid w:val="00D71B45"/>
    <w:rsid w:val="00D71F8A"/>
    <w:rsid w:val="00D75603"/>
    <w:rsid w:val="00D75FEE"/>
    <w:rsid w:val="00D76933"/>
    <w:rsid w:val="00D76D88"/>
    <w:rsid w:val="00D77CC9"/>
    <w:rsid w:val="00D81020"/>
    <w:rsid w:val="00D83D4B"/>
    <w:rsid w:val="00D871C6"/>
    <w:rsid w:val="00D91010"/>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D92"/>
    <w:rsid w:val="00DD3026"/>
    <w:rsid w:val="00DD33DC"/>
    <w:rsid w:val="00DD3BB0"/>
    <w:rsid w:val="00DD61F5"/>
    <w:rsid w:val="00DE64A6"/>
    <w:rsid w:val="00DE66EB"/>
    <w:rsid w:val="00DE7035"/>
    <w:rsid w:val="00DF12E3"/>
    <w:rsid w:val="00DF3F1D"/>
    <w:rsid w:val="00DF595C"/>
    <w:rsid w:val="00DF7EA7"/>
    <w:rsid w:val="00E01EF0"/>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7430"/>
    <w:rsid w:val="00E50FB7"/>
    <w:rsid w:val="00E5199F"/>
    <w:rsid w:val="00E526DF"/>
    <w:rsid w:val="00E53C15"/>
    <w:rsid w:val="00E54EE6"/>
    <w:rsid w:val="00E56715"/>
    <w:rsid w:val="00E56C2C"/>
    <w:rsid w:val="00E57F8E"/>
    <w:rsid w:val="00E611C8"/>
    <w:rsid w:val="00E6344A"/>
    <w:rsid w:val="00E64E69"/>
    <w:rsid w:val="00E64FB7"/>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57F9"/>
    <w:rsid w:val="00EC634F"/>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40E2"/>
    <w:rsid w:val="00EF61C1"/>
    <w:rsid w:val="00EF6E68"/>
    <w:rsid w:val="00EF76DB"/>
    <w:rsid w:val="00F005FD"/>
    <w:rsid w:val="00F02C04"/>
    <w:rsid w:val="00F03AF1"/>
    <w:rsid w:val="00F04BCD"/>
    <w:rsid w:val="00F05A8C"/>
    <w:rsid w:val="00F06211"/>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2462"/>
    <w:rsid w:val="00F32FF7"/>
    <w:rsid w:val="00F33EDE"/>
    <w:rsid w:val="00F3568B"/>
    <w:rsid w:val="00F377CD"/>
    <w:rsid w:val="00F40C3B"/>
    <w:rsid w:val="00F40CE0"/>
    <w:rsid w:val="00F42DBC"/>
    <w:rsid w:val="00F4308D"/>
    <w:rsid w:val="00F44012"/>
    <w:rsid w:val="00F44947"/>
    <w:rsid w:val="00F458EF"/>
    <w:rsid w:val="00F47121"/>
    <w:rsid w:val="00F4775D"/>
    <w:rsid w:val="00F504DD"/>
    <w:rsid w:val="00F50874"/>
    <w:rsid w:val="00F516C6"/>
    <w:rsid w:val="00F52221"/>
    <w:rsid w:val="00F52B28"/>
    <w:rsid w:val="00F536BB"/>
    <w:rsid w:val="00F53755"/>
    <w:rsid w:val="00F53E59"/>
    <w:rsid w:val="00F5475B"/>
    <w:rsid w:val="00F574D0"/>
    <w:rsid w:val="00F6031F"/>
    <w:rsid w:val="00F61664"/>
    <w:rsid w:val="00F61B99"/>
    <w:rsid w:val="00F64C45"/>
    <w:rsid w:val="00F6502B"/>
    <w:rsid w:val="00F6612A"/>
    <w:rsid w:val="00F66724"/>
    <w:rsid w:val="00F67F04"/>
    <w:rsid w:val="00F70207"/>
    <w:rsid w:val="00F702CB"/>
    <w:rsid w:val="00F71AC2"/>
    <w:rsid w:val="00F739D4"/>
    <w:rsid w:val="00F77D43"/>
    <w:rsid w:val="00F80953"/>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7206"/>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78C"/>
    <w:rsid w:val="00FC5A37"/>
    <w:rsid w:val="00FD13EA"/>
    <w:rsid w:val="00FD5EC4"/>
    <w:rsid w:val="00FD7858"/>
    <w:rsid w:val="00FD7A8D"/>
    <w:rsid w:val="00FE1330"/>
    <w:rsid w:val="00FE1CE5"/>
    <w:rsid w:val="00FE2832"/>
    <w:rsid w:val="00FE2D38"/>
    <w:rsid w:val="00FE3929"/>
    <w:rsid w:val="00FF097B"/>
    <w:rsid w:val="00FF0B6E"/>
    <w:rsid w:val="00FF1C1B"/>
    <w:rsid w:val="00FF2067"/>
    <w:rsid w:val="00FF3BC4"/>
    <w:rsid w:val="00FF4B66"/>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2d4491,#283583"/>
    </o:shapedefaults>
    <o:shapelayout v:ext="edit">
      <o:idmap v:ext="edit" data="1"/>
    </o:shapelayout>
  </w:shapeDefaults>
  <w:decimalSymbol w:val="."/>
  <w:listSeparator w:val=","/>
  <w15:docId w15:val="{DA62BA03-2C1E-4367-8049-1BE16217D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769"/>
    <w:rPr>
      <w:rFonts w:ascii="Arial" w:hAnsi="Arial"/>
      <w:szCs w:val="24"/>
      <w:lang w:eastAsia="de-DE"/>
    </w:rPr>
  </w:style>
  <w:style w:type="paragraph" w:styleId="Heading1">
    <w:name w:val="heading 1"/>
    <w:basedOn w:val="Normal"/>
    <w:next w:val="Normal"/>
    <w:link w:val="Heading1Char"/>
    <w:qFormat/>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E9344E"/>
    <w:pPr>
      <w:keepNext/>
      <w:keepLines/>
      <w:numPr>
        <w:numId w:val="13"/>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rsid w:val="005B64CB"/>
    <w:pPr>
      <w:tabs>
        <w:tab w:val="center" w:pos="4536"/>
        <w:tab w:val="right" w:pos="9072"/>
      </w:tabs>
    </w:pPr>
  </w:style>
  <w:style w:type="table" w:styleId="TableGrid">
    <w:name w:val="Table Grid"/>
    <w:basedOn w:val="TableNormal"/>
    <w:uiPriority w:val="59"/>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uiPriority w:val="99"/>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qForma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rsid w:val="002D6E1A"/>
    <w:rPr>
      <w:rFonts w:ascii="Georgia" w:hAnsi="Georgia"/>
      <w:sz w:val="22"/>
      <w:szCs w:val="24"/>
      <w:lang w:eastAsia="de-DE"/>
    </w:rPr>
  </w:style>
  <w:style w:type="character" w:customStyle="1" w:styleId="FooterChar">
    <w:name w:val="Footer Char"/>
    <w:link w:val="Footer"/>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
    <w:link w:val="ListParagraph"/>
    <w:uiPriority w:val="34"/>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D34282"/>
    <w:pPr>
      <w:keepLines/>
      <w:numPr>
        <w:numId w:val="45"/>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rsid w:val="00D34282"/>
    <w:pPr>
      <w:numPr>
        <w:ilvl w:val="2"/>
        <w:numId w:val="45"/>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45"/>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45"/>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45"/>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45"/>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45"/>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45"/>
      </w:numPr>
      <w:spacing w:before="250" w:line="276" w:lineRule="auto"/>
      <w:jc w:val="both"/>
    </w:pPr>
    <w:rPr>
      <w:rFonts w:asciiTheme="minorHAnsi" w:eastAsiaTheme="minorEastAsia" w:hAnsiTheme="minorHAnsi" w:cstheme="minorBidi"/>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sma.europa.eu"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www.esma.europa.eu"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http://www.bankofengland.co.uk/markets/Pages/forex/fxjsc/default.aspx"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is.org/publ/rpfx13fx.pdf"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cls-group.com/MarketInsight/Pages/MarketReports.aspx"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4EC42-2724-45F9-9227-ADA72A00D6F8}">
  <ds:schemaRefs>
    <ds:schemaRef ds:uri="http://schemas.openxmlformats.org/officeDocument/2006/bibliography"/>
  </ds:schemaRefs>
</ds:datastoreItem>
</file>

<file path=customXml/itemProps2.xml><?xml version="1.0" encoding="utf-8"?>
<ds:datastoreItem xmlns:ds="http://schemas.openxmlformats.org/officeDocument/2006/customXml" ds:itemID="{0B6AA735-7C3C-47B1-A9B0-CF4DA78D5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11327</Words>
  <Characters>59755</Characters>
  <Application>Microsoft Office Word</Application>
  <DocSecurity>8</DocSecurity>
  <Lines>497</Lines>
  <Paragraphs>141</Paragraphs>
  <ScaleCrop>false</ScaleCrop>
  <HeadingPairs>
    <vt:vector size="10"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MiFID II/MiFIR Consultation Paper</vt:lpstr>
      <vt:lpstr>20110000</vt:lpstr>
      <vt:lpstr>20110000</vt:lpstr>
      <vt:lpstr>20110000</vt:lpstr>
      <vt:lpstr>20110000</vt:lpstr>
    </vt:vector>
  </TitlesOfParts>
  <Company>ESMA</Company>
  <LinksUpToDate>false</LinksUpToDate>
  <CharactersWithSpaces>70941</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Alex McDonald</cp:lastModifiedBy>
  <cp:revision>2</cp:revision>
  <cp:lastPrinted>2015-02-18T11:01:00Z</cp:lastPrinted>
  <dcterms:created xsi:type="dcterms:W3CDTF">2015-03-20T19:22:00Z</dcterms:created>
  <dcterms:modified xsi:type="dcterms:W3CDTF">2015-03-20T19:22:00Z</dcterms:modified>
</cp:coreProperties>
</file>