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trPr>
          <w:trHeight w:val="284"/>
        </w:trPr>
        <w:tc>
          <w:tcPr>
            <w:tcW w:w="9412" w:type="dxa"/>
          </w:tcPr>
          <w:p>
            <w:pPr>
              <w:pStyle w:val="00bDBInfo"/>
              <w:rPr>
                <w:rFonts w:cs="Arial"/>
              </w:rPr>
            </w:pPr>
            <w:bookmarkStart w:id="0" w:name="_GoBack"/>
            <w:bookmarkEnd w:id="0"/>
            <w:r>
              <w:rPr>
                <w:rFonts w:cs="Arial"/>
              </w:rPr>
              <w:t>18 February 2015</w:t>
            </w:r>
          </w:p>
        </w:tc>
      </w:tr>
    </w:tbl>
    <w:p>
      <w:pPr>
        <w:rPr>
          <w:rFonts w:cs="Arial"/>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trPr>
          <w:trHeight w:hRule="exact" w:val="1209"/>
        </w:trPr>
        <w:tc>
          <w:tcPr>
            <w:tcW w:w="9397" w:type="dxa"/>
            <w:vAlign w:val="bottom"/>
          </w:tcPr>
          <w:p>
            <w:pPr>
              <w:pStyle w:val="01aDBTitle"/>
              <w:rPr>
                <w:rFonts w:cs="Arial"/>
              </w:rPr>
            </w:pPr>
            <w:r>
              <w:rPr>
                <w:rFonts w:cs="Arial"/>
              </w:rPr>
              <w:t xml:space="preserve">Reply form for the </w:t>
            </w:r>
          </w:p>
          <w:p>
            <w:pPr>
              <w:pStyle w:val="01aDBTitle"/>
              <w:rPr>
                <w:rFonts w:cs="Arial"/>
              </w:rPr>
            </w:pPr>
            <w:r>
              <w:rPr>
                <w:rFonts w:cs="Arial"/>
              </w:rPr>
              <w:t xml:space="preserve">Addendum Consultation Paper on MiFID II/MiFIR </w:t>
            </w:r>
          </w:p>
          <w:p>
            <w:pPr>
              <w:pStyle w:val="01aDBTitle"/>
              <w:rPr>
                <w:rFonts w:cs="Arial"/>
              </w:rPr>
            </w:pPr>
          </w:p>
        </w:tc>
      </w:tr>
      <w:tr>
        <w:trPr>
          <w:trHeight w:hRule="exact" w:val="605"/>
        </w:trPr>
        <w:tc>
          <w:tcPr>
            <w:tcW w:w="9397" w:type="dxa"/>
            <w:tcMar>
              <w:top w:w="142" w:type="dxa"/>
            </w:tcMar>
          </w:tcPr>
          <w:p>
            <w:pPr>
              <w:pStyle w:val="01bDBSubtitle"/>
              <w:rPr>
                <w:rFonts w:ascii="Arial" w:hAnsi="Arial" w:cs="Arial"/>
              </w:rPr>
            </w:pPr>
            <w:r>
              <w:rPr>
                <w:rFonts w:ascii="Arial" w:hAnsi="Arial" w:cs="Arial"/>
              </w:rPr>
              <w:t xml:space="preserve"> </w:t>
            </w:r>
          </w:p>
        </w:tc>
      </w:tr>
    </w:tbl>
    <w:p>
      <w:pPr>
        <w:pStyle w:val="05HeadlinenoIndex"/>
        <w:rPr>
          <w:rFonts w:cs="Arial"/>
        </w:rPr>
        <w:sectPr>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trPr>
          <w:trHeight w:hRule="exact" w:val="964"/>
        </w:trPr>
        <w:tc>
          <w:tcPr>
            <w:tcW w:w="2325" w:type="dxa"/>
          </w:tcPr>
          <w:p>
            <w:pPr>
              <w:pStyle w:val="02Date"/>
              <w:rPr>
                <w:rFonts w:cs="Arial"/>
              </w:rPr>
            </w:pPr>
            <w:r>
              <w:rPr>
                <w:rFonts w:cs="Arial"/>
              </w:rPr>
              <w:lastRenderedPageBreak/>
              <w:t>Date: 18 February 2015</w:t>
            </w:r>
          </w:p>
        </w:tc>
      </w:tr>
    </w:tbl>
    <w:p>
      <w:pPr>
        <w:pStyle w:val="05HeadlinenoIndex"/>
        <w:rPr>
          <w:rFonts w:cs="Arial"/>
        </w:rPr>
      </w:pPr>
      <w:bookmarkStart w:id="1" w:name="_Toc280628648"/>
      <w:r>
        <w:rPr>
          <w:rFonts w:cs="Arial"/>
        </w:rPr>
        <w:t xml:space="preserve">Responding to this paper </w:t>
      </w:r>
    </w:p>
    <w:p>
      <w:pPr>
        <w:pStyle w:val="04BodyText"/>
        <w:spacing w:before="120" w:after="120"/>
        <w:rPr>
          <w:rFonts w:cs="Arial"/>
        </w:rPr>
      </w:pPr>
      <w:r>
        <w:rPr>
          <w:rFonts w:cs="Arial"/>
        </w:rPr>
        <w:t>The European Securities and Markets Authority (ESMA) invites responses to the specific questions listed in the ESMA Addendum Consultation Paper on MiFID II/MiFIR, published on the ESMA website.</w:t>
      </w:r>
    </w:p>
    <w:p>
      <w:pPr>
        <w:autoSpaceDE w:val="0"/>
        <w:autoSpaceDN w:val="0"/>
        <w:adjustRightInd w:val="0"/>
        <w:spacing w:before="120" w:after="120" w:line="276" w:lineRule="auto"/>
        <w:jc w:val="both"/>
        <w:rPr>
          <w:rStyle w:val="Strong4"/>
          <w:rFonts w:cs="Arial"/>
          <w:i/>
        </w:rPr>
      </w:pPr>
    </w:p>
    <w:p>
      <w:pPr>
        <w:autoSpaceDE w:val="0"/>
        <w:autoSpaceDN w:val="0"/>
        <w:adjustRightInd w:val="0"/>
        <w:spacing w:before="120" w:after="120" w:line="276" w:lineRule="auto"/>
        <w:jc w:val="both"/>
        <w:rPr>
          <w:rStyle w:val="Strong4"/>
          <w:rFonts w:cs="Arial"/>
          <w:i/>
        </w:rPr>
      </w:pPr>
      <w:r>
        <w:rPr>
          <w:rStyle w:val="Strong4"/>
          <w:rFonts w:cs="Arial"/>
          <w:i/>
        </w:rPr>
        <w:t>Instructions</w:t>
      </w:r>
    </w:p>
    <w:p>
      <w:pPr>
        <w:pStyle w:val="04BodyText"/>
        <w:spacing w:before="120" w:after="120"/>
        <w:rPr>
          <w:rFonts w:cs="Arial"/>
        </w:rPr>
      </w:pPr>
      <w:r>
        <w:rPr>
          <w:rFonts w:cs="Arial"/>
        </w:rPr>
        <w:t>Please note that, in order to facilitate the analysis of the large number of responses expected, you are requested to use this file to send your response to ESMA so as to allow us to process it properly. Ther</w:t>
      </w:r>
      <w:r>
        <w:rPr>
          <w:rFonts w:cs="Arial"/>
        </w:rPr>
        <w:t>e</w:t>
      </w:r>
      <w:r>
        <w:rPr>
          <w:rFonts w:cs="Arial"/>
        </w:rPr>
        <w:t>fore, ESMA will only be able to consider responses which follow the instructions described below:</w:t>
      </w:r>
    </w:p>
    <w:p>
      <w:pPr>
        <w:pStyle w:val="04bList"/>
        <w:numPr>
          <w:ilvl w:val="0"/>
          <w:numId w:val="32"/>
        </w:numPr>
        <w:spacing w:before="120" w:after="120"/>
        <w:rPr>
          <w:rFonts w:cs="Arial"/>
        </w:rPr>
      </w:pPr>
      <w:r>
        <w:rPr>
          <w:rFonts w:cs="Arial"/>
        </w:rPr>
        <w:t>use this form and send your responses in Word format (pdf documents will not be considered e</w:t>
      </w:r>
      <w:r>
        <w:rPr>
          <w:rFonts w:cs="Arial"/>
        </w:rPr>
        <w:t>x</w:t>
      </w:r>
      <w:r>
        <w:rPr>
          <w:rFonts w:cs="Arial"/>
        </w:rPr>
        <w:t>cept for annexes);</w:t>
      </w:r>
    </w:p>
    <w:p>
      <w:pPr>
        <w:pStyle w:val="04bList"/>
        <w:numPr>
          <w:ilvl w:val="0"/>
          <w:numId w:val="32"/>
        </w:numPr>
        <w:spacing w:before="120" w:after="120"/>
        <w:rPr>
          <w:rFonts w:cs="Arial"/>
        </w:rPr>
      </w:pPr>
      <w:r>
        <w:rPr>
          <w:rFonts w:cs="Arial"/>
        </w:rPr>
        <w:t>do not remove the tags of type &lt;ESMA_ QUESTION_MIFID_ADD_1&gt; - i.e. the response to one question has to be framed by the 2 tags corresponding to the question; and</w:t>
      </w:r>
    </w:p>
    <w:p>
      <w:pPr>
        <w:pStyle w:val="04bList"/>
        <w:numPr>
          <w:ilvl w:val="0"/>
          <w:numId w:val="32"/>
        </w:numPr>
        <w:spacing w:before="120" w:after="120"/>
        <w:rPr>
          <w:rFonts w:cs="Arial"/>
        </w:rPr>
      </w:pPr>
      <w:r>
        <w:rPr>
          <w:rFonts w:cs="Arial"/>
        </w:rPr>
        <w:t>if you do not have a response to a question, do not delete it and leave the text “TYPE YOUR TEXT HERE” between the tags.</w:t>
      </w:r>
    </w:p>
    <w:p>
      <w:pPr>
        <w:pStyle w:val="04bList"/>
        <w:numPr>
          <w:ilvl w:val="0"/>
          <w:numId w:val="0"/>
        </w:numPr>
        <w:spacing w:before="120" w:after="120"/>
        <w:rPr>
          <w:rFonts w:cs="Arial"/>
        </w:rPr>
      </w:pPr>
      <w:r>
        <w:rPr>
          <w:rFonts w:cs="Arial"/>
        </w:rPr>
        <w:t>Responses are most helpful:</w:t>
      </w:r>
    </w:p>
    <w:p>
      <w:pPr>
        <w:pStyle w:val="04bList"/>
        <w:numPr>
          <w:ilvl w:val="0"/>
          <w:numId w:val="33"/>
        </w:numPr>
        <w:spacing w:before="120" w:after="120"/>
        <w:rPr>
          <w:rFonts w:cs="Arial"/>
        </w:rPr>
      </w:pPr>
      <w:r>
        <w:rPr>
          <w:rFonts w:cs="Arial"/>
        </w:rPr>
        <w:t>if they respond to the question stated;</w:t>
      </w:r>
    </w:p>
    <w:p>
      <w:pPr>
        <w:pStyle w:val="04bList"/>
        <w:numPr>
          <w:ilvl w:val="0"/>
          <w:numId w:val="33"/>
        </w:numPr>
        <w:spacing w:before="120" w:after="120"/>
        <w:rPr>
          <w:rFonts w:cs="Arial"/>
        </w:rPr>
      </w:pPr>
      <w:r>
        <w:rPr>
          <w:rFonts w:cs="Arial"/>
        </w:rPr>
        <w:t>contain a clear rationale, including on any related costs and benefits; and</w:t>
      </w:r>
    </w:p>
    <w:p>
      <w:pPr>
        <w:pStyle w:val="04bList"/>
        <w:numPr>
          <w:ilvl w:val="0"/>
          <w:numId w:val="33"/>
        </w:numPr>
        <w:spacing w:before="120" w:after="120"/>
        <w:rPr>
          <w:rFonts w:cs="Arial"/>
        </w:rPr>
      </w:pPr>
      <w:r>
        <w:rPr>
          <w:rFonts w:cs="Arial"/>
        </w:rPr>
        <w:t>describe any alternatives that ESMA should consider</w:t>
      </w:r>
    </w:p>
    <w:p>
      <w:pPr>
        <w:pStyle w:val="04BodyText"/>
        <w:spacing w:before="120" w:after="120"/>
        <w:jc w:val="left"/>
        <w:rPr>
          <w:rFonts w:cs="Arial"/>
          <w:b/>
        </w:rPr>
      </w:pPr>
    </w:p>
    <w:p>
      <w:pPr>
        <w:pStyle w:val="04BodyText"/>
        <w:spacing w:before="120" w:after="120"/>
        <w:jc w:val="left"/>
        <w:rPr>
          <w:rFonts w:cs="Arial"/>
          <w:b/>
        </w:rPr>
      </w:pPr>
      <w:r>
        <w:rPr>
          <w:rFonts w:cs="Arial"/>
          <w:b/>
        </w:rPr>
        <w:t>Naming protocol</w:t>
      </w:r>
    </w:p>
    <w:p>
      <w:pPr>
        <w:pStyle w:val="04BodyText"/>
        <w:spacing w:before="120" w:after="120"/>
        <w:jc w:val="left"/>
        <w:rPr>
          <w:rFonts w:cs="Arial"/>
        </w:rPr>
      </w:pPr>
      <w:r>
        <w:rPr>
          <w:rFonts w:cs="Arial"/>
        </w:rPr>
        <w:t>In order to facilitate the handling of stakeholders responses please save your document using the follo</w:t>
      </w:r>
      <w:r>
        <w:rPr>
          <w:rFonts w:cs="Arial"/>
        </w:rPr>
        <w:t>w</w:t>
      </w:r>
      <w:r>
        <w:rPr>
          <w:rFonts w:cs="Arial"/>
        </w:rPr>
        <w:t>ing format:</w:t>
      </w:r>
    </w:p>
    <w:p>
      <w:pPr>
        <w:pStyle w:val="04BodyText"/>
        <w:spacing w:before="120" w:after="120"/>
        <w:jc w:val="left"/>
        <w:rPr>
          <w:rFonts w:cs="Arial"/>
        </w:rPr>
      </w:pPr>
      <w:r>
        <w:rPr>
          <w:rFonts w:cs="Arial"/>
        </w:rPr>
        <w:t>ESMA_MiFID_ADD_NAMEOFCOMPANY_NAMEOFDOCUMENT.</w:t>
      </w:r>
    </w:p>
    <w:p>
      <w:pPr>
        <w:pStyle w:val="04BodyText"/>
        <w:spacing w:before="120" w:after="120"/>
        <w:jc w:val="left"/>
        <w:rPr>
          <w:rFonts w:cs="Arial"/>
        </w:rPr>
      </w:pPr>
      <w:r>
        <w:rPr>
          <w:rFonts w:cs="Arial"/>
        </w:rPr>
        <w:t>E.g. if the respondent were ESMA, the name of the reply form would be:</w:t>
      </w:r>
    </w:p>
    <w:p>
      <w:pPr>
        <w:pStyle w:val="04BodyText"/>
        <w:spacing w:before="120" w:after="120"/>
        <w:jc w:val="left"/>
        <w:rPr>
          <w:rFonts w:cs="Arial"/>
        </w:rPr>
      </w:pPr>
      <w:r>
        <w:rPr>
          <w:rFonts w:cs="Arial"/>
        </w:rPr>
        <w:t xml:space="preserve">ESMA_MiFID_ADD_ESMA_REPLYFORM or </w:t>
      </w:r>
    </w:p>
    <w:p>
      <w:pPr>
        <w:pStyle w:val="04BodyText"/>
        <w:spacing w:before="120" w:after="120"/>
        <w:jc w:val="left"/>
        <w:rPr>
          <w:rFonts w:cs="Arial"/>
        </w:rPr>
      </w:pPr>
      <w:r>
        <w:rPr>
          <w:rFonts w:cs="Arial"/>
        </w:rPr>
        <w:t>ESMA_MiFID_ADD_ESMA_ANNEX1</w:t>
      </w:r>
    </w:p>
    <w:p>
      <w:pPr>
        <w:pStyle w:val="04bList"/>
        <w:numPr>
          <w:ilvl w:val="0"/>
          <w:numId w:val="0"/>
        </w:numPr>
        <w:spacing w:before="120" w:after="120"/>
        <w:rPr>
          <w:rFonts w:cs="Arial"/>
        </w:rPr>
      </w:pPr>
      <w:r>
        <w:rPr>
          <w:rFonts w:cs="Arial"/>
        </w:rPr>
        <w:t>To help you navigate this document more easily, bookmarks are available in “Navigation Pane” for Word 2010 and in “Document Map” for Word 2007.</w:t>
      </w:r>
    </w:p>
    <w:p>
      <w:pPr>
        <w:autoSpaceDE w:val="0"/>
        <w:autoSpaceDN w:val="0"/>
        <w:adjustRightInd w:val="0"/>
        <w:spacing w:before="120" w:after="120" w:line="276" w:lineRule="auto"/>
        <w:jc w:val="both"/>
        <w:rPr>
          <w:rFonts w:cs="Arial"/>
          <w:b/>
          <w:bCs/>
          <w:i/>
          <w:color w:val="000000"/>
          <w:szCs w:val="20"/>
          <w:lang w:eastAsia="en-GB"/>
        </w:rPr>
      </w:pPr>
    </w:p>
    <w:p>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pPr>
        <w:pStyle w:val="04BodyText"/>
        <w:spacing w:before="120" w:after="120"/>
        <w:rPr>
          <w:rFonts w:cs="Arial"/>
        </w:rPr>
      </w:pPr>
      <w:r>
        <w:rPr>
          <w:rFonts w:cs="Arial"/>
        </w:rPr>
        <w:t xml:space="preserve">Responses must reach us by </w:t>
      </w:r>
      <w:r>
        <w:rPr>
          <w:rFonts w:cs="Arial"/>
          <w:b/>
        </w:rPr>
        <w:t>20 March 2015.</w:t>
      </w:r>
    </w:p>
    <w:p>
      <w:pPr>
        <w:pStyle w:val="04BodyText"/>
        <w:spacing w:before="120" w:after="120"/>
        <w:rPr>
          <w:rFonts w:cs="Arial"/>
        </w:rPr>
      </w:pPr>
      <w:r>
        <w:rPr>
          <w:rFonts w:cs="Arial"/>
        </w:rPr>
        <w:t xml:space="preserve">All contributions should be submitted online at </w:t>
      </w:r>
      <w:hyperlink r:id="rId12" w:history="1">
        <w:r>
          <w:rPr>
            <w:rStyle w:val="Hyperlink"/>
            <w:rFonts w:cs="Arial"/>
          </w:rPr>
          <w:t>www.esma.europa.eu</w:t>
        </w:r>
      </w:hyperlink>
      <w:r>
        <w:rPr>
          <w:rFonts w:cs="Arial"/>
        </w:rPr>
        <w:t xml:space="preserve"> under the heading ‘Your i</w:t>
      </w:r>
      <w:r>
        <w:rPr>
          <w:rFonts w:cs="Arial"/>
        </w:rPr>
        <w:t>n</w:t>
      </w:r>
      <w:r>
        <w:rPr>
          <w:rFonts w:cs="Arial"/>
        </w:rPr>
        <w:t xml:space="preserve">put/Consultations’. </w:t>
      </w:r>
    </w:p>
    <w:p>
      <w:pPr>
        <w:autoSpaceDE w:val="0"/>
        <w:autoSpaceDN w:val="0"/>
        <w:adjustRightInd w:val="0"/>
        <w:spacing w:before="120" w:after="120" w:line="276" w:lineRule="auto"/>
        <w:jc w:val="both"/>
        <w:rPr>
          <w:rFonts w:cs="Arial"/>
          <w:b/>
          <w:bCs/>
          <w:i/>
          <w:color w:val="000000"/>
          <w:szCs w:val="20"/>
          <w:lang w:eastAsia="en-GB"/>
        </w:rPr>
      </w:pPr>
      <w:bookmarkStart w:id="2" w:name="_Toc335141334"/>
    </w:p>
    <w:p>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lastRenderedPageBreak/>
        <w:t>Publication of responses</w:t>
      </w:r>
      <w:bookmarkEnd w:id="2"/>
    </w:p>
    <w:p>
      <w:pPr>
        <w:pStyle w:val="04BodyText"/>
        <w:spacing w:before="120" w:after="120"/>
        <w:rPr>
          <w:rFonts w:cs="Arial"/>
        </w:rPr>
      </w:pPr>
      <w:r>
        <w:rPr>
          <w:rFonts w:cs="Arial"/>
        </w:rPr>
        <w:t xml:space="preserve">All contributions received will be published following the end of the consultation period, unless otherwise requested. </w:t>
      </w:r>
      <w:r>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Pr>
          <w:rFonts w:cs="Arial"/>
        </w:rPr>
        <w:t xml:space="preserve"> Note also that a confidential response may be requested from us in accordance with ESMA’s rules on access to doc</w:t>
      </w:r>
      <w:r>
        <w:rPr>
          <w:rFonts w:cs="Arial"/>
        </w:rPr>
        <w:t>u</w:t>
      </w:r>
      <w:r>
        <w:rPr>
          <w:rFonts w:cs="Arial"/>
        </w:rPr>
        <w:t>ments. We may consult you if we receive such a request. Any decision we make is reviewable by ESMA’s Board of Appeal and the European Ombudsman.</w:t>
      </w:r>
    </w:p>
    <w:p>
      <w:pPr>
        <w:autoSpaceDE w:val="0"/>
        <w:autoSpaceDN w:val="0"/>
        <w:adjustRightInd w:val="0"/>
        <w:spacing w:before="120" w:after="120" w:line="276" w:lineRule="auto"/>
        <w:jc w:val="both"/>
        <w:rPr>
          <w:rFonts w:cs="Arial"/>
          <w:b/>
          <w:bCs/>
          <w:i/>
          <w:color w:val="000000"/>
          <w:szCs w:val="20"/>
          <w:lang w:eastAsia="en-GB"/>
        </w:rPr>
      </w:pPr>
      <w:bookmarkStart w:id="3" w:name="_Toc335141335"/>
    </w:p>
    <w:p>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Data protection</w:t>
      </w:r>
      <w:bookmarkEnd w:id="3"/>
    </w:p>
    <w:p>
      <w:pPr>
        <w:autoSpaceDE w:val="0"/>
        <w:autoSpaceDN w:val="0"/>
        <w:adjustRightInd w:val="0"/>
        <w:spacing w:before="120" w:after="120" w:line="276" w:lineRule="auto"/>
        <w:jc w:val="both"/>
        <w:rPr>
          <w:rFonts w:cs="Arial"/>
          <w:szCs w:val="20"/>
        </w:rPr>
      </w:pPr>
      <w:r>
        <w:rPr>
          <w:rFonts w:cs="Arial"/>
          <w:szCs w:val="20"/>
        </w:rPr>
        <w:t xml:space="preserve">Information on data protection can be found at </w:t>
      </w:r>
      <w:hyperlink r:id="rId13" w:history="1">
        <w:r>
          <w:rPr>
            <w:rStyle w:val="Hyperlink"/>
            <w:rFonts w:cs="Arial"/>
            <w:szCs w:val="20"/>
          </w:rPr>
          <w:t>www.esma.europa.eu</w:t>
        </w:r>
      </w:hyperlink>
      <w:r>
        <w:rPr>
          <w:rFonts w:cs="Arial"/>
          <w:szCs w:val="20"/>
        </w:rPr>
        <w:t xml:space="preserve"> under the </w:t>
      </w:r>
      <w:r>
        <w:rPr>
          <w:rFonts w:cs="Arial"/>
          <w:szCs w:val="22"/>
          <w:lang w:eastAsia="en-GB"/>
        </w:rPr>
        <w:t>headings ‘Legal notice’ and ‘Data protection’</w:t>
      </w:r>
      <w:r>
        <w:rPr>
          <w:rFonts w:cs="Arial"/>
          <w:szCs w:val="20"/>
        </w:rPr>
        <w:t>.</w:t>
      </w:r>
    </w:p>
    <w:p>
      <w:pPr>
        <w:autoSpaceDE w:val="0"/>
        <w:autoSpaceDN w:val="0"/>
        <w:adjustRightInd w:val="0"/>
        <w:spacing w:before="120" w:after="120" w:line="276" w:lineRule="auto"/>
        <w:jc w:val="both"/>
        <w:rPr>
          <w:rFonts w:cs="Arial"/>
          <w:szCs w:val="20"/>
        </w:rPr>
      </w:pPr>
    </w:p>
    <w:bookmarkEnd w:id="1"/>
    <w:p>
      <w:pPr>
        <w:rPr>
          <w:rFonts w:cs="Arial"/>
          <w:b/>
          <w:bCs/>
          <w:kern w:val="32"/>
          <w:sz w:val="24"/>
          <w:szCs w:val="32"/>
        </w:rPr>
      </w:pPr>
      <w:r>
        <w:br w:type="page"/>
      </w:r>
    </w:p>
    <w:p>
      <w:pPr>
        <w:pStyle w:val="Heading1"/>
        <w:numPr>
          <w:ilvl w:val="0"/>
          <w:numId w:val="0"/>
        </w:numPr>
      </w:pPr>
      <w: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9"/>
        <w:gridCol w:w="5595"/>
      </w:tblGrid>
      <w:tr>
        <w:tc>
          <w:tcPr>
            <w:tcW w:w="3929" w:type="dxa"/>
            <w:shd w:val="clear" w:color="auto" w:fill="auto"/>
          </w:tcPr>
          <w:p>
            <w:pPr>
              <w:rPr>
                <w:rFonts w:cs="Arial"/>
              </w:rPr>
            </w:pPr>
            <w:permStart w:id="0" w:edGrp="everyone" w:colFirst="1" w:colLast="1"/>
            <w:r>
              <w:rPr>
                <w:rFonts w:cs="Arial"/>
              </w:rPr>
              <w:t>Name of the company / organisation</w:t>
            </w:r>
          </w:p>
        </w:tc>
        <w:sdt>
          <w:sdtPr>
            <w:rPr>
              <w:rStyle w:val="PlaceholderText"/>
              <w:rFonts w:cs="Arial"/>
              <w:color w:val="auto"/>
            </w:rPr>
            <w:id w:val="-1905066999"/>
            <w:text/>
          </w:sdtPr>
          <w:sdtContent>
            <w:permStart w:id="1" w:edGrp="everyone" w:displacedByCustomXml="prev"/>
            <w:tc>
              <w:tcPr>
                <w:tcW w:w="5595" w:type="dxa"/>
                <w:shd w:val="clear" w:color="auto" w:fill="auto"/>
              </w:tcPr>
              <w:p>
                <w:pPr>
                  <w:rPr>
                    <w:rStyle w:val="PlaceholderText"/>
                    <w:rFonts w:cs="Arial"/>
                  </w:rPr>
                </w:pPr>
                <w:r>
                  <w:rPr>
                    <w:rStyle w:val="PlaceholderText"/>
                    <w:rFonts w:cs="Arial"/>
                    <w:color w:val="auto"/>
                  </w:rPr>
                  <w:t>ICI Global</w:t>
                </w:r>
              </w:p>
            </w:tc>
            <w:permEnd w:id="1" w:displacedByCustomXml="next"/>
          </w:sdtContent>
        </w:sdt>
      </w:tr>
      <w:tr>
        <w:tc>
          <w:tcPr>
            <w:tcW w:w="3929" w:type="dxa"/>
            <w:shd w:val="clear" w:color="auto" w:fill="auto"/>
          </w:tcPr>
          <w:p>
            <w:pPr>
              <w:rPr>
                <w:rFonts w:cs="Arial"/>
              </w:rPr>
            </w:pPr>
            <w:permStart w:id="2" w:edGrp="everyone" w:colFirst="1" w:colLast="1"/>
            <w:permEnd w:id="0"/>
            <w:r>
              <w:rPr>
                <w:rFonts w:cs="Arial"/>
              </w:rPr>
              <w:t>Confidential</w:t>
            </w:r>
            <w:r>
              <w:rPr>
                <w:rStyle w:val="FootnoteReference"/>
                <w:rFonts w:cs="Arial"/>
              </w:rPr>
              <w:footnoteReference w:id="2"/>
            </w:r>
          </w:p>
        </w:tc>
        <w:sdt>
          <w:sdtPr>
            <w:rPr>
              <w:rStyle w:val="PlaceholderText"/>
              <w:rFonts w:cs="Arial"/>
            </w:rPr>
            <w:id w:val="-2035031634"/>
          </w:sdtPr>
          <w:sdtContent>
            <w:tc>
              <w:tcPr>
                <w:tcW w:w="5595" w:type="dxa"/>
                <w:shd w:val="clear" w:color="auto" w:fill="auto"/>
              </w:tcPr>
              <w:p>
                <w:pPr>
                  <w:rPr>
                    <w:rStyle w:val="PlaceholderText"/>
                    <w:rFonts w:cs="Arial"/>
                  </w:rPr>
                </w:pPr>
                <w:r>
                  <w:rPr>
                    <w:rStyle w:val="PlaceholderText"/>
                    <w:rFonts w:ascii="MS Gothic" w:eastAsia="MS Gothic" w:hAnsi="MS Gothic" w:cs="Arial" w:hint="eastAsia"/>
                  </w:rPr>
                  <w:t>☐</w:t>
                </w:r>
              </w:p>
            </w:tc>
          </w:sdtContent>
        </w:sdt>
      </w:tr>
      <w:tr>
        <w:tc>
          <w:tcPr>
            <w:tcW w:w="3929" w:type="dxa"/>
            <w:shd w:val="clear" w:color="auto" w:fill="auto"/>
          </w:tcPr>
          <w:p>
            <w:pPr>
              <w:rPr>
                <w:rFonts w:cs="Arial"/>
              </w:rPr>
            </w:pPr>
            <w:permStart w:id="3" w:edGrp="everyone" w:colFirst="1" w:colLast="1"/>
            <w:permEnd w:id="2"/>
            <w:r>
              <w:rPr>
                <w:rFonts w:cs="Arial"/>
              </w:rPr>
              <w:t>Activity</w:t>
            </w:r>
          </w:p>
        </w:tc>
        <w:tc>
          <w:tcPr>
            <w:tcW w:w="5595" w:type="dxa"/>
            <w:shd w:val="clear" w:color="auto" w:fill="auto"/>
          </w:tcPr>
          <w:p>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4" w:edGrp="everyone"/>
                <w:r>
                  <w:rPr>
                    <w:rFonts w:cs="Arial"/>
                  </w:rPr>
                  <w:t>Investment Services</w:t>
                </w:r>
                <w:permEnd w:id="4"/>
              </w:sdtContent>
            </w:sdt>
          </w:p>
        </w:tc>
      </w:tr>
      <w:tr>
        <w:tc>
          <w:tcPr>
            <w:tcW w:w="3929" w:type="dxa"/>
            <w:shd w:val="clear" w:color="auto" w:fill="auto"/>
          </w:tcPr>
          <w:p>
            <w:pPr>
              <w:rPr>
                <w:rFonts w:cs="Arial"/>
              </w:rPr>
            </w:pPr>
            <w:permStart w:id="5" w:edGrp="everyone" w:colFirst="1" w:colLast="1"/>
            <w:permEnd w:id="3"/>
            <w:r>
              <w:rPr>
                <w:rFonts w:cs="Arial"/>
              </w:rPr>
              <w:t>Are you representing an association?</w:t>
            </w:r>
          </w:p>
        </w:tc>
        <w:sdt>
          <w:sdtPr>
            <w:rPr>
              <w:rFonts w:cs="Arial"/>
            </w:rPr>
            <w:id w:val="-242871467"/>
          </w:sdtPr>
          <w:sdtContent>
            <w:tc>
              <w:tcPr>
                <w:tcW w:w="5595" w:type="dxa"/>
                <w:shd w:val="clear" w:color="auto" w:fill="auto"/>
              </w:tcPr>
              <w:p>
                <w:pPr>
                  <w:rPr>
                    <w:rFonts w:cs="Arial"/>
                  </w:rPr>
                </w:pPr>
                <w:r>
                  <w:rPr>
                    <w:rFonts w:ascii="MS Gothic" w:eastAsia="MS Gothic" w:hAnsi="MS Gothic" w:cs="MS Gothic"/>
                  </w:rPr>
                  <w:t>X</w:t>
                </w:r>
              </w:p>
            </w:tc>
          </w:sdtContent>
        </w:sdt>
      </w:tr>
      <w:tr>
        <w:tc>
          <w:tcPr>
            <w:tcW w:w="3929" w:type="dxa"/>
            <w:shd w:val="clear" w:color="auto" w:fill="auto"/>
          </w:tcPr>
          <w:p>
            <w:pPr>
              <w:rPr>
                <w:rFonts w:cs="Arial"/>
              </w:rPr>
            </w:pPr>
            <w:permStart w:id="6" w:edGrp="everyone" w:colFirst="1" w:colLast="1"/>
            <w:permEnd w:id="5"/>
            <w:r>
              <w:rPr>
                <w:rFonts w:cs="Arial"/>
              </w:rPr>
              <w:t>Country/Region</w:t>
            </w:r>
          </w:p>
        </w:tc>
        <w:permStart w:id="7"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8" w:edGrp="everyone" w:displacedByCustomXml="prev"/>
            <w:tc>
              <w:tcPr>
                <w:tcW w:w="5595" w:type="dxa"/>
                <w:shd w:val="clear" w:color="auto" w:fill="auto"/>
              </w:tcPr>
              <w:p>
                <w:pPr>
                  <w:rPr>
                    <w:rFonts w:cs="Arial"/>
                  </w:rPr>
                </w:pPr>
                <w:r>
                  <w:rPr>
                    <w:rFonts w:cs="Arial"/>
                  </w:rPr>
                  <w:t>International</w:t>
                </w:r>
              </w:p>
            </w:tc>
            <w:permEnd w:id="8" w:displacedByCustomXml="next"/>
          </w:sdtContent>
        </w:sdt>
        <w:permEnd w:id="7" w:displacedByCustomXml="prev"/>
      </w:tr>
      <w:permEnd w:id="6"/>
    </w:tbl>
    <w:p>
      <w:pPr>
        <w:spacing w:after="120" w:line="264" w:lineRule="auto"/>
      </w:pPr>
    </w:p>
    <w:p>
      <w:pPr>
        <w:spacing w:after="120" w:line="264" w:lineRule="auto"/>
      </w:pPr>
    </w:p>
    <w:p>
      <w:pPr>
        <w:pStyle w:val="Heading1"/>
        <w:numPr>
          <w:ilvl w:val="0"/>
          <w:numId w:val="0"/>
        </w:numPr>
        <w:ind w:left="431" w:hanging="431"/>
      </w:pPr>
      <w:r>
        <w:t>Introduction</w:t>
      </w:r>
    </w:p>
    <w:p>
      <w:pPr>
        <w:rPr>
          <w:rStyle w:val="IntenseEmphasis"/>
        </w:rPr>
      </w:pPr>
      <w:r>
        <w:rPr>
          <w:rStyle w:val="IntenseEmphasis"/>
        </w:rPr>
        <w:t>Please make your introductory comments below, if any:</w:t>
      </w:r>
    </w:p>
    <w:p>
      <w:r>
        <w:t>&lt; ESMA_COMMENT_MIFID_ADD_1&gt;</w:t>
      </w:r>
    </w:p>
    <w:p>
      <w:pPr>
        <w:pStyle w:val="NoSpacing"/>
        <w:rPr>
          <w:rFonts w:ascii="Garamond Premr Pro" w:hAnsi="Garamond Premr Pro"/>
        </w:rPr>
      </w:pPr>
      <w:permStart w:id="9" w:edGrp="everyone"/>
      <w:r>
        <w:rPr>
          <w:rFonts w:ascii="Garamond Premr Pro" w:hAnsi="Garamond Premr Pro"/>
        </w:rPr>
        <w:t>ICI Global</w:t>
      </w:r>
      <w:bookmarkStart w:id="4" w:name="_DV_M13"/>
      <w:bookmarkEnd w:id="4"/>
      <w:r>
        <w:rPr>
          <w:rFonts w:ascii="Garamond Premr Pro" w:hAnsi="Garamond Premr Pro"/>
        </w:rPr>
        <w:t>* appreciates the opportunity to provide comments on the Addendum Consu</w:t>
      </w:r>
      <w:r>
        <w:rPr>
          <w:rFonts w:ascii="Garamond Premr Pro" w:hAnsi="Garamond Premr Pro"/>
        </w:rPr>
        <w:t>l</w:t>
      </w:r>
      <w:r>
        <w:rPr>
          <w:rFonts w:ascii="Garamond Premr Pro" w:hAnsi="Garamond Premr Pro"/>
        </w:rPr>
        <w:t>tation Paper issued by the European Securities and Markets Authority (“</w:t>
      </w:r>
      <w:proofErr w:type="spellStart"/>
      <w:r>
        <w:rPr>
          <w:rFonts w:ascii="Garamond Premr Pro" w:hAnsi="Garamond Premr Pro"/>
        </w:rPr>
        <w:t>ESMA</w:t>
      </w:r>
      <w:proofErr w:type="spellEnd"/>
      <w:r>
        <w:rPr>
          <w:rFonts w:ascii="Garamond Premr Pro" w:hAnsi="Garamond Premr Pro"/>
        </w:rPr>
        <w:t>”) on draft regulatory technical standards for the implementation of transparency requirements for foreign exchange derivatives, credit derivatives, other derivatives and contracts for diffe</w:t>
      </w:r>
      <w:r>
        <w:rPr>
          <w:rFonts w:ascii="Garamond Premr Pro" w:hAnsi="Garamond Premr Pro"/>
        </w:rPr>
        <w:t>r</w:t>
      </w:r>
      <w:r>
        <w:rPr>
          <w:rFonts w:ascii="Garamond Premr Pro" w:hAnsi="Garamond Premr Pro"/>
        </w:rPr>
        <w:t>ence pursuant to Regulation (EU) No 600/2014 of the European Parliament and of the Council on Markets in Financial Instruments (“</w:t>
      </w:r>
      <w:proofErr w:type="spellStart"/>
      <w:r>
        <w:rPr>
          <w:rFonts w:ascii="Garamond Premr Pro" w:hAnsi="Garamond Premr Pro"/>
        </w:rPr>
        <w:t>MiFIR</w:t>
      </w:r>
      <w:proofErr w:type="spellEnd"/>
      <w:r>
        <w:rPr>
          <w:rFonts w:ascii="Garamond Premr Pro" w:hAnsi="Garamond Premr Pro"/>
        </w:rPr>
        <w:t xml:space="preserve">”).  Our members include regulated funds in jurisdictions around the world (collectively, “Regulated Funds”).**  </w:t>
      </w:r>
    </w:p>
    <w:p>
      <w:pPr>
        <w:pStyle w:val="NoSpacing"/>
        <w:rPr>
          <w:rFonts w:ascii="Garamond Premr Pro" w:hAnsi="Garamond Premr Pro" w:cs="Tahoma"/>
          <w:color w:val="000000"/>
        </w:rPr>
      </w:pPr>
    </w:p>
    <w:p>
      <w:pPr>
        <w:pStyle w:val="NoSpacing"/>
        <w:rPr>
          <w:rFonts w:ascii="Garamond Premr Pro" w:hAnsi="Garamond Premr Pro" w:cs="Tahoma"/>
          <w:color w:val="000000"/>
        </w:rPr>
      </w:pPr>
      <w:r>
        <w:rPr>
          <w:rFonts w:ascii="Garamond Premr Pro" w:hAnsi="Garamond Premr Pro" w:cs="Tahoma"/>
          <w:color w:val="000000"/>
        </w:rPr>
        <w:t xml:space="preserve">ICI Global appreciates the opportunity to provide input to </w:t>
      </w:r>
      <w:proofErr w:type="spellStart"/>
      <w:r>
        <w:rPr>
          <w:rFonts w:ascii="Garamond Premr Pro" w:hAnsi="Garamond Premr Pro" w:cs="Tahoma"/>
          <w:color w:val="000000"/>
        </w:rPr>
        <w:t>ESMA</w:t>
      </w:r>
      <w:proofErr w:type="spellEnd"/>
      <w:r>
        <w:rPr>
          <w:rFonts w:ascii="Garamond Premr Pro" w:hAnsi="Garamond Premr Pro" w:cs="Tahoma"/>
          <w:color w:val="000000"/>
        </w:rPr>
        <w:t xml:space="preserve"> on its deliberations, which will have a </w:t>
      </w:r>
      <w:r>
        <w:rPr>
          <w:rFonts w:ascii="Garamond Premr Pro" w:hAnsi="Garamond Premr Pro"/>
        </w:rPr>
        <w:t>major impact on the derivatives markets and their participants, inclu</w:t>
      </w:r>
      <w:r>
        <w:rPr>
          <w:rFonts w:ascii="Garamond Premr Pro" w:hAnsi="Garamond Premr Pro"/>
        </w:rPr>
        <w:t>d</w:t>
      </w:r>
      <w:r>
        <w:rPr>
          <w:rFonts w:ascii="Garamond Premr Pro" w:hAnsi="Garamond Premr Pro"/>
        </w:rPr>
        <w:t xml:space="preserve">ing Regulated Funds and their investors.  We understand that </w:t>
      </w:r>
      <w:proofErr w:type="spellStart"/>
      <w:r>
        <w:rPr>
          <w:rFonts w:ascii="Garamond Premr Pro" w:hAnsi="Garamond Premr Pro"/>
        </w:rPr>
        <w:t>ESMA</w:t>
      </w:r>
      <w:proofErr w:type="spellEnd"/>
      <w:r>
        <w:rPr>
          <w:rFonts w:ascii="Garamond Premr Pro" w:hAnsi="Garamond Premr Pro"/>
        </w:rPr>
        <w:t xml:space="preserve"> believes it would be most helpful for market participants </w:t>
      </w:r>
      <w:r>
        <w:rPr>
          <w:rFonts w:ascii="Garamond Premr Pro" w:hAnsi="Garamond Premr Pro" w:cs="Tahoma"/>
          <w:color w:val="000000"/>
        </w:rPr>
        <w:t xml:space="preserve">to respond to the specific questions that are posed in the Consultation Paper rather than to submit a narrative comment letter.  We provide below our answers to certain of those questions in the Addendum Consultation Paper.  </w:t>
      </w:r>
    </w:p>
    <w:p>
      <w:pPr>
        <w:pStyle w:val="NoSpacing"/>
        <w:rPr>
          <w:rFonts w:ascii="Garamond Premr Pro" w:hAnsi="Garamond Premr Pro" w:cs="Tahoma"/>
          <w:color w:val="000000"/>
        </w:rPr>
      </w:pPr>
    </w:p>
    <w:p>
      <w:pPr>
        <w:pStyle w:val="NoSpacing"/>
        <w:rPr>
          <w:rFonts w:ascii="Garamond Premr Pro" w:hAnsi="Garamond Premr Pro" w:cs="Tahoma"/>
          <w:color w:val="000000"/>
        </w:rPr>
      </w:pPr>
      <w:r>
        <w:rPr>
          <w:rFonts w:ascii="Garamond Premr Pro" w:hAnsi="Garamond Premr Pro" w:cs="Tahoma"/>
          <w:color w:val="000000"/>
        </w:rPr>
        <w:t xml:space="preserve">In addition, we have two general comments.  </w:t>
      </w:r>
      <w:r>
        <w:rPr>
          <w:rFonts w:ascii="Garamond Premr Pro" w:hAnsi="Garamond Premr Pro"/>
          <w:u w:val="single"/>
        </w:rPr>
        <w:t>First</w:t>
      </w:r>
      <w:r>
        <w:rPr>
          <w:rFonts w:ascii="Garamond Premr Pro" w:hAnsi="Garamond Premr Pro"/>
        </w:rPr>
        <w:t xml:space="preserve">, we urge </w:t>
      </w:r>
      <w:proofErr w:type="spellStart"/>
      <w:r>
        <w:rPr>
          <w:rFonts w:ascii="Garamond Premr Pro" w:hAnsi="Garamond Premr Pro"/>
        </w:rPr>
        <w:t>ESMA</w:t>
      </w:r>
      <w:proofErr w:type="spellEnd"/>
      <w:r>
        <w:rPr>
          <w:rFonts w:ascii="Garamond Premr Pro" w:hAnsi="Garamond Premr Pro"/>
        </w:rPr>
        <w:t xml:space="preserve"> to adopt a regulatory approach that is flexible and able to adapt to changing market conditions.  In particular, we are concerned about classifying certain instruments as “liquid” based on data collected over only a three-month period and incorporating the results of this liquidity analysis into regulatory technical standards that can only be amended by a relatively lengthy legislative process.  </w:t>
      </w:r>
      <w:r>
        <w:rPr>
          <w:rFonts w:ascii="Garamond Premr Pro" w:hAnsi="Garamond Premr Pro"/>
          <w:u w:val="single"/>
        </w:rPr>
        <w:t>Second</w:t>
      </w:r>
      <w:r>
        <w:rPr>
          <w:rFonts w:ascii="Garamond Premr Pro" w:hAnsi="Garamond Premr Pro"/>
        </w:rPr>
        <w:t xml:space="preserve">, </w:t>
      </w:r>
      <w:proofErr w:type="spellStart"/>
      <w:r>
        <w:rPr>
          <w:rFonts w:ascii="Garamond Premr Pro" w:hAnsi="Garamond Premr Pro"/>
        </w:rPr>
        <w:t>ESMA</w:t>
      </w:r>
      <w:proofErr w:type="spellEnd"/>
      <w:r>
        <w:rPr>
          <w:rFonts w:ascii="Garamond Premr Pro" w:hAnsi="Garamond Premr Pro"/>
        </w:rPr>
        <w:t xml:space="preserve"> should provide an explanation for imposing certain methodol</w:t>
      </w:r>
      <w:r>
        <w:rPr>
          <w:rFonts w:ascii="Garamond Premr Pro" w:hAnsi="Garamond Premr Pro"/>
        </w:rPr>
        <w:t>o</w:t>
      </w:r>
      <w:r>
        <w:rPr>
          <w:rFonts w:ascii="Garamond Premr Pro" w:hAnsi="Garamond Premr Pro"/>
        </w:rPr>
        <w:t xml:space="preserve">gies and thresholds in the proposals.  Specifically, we note that </w:t>
      </w:r>
      <w:proofErr w:type="spellStart"/>
      <w:r>
        <w:rPr>
          <w:rFonts w:ascii="Garamond Premr Pro" w:hAnsi="Garamond Premr Pro"/>
        </w:rPr>
        <w:t>ESMA</w:t>
      </w:r>
      <w:proofErr w:type="spellEnd"/>
      <w:r>
        <w:rPr>
          <w:rFonts w:ascii="Garamond Premr Pro" w:hAnsi="Garamond Premr Pro"/>
        </w:rPr>
        <w:t xml:space="preserve"> has not fully e</w:t>
      </w:r>
      <w:r>
        <w:rPr>
          <w:rFonts w:ascii="Garamond Premr Pro" w:hAnsi="Garamond Premr Pro"/>
        </w:rPr>
        <w:t>x</w:t>
      </w:r>
      <w:r>
        <w:rPr>
          <w:rFonts w:ascii="Garamond Premr Pro" w:hAnsi="Garamond Premr Pro"/>
        </w:rPr>
        <w:t>plained how it determined the different thresholds (</w:t>
      </w:r>
      <w:r>
        <w:rPr>
          <w:rFonts w:ascii="Garamond Premr Pro" w:hAnsi="Garamond Premr Pro"/>
          <w:i/>
        </w:rPr>
        <w:t>i.e.,</w:t>
      </w:r>
      <w:r>
        <w:rPr>
          <w:rFonts w:ascii="Garamond Premr Pro" w:hAnsi="Garamond Premr Pro"/>
        </w:rPr>
        <w:t xml:space="preserve"> average number of trades per day and average notional amount traded per day)</w:t>
      </w:r>
      <w:r>
        <w:rPr>
          <w:rFonts w:ascii="Constantia" w:hAnsi="Constantia"/>
        </w:rPr>
        <w:t xml:space="preserve"> </w:t>
      </w:r>
      <w:r>
        <w:rPr>
          <w:rFonts w:ascii="Garamond Premr Pro" w:hAnsi="Garamond Premr Pro"/>
        </w:rPr>
        <w:t xml:space="preserve">as being appropriate for each sub-class, or the rationale for the size specific to the instrument threshold being set at 50% of the large in scale threshold for all instruments.  It is extremely difficult for market participants to provide meaningful comments on certain aspects of the proposals because there is at times little explanation of </w:t>
      </w:r>
      <w:proofErr w:type="spellStart"/>
      <w:r>
        <w:rPr>
          <w:rFonts w:ascii="Garamond Premr Pro" w:hAnsi="Garamond Premr Pro"/>
        </w:rPr>
        <w:t>ESMA’s</w:t>
      </w:r>
      <w:proofErr w:type="spellEnd"/>
      <w:r>
        <w:rPr>
          <w:rFonts w:ascii="Garamond Premr Pro" w:hAnsi="Garamond Premr Pro"/>
        </w:rPr>
        <w:t xml:space="preserve"> approach.  </w:t>
      </w:r>
    </w:p>
    <w:p>
      <w:pPr>
        <w:pStyle w:val="NoSpacing"/>
        <w:ind w:left="1290"/>
        <w:rPr>
          <w:rFonts w:ascii="Garamond Premr Pro" w:hAnsi="Garamond Premr Pro"/>
        </w:rPr>
      </w:pPr>
    </w:p>
    <w:p>
      <w:pPr>
        <w:ind w:left="930"/>
        <w:rPr>
          <w:sz w:val="24"/>
        </w:rPr>
      </w:pPr>
    </w:p>
    <w:p>
      <w:pPr>
        <w:pStyle w:val="NoSpacing"/>
        <w:rPr>
          <w:rFonts w:ascii="Garamond Premr Pro" w:hAnsi="Garamond Premr Pro"/>
          <w:sz w:val="20"/>
          <w:szCs w:val="20"/>
        </w:rPr>
      </w:pPr>
      <w:r>
        <w:rPr>
          <w:rFonts w:ascii="Garamond Premr Pro" w:hAnsi="Garamond Premr Pro"/>
          <w:sz w:val="20"/>
          <w:szCs w:val="20"/>
        </w:rPr>
        <w:lastRenderedPageBreak/>
        <w:t xml:space="preserve">* The international arm of the Investment Company Institute, ICI Global serves a fund membership that includes regulated funds publicly offered to investors in jurisdictions worldwide, with combined assets of </w:t>
      </w:r>
      <w:proofErr w:type="spellStart"/>
      <w:r>
        <w:rPr>
          <w:rFonts w:ascii="Garamond Premr Pro" w:hAnsi="Garamond Premr Pro"/>
          <w:sz w:val="20"/>
          <w:szCs w:val="20"/>
        </w:rPr>
        <w:t>US$19.0</w:t>
      </w:r>
      <w:proofErr w:type="spellEnd"/>
      <w:r>
        <w:rPr>
          <w:rFonts w:ascii="Garamond Premr Pro" w:hAnsi="Garamond Premr Pro"/>
          <w:sz w:val="20"/>
          <w:szCs w:val="20"/>
        </w:rPr>
        <w:t xml:space="preserve"> trillion. ICI Global seeks to advance the common interests and promote public understanding of regulated investment funds, their managers, and investors. Its policy agenda focuses on issues of signif</w:t>
      </w:r>
      <w:r>
        <w:rPr>
          <w:rFonts w:ascii="Garamond Premr Pro" w:hAnsi="Garamond Premr Pro"/>
          <w:sz w:val="20"/>
          <w:szCs w:val="20"/>
        </w:rPr>
        <w:t>i</w:t>
      </w:r>
      <w:r>
        <w:rPr>
          <w:rFonts w:ascii="Garamond Premr Pro" w:hAnsi="Garamond Premr Pro"/>
          <w:sz w:val="20"/>
          <w:szCs w:val="20"/>
        </w:rPr>
        <w:t xml:space="preserve">cance to funds in the areas of financial stability, cross-border regulation, market structure, and pension provision. ICI Global has offices in London, Hong Kong, and Washington, DC.  </w:t>
      </w:r>
    </w:p>
    <w:p>
      <w:pPr>
        <w:pStyle w:val="NoSpacing"/>
        <w:rPr>
          <w:rFonts w:ascii="Garamond Premr Pro" w:hAnsi="Garamond Premr Pro"/>
          <w:sz w:val="20"/>
          <w:szCs w:val="20"/>
        </w:rPr>
      </w:pPr>
    </w:p>
    <w:p>
      <w:pPr>
        <w:pStyle w:val="NoSpacing"/>
        <w:rPr>
          <w:rFonts w:ascii="Garamond Premr Pro" w:hAnsi="Garamond Premr Pro"/>
          <w:sz w:val="20"/>
          <w:szCs w:val="20"/>
        </w:rPr>
      </w:pPr>
      <w:r>
        <w:rPr>
          <w:rFonts w:ascii="Garamond Premr Pro" w:hAnsi="Garamond Premr Pro"/>
          <w:sz w:val="20"/>
          <w:szCs w:val="20"/>
        </w:rPr>
        <w:t xml:space="preserve">** For purposes of this letter, the term “Regulated Fund” refers to any fund that is </w:t>
      </w:r>
      <w:proofErr w:type="spellStart"/>
      <w:r>
        <w:rPr>
          <w:rFonts w:ascii="Garamond Premr Pro" w:hAnsi="Garamond Premr Pro"/>
          <w:sz w:val="20"/>
          <w:szCs w:val="20"/>
        </w:rPr>
        <w:t>organized</w:t>
      </w:r>
      <w:proofErr w:type="spellEnd"/>
      <w:r>
        <w:rPr>
          <w:rFonts w:ascii="Garamond Premr Pro" w:hAnsi="Garamond Premr Pro"/>
          <w:sz w:val="20"/>
          <w:szCs w:val="20"/>
        </w:rPr>
        <w:t xml:space="preserve"> or formed under the laws of a nation, is authorized for public sale in the country in which it is </w:t>
      </w:r>
      <w:proofErr w:type="spellStart"/>
      <w:r>
        <w:rPr>
          <w:rFonts w:ascii="Garamond Premr Pro" w:hAnsi="Garamond Premr Pro"/>
          <w:sz w:val="20"/>
          <w:szCs w:val="20"/>
        </w:rPr>
        <w:t>organized</w:t>
      </w:r>
      <w:proofErr w:type="spellEnd"/>
      <w:r>
        <w:rPr>
          <w:rFonts w:ascii="Garamond Premr Pro" w:hAnsi="Garamond Premr Pro"/>
          <w:sz w:val="20"/>
          <w:szCs w:val="20"/>
        </w:rPr>
        <w:t xml:space="preserve"> or formed, and is regulated as a public investment company under the laws of that country.  Generally, such funds are regulated to make them eligible for sale to the retail public, even if a particular fund may elect to limit its offering to institutional investors.  Such funds typically are subject to substantive regulation in areas such as disclosure, form of </w:t>
      </w:r>
      <w:proofErr w:type="spellStart"/>
      <w:r>
        <w:rPr>
          <w:rFonts w:ascii="Garamond Premr Pro" w:hAnsi="Garamond Premr Pro"/>
          <w:sz w:val="20"/>
          <w:szCs w:val="20"/>
        </w:rPr>
        <w:t>organization</w:t>
      </w:r>
      <w:proofErr w:type="spellEnd"/>
      <w:r>
        <w:rPr>
          <w:rFonts w:ascii="Garamond Premr Pro" w:hAnsi="Garamond Premr Pro"/>
          <w:sz w:val="20"/>
          <w:szCs w:val="20"/>
        </w:rPr>
        <w:t>, custody, minimum capital, valuation, investment restrictions (</w:t>
      </w:r>
      <w:r>
        <w:rPr>
          <w:rFonts w:ascii="Garamond Premr Pro" w:hAnsi="Garamond Premr Pro"/>
          <w:i/>
          <w:iCs/>
          <w:sz w:val="20"/>
          <w:szCs w:val="20"/>
        </w:rPr>
        <w:t>e.g</w:t>
      </w:r>
      <w:r>
        <w:rPr>
          <w:rFonts w:ascii="Garamond Premr Pro" w:hAnsi="Garamond Premr Pro"/>
          <w:sz w:val="20"/>
          <w:szCs w:val="20"/>
        </w:rPr>
        <w:t>., leve</w:t>
      </w:r>
      <w:r>
        <w:rPr>
          <w:rFonts w:ascii="Garamond Premr Pro" w:hAnsi="Garamond Premr Pro"/>
          <w:sz w:val="20"/>
          <w:szCs w:val="20"/>
        </w:rPr>
        <w:t>r</w:t>
      </w:r>
      <w:r>
        <w:rPr>
          <w:rFonts w:ascii="Garamond Premr Pro" w:hAnsi="Garamond Premr Pro"/>
          <w:sz w:val="20"/>
          <w:szCs w:val="20"/>
        </w:rPr>
        <w:t>age, types of investments or “eligible assets,” concentration limits and/or diversification standards).  Exa</w:t>
      </w:r>
      <w:r>
        <w:rPr>
          <w:rFonts w:ascii="Garamond Premr Pro" w:hAnsi="Garamond Premr Pro"/>
          <w:sz w:val="20"/>
          <w:szCs w:val="20"/>
        </w:rPr>
        <w:t>m</w:t>
      </w:r>
      <w:r>
        <w:rPr>
          <w:rFonts w:ascii="Garamond Premr Pro" w:hAnsi="Garamond Premr Pro"/>
          <w:sz w:val="20"/>
          <w:szCs w:val="20"/>
        </w:rPr>
        <w:t xml:space="preserve">ples of such funds include: US investment companies regulated under the Investment Company Act of 1940 (“Investment Company Act”); “Undertakings for Collective Investment in Transferable Securities,” or </w:t>
      </w:r>
      <w:proofErr w:type="spellStart"/>
      <w:r>
        <w:rPr>
          <w:rFonts w:ascii="Garamond Premr Pro" w:hAnsi="Garamond Premr Pro"/>
          <w:sz w:val="20"/>
          <w:szCs w:val="20"/>
        </w:rPr>
        <w:t>UCITS</w:t>
      </w:r>
      <w:proofErr w:type="spellEnd"/>
      <w:r>
        <w:rPr>
          <w:rFonts w:ascii="Garamond Premr Pro" w:hAnsi="Garamond Premr Pro"/>
          <w:sz w:val="20"/>
          <w:szCs w:val="20"/>
        </w:rPr>
        <w:t>, in the European Union; Canadian mutual funds; and Japanese investment trusts.</w:t>
      </w:r>
    </w:p>
    <w:permEnd w:id="9"/>
    <w:p>
      <w:r>
        <w:t>&lt; ESMA_COMMENT_MIFID_ADD_1&gt;</w:t>
      </w:r>
    </w:p>
    <w:p>
      <w:pPr>
        <w:pStyle w:val="CPQuestions"/>
        <w:ind w:left="714" w:hanging="357"/>
      </w:pPr>
      <w:r>
        <w:rPr>
          <w:rFonts w:cs="Arial"/>
          <w:szCs w:val="22"/>
        </w:rPr>
        <w:br w:type="page"/>
      </w:r>
      <w:r>
        <w:lastRenderedPageBreak/>
        <w:t>Do you agree with ESMA’s proposal for the definition of a liquid market? Please provide an answer detailed per asset class identified (deliverable forwards, non-deliverable forwards, options, swaps, spread betting contracts and futures) a</w:t>
      </w:r>
      <w:r>
        <w:t>d</w:t>
      </w:r>
      <w:r>
        <w:t xml:space="preserve">dressing the following points: </w:t>
      </w:r>
    </w:p>
    <w:p>
      <w:pPr>
        <w:pStyle w:val="CPQuest2"/>
      </w:pPr>
      <w:r>
        <w:t>Would you use different qualitative criteria to define the sub-classes? Please also specify if you agree in distinguishing or not distinguishing between deliverable and non-deliverable contracts. If you would distinguish between deliverable and non-deliverable contracts for other classes besides forwards, please provide your feedback as specific as possible with regard to the sub-classes that should be deemed liquid for deliverable contracts and those for non-deliverable contracts, pointing out the differences between the two sub-groups.</w:t>
      </w:r>
    </w:p>
    <w:p>
      <w:pPr>
        <w:pStyle w:val="CPQuest2"/>
      </w:pPr>
      <w:r>
        <w:t>Would you use different parameters or the same parameters (i.e. average number of trades per day and average notional amount traded per day) but different thresholds in order to define a sub-class as liquid?</w:t>
      </w:r>
    </w:p>
    <w:p>
      <w:pPr>
        <w:pStyle w:val="CPQuest2"/>
      </w:pPr>
      <w:r>
        <w:t>Would you define some specific classes declared as liquid in ESMA’s proposal as illiquid (and vice versa)? Please provide reasons for your answer.</w:t>
      </w:r>
    </w:p>
    <w:p>
      <w:r>
        <w:t>&lt;ESMA_QUESTION_MIFID_ADD_1&gt;</w:t>
      </w:r>
    </w:p>
    <w:p>
      <w:pPr>
        <w:pStyle w:val="BodyText"/>
        <w:numPr>
          <w:ilvl w:val="0"/>
          <w:numId w:val="0"/>
        </w:numPr>
        <w:jc w:val="left"/>
        <w:rPr>
          <w:rFonts w:ascii="Garamond Premr Pro" w:hAnsi="Garamond Premr Pro"/>
        </w:rPr>
      </w:pPr>
      <w:permStart w:id="10" w:edGrp="everyone"/>
      <w:r>
        <w:rPr>
          <w:rFonts w:ascii="Garamond Premr Pro" w:hAnsi="Garamond Premr Pro"/>
        </w:rPr>
        <w:t xml:space="preserve">In general, ICI Global agrees with </w:t>
      </w:r>
      <w:proofErr w:type="spellStart"/>
      <w:r>
        <w:rPr>
          <w:rFonts w:ascii="Garamond Premr Pro" w:hAnsi="Garamond Premr Pro"/>
        </w:rPr>
        <w:t>ESMA’s</w:t>
      </w:r>
      <w:proofErr w:type="spellEnd"/>
      <w:r>
        <w:rPr>
          <w:rFonts w:ascii="Garamond Premr Pro" w:hAnsi="Garamond Premr Pro"/>
        </w:rPr>
        <w:t xml:space="preserve"> use of the Classes of Financial Instruments approach or “</w:t>
      </w:r>
      <w:proofErr w:type="spellStart"/>
      <w:r>
        <w:rPr>
          <w:rFonts w:ascii="Garamond Premr Pro" w:hAnsi="Garamond Premr Pro"/>
        </w:rPr>
        <w:t>COFIA</w:t>
      </w:r>
      <w:proofErr w:type="spellEnd"/>
      <w:r>
        <w:rPr>
          <w:rFonts w:ascii="Garamond Premr Pro" w:hAnsi="Garamond Premr Pro"/>
        </w:rPr>
        <w:t>” to assess liquidity for derivatives because it is likely to be simpler to apply than the alternative Instrument by Instrument approach or “</w:t>
      </w:r>
      <w:proofErr w:type="spellStart"/>
      <w:r>
        <w:rPr>
          <w:rFonts w:ascii="Garamond Premr Pro" w:hAnsi="Garamond Premr Pro"/>
        </w:rPr>
        <w:t>IBIA</w:t>
      </w:r>
      <w:proofErr w:type="spellEnd"/>
      <w:r>
        <w:rPr>
          <w:rFonts w:ascii="Garamond Premr Pro" w:hAnsi="Garamond Premr Pro"/>
        </w:rPr>
        <w:t xml:space="preserve">.” </w:t>
      </w:r>
    </w:p>
    <w:p>
      <w:pPr>
        <w:pStyle w:val="BodyText"/>
        <w:numPr>
          <w:ilvl w:val="0"/>
          <w:numId w:val="0"/>
        </w:numPr>
        <w:jc w:val="left"/>
        <w:rPr>
          <w:rFonts w:ascii="Garamond Premr Pro" w:hAnsi="Garamond Premr Pro"/>
        </w:rPr>
      </w:pPr>
      <w:r>
        <w:rPr>
          <w:rFonts w:ascii="Garamond Premr Pro" w:hAnsi="Garamond Premr Pro"/>
        </w:rPr>
        <w:t xml:space="preserve">One of the liquidity tests proposed by </w:t>
      </w:r>
      <w:proofErr w:type="spellStart"/>
      <w:r>
        <w:rPr>
          <w:rFonts w:ascii="Garamond Premr Pro" w:hAnsi="Garamond Premr Pro"/>
        </w:rPr>
        <w:t>ESMA</w:t>
      </w:r>
      <w:proofErr w:type="spellEnd"/>
      <w:r>
        <w:rPr>
          <w:rFonts w:ascii="Garamond Premr Pro" w:hAnsi="Garamond Premr Pro"/>
        </w:rPr>
        <w:t xml:space="preserve"> is that the instrument must have been traded on at least 80% of available trading days over the relevant period.  ICI Global is of the view that instruments should only be treated as liquid if they trade </w:t>
      </w:r>
      <w:r>
        <w:rPr>
          <w:rFonts w:ascii="Garamond Premr Pro" w:hAnsi="Garamond Premr Pro"/>
          <w:u w:val="single"/>
        </w:rPr>
        <w:t>at least</w:t>
      </w:r>
      <w:r>
        <w:rPr>
          <w:rFonts w:ascii="Garamond Premr Pro" w:hAnsi="Garamond Premr Pro"/>
        </w:rPr>
        <w:t xml:space="preserve"> every day.   A lower threshold may not account for periods of low liquidity during which the application of full transparency requirements could prove damaging.  </w:t>
      </w:r>
    </w:p>
    <w:p>
      <w:pPr>
        <w:pStyle w:val="BodyText"/>
        <w:numPr>
          <w:ilvl w:val="0"/>
          <w:numId w:val="0"/>
        </w:numPr>
        <w:jc w:val="left"/>
        <w:rPr>
          <w:rFonts w:ascii="Garamond Premr Pro" w:hAnsi="Garamond Premr Pro"/>
        </w:rPr>
      </w:pPr>
      <w:r>
        <w:rPr>
          <w:rFonts w:ascii="Garamond Premr Pro" w:hAnsi="Garamond Premr Pro"/>
        </w:rPr>
        <w:t>We also agree that different thresholds (</w:t>
      </w:r>
      <w:r>
        <w:rPr>
          <w:rFonts w:ascii="Garamond Premr Pro" w:hAnsi="Garamond Premr Pro"/>
          <w:i/>
        </w:rPr>
        <w:t>i.e.,</w:t>
      </w:r>
      <w:r>
        <w:rPr>
          <w:rFonts w:ascii="Garamond Premr Pro" w:hAnsi="Garamond Premr Pro"/>
        </w:rPr>
        <w:t xml:space="preserve"> average number of trades per day and average notional amount traded per day) should apply to define a sub-class of assets as liquid.  The Consultation Paper, however, does not explain how </w:t>
      </w:r>
      <w:proofErr w:type="spellStart"/>
      <w:r>
        <w:rPr>
          <w:rFonts w:ascii="Garamond Premr Pro" w:hAnsi="Garamond Premr Pro"/>
        </w:rPr>
        <w:t>ESMA</w:t>
      </w:r>
      <w:proofErr w:type="spellEnd"/>
      <w:r>
        <w:rPr>
          <w:rFonts w:ascii="Garamond Premr Pro" w:hAnsi="Garamond Premr Pro"/>
        </w:rPr>
        <w:t xml:space="preserve"> determined the different thresholds as being appropriate for each sub-class.  Unless </w:t>
      </w:r>
      <w:proofErr w:type="spellStart"/>
      <w:r>
        <w:rPr>
          <w:rFonts w:ascii="Garamond Premr Pro" w:hAnsi="Garamond Premr Pro"/>
        </w:rPr>
        <w:t>ESMA</w:t>
      </w:r>
      <w:proofErr w:type="spellEnd"/>
      <w:r>
        <w:rPr>
          <w:rFonts w:ascii="Garamond Premr Pro" w:hAnsi="Garamond Premr Pro"/>
        </w:rPr>
        <w:t xml:space="preserve"> provides an explanation for applying a particular threshold to a sub-class for determining liquidity, it is extremely difficult for market participants to evaluate whether appropriate thresholds are being used (and to provide useful feedback to </w:t>
      </w:r>
      <w:proofErr w:type="spellStart"/>
      <w:r>
        <w:rPr>
          <w:rFonts w:ascii="Garamond Premr Pro" w:hAnsi="Garamond Premr Pro"/>
        </w:rPr>
        <w:t>ESMA</w:t>
      </w:r>
      <w:proofErr w:type="spellEnd"/>
      <w:r>
        <w:rPr>
          <w:rFonts w:ascii="Garamond Premr Pro" w:hAnsi="Garamond Premr Pro"/>
        </w:rPr>
        <w:t>).  Although we do not underestimate the eno</w:t>
      </w:r>
      <w:r>
        <w:rPr>
          <w:rFonts w:ascii="Garamond Premr Pro" w:hAnsi="Garamond Premr Pro"/>
        </w:rPr>
        <w:t>r</w:t>
      </w:r>
      <w:r>
        <w:rPr>
          <w:rFonts w:ascii="Garamond Premr Pro" w:hAnsi="Garamond Premr Pro"/>
        </w:rPr>
        <w:t xml:space="preserve">mity of </w:t>
      </w:r>
      <w:proofErr w:type="spellStart"/>
      <w:r>
        <w:rPr>
          <w:rFonts w:ascii="Garamond Premr Pro" w:hAnsi="Garamond Premr Pro"/>
        </w:rPr>
        <w:t>ESMA’s</w:t>
      </w:r>
      <w:proofErr w:type="spellEnd"/>
      <w:r>
        <w:rPr>
          <w:rFonts w:ascii="Garamond Premr Pro" w:hAnsi="Garamond Premr Pro"/>
        </w:rPr>
        <w:t xml:space="preserve"> task in drafting Level 2 technical standards under </w:t>
      </w:r>
      <w:proofErr w:type="spellStart"/>
      <w:r>
        <w:rPr>
          <w:rFonts w:ascii="Garamond Premr Pro" w:hAnsi="Garamond Premr Pro"/>
        </w:rPr>
        <w:t>MiFID</w:t>
      </w:r>
      <w:proofErr w:type="spellEnd"/>
      <w:r>
        <w:rPr>
          <w:rFonts w:ascii="Garamond Premr Pro" w:hAnsi="Garamond Premr Pro"/>
        </w:rPr>
        <w:t xml:space="preserve"> II and </w:t>
      </w:r>
      <w:proofErr w:type="spellStart"/>
      <w:r>
        <w:rPr>
          <w:rFonts w:ascii="Garamond Premr Pro" w:hAnsi="Garamond Premr Pro"/>
        </w:rPr>
        <w:t>MiFIR</w:t>
      </w:r>
      <w:proofErr w:type="spellEnd"/>
      <w:r>
        <w:rPr>
          <w:rFonts w:ascii="Garamond Premr Pro" w:hAnsi="Garamond Premr Pro"/>
        </w:rPr>
        <w:t xml:space="preserve">, we believe that it would be both good policy and practice to provide market participants with a rationale for proposing to adopt particular thresholds for each sub-class.   </w:t>
      </w:r>
    </w:p>
    <w:p>
      <w:pPr>
        <w:pStyle w:val="BodyText"/>
        <w:numPr>
          <w:ilvl w:val="0"/>
          <w:numId w:val="0"/>
        </w:numPr>
        <w:jc w:val="left"/>
        <w:rPr>
          <w:rFonts w:ascii="Garamond Premr Pro" w:hAnsi="Garamond Premr Pro"/>
        </w:rPr>
      </w:pPr>
      <w:r>
        <w:rPr>
          <w:rFonts w:ascii="Garamond Premr Pro" w:hAnsi="Garamond Premr Pro"/>
        </w:rPr>
        <w:t xml:space="preserve">ICI Global also supports the additional tests that </w:t>
      </w:r>
      <w:proofErr w:type="spellStart"/>
      <w:r>
        <w:rPr>
          <w:rFonts w:ascii="Garamond Premr Pro" w:hAnsi="Garamond Premr Pro"/>
        </w:rPr>
        <w:t>ESMA</w:t>
      </w:r>
      <w:proofErr w:type="spellEnd"/>
      <w:r>
        <w:rPr>
          <w:rFonts w:ascii="Garamond Premr Pro" w:hAnsi="Garamond Premr Pro"/>
        </w:rPr>
        <w:t xml:space="preserve"> has proposed to confirm the l</w:t>
      </w:r>
      <w:r>
        <w:rPr>
          <w:rFonts w:ascii="Garamond Premr Pro" w:hAnsi="Garamond Premr Pro"/>
        </w:rPr>
        <w:t>i</w:t>
      </w:r>
      <w:r>
        <w:rPr>
          <w:rFonts w:ascii="Garamond Premr Pro" w:hAnsi="Garamond Premr Pro"/>
        </w:rPr>
        <w:t>quidity of each sub-class of foreign exchange derivatives, including the requirement for a coverage ratio to be met for the entire asset class (</w:t>
      </w:r>
      <w:r>
        <w:rPr>
          <w:rFonts w:ascii="Garamond Premr Pro" w:hAnsi="Garamond Premr Pro"/>
          <w:i/>
        </w:rPr>
        <w:t>i.e.,</w:t>
      </w:r>
      <w:r>
        <w:rPr>
          <w:rFonts w:ascii="Garamond Premr Pro" w:hAnsi="Garamond Premr Pro"/>
        </w:rPr>
        <w:t xml:space="preserve"> in terms of number of trades and </w:t>
      </w:r>
      <w:r>
        <w:rPr>
          <w:rFonts w:ascii="Garamond Premr Pro" w:hAnsi="Garamond Premr Pro"/>
        </w:rPr>
        <w:lastRenderedPageBreak/>
        <w:t>notional amount) before the relevant instruments will be treated as liquid.  We reco</w:t>
      </w:r>
      <w:r>
        <w:rPr>
          <w:rFonts w:ascii="Garamond Premr Pro" w:hAnsi="Garamond Premr Pro"/>
        </w:rPr>
        <w:t>m</w:t>
      </w:r>
      <w:r>
        <w:rPr>
          <w:rFonts w:ascii="Garamond Premr Pro" w:hAnsi="Garamond Premr Pro"/>
        </w:rPr>
        <w:t xml:space="preserve">mend, however, that </w:t>
      </w:r>
      <w:proofErr w:type="spellStart"/>
      <w:r>
        <w:rPr>
          <w:rFonts w:ascii="Garamond Premr Pro" w:hAnsi="Garamond Premr Pro"/>
        </w:rPr>
        <w:t>ESMA</w:t>
      </w:r>
      <w:proofErr w:type="spellEnd"/>
      <w:r>
        <w:rPr>
          <w:rFonts w:ascii="Garamond Premr Pro" w:hAnsi="Garamond Premr Pro"/>
        </w:rPr>
        <w:t xml:space="preserve"> increase this coverage ratio to ensure that illiquid instruments are not incorrectly classified as liquid.  Misclassification of illiquid instruments would not be mitigated by the availability of waivers and deferrals for large in scale or the size sp</w:t>
      </w:r>
      <w:r>
        <w:rPr>
          <w:rFonts w:ascii="Garamond Premr Pro" w:hAnsi="Garamond Premr Pro"/>
        </w:rPr>
        <w:t>e</w:t>
      </w:r>
      <w:r>
        <w:rPr>
          <w:rFonts w:ascii="Garamond Premr Pro" w:hAnsi="Garamond Premr Pro"/>
        </w:rPr>
        <w:t>cific to the financial instrument (“</w:t>
      </w:r>
      <w:proofErr w:type="spellStart"/>
      <w:r>
        <w:rPr>
          <w:rFonts w:ascii="Garamond Premr Pro" w:hAnsi="Garamond Premr Pro"/>
        </w:rPr>
        <w:t>SSTI</w:t>
      </w:r>
      <w:proofErr w:type="spellEnd"/>
      <w:r>
        <w:rPr>
          <w:rFonts w:ascii="Garamond Premr Pro" w:hAnsi="Garamond Premr Pro"/>
        </w:rPr>
        <w:t xml:space="preserve">”) transactions, and it is vital that misclassifications and “false positives” be minimised to the greatest extent possible.  </w:t>
      </w:r>
    </w:p>
    <w:p>
      <w:pPr>
        <w:pStyle w:val="BodyText"/>
        <w:numPr>
          <w:ilvl w:val="0"/>
          <w:numId w:val="0"/>
        </w:numPr>
        <w:jc w:val="left"/>
        <w:rPr>
          <w:rFonts w:ascii="Garamond Premr Pro" w:hAnsi="Garamond Premr Pro"/>
        </w:rPr>
      </w:pPr>
      <w:r>
        <w:rPr>
          <w:rFonts w:ascii="Garamond Premr Pro" w:hAnsi="Garamond Premr Pro"/>
        </w:rPr>
        <w:t xml:space="preserve">Finally, </w:t>
      </w:r>
      <w:proofErr w:type="spellStart"/>
      <w:r>
        <w:rPr>
          <w:rFonts w:ascii="Garamond Premr Pro" w:hAnsi="Garamond Premr Pro"/>
        </w:rPr>
        <w:t>ESMA</w:t>
      </w:r>
      <w:proofErr w:type="spellEnd"/>
      <w:r>
        <w:rPr>
          <w:rFonts w:ascii="Garamond Premr Pro" w:hAnsi="Garamond Premr Pro"/>
        </w:rPr>
        <w:t xml:space="preserve"> analysed the classes of instruments in the Consultation Paper on the basis of data collected over only a three-month period (from 1 March 2014 to 31 May 2014).  This period appears to us to be relatively short and may not reflect a range of trading cond</w:t>
      </w:r>
      <w:r>
        <w:rPr>
          <w:rFonts w:ascii="Garamond Premr Pro" w:hAnsi="Garamond Premr Pro"/>
        </w:rPr>
        <w:t>i</w:t>
      </w:r>
      <w:r>
        <w:rPr>
          <w:rFonts w:ascii="Garamond Premr Pro" w:hAnsi="Garamond Premr Pro"/>
        </w:rPr>
        <w:t xml:space="preserve">tions, ignoring, for example, seasonal fluctuations in liquidity.  In our view, </w:t>
      </w:r>
      <w:proofErr w:type="spellStart"/>
      <w:r>
        <w:rPr>
          <w:rFonts w:ascii="Garamond Premr Pro" w:hAnsi="Garamond Premr Pro"/>
        </w:rPr>
        <w:t>ESMA’s</w:t>
      </w:r>
      <w:proofErr w:type="spellEnd"/>
      <w:r>
        <w:rPr>
          <w:rFonts w:ascii="Garamond Premr Pro" w:hAnsi="Garamond Premr Pro"/>
        </w:rPr>
        <w:t xml:space="preserve"> pr</w:t>
      </w:r>
      <w:r>
        <w:rPr>
          <w:rFonts w:ascii="Garamond Premr Pro" w:hAnsi="Garamond Premr Pro"/>
        </w:rPr>
        <w:t>o</w:t>
      </w:r>
      <w:r>
        <w:rPr>
          <w:rFonts w:ascii="Garamond Premr Pro" w:hAnsi="Garamond Premr Pro"/>
        </w:rPr>
        <w:t>posed approach of building the results of its liquidity analysis into the draft regulatory technical standards (“</w:t>
      </w:r>
      <w:proofErr w:type="spellStart"/>
      <w:r>
        <w:rPr>
          <w:rFonts w:ascii="Garamond Premr Pro" w:hAnsi="Garamond Premr Pro"/>
        </w:rPr>
        <w:t>RTS</w:t>
      </w:r>
      <w:proofErr w:type="spellEnd"/>
      <w:r>
        <w:rPr>
          <w:rFonts w:ascii="Garamond Premr Pro" w:hAnsi="Garamond Premr Pro"/>
        </w:rPr>
        <w:t xml:space="preserve">”) is problematic for this reason.  If a short look back period is to be used, </w:t>
      </w:r>
      <w:proofErr w:type="spellStart"/>
      <w:r>
        <w:rPr>
          <w:rFonts w:ascii="Garamond Premr Pro" w:hAnsi="Garamond Premr Pro"/>
        </w:rPr>
        <w:t>ESMA</w:t>
      </w:r>
      <w:proofErr w:type="spellEnd"/>
      <w:r>
        <w:rPr>
          <w:rFonts w:ascii="Garamond Premr Pro" w:hAnsi="Garamond Premr Pro"/>
        </w:rPr>
        <w:t xml:space="preserve"> should ensure that the results of the liquidity analysis are regularly u</w:t>
      </w:r>
      <w:r>
        <w:rPr>
          <w:rFonts w:ascii="Garamond Premr Pro" w:hAnsi="Garamond Premr Pro"/>
        </w:rPr>
        <w:t>p</w:t>
      </w:r>
      <w:r>
        <w:rPr>
          <w:rFonts w:ascii="Garamond Premr Pro" w:hAnsi="Garamond Premr Pro"/>
        </w:rPr>
        <w:t xml:space="preserve">dated and reviewed to keep pace with changing market conditions.  Under </w:t>
      </w:r>
      <w:proofErr w:type="spellStart"/>
      <w:r>
        <w:rPr>
          <w:rFonts w:ascii="Garamond Premr Pro" w:hAnsi="Garamond Premr Pro"/>
        </w:rPr>
        <w:t>ESMA’s</w:t>
      </w:r>
      <w:proofErr w:type="spellEnd"/>
      <w:r>
        <w:rPr>
          <w:rFonts w:ascii="Garamond Premr Pro" w:hAnsi="Garamond Premr Pro"/>
        </w:rPr>
        <w:t xml:space="preserve"> cu</w:t>
      </w:r>
      <w:r>
        <w:rPr>
          <w:rFonts w:ascii="Garamond Premr Pro" w:hAnsi="Garamond Premr Pro"/>
        </w:rPr>
        <w:t>r</w:t>
      </w:r>
      <w:r>
        <w:rPr>
          <w:rFonts w:ascii="Garamond Premr Pro" w:hAnsi="Garamond Premr Pro"/>
        </w:rPr>
        <w:t xml:space="preserve">rent approach, however, altering the characterisation of a sub-class of instruments as either liquid or illiquid would require adopting a new </w:t>
      </w:r>
      <w:proofErr w:type="spellStart"/>
      <w:r>
        <w:rPr>
          <w:rFonts w:ascii="Garamond Premr Pro" w:hAnsi="Garamond Premr Pro"/>
        </w:rPr>
        <w:t>RTS</w:t>
      </w:r>
      <w:proofErr w:type="spellEnd"/>
      <w:r>
        <w:rPr>
          <w:rFonts w:ascii="Garamond Premr Pro" w:hAnsi="Garamond Premr Pro"/>
        </w:rPr>
        <w:t xml:space="preserve">, which can be a time-consuming process given scrutiny periods built into the passage of EU legislation.  ICI Global therefore recommends that the draft </w:t>
      </w:r>
      <w:proofErr w:type="spellStart"/>
      <w:r>
        <w:rPr>
          <w:rFonts w:ascii="Garamond Premr Pro" w:hAnsi="Garamond Premr Pro"/>
        </w:rPr>
        <w:t>RTS</w:t>
      </w:r>
      <w:proofErr w:type="spellEnd"/>
      <w:r>
        <w:rPr>
          <w:rFonts w:ascii="Garamond Premr Pro" w:hAnsi="Garamond Premr Pro"/>
        </w:rPr>
        <w:t xml:space="preserve"> include the framework (</w:t>
      </w:r>
      <w:r>
        <w:rPr>
          <w:rFonts w:ascii="Garamond Premr Pro" w:hAnsi="Garamond Premr Pro"/>
          <w:i/>
        </w:rPr>
        <w:t xml:space="preserve">i.e., </w:t>
      </w:r>
      <w:r>
        <w:rPr>
          <w:rFonts w:ascii="Garamond Premr Pro" w:hAnsi="Garamond Premr Pro"/>
        </w:rPr>
        <w:t xml:space="preserve">criteria) for assessing liquidity rather than the results of the liquidity assessment.  This approach would be similar to the one </w:t>
      </w:r>
      <w:proofErr w:type="spellStart"/>
      <w:r>
        <w:rPr>
          <w:rFonts w:ascii="Garamond Premr Pro" w:hAnsi="Garamond Premr Pro"/>
        </w:rPr>
        <w:t>ESMA</w:t>
      </w:r>
      <w:proofErr w:type="spellEnd"/>
      <w:r>
        <w:rPr>
          <w:rFonts w:ascii="Garamond Premr Pro" w:hAnsi="Garamond Premr Pro"/>
        </w:rPr>
        <w:t xml:space="preserve"> proposed in relation to the derivatives trading oblig</w:t>
      </w:r>
      <w:r>
        <w:rPr>
          <w:rFonts w:ascii="Garamond Premr Pro" w:hAnsi="Garamond Premr Pro"/>
        </w:rPr>
        <w:t>a</w:t>
      </w:r>
      <w:r>
        <w:rPr>
          <w:rFonts w:ascii="Garamond Premr Pro" w:hAnsi="Garamond Premr Pro"/>
        </w:rPr>
        <w:t xml:space="preserve">tion, in which a general framework for assessing liquidity was incorporated into the draft </w:t>
      </w:r>
      <w:proofErr w:type="spellStart"/>
      <w:r>
        <w:rPr>
          <w:rFonts w:ascii="Garamond Premr Pro" w:hAnsi="Garamond Premr Pro"/>
        </w:rPr>
        <w:t>RTS</w:t>
      </w:r>
      <w:proofErr w:type="spellEnd"/>
      <w:r>
        <w:rPr>
          <w:rFonts w:ascii="Garamond Premr Pro" w:hAnsi="Garamond Premr Pro"/>
        </w:rPr>
        <w:t xml:space="preserve"> (“</w:t>
      </w:r>
      <w:proofErr w:type="spellStart"/>
      <w:r>
        <w:rPr>
          <w:rFonts w:ascii="Garamond Premr Pro" w:hAnsi="Garamond Premr Pro"/>
        </w:rPr>
        <w:t>RTS</w:t>
      </w:r>
      <w:proofErr w:type="spellEnd"/>
      <w:r>
        <w:rPr>
          <w:rFonts w:ascii="Garamond Premr Pro" w:hAnsi="Garamond Premr Pro"/>
        </w:rPr>
        <w:t xml:space="preserve"> 11: Draft regulatory technical standards on criteria for determining whether derivatives should be subject to the trading obligation,” set out in </w:t>
      </w:r>
      <w:proofErr w:type="spellStart"/>
      <w:r>
        <w:rPr>
          <w:rFonts w:ascii="Garamond Premr Pro" w:hAnsi="Garamond Premr Pro"/>
        </w:rPr>
        <w:t>Annex</w:t>
      </w:r>
      <w:proofErr w:type="spellEnd"/>
      <w:r>
        <w:rPr>
          <w:rFonts w:ascii="Garamond Premr Pro" w:hAnsi="Garamond Premr Pro"/>
        </w:rPr>
        <w:t xml:space="preserve"> B of </w:t>
      </w:r>
      <w:proofErr w:type="spellStart"/>
      <w:r>
        <w:rPr>
          <w:rFonts w:ascii="Garamond Premr Pro" w:hAnsi="Garamond Premr Pro"/>
        </w:rPr>
        <w:t>ESMA’s</w:t>
      </w:r>
      <w:proofErr w:type="spellEnd"/>
      <w:r>
        <w:rPr>
          <w:rFonts w:ascii="Garamond Premr Pro" w:hAnsi="Garamond Premr Pro"/>
        </w:rPr>
        <w:t xml:space="preserve"> </w:t>
      </w:r>
      <w:proofErr w:type="spellStart"/>
      <w:r>
        <w:rPr>
          <w:rFonts w:ascii="Garamond Premr Pro" w:hAnsi="Garamond Premr Pro"/>
        </w:rPr>
        <w:t>MiFID</w:t>
      </w:r>
      <w:proofErr w:type="spellEnd"/>
      <w:r>
        <w:rPr>
          <w:rFonts w:ascii="Garamond Premr Pro" w:hAnsi="Garamond Premr Pro"/>
        </w:rPr>
        <w:t xml:space="preserve"> II/</w:t>
      </w:r>
      <w:proofErr w:type="spellStart"/>
      <w:r>
        <w:rPr>
          <w:rFonts w:ascii="Garamond Premr Pro" w:hAnsi="Garamond Premr Pro"/>
        </w:rPr>
        <w:t>MiFIR</w:t>
      </w:r>
      <w:proofErr w:type="spellEnd"/>
      <w:r>
        <w:rPr>
          <w:rFonts w:ascii="Garamond Premr Pro" w:hAnsi="Garamond Premr Pro"/>
        </w:rPr>
        <w:t xml:space="preserve"> Consultation Paper).  </w:t>
      </w:r>
    </w:p>
    <w:p>
      <w:pPr>
        <w:pStyle w:val="BodyText"/>
        <w:numPr>
          <w:ilvl w:val="0"/>
          <w:numId w:val="0"/>
        </w:numPr>
        <w:jc w:val="left"/>
        <w:rPr>
          <w:rFonts w:ascii="Garamond Premr Pro" w:hAnsi="Garamond Premr Pro"/>
        </w:rPr>
      </w:pPr>
      <w:r>
        <w:rPr>
          <w:rFonts w:ascii="Garamond Premr Pro" w:hAnsi="Garamond Premr Pro"/>
        </w:rPr>
        <w:t>We believe that the asset or sub-asset classes should be reassessed based on these criteria on a periodic (at least yearly) basis with the results of the liquidity analysis published separately (</w:t>
      </w:r>
      <w:r>
        <w:rPr>
          <w:rFonts w:ascii="Garamond Premr Pro" w:hAnsi="Garamond Premr Pro"/>
          <w:i/>
        </w:rPr>
        <w:t>e.g.,</w:t>
      </w:r>
      <w:r>
        <w:rPr>
          <w:rFonts w:ascii="Garamond Premr Pro" w:hAnsi="Garamond Premr Pro"/>
        </w:rPr>
        <w:t xml:space="preserve"> on </w:t>
      </w:r>
      <w:proofErr w:type="spellStart"/>
      <w:r>
        <w:rPr>
          <w:rFonts w:ascii="Garamond Premr Pro" w:hAnsi="Garamond Premr Pro"/>
        </w:rPr>
        <w:t>ESMA’s</w:t>
      </w:r>
      <w:proofErr w:type="spellEnd"/>
      <w:r>
        <w:rPr>
          <w:rFonts w:ascii="Garamond Premr Pro" w:hAnsi="Garamond Premr Pro"/>
        </w:rPr>
        <w:t xml:space="preserve"> website).  </w:t>
      </w:r>
      <w:proofErr w:type="spellStart"/>
      <w:r>
        <w:rPr>
          <w:rFonts w:ascii="Garamond Premr Pro" w:hAnsi="Garamond Premr Pro"/>
        </w:rPr>
        <w:t>ESMA</w:t>
      </w:r>
      <w:proofErr w:type="spellEnd"/>
      <w:r>
        <w:rPr>
          <w:rFonts w:ascii="Garamond Premr Pro" w:hAnsi="Garamond Premr Pro"/>
        </w:rPr>
        <w:t xml:space="preserve"> also should ensure that it has in place an effective strategy for monitoring the ongoing liquidity of instruments so that it can co</w:t>
      </w:r>
      <w:r>
        <w:rPr>
          <w:rFonts w:ascii="Garamond Premr Pro" w:hAnsi="Garamond Premr Pro"/>
        </w:rPr>
        <w:t>n</w:t>
      </w:r>
      <w:r>
        <w:rPr>
          <w:rFonts w:ascii="Garamond Premr Pro" w:hAnsi="Garamond Premr Pro"/>
        </w:rPr>
        <w:t>sider changing their liquidity profile for the purposes of transparency as soon as possible where there are indications that it is likely to change.</w:t>
      </w:r>
    </w:p>
    <w:permEnd w:id="10"/>
    <w:p>
      <w:r>
        <w:t>&lt;ESMA_QUESTION_MIFID_ADD_1&gt;</w:t>
      </w:r>
    </w:p>
    <w:p>
      <w:pPr>
        <w:pStyle w:val="CPQuestions"/>
        <w:ind w:left="714" w:hanging="357"/>
      </w:pPr>
      <w:r>
        <w:t>Do you agree with ESMA’s proposal for foreign exchange derivatives? Please specify, for each sub-class (non-deliverable forwards (NDF), deliverable forwards (DF), FX options, FX swaps, spread betting and FX futures) if you agree on the fo</w:t>
      </w:r>
      <w:r>
        <w:t>l</w:t>
      </w:r>
      <w:r>
        <w:t xml:space="preserve">lowing points providing reasons for your answer and, if you disagree providing ESMA with your alternative proposal: </w:t>
      </w:r>
    </w:p>
    <w:p>
      <w:pPr>
        <w:pStyle w:val="CPQuest2"/>
        <w:numPr>
          <w:ilvl w:val="0"/>
          <w:numId w:val="37"/>
        </w:numPr>
      </w:pPr>
      <w:r>
        <w:t>deferral period set to 48 hours</w:t>
      </w:r>
    </w:p>
    <w:p>
      <w:pPr>
        <w:pStyle w:val="CPQuest2"/>
      </w:pPr>
      <w:r>
        <w:t>size specific to the instrument threshold set as 50% of the large in scale threshold</w:t>
      </w:r>
    </w:p>
    <w:p>
      <w:pPr>
        <w:pStyle w:val="CPQuest2"/>
      </w:pPr>
      <w:r>
        <w:lastRenderedPageBreak/>
        <w:t>volume measure used to set the large in scale and size specific to the instrument threshold as specified in Annex II, Table 3 of draft RTS 9</w:t>
      </w:r>
    </w:p>
    <w:p>
      <w:pPr>
        <w:pStyle w:val="CPQuest2"/>
      </w:pPr>
      <w:r>
        <w:t>pre-trade and post-trade thresholds set at the same size</w:t>
      </w:r>
    </w:p>
    <w:p>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w:t>
      </w:r>
      <w:r>
        <w:t>r</w:t>
      </w:r>
      <w:r>
        <w:t>ence for a system with recalculation (i.e. option 2), provide feedback on the thresholds determined for 2017 and on the methodology to recalculate the thres</w:t>
      </w:r>
      <w:r>
        <w:t>h</w:t>
      </w:r>
      <w:r>
        <w:t>olds from 2018 onwards including the level of granularity of the classes on which the recalculations will be performed</w:t>
      </w:r>
    </w:p>
    <w:p>
      <w:pPr>
        <w:pStyle w:val="CPQuest2"/>
      </w:pPr>
      <w:r>
        <w:rPr>
          <w:u w:val="single"/>
        </w:rPr>
        <w:t>for non-deliverable forwards (NDF) and spread betting contracts only:</w:t>
      </w:r>
      <w:r>
        <w:t xml:space="preserve"> express your preference for either “Alternative A” or “Alternative B”. If you disagree with both ESMA’s proposal provides your alternative proposal for the LIS threshold floor.</w:t>
      </w:r>
    </w:p>
    <w:p>
      <w:r>
        <w:t>&lt;ESMA_QUESTION_MIFID_ADD_2&gt;</w:t>
      </w:r>
    </w:p>
    <w:p>
      <w:pPr>
        <w:pStyle w:val="BodyText"/>
        <w:numPr>
          <w:ilvl w:val="0"/>
          <w:numId w:val="0"/>
        </w:numPr>
        <w:jc w:val="left"/>
        <w:rPr>
          <w:rFonts w:ascii="Garamond Premr Pro" w:hAnsi="Garamond Premr Pro"/>
        </w:rPr>
      </w:pPr>
      <w:permStart w:id="11" w:edGrp="everyone"/>
      <w:proofErr w:type="spellStart"/>
      <w:r>
        <w:rPr>
          <w:rFonts w:ascii="Garamond Premr Pro" w:hAnsi="Garamond Premr Pro"/>
        </w:rPr>
        <w:t>ESMA</w:t>
      </w:r>
      <w:proofErr w:type="spellEnd"/>
      <w:r>
        <w:rPr>
          <w:rFonts w:ascii="Garamond Premr Pro" w:hAnsi="Garamond Premr Pro"/>
        </w:rPr>
        <w:t xml:space="preserve"> has proposed varying the large in scale threshold between liquid and illiquid i</w:t>
      </w:r>
      <w:r>
        <w:rPr>
          <w:rFonts w:ascii="Garamond Premr Pro" w:hAnsi="Garamond Premr Pro"/>
        </w:rPr>
        <w:t>n</w:t>
      </w:r>
      <w:r>
        <w:rPr>
          <w:rFonts w:ascii="Garamond Premr Pro" w:hAnsi="Garamond Premr Pro"/>
        </w:rPr>
        <w:t>struments, such that the large in scale transaction size would be set as the greater of: (</w:t>
      </w:r>
      <w:proofErr w:type="spellStart"/>
      <w:r>
        <w:rPr>
          <w:rFonts w:ascii="Garamond Premr Pro" w:hAnsi="Garamond Premr Pro"/>
        </w:rPr>
        <w:t>i</w:t>
      </w:r>
      <w:proofErr w:type="spellEnd"/>
      <w:r>
        <w:rPr>
          <w:rFonts w:ascii="Garamond Premr Pro" w:hAnsi="Garamond Premr Pro"/>
        </w:rPr>
        <w:t xml:space="preserve">) the threshold determined so that at least 90% of trades in liquid instruments and 70% of trades in illiquid instruments fall below the threshold; and (ii) a specified “threshold floor.”  Although ICI Global generally agrees that transactions in illiquid instruments should benefit from greater protection, we are unsure of what the benefits would be to applying different thresholds given that the same post-trade transparency deferral period of 48 hours would apply to transactions in illiquid instruments regardless of whether or not they were classed as large in scale.  </w:t>
      </w:r>
    </w:p>
    <w:p>
      <w:pPr>
        <w:pStyle w:val="BodyText"/>
        <w:numPr>
          <w:ilvl w:val="0"/>
          <w:numId w:val="0"/>
        </w:numPr>
        <w:jc w:val="left"/>
        <w:rPr>
          <w:rFonts w:ascii="Garamond Premr Pro" w:hAnsi="Garamond Premr Pro"/>
        </w:rPr>
      </w:pPr>
      <w:r>
        <w:rPr>
          <w:rFonts w:ascii="Garamond Premr Pro" w:hAnsi="Garamond Premr Pro"/>
        </w:rPr>
        <w:t xml:space="preserve">In addition, ICI Global is concerned by </w:t>
      </w:r>
      <w:proofErr w:type="spellStart"/>
      <w:r>
        <w:rPr>
          <w:rFonts w:ascii="Garamond Premr Pro" w:hAnsi="Garamond Premr Pro"/>
        </w:rPr>
        <w:t>ESMA’s</w:t>
      </w:r>
      <w:proofErr w:type="spellEnd"/>
      <w:r>
        <w:rPr>
          <w:rFonts w:ascii="Garamond Premr Pro" w:hAnsi="Garamond Premr Pro"/>
        </w:rPr>
        <w:t xml:space="preserve"> proposed 90%/70% “coverage ratio” a</w:t>
      </w:r>
      <w:r>
        <w:rPr>
          <w:rFonts w:ascii="Garamond Premr Pro" w:hAnsi="Garamond Premr Pro"/>
        </w:rPr>
        <w:t>p</w:t>
      </w:r>
      <w:r>
        <w:rPr>
          <w:rFonts w:ascii="Garamond Premr Pro" w:hAnsi="Garamond Premr Pro"/>
        </w:rPr>
        <w:t xml:space="preserve">proach.  Such an approach to defining large in scale thresholds would necessarily result in a certain percentage of transactions being subject to full transparency requirements (at least where they fall within a sub-class of instruments classified as “liquid”) regardless of whether this level is appropriate based on empirical analysis.  A large in scale threshold based on analysis by a group of experts (which was proposed in </w:t>
      </w:r>
      <w:proofErr w:type="spellStart"/>
      <w:r>
        <w:rPr>
          <w:rFonts w:ascii="Garamond Premr Pro" w:hAnsi="Garamond Premr Pro"/>
        </w:rPr>
        <w:t>ESMA’s</w:t>
      </w:r>
      <w:proofErr w:type="spellEnd"/>
      <w:r>
        <w:rPr>
          <w:rFonts w:ascii="Garamond Premr Pro" w:hAnsi="Garamond Premr Pro"/>
        </w:rPr>
        <w:t xml:space="preserve"> original Discu</w:t>
      </w:r>
      <w:r>
        <w:rPr>
          <w:rFonts w:ascii="Garamond Premr Pro" w:hAnsi="Garamond Premr Pro"/>
        </w:rPr>
        <w:t>s</w:t>
      </w:r>
      <w:r>
        <w:rPr>
          <w:rFonts w:ascii="Garamond Premr Pro" w:hAnsi="Garamond Premr Pro"/>
        </w:rPr>
        <w:t>sion Paper on the issue of transparency) would be preferable.</w:t>
      </w:r>
    </w:p>
    <w:p>
      <w:pPr>
        <w:pStyle w:val="BodyText"/>
        <w:numPr>
          <w:ilvl w:val="0"/>
          <w:numId w:val="0"/>
        </w:numPr>
        <w:jc w:val="left"/>
        <w:rPr>
          <w:rFonts w:ascii="Garamond Premr Pro" w:hAnsi="Garamond Premr Pro"/>
        </w:rPr>
      </w:pPr>
      <w:r>
        <w:rPr>
          <w:rFonts w:ascii="Garamond Premr Pro" w:hAnsi="Garamond Premr Pro"/>
        </w:rPr>
        <w:t xml:space="preserve">However, if </w:t>
      </w:r>
      <w:proofErr w:type="spellStart"/>
      <w:r>
        <w:rPr>
          <w:rFonts w:ascii="Garamond Premr Pro" w:hAnsi="Garamond Premr Pro"/>
        </w:rPr>
        <w:t>ESMA</w:t>
      </w:r>
      <w:proofErr w:type="spellEnd"/>
      <w:r>
        <w:rPr>
          <w:rFonts w:ascii="Garamond Premr Pro" w:hAnsi="Garamond Premr Pro"/>
        </w:rPr>
        <w:t xml:space="preserve"> does go forward with the proposed approach of incorporating coverage ratios into the large in scale threshold, we urge </w:t>
      </w:r>
      <w:proofErr w:type="spellStart"/>
      <w:r>
        <w:rPr>
          <w:rFonts w:ascii="Garamond Premr Pro" w:hAnsi="Garamond Premr Pro"/>
        </w:rPr>
        <w:t>ESMA</w:t>
      </w:r>
      <w:proofErr w:type="spellEnd"/>
      <w:r>
        <w:rPr>
          <w:rFonts w:ascii="Garamond Premr Pro" w:hAnsi="Garamond Premr Pro"/>
        </w:rPr>
        <w:t xml:space="preserve"> to adopt an initial phase-in period during which the threshold is set lower (</w:t>
      </w:r>
      <w:r>
        <w:rPr>
          <w:rFonts w:ascii="Garamond Premr Pro" w:hAnsi="Garamond Premr Pro"/>
          <w:i/>
        </w:rPr>
        <w:t>e.g.,</w:t>
      </w:r>
      <w:r>
        <w:rPr>
          <w:rFonts w:ascii="Garamond Premr Pro" w:hAnsi="Garamond Premr Pro"/>
        </w:rPr>
        <w:t xml:space="preserve"> 50%).  A phased implementation would help to avoid suddenly moving a significant amount of transactions into full transparency.  Such a sudden movement could cause difficulties for market participants seeking to adjust their trading and hedging practices to comply with the new transparency regime.  </w:t>
      </w:r>
    </w:p>
    <w:p>
      <w:pPr>
        <w:pStyle w:val="BodyText"/>
        <w:numPr>
          <w:ilvl w:val="0"/>
          <w:numId w:val="0"/>
        </w:numPr>
        <w:jc w:val="left"/>
        <w:rPr>
          <w:rFonts w:ascii="Garamond Premr Pro" w:hAnsi="Garamond Premr Pro"/>
        </w:rPr>
      </w:pPr>
      <w:r>
        <w:rPr>
          <w:rFonts w:ascii="Garamond Premr Pro" w:hAnsi="Garamond Premr Pro"/>
        </w:rPr>
        <w:lastRenderedPageBreak/>
        <w:t xml:space="preserve">Finally, for all sub-classes of FX futures, </w:t>
      </w:r>
      <w:proofErr w:type="spellStart"/>
      <w:r>
        <w:rPr>
          <w:rFonts w:ascii="Garamond Premr Pro" w:hAnsi="Garamond Premr Pro"/>
        </w:rPr>
        <w:t>ESMA</w:t>
      </w:r>
      <w:proofErr w:type="spellEnd"/>
      <w:r>
        <w:rPr>
          <w:rFonts w:ascii="Garamond Premr Pro" w:hAnsi="Garamond Premr Pro"/>
        </w:rPr>
        <w:t xml:space="preserve"> proposes to apply large in scale thresholds equal to €100,000 to all such instruments regardless of their terms (</w:t>
      </w:r>
      <w:r>
        <w:rPr>
          <w:rFonts w:ascii="Garamond Premr Pro" w:hAnsi="Garamond Premr Pro"/>
          <w:i/>
        </w:rPr>
        <w:t>e.g.,</w:t>
      </w:r>
      <w:r>
        <w:rPr>
          <w:rFonts w:ascii="Garamond Premr Pro" w:hAnsi="Garamond Premr Pro"/>
        </w:rPr>
        <w:t xml:space="preserve"> currency pair).  ICI Global is concerned that this artificial floor may operate to prevent the large in scale threshold from operating as it is intended as indicated by </w:t>
      </w:r>
      <w:proofErr w:type="spellStart"/>
      <w:r>
        <w:rPr>
          <w:rFonts w:ascii="Garamond Premr Pro" w:hAnsi="Garamond Premr Pro"/>
        </w:rPr>
        <w:t>ESMA’s</w:t>
      </w:r>
      <w:proofErr w:type="spellEnd"/>
      <w:r>
        <w:rPr>
          <w:rFonts w:ascii="Garamond Premr Pro" w:hAnsi="Garamond Premr Pro"/>
        </w:rPr>
        <w:t xml:space="preserve"> statement that, without the €100,00 floor, the large in scale thresholds for FX futures would have been “signif</w:t>
      </w:r>
      <w:r>
        <w:rPr>
          <w:rFonts w:ascii="Garamond Premr Pro" w:hAnsi="Garamond Premr Pro"/>
        </w:rPr>
        <w:t>i</w:t>
      </w:r>
      <w:r>
        <w:rPr>
          <w:rFonts w:ascii="Garamond Premr Pro" w:hAnsi="Garamond Premr Pro"/>
        </w:rPr>
        <w:t xml:space="preserve">cantly smaller” in size.  </w:t>
      </w:r>
      <w:proofErr w:type="spellStart"/>
      <w:r>
        <w:rPr>
          <w:rFonts w:ascii="Garamond Premr Pro" w:hAnsi="Garamond Premr Pro"/>
        </w:rPr>
        <w:t>ESMA</w:t>
      </w:r>
      <w:proofErr w:type="spellEnd"/>
      <w:r>
        <w:rPr>
          <w:rFonts w:ascii="Garamond Premr Pro" w:hAnsi="Garamond Premr Pro"/>
        </w:rPr>
        <w:t xml:space="preserve"> should bear in mind that trade sizes in the FX market, for example, may be relatively small given the role of the FX market in supporting payment transactions.  Thus, rather than imposing a pre-determined floor across all trades, </w:t>
      </w:r>
      <w:proofErr w:type="spellStart"/>
      <w:r>
        <w:rPr>
          <w:rFonts w:ascii="Garamond Premr Pro" w:hAnsi="Garamond Premr Pro"/>
        </w:rPr>
        <w:t>ESMA</w:t>
      </w:r>
      <w:proofErr w:type="spellEnd"/>
      <w:r>
        <w:rPr>
          <w:rFonts w:ascii="Garamond Premr Pro" w:hAnsi="Garamond Premr Pro"/>
        </w:rPr>
        <w:t xml:space="preserve"> should apply its general methodology for determining the floor, which may be lower than €100,000.    </w:t>
      </w:r>
    </w:p>
    <w:p>
      <w:pPr>
        <w:pStyle w:val="BodyText"/>
        <w:numPr>
          <w:ilvl w:val="0"/>
          <w:numId w:val="0"/>
        </w:numPr>
        <w:jc w:val="left"/>
        <w:rPr>
          <w:rFonts w:ascii="Garamond Premr Pro" w:hAnsi="Garamond Premr Pro"/>
        </w:rPr>
      </w:pPr>
      <w:r>
        <w:rPr>
          <w:rFonts w:ascii="Garamond Premr Pro" w:hAnsi="Garamond Premr Pro"/>
        </w:rPr>
        <w:t>In relation to recalculation of thresholds, ICI Global would prefer an annual recalculation to a more static regime with no recalculation.  In our view, it is essential that the transpa</w:t>
      </w:r>
      <w:r>
        <w:rPr>
          <w:rFonts w:ascii="Garamond Premr Pro" w:hAnsi="Garamond Premr Pro"/>
        </w:rPr>
        <w:t>r</w:t>
      </w:r>
      <w:r>
        <w:rPr>
          <w:rFonts w:ascii="Garamond Premr Pro" w:hAnsi="Garamond Premr Pro"/>
        </w:rPr>
        <w:t>ency regime keeps pace with changing market conditions, and classes of instruments should not be subject to full transparency requirements on the basis of outdated inform</w:t>
      </w:r>
      <w:r>
        <w:rPr>
          <w:rFonts w:ascii="Garamond Premr Pro" w:hAnsi="Garamond Premr Pro"/>
        </w:rPr>
        <w:t>a</w:t>
      </w:r>
      <w:r>
        <w:rPr>
          <w:rFonts w:ascii="Garamond Premr Pro" w:hAnsi="Garamond Premr Pro"/>
        </w:rPr>
        <w:t xml:space="preserve">tion.  </w:t>
      </w:r>
    </w:p>
    <w:p>
      <w:pPr>
        <w:pStyle w:val="NoSpacing"/>
        <w:spacing w:after="240"/>
        <w:rPr>
          <w:rFonts w:ascii="Garamond Premr Pro" w:hAnsi="Garamond Premr Pro"/>
        </w:rPr>
      </w:pPr>
      <w:r>
        <w:rPr>
          <w:rFonts w:ascii="Garamond Premr Pro" w:hAnsi="Garamond Premr Pro"/>
        </w:rPr>
        <w:t xml:space="preserve">ICI Global agrees with setting the post-trade transparency deferral period at 48 hours for FX derivatives.  </w:t>
      </w:r>
    </w:p>
    <w:p>
      <w:pPr>
        <w:pStyle w:val="NoSpacing"/>
        <w:spacing w:after="240"/>
        <w:rPr>
          <w:rFonts w:ascii="Garamond Premr Pro" w:hAnsi="Garamond Premr Pro"/>
        </w:rPr>
      </w:pPr>
      <w:r>
        <w:rPr>
          <w:rFonts w:ascii="Garamond Premr Pro" w:hAnsi="Garamond Premr Pro"/>
        </w:rPr>
        <w:t xml:space="preserve">Finally, ICI Global acknowledges that setting the </w:t>
      </w:r>
      <w:proofErr w:type="spellStart"/>
      <w:r>
        <w:rPr>
          <w:rFonts w:ascii="Garamond Premr Pro" w:hAnsi="Garamond Premr Pro"/>
        </w:rPr>
        <w:t>SSTI</w:t>
      </w:r>
      <w:proofErr w:type="spellEnd"/>
      <w:r>
        <w:rPr>
          <w:rFonts w:ascii="Garamond Premr Pro" w:hAnsi="Garamond Premr Pro"/>
        </w:rPr>
        <w:t xml:space="preserve"> thresholds as a percentage of the large in scale thresholds will provide for simple implementation by the trading venues and market participants.  Because </w:t>
      </w:r>
      <w:proofErr w:type="spellStart"/>
      <w:r>
        <w:rPr>
          <w:rFonts w:ascii="Garamond Premr Pro" w:hAnsi="Garamond Premr Pro"/>
        </w:rPr>
        <w:t>ESMA</w:t>
      </w:r>
      <w:proofErr w:type="spellEnd"/>
      <w:r>
        <w:rPr>
          <w:rFonts w:ascii="Garamond Premr Pro" w:hAnsi="Garamond Premr Pro"/>
        </w:rPr>
        <w:t xml:space="preserve"> does not provide a rationale for setting the </w:t>
      </w:r>
      <w:proofErr w:type="spellStart"/>
      <w:r>
        <w:rPr>
          <w:rFonts w:ascii="Garamond Premr Pro" w:hAnsi="Garamond Premr Pro"/>
        </w:rPr>
        <w:t>SSTI</w:t>
      </w:r>
      <w:proofErr w:type="spellEnd"/>
      <w:r>
        <w:rPr>
          <w:rFonts w:ascii="Garamond Premr Pro" w:hAnsi="Garamond Premr Pro"/>
        </w:rPr>
        <w:t xml:space="preserve"> threshold at 50% of the large in scale threshold across all instruments, it is difficult, ho</w:t>
      </w:r>
      <w:r>
        <w:rPr>
          <w:rFonts w:ascii="Garamond Premr Pro" w:hAnsi="Garamond Premr Pro"/>
        </w:rPr>
        <w:t>w</w:t>
      </w:r>
      <w:r>
        <w:rPr>
          <w:rFonts w:ascii="Garamond Premr Pro" w:hAnsi="Garamond Premr Pro"/>
        </w:rPr>
        <w:t xml:space="preserve">ever, to assess whether </w:t>
      </w:r>
      <w:proofErr w:type="spellStart"/>
      <w:r>
        <w:rPr>
          <w:rFonts w:ascii="Garamond Premr Pro" w:hAnsi="Garamond Premr Pro"/>
        </w:rPr>
        <w:t>ESMA</w:t>
      </w:r>
      <w:proofErr w:type="spellEnd"/>
      <w:r>
        <w:rPr>
          <w:rFonts w:ascii="Garamond Premr Pro" w:hAnsi="Garamond Premr Pro"/>
        </w:rPr>
        <w:t xml:space="preserve"> has proposed an appropriate level.</w:t>
      </w:r>
    </w:p>
    <w:permEnd w:id="11"/>
    <w:p>
      <w:r>
        <w:t>&lt;ESMA_QUESTION_MIFID_ADD_2&gt;</w:t>
      </w:r>
    </w:p>
    <w:p>
      <w:pPr>
        <w:pStyle w:val="CPQuestions"/>
        <w:ind w:left="714" w:hanging="357"/>
      </w:pPr>
      <w:r>
        <w:t xml:space="preserve">Which is your preferred option for the definition of a liquid market of single name CDS? Please provide an answer detailed per underlying issuer type identified (sovereign and corporate), addressing the following points: </w:t>
      </w:r>
    </w:p>
    <w:p>
      <w:pPr>
        <w:pStyle w:val="CPQuest2"/>
        <w:numPr>
          <w:ilvl w:val="0"/>
          <w:numId w:val="38"/>
        </w:numPr>
      </w:pPr>
      <w:r>
        <w:t>Would you use different qualitative criteria to define the sub-classes?</w:t>
      </w:r>
    </w:p>
    <w:p>
      <w:pPr>
        <w:pStyle w:val="CPQuest2"/>
      </w:pPr>
      <w:r>
        <w:t>Would you use different parameters or the same parameters (i.e. average number of trades per day and average notional amount traded per day) but different thresholds in order to define a sub-class as liquid?</w:t>
      </w:r>
    </w:p>
    <w:p>
      <w:pPr>
        <w:pStyle w:val="CPQuest2"/>
      </w:pPr>
      <w:r>
        <w:t>Would you define classes declared as liquid in ESMA’s proposal as illiquid (or vice versa)? Please provide reasons for your answer.</w:t>
      </w:r>
    </w:p>
    <w:p>
      <w:r>
        <w:t>&lt;ESMA_QUESTION_MIFID_ADD_3&gt;</w:t>
      </w:r>
    </w:p>
    <w:p>
      <w:pPr>
        <w:rPr>
          <w:rFonts w:ascii="Garamond Premr Pro" w:hAnsi="Garamond Premr Pro"/>
          <w:sz w:val="24"/>
        </w:rPr>
      </w:pPr>
      <w:permStart w:id="12" w:edGrp="everyone"/>
      <w:r>
        <w:rPr>
          <w:rFonts w:ascii="Garamond Premr Pro" w:hAnsi="Garamond Premr Pro"/>
          <w:sz w:val="24"/>
        </w:rPr>
        <w:t xml:space="preserve">ICI Global considers that “Option A” (under which sub-classes of single name CDS would be assessed separately for liquidity purposes) is preferable to “Option B” (under which a single name CDS would be considered liquid only if its reference entity or obligation is included in a liquid CDS index as set out in Table 60 of </w:t>
      </w:r>
      <w:proofErr w:type="spellStart"/>
      <w:r>
        <w:rPr>
          <w:rFonts w:ascii="Garamond Premr Pro" w:hAnsi="Garamond Premr Pro"/>
          <w:sz w:val="24"/>
        </w:rPr>
        <w:t>Annex</w:t>
      </w:r>
      <w:proofErr w:type="spellEnd"/>
      <w:r>
        <w:rPr>
          <w:rFonts w:ascii="Garamond Premr Pro" w:hAnsi="Garamond Premr Pro"/>
          <w:sz w:val="24"/>
        </w:rPr>
        <w:t xml:space="preserve"> II, Section 7 of draft </w:t>
      </w:r>
      <w:proofErr w:type="spellStart"/>
      <w:r>
        <w:rPr>
          <w:rFonts w:ascii="Garamond Premr Pro" w:hAnsi="Garamond Premr Pro"/>
          <w:sz w:val="24"/>
        </w:rPr>
        <w:t>RTS</w:t>
      </w:r>
      <w:proofErr w:type="spellEnd"/>
      <w:r>
        <w:rPr>
          <w:rFonts w:ascii="Garamond Premr Pro" w:hAnsi="Garamond Premr Pro"/>
          <w:sz w:val="24"/>
        </w:rPr>
        <w:t xml:space="preserve"> 9).  Different instruments should be considered independently for the purpose of assessing </w:t>
      </w:r>
      <w:r>
        <w:rPr>
          <w:rFonts w:ascii="Garamond Premr Pro" w:hAnsi="Garamond Premr Pro"/>
          <w:sz w:val="24"/>
        </w:rPr>
        <w:lastRenderedPageBreak/>
        <w:t>liquidity given that their liquidity profile and the manner in which they trade may vary regardless of whether they have certain common features.</w:t>
      </w:r>
    </w:p>
    <w:p>
      <w:pPr>
        <w:rPr>
          <w:rFonts w:ascii="Garamond Premr Pro" w:hAnsi="Garamond Premr Pro"/>
          <w:sz w:val="24"/>
        </w:rPr>
      </w:pPr>
    </w:p>
    <w:p>
      <w:pPr>
        <w:rPr>
          <w:rFonts w:ascii="Garamond Premr Pro" w:hAnsi="Garamond Premr Pro"/>
          <w:sz w:val="24"/>
        </w:rPr>
      </w:pPr>
      <w:r>
        <w:rPr>
          <w:rFonts w:ascii="Garamond Premr Pro" w:hAnsi="Garamond Premr Pro"/>
          <w:sz w:val="24"/>
        </w:rPr>
        <w:t xml:space="preserve">If  </w:t>
      </w:r>
      <w:proofErr w:type="spellStart"/>
      <w:r>
        <w:rPr>
          <w:rFonts w:ascii="Garamond Premr Pro" w:hAnsi="Garamond Premr Pro"/>
          <w:sz w:val="24"/>
        </w:rPr>
        <w:t>ESMA</w:t>
      </w:r>
      <w:proofErr w:type="spellEnd"/>
      <w:r>
        <w:rPr>
          <w:rFonts w:ascii="Garamond Premr Pro" w:hAnsi="Garamond Premr Pro"/>
          <w:sz w:val="24"/>
        </w:rPr>
        <w:t xml:space="preserve"> does choose, however, to go forward with Option B, we note that ordinarily new CDS indices would be issued periodically (</w:t>
      </w:r>
      <w:r>
        <w:rPr>
          <w:rFonts w:ascii="Garamond Premr Pro" w:hAnsi="Garamond Premr Pro"/>
          <w:i/>
          <w:sz w:val="24"/>
        </w:rPr>
        <w:t>e.g.,</w:t>
      </w:r>
      <w:r>
        <w:rPr>
          <w:rFonts w:ascii="Garamond Premr Pro" w:hAnsi="Garamond Premr Pro"/>
          <w:sz w:val="24"/>
        </w:rPr>
        <w:t xml:space="preserve"> every six months), and each new CDS i</w:t>
      </w:r>
      <w:r>
        <w:rPr>
          <w:rFonts w:ascii="Garamond Premr Pro" w:hAnsi="Garamond Premr Pro"/>
          <w:sz w:val="24"/>
        </w:rPr>
        <w:t>n</w:t>
      </w:r>
      <w:r>
        <w:rPr>
          <w:rFonts w:ascii="Garamond Premr Pro" w:hAnsi="Garamond Premr Pro"/>
          <w:sz w:val="24"/>
        </w:rPr>
        <w:t>dex could include a different combination of credit entities or “names.”  If  the liquidity of single name CDS contracts is linked to the liquidity of CDS indices, we stress that it will be vital for the liquidity profile of single name contracts to change (</w:t>
      </w:r>
      <w:r>
        <w:rPr>
          <w:rFonts w:ascii="Garamond Premr Pro" w:hAnsi="Garamond Premr Pro"/>
          <w:i/>
          <w:sz w:val="24"/>
        </w:rPr>
        <w:t>i.e.,</w:t>
      </w:r>
      <w:r>
        <w:rPr>
          <w:rFonts w:ascii="Garamond Premr Pro" w:hAnsi="Garamond Premr Pro"/>
          <w:sz w:val="24"/>
        </w:rPr>
        <w:t xml:space="preserve"> to “illiquid”) if the entity or obligation that they reference is removed from any new CDS index series.</w:t>
      </w:r>
      <w:bookmarkStart w:id="5" w:name="FromName"/>
      <w:bookmarkEnd w:id="5"/>
    </w:p>
    <w:permEnd w:id="12"/>
    <w:p>
      <w:r>
        <w:t>&lt;ESMA_QUESTION_MIFID_ADD_3&gt;</w:t>
      </w:r>
    </w:p>
    <w:p>
      <w:pPr>
        <w:pStyle w:val="CPQuestions"/>
        <w:ind w:left="714" w:hanging="357"/>
      </w:pPr>
      <w:r>
        <w:t>For all the other classes (CDS Index, Bespoke basket CDS, CDS index options and Single name CDS options): do you agree with ESMA’s proposal for the definition of a liquid market? Please provide an answer detailed per contract type (CDS and CDS options), underlying type (index, single name, bespoke basket) and underl</w:t>
      </w:r>
      <w:r>
        <w:t>y</w:t>
      </w:r>
      <w:r>
        <w:t xml:space="preserve">ing identified, addressing the following points: </w:t>
      </w:r>
    </w:p>
    <w:p>
      <w:pPr>
        <w:pStyle w:val="CPQuest2"/>
        <w:numPr>
          <w:ilvl w:val="0"/>
          <w:numId w:val="39"/>
        </w:numPr>
      </w:pPr>
      <w:r>
        <w:t>Would you use different qualitative criteria to define the sub-classes?</w:t>
      </w:r>
    </w:p>
    <w:p>
      <w:pPr>
        <w:pStyle w:val="CPQuest2"/>
      </w:pPr>
      <w:r>
        <w:t>Would you use different parameters or the same parameters (i.e. average number of trades per day and average notional amount traded per day) but different thresholds in order to define a sub-class as liquid?</w:t>
      </w:r>
    </w:p>
    <w:p>
      <w:pPr>
        <w:pStyle w:val="CPQuest2"/>
      </w:pPr>
      <w:r>
        <w:t>Would you define classes declared as liquid in ESMA’s proposal as illiquid (or vice versa)? Please provide reasons for your answer.</w:t>
      </w:r>
    </w:p>
    <w:p>
      <w:r>
        <w:t>&lt;ESMA_QUESTION_MIFID_ADD_4&gt;</w:t>
      </w:r>
    </w:p>
    <w:p>
      <w:permStart w:id="13" w:edGrp="everyone"/>
      <w:r>
        <w:t>TYPE YOUR TEXT HERE</w:t>
      </w:r>
    </w:p>
    <w:permEnd w:id="13"/>
    <w:p>
      <w:r>
        <w:t>&lt;ESMA_QUESTION_MIFID_ADD_4&gt;</w:t>
      </w:r>
    </w:p>
    <w:p>
      <w:pPr>
        <w:pStyle w:val="CPQuestions"/>
        <w:ind w:left="714" w:hanging="357"/>
      </w:pPr>
      <w:r>
        <w:t>Do you agree with ESMA’s proposal for credit derivatives? Please specify, for each sub-class (single name CDS, CDS index, bespoke basket CDS, single name CDS options, CDS index options) if you agree on the following points providing reasons for your answer and, if you disagree providing ESMA with your alternative pr</w:t>
      </w:r>
      <w:r>
        <w:t>o</w:t>
      </w:r>
      <w:r>
        <w:t xml:space="preserve">posal: </w:t>
      </w:r>
    </w:p>
    <w:p>
      <w:pPr>
        <w:pStyle w:val="CPQuest2"/>
        <w:numPr>
          <w:ilvl w:val="0"/>
          <w:numId w:val="40"/>
        </w:numPr>
      </w:pPr>
      <w:r>
        <w:t xml:space="preserve">deferral period set to 48 hours </w:t>
      </w:r>
    </w:p>
    <w:p>
      <w:pPr>
        <w:pStyle w:val="CPQuest2"/>
      </w:pPr>
      <w:r>
        <w:t xml:space="preserve">size specific to the instrument threshold set as 50% of the large in scale threshold </w:t>
      </w:r>
    </w:p>
    <w:p>
      <w:pPr>
        <w:pStyle w:val="CPQuest2"/>
      </w:pPr>
      <w:r>
        <w:t>volume measure used to set the large in scale and size specific to the instrument threshold as specified in Annex II, Table 3 of draft RTS 9</w:t>
      </w:r>
    </w:p>
    <w:p>
      <w:pPr>
        <w:pStyle w:val="CPQuest2"/>
      </w:pPr>
      <w:r>
        <w:t xml:space="preserve">pre-trade and post-trade thresholds set at the same size </w:t>
      </w:r>
    </w:p>
    <w:p>
      <w:pPr>
        <w:pStyle w:val="CPQuest2"/>
      </w:pPr>
      <w:r>
        <w:t xml:space="preserve">large in scale thresholds: (a) state your preference for the system to set the thresholds (i.e. annual recalculation of the thresholds vs. no recalculation of the thresholds) (b) in the case of a preference for a system with no recalculation (i.e. </w:t>
      </w:r>
      <w:r>
        <w:lastRenderedPageBreak/>
        <w:t>option 1), provide feedback on the thresholds determined. In the case of a prefe</w:t>
      </w:r>
      <w:r>
        <w:t>r</w:t>
      </w:r>
      <w:r>
        <w:t>ence for a system with recalculation (i.e. option 2), provide feedback on the thresholds determined for 2017 and on the methodology to recalculate the thres</w:t>
      </w:r>
      <w:r>
        <w:t>h</w:t>
      </w:r>
      <w:r>
        <w:t>olds from 2018 onwards including the level of granularity of the classes on which the recalculations will be performed.</w:t>
      </w:r>
    </w:p>
    <w:p>
      <w:r>
        <w:t>&lt;ESMA_QUESTION_MIFID_ADD_5&gt;</w:t>
      </w:r>
    </w:p>
    <w:p>
      <w:permStart w:id="14" w:edGrp="everyone"/>
      <w:r>
        <w:t>TYPE YOUR TEXT HERE</w:t>
      </w:r>
    </w:p>
    <w:permEnd w:id="14"/>
    <w:p>
      <w:r>
        <w:t>&lt;ESMA_QUESTION_MIFID_ADD_5&gt;</w:t>
      </w:r>
    </w:p>
    <w:p>
      <w:pPr>
        <w:pStyle w:val="CPQuestions"/>
        <w:ind w:left="714" w:hanging="357"/>
      </w:pPr>
      <w:r>
        <w:t>Do you agree with ESMA’s proposal for the definition of a liquid market? Please provide an answer detailed per class of derivatives (freight derivatives, emissions derivatives, weather derivatives and other exotic derivatives) and contract type identified (options, futures, forwards, swaps, others). If you do not agree with ESMA’s proposal for the definition of a liquid market, please specify per class of derivatives and contract type identified:</w:t>
      </w:r>
    </w:p>
    <w:p>
      <w:pPr>
        <w:pStyle w:val="CPQuest2"/>
        <w:numPr>
          <w:ilvl w:val="0"/>
          <w:numId w:val="49"/>
        </w:numPr>
      </w:pPr>
      <w:r>
        <w:t>your alternative proposal;</w:t>
      </w:r>
    </w:p>
    <w:p>
      <w:pPr>
        <w:pStyle w:val="CPQuest2"/>
      </w:pPr>
      <w:r>
        <w:t>which qualitative criteria would you use to define the sub-classes;</w:t>
      </w:r>
    </w:p>
    <w:p>
      <w:pPr>
        <w:pStyle w:val="CPQuest2"/>
      </w:pPr>
      <w:r>
        <w:t>which parameters and related threshold values would you use in order to define a sub-class as liquid. Please, provide reasons for your answer.</w:t>
      </w:r>
    </w:p>
    <w:p>
      <w:r>
        <w:t>&lt;ESMA_QUESTION_MIFID_ADD_6&gt;</w:t>
      </w:r>
    </w:p>
    <w:p>
      <w:permStart w:id="15" w:edGrp="everyone"/>
      <w:r>
        <w:t>TYPE YOUR TEXT HERE</w:t>
      </w:r>
    </w:p>
    <w:permEnd w:id="15"/>
    <w:p>
      <w:r>
        <w:t>&lt;ESMA_QUESTION_MIFID_ADD_6&gt;</w:t>
      </w:r>
    </w:p>
    <w:p>
      <w:pPr>
        <w:pStyle w:val="CPQuestions"/>
        <w:ind w:left="714" w:hanging="357"/>
      </w:pPr>
      <w:r>
        <w:t>Which is your preferred option? Please express your preference either for “Alte</w:t>
      </w:r>
      <w:r>
        <w:t>r</w:t>
      </w:r>
      <w:r>
        <w:t>native A” or for “Alternative B”. If you disagree with both ESMA’s proposals pr</w:t>
      </w:r>
      <w:r>
        <w:t>o</w:t>
      </w:r>
      <w:r>
        <w:t>vide your alternative proposal by answering the following question.</w:t>
      </w:r>
    </w:p>
    <w:p>
      <w:r>
        <w:t>&lt;ESMA_QUESTION_MIFID_ADD_7&gt;</w:t>
      </w:r>
    </w:p>
    <w:p>
      <w:permStart w:id="16" w:edGrp="everyone"/>
      <w:r>
        <w:t>TYPE YOUR TEXT HERE</w:t>
      </w:r>
    </w:p>
    <w:permEnd w:id="16"/>
    <w:p>
      <w:r>
        <w:t>&lt;ESMA_QUESTION_MIFID_ADD_7&gt;</w:t>
      </w:r>
    </w:p>
    <w:p>
      <w:pPr>
        <w:pStyle w:val="CPQuestions"/>
        <w:ind w:left="714" w:hanging="357"/>
      </w:pPr>
      <w:r>
        <w:t>Please specify, for each class (defined as follows if you have stated your prefe</w:t>
      </w:r>
      <w:r>
        <w:t>r</w:t>
      </w:r>
      <w:r>
        <w:t>ence for Alternative A: freight derivatives, emissions derivatives, weather deriv</w:t>
      </w:r>
      <w:r>
        <w:t>a</w:t>
      </w:r>
      <w:r>
        <w:t>tives and other exotic derivatives. Defined as combination of underlying type and contract type if you have stated a preference for Alternative B: freight options, freight futures, freight forwards, etc.) if you agree on the following points providing reasons for your answer and, if you disagree, providing ESMA with your altern</w:t>
      </w:r>
      <w:r>
        <w:t>a</w:t>
      </w:r>
      <w:r>
        <w:t xml:space="preserve">tive proposal: </w:t>
      </w:r>
    </w:p>
    <w:p>
      <w:pPr>
        <w:pStyle w:val="CPQuest2"/>
        <w:numPr>
          <w:ilvl w:val="0"/>
          <w:numId w:val="42"/>
        </w:numPr>
      </w:pPr>
      <w:r>
        <w:t xml:space="preserve">deferral period set to 48 hours </w:t>
      </w:r>
    </w:p>
    <w:p>
      <w:pPr>
        <w:pStyle w:val="CPQuest2"/>
      </w:pPr>
      <w:r>
        <w:t xml:space="preserve">size specific to the instrument threshold set as 50% of the large in scale threshold </w:t>
      </w:r>
    </w:p>
    <w:p>
      <w:pPr>
        <w:pStyle w:val="CPQuest2"/>
      </w:pPr>
      <w:r>
        <w:lastRenderedPageBreak/>
        <w:t>volume measure used to set the large in scale and size specific to the instrument threshold as specified in Annex II, Table 3 of draft RTS 9</w:t>
      </w:r>
    </w:p>
    <w:p>
      <w:pPr>
        <w:pStyle w:val="CPQuest2"/>
      </w:pPr>
      <w:r>
        <w:t xml:space="preserve">pre-trade and post-trade thresholds set at the same size </w:t>
      </w:r>
    </w:p>
    <w:p>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w:t>
      </w:r>
      <w:r>
        <w:t>r</w:t>
      </w:r>
      <w:r>
        <w:t>ence for a system with recalculation (i.e. option 2), provide feedback on the thresholds determined for 2017 and on the methodology to recalculate the thres</w:t>
      </w:r>
      <w:r>
        <w:t>h</w:t>
      </w:r>
      <w:r>
        <w:t>olds from 2018 onwards including the level of granularity of the classes on which the recalculations will be performed.</w:t>
      </w:r>
    </w:p>
    <w:p>
      <w:r>
        <w:t>&lt;ESMA_QUESTION_MIFID_ADD_8&gt;</w:t>
      </w:r>
    </w:p>
    <w:p>
      <w:permStart w:id="17" w:edGrp="everyone"/>
      <w:r>
        <w:t>TYPE YOUR TEXT HERE</w:t>
      </w:r>
    </w:p>
    <w:permEnd w:id="17"/>
    <w:p>
      <w:r>
        <w:t>&lt;ESMA_QUESTION_MIFID_ADD_8&gt;</w:t>
      </w:r>
    </w:p>
    <w:p>
      <w:pPr>
        <w:pStyle w:val="CPQuestions"/>
        <w:ind w:left="714" w:hanging="357"/>
      </w:pPr>
      <w:r>
        <w:t>Do you agree with the approach taken for shares where any CFD based on a liquid share would be considered as having a liquid market? More specifically, please provide feedback on the following:</w:t>
      </w:r>
    </w:p>
    <w:p>
      <w:pPr>
        <w:pStyle w:val="CPQuest2"/>
        <w:numPr>
          <w:ilvl w:val="0"/>
          <w:numId w:val="43"/>
        </w:numPr>
      </w:pPr>
      <w:r>
        <w:t>Would you prefer to follow a similar approach as that proposed in option 2 on l</w:t>
      </w:r>
      <w:r>
        <w:t>i</w:t>
      </w:r>
      <w:r>
        <w:t>quidity for equity derivatives (paragraph 90 page 132 of December CP), i.e. qualify all CFDs on equity as liquid irrespectively of the liquidity of the underlying?</w:t>
      </w:r>
    </w:p>
    <w:p>
      <w:pPr>
        <w:pStyle w:val="CPQuest2"/>
      </w:pPr>
      <w:r>
        <w:t>Would you have used different criteria to define the classes or sub-classes?</w:t>
      </w:r>
    </w:p>
    <w:p>
      <w:pPr>
        <w:pStyle w:val="CPQuest2"/>
      </w:pPr>
      <w:r>
        <w:t>Would you have used different parameters or the same parameters (i.e. average number of trades per day and average notional amount traded per day) but diffe</w:t>
      </w:r>
      <w:r>
        <w:t>r</w:t>
      </w:r>
      <w:r>
        <w:t>ent thresholds in order to define a sub-class as liquid?</w:t>
      </w:r>
    </w:p>
    <w:p>
      <w:pPr>
        <w:pStyle w:val="CPQuest2"/>
      </w:pPr>
      <w:r>
        <w:t xml:space="preserve">Would you support extending the approach taken for shares to other equity (ETFs, depositary receipts and certificates) and equity-like instruments? </w:t>
      </w:r>
    </w:p>
    <w:p>
      <w:r>
        <w:t>&lt;ESMA_QUESTION_MIFID_ADD_9&gt;</w:t>
      </w:r>
    </w:p>
    <w:p>
      <w:permStart w:id="18" w:edGrp="everyone"/>
      <w:r>
        <w:t>TYPE YOUR TEXT HERE</w:t>
      </w:r>
    </w:p>
    <w:permEnd w:id="18"/>
    <w:p>
      <w:r>
        <w:t>&lt;ESMA_QUESTION_MIFID_ADD_9&gt;</w:t>
      </w:r>
    </w:p>
    <w:p>
      <w:pPr>
        <w:pStyle w:val="CPQuestions"/>
        <w:ind w:left="714" w:hanging="357"/>
      </w:pPr>
      <w:r>
        <w:t>Do you agree with ESMA’s proposal for the definition of a liquid market for CFDs on currencies? Please provide a feedback on the following in your answer:</w:t>
      </w:r>
    </w:p>
    <w:p>
      <w:pPr>
        <w:pStyle w:val="CPQuest2"/>
        <w:numPr>
          <w:ilvl w:val="0"/>
          <w:numId w:val="44"/>
        </w:numPr>
      </w:pPr>
      <w:r>
        <w:t>Would you use different qualitative criteria to define the sub-classes?</w:t>
      </w:r>
    </w:p>
    <w:p>
      <w:pPr>
        <w:pStyle w:val="CPQuest2"/>
      </w:pPr>
      <w:r>
        <w:t>Would you use different parameters or the same parameters (i.e. average number of trades per day and average notional amount traded per day) but different thresholds in order to define a sub-class as liquid?</w:t>
      </w:r>
    </w:p>
    <w:p>
      <w:pPr>
        <w:pStyle w:val="CPQuest2"/>
      </w:pPr>
      <w:r>
        <w:lastRenderedPageBreak/>
        <w:t>Would you define sub-classes declared as liquid in ESMA’s proposal as illiquid (or vice versa)? Please provide reasons for your answer.</w:t>
      </w:r>
    </w:p>
    <w:p>
      <w:r>
        <w:t>&lt;ESMA_QUESTION_MIFID_ADD_10&gt;</w:t>
      </w:r>
    </w:p>
    <w:p>
      <w:permStart w:id="19" w:edGrp="everyone"/>
      <w:r>
        <w:t>TYPE YOUR TEXT HERE</w:t>
      </w:r>
    </w:p>
    <w:permEnd w:id="19"/>
    <w:p>
      <w:r>
        <w:t>&lt;ESMA_QUESTION_MIFID_ADD_10&gt;</w:t>
      </w:r>
    </w:p>
    <w:p>
      <w:pPr>
        <w:pStyle w:val="CPQuestions"/>
        <w:ind w:left="714" w:hanging="357"/>
      </w:pPr>
      <w:r>
        <w:t>Do you agree that CFDs on instruments other than equities and currencies are i</w:t>
      </w:r>
      <w:r>
        <w:t>l</w:t>
      </w:r>
      <w:r>
        <w:t>liquid? If you do not agree with ESMA’s proposal for the definition of a liquid ma</w:t>
      </w:r>
      <w:r>
        <w:t>r</w:t>
      </w:r>
      <w:r>
        <w:t>ket for those classes, please provide your alternative proposal specifying the fo</w:t>
      </w:r>
      <w:r>
        <w:t>l</w:t>
      </w:r>
      <w:r>
        <w:t>lowing:</w:t>
      </w:r>
    </w:p>
    <w:p>
      <w:pPr>
        <w:pStyle w:val="CPQuest2"/>
        <w:numPr>
          <w:ilvl w:val="0"/>
          <w:numId w:val="45"/>
        </w:numPr>
      </w:pPr>
      <w:r>
        <w:t>How would you define the sub-classes, i.e. which qualitative criteria would you use?</w:t>
      </w:r>
    </w:p>
    <w:p>
      <w:pPr>
        <w:pStyle w:val="CPQuest2"/>
      </w:pPr>
      <w:r>
        <w:t>Which parameters and related thresholds would you use to classify a sub-class as liquid?</w:t>
      </w:r>
    </w:p>
    <w:p>
      <w:pPr>
        <w:pStyle w:val="CPQuest2"/>
      </w:pPr>
      <w:r>
        <w:t>Which sub-classes would you define as liquid?</w:t>
      </w:r>
    </w:p>
    <w:p>
      <w:r>
        <w:t>&lt;ESMA_QUESTION_MIFID_ADD_11&gt;</w:t>
      </w:r>
    </w:p>
    <w:p>
      <w:permStart w:id="20" w:edGrp="everyone"/>
      <w:r>
        <w:t>TYPE YOUR TEXT HERE</w:t>
      </w:r>
    </w:p>
    <w:permEnd w:id="20"/>
    <w:p>
      <w:r>
        <w:t>&lt;ESMA_QUESTION_MIFID_ADD_11&gt;</w:t>
      </w:r>
    </w:p>
    <w:p>
      <w:pPr>
        <w:pStyle w:val="CPQuestions"/>
        <w:ind w:left="714" w:hanging="357"/>
      </w:pPr>
      <w:r>
        <w:t xml:space="preserve">Do you agree with ESMA’s proposal for CFDs? Please specify, for each sub-class (CFDs on equity, CFDs on currency, CFDs on commodity, CFDs on bonds, CFDs on futures on equity and CFDs on options on equity, others) if you agree on the following points providing reasons for your answer and, if you disagree providing ESMA with an alternative proposal regarding: </w:t>
      </w:r>
    </w:p>
    <w:p>
      <w:pPr>
        <w:pStyle w:val="CPQuest2"/>
        <w:numPr>
          <w:ilvl w:val="0"/>
          <w:numId w:val="46"/>
        </w:numPr>
      </w:pPr>
      <w:r>
        <w:t>deferral period set to 48 hours</w:t>
      </w:r>
    </w:p>
    <w:p>
      <w:pPr>
        <w:pStyle w:val="CPQuest2"/>
      </w:pPr>
      <w:r>
        <w:t>size specific to the instrument threshold set as 50% of the large in scale threshold</w:t>
      </w:r>
    </w:p>
    <w:p>
      <w:pPr>
        <w:pStyle w:val="CPQuest2"/>
      </w:pPr>
      <w:r>
        <w:t>volume measure used to set the large in scale and size specific to the instrument threshold as specified in Annex II, Table 3 of draft RTS 9</w:t>
      </w:r>
    </w:p>
    <w:p>
      <w:pPr>
        <w:pStyle w:val="CPQuest2"/>
      </w:pPr>
      <w:r>
        <w:t>pre-trade and post-trade thresholds set at the same size</w:t>
      </w:r>
    </w:p>
    <w:p>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w:t>
      </w:r>
      <w:r>
        <w:t>r</w:t>
      </w:r>
      <w:r>
        <w:t>ence for a system with recalculation (i.e. option 2), provide feedback on the thresholds determined for 2017 and on the methodology to recalculate the thres</w:t>
      </w:r>
      <w:r>
        <w:t>h</w:t>
      </w:r>
      <w:r>
        <w:t>olds from 2018 onwards including the level of granularity of the classes on which the recalculations will be performed.</w:t>
      </w:r>
    </w:p>
    <w:p>
      <w:r>
        <w:lastRenderedPageBreak/>
        <w:t>&lt;ESMA_QUESTION_MIFID_ADD_12&gt;</w:t>
      </w:r>
    </w:p>
    <w:p>
      <w:permStart w:id="21" w:edGrp="everyone"/>
      <w:r>
        <w:t>TYPE YOUR TEXT HERE</w:t>
      </w:r>
    </w:p>
    <w:permEnd w:id="21"/>
    <w:p>
      <w:r>
        <w:t>&lt;ESMA_QUESTION_MIFID_ADD_12&gt;</w:t>
      </w:r>
    </w:p>
    <w:p/>
    <w:p>
      <w:pPr>
        <w:rPr>
          <w:rFonts w:cs="Arial"/>
          <w:b/>
          <w:sz w:val="22"/>
          <w:szCs w:val="22"/>
          <w:lang w:eastAsia="en-US"/>
        </w:rPr>
      </w:pPr>
    </w:p>
    <w:sectPr>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p/>
  </w:endnote>
  <w:endnote w:type="continuationSeparator" w:id="0">
    <w:p>
      <w:r>
        <w:continuationSeparator/>
      </w:r>
    </w:p>
    <w:p/>
  </w:endnote>
  <w:endnote w:type="continuationNotice" w:id="1">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Garamond Premr Pro">
    <w:altName w:val="Constantia"/>
    <w:panose1 w:val="00000000000000000000"/>
    <w:charset w:val="00"/>
    <w:family w:val="roman"/>
    <w:notTrueType/>
    <w:pitch w:val="variable"/>
    <w:sig w:usb0="00000003" w:usb1="5000E07B"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trPr>
        <w:trHeight w:val="284"/>
      </w:trPr>
      <w:tc>
        <w:tcPr>
          <w:tcW w:w="8460" w:type="dxa"/>
        </w:tcPr>
        <w:p>
          <w:pPr>
            <w:pStyle w:val="00Footer"/>
            <w:rPr>
              <w:lang w:val="fr-FR"/>
            </w:rPr>
          </w:pPr>
        </w:p>
      </w:tc>
      <w:tc>
        <w:tcPr>
          <w:tcW w:w="952" w:type="dxa"/>
        </w:tcPr>
        <w:p>
          <w:pPr>
            <w:pStyle w:val="00aPagenumber"/>
            <w:rPr>
              <w:rFonts w:cs="Arial"/>
              <w:sz w:val="22"/>
              <w:szCs w:val="22"/>
            </w:rPr>
          </w:pPr>
          <w:r>
            <w:rPr>
              <w:rFonts w:cs="Arial"/>
              <w:sz w:val="22"/>
              <w:szCs w:val="22"/>
            </w:rPr>
            <w:fldChar w:fldCharType="begin"/>
          </w:r>
          <w:r>
            <w:rPr>
              <w:rFonts w:cs="Arial"/>
              <w:sz w:val="22"/>
              <w:szCs w:val="22"/>
            </w:rPr>
            <w:instrText xml:space="preserve"> PAGE </w:instrText>
          </w:r>
          <w:r>
            <w:rPr>
              <w:rFonts w:cs="Arial"/>
              <w:sz w:val="22"/>
              <w:szCs w:val="22"/>
            </w:rPr>
            <w:fldChar w:fldCharType="separate"/>
          </w:r>
          <w:r>
            <w:rPr>
              <w:rFonts w:cs="Arial"/>
              <w:noProof/>
              <w:sz w:val="22"/>
              <w:szCs w:val="22"/>
            </w:rPr>
            <w:t>5</w:t>
          </w:r>
          <w:r>
            <w:rPr>
              <w:rFonts w:cs="Arial"/>
              <w:noProof/>
              <w:sz w:val="22"/>
              <w:szCs w:val="22"/>
            </w:rPr>
            <w:fldChar w:fldCharType="end"/>
          </w:r>
        </w:p>
      </w:tc>
    </w:tr>
  </w:tb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p/>
  </w:footnote>
  <w:footnote w:type="continuationSeparator" w:id="0">
    <w:p>
      <w:r>
        <w:continuationSeparator/>
      </w:r>
    </w:p>
    <w:p/>
  </w:footnote>
  <w:footnote w:type="continuationNotice" w:id="1">
    <w:p/>
  </w:footnote>
  <w:footnote w:id="2">
    <w:p>
      <w:pPr>
        <w:pStyle w:val="FootnoteText"/>
        <w:rPr>
          <w:rFonts w:cs="Arial"/>
        </w:rPr>
      </w:pPr>
      <w:r>
        <w:rPr>
          <w:rStyle w:val="FootnoteReference"/>
          <w:rFonts w:cs="Arial"/>
        </w:rPr>
        <w:footnoteRef/>
      </w:r>
      <w:r>
        <w:rPr>
          <w:rFonts w:cs="Arial"/>
        </w:rPr>
        <w:t xml:space="preserve"> The field will used for consistency checks. If its value is different from the value indicated during submission on the website form, the latest one will be taken into account.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Pr>
        <w:noProof/>
        <w:lang w:val="en-US" w:eastAsia="en-US"/>
      </w:rPr>
      <w:pict>
        <v:line id="Line 16" o:spid="_x0000_s12290"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trPr>
        <w:trHeight w:val="284"/>
      </w:trPr>
      <w:tc>
        <w:tcPr>
          <w:tcW w:w="8460" w:type="dxa"/>
        </w:tcPr>
        <w:p>
          <w:pPr>
            <w:pStyle w:val="00Footer"/>
            <w:rPr>
              <w:lang w:val="fr-FR"/>
            </w:rPr>
          </w:pPr>
        </w:p>
      </w:tc>
      <w:tc>
        <w:tcPr>
          <w:tcW w:w="952" w:type="dxa"/>
        </w:tcPr>
        <w:p>
          <w:pPr>
            <w:pStyle w:val="00aPagenumber"/>
            <w:rPr>
              <w:lang w:val="fr-FR"/>
            </w:rPr>
          </w:pPr>
        </w:p>
      </w:tc>
    </w:tr>
  </w:tbl>
  <w:p>
    <w:pPr>
      <w:rPr>
        <w:lang w:val="fr-FR"/>
      </w:rPr>
    </w:pPr>
  </w:p>
  <w:p>
    <w:pPr>
      <w:pStyle w:val="Header"/>
      <w:rPr>
        <w:lang w:val="fr-FR"/>
      </w:rPr>
    </w:pPr>
  </w:p>
  <w:p>
    <w:pPr>
      <w:pStyle w:val="Header"/>
      <w:tabs>
        <w:tab w:val="clear" w:pos="4536"/>
        <w:tab w:val="clear" w:pos="9072"/>
        <w:tab w:val="left" w:pos="8227"/>
      </w:tabs>
      <w:rPr>
        <w:lang w:val="fr-FR"/>
      </w:rPr>
    </w:pPr>
  </w:p>
  <w:p>
    <w:pPr>
      <w:pStyle w:val="Header"/>
      <w:tabs>
        <w:tab w:val="clear" w:pos="4536"/>
        <w:tab w:val="clear" w:pos="9072"/>
        <w:tab w:val="left" w:pos="8227"/>
      </w:tabs>
      <w:rPr>
        <w:lang w:val="fr-FR"/>
      </w:rPr>
    </w:pPr>
  </w:p>
  <w:p>
    <w:pPr>
      <w:pStyle w:val="Header"/>
      <w:rPr>
        <w:lang w:val="fr-FR"/>
      </w:rPr>
    </w:pPr>
  </w:p>
  <w:p>
    <w:pPr>
      <w:pStyle w:val="Header"/>
      <w:rPr>
        <w:lang w:val="fr-FR"/>
      </w:rPr>
    </w:pPr>
  </w:p>
  <w:p>
    <w:pPr>
      <w:pStyle w:val="Header"/>
      <w:rPr>
        <w:lang w:val="fr-FR"/>
      </w:rPr>
    </w:pPr>
  </w:p>
  <w:p>
    <w:pPr>
      <w:pStyle w:val="Header"/>
      <w:rPr>
        <w:lang w:val="fr-FR"/>
      </w:rPr>
    </w:pPr>
  </w:p>
  <w:p>
    <w:pPr>
      <w:pStyle w:val="Header"/>
      <w:rPr>
        <w:highlight w:val="yellow"/>
        <w:lang w:val="fr-FR"/>
      </w:rPr>
    </w:pPr>
  </w:p>
  <w:p>
    <w:pPr>
      <w:pStyle w:val="Header"/>
    </w:pPr>
    <w:r>
      <w:rPr>
        <w:noProof/>
        <w:lang w:val="en-US" w:eastAsia="en-US"/>
      </w:rPr>
      <w:pict>
        <v:line id="Straight Connector 138" o:spid="_x0000_s12289"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Pr>
        <w:noProof/>
        <w:lang w:val="en-US" w:eastAsia="en-US"/>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4"/>
  </w:num>
  <w:num w:numId="22">
    <w:abstractNumId w:val="23"/>
  </w:num>
  <w:num w:numId="23">
    <w:abstractNumId w:val="9"/>
  </w:num>
  <w:num w:numId="24">
    <w:abstractNumId w:val="28"/>
  </w:num>
  <w:num w:numId="25">
    <w:abstractNumId w:val="27"/>
  </w:num>
  <w:num w:numId="26">
    <w:abstractNumId w:val="18"/>
  </w:num>
  <w:num w:numId="27">
    <w:abstractNumId w:val="31"/>
  </w:num>
  <w:num w:numId="28">
    <w:abstractNumId w:val="36"/>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3"/>
  </w:num>
  <w:num w:numId="36">
    <w:abstractNumId w:val="33"/>
    <w:lvlOverride w:ilvl="0">
      <w:startOverride w:val="1"/>
    </w:lvlOverride>
  </w:num>
  <w:num w:numId="37">
    <w:abstractNumId w:val="33"/>
    <w:lvlOverride w:ilvl="0">
      <w:startOverride w:val="1"/>
    </w:lvlOverride>
  </w:num>
  <w:num w:numId="38">
    <w:abstractNumId w:val="33"/>
    <w:lvlOverride w:ilvl="0">
      <w:startOverride w:val="1"/>
    </w:lvlOverride>
  </w:num>
  <w:num w:numId="39">
    <w:abstractNumId w:val="33"/>
    <w:lvlOverride w:ilvl="0">
      <w:startOverride w:val="1"/>
    </w:lvlOverride>
  </w:num>
  <w:num w:numId="40">
    <w:abstractNumId w:val="33"/>
    <w:lvlOverride w:ilvl="0">
      <w:startOverride w:val="1"/>
    </w:lvlOverride>
  </w:num>
  <w:num w:numId="41">
    <w:abstractNumId w:val="33"/>
  </w:num>
  <w:num w:numId="42">
    <w:abstractNumId w:val="33"/>
    <w:lvlOverride w:ilvl="0">
      <w:startOverride w:val="1"/>
    </w:lvlOverride>
  </w:num>
  <w:num w:numId="43">
    <w:abstractNumId w:val="33"/>
    <w:lvlOverride w:ilvl="0">
      <w:startOverride w:val="1"/>
    </w:lvlOverride>
  </w:num>
  <w:num w:numId="44">
    <w:abstractNumId w:val="33"/>
    <w:lvlOverride w:ilvl="0">
      <w:startOverride w:val="1"/>
    </w:lvlOverride>
  </w:num>
  <w:num w:numId="45">
    <w:abstractNumId w:val="33"/>
    <w:lvlOverride w:ilvl="0">
      <w:startOverride w:val="1"/>
    </w:lvlOverride>
  </w:num>
  <w:num w:numId="46">
    <w:abstractNumId w:val="33"/>
    <w:lvlOverride w:ilvl="0">
      <w:startOverride w:val="1"/>
    </w:lvlOverride>
  </w:num>
  <w:num w:numId="47">
    <w:abstractNumId w:val="32"/>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1F01"/>
  <w:documentProtection w:edit="readOnly" w:enforcement="1" w:cryptProviderType="rsaFull" w:cryptAlgorithmClass="hash" w:cryptAlgorithmType="typeAny" w:cryptAlgorithmSid="4" w:cryptSpinCount="100000" w:hash="NxXaH8KyD8QgqtQ9Kldtrt3DnIk=" w:salt="3xub1WRPctATi7RQzt2SsA=="/>
  <w:defaultTabStop w:val="709"/>
  <w:autoHyphenation/>
  <w:hyphenationZone w:val="567"/>
  <w:characterSpacingControl w:val="doNotCompress"/>
  <w:hdrShapeDefaults>
    <o:shapedefaults v:ext="edit" spidmax="12291">
      <o:colormru v:ext="edit" colors="#2d4491,#283583"/>
    </o:shapedefaults>
    <o:shapelayout v:ext="edit">
      <o:idmap v:ext="edit" data="12"/>
    </o:shapelayout>
  </w:hdrShapeDefaults>
  <w:footnotePr>
    <w:footnote w:id="-1"/>
    <w:footnote w:id="0"/>
    <w:footnote w:id="1"/>
  </w:footnotePr>
  <w:endnotePr>
    <w:endnote w:id="-1"/>
    <w:endnote w:id="0"/>
    <w:endnote w:id="1"/>
  </w:endnotePr>
  <w:compat/>
  <w:docVars>
    <w:docVar w:name="DocIDRemoved" w:val="True"/>
  </w:docVar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1">
      <o:colormru v:ext="edit" colors="#2d4491,#283583"/>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Cs w:val="24"/>
      <w:lang w:eastAsia="de-DE"/>
    </w:rPr>
  </w:style>
  <w:style w:type="paragraph" w:styleId="Heading1">
    <w:name w:val="heading 1"/>
    <w:basedOn w:val="Normal"/>
    <w:next w:val="Normal"/>
    <w:link w:val="Heading1Char"/>
    <w:qFormat/>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pPr>
      <w:keepNext/>
      <w:keepLines/>
      <w:spacing w:before="200" w:after="120"/>
      <w:outlineLvl w:val="1"/>
    </w:pPr>
    <w:rPr>
      <w:b/>
      <w:bCs/>
      <w:szCs w:val="26"/>
    </w:rPr>
  </w:style>
  <w:style w:type="paragraph" w:styleId="Heading3">
    <w:name w:val="heading 3"/>
    <w:basedOn w:val="Normal"/>
    <w:next w:val="Normal"/>
    <w:link w:val="Heading3Char2"/>
    <w:qFormat/>
    <w:pPr>
      <w:keepNext/>
      <w:keepLines/>
      <w:spacing w:before="200"/>
      <w:outlineLvl w:val="2"/>
    </w:pPr>
    <w:rPr>
      <w:rFonts w:ascii="Cambria" w:hAnsi="Cambria"/>
      <w:b/>
      <w:bCs/>
      <w:color w:val="4F81BD"/>
    </w:rPr>
  </w:style>
  <w:style w:type="paragraph" w:styleId="Heading4">
    <w:name w:val="heading 4"/>
    <w:basedOn w:val="Normal"/>
    <w:next w:val="Normal"/>
    <w:link w:val="Heading4Char1"/>
    <w:qFormat/>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pPr>
      <w:keepNext/>
      <w:keepLines/>
      <w:numPr>
        <w:numId w:val="13"/>
      </w:numPr>
      <w:spacing w:before="200"/>
      <w:jc w:val="both"/>
      <w:outlineLvl w:val="4"/>
    </w:pPr>
    <w:rPr>
      <w:b/>
    </w:rPr>
  </w:style>
  <w:style w:type="paragraph" w:styleId="Heading6">
    <w:name w:val="heading 6"/>
    <w:basedOn w:val="Normal"/>
    <w:next w:val="Normal"/>
    <w:link w:val="Heading6Char"/>
    <w:qFormat/>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pPr>
      <w:tabs>
        <w:tab w:val="center" w:pos="4536"/>
        <w:tab w:val="right" w:pos="9072"/>
      </w:tabs>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pPr>
      <w:spacing w:line="200" w:lineRule="exact"/>
    </w:pPr>
    <w:rPr>
      <w:color w:val="2D4190"/>
      <w:sz w:val="16"/>
    </w:rPr>
  </w:style>
  <w:style w:type="paragraph" w:customStyle="1" w:styleId="05aTitle">
    <w:name w:val="05a_Title"/>
    <w:basedOn w:val="Normal"/>
    <w:pPr>
      <w:spacing w:line="340" w:lineRule="exact"/>
    </w:pPr>
    <w:rPr>
      <w:b/>
      <w:color w:val="000000"/>
      <w:sz w:val="28"/>
    </w:rPr>
  </w:style>
  <w:style w:type="paragraph" w:customStyle="1" w:styleId="02Date">
    <w:name w:val="02_Date"/>
    <w:basedOn w:val="Normal"/>
    <w:pPr>
      <w:spacing w:line="220" w:lineRule="exact"/>
    </w:pPr>
    <w:rPr>
      <w:sz w:val="17"/>
    </w:rPr>
  </w:style>
  <w:style w:type="paragraph" w:customStyle="1" w:styleId="00aPagenumber">
    <w:name w:val="00a_Page number"/>
    <w:basedOn w:val="00Footer"/>
    <w:pPr>
      <w:spacing w:line="280" w:lineRule="atLeast"/>
      <w:jc w:val="right"/>
    </w:pPr>
    <w:rPr>
      <w:color w:val="000000"/>
      <w:sz w:val="20"/>
    </w:rPr>
  </w:style>
  <w:style w:type="paragraph" w:customStyle="1" w:styleId="04BodyText">
    <w:name w:val="04_Body Text"/>
    <w:basedOn w:val="Normal"/>
    <w:link w:val="04BodyTextChar"/>
    <w:pPr>
      <w:spacing w:after="250" w:line="276" w:lineRule="auto"/>
      <w:jc w:val="both"/>
    </w:pPr>
  </w:style>
  <w:style w:type="paragraph" w:customStyle="1" w:styleId="05HeadlinenoIndex">
    <w:name w:val="05_Headline no Index"/>
    <w:basedOn w:val="04BodyText"/>
    <w:pPr>
      <w:spacing w:line="300" w:lineRule="exact"/>
    </w:pPr>
    <w:rPr>
      <w:b/>
      <w:sz w:val="24"/>
    </w:rPr>
  </w:style>
  <w:style w:type="paragraph" w:customStyle="1" w:styleId="05cHeadline1">
    <w:name w:val="05c_Headline 1"/>
    <w:basedOn w:val="05HeadlinenoIndex"/>
    <w:next w:val="04BodyText"/>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pPr>
      <w:tabs>
        <w:tab w:val="num" w:pos="851"/>
      </w:tabs>
      <w:ind w:left="851" w:hanging="284"/>
    </w:pPr>
  </w:style>
  <w:style w:type="character" w:styleId="PageNumber">
    <w:name w:val="page number"/>
    <w:basedOn w:val="DefaultParagraphFont"/>
  </w:style>
  <w:style w:type="paragraph" w:customStyle="1" w:styleId="00bDBInfo">
    <w:name w:val="00b_DB_Info"/>
    <w:basedOn w:val="00aPagenumber"/>
    <w:rPr>
      <w:color w:val="FFFFFF"/>
    </w:rPr>
  </w:style>
  <w:style w:type="paragraph" w:customStyle="1" w:styleId="01aDBTitle">
    <w:name w:val="01a_DB_Title"/>
    <w:basedOn w:val="05aTitle"/>
    <w:pPr>
      <w:spacing w:line="400" w:lineRule="exact"/>
      <w:jc w:val="right"/>
    </w:pPr>
    <w:rPr>
      <w:color w:val="2D4190"/>
      <w:sz w:val="40"/>
    </w:rPr>
  </w:style>
  <w:style w:type="paragraph" w:customStyle="1" w:styleId="01bDBSubtitle">
    <w:name w:val="01b_DB_Subtitle"/>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pPr>
      <w:tabs>
        <w:tab w:val="left" w:pos="510"/>
        <w:tab w:val="right" w:leader="underscore" w:pos="9412"/>
      </w:tabs>
      <w:spacing w:line="250" w:lineRule="exact"/>
    </w:pPr>
  </w:style>
  <w:style w:type="paragraph" w:customStyle="1" w:styleId="04fBodytextblue">
    <w:name w:val="04f_Body text blue"/>
    <w:basedOn w:val="04BodyText"/>
    <w:pPr>
      <w:pBdr>
        <w:bottom w:val="single" w:sz="4" w:space="12" w:color="283583"/>
      </w:pBdr>
    </w:pPr>
    <w:rPr>
      <w:color w:val="2D4190"/>
    </w:rPr>
  </w:style>
  <w:style w:type="character" w:styleId="Hyperlink">
    <w:name w:val="Hyperlink"/>
    <w:uiPriority w:val="99"/>
    <w:rPr>
      <w:color w:val="0000FF"/>
      <w:u w:val="single"/>
    </w:rPr>
  </w:style>
  <w:style w:type="paragraph" w:customStyle="1" w:styleId="04bList">
    <w:name w:val="04b_List"/>
    <w:basedOn w:val="04BodyText"/>
    <w:uiPriority w:val="99"/>
    <w:pPr>
      <w:numPr>
        <w:numId w:val="3"/>
      </w:numPr>
    </w:pPr>
  </w:style>
  <w:style w:type="paragraph" w:customStyle="1" w:styleId="04eBodytextleft">
    <w:name w:val="04e_Body text left"/>
    <w:basedOn w:val="04BodyText"/>
    <w:pPr>
      <w:spacing w:after="0"/>
      <w:jc w:val="left"/>
    </w:pPr>
  </w:style>
  <w:style w:type="paragraph" w:customStyle="1" w:styleId="05eHeadline2">
    <w:name w:val="05e_Headline 2"/>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Pr>
      <w:vertAlign w:val="superscript"/>
    </w:rPr>
  </w:style>
  <w:style w:type="paragraph" w:styleId="TOC2">
    <w:name w:val="toc 2"/>
    <w:basedOn w:val="Normal"/>
    <w:next w:val="Normal"/>
    <w:autoRedefine/>
    <w:uiPriority w:val="39"/>
    <w:qFormat/>
    <w:pPr>
      <w:spacing w:after="100"/>
      <w:ind w:left="220"/>
    </w:pPr>
  </w:style>
  <w:style w:type="paragraph" w:customStyle="1" w:styleId="05bHeadline1black">
    <w:name w:val="05b_Headline 1 black"/>
    <w:basedOn w:val="05dHeadline1blue"/>
    <w:pPr>
      <w:pBdr>
        <w:top w:val="none" w:sz="0" w:space="0" w:color="auto"/>
      </w:pBdr>
    </w:pPr>
    <w:rPr>
      <w:color w:val="000000"/>
    </w:rPr>
  </w:style>
  <w:style w:type="paragraph" w:customStyle="1" w:styleId="03Headbold">
    <w:name w:val="03_Head_bold"/>
    <w:basedOn w:val="04BodyText"/>
    <w:pPr>
      <w:tabs>
        <w:tab w:val="left" w:pos="414"/>
        <w:tab w:val="left" w:pos="454"/>
      </w:tabs>
      <w:spacing w:after="0" w:line="240" w:lineRule="auto"/>
    </w:pPr>
    <w:rPr>
      <w:b/>
    </w:rPr>
  </w:style>
  <w:style w:type="paragraph" w:customStyle="1" w:styleId="03aHead">
    <w:name w:val="03a_Head"/>
    <w:basedOn w:val="03Headbold"/>
    <w:rPr>
      <w:b w:val="0"/>
    </w:rPr>
  </w:style>
  <w:style w:type="paragraph" w:customStyle="1" w:styleId="04dBodyTextbold">
    <w:name w:val="04d_Body Text bold"/>
    <w:basedOn w:val="04BodyText"/>
    <w:pPr>
      <w:tabs>
        <w:tab w:val="left" w:pos="414"/>
      </w:tabs>
    </w:pPr>
    <w:rPr>
      <w:b/>
    </w:rPr>
  </w:style>
  <w:style w:type="paragraph" w:customStyle="1" w:styleId="06InfoTitle">
    <w:name w:val="06_Info_Title"/>
    <w:basedOn w:val="Normal"/>
    <w:link w:val="06InfoTitleZchn"/>
    <w:pPr>
      <w:spacing w:after="40"/>
      <w:jc w:val="both"/>
    </w:pPr>
    <w:rPr>
      <w:b/>
      <w:sz w:val="24"/>
    </w:rPr>
  </w:style>
  <w:style w:type="character" w:customStyle="1" w:styleId="06InfoTitleZchn">
    <w:name w:val="06_Info_Title Zchn"/>
    <w:link w:val="06InfoTitle"/>
    <w:rPr>
      <w:rFonts w:ascii="Georgia" w:hAnsi="Georgia"/>
      <w:b/>
      <w:sz w:val="24"/>
      <w:szCs w:val="24"/>
      <w:lang w:val="en-GB" w:eastAsia="de-DE" w:bidi="ar-SA"/>
    </w:rPr>
  </w:style>
  <w:style w:type="paragraph" w:customStyle="1" w:styleId="06aInfoTitle">
    <w:name w:val="06a_Info_Title"/>
    <w:basedOn w:val="06InfoTitle"/>
    <w:link w:val="06aInfoTitleZchn"/>
    <w:rPr>
      <w:sz w:val="16"/>
    </w:rPr>
  </w:style>
  <w:style w:type="character" w:customStyle="1" w:styleId="06aInfoTitleZchn">
    <w:name w:val="06a_Info_Title Zchn"/>
    <w:link w:val="06aInfoTitle"/>
    <w:rPr>
      <w:rFonts w:ascii="Georgia" w:hAnsi="Georgia"/>
      <w:b/>
      <w:sz w:val="16"/>
      <w:szCs w:val="24"/>
      <w:lang w:val="en-GB" w:eastAsia="de-DE" w:bidi="ar-SA"/>
    </w:rPr>
  </w:style>
  <w:style w:type="paragraph" w:customStyle="1" w:styleId="04cA">
    <w:name w:val="04c_A"/>
    <w:aliases w:val="B,C"/>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pPr>
      <w:spacing w:line="300" w:lineRule="exact"/>
    </w:pPr>
    <w:rPr>
      <w:b/>
      <w:sz w:val="24"/>
    </w:rPr>
  </w:style>
  <w:style w:type="paragraph" w:customStyle="1" w:styleId="05aHeadline2">
    <w:name w:val="05a_Headline 2"/>
    <w:basedOn w:val="05Headline1"/>
    <w:next w:val="04BodyText"/>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pPr>
      <w:pBdr>
        <w:bottom w:val="single" w:sz="4" w:space="12" w:color="283583"/>
      </w:pBdr>
    </w:pPr>
    <w:rPr>
      <w:color w:val="2D4190"/>
    </w:rPr>
  </w:style>
  <w:style w:type="paragraph" w:customStyle="1" w:styleId="04cBodytextleft">
    <w:name w:val="04c_Body text left"/>
    <w:basedOn w:val="04BodyText"/>
    <w:pPr>
      <w:spacing w:after="0"/>
      <w:jc w:val="left"/>
    </w:pPr>
  </w:style>
  <w:style w:type="paragraph" w:customStyle="1" w:styleId="Style04RunningTextBold">
    <w:name w:val="Style 04_Running Text + Bold"/>
    <w:basedOn w:val="04BodyText"/>
    <w:pPr>
      <w:keepNext/>
    </w:pPr>
    <w:rPr>
      <w:b/>
      <w:bCs/>
    </w:rPr>
  </w:style>
  <w:style w:type="character" w:styleId="CommentReference">
    <w:name w:val="annotation reference"/>
    <w:rPr>
      <w:sz w:val="16"/>
      <w:szCs w:val="16"/>
    </w:rPr>
  </w:style>
  <w:style w:type="paragraph" w:styleId="CommentText">
    <w:name w:val="annotation text"/>
    <w:basedOn w:val="Normal"/>
    <w:link w:val="CommentTextChar"/>
    <w:rPr>
      <w:szCs w:val="20"/>
    </w:rPr>
  </w:style>
  <w:style w:type="character" w:customStyle="1" w:styleId="CommentTextChar">
    <w:name w:val="Comment Text Char"/>
    <w:link w:val="CommentText"/>
    <w:uiPriority w:val="99"/>
    <w:rPr>
      <w:rFonts w:ascii="Georgia" w:hAnsi="Georgia"/>
      <w:lang w:eastAsia="de-DE"/>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Georgia" w:hAnsi="Georgia"/>
      <w:b/>
      <w:bCs/>
      <w:lang w:eastAsia="de-D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pPr>
      <w:ind w:left="720"/>
      <w:contextualSpacing/>
    </w:pPr>
  </w:style>
  <w:style w:type="paragraph" w:styleId="TOCHeading">
    <w:name w:val="TOC Heading"/>
    <w:basedOn w:val="Heading1"/>
    <w:next w:val="Normal"/>
    <w:uiPriority w:val="39"/>
    <w:unhideWhenUsed/>
    <w:qFormat/>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pPr>
      <w:tabs>
        <w:tab w:val="num" w:pos="454"/>
      </w:tabs>
      <w:ind w:left="454" w:hanging="454"/>
    </w:pPr>
    <w:rPr>
      <w:lang w:val="fr-FR"/>
    </w:rPr>
  </w:style>
  <w:style w:type="character" w:customStyle="1" w:styleId="04aNumerationChar">
    <w:name w:val="04a_Numeration Char"/>
    <w:link w:val="04aNumeration"/>
    <w:locked/>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Pr>
      <w:rFonts w:ascii="Georgia" w:hAnsi="Georgia"/>
      <w:sz w:val="16"/>
      <w:lang w:eastAsia="de-DE"/>
    </w:rPr>
  </w:style>
  <w:style w:type="paragraph" w:customStyle="1" w:styleId="DPpara">
    <w:name w:val="DP para"/>
    <w:basedOn w:val="04aNumeration"/>
    <w:link w:val="DPparaChar"/>
    <w:pPr>
      <w:numPr>
        <w:numId w:val="6"/>
      </w:numPr>
    </w:pPr>
    <w:rPr>
      <w:szCs w:val="20"/>
    </w:rPr>
  </w:style>
  <w:style w:type="character" w:customStyle="1" w:styleId="DPparaChar">
    <w:name w:val="DP para Char"/>
    <w:link w:val="DPpara"/>
    <w:locked/>
    <w:rPr>
      <w:rFonts w:ascii="Georgia" w:hAnsi="Georgia"/>
      <w:lang w:val="fr-FR" w:eastAsia="de-DE"/>
    </w:rPr>
  </w:style>
  <w:style w:type="character" w:customStyle="1" w:styleId="CommentTextChar1">
    <w:name w:val="Comment Text Char1"/>
    <w:rPr>
      <w:rFonts w:ascii="Georgia" w:hAnsi="Georgia"/>
      <w:lang w:eastAsia="de-DE"/>
    </w:rPr>
  </w:style>
  <w:style w:type="character" w:customStyle="1" w:styleId="FootnoteTextChar1">
    <w:name w:val="Footnote Text Char1"/>
    <w:aliases w:val="Char3 Char1, Char3 Char1"/>
    <w:locked/>
    <w:rPr>
      <w:rFonts w:ascii="Georgia" w:hAnsi="Georgia"/>
      <w:sz w:val="16"/>
      <w:lang w:eastAsia="de-DE"/>
    </w:rPr>
  </w:style>
  <w:style w:type="paragraph" w:customStyle="1" w:styleId="Default">
    <w:name w:val="Default"/>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style>
  <w:style w:type="paragraph" w:customStyle="1" w:styleId="ManualNumPar1">
    <w:name w:val="Manual NumPar 1"/>
    <w:basedOn w:val="Normal"/>
    <w:next w:val="Normal"/>
    <w:link w:val="ManualNumPar1Char"/>
    <w:uiPriority w:val="99"/>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Pr>
      <w:sz w:val="24"/>
      <w:szCs w:val="24"/>
      <w:lang w:eastAsia="en-US"/>
    </w:rPr>
  </w:style>
  <w:style w:type="character" w:customStyle="1" w:styleId="Heading1Char">
    <w:name w:val="Heading 1 Char"/>
    <w:link w:val="Heading1"/>
    <w:rPr>
      <w:rFonts w:ascii="Georgia" w:hAnsi="Georgia" w:cs="Arial"/>
      <w:b/>
      <w:bCs/>
      <w:kern w:val="32"/>
      <w:sz w:val="24"/>
      <w:szCs w:val="32"/>
      <w:lang w:eastAsia="de-DE"/>
    </w:rPr>
  </w:style>
  <w:style w:type="character" w:customStyle="1" w:styleId="Heading2Char">
    <w:name w:val="Heading 2 Char"/>
    <w:rPr>
      <w:rFonts w:ascii="Georgia" w:hAnsi="Georgia" w:cs="Arial"/>
      <w:bCs/>
      <w:i/>
      <w:kern w:val="32"/>
      <w:szCs w:val="32"/>
      <w:lang w:eastAsia="de-DE"/>
    </w:rPr>
  </w:style>
  <w:style w:type="character" w:styleId="Emphasis">
    <w:name w:val="Emphasis"/>
    <w:uiPriority w:val="20"/>
    <w:qFormat/>
    <w:rPr>
      <w:i/>
      <w:iCs/>
    </w:rPr>
  </w:style>
  <w:style w:type="paragraph" w:styleId="Revision">
    <w:name w:val="Revision"/>
    <w:link w:val="RevisionChar"/>
    <w:hidden/>
    <w:uiPriority w:val="99"/>
    <w:semiHidden/>
    <w:rPr>
      <w:rFonts w:ascii="Georgia" w:hAnsi="Georgia"/>
      <w:sz w:val="22"/>
      <w:szCs w:val="24"/>
      <w:lang w:eastAsia="de-DE"/>
    </w:rPr>
  </w:style>
  <w:style w:type="paragraph" w:styleId="TOC3">
    <w:name w:val="toc 3"/>
    <w:basedOn w:val="Normal"/>
    <w:next w:val="Normal"/>
    <w:autoRedefine/>
    <w:uiPriority w:val="39"/>
    <w:qFormat/>
    <w:pPr>
      <w:spacing w:after="100"/>
      <w:ind w:left="440"/>
    </w:pPr>
  </w:style>
  <w:style w:type="character" w:customStyle="1" w:styleId="SprechblasentextZeichen">
    <w:name w:val="Sprechblasentext Zeichen"/>
    <w:uiPriority w:val="99"/>
    <w:semiHidden/>
    <w:rPr>
      <w:rFonts w:ascii="Lucida Grande" w:hAnsi="Lucida Grande"/>
      <w:sz w:val="18"/>
      <w:szCs w:val="18"/>
    </w:rPr>
  </w:style>
  <w:style w:type="paragraph" w:customStyle="1" w:styleId="CM3">
    <w:name w:val="CM3"/>
    <w:basedOn w:val="Normal"/>
    <w:next w:val="Normal"/>
    <w:uiPriority w:val="99"/>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pPr>
      <w:spacing w:after="100" w:line="276" w:lineRule="auto"/>
      <w:ind w:left="1760"/>
    </w:pPr>
    <w:rPr>
      <w:rFonts w:ascii="Calibri" w:hAnsi="Calibri"/>
      <w:szCs w:val="22"/>
      <w:lang w:eastAsia="en-GB"/>
    </w:rPr>
  </w:style>
  <w:style w:type="character" w:customStyle="1" w:styleId="DeltaViewInsertion">
    <w:name w:val="DeltaView Insertion"/>
    <w:uiPriority w:val="99"/>
    <w:rPr>
      <w:b/>
      <w:bCs/>
      <w:color w:val="FFFFFF"/>
      <w:spacing w:val="0"/>
      <w:u w:val="single"/>
    </w:rPr>
  </w:style>
  <w:style w:type="paragraph" w:styleId="Caption">
    <w:name w:val="caption"/>
    <w:basedOn w:val="Normal"/>
    <w:next w:val="Normal"/>
    <w:unhideWhenUsed/>
    <w:qFormat/>
    <w:pPr>
      <w:spacing w:after="200"/>
    </w:pPr>
    <w:rPr>
      <w:b/>
      <w:bCs/>
      <w:sz w:val="18"/>
      <w:szCs w:val="18"/>
    </w:rPr>
  </w:style>
  <w:style w:type="character" w:customStyle="1" w:styleId="Heading5Char">
    <w:name w:val="Heading 5 Char"/>
    <w:uiPriority w:val="9"/>
    <w:rPr>
      <w:rFonts w:ascii="Georgia" w:eastAsia="Times New Roman" w:hAnsi="Georgia" w:cs="Times New Roman"/>
      <w:b/>
      <w:szCs w:val="24"/>
      <w:lang w:eastAsia="de-DE"/>
    </w:rPr>
  </w:style>
  <w:style w:type="paragraph" w:styleId="NormalWeb">
    <w:name w:val="Normal (Web)"/>
    <w:basedOn w:val="Normal"/>
    <w:pPr>
      <w:spacing w:before="100" w:beforeAutospacing="1" w:after="100" w:afterAutospacing="1"/>
    </w:pPr>
    <w:rPr>
      <w:rFonts w:ascii="Times New Roman" w:hAnsi="Times New Roman"/>
      <w:sz w:val="24"/>
      <w:lang w:val="fr-FR" w:eastAsia="fr-FR"/>
    </w:rPr>
  </w:style>
  <w:style w:type="character" w:customStyle="1" w:styleId="Heading5Char1">
    <w:name w:val="Heading 5 Char1"/>
    <w:rPr>
      <w:rFonts w:ascii="Georgia" w:hAnsi="Georgia"/>
      <w:b/>
      <w:bCs/>
      <w:iCs/>
      <w:szCs w:val="26"/>
      <w:lang w:eastAsia="de-DE"/>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de-DE"/>
    </w:rPr>
  </w:style>
  <w:style w:type="paragraph" w:styleId="PlainText">
    <w:name w:val="Plain Text"/>
    <w:basedOn w:val="Normal"/>
    <w:link w:val="PlainTextChar"/>
    <w:unhideWhenUsed/>
    <w:rPr>
      <w:rFonts w:ascii="Consolas" w:hAnsi="Consolas"/>
      <w:sz w:val="21"/>
      <w:szCs w:val="21"/>
      <w:lang w:val="de-DE"/>
    </w:rPr>
  </w:style>
  <w:style w:type="character" w:customStyle="1" w:styleId="PlainTextChar">
    <w:name w:val="Plain Text Char"/>
    <w:link w:val="PlainText"/>
    <w:rPr>
      <w:rFonts w:ascii="Consolas" w:hAnsi="Consolas"/>
      <w:sz w:val="21"/>
      <w:szCs w:val="21"/>
      <w:lang w:val="de-DE" w:eastAsia="de-DE"/>
    </w:rPr>
  </w:style>
  <w:style w:type="paragraph" w:styleId="BodyText">
    <w:name w:val="Body Text"/>
    <w:basedOn w:val="Normal"/>
    <w:link w:val="BodyTextChar"/>
    <w:unhideWhenUsed/>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Pr>
      <w:sz w:val="24"/>
    </w:rPr>
  </w:style>
  <w:style w:type="paragraph" w:customStyle="1" w:styleId="ListParagraph1">
    <w:name w:val="List Paragraph1"/>
    <w:basedOn w:val="Normal"/>
    <w:qFormat/>
    <w:pPr>
      <w:spacing w:after="200" w:line="276" w:lineRule="atLeast"/>
      <w:ind w:left="720"/>
    </w:pPr>
    <w:rPr>
      <w:rFonts w:ascii="Calibri" w:hAnsi="Calibri" w:cs="Calibri"/>
      <w:szCs w:val="20"/>
      <w:lang w:val="el-GR" w:eastAsia="en-US"/>
    </w:rPr>
  </w:style>
  <w:style w:type="character" w:customStyle="1" w:styleId="Heading5Char2">
    <w:name w:val="Heading 5 Char2"/>
    <w:rPr>
      <w:rFonts w:ascii="Georgia" w:eastAsia="Times New Roman" w:hAnsi="Georgia" w:cs="Times New Roman"/>
      <w:b/>
      <w:szCs w:val="24"/>
      <w:lang w:eastAsia="de-DE"/>
    </w:rPr>
  </w:style>
  <w:style w:type="character" w:styleId="Strong">
    <w:name w:val="Strong"/>
    <w:aliases w:val="Bolded"/>
    <w:qFormat/>
    <w:rPr>
      <w:b/>
      <w:bCs/>
    </w:rPr>
  </w:style>
  <w:style w:type="character" w:customStyle="1" w:styleId="Strong1">
    <w:name w:val="Strong1"/>
    <w:qFormat/>
    <w:rPr>
      <w:b/>
      <w:bCs/>
    </w:rPr>
  </w:style>
  <w:style w:type="character" w:customStyle="1" w:styleId="Strong2">
    <w:name w:val="Strong2"/>
    <w:qFormat/>
    <w:rPr>
      <w:b/>
      <w:bCs/>
    </w:rPr>
  </w:style>
  <w:style w:type="character" w:customStyle="1" w:styleId="Heading5Char3">
    <w:name w:val="Heading 5 Char3"/>
    <w:rPr>
      <w:rFonts w:ascii="Georgia" w:eastAsia="Times New Roman" w:hAnsi="Georgia" w:cs="Times New Roman"/>
      <w:b/>
      <w:szCs w:val="24"/>
      <w:lang w:eastAsia="de-DE"/>
    </w:rPr>
  </w:style>
  <w:style w:type="character" w:customStyle="1" w:styleId="Heading5Char4">
    <w:name w:val="Heading 5 Char4"/>
    <w:rPr>
      <w:rFonts w:ascii="Georgia" w:eastAsia="Times New Roman" w:hAnsi="Georgia" w:cs="Times New Roman"/>
      <w:b/>
      <w:szCs w:val="24"/>
      <w:lang w:eastAsia="de-DE"/>
    </w:rPr>
  </w:style>
  <w:style w:type="character" w:customStyle="1" w:styleId="Heading2Char1">
    <w:name w:val="Heading 2 Char1"/>
    <w:rPr>
      <w:rFonts w:ascii="Georgia" w:eastAsia="Times New Roman" w:hAnsi="Georgia" w:cs="Times New Roman"/>
      <w:b/>
      <w:bCs/>
      <w:sz w:val="22"/>
      <w:szCs w:val="26"/>
      <w:lang w:eastAsia="de-DE"/>
    </w:rPr>
  </w:style>
  <w:style w:type="character" w:customStyle="1" w:styleId="Heading3Char">
    <w:name w:val="Heading 3 Char"/>
    <w:rPr>
      <w:rFonts w:ascii="Georgia" w:eastAsia="Times New Roman" w:hAnsi="Georgia" w:cs="Times New Roman"/>
      <w:b/>
      <w:sz w:val="22"/>
      <w:szCs w:val="26"/>
      <w:lang w:eastAsia="de-DE"/>
    </w:rPr>
  </w:style>
  <w:style w:type="character" w:customStyle="1" w:styleId="Heading5Char5">
    <w:name w:val="Heading 5 Char5"/>
    <w:rPr>
      <w:rFonts w:ascii="Georgia" w:eastAsia="Times New Roman" w:hAnsi="Georgia" w:cs="Times New Roman"/>
      <w:b/>
      <w:szCs w:val="24"/>
      <w:lang w:eastAsia="de-DE"/>
    </w:rPr>
  </w:style>
  <w:style w:type="character" w:customStyle="1" w:styleId="Heading2Char2">
    <w:name w:val="Heading 2 Char2"/>
    <w:link w:val="Heading2"/>
    <w:rPr>
      <w:rFonts w:ascii="Georgia" w:eastAsia="Times New Roman" w:hAnsi="Georgia" w:cs="Times New Roman"/>
      <w:b/>
      <w:bCs/>
      <w:sz w:val="22"/>
      <w:szCs w:val="26"/>
      <w:lang w:eastAsia="de-DE"/>
    </w:rPr>
  </w:style>
  <w:style w:type="character" w:customStyle="1" w:styleId="Strong3">
    <w:name w:val="Strong3"/>
    <w:qFormat/>
    <w:rPr>
      <w:b/>
      <w:bCs/>
    </w:rPr>
  </w:style>
  <w:style w:type="character" w:customStyle="1" w:styleId="Heading5Char6">
    <w:name w:val="Heading 5 Char6"/>
    <w:rPr>
      <w:rFonts w:ascii="Georgia" w:eastAsia="Times New Roman" w:hAnsi="Georgia" w:cs="Times New Roman"/>
      <w:b/>
      <w:szCs w:val="24"/>
      <w:lang w:eastAsia="de-DE"/>
    </w:rPr>
  </w:style>
  <w:style w:type="character" w:customStyle="1" w:styleId="Heading4Char">
    <w:name w:val="Heading 4 Char"/>
    <w:rPr>
      <w:rFonts w:ascii="Georgia" w:eastAsia="Times New Roman" w:hAnsi="Georgia" w:cs="Times New Roman"/>
      <w:b/>
      <w:i/>
      <w:szCs w:val="28"/>
      <w:lang w:eastAsia="de-DE"/>
    </w:rPr>
  </w:style>
  <w:style w:type="character" w:customStyle="1" w:styleId="Heading9Char">
    <w:name w:val="Heading 9 Char"/>
    <w:link w:val="Heading9"/>
    <w:rPr>
      <w:rFonts w:ascii="Arial" w:hAnsi="Arial" w:cs="Arial"/>
      <w:sz w:val="22"/>
      <w:szCs w:val="22"/>
      <w:lang w:eastAsia="de-DE"/>
    </w:rPr>
  </w:style>
  <w:style w:type="character" w:customStyle="1" w:styleId="italic1">
    <w:name w:val="italic1"/>
    <w:uiPriority w:val="99"/>
    <w:rPr>
      <w:rFonts w:cs="Times New Roman"/>
      <w:i/>
      <w:iCs/>
    </w:rPr>
  </w:style>
  <w:style w:type="paragraph" w:customStyle="1" w:styleId="5Normal">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Pr>
      <w:rFonts w:ascii="Verdana" w:hAnsi="Verdana"/>
      <w:spacing w:val="-2"/>
      <w:szCs w:val="24"/>
    </w:rPr>
  </w:style>
  <w:style w:type="character" w:customStyle="1" w:styleId="Heading5Char7">
    <w:name w:val="Heading 5 Char7"/>
    <w:aliases w:val="Questions Char"/>
    <w:rPr>
      <w:rFonts w:ascii="Georgia" w:eastAsia="Times New Roman" w:hAnsi="Georgia" w:cs="Times New Roman"/>
      <w:b/>
      <w:szCs w:val="24"/>
      <w:lang w:eastAsia="de-DE"/>
    </w:rPr>
  </w:style>
  <w:style w:type="character" w:customStyle="1" w:styleId="Heading5Char8">
    <w:name w:val="Heading 5 Char8"/>
    <w:aliases w:val="Questions Char1"/>
    <w:rPr>
      <w:rFonts w:ascii="Georgia" w:eastAsia="Times New Roman" w:hAnsi="Georgia" w:cs="Times New Roman"/>
      <w:b/>
      <w:szCs w:val="24"/>
      <w:lang w:eastAsia="de-DE"/>
    </w:rPr>
  </w:style>
  <w:style w:type="character" w:customStyle="1" w:styleId="Heading7Char">
    <w:name w:val="Heading 7 Char"/>
    <w:link w:val="Heading7"/>
    <w:rPr>
      <w:sz w:val="22"/>
      <w:szCs w:val="24"/>
      <w:lang w:eastAsia="de-DE"/>
    </w:rPr>
  </w:style>
  <w:style w:type="character" w:customStyle="1" w:styleId="Heading6Char">
    <w:name w:val="Heading 6 Char"/>
    <w:link w:val="Heading6"/>
    <w:rPr>
      <w:b/>
      <w:bCs/>
      <w:szCs w:val="22"/>
      <w:lang w:eastAsia="de-DE"/>
    </w:rPr>
  </w:style>
  <w:style w:type="character" w:customStyle="1" w:styleId="Heading8Char">
    <w:name w:val="Heading 8 Char"/>
    <w:link w:val="Heading8"/>
    <w:rPr>
      <w:i/>
      <w:iCs/>
      <w:szCs w:val="24"/>
      <w:lang w:eastAsia="de-DE"/>
    </w:rPr>
  </w:style>
  <w:style w:type="numbering" w:customStyle="1" w:styleId="NoList1">
    <w:name w:val="No List1"/>
    <w:next w:val="NoList"/>
    <w:uiPriority w:val="99"/>
    <w:semiHidden/>
    <w:unhideWhenUsed/>
  </w:style>
  <w:style w:type="character" w:styleId="FollowedHyperlink">
    <w:name w:val="FollowedHyperlink"/>
    <w:unhideWhenUsed/>
    <w:rPr>
      <w:color w:val="800080"/>
      <w:u w:val="single"/>
    </w:rPr>
  </w:style>
  <w:style w:type="character" w:customStyle="1" w:styleId="HeaderChar">
    <w:name w:val="Header Char"/>
    <w:link w:val="Header"/>
    <w:rPr>
      <w:rFonts w:ascii="Georgia" w:hAnsi="Georgia"/>
      <w:sz w:val="22"/>
      <w:szCs w:val="24"/>
      <w:lang w:eastAsia="de-DE"/>
    </w:rPr>
  </w:style>
  <w:style w:type="character" w:customStyle="1" w:styleId="FooterChar">
    <w:name w:val="Footer Char"/>
    <w:link w:val="Footer"/>
    <w:rPr>
      <w:rFonts w:ascii="Georgia" w:hAnsi="Georgia"/>
      <w:sz w:val="22"/>
      <w:szCs w:val="24"/>
      <w:lang w:eastAsia="de-DE"/>
    </w:rPr>
  </w:style>
  <w:style w:type="paragraph" w:styleId="EndnoteText">
    <w:name w:val="endnote text"/>
    <w:basedOn w:val="Normal"/>
    <w:link w:val="EndnoteTextChar"/>
    <w:unhideWhenUsed/>
    <w:rPr>
      <w:szCs w:val="20"/>
    </w:rPr>
  </w:style>
  <w:style w:type="character" w:customStyle="1" w:styleId="EndnoteTextChar">
    <w:name w:val="Endnote Text Char"/>
    <w:link w:val="EndnoteText"/>
    <w:rPr>
      <w:rFonts w:ascii="Georgia" w:hAnsi="Georgia"/>
      <w:lang w:eastAsia="de-DE"/>
    </w:rPr>
  </w:style>
  <w:style w:type="paragraph" w:styleId="ListNumber">
    <w:name w:val="List Number"/>
    <w:basedOn w:val="Normal"/>
    <w:unhideWhenUsed/>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Pr>
      <w:rFonts w:ascii="Georgia" w:hAnsi="Georgia"/>
      <w:sz w:val="22"/>
      <w:szCs w:val="24"/>
      <w:lang w:eastAsia="de-DE"/>
    </w:rPr>
  </w:style>
  <w:style w:type="paragraph" w:customStyle="1" w:styleId="04anumbering0">
    <w:name w:val="04anumbering"/>
    <w:basedOn w:val="Normal"/>
    <w:pPr>
      <w:tabs>
        <w:tab w:val="num" w:pos="360"/>
      </w:tabs>
      <w:spacing w:after="250" w:line="276" w:lineRule="auto"/>
      <w:jc w:val="both"/>
    </w:pPr>
    <w:rPr>
      <w:rFonts w:eastAsia="Calibri"/>
      <w:szCs w:val="20"/>
      <w:lang w:eastAsia="en-GB"/>
    </w:rPr>
  </w:style>
  <w:style w:type="paragraph" w:customStyle="1" w:styleId="Tiret1">
    <w:name w:val="Tiret 1"/>
    <w:basedOn w:val="Normal"/>
    <w:pPr>
      <w:numPr>
        <w:numId w:val="10"/>
      </w:numPr>
      <w:spacing w:before="120" w:after="120"/>
      <w:jc w:val="both"/>
    </w:pPr>
    <w:rPr>
      <w:rFonts w:ascii="Times New Roman" w:hAnsi="Times New Roman"/>
      <w:sz w:val="24"/>
      <w:lang w:eastAsia="en-US"/>
    </w:rPr>
  </w:style>
  <w:style w:type="character" w:customStyle="1" w:styleId="DPChar">
    <w:name w:val="DP Char"/>
    <w:link w:val="DP"/>
    <w:locked/>
    <w:rPr>
      <w:rFonts w:ascii="Georgia" w:hAnsi="Georgia"/>
      <w:b/>
      <w:u w:val="single"/>
      <w:lang w:eastAsia="de-DE"/>
    </w:rPr>
  </w:style>
  <w:style w:type="paragraph" w:customStyle="1" w:styleId="DP">
    <w:name w:val="DP"/>
    <w:basedOn w:val="ListParagraph"/>
    <w:link w:val="DPChar"/>
    <w:qFormat/>
    <w:pPr>
      <w:ind w:left="708"/>
      <w:contextualSpacing w:val="0"/>
      <w:jc w:val="both"/>
    </w:pPr>
    <w:rPr>
      <w:b/>
      <w:szCs w:val="20"/>
      <w:u w:val="single"/>
    </w:rPr>
  </w:style>
  <w:style w:type="paragraph" w:customStyle="1" w:styleId="Bullet">
    <w:name w:val="Bullet"/>
    <w:basedOn w:val="Normal"/>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Pr>
      <w:vertAlign w:val="superscript"/>
    </w:rPr>
  </w:style>
  <w:style w:type="character" w:styleId="PlaceholderText">
    <w:name w:val="Placeholder Text"/>
    <w:uiPriority w:val="99"/>
    <w:semiHidden/>
    <w:rPr>
      <w:color w:val="808080"/>
    </w:rPr>
  </w:style>
  <w:style w:type="character" w:customStyle="1" w:styleId="apple-converted-space">
    <w:name w:val="apple-converted-space"/>
  </w:style>
  <w:style w:type="table" w:customStyle="1" w:styleId="TableGrid1">
    <w:name w:val="Table Grid1"/>
    <w:basedOn w:val="TableNormal"/>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style>
  <w:style w:type="paragraph" w:customStyle="1" w:styleId="AutoCorrect">
    <w:name w:val="AutoCorrect"/>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style>
  <w:style w:type="paragraph" w:customStyle="1" w:styleId="aStyle">
    <w:name w:val="a) Style"/>
    <w:basedOn w:val="Normal"/>
    <w:qFormat/>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Pr>
      <w:rFonts w:ascii="Georgia" w:hAnsi="Georgia"/>
      <w:szCs w:val="24"/>
      <w:lang w:eastAsia="de-DE"/>
    </w:rPr>
  </w:style>
  <w:style w:type="paragraph" w:customStyle="1" w:styleId="Anwer">
    <w:name w:val="Anwer"/>
    <w:basedOn w:val="Caption"/>
    <w:link w:val="AnwerChar"/>
    <w:qFormat/>
    <w:pPr>
      <w:spacing w:before="120"/>
      <w:jc w:val="both"/>
    </w:pPr>
    <w:rPr>
      <w:color w:val="C0504D"/>
    </w:rPr>
  </w:style>
  <w:style w:type="character" w:customStyle="1" w:styleId="AnwerChar">
    <w:name w:val="Anwer Char"/>
    <w:link w:val="Anwer"/>
    <w:rPr>
      <w:rFonts w:ascii="Georgia" w:hAnsi="Georgia"/>
      <w:b/>
      <w:bCs/>
      <w:color w:val="C0504D"/>
      <w:sz w:val="18"/>
      <w:szCs w:val="18"/>
      <w:lang w:eastAsia="de-DE"/>
    </w:rPr>
  </w:style>
  <w:style w:type="paragraph" w:customStyle="1" w:styleId="MYNORMAL">
    <w:name w:val="MYNORMAL"/>
    <w:basedOn w:val="04aNumeration"/>
    <w:link w:val="MYNORMALChar"/>
    <w:qFormat/>
    <w:pPr>
      <w:tabs>
        <w:tab w:val="clear" w:pos="454"/>
      </w:tabs>
      <w:spacing w:before="120"/>
      <w:ind w:left="0" w:firstLine="0"/>
    </w:pPr>
  </w:style>
  <w:style w:type="character" w:customStyle="1" w:styleId="MYNORMALChar">
    <w:name w:val="MYNORMAL Char"/>
    <w:link w:val="MYNORMAL"/>
    <w:rPr>
      <w:rFonts w:ascii="Georgia" w:hAnsi="Georgia"/>
      <w:szCs w:val="24"/>
      <w:lang w:val="fr-FR" w:eastAsia="de-DE"/>
    </w:rPr>
  </w:style>
  <w:style w:type="paragraph" w:customStyle="1" w:styleId="Normal1">
    <w:name w:val="Normal1"/>
    <w:basedOn w:val="Normal"/>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Pr>
      <w:rFonts w:ascii="Georgia" w:eastAsia="Times New Roman" w:hAnsi="Georgia" w:cs="Times New Roman"/>
      <w:b/>
      <w:szCs w:val="24"/>
      <w:lang w:eastAsia="de-DE"/>
    </w:rPr>
  </w:style>
  <w:style w:type="character" w:customStyle="1" w:styleId="Heading5Char10">
    <w:name w:val="Heading 5 Char10"/>
    <w:aliases w:val="Questions Char3"/>
    <w:rPr>
      <w:rFonts w:ascii="Georgia" w:eastAsia="Times New Roman" w:hAnsi="Georgia" w:cs="Times New Roman"/>
      <w:b/>
      <w:szCs w:val="24"/>
      <w:lang w:eastAsia="de-DE"/>
    </w:rPr>
  </w:style>
  <w:style w:type="character" w:customStyle="1" w:styleId="Heading5Char11">
    <w:name w:val="Heading 5 Char11"/>
    <w:aliases w:val="Questions Char4"/>
    <w:rPr>
      <w:rFonts w:ascii="Georgia" w:eastAsia="Times New Roman" w:hAnsi="Georgia" w:cs="Times New Roman"/>
      <w:b/>
      <w:szCs w:val="24"/>
      <w:lang w:eastAsia="de-DE"/>
    </w:rPr>
  </w:style>
  <w:style w:type="character" w:customStyle="1" w:styleId="Heading3Char1">
    <w:name w:val="Heading 3 Char1"/>
    <w:rPr>
      <w:rFonts w:ascii="Georgia" w:eastAsia="Times New Roman" w:hAnsi="Georgia" w:cs="Times New Roman"/>
      <w:b/>
      <w:sz w:val="22"/>
      <w:szCs w:val="26"/>
      <w:lang w:eastAsia="de-DE"/>
    </w:rPr>
  </w:style>
  <w:style w:type="character" w:customStyle="1" w:styleId="Heading5Char12">
    <w:name w:val="Heading 5 Char12"/>
    <w:aliases w:val="Questions Char5"/>
    <w:rPr>
      <w:rFonts w:ascii="Georgia" w:eastAsia="Times New Roman" w:hAnsi="Georgia" w:cs="Times New Roman"/>
      <w:b/>
      <w:szCs w:val="24"/>
      <w:lang w:eastAsia="de-DE"/>
    </w:rPr>
  </w:style>
  <w:style w:type="character" w:customStyle="1" w:styleId="Heading5Char13">
    <w:name w:val="Heading 5 Char13"/>
    <w:aliases w:val="Questions Char6"/>
    <w:rPr>
      <w:rFonts w:ascii="Georgia" w:eastAsia="Times New Roman" w:hAnsi="Georgia" w:cs="Times New Roman"/>
      <w:b/>
      <w:szCs w:val="24"/>
      <w:lang w:eastAsia="de-DE"/>
    </w:rPr>
  </w:style>
  <w:style w:type="character" w:customStyle="1" w:styleId="Strong4">
    <w:name w:val="Strong4"/>
    <w:uiPriority w:val="22"/>
    <w:qFormat/>
    <w:rPr>
      <w:b/>
      <w:bCs/>
    </w:rPr>
  </w:style>
  <w:style w:type="character" w:customStyle="1" w:styleId="Heading5Char14">
    <w:name w:val="Heading 5 Char14"/>
    <w:aliases w:val="Questions Char7"/>
    <w:link w:val="Heading5"/>
    <w:rPr>
      <w:rFonts w:ascii="Georgia" w:hAnsi="Georgia"/>
      <w:b/>
      <w:szCs w:val="24"/>
      <w:lang w:eastAsia="de-DE"/>
    </w:rPr>
  </w:style>
  <w:style w:type="character" w:customStyle="1" w:styleId="Heading3Char2">
    <w:name w:val="Heading 3 Char2"/>
    <w:link w:val="Heading3"/>
    <w:rPr>
      <w:rFonts w:ascii="Cambria" w:eastAsia="Times New Roman" w:hAnsi="Cambria" w:cs="Times New Roman"/>
      <w:b/>
      <w:bCs/>
      <w:color w:val="4F81BD"/>
      <w:sz w:val="22"/>
      <w:szCs w:val="24"/>
      <w:lang w:eastAsia="de-DE"/>
    </w:rPr>
  </w:style>
  <w:style w:type="character" w:customStyle="1" w:styleId="Heading4Char1">
    <w:name w:val="Heading 4 Char1"/>
    <w:link w:val="Heading4"/>
    <w:rPr>
      <w:b/>
      <w:bCs/>
      <w:sz w:val="28"/>
      <w:szCs w:val="28"/>
      <w:lang w:eastAsia="de-DE"/>
    </w:rPr>
  </w:style>
  <w:style w:type="table" w:styleId="LightList-Accent3">
    <w:name w:val="Light List Accent 3"/>
    <w:basedOn w:val="TableNormal"/>
    <w:uiPriority w:val="61"/>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Pr>
      <w:rFonts w:ascii="Tahoma" w:hAnsi="Tahoma" w:cs="Tahoma"/>
      <w:sz w:val="16"/>
      <w:szCs w:val="16"/>
      <w:lang w:val="en-GB" w:eastAsia="en-GB"/>
    </w:rPr>
  </w:style>
  <w:style w:type="character" w:customStyle="1" w:styleId="31TextobasenotadeprensaCNMVCar">
    <w:name w:val="3.1. Texto base nota de prensa CNMV Car"/>
    <w:rPr>
      <w:rFonts w:ascii="Celeste" w:hAnsi="Celeste" w:cs="Times New Roman"/>
      <w:sz w:val="22"/>
      <w:lang w:val="es-ES" w:eastAsia="es-ES" w:bidi="ar-SA"/>
    </w:rPr>
  </w:style>
  <w:style w:type="paragraph" w:customStyle="1" w:styleId="01Title">
    <w:name w:val="01_Title"/>
    <w:basedOn w:val="Normal"/>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pPr>
      <w:spacing w:after="250" w:line="276" w:lineRule="auto"/>
      <w:ind w:left="397" w:hanging="397"/>
      <w:jc w:val="both"/>
    </w:pPr>
  </w:style>
  <w:style w:type="paragraph" w:customStyle="1" w:styleId="04bListing">
    <w:name w:val="04b_Listing"/>
    <w:basedOn w:val="04RunningText"/>
    <w:pPr>
      <w:tabs>
        <w:tab w:val="num" w:pos="568"/>
      </w:tabs>
      <w:ind w:left="568" w:hanging="284"/>
    </w:pPr>
  </w:style>
  <w:style w:type="paragraph" w:customStyle="1" w:styleId="04cRunningtextleft">
    <w:name w:val="04c_Running text left"/>
    <w:basedOn w:val="04RunningText"/>
    <w:pPr>
      <w:spacing w:after="0"/>
      <w:jc w:val="left"/>
    </w:pPr>
  </w:style>
  <w:style w:type="paragraph" w:customStyle="1" w:styleId="05bHeadline3">
    <w:name w:val="05b_Headline 3"/>
    <w:basedOn w:val="Heading2"/>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Pr>
      <w:rFonts w:ascii="Courier New" w:hAnsi="Courier New" w:cs="Courier New"/>
    </w:rPr>
  </w:style>
  <w:style w:type="paragraph" w:customStyle="1" w:styleId="TOCHeading1">
    <w:name w:val="TOC Heading1"/>
    <w:basedOn w:val="Heading1"/>
    <w:next w:val="Normal"/>
    <w:unhideWhenUsed/>
    <w:qFormat/>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pPr>
      <w:spacing w:line="260" w:lineRule="atLeast"/>
      <w:ind w:left="720"/>
      <w:contextualSpacing/>
    </w:pPr>
    <w:rPr>
      <w:rFonts w:ascii="Verdana" w:hAnsi="Verdana"/>
      <w:kern w:val="10"/>
      <w:szCs w:val="20"/>
      <w:lang w:val="de-DE"/>
    </w:rPr>
  </w:style>
  <w:style w:type="paragraph" w:customStyle="1" w:styleId="Listenabsatz2">
    <w:name w:val="Listenabsatz2"/>
    <w:basedOn w:val="Normal"/>
    <w:pPr>
      <w:spacing w:line="260" w:lineRule="atLeast"/>
      <w:ind w:left="720"/>
      <w:contextualSpacing/>
    </w:pPr>
    <w:rPr>
      <w:rFonts w:ascii="Verdana" w:hAnsi="Verdana"/>
      <w:kern w:val="10"/>
      <w:szCs w:val="20"/>
      <w:lang w:val="de-DE"/>
    </w:rPr>
  </w:style>
  <w:style w:type="paragraph" w:customStyle="1" w:styleId="Considrant">
    <w:name w:val="Considérant"/>
    <w:basedOn w:val="Normal"/>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pPr>
      <w:ind w:left="720"/>
      <w:contextualSpacing/>
    </w:pPr>
    <w:rPr>
      <w:rFonts w:ascii="Cambria" w:hAnsi="Cambria"/>
      <w:sz w:val="24"/>
      <w:lang w:val="en-US" w:eastAsia="en-US"/>
    </w:rPr>
  </w:style>
  <w:style w:type="character" w:customStyle="1" w:styleId="CommentTextChar2">
    <w:name w:val="Comment Text Char2"/>
    <w:semiHidden/>
    <w:locked/>
    <w:rPr>
      <w:rFonts w:ascii="Arial" w:hAnsi="Arial" w:cs="Times New Roman"/>
      <w:lang w:val="en-GB" w:eastAsia="en-GB" w:bidi="ar-SA"/>
    </w:rPr>
  </w:style>
  <w:style w:type="character" w:customStyle="1" w:styleId="subparatext">
    <w:name w:val="subparatext"/>
    <w:rPr>
      <w:rFonts w:cs="Times New Roman"/>
    </w:rPr>
  </w:style>
  <w:style w:type="paragraph" w:customStyle="1" w:styleId="Normal12Hanging">
    <w:name w:val="Normal12Hanging"/>
    <w:basedOn w:val="Normal"/>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Pr>
      <w:szCs w:val="20"/>
    </w:rPr>
  </w:style>
  <w:style w:type="paragraph" w:customStyle="1" w:styleId="Sbuchead">
    <w:name w:val="Sbuchead"/>
    <w:basedOn w:val="Normal"/>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pPr>
      <w:spacing w:before="480" w:after="120"/>
      <w:jc w:val="both"/>
    </w:pPr>
    <w:rPr>
      <w:rFonts w:ascii="Times New Roman" w:hAnsi="Times New Roman"/>
      <w:sz w:val="24"/>
      <w:lang w:eastAsia="en-US"/>
    </w:rPr>
  </w:style>
  <w:style w:type="paragraph" w:customStyle="1" w:styleId="Fait">
    <w:name w:val="Fait à"/>
    <w:basedOn w:val="Normal"/>
    <w:next w:val="Institutionquisigne"/>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pPr>
      <w:keepNext/>
      <w:spacing w:before="360" w:after="120"/>
      <w:jc w:val="center"/>
    </w:pPr>
    <w:rPr>
      <w:rFonts w:ascii="Times New Roman" w:hAnsi="Times New Roman"/>
      <w:i/>
      <w:sz w:val="24"/>
    </w:rPr>
  </w:style>
  <w:style w:type="paragraph" w:customStyle="1" w:styleId="Titreobjet">
    <w:name w:val="Titre objet"/>
    <w:basedOn w:val="Normal"/>
    <w:next w:val="Normal"/>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pPr>
      <w:spacing w:before="360"/>
      <w:jc w:val="center"/>
    </w:pPr>
    <w:rPr>
      <w:rFonts w:ascii="Times New Roman" w:hAnsi="Times New Roman"/>
      <w:b/>
      <w:sz w:val="24"/>
      <w:lang w:eastAsia="en-US"/>
    </w:rPr>
  </w:style>
  <w:style w:type="paragraph" w:customStyle="1" w:styleId="HeaderLandscape">
    <w:name w:val="HeaderLandscape"/>
    <w:basedOn w:val="Normal"/>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pPr>
      <w:spacing w:before="120" w:after="120"/>
      <w:ind w:left="850"/>
      <w:jc w:val="both"/>
    </w:pPr>
    <w:rPr>
      <w:rFonts w:ascii="Times New Roman" w:hAnsi="Times New Roman"/>
      <w:sz w:val="24"/>
      <w:lang w:eastAsia="en-US"/>
    </w:rPr>
  </w:style>
  <w:style w:type="paragraph" w:customStyle="1" w:styleId="Text2">
    <w:name w:val="Text 2"/>
    <w:basedOn w:val="Normal"/>
    <w:pPr>
      <w:spacing w:before="120" w:after="120"/>
      <w:ind w:left="1417"/>
      <w:jc w:val="both"/>
    </w:pPr>
    <w:rPr>
      <w:rFonts w:ascii="Times New Roman" w:hAnsi="Times New Roman"/>
      <w:sz w:val="24"/>
      <w:lang w:eastAsia="en-US"/>
    </w:rPr>
  </w:style>
  <w:style w:type="paragraph" w:customStyle="1" w:styleId="Text3">
    <w:name w:val="Text 3"/>
    <w:basedOn w:val="Normal"/>
    <w:pPr>
      <w:spacing w:before="120" w:after="120"/>
      <w:ind w:left="1984"/>
      <w:jc w:val="both"/>
    </w:pPr>
    <w:rPr>
      <w:rFonts w:ascii="Times New Roman" w:hAnsi="Times New Roman"/>
      <w:sz w:val="24"/>
      <w:lang w:eastAsia="en-US"/>
    </w:rPr>
  </w:style>
  <w:style w:type="paragraph" w:customStyle="1" w:styleId="Text4">
    <w:name w:val="Text 4"/>
    <w:basedOn w:val="Normal"/>
    <w:pPr>
      <w:spacing w:before="120" w:after="120"/>
      <w:ind w:left="2551"/>
      <w:jc w:val="both"/>
    </w:pPr>
    <w:rPr>
      <w:rFonts w:ascii="Times New Roman" w:hAnsi="Times New Roman"/>
      <w:sz w:val="24"/>
      <w:lang w:eastAsia="en-US"/>
    </w:rPr>
  </w:style>
  <w:style w:type="paragraph" w:customStyle="1" w:styleId="NormalCentered">
    <w:name w:val="Normal Centered"/>
    <w:basedOn w:val="Normal"/>
    <w:pPr>
      <w:spacing w:before="120" w:after="120"/>
      <w:jc w:val="center"/>
    </w:pPr>
    <w:rPr>
      <w:rFonts w:ascii="Times New Roman" w:hAnsi="Times New Roman"/>
      <w:sz w:val="24"/>
      <w:lang w:eastAsia="en-US"/>
    </w:rPr>
  </w:style>
  <w:style w:type="paragraph" w:customStyle="1" w:styleId="NormalLeft">
    <w:name w:val="Normal Left"/>
    <w:basedOn w:val="Normal"/>
    <w:pPr>
      <w:spacing w:before="120" w:after="120"/>
    </w:pPr>
    <w:rPr>
      <w:rFonts w:ascii="Times New Roman" w:hAnsi="Times New Roman"/>
      <w:sz w:val="24"/>
      <w:lang w:eastAsia="en-US"/>
    </w:rPr>
  </w:style>
  <w:style w:type="paragraph" w:customStyle="1" w:styleId="NormalRight">
    <w:name w:val="Normal Right"/>
    <w:basedOn w:val="Normal"/>
    <w:pPr>
      <w:spacing w:before="120" w:after="120"/>
      <w:jc w:val="right"/>
    </w:pPr>
    <w:rPr>
      <w:rFonts w:ascii="Times New Roman" w:hAnsi="Times New Roman"/>
      <w:sz w:val="24"/>
      <w:lang w:eastAsia="en-US"/>
    </w:rPr>
  </w:style>
  <w:style w:type="paragraph" w:customStyle="1" w:styleId="QuotedText">
    <w:name w:val="Quoted Text"/>
    <w:basedOn w:val="Normal"/>
    <w:pPr>
      <w:spacing w:before="120" w:after="120"/>
      <w:ind w:left="1417"/>
      <w:jc w:val="both"/>
    </w:pPr>
    <w:rPr>
      <w:rFonts w:ascii="Times New Roman" w:hAnsi="Times New Roman"/>
      <w:sz w:val="24"/>
      <w:lang w:eastAsia="en-US"/>
    </w:rPr>
  </w:style>
  <w:style w:type="paragraph" w:customStyle="1" w:styleId="Point0">
    <w:name w:val="Point 0"/>
    <w:basedOn w:val="Normal"/>
    <w:pPr>
      <w:spacing w:before="120" w:after="120"/>
      <w:ind w:left="850" w:hanging="850"/>
      <w:jc w:val="both"/>
    </w:pPr>
    <w:rPr>
      <w:rFonts w:ascii="Times New Roman" w:hAnsi="Times New Roman"/>
      <w:sz w:val="24"/>
      <w:lang w:eastAsia="en-US"/>
    </w:rPr>
  </w:style>
  <w:style w:type="paragraph" w:customStyle="1" w:styleId="Point1">
    <w:name w:val="Point 1"/>
    <w:basedOn w:val="Normal"/>
    <w:pPr>
      <w:spacing w:before="120" w:after="120"/>
      <w:ind w:left="1417" w:hanging="567"/>
      <w:jc w:val="both"/>
    </w:pPr>
    <w:rPr>
      <w:rFonts w:ascii="Times New Roman" w:hAnsi="Times New Roman"/>
      <w:sz w:val="24"/>
      <w:lang w:eastAsia="en-US"/>
    </w:rPr>
  </w:style>
  <w:style w:type="paragraph" w:customStyle="1" w:styleId="Point2">
    <w:name w:val="Point 2"/>
    <w:basedOn w:val="Normal"/>
    <w:pPr>
      <w:spacing w:before="120" w:after="120"/>
      <w:ind w:left="1984" w:hanging="567"/>
      <w:jc w:val="both"/>
    </w:pPr>
    <w:rPr>
      <w:rFonts w:ascii="Times New Roman" w:hAnsi="Times New Roman"/>
      <w:sz w:val="24"/>
      <w:lang w:eastAsia="en-US"/>
    </w:rPr>
  </w:style>
  <w:style w:type="paragraph" w:customStyle="1" w:styleId="Point3">
    <w:name w:val="Point 3"/>
    <w:basedOn w:val="Normal"/>
    <w:pPr>
      <w:spacing w:before="120" w:after="120"/>
      <w:ind w:left="2551" w:hanging="567"/>
      <w:jc w:val="both"/>
    </w:pPr>
    <w:rPr>
      <w:rFonts w:ascii="Times New Roman" w:hAnsi="Times New Roman"/>
      <w:sz w:val="24"/>
      <w:lang w:eastAsia="en-US"/>
    </w:rPr>
  </w:style>
  <w:style w:type="paragraph" w:customStyle="1" w:styleId="Point4">
    <w:name w:val="Point 4"/>
    <w:basedOn w:val="Normal"/>
    <w:pPr>
      <w:spacing w:before="120" w:after="120"/>
      <w:ind w:left="3118" w:hanging="567"/>
      <w:jc w:val="both"/>
    </w:pPr>
    <w:rPr>
      <w:rFonts w:ascii="Times New Roman" w:hAnsi="Times New Roman"/>
      <w:sz w:val="24"/>
      <w:lang w:eastAsia="en-US"/>
    </w:rPr>
  </w:style>
  <w:style w:type="paragraph" w:customStyle="1" w:styleId="Tiret0">
    <w:name w:val="Tiret 0"/>
    <w:basedOn w:val="Point0"/>
    <w:pPr>
      <w:numPr>
        <w:numId w:val="18"/>
      </w:numPr>
    </w:pPr>
  </w:style>
  <w:style w:type="paragraph" w:customStyle="1" w:styleId="Tiret2">
    <w:name w:val="Tiret 2"/>
    <w:basedOn w:val="Point2"/>
    <w:pPr>
      <w:tabs>
        <w:tab w:val="num" w:pos="1984"/>
      </w:tabs>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PointDouble0">
    <w:name w:val="PointDouble 0"/>
    <w:basedOn w:val="Normal"/>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pPr>
      <w:spacing w:before="120" w:after="120"/>
      <w:jc w:val="center"/>
    </w:pPr>
    <w:rPr>
      <w:rFonts w:ascii="Times New Roman" w:hAnsi="Times New Roman"/>
      <w:b/>
      <w:sz w:val="24"/>
      <w:lang w:eastAsia="en-US"/>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pPr>
      <w:numPr>
        <w:numId w:val="22"/>
      </w:numPr>
      <w:spacing w:before="120" w:after="120"/>
      <w:jc w:val="both"/>
    </w:pPr>
    <w:rPr>
      <w:rFonts w:ascii="Times New Roman" w:hAnsi="Times New Roman"/>
      <w:sz w:val="24"/>
      <w:lang w:eastAsia="en-US"/>
    </w:rPr>
  </w:style>
  <w:style w:type="paragraph" w:customStyle="1" w:styleId="Bullet1">
    <w:name w:val="Bullet 1"/>
    <w:basedOn w:val="Normal"/>
    <w:pPr>
      <w:numPr>
        <w:numId w:val="23"/>
      </w:numPr>
      <w:spacing w:before="120" w:after="120"/>
      <w:jc w:val="both"/>
    </w:pPr>
    <w:rPr>
      <w:rFonts w:ascii="Times New Roman" w:hAnsi="Times New Roman"/>
      <w:sz w:val="24"/>
      <w:lang w:eastAsia="en-US"/>
    </w:rPr>
  </w:style>
  <w:style w:type="paragraph" w:customStyle="1" w:styleId="Bullet2">
    <w:name w:val="Bullet 2"/>
    <w:basedOn w:val="Normal"/>
    <w:pPr>
      <w:numPr>
        <w:numId w:val="24"/>
      </w:numPr>
      <w:spacing w:before="120" w:after="120"/>
      <w:jc w:val="both"/>
    </w:pPr>
    <w:rPr>
      <w:rFonts w:ascii="Times New Roman" w:hAnsi="Times New Roman"/>
      <w:sz w:val="24"/>
      <w:lang w:eastAsia="en-US"/>
    </w:rPr>
  </w:style>
  <w:style w:type="paragraph" w:customStyle="1" w:styleId="Bullet3">
    <w:name w:val="Bullet 3"/>
    <w:basedOn w:val="Normal"/>
    <w:pPr>
      <w:numPr>
        <w:numId w:val="25"/>
      </w:numPr>
      <w:spacing w:before="120" w:after="120"/>
      <w:jc w:val="both"/>
    </w:pPr>
    <w:rPr>
      <w:rFonts w:ascii="Times New Roman" w:hAnsi="Times New Roman"/>
      <w:sz w:val="24"/>
      <w:lang w:eastAsia="en-US"/>
    </w:rPr>
  </w:style>
  <w:style w:type="paragraph" w:customStyle="1" w:styleId="Bullet4">
    <w:name w:val="Bullet 4"/>
    <w:basedOn w:val="Normal"/>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pPr>
      <w:spacing w:after="240"/>
    </w:pPr>
    <w:rPr>
      <w:rFonts w:ascii="Times New Roman" w:hAnsi="Times New Roman"/>
      <w:sz w:val="24"/>
      <w:lang w:eastAsia="en-US"/>
    </w:rPr>
  </w:style>
  <w:style w:type="paragraph" w:customStyle="1" w:styleId="Datedadoption">
    <w:name w:val="Date d'adoption"/>
    <w:basedOn w:val="Normal"/>
    <w:next w:val="Titreobjet"/>
    <w:pPr>
      <w:spacing w:before="360"/>
      <w:jc w:val="center"/>
    </w:pPr>
    <w:rPr>
      <w:rFonts w:ascii="Times New Roman" w:hAnsi="Times New Roman"/>
      <w:b/>
      <w:sz w:val="24"/>
      <w:lang w:eastAsia="en-US"/>
    </w:rPr>
  </w:style>
  <w:style w:type="paragraph" w:customStyle="1" w:styleId="Emission">
    <w:name w:val="Emission"/>
    <w:basedOn w:val="Normal"/>
    <w:next w:val="Rfrenceinstitutionnelle"/>
    <w:pPr>
      <w:ind w:left="5103"/>
    </w:pPr>
    <w:rPr>
      <w:rFonts w:ascii="Times New Roman" w:hAnsi="Times New Roman"/>
      <w:sz w:val="24"/>
      <w:lang w:eastAsia="en-US"/>
    </w:rPr>
  </w:style>
  <w:style w:type="paragraph" w:customStyle="1" w:styleId="Exposdesmotifstitre">
    <w:name w:val="Exposé des motifs titre"/>
    <w:basedOn w:val="Normal"/>
    <w:next w:val="Normal"/>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pPr>
      <w:keepNext/>
      <w:spacing w:before="600" w:after="120"/>
      <w:jc w:val="both"/>
    </w:pPr>
    <w:rPr>
      <w:rFonts w:ascii="Times New Roman" w:hAnsi="Times New Roman"/>
      <w:sz w:val="24"/>
      <w:lang w:eastAsia="en-US"/>
    </w:rPr>
  </w:style>
  <w:style w:type="paragraph" w:customStyle="1" w:styleId="Langue">
    <w:name w:val="Langue"/>
    <w:basedOn w:val="Normal"/>
    <w:next w:val="Rfrenceinterne"/>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Pr>
      <w:rFonts w:cs="Arial"/>
      <w:sz w:val="24"/>
      <w:lang w:eastAsia="en-US"/>
    </w:rPr>
  </w:style>
  <w:style w:type="paragraph" w:customStyle="1" w:styleId="Rfrenceinstitutionnelle">
    <w:name w:val="Référence institutionnelle"/>
    <w:basedOn w:val="Normal"/>
    <w:next w:val="Confidentialit"/>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pPr>
      <w:ind w:left="5103"/>
    </w:pPr>
    <w:rPr>
      <w:rFonts w:ascii="Times New Roman" w:hAnsi="Times New Roman"/>
      <w:sz w:val="24"/>
      <w:lang w:eastAsia="en-US"/>
    </w:rPr>
  </w:style>
  <w:style w:type="paragraph" w:customStyle="1" w:styleId="Rfrenceinterne">
    <w:name w:val="Référence interne"/>
    <w:basedOn w:val="Normal"/>
    <w:next w:val="Rfrenceinterinstitutionnelle"/>
    <w:pPr>
      <w:ind w:left="5103"/>
    </w:pPr>
    <w:rPr>
      <w:rFonts w:ascii="Times New Roman" w:hAnsi="Times New Roman"/>
      <w:sz w:val="24"/>
      <w:lang w:eastAsia="en-US"/>
    </w:rPr>
  </w:style>
  <w:style w:type="paragraph" w:customStyle="1" w:styleId="Sous-titreobjet">
    <w:name w:val="Sous-titre objet"/>
    <w:basedOn w:val="Normal"/>
    <w:pPr>
      <w:jc w:val="center"/>
    </w:pPr>
    <w:rPr>
      <w:rFonts w:ascii="Times New Roman" w:hAnsi="Times New Roman"/>
      <w:b/>
      <w:sz w:val="24"/>
      <w:lang w:eastAsia="en-US"/>
    </w:rPr>
  </w:style>
  <w:style w:type="paragraph" w:customStyle="1" w:styleId="Statut">
    <w:name w:val="Statut"/>
    <w:basedOn w:val="Normal"/>
    <w:next w:val="Typedudocument"/>
    <w:pPr>
      <w:spacing w:before="360"/>
      <w:jc w:val="center"/>
    </w:pPr>
    <w:rPr>
      <w:rFonts w:ascii="Times New Roman" w:hAnsi="Times New Roman"/>
      <w:sz w:val="24"/>
      <w:lang w:eastAsia="en-US"/>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pPr>
      <w:spacing w:before="120" w:after="120"/>
      <w:jc w:val="both"/>
    </w:pPr>
    <w:rPr>
      <w:rFonts w:ascii="Times New Roman" w:hAnsi="Times New Roman"/>
      <w:sz w:val="24"/>
      <w:lang w:eastAsia="en-US"/>
    </w:rPr>
  </w:style>
  <w:style w:type="paragraph" w:customStyle="1" w:styleId="Supertitre">
    <w:name w:val="Supertitre"/>
    <w:basedOn w:val="Normal"/>
    <w:next w:val="Normal"/>
    <w:pPr>
      <w:spacing w:after="600"/>
      <w:jc w:val="center"/>
    </w:pPr>
    <w:rPr>
      <w:rFonts w:ascii="Times New Roman" w:hAnsi="Times New Roman"/>
      <w:b/>
      <w:sz w:val="24"/>
      <w:lang w:eastAsia="en-US"/>
    </w:rPr>
  </w:style>
  <w:style w:type="paragraph" w:customStyle="1" w:styleId="Languesfaisantfoi">
    <w:name w:val="Langues faisant foi"/>
    <w:basedOn w:val="Normal"/>
    <w:next w:val="Normal"/>
    <w:pPr>
      <w:spacing w:before="360"/>
      <w:jc w:val="center"/>
    </w:pPr>
    <w:rPr>
      <w:rFonts w:ascii="Times New Roman" w:hAnsi="Times New Roman"/>
      <w:sz w:val="24"/>
      <w:lang w:eastAsia="en-US"/>
    </w:rPr>
  </w:style>
  <w:style w:type="paragraph" w:customStyle="1" w:styleId="Rfrencecroise">
    <w:name w:val="Référence croisée"/>
    <w:basedOn w:val="Normal"/>
    <w:pPr>
      <w:jc w:val="center"/>
    </w:pPr>
    <w:rPr>
      <w:rFonts w:ascii="Times New Roman" w:hAnsi="Times New Roman"/>
      <w:sz w:val="24"/>
      <w:lang w:eastAsia="en-US"/>
    </w:rPr>
  </w:style>
  <w:style w:type="paragraph" w:customStyle="1" w:styleId="Fichefinanciretitre">
    <w:name w:val="Fiche financière titre"/>
    <w:basedOn w:val="Normal"/>
    <w:next w:val="Normal"/>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ind w:left="5103"/>
    </w:pPr>
    <w:rPr>
      <w:rFonts w:ascii="Times New Roman" w:hAnsi="Times New Roman"/>
      <w:sz w:val="24"/>
      <w:lang w:eastAsia="en-US"/>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jc w:val="center"/>
    </w:pPr>
    <w:rPr>
      <w:rFonts w:ascii="Times New Roman" w:hAnsi="Times New Roman"/>
      <w:sz w:val="24"/>
      <w:lang w:eastAsia="en-US"/>
    </w:rPr>
  </w:style>
  <w:style w:type="paragraph" w:styleId="ListNumber2">
    <w:name w:val="List Number 2"/>
    <w:basedOn w:val="Normal"/>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pPr>
      <w:spacing w:before="120" w:after="120"/>
      <w:jc w:val="both"/>
    </w:pPr>
    <w:rPr>
      <w:rFonts w:ascii="Times New Roman" w:hAnsi="Times New Roman"/>
      <w:sz w:val="24"/>
      <w:lang w:eastAsia="en-US"/>
    </w:rPr>
  </w:style>
  <w:style w:type="character" w:customStyle="1" w:styleId="CommentTextChar3">
    <w:name w:val="Comment Text Char3"/>
    <w:locked/>
    <w:rPr>
      <w:rFonts w:ascii="Arial" w:hAnsi="Arial" w:cs="Times New Roman"/>
      <w:lang w:val="en-GB" w:eastAsia="en-GB" w:bidi="ar-SA"/>
    </w:rPr>
  </w:style>
  <w:style w:type="paragraph" w:customStyle="1" w:styleId="Paragrafoelenco3">
    <w:name w:val="Paragrafo elenco3"/>
    <w:basedOn w:val="Normal"/>
    <w:pPr>
      <w:ind w:left="720"/>
      <w:contextualSpacing/>
    </w:pPr>
    <w:rPr>
      <w:rFonts w:ascii="Cambria" w:hAnsi="Cambria"/>
      <w:sz w:val="24"/>
      <w:lang w:val="en-US" w:eastAsia="en-US"/>
    </w:rPr>
  </w:style>
  <w:style w:type="paragraph" w:customStyle="1" w:styleId="Listeavsnitt1">
    <w:name w:val="Listeavsnitt1"/>
    <w:basedOn w:val="Normal"/>
    <w:pPr>
      <w:spacing w:line="252" w:lineRule="auto"/>
      <w:ind w:left="720"/>
      <w:contextualSpacing/>
    </w:pPr>
    <w:rPr>
      <w:rFonts w:ascii="Times New Roman" w:hAnsi="Times New Roman"/>
      <w:sz w:val="24"/>
      <w:lang w:val="nb-NO" w:eastAsia="en-US"/>
    </w:rPr>
  </w:style>
  <w:style w:type="character" w:customStyle="1" w:styleId="PlainTextChar1">
    <w:name w:val="Plain Text Char1"/>
    <w:rPr>
      <w:rFonts w:ascii="Consolas" w:hAnsi="Consolas" w:cs="Consolas"/>
      <w:sz w:val="21"/>
      <w:szCs w:val="21"/>
      <w:lang w:eastAsia="de-DE"/>
    </w:rPr>
  </w:style>
  <w:style w:type="character" w:customStyle="1" w:styleId="CharChar1">
    <w:name w:val="Char Char1"/>
    <w:semiHidden/>
    <w:locked/>
    <w:rPr>
      <w:rFonts w:ascii="Arial" w:hAnsi="Arial"/>
      <w:lang w:val="en-GB" w:eastAsia="en-GB" w:bidi="ar-SA"/>
    </w:rPr>
  </w:style>
  <w:style w:type="character" w:customStyle="1" w:styleId="CharChar">
    <w:name w:val="Char Char"/>
    <w:semiHidden/>
    <w:locked/>
    <w:rPr>
      <w:rFonts w:ascii="Arial" w:hAnsi="Arial"/>
      <w:lang w:val="en-GB" w:eastAsia="en-GB" w:bidi="ar-SA"/>
    </w:rPr>
  </w:style>
  <w:style w:type="character" w:customStyle="1" w:styleId="CharChar2">
    <w:name w:val="Char Char2"/>
    <w:semiHidden/>
    <w:locked/>
    <w:rPr>
      <w:rFonts w:ascii="Arial" w:hAnsi="Arial"/>
      <w:lang w:val="en-GB" w:eastAsia="en-GB" w:bidi="ar-SA"/>
    </w:rPr>
  </w:style>
  <w:style w:type="character" w:customStyle="1" w:styleId="CharChar4">
    <w:name w:val="Char Char4"/>
    <w:semiHidden/>
    <w:locked/>
    <w:rPr>
      <w:rFonts w:ascii="Arial" w:hAnsi="Arial" w:cs="Times New Roman"/>
      <w:lang w:val="en-GB" w:eastAsia="en-GB" w:bidi="ar-SA"/>
    </w:rPr>
  </w:style>
  <w:style w:type="numbering" w:customStyle="1" w:styleId="Formatvorlage1">
    <w:name w:val="Formatvorlage1"/>
    <w:uiPriority w:val="99"/>
    <w:pPr>
      <w:numPr>
        <w:numId w:val="27"/>
      </w:numPr>
    </w:pPr>
  </w:style>
  <w:style w:type="character" w:customStyle="1" w:styleId="DeltaViewDeletion">
    <w:name w:val="DeltaView Deletion"/>
    <w:rPr>
      <w:b/>
      <w:strike/>
      <w:color w:val="FFFFFF"/>
      <w:spacing w:val="0"/>
    </w:rPr>
  </w:style>
  <w:style w:type="paragraph" w:customStyle="1" w:styleId="Listenabsatz3">
    <w:name w:val="Listenabsatz3"/>
    <w:basedOn w:val="Normal"/>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pPr>
      <w:ind w:left="720"/>
      <w:contextualSpacing/>
    </w:pPr>
    <w:rPr>
      <w:rFonts w:ascii="Cambria" w:hAnsi="Cambria"/>
      <w:sz w:val="24"/>
      <w:lang w:val="en-US" w:eastAsia="en-US"/>
    </w:rPr>
  </w:style>
  <w:style w:type="paragraph" w:customStyle="1" w:styleId="ListParagraph2">
    <w:name w:val="List Paragraph2"/>
    <w:basedOn w:val="Normal"/>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Pr>
      <w:sz w:val="24"/>
      <w:szCs w:val="24"/>
      <w:lang w:eastAsia="en-US"/>
    </w:rPr>
  </w:style>
  <w:style w:type="paragraph" w:customStyle="1" w:styleId="CODParagraphes">
    <w:name w:val="COD Paragraphes"/>
    <w:basedOn w:val="Normal"/>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Pr>
      <w:i/>
      <w:sz w:val="24"/>
      <w:szCs w:val="24"/>
    </w:rPr>
  </w:style>
  <w:style w:type="paragraph" w:customStyle="1" w:styleId="CODArticle12">
    <w:name w:val="COD Article + 12"/>
    <w:basedOn w:val="Normal"/>
    <w:uiPriority w:val="99"/>
    <w:pPr>
      <w:spacing w:after="240"/>
      <w:jc w:val="center"/>
    </w:pPr>
    <w:rPr>
      <w:rFonts w:ascii="Times New Roman" w:hAnsi="Times New Roman"/>
      <w:sz w:val="24"/>
      <w:szCs w:val="20"/>
      <w:lang w:val="fr-FR" w:eastAsia="en-GB"/>
    </w:rPr>
  </w:style>
  <w:style w:type="paragraph" w:customStyle="1" w:styleId="TableContents">
    <w:name w:val="Table Contents"/>
    <w:basedOn w:val="Normal"/>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pPr>
      <w:ind w:left="720"/>
      <w:contextualSpacing/>
    </w:pPr>
    <w:rPr>
      <w:rFonts w:ascii="Times New Roman" w:hAnsi="Times New Roman"/>
      <w:sz w:val="24"/>
      <w:lang w:eastAsia="en-GB"/>
    </w:rPr>
  </w:style>
  <w:style w:type="paragraph" w:customStyle="1" w:styleId="Listenabsatz4">
    <w:name w:val="Listenabsatz4"/>
    <w:basedOn w:val="Normal"/>
    <w:qFormat/>
    <w:pPr>
      <w:ind w:left="720"/>
      <w:contextualSpacing/>
    </w:pPr>
    <w:rPr>
      <w:rFonts w:ascii="Times New Roman" w:hAnsi="Times New Roman"/>
      <w:sz w:val="24"/>
      <w:lang w:eastAsia="en-GB"/>
    </w:rPr>
  </w:style>
  <w:style w:type="character" w:customStyle="1" w:styleId="04BodyTextChar">
    <w:name w:val="04_Body Text Char"/>
    <w:link w:val="04BodyText"/>
    <w:rPr>
      <w:rFonts w:ascii="Georgia" w:hAnsi="Georgia"/>
      <w:szCs w:val="24"/>
      <w:lang w:eastAsia="de-DE"/>
    </w:rPr>
  </w:style>
  <w:style w:type="paragraph" w:customStyle="1" w:styleId="05dHeadline1line">
    <w:name w:val="05d_Headline 1 line"/>
    <w:basedOn w:val="05cHeadline1"/>
    <w:next w:val="04fBodytextline"/>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pPr>
      <w:pBdr>
        <w:bottom w:val="single" w:sz="4" w:space="12" w:color="000000"/>
      </w:pBdr>
      <w:tabs>
        <w:tab w:val="left" w:pos="454"/>
      </w:tabs>
    </w:pPr>
    <w:rPr>
      <w:color w:val="000000"/>
    </w:rPr>
  </w:style>
  <w:style w:type="paragraph" w:customStyle="1" w:styleId="Annex">
    <w:name w:val="Annex"/>
    <w:basedOn w:val="04aNumeration"/>
    <w:link w:val="AnnexChar"/>
    <w:qFormat/>
    <w:pPr>
      <w:tabs>
        <w:tab w:val="clear" w:pos="454"/>
        <w:tab w:val="left" w:pos="397"/>
      </w:tabs>
      <w:suppressAutoHyphens/>
      <w:ind w:left="0" w:firstLine="0"/>
    </w:pPr>
    <w:rPr>
      <w:b/>
      <w:color w:val="000000"/>
    </w:rPr>
  </w:style>
  <w:style w:type="character" w:customStyle="1" w:styleId="04RunningTextChar">
    <w:name w:val="04_Running Text Char"/>
    <w:link w:val="04RunningText"/>
    <w:rPr>
      <w:rFonts w:ascii="Georgia" w:hAnsi="Georgia"/>
      <w:szCs w:val="24"/>
      <w:lang w:eastAsia="de-DE"/>
    </w:rPr>
  </w:style>
  <w:style w:type="character" w:customStyle="1" w:styleId="AnnexChar">
    <w:name w:val="Annex Char"/>
    <w:link w:val="Annex"/>
    <w:rPr>
      <w:rFonts w:ascii="Georgia" w:hAnsi="Georgia"/>
      <w:b/>
      <w:color w:val="000000"/>
      <w:szCs w:val="24"/>
      <w:lang w:eastAsia="de-DE"/>
    </w:rPr>
  </w:style>
  <w:style w:type="paragraph" w:customStyle="1" w:styleId="CM1">
    <w:name w:val="CM1"/>
    <w:basedOn w:val="Default"/>
    <w:next w:val="Default"/>
    <w:uiPriority w:val="99"/>
    <w:rPr>
      <w:rFonts w:ascii="EUAlbertina" w:hAnsi="EUAlbertina" w:cs="Times New Roman"/>
      <w:color w:val="auto"/>
      <w:lang w:val="de-DE" w:eastAsia="de-DE"/>
    </w:rPr>
  </w:style>
  <w:style w:type="paragraph" w:customStyle="1" w:styleId="aStyle1">
    <w:name w:val="a. Style1"/>
    <w:basedOn w:val="Normal"/>
    <w:link w:val="aStyle1Char"/>
    <w:qFormat/>
    <w:pPr>
      <w:numPr>
        <w:numId w:val="29"/>
      </w:numPr>
      <w:suppressAutoHyphens/>
      <w:spacing w:after="250" w:line="276" w:lineRule="auto"/>
      <w:jc w:val="both"/>
    </w:pPr>
    <w:rPr>
      <w:szCs w:val="20"/>
    </w:rPr>
  </w:style>
  <w:style w:type="character" w:customStyle="1" w:styleId="aStyle1Char">
    <w:name w:val="a. Style1 Char"/>
    <w:link w:val="aStyle1"/>
    <w:rPr>
      <w:rFonts w:ascii="Georgia" w:hAnsi="Georgia"/>
    </w:rPr>
  </w:style>
  <w:style w:type="paragraph" w:styleId="Title">
    <w:name w:val="Title"/>
    <w:basedOn w:val="Normal"/>
    <w:next w:val="Normal"/>
    <w:link w:val="TitleChar"/>
    <w:uiPriority w:val="10"/>
    <w:qFormat/>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Pr>
      <w:rFonts w:ascii="Cambria" w:hAnsi="Cambria"/>
      <w:b/>
      <w:kern w:val="28"/>
      <w:sz w:val="32"/>
      <w:lang w:val="fr-FR" w:eastAsia="fr-FR"/>
    </w:rPr>
  </w:style>
  <w:style w:type="paragraph" w:customStyle="1" w:styleId="32LadilloosubtitulonotadeprensaCNMV">
    <w:name w:val="3.2. Ladillo o subtitulo nota de prensa CNMV"/>
    <w:basedOn w:val="Normal"/>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Pr>
      <w:rFonts w:ascii="Georgia" w:hAnsi="Georgia"/>
      <w:sz w:val="22"/>
      <w:szCs w:val="24"/>
      <w:lang w:eastAsia="de-DE"/>
    </w:rPr>
  </w:style>
  <w:style w:type="table" w:customStyle="1" w:styleId="TableGrid2">
    <w:name w:val="Table Grid2"/>
    <w:basedOn w:val="TableNormal"/>
    <w:next w:val="Table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Pr>
      <w:b/>
      <w:i w:val="0"/>
      <w:iCs/>
      <w:sz w:val="20"/>
    </w:rPr>
  </w:style>
  <w:style w:type="paragraph" w:customStyle="1" w:styleId="NEW-Paragraph-Level1">
    <w:name w:val="NEW-Paragraph-Level1"/>
    <w:basedOn w:val="Normal"/>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Pr>
      <w:rFonts w:ascii="Georgia" w:hAnsi="Georgia"/>
      <w:lang w:eastAsia="de-DE"/>
    </w:rPr>
  </w:style>
  <w:style w:type="character" w:customStyle="1" w:styleId="NEW-Paragraph-level3Char">
    <w:name w:val="NEW-Paragraph-level3 Char"/>
    <w:link w:val="NEW-Paragraph-level3"/>
    <w:rPr>
      <w:rFonts w:ascii="Georgia" w:hAnsi="Georgia"/>
      <w:lang w:eastAsia="de-DE"/>
    </w:rPr>
  </w:style>
  <w:style w:type="paragraph" w:customStyle="1" w:styleId="NEW-Level0">
    <w:name w:val="NEW-Level0"/>
    <w:basedOn w:val="Normal"/>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Pr>
      <w:rFonts w:ascii="Georgia" w:hAnsi="Georgia" w:cs="Georgia"/>
      <w:b/>
      <w:bCs/>
      <w:color w:val="000000"/>
      <w:u w:val="single"/>
    </w:rPr>
  </w:style>
  <w:style w:type="paragraph" w:customStyle="1" w:styleId="aNEW-Level0">
    <w:name w:val="aNEW-Level0"/>
    <w:basedOn w:val="NEW-Level0"/>
    <w:link w:val="aNEW-Level0Char"/>
    <w:qFormat/>
    <w:pPr>
      <w:spacing w:before="120" w:after="120"/>
      <w:ind w:left="425" w:hanging="425"/>
    </w:pPr>
  </w:style>
  <w:style w:type="paragraph" w:customStyle="1" w:styleId="aNEW-Level1">
    <w:name w:val="aNEW-Level1"/>
    <w:basedOn w:val="NEW-Level1"/>
    <w:link w:val="aNEW-Level1Char"/>
    <w:qFormat/>
    <w:pPr>
      <w:spacing w:before="120" w:after="120"/>
      <w:ind w:left="431" w:hanging="431"/>
    </w:pPr>
  </w:style>
  <w:style w:type="character" w:customStyle="1" w:styleId="aNEW-Level0Char">
    <w:name w:val="aNEW-Level0 Char"/>
    <w:link w:val="aNEW-Level0"/>
    <w:rPr>
      <w:rFonts w:ascii="Georgia" w:hAnsi="Georgia" w:cs="Arial"/>
      <w:b/>
      <w:bCs/>
      <w:kern w:val="32"/>
      <w:sz w:val="28"/>
      <w:szCs w:val="28"/>
      <w:lang w:eastAsia="de-DE"/>
    </w:rPr>
  </w:style>
  <w:style w:type="character" w:customStyle="1" w:styleId="aNEW-Level1Char">
    <w:name w:val="aNEW-Level1 Char"/>
    <w:link w:val="aNEW-Level1"/>
    <w:rPr>
      <w:rFonts w:ascii="Georgia" w:hAnsi="Georgia" w:cs="Arial"/>
      <w:b/>
      <w:bCs/>
      <w:kern w:val="32"/>
      <w:sz w:val="24"/>
      <w:szCs w:val="32"/>
      <w:lang w:eastAsia="de-DE"/>
    </w:rPr>
  </w:style>
  <w:style w:type="paragraph" w:customStyle="1" w:styleId="aNEW-Level2">
    <w:name w:val="aNEW-Level2"/>
    <w:basedOn w:val="NEW-Level2"/>
    <w:link w:val="aNEW-Level2Char"/>
    <w:qFormat/>
  </w:style>
  <w:style w:type="paragraph" w:customStyle="1" w:styleId="aNEW-Level4">
    <w:name w:val="aNEW-Level4"/>
    <w:basedOn w:val="Normal"/>
    <w:link w:val="aNEW-Level4Char"/>
    <w:qFormat/>
    <w:pPr>
      <w:tabs>
        <w:tab w:val="left" w:pos="720"/>
      </w:tabs>
      <w:spacing w:after="250" w:line="276" w:lineRule="auto"/>
      <w:jc w:val="both"/>
    </w:pPr>
    <w:rPr>
      <w:i/>
      <w:szCs w:val="20"/>
    </w:rPr>
  </w:style>
  <w:style w:type="character" w:customStyle="1" w:styleId="aNEW-Level2Char">
    <w:name w:val="aNEW-Level2 Char"/>
    <w:link w:val="aNEW-Level2"/>
    <w:rPr>
      <w:rFonts w:ascii="Georgia" w:hAnsi="Georgia" w:cs="Georgia"/>
      <w:b/>
      <w:bCs/>
      <w:color w:val="000000"/>
      <w:u w:val="single"/>
    </w:rPr>
  </w:style>
  <w:style w:type="paragraph" w:customStyle="1" w:styleId="aNEW-Questions">
    <w:name w:val="aNEW-Questions"/>
    <w:basedOn w:val="Normal"/>
    <w:link w:val="aNEW-QuestionsChar"/>
    <w:qFormat/>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Pr>
      <w:rFonts w:ascii="Georgia" w:hAnsi="Georgia"/>
      <w:i/>
      <w:lang w:eastAsia="de-DE"/>
    </w:rPr>
  </w:style>
  <w:style w:type="paragraph" w:customStyle="1" w:styleId="aNEW-Paragraph">
    <w:name w:val="aNEW-Paragraph"/>
    <w:basedOn w:val="NEW-Paragraph-Level1"/>
    <w:link w:val="aNEW-ParagraphChar"/>
    <w:qFormat/>
    <w:pPr>
      <w:numPr>
        <w:numId w:val="2"/>
      </w:numPr>
      <w:tabs>
        <w:tab w:val="clear" w:pos="851"/>
        <w:tab w:val="num" w:pos="426"/>
      </w:tabs>
      <w:ind w:left="426" w:hanging="426"/>
    </w:pPr>
    <w:rPr>
      <w:rFonts w:eastAsia="Calibri"/>
    </w:rPr>
  </w:style>
  <w:style w:type="character" w:customStyle="1" w:styleId="aNEW-QuestionsChar">
    <w:name w:val="aNEW-Questions Char"/>
    <w:link w:val="aNEW-Questions"/>
    <w:rPr>
      <w:rFonts w:ascii="Georgia" w:eastAsia="Calibri" w:hAnsi="Georgia"/>
      <w:b/>
      <w:bCs/>
      <w:kern w:val="28"/>
      <w:szCs w:val="32"/>
      <w:lang w:eastAsia="en-US"/>
    </w:rPr>
  </w:style>
  <w:style w:type="character" w:customStyle="1" w:styleId="aNEW-ParagraphChar">
    <w:name w:val="aNEW-Paragraph Char"/>
    <w:link w:val="aNEW-Paragraph"/>
    <w:rPr>
      <w:rFonts w:ascii="Georgia" w:eastAsia="Calibri" w:hAnsi="Georgia"/>
      <w:lang w:eastAsia="de-DE"/>
    </w:rPr>
  </w:style>
  <w:style w:type="paragraph" w:customStyle="1" w:styleId="aNew-Level33">
    <w:name w:val="aNew-Level33"/>
    <w:basedOn w:val="Normal"/>
    <w:link w:val="aNew-Level33Char"/>
    <w:qFormat/>
    <w:pPr>
      <w:spacing w:after="250" w:line="276" w:lineRule="auto"/>
      <w:ind w:left="426" w:hanging="426"/>
      <w:jc w:val="both"/>
    </w:pPr>
    <w:rPr>
      <w:b/>
    </w:rPr>
  </w:style>
  <w:style w:type="paragraph" w:customStyle="1" w:styleId="aNew-BoxTitle">
    <w:name w:val="aNew-BoxTitle"/>
    <w:basedOn w:val="04aNumbering"/>
    <w:link w:val="aNew-BoxTitleChar"/>
    <w:qFormat/>
    <w:pPr>
      <w:shd w:val="clear" w:color="auto" w:fill="D9D9D9"/>
      <w:tabs>
        <w:tab w:val="clear" w:pos="851"/>
        <w:tab w:val="left" w:pos="720"/>
      </w:tabs>
      <w:ind w:left="284"/>
    </w:pPr>
    <w:rPr>
      <w:b/>
    </w:rPr>
  </w:style>
  <w:style w:type="character" w:customStyle="1" w:styleId="aNew-Level33Char">
    <w:name w:val="aNew-Level33 Char"/>
    <w:link w:val="aNew-Level33"/>
    <w:rPr>
      <w:rFonts w:ascii="Georgia" w:hAnsi="Georgia"/>
      <w:b/>
      <w:szCs w:val="24"/>
      <w:lang w:eastAsia="de-DE"/>
    </w:rPr>
  </w:style>
  <w:style w:type="character" w:customStyle="1" w:styleId="aNew-BoxTitleChar">
    <w:name w:val="aNew-BoxTitle Char"/>
    <w:link w:val="aNew-BoxTitle"/>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pPr>
      <w:ind w:left="851" w:hanging="425"/>
    </w:pPr>
  </w:style>
  <w:style w:type="paragraph" w:customStyle="1" w:styleId="aNEW-Paragraph-level3">
    <w:name w:val="aNEW-Paragraph-level3"/>
    <w:basedOn w:val="NEW-Paragraph-level3"/>
    <w:link w:val="aNEW-Paragraph-level3Char"/>
    <w:qFormat/>
    <w:pPr>
      <w:ind w:left="1276" w:hanging="426"/>
    </w:pPr>
  </w:style>
  <w:style w:type="character" w:customStyle="1" w:styleId="aNEW-Paragraph-level2Char">
    <w:name w:val="aNEW-Paragraph-level2 Char"/>
    <w:link w:val="aNEW-Paragraph-level2"/>
    <w:rPr>
      <w:rFonts w:ascii="Georgia" w:hAnsi="Georgia"/>
      <w:lang w:eastAsia="de-DE"/>
    </w:rPr>
  </w:style>
  <w:style w:type="character" w:customStyle="1" w:styleId="aNEW-Paragraph-level3Char">
    <w:name w:val="aNEW-Paragraph-level3 Char"/>
    <w:link w:val="aNEW-Paragraph-level3"/>
    <w:rPr>
      <w:rFonts w:ascii="Georgia" w:hAnsi="Georgia"/>
      <w:lang w:eastAsia="de-DE"/>
    </w:rPr>
  </w:style>
  <w:style w:type="paragraph" w:customStyle="1" w:styleId="aNew-Level5">
    <w:name w:val="aNew-Level5"/>
    <w:basedOn w:val="Normal"/>
    <w:link w:val="aNew-Level5Char"/>
    <w:qFormat/>
    <w:pPr>
      <w:tabs>
        <w:tab w:val="left" w:pos="720"/>
      </w:tabs>
      <w:spacing w:after="250" w:line="276" w:lineRule="auto"/>
      <w:jc w:val="both"/>
    </w:pPr>
    <w:rPr>
      <w:i/>
      <w:szCs w:val="20"/>
      <w:u w:val="single"/>
    </w:rPr>
  </w:style>
  <w:style w:type="character" w:customStyle="1" w:styleId="aNew-Level5Char">
    <w:name w:val="aNew-Level5 Char"/>
    <w:link w:val="aNew-Level5"/>
    <w:rPr>
      <w:rFonts w:ascii="Georgia" w:hAnsi="Georgia"/>
      <w:i/>
      <w:u w:val="single"/>
      <w:lang w:eastAsia="de-DE"/>
    </w:rPr>
  </w:style>
  <w:style w:type="paragraph" w:customStyle="1" w:styleId="Questions-ESMA">
    <w:name w:val="Questions-ESMA"/>
    <w:basedOn w:val="Normal"/>
    <w:link w:val="Questions-ESMAChar"/>
    <w:qFormat/>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Pr>
      <w:rFonts w:ascii="Calibri" w:hAnsi="Calibri"/>
      <w:b/>
      <w:sz w:val="22"/>
      <w:lang w:eastAsia="en-US"/>
    </w:rPr>
  </w:style>
  <w:style w:type="paragraph" w:customStyle="1" w:styleId="CPQuestions">
    <w:name w:val="CP_Questions"/>
    <w:basedOn w:val="Normal"/>
    <w:link w:val="CPQuestionsChar"/>
    <w:qFormat/>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Pr>
      <w:rFonts w:ascii="Arial" w:eastAsiaTheme="minorEastAsia" w:hAnsi="Arial" w:cstheme="minorBidi"/>
      <w:b/>
      <w:sz w:val="22"/>
      <w:lang w:eastAsia="en-US"/>
    </w:rPr>
  </w:style>
  <w:style w:type="paragraph" w:customStyle="1" w:styleId="CPQuest2">
    <w:name w:val="CP_Quest2"/>
    <w:basedOn w:val="CPQuestions"/>
    <w:link w:val="CPQuest2Char"/>
    <w:autoRedefine/>
    <w:qFormat/>
    <w:pPr>
      <w:numPr>
        <w:numId w:val="35"/>
      </w:numPr>
    </w:pPr>
    <w:rPr>
      <w:rFonts w:eastAsia="Calibri"/>
    </w:rPr>
  </w:style>
  <w:style w:type="character" w:customStyle="1" w:styleId="CPQuest2Char">
    <w:name w:val="CP_Quest2 Char"/>
    <w:basedOn w:val="CPQuestionsChar"/>
    <w:link w:val="CPQuest2"/>
    <w:rPr>
      <w:rFonts w:ascii="Arial" w:eastAsia="Calibri" w:hAnsi="Arial" w:cstheme="minorBidi"/>
      <w:b/>
      <w:sz w:val="22"/>
      <w:lang w:eastAsia="en-US"/>
    </w:rPr>
  </w:style>
  <w:style w:type="character" w:styleId="IntenseEmphasis">
    <w:name w:val="Intense Emphasis"/>
    <w:basedOn w:val="DefaultParagraphFont"/>
    <w:uiPriority w:val="21"/>
    <w:qFormat/>
    <w:rPr>
      <w:b/>
      <w:bCs/>
      <w:i/>
      <w:iCs/>
    </w:rPr>
  </w:style>
  <w:style w:type="character" w:customStyle="1" w:styleId="CPTitle1Char">
    <w:name w:val="CP_Title1 Char"/>
    <w:basedOn w:val="DefaultParagraphFont"/>
    <w:link w:val="CPTitle1"/>
    <w:locked/>
    <w:rPr>
      <w:rFonts w:asciiTheme="majorHAnsi" w:eastAsiaTheme="majorEastAsia" w:hAnsiTheme="majorHAnsi" w:cstheme="majorHAnsi"/>
      <w:b/>
      <w:sz w:val="32"/>
      <w:szCs w:val="32"/>
    </w:rPr>
  </w:style>
  <w:style w:type="paragraph" w:customStyle="1" w:styleId="CPTitle1">
    <w:name w:val="CP_Title1"/>
    <w:basedOn w:val="Heading1"/>
    <w:link w:val="CPTitle1Char"/>
    <w:qFormat/>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styleId="NoSpacing">
    <w:name w:val="No Spacing"/>
    <w:link w:val="NoSpacingChar"/>
    <w:uiPriority w:val="1"/>
    <w:unhideWhenUsed/>
    <w:qFormat/>
    <w:rPr>
      <w:rFonts w:eastAsiaTheme="minorHAnsi" w:cstheme="minorBidi"/>
      <w:sz w:val="24"/>
      <w:szCs w:val="24"/>
      <w:lang w:eastAsia="en-US"/>
    </w:rPr>
  </w:style>
  <w:style w:type="character" w:customStyle="1" w:styleId="NoSpacingChar">
    <w:name w:val="No Spacing Char"/>
    <w:basedOn w:val="DefaultParagraphFont"/>
    <w:link w:val="NoSpacing"/>
    <w:uiPriority w:val="1"/>
    <w:rPr>
      <w:rFonts w:eastAsiaTheme="minorHAnsi" w:cstheme="minorBidi"/>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718BB-DEF4-4840-8460-7DB43C5DC2E5}">
  <ds:schemaRefs>
    <ds:schemaRef ds:uri="http://schemas.openxmlformats.org/officeDocument/2006/bibliography"/>
  </ds:schemaRefs>
</ds:datastoreItem>
</file>

<file path=customXml/itemProps2.xml><?xml version="1.0" encoding="utf-8"?>
<ds:datastoreItem xmlns:ds="http://schemas.openxmlformats.org/officeDocument/2006/customXml" ds:itemID="{BAA24C29-432C-47E5-88C1-22A591025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4299</Words>
  <Characters>23595</Characters>
  <Application>Microsoft Office Word</Application>
  <DocSecurity>8</DocSecurity>
  <Lines>421</Lines>
  <Paragraphs>145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27749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Caitlin McErlane</cp:lastModifiedBy>
  <cp:revision>2</cp:revision>
  <cp:lastPrinted>2015-02-18T11:01:00Z</cp:lastPrinted>
  <dcterms:created xsi:type="dcterms:W3CDTF">2015-03-20T00:19:00Z</dcterms:created>
  <dcterms:modified xsi:type="dcterms:W3CDTF">2015-03-20T00:19:00Z</dcterms:modified>
</cp:coreProperties>
</file>