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248" w:tblpY="15820"/>
        <w:tblOverlap w:val="never"/>
        <w:tblW w:w="9412" w:type="dxa"/>
        <w:tblCellMar>
          <w:left w:w="0" w:type="dxa"/>
          <w:right w:w="0" w:type="dxa"/>
        </w:tblCellMar>
        <w:tblLook w:val="01E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bookmarkStart w:id="0" w:name="_GoBack"/>
            <w:bookmarkEnd w:id="0"/>
            <w:r>
              <w:rPr>
                <w:rFonts w:cs="Arial"/>
              </w:rPr>
              <w:t>1</w:t>
            </w:r>
            <w:r w:rsidR="00EF0769">
              <w:rPr>
                <w:rFonts w:cs="Arial"/>
              </w:rPr>
              <w:t>8</w:t>
            </w:r>
            <w:r>
              <w:rPr>
                <w:rFonts w:cs="Arial"/>
              </w:rPr>
              <w:t xml:space="preserve"> February</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EF0769" w:rsidP="00C000A5">
            <w:pPr>
              <w:pStyle w:val="01aDBTitle"/>
              <w:rPr>
                <w:rFonts w:cs="Arial"/>
              </w:rPr>
            </w:pPr>
            <w:r>
              <w:rPr>
                <w:rFonts w:cs="Arial"/>
              </w:rPr>
              <w:t xml:space="preserve">Addendum </w:t>
            </w:r>
            <w:r w:rsidR="003A5DAC">
              <w:rPr>
                <w:rFonts w:cs="Arial"/>
              </w:rPr>
              <w:t xml:space="preserve">Consultation Paper </w:t>
            </w:r>
            <w:r>
              <w:rPr>
                <w:rFonts w:cs="Arial"/>
              </w:rPr>
              <w:t>on MiFID II/MiFIR</w:t>
            </w:r>
            <w:r w:rsidR="00422A7D" w:rsidRPr="00616B9B">
              <w:rPr>
                <w:rFonts w:cs="Arial"/>
              </w:rPr>
              <w:t xml:space="preserve"> </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EF0769">
              <w:rPr>
                <w:rFonts w:cs="Arial"/>
              </w:rPr>
              <w:t>8</w:t>
            </w:r>
            <w:r w:rsidR="004E49B0" w:rsidRPr="004E49B0">
              <w:rPr>
                <w:rFonts w:cs="Arial"/>
              </w:rPr>
              <w:t xml:space="preserve"> </w:t>
            </w:r>
            <w:r w:rsidR="003A5DAC">
              <w:rPr>
                <w:rFonts w:cs="Arial"/>
              </w:rPr>
              <w:t>February</w:t>
            </w:r>
            <w:r w:rsidR="004E49B0" w:rsidRPr="004E49B0">
              <w:rPr>
                <w:rFonts w:cs="Arial"/>
              </w:rPr>
              <w:t xml:space="preserve"> 201</w:t>
            </w:r>
            <w:r w:rsidR="003A5DAC">
              <w:rPr>
                <w:rFonts w:cs="Arial"/>
              </w:rPr>
              <w:t>5</w:t>
            </w:r>
          </w:p>
        </w:tc>
      </w:tr>
    </w:tbl>
    <w:p w:rsidR="00F574D0" w:rsidRPr="00616B9B" w:rsidRDefault="00F574D0" w:rsidP="00F574D0">
      <w:pPr>
        <w:pStyle w:val="05HeadlinenoIndex"/>
        <w:rPr>
          <w:rFonts w:cs="Arial"/>
        </w:rPr>
      </w:pPr>
      <w:bookmarkStart w:id="1"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Pr>
          <w:rFonts w:cs="Arial"/>
        </w:rPr>
        <w:t xml:space="preserve">Addendum </w:t>
      </w:r>
      <w:r w:rsidR="00332304" w:rsidRPr="00EF0769">
        <w:rPr>
          <w:rFonts w:cs="Arial"/>
        </w:rPr>
        <w:t xml:space="preserve">Consultation Paper </w:t>
      </w:r>
      <w:r w:rsidR="00332304">
        <w:rPr>
          <w:rFonts w:cs="Arial"/>
        </w:rPr>
        <w:t xml:space="preserve">on </w:t>
      </w:r>
      <w:r w:rsidR="00955F48" w:rsidRPr="00EF0769">
        <w:rPr>
          <w:rFonts w:cs="Arial"/>
        </w:rPr>
        <w:t>MiFID II/MiFIR</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 xml:space="preserve"> QUESTION_MIFID_ADD</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ESMA_MiFID</w:t>
      </w:r>
      <w:r w:rsidR="00332304">
        <w:rPr>
          <w:rFonts w:cs="Arial"/>
        </w:rPr>
        <w:t>_ADD_</w:t>
      </w:r>
      <w:r w:rsidRPr="00EF0769">
        <w:rPr>
          <w:rFonts w:cs="Arial"/>
        </w:rPr>
        <w:t xml:space="preserve">ESMA_REPLYFORM or </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_ESMA_ANNEX1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021E83" w:rsidRPr="00EF0769">
        <w:rPr>
          <w:rFonts w:cs="Arial"/>
          <w:b/>
        </w:rPr>
        <w:t>20 March 2015.</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2"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2"/>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3"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3"/>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3"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1"/>
    <w:p w:rsidR="00332304" w:rsidRDefault="00332304">
      <w:pPr>
        <w:rPr>
          <w:rFonts w:cs="Arial"/>
          <w:b/>
          <w:bCs/>
          <w:kern w:val="32"/>
          <w:sz w:val="24"/>
          <w:szCs w:val="32"/>
        </w:rPr>
      </w:pPr>
      <w:r>
        <w:br w:type="page"/>
      </w:r>
    </w:p>
    <w:p w:rsidR="00D34282" w:rsidRPr="00AB6D88" w:rsidRDefault="00D34282" w:rsidP="00D34282">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9"/>
        <w:gridCol w:w="5595"/>
      </w:tblGrid>
      <w:tr w:rsidR="00D34282" w:rsidRPr="00AB6D88" w:rsidTr="00233471">
        <w:tc>
          <w:tcPr>
            <w:tcW w:w="3929" w:type="dxa"/>
            <w:shd w:val="clear" w:color="auto" w:fill="auto"/>
          </w:tcPr>
          <w:p w:rsidR="00D34282" w:rsidRPr="00AB6D88" w:rsidRDefault="00D34282" w:rsidP="00233471">
            <w:pPr>
              <w:rPr>
                <w:rFonts w:cs="Arial"/>
              </w:rPr>
            </w:pPr>
            <w:permStart w:id="0" w:edGrp="everyone" w:colFirst="1" w:colLast="1"/>
            <w:r w:rsidRPr="00AB6D88">
              <w:rPr>
                <w:rFonts w:cs="Arial"/>
              </w:rPr>
              <w:t>Name of the company / organisation</w:t>
            </w:r>
          </w:p>
        </w:tc>
        <w:sdt>
          <w:sdtPr>
            <w:rPr>
              <w:rStyle w:val="PlaceholderText"/>
              <w:rFonts w:cs="Arial"/>
            </w:rPr>
            <w:id w:val="-1905066999"/>
            <w:text/>
          </w:sdtPr>
          <w:sdtContent>
            <w:permStart w:id="1" w:edGrp="everyone" w:displacedByCustomXml="prev"/>
            <w:tc>
              <w:tcPr>
                <w:tcW w:w="5595" w:type="dxa"/>
                <w:shd w:val="clear" w:color="auto" w:fill="auto"/>
              </w:tcPr>
              <w:p w:rsidR="00D34282" w:rsidRPr="00AB6D88" w:rsidRDefault="00253289" w:rsidP="00253289">
                <w:pPr>
                  <w:rPr>
                    <w:rStyle w:val="PlaceholderText"/>
                    <w:rFonts w:cs="Arial"/>
                  </w:rPr>
                </w:pPr>
                <w:r>
                  <w:rPr>
                    <w:rStyle w:val="PlaceholderText"/>
                    <w:rFonts w:cs="Arial"/>
                  </w:rPr>
                  <w:t>GFMA GFXD</w:t>
                </w:r>
              </w:p>
            </w:tc>
            <w:permEnd w:id="1" w:displacedByCustomXml="next"/>
          </w:sdtContent>
        </w:sdt>
      </w:tr>
      <w:tr w:rsidR="00D34282" w:rsidRPr="00AB6D88" w:rsidTr="00233471">
        <w:tc>
          <w:tcPr>
            <w:tcW w:w="3929" w:type="dxa"/>
            <w:shd w:val="clear" w:color="auto" w:fill="auto"/>
          </w:tcPr>
          <w:p w:rsidR="00D34282" w:rsidRPr="00AB6D88" w:rsidRDefault="00D34282" w:rsidP="00233471">
            <w:pPr>
              <w:rPr>
                <w:rFonts w:cs="Arial"/>
              </w:rPr>
            </w:pPr>
            <w:permStart w:id="2" w:edGrp="everyone" w:colFirst="1" w:colLast="1"/>
            <w:permEnd w:id="0"/>
            <w:r w:rsidRPr="00AB6D88">
              <w:rPr>
                <w:rFonts w:cs="Arial"/>
              </w:rPr>
              <w:t>Confidential</w:t>
            </w:r>
            <w:r w:rsidRPr="00AB6D88">
              <w:rPr>
                <w:rStyle w:val="FootnoteReference"/>
                <w:rFonts w:cs="Arial"/>
              </w:rPr>
              <w:footnoteReference w:id="2"/>
            </w:r>
          </w:p>
        </w:tc>
        <w:sdt>
          <w:sdtPr>
            <w:rPr>
              <w:rStyle w:val="PlaceholderText"/>
              <w:rFonts w:cs="Arial"/>
            </w:rPr>
            <w:id w:val="-2035031634"/>
          </w:sdtPr>
          <w:sdtContent>
            <w:tc>
              <w:tcPr>
                <w:tcW w:w="5595" w:type="dxa"/>
                <w:shd w:val="clear" w:color="auto" w:fill="auto"/>
              </w:tcPr>
              <w:p w:rsidR="00D34282" w:rsidRPr="00AB6D88" w:rsidRDefault="00D34282" w:rsidP="00233471">
                <w:pPr>
                  <w:rPr>
                    <w:rStyle w:val="PlaceholderText"/>
                    <w:rFonts w:cs="Arial"/>
                  </w:rPr>
                </w:pPr>
                <w:r>
                  <w:rPr>
                    <w:rStyle w:val="PlaceholderText"/>
                    <w:rFonts w:ascii="MS Gothic" w:eastAsia="MS Gothic" w:hAnsi="MS Gothic" w:cs="Arial" w:hint="eastAsia"/>
                  </w:rPr>
                  <w:t>☐</w:t>
                </w:r>
              </w:p>
            </w:tc>
          </w:sdtContent>
        </w:sdt>
      </w:tr>
      <w:tr w:rsidR="00D34282" w:rsidRPr="00AB6D88" w:rsidTr="00233471">
        <w:tc>
          <w:tcPr>
            <w:tcW w:w="3929" w:type="dxa"/>
            <w:shd w:val="clear" w:color="auto" w:fill="auto"/>
          </w:tcPr>
          <w:p w:rsidR="00D34282" w:rsidRPr="00AB6D88" w:rsidRDefault="00D34282" w:rsidP="00233471">
            <w:pPr>
              <w:rPr>
                <w:rFonts w:cs="Arial"/>
              </w:rPr>
            </w:pPr>
            <w:permStart w:id="3" w:edGrp="everyone" w:colFirst="1" w:colLast="1"/>
            <w:permEnd w:id="2"/>
            <w:r w:rsidRPr="00AB6D88">
              <w:rPr>
                <w:rFonts w:cs="Arial"/>
              </w:rPr>
              <w:t>Activity</w:t>
            </w:r>
          </w:p>
        </w:tc>
        <w:tc>
          <w:tcPr>
            <w:tcW w:w="5595" w:type="dxa"/>
            <w:shd w:val="clear" w:color="auto" w:fill="auto"/>
          </w:tcPr>
          <w:p w:rsidR="00D34282" w:rsidRPr="00AB6D88" w:rsidRDefault="00FC3249" w:rsidP="00253289">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permStart w:id="4" w:edGrp="everyone"/>
                <w:r w:rsidR="00253289">
                  <w:rPr>
                    <w:rFonts w:cs="Arial"/>
                  </w:rPr>
                  <w:t>Banking</w:t>
                </w:r>
                <w:permEnd w:id="4"/>
              </w:sdtContent>
            </w:sdt>
          </w:p>
        </w:tc>
      </w:tr>
      <w:tr w:rsidR="00D34282" w:rsidRPr="00AB6D88" w:rsidTr="00233471">
        <w:tc>
          <w:tcPr>
            <w:tcW w:w="3929" w:type="dxa"/>
            <w:shd w:val="clear" w:color="auto" w:fill="auto"/>
          </w:tcPr>
          <w:p w:rsidR="00D34282" w:rsidRPr="00AB6D88" w:rsidRDefault="00D34282" w:rsidP="00233471">
            <w:pPr>
              <w:rPr>
                <w:rFonts w:cs="Arial"/>
              </w:rPr>
            </w:pPr>
            <w:permStart w:id="5" w:edGrp="everyone" w:colFirst="1" w:colLast="1"/>
            <w:permEnd w:id="3"/>
            <w:r w:rsidRPr="00AB6D88">
              <w:rPr>
                <w:rFonts w:cs="Arial"/>
              </w:rPr>
              <w:t>Are you representing an association?</w:t>
            </w:r>
          </w:p>
        </w:tc>
        <w:sdt>
          <w:sdtPr>
            <w:rPr>
              <w:rFonts w:cs="Arial"/>
            </w:rPr>
            <w:id w:val="-242871467"/>
          </w:sdtPr>
          <w:sdtContent>
            <w:tc>
              <w:tcPr>
                <w:tcW w:w="5595" w:type="dxa"/>
                <w:shd w:val="clear" w:color="auto" w:fill="auto"/>
              </w:tcPr>
              <w:p w:rsidR="00D34282" w:rsidRPr="00AB6D88" w:rsidRDefault="00253289" w:rsidP="00253289">
                <w:pPr>
                  <w:rPr>
                    <w:rFonts w:cs="Arial"/>
                  </w:rPr>
                </w:pPr>
                <w:r>
                  <w:rPr>
                    <w:rFonts w:cs="Arial"/>
                  </w:rPr>
                  <w:t>Y</w:t>
                </w:r>
              </w:p>
            </w:tc>
          </w:sdtContent>
        </w:sdt>
      </w:tr>
      <w:tr w:rsidR="00D34282" w:rsidRPr="00AB6D88" w:rsidTr="00233471">
        <w:tc>
          <w:tcPr>
            <w:tcW w:w="3929" w:type="dxa"/>
            <w:shd w:val="clear" w:color="auto" w:fill="auto"/>
          </w:tcPr>
          <w:p w:rsidR="00D34282" w:rsidRPr="00AB6D88" w:rsidRDefault="00D34282" w:rsidP="00233471">
            <w:pPr>
              <w:rPr>
                <w:rFonts w:cs="Arial"/>
              </w:rPr>
            </w:pPr>
            <w:permStart w:id="6" w:edGrp="everyone" w:colFirst="1" w:colLast="1"/>
            <w:permEnd w:id="5"/>
            <w:r w:rsidRPr="00AB6D88">
              <w:rPr>
                <w:rFonts w:cs="Arial"/>
              </w:rPr>
              <w:t>Country/Region</w:t>
            </w:r>
          </w:p>
        </w:tc>
        <w:permStart w:id="7" w:edGrp="everyone" w:displacedByCustomXml="next"/>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8" w:edGrp="everyone" w:displacedByCustomXml="prev"/>
            <w:tc>
              <w:tcPr>
                <w:tcW w:w="5595" w:type="dxa"/>
                <w:shd w:val="clear" w:color="auto" w:fill="auto"/>
              </w:tcPr>
              <w:p w:rsidR="00D34282" w:rsidRPr="00AB6D88" w:rsidRDefault="00253289" w:rsidP="00233471">
                <w:pPr>
                  <w:rPr>
                    <w:rFonts w:cs="Arial"/>
                  </w:rPr>
                </w:pPr>
                <w:r>
                  <w:rPr>
                    <w:rFonts w:cs="Arial"/>
                  </w:rPr>
                  <w:t>Europe</w:t>
                </w:r>
              </w:p>
            </w:tc>
            <w:permEnd w:id="8" w:displacedByCustomXml="next"/>
          </w:sdtContent>
        </w:sdt>
        <w:permEnd w:id="7" w:displacedByCustomXml="prev"/>
      </w:tr>
      <w:permEnd w:id="6"/>
    </w:tbl>
    <w:p w:rsidR="00D34282" w:rsidRDefault="00D34282" w:rsidP="00D34282">
      <w:pPr>
        <w:spacing w:after="120" w:line="264" w:lineRule="auto"/>
      </w:pPr>
    </w:p>
    <w:p w:rsidR="00D34282" w:rsidRDefault="00D34282" w:rsidP="00D34282">
      <w:pPr>
        <w:spacing w:after="120" w:line="264" w:lineRule="auto"/>
      </w:pPr>
    </w:p>
    <w:p w:rsidR="00D34282" w:rsidRDefault="00D34282" w:rsidP="00D34282">
      <w:pPr>
        <w:pStyle w:val="Heading1"/>
        <w:numPr>
          <w:ilvl w:val="0"/>
          <w:numId w:val="0"/>
        </w:numPr>
        <w:ind w:left="431" w:hanging="431"/>
      </w:pPr>
      <w:r>
        <w:t>Introduction</w:t>
      </w:r>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E66E28" w:rsidRDefault="00E66E28" w:rsidP="00E66E28">
      <w:pPr>
        <w:spacing w:after="120"/>
        <w:contextualSpacing/>
        <w:jc w:val="both"/>
      </w:pPr>
      <w:permStart w:id="9" w:edGrp="everyone"/>
    </w:p>
    <w:p w:rsidR="00E66E28" w:rsidRPr="007F6798" w:rsidRDefault="00E66E28" w:rsidP="00E66E28">
      <w:pPr>
        <w:spacing w:after="120"/>
        <w:contextualSpacing/>
        <w:jc w:val="both"/>
        <w:rPr>
          <w:rFonts w:asciiTheme="minorHAnsi" w:hAnsiTheme="minorHAnsi" w:cstheme="minorHAnsi"/>
          <w:sz w:val="22"/>
          <w:szCs w:val="22"/>
        </w:rPr>
      </w:pPr>
      <w:r w:rsidRPr="007F6798">
        <w:rPr>
          <w:rFonts w:asciiTheme="minorHAnsi" w:hAnsiTheme="minorHAnsi" w:cstheme="minorHAnsi"/>
          <w:sz w:val="22"/>
          <w:szCs w:val="22"/>
        </w:rPr>
        <w:t>The Global Foreign Exchange Division (GFXD) of the Global Financial Markets Association (GFMA) we</w:t>
      </w:r>
      <w:r w:rsidRPr="007F6798">
        <w:rPr>
          <w:rFonts w:asciiTheme="minorHAnsi" w:hAnsiTheme="minorHAnsi" w:cstheme="minorHAnsi"/>
          <w:sz w:val="22"/>
          <w:szCs w:val="22"/>
        </w:rPr>
        <w:t>l</w:t>
      </w:r>
      <w:r w:rsidRPr="007F6798">
        <w:rPr>
          <w:rFonts w:asciiTheme="minorHAnsi" w:hAnsiTheme="minorHAnsi" w:cstheme="minorHAnsi"/>
          <w:sz w:val="22"/>
          <w:szCs w:val="22"/>
        </w:rPr>
        <w:t>comes the opportunity to comment on behalf of its members on the MiFID II/MiFIR Addendum Consult</w:t>
      </w:r>
      <w:r w:rsidRPr="007F6798">
        <w:rPr>
          <w:rFonts w:asciiTheme="minorHAnsi" w:hAnsiTheme="minorHAnsi" w:cstheme="minorHAnsi"/>
          <w:sz w:val="22"/>
          <w:szCs w:val="22"/>
        </w:rPr>
        <w:t>a</w:t>
      </w:r>
      <w:r w:rsidRPr="007F6798">
        <w:rPr>
          <w:rFonts w:asciiTheme="minorHAnsi" w:hAnsiTheme="minorHAnsi" w:cstheme="minorHAnsi"/>
          <w:sz w:val="22"/>
          <w:szCs w:val="22"/>
        </w:rPr>
        <w:t>tion Paper issued on the 18 February 2015.</w:t>
      </w:r>
    </w:p>
    <w:p w:rsidR="00E66E28" w:rsidRPr="007F6798" w:rsidRDefault="00E66E28" w:rsidP="00E66E28">
      <w:pPr>
        <w:spacing w:after="120"/>
        <w:contextualSpacing/>
        <w:jc w:val="both"/>
        <w:rPr>
          <w:rFonts w:asciiTheme="minorHAnsi" w:hAnsiTheme="minorHAnsi" w:cstheme="minorHAnsi"/>
          <w:sz w:val="22"/>
          <w:szCs w:val="22"/>
        </w:rPr>
      </w:pPr>
    </w:p>
    <w:p w:rsidR="00E66E28" w:rsidRPr="007F6798" w:rsidRDefault="00E66E28" w:rsidP="00E66E28">
      <w:pPr>
        <w:spacing w:after="120"/>
        <w:contextualSpacing/>
        <w:jc w:val="both"/>
        <w:rPr>
          <w:rFonts w:asciiTheme="minorHAnsi" w:hAnsiTheme="minorHAnsi" w:cstheme="minorHAnsi"/>
          <w:sz w:val="22"/>
          <w:szCs w:val="22"/>
        </w:rPr>
      </w:pPr>
      <w:r w:rsidRPr="007F6798">
        <w:rPr>
          <w:rFonts w:asciiTheme="minorHAnsi" w:hAnsiTheme="minorHAnsi" w:cstheme="minorHAnsi"/>
          <w:sz w:val="22"/>
          <w:szCs w:val="22"/>
        </w:rPr>
        <w:t>The GFXD was formed in cooperation with the Association for Financial Markets in Europe (AFME), the Securities Industry and Financial Markets Association (SIFMA) and the Asia Securities Industry and Fina</w:t>
      </w:r>
      <w:r w:rsidRPr="007F6798">
        <w:rPr>
          <w:rFonts w:asciiTheme="minorHAnsi" w:hAnsiTheme="minorHAnsi" w:cstheme="minorHAnsi"/>
          <w:sz w:val="22"/>
          <w:szCs w:val="22"/>
        </w:rPr>
        <w:t>n</w:t>
      </w:r>
      <w:r w:rsidRPr="007F6798">
        <w:rPr>
          <w:rFonts w:asciiTheme="minorHAnsi" w:hAnsiTheme="minorHAnsi" w:cstheme="minorHAnsi"/>
          <w:sz w:val="22"/>
          <w:szCs w:val="22"/>
        </w:rPr>
        <w:t>cial Markets Association (ASIFMA). Its members comprise 24 global Foreign Exchange (FX) market pa</w:t>
      </w:r>
      <w:r w:rsidRPr="007F6798">
        <w:rPr>
          <w:rFonts w:asciiTheme="minorHAnsi" w:hAnsiTheme="minorHAnsi" w:cstheme="minorHAnsi"/>
          <w:sz w:val="22"/>
          <w:szCs w:val="22"/>
        </w:rPr>
        <w:t>r</w:t>
      </w:r>
      <w:r w:rsidRPr="007F6798">
        <w:rPr>
          <w:rFonts w:asciiTheme="minorHAnsi" w:hAnsiTheme="minorHAnsi" w:cstheme="minorHAnsi"/>
          <w:sz w:val="22"/>
          <w:szCs w:val="22"/>
        </w:rPr>
        <w:t>ticipants,</w:t>
      </w:r>
      <w:r w:rsidRPr="007F6798">
        <w:rPr>
          <w:rFonts w:asciiTheme="minorHAnsi" w:hAnsiTheme="minorHAnsi" w:cstheme="minorHAnsi"/>
          <w:sz w:val="22"/>
          <w:szCs w:val="22"/>
          <w:vertAlign w:val="superscript"/>
        </w:rPr>
        <w:footnoteReference w:id="3"/>
      </w:r>
      <w:r w:rsidRPr="007F6798">
        <w:rPr>
          <w:rFonts w:asciiTheme="minorHAnsi" w:hAnsiTheme="minorHAnsi" w:cstheme="minorHAnsi"/>
          <w:sz w:val="22"/>
          <w:szCs w:val="22"/>
          <w:vertAlign w:val="superscript"/>
        </w:rPr>
        <w:t xml:space="preserve"> </w:t>
      </w:r>
      <w:r w:rsidRPr="007F6798">
        <w:rPr>
          <w:rFonts w:asciiTheme="minorHAnsi" w:hAnsiTheme="minorHAnsi" w:cstheme="minorHAnsi"/>
          <w:sz w:val="22"/>
          <w:szCs w:val="22"/>
        </w:rPr>
        <w:t>collectively representing more than 90% of the FX inter-dealer market.</w:t>
      </w:r>
      <w:r w:rsidRPr="007F6798">
        <w:rPr>
          <w:rFonts w:asciiTheme="minorHAnsi" w:hAnsiTheme="minorHAnsi"/>
          <w:sz w:val="22"/>
          <w:szCs w:val="22"/>
          <w:vertAlign w:val="superscript"/>
        </w:rPr>
        <w:footnoteReference w:id="4"/>
      </w:r>
      <w:r w:rsidRPr="007F6798">
        <w:rPr>
          <w:rFonts w:asciiTheme="minorHAnsi" w:hAnsiTheme="minorHAnsi" w:cstheme="minorHAnsi"/>
          <w:sz w:val="22"/>
          <w:szCs w:val="22"/>
        </w:rPr>
        <w:t xml:space="preserve">  Both the GFXD and its members are committed to ensuring a robust, open and fair marketplace and welcome the opportunity for continued dialogue with global regulators. </w:t>
      </w:r>
    </w:p>
    <w:p w:rsidR="00E66E28" w:rsidRPr="007F6798" w:rsidRDefault="00E66E28" w:rsidP="00E66E28">
      <w:pPr>
        <w:spacing w:after="120"/>
        <w:contextualSpacing/>
        <w:jc w:val="both"/>
        <w:rPr>
          <w:rFonts w:asciiTheme="minorHAnsi" w:hAnsiTheme="minorHAnsi" w:cstheme="minorHAnsi"/>
          <w:sz w:val="22"/>
          <w:szCs w:val="22"/>
        </w:rPr>
      </w:pPr>
    </w:p>
    <w:p w:rsidR="00E66E28" w:rsidRPr="007F6798" w:rsidRDefault="00E66E28" w:rsidP="00E66E28">
      <w:pPr>
        <w:spacing w:after="120"/>
        <w:contextualSpacing/>
        <w:jc w:val="both"/>
        <w:rPr>
          <w:rFonts w:asciiTheme="minorHAnsi" w:hAnsiTheme="minorHAnsi" w:cstheme="minorHAnsi"/>
          <w:sz w:val="22"/>
          <w:szCs w:val="22"/>
        </w:rPr>
      </w:pPr>
      <w:r w:rsidRPr="007F6798">
        <w:rPr>
          <w:rFonts w:asciiTheme="minorHAnsi" w:hAnsiTheme="minorHAnsi" w:cstheme="minorHAnsi"/>
          <w:sz w:val="22"/>
          <w:szCs w:val="22"/>
        </w:rPr>
        <w:t>The FX market is the basis of the global payments system. The volume of transactions is therefore very high and these transactions are often executed across geographical borders.  As reported by the Bank of International Settlements in their Triennial Central Bank Survey: Foreign Exchange Turnover in April 201</w:t>
      </w:r>
      <w:r w:rsidRPr="007F6798">
        <w:rPr>
          <w:rFonts w:asciiTheme="minorHAnsi" w:hAnsiTheme="minorHAnsi"/>
          <w:sz w:val="22"/>
          <w:szCs w:val="22"/>
        </w:rPr>
        <w:footnoteReference w:id="5"/>
      </w:r>
      <w:r w:rsidRPr="007F6798">
        <w:rPr>
          <w:rFonts w:asciiTheme="minorHAnsi" w:hAnsiTheme="minorHAnsi" w:cstheme="minorHAnsi"/>
          <w:sz w:val="22"/>
          <w:szCs w:val="22"/>
        </w:rPr>
        <w:t xml:space="preserve"> </w:t>
      </w:r>
      <w:r w:rsidRPr="007F6798">
        <w:rPr>
          <w:rFonts w:asciiTheme="minorHAnsi" w:hAnsiTheme="minorHAnsi"/>
          <w:bCs/>
          <w:sz w:val="22"/>
          <w:szCs w:val="22"/>
        </w:rPr>
        <w:t>over 75% of the market was traded by market participants across 5 key jurisdictions</w:t>
      </w:r>
      <w:r w:rsidRPr="007F6798">
        <w:rPr>
          <w:rFonts w:asciiTheme="minorHAnsi" w:hAnsiTheme="minorHAnsi" w:cstheme="minorHAnsi"/>
          <w:sz w:val="22"/>
          <w:szCs w:val="22"/>
        </w:rPr>
        <w:t>, hence the conti</w:t>
      </w:r>
      <w:r w:rsidRPr="007F6798">
        <w:rPr>
          <w:rFonts w:asciiTheme="minorHAnsi" w:hAnsiTheme="minorHAnsi" w:cstheme="minorHAnsi"/>
          <w:sz w:val="22"/>
          <w:szCs w:val="22"/>
        </w:rPr>
        <w:t>n</w:t>
      </w:r>
      <w:r w:rsidRPr="007F6798">
        <w:rPr>
          <w:rFonts w:asciiTheme="minorHAnsi" w:hAnsiTheme="minorHAnsi" w:cstheme="minorHAnsi"/>
          <w:sz w:val="22"/>
          <w:szCs w:val="22"/>
        </w:rPr>
        <w:t>ued view from the GFXD that regulations should be harmonized at the global level.  Cross border markets cannot operate in conflicting regulatory landscapes, and the natural outcome, should this be the case, is unwanted fragmentation of what is an already highly automated and transparent FX market.</w:t>
      </w:r>
    </w:p>
    <w:p w:rsidR="00E66E28" w:rsidRPr="007F6798" w:rsidRDefault="00E66E28" w:rsidP="00E66E28">
      <w:pPr>
        <w:spacing w:after="120"/>
        <w:contextualSpacing/>
        <w:jc w:val="both"/>
        <w:rPr>
          <w:rFonts w:asciiTheme="minorHAnsi" w:hAnsiTheme="minorHAnsi"/>
          <w:sz w:val="22"/>
          <w:szCs w:val="22"/>
        </w:rPr>
      </w:pPr>
    </w:p>
    <w:p w:rsidR="00E66E28" w:rsidRPr="007F6798" w:rsidRDefault="00E66E28" w:rsidP="00E66E28">
      <w:pPr>
        <w:autoSpaceDE w:val="0"/>
        <w:autoSpaceDN w:val="0"/>
        <w:adjustRightInd w:val="0"/>
        <w:spacing w:after="120"/>
        <w:contextualSpacing/>
        <w:jc w:val="both"/>
        <w:rPr>
          <w:rFonts w:asciiTheme="minorHAnsi" w:hAnsiTheme="minorHAnsi" w:cstheme="minorHAnsi"/>
          <w:sz w:val="22"/>
          <w:szCs w:val="22"/>
        </w:rPr>
      </w:pPr>
      <w:r w:rsidRPr="007F6798">
        <w:rPr>
          <w:rFonts w:asciiTheme="minorHAnsi" w:hAnsiTheme="minorHAnsi" w:cstheme="minorHAnsi"/>
          <w:sz w:val="22"/>
          <w:szCs w:val="22"/>
        </w:rPr>
        <w:t>The following summarises a number of the key elements of our response to the Consultation Paper (CP) including a specific summary of the key issues relevant to FX Prime Brokerage. As a summary, it is not exhaustive in terms of the depth and breadth of points covered and we refer to our answers to the Consultation Paper questions for further detail.</w:t>
      </w:r>
    </w:p>
    <w:p w:rsidR="00D13AF7" w:rsidRPr="007F6798" w:rsidRDefault="00D13AF7" w:rsidP="00D13AF7">
      <w:pPr>
        <w:spacing w:after="120"/>
        <w:contextualSpacing/>
        <w:jc w:val="center"/>
        <w:rPr>
          <w:rFonts w:asciiTheme="minorHAnsi" w:hAnsiTheme="minorHAnsi"/>
          <w:sz w:val="22"/>
          <w:szCs w:val="22"/>
          <w:lang w:val="en-US"/>
        </w:rPr>
      </w:pPr>
    </w:p>
    <w:p w:rsidR="00D13AF7" w:rsidRDefault="00D13AF7" w:rsidP="00D13AF7">
      <w:pPr>
        <w:jc w:val="center"/>
      </w:pPr>
      <w:r>
        <w:rPr>
          <w:rFonts w:asciiTheme="minorHAnsi" w:hAnsiTheme="minorHAnsi" w:cstheme="minorHAnsi"/>
          <w:sz w:val="22"/>
          <w:szCs w:val="22"/>
        </w:rPr>
        <w:t>**************</w:t>
      </w:r>
    </w:p>
    <w:p w:rsidR="00E66E28" w:rsidRPr="007F6798" w:rsidRDefault="00E66E28" w:rsidP="00E66E28">
      <w:pPr>
        <w:autoSpaceDE w:val="0"/>
        <w:autoSpaceDN w:val="0"/>
        <w:adjustRightInd w:val="0"/>
        <w:spacing w:after="120"/>
        <w:contextualSpacing/>
        <w:jc w:val="both"/>
        <w:rPr>
          <w:rFonts w:asciiTheme="minorHAnsi" w:hAnsiTheme="minorHAnsi" w:cstheme="minorHAnsi"/>
          <w:sz w:val="22"/>
          <w:szCs w:val="22"/>
        </w:rPr>
      </w:pPr>
    </w:p>
    <w:p w:rsidR="00E66E28" w:rsidRPr="007F6798" w:rsidRDefault="00E66E28" w:rsidP="00E66E28">
      <w:pPr>
        <w:spacing w:after="120"/>
        <w:contextualSpacing/>
        <w:jc w:val="both"/>
        <w:rPr>
          <w:rFonts w:asciiTheme="minorHAnsi" w:hAnsiTheme="minorHAnsi"/>
          <w:sz w:val="22"/>
          <w:szCs w:val="22"/>
          <w:lang w:val="en-US"/>
        </w:rPr>
      </w:pPr>
      <w:r w:rsidRPr="007F6798">
        <w:rPr>
          <w:rFonts w:asciiTheme="minorHAnsi" w:hAnsiTheme="minorHAnsi"/>
          <w:sz w:val="22"/>
          <w:szCs w:val="22"/>
          <w:lang w:val="en-US"/>
        </w:rPr>
        <w:t xml:space="preserve">The GFXD has strong concerns about the data used by ESMA in this CP and the approach ESMA has taken in calculating SSTI/LIS and liquidity. Our observations are outlined in section B below and our proposed alternative approach is </w:t>
      </w:r>
      <w:r w:rsidR="00D13AF7">
        <w:rPr>
          <w:rFonts w:asciiTheme="minorHAnsi" w:hAnsiTheme="minorHAnsi"/>
          <w:sz w:val="22"/>
          <w:szCs w:val="22"/>
          <w:lang w:val="en-US"/>
        </w:rPr>
        <w:t>set out in section A.</w:t>
      </w:r>
    </w:p>
    <w:p w:rsidR="00A04633" w:rsidRPr="007F6798" w:rsidRDefault="00A04633" w:rsidP="00E66E28">
      <w:pPr>
        <w:jc w:val="center"/>
        <w:rPr>
          <w:rFonts w:asciiTheme="minorHAnsi" w:hAnsiTheme="minorHAnsi" w:cstheme="minorHAnsi"/>
          <w:sz w:val="22"/>
          <w:szCs w:val="22"/>
        </w:rPr>
      </w:pPr>
    </w:p>
    <w:p w:rsidR="00E66E28" w:rsidRPr="007F6798" w:rsidRDefault="00E66E28" w:rsidP="00E66E28">
      <w:pPr>
        <w:spacing w:after="120"/>
        <w:contextualSpacing/>
        <w:jc w:val="both"/>
        <w:rPr>
          <w:rFonts w:asciiTheme="minorHAnsi" w:hAnsiTheme="minorHAnsi"/>
          <w:b/>
          <w:sz w:val="22"/>
          <w:szCs w:val="22"/>
          <w:lang w:val="en-US"/>
        </w:rPr>
      </w:pPr>
      <w:r w:rsidRPr="007F6798">
        <w:rPr>
          <w:rFonts w:asciiTheme="minorHAnsi" w:hAnsiTheme="minorHAnsi"/>
          <w:b/>
          <w:sz w:val="22"/>
          <w:szCs w:val="22"/>
          <w:lang w:val="en-US"/>
        </w:rPr>
        <w:t>A. GFXD proposal for SSTI/LIS and liquidity definition</w:t>
      </w:r>
    </w:p>
    <w:p w:rsidR="00E66E28" w:rsidRPr="007F6798" w:rsidRDefault="00E66E28" w:rsidP="00E66E28">
      <w:pPr>
        <w:spacing w:after="120"/>
        <w:contextualSpacing/>
        <w:jc w:val="both"/>
        <w:rPr>
          <w:rFonts w:asciiTheme="minorHAnsi" w:hAnsiTheme="minorHAnsi"/>
          <w:b/>
          <w:sz w:val="22"/>
          <w:szCs w:val="22"/>
          <w:lang w:val="en-US"/>
        </w:rPr>
      </w:pPr>
    </w:p>
    <w:p w:rsidR="00E66E28" w:rsidRPr="007F6798" w:rsidRDefault="00E66E28" w:rsidP="00E66E28">
      <w:pPr>
        <w:spacing w:after="120"/>
        <w:contextualSpacing/>
        <w:jc w:val="both"/>
        <w:rPr>
          <w:rFonts w:asciiTheme="minorHAnsi" w:hAnsiTheme="minorHAnsi"/>
          <w:sz w:val="22"/>
          <w:szCs w:val="22"/>
          <w:lang w:val="en-US"/>
        </w:rPr>
      </w:pPr>
      <w:r w:rsidRPr="007F6798">
        <w:rPr>
          <w:rFonts w:asciiTheme="minorHAnsi" w:hAnsiTheme="minorHAnsi"/>
          <w:sz w:val="22"/>
          <w:szCs w:val="22"/>
        </w:rPr>
        <w:t xml:space="preserve">We believe that the trade reporting data available to ESMA does not reflect the FX market in Europe when compared to known and accurate market surveys. The GFXD proposal is therefore based on </w:t>
      </w:r>
      <w:r w:rsidRPr="007F6798">
        <w:rPr>
          <w:rFonts w:asciiTheme="minorHAnsi" w:hAnsiTheme="minorHAnsi"/>
          <w:sz w:val="22"/>
          <w:szCs w:val="22"/>
          <w:lang w:val="en-US"/>
        </w:rPr>
        <w:t xml:space="preserve">the October 2014 Bank of England semi-annual FX survey, which is widely accepted </w:t>
      </w:r>
      <w:r w:rsidR="00D13AF7">
        <w:rPr>
          <w:rFonts w:asciiTheme="minorHAnsi" w:hAnsiTheme="minorHAnsi"/>
          <w:sz w:val="22"/>
          <w:szCs w:val="22"/>
          <w:lang w:val="en-US"/>
        </w:rPr>
        <w:t xml:space="preserve">as a source </w:t>
      </w:r>
      <w:r w:rsidRPr="007F6798">
        <w:rPr>
          <w:rFonts w:asciiTheme="minorHAnsi" w:hAnsiTheme="minorHAnsi"/>
          <w:sz w:val="22"/>
          <w:szCs w:val="22"/>
          <w:lang w:val="en-US"/>
        </w:rPr>
        <w:t>by the FX industry, including central banks, as being representative of turnover within the FX market.</w:t>
      </w:r>
    </w:p>
    <w:p w:rsidR="00E66E28" w:rsidRPr="007F6798" w:rsidRDefault="00E66E28" w:rsidP="00E66E28">
      <w:pPr>
        <w:spacing w:after="120"/>
        <w:contextualSpacing/>
        <w:jc w:val="both"/>
        <w:rPr>
          <w:rFonts w:asciiTheme="minorHAnsi" w:hAnsiTheme="minorHAnsi"/>
          <w:sz w:val="22"/>
          <w:szCs w:val="22"/>
          <w:lang w:val="en-US"/>
        </w:rPr>
      </w:pPr>
    </w:p>
    <w:p w:rsidR="00E66E28" w:rsidRPr="007F6798" w:rsidRDefault="00E66E28" w:rsidP="00E66E28">
      <w:pPr>
        <w:spacing w:after="120"/>
        <w:jc w:val="both"/>
        <w:rPr>
          <w:rFonts w:asciiTheme="minorHAnsi" w:hAnsiTheme="minorHAnsi"/>
          <w:i/>
          <w:sz w:val="22"/>
          <w:szCs w:val="22"/>
          <w:u w:val="single"/>
        </w:rPr>
      </w:pPr>
      <w:r w:rsidRPr="007F6798">
        <w:rPr>
          <w:rFonts w:asciiTheme="minorHAnsi" w:hAnsiTheme="minorHAnsi"/>
          <w:i/>
          <w:sz w:val="22"/>
          <w:szCs w:val="22"/>
          <w:u w:val="single"/>
        </w:rPr>
        <w:t xml:space="preserve">1. Liquidity definition: </w:t>
      </w:r>
    </w:p>
    <w:p w:rsidR="00E66E28" w:rsidRPr="007F6798" w:rsidRDefault="00E66E28" w:rsidP="00E66E28">
      <w:pPr>
        <w:pStyle w:val="ListParagraph"/>
        <w:numPr>
          <w:ilvl w:val="0"/>
          <w:numId w:val="48"/>
        </w:numPr>
        <w:spacing w:after="120"/>
        <w:jc w:val="both"/>
        <w:rPr>
          <w:rFonts w:asciiTheme="minorHAnsi" w:hAnsiTheme="minorHAnsi"/>
          <w:sz w:val="22"/>
          <w:szCs w:val="22"/>
        </w:rPr>
      </w:pPr>
      <w:r w:rsidRPr="007F6798">
        <w:rPr>
          <w:rFonts w:asciiTheme="minorHAnsi" w:hAnsiTheme="minorHAnsi"/>
          <w:sz w:val="22"/>
          <w:szCs w:val="22"/>
        </w:rPr>
        <w:t>In our response to Q1 of the CP, we list the instruments, currency pairs and tenors that we b</w:t>
      </w:r>
      <w:r w:rsidRPr="007F6798">
        <w:rPr>
          <w:rFonts w:asciiTheme="minorHAnsi" w:hAnsiTheme="minorHAnsi"/>
          <w:sz w:val="22"/>
          <w:szCs w:val="22"/>
        </w:rPr>
        <w:t>e</w:t>
      </w:r>
      <w:r w:rsidRPr="007F6798">
        <w:rPr>
          <w:rFonts w:asciiTheme="minorHAnsi" w:hAnsiTheme="minorHAnsi"/>
          <w:sz w:val="22"/>
          <w:szCs w:val="22"/>
        </w:rPr>
        <w:t>lieve to be liquid, the sum of which equates to 79% of the FX market in Europe.</w:t>
      </w:r>
    </w:p>
    <w:p w:rsidR="00E66E28" w:rsidRPr="007F6798" w:rsidRDefault="00E66E28" w:rsidP="00E66E28">
      <w:pPr>
        <w:pStyle w:val="ListParagraph"/>
        <w:numPr>
          <w:ilvl w:val="0"/>
          <w:numId w:val="48"/>
        </w:numPr>
        <w:spacing w:after="120"/>
        <w:jc w:val="both"/>
        <w:rPr>
          <w:rFonts w:asciiTheme="minorHAnsi" w:hAnsiTheme="minorHAnsi"/>
          <w:sz w:val="22"/>
          <w:szCs w:val="22"/>
          <w:lang w:val="en-US"/>
        </w:rPr>
      </w:pPr>
      <w:r w:rsidRPr="007F6798">
        <w:rPr>
          <w:rFonts w:asciiTheme="minorHAnsi" w:hAnsiTheme="minorHAnsi"/>
          <w:sz w:val="22"/>
          <w:szCs w:val="22"/>
          <w:lang w:val="en-US"/>
        </w:rPr>
        <w:t>We do not believe that FX NDFs are liquid, nor are FX simple and FX complex exotic options.</w:t>
      </w:r>
    </w:p>
    <w:p w:rsidR="00E66E28" w:rsidRPr="007F6798" w:rsidRDefault="00E66E28" w:rsidP="00E66E28">
      <w:pPr>
        <w:pStyle w:val="ListParagraph"/>
        <w:numPr>
          <w:ilvl w:val="0"/>
          <w:numId w:val="48"/>
        </w:numPr>
        <w:spacing w:after="120"/>
        <w:jc w:val="both"/>
        <w:rPr>
          <w:rFonts w:asciiTheme="minorHAnsi" w:hAnsiTheme="minorHAnsi"/>
          <w:sz w:val="22"/>
          <w:szCs w:val="22"/>
          <w:lang w:val="en-US"/>
        </w:rPr>
      </w:pPr>
      <w:r w:rsidRPr="007F6798">
        <w:rPr>
          <w:rFonts w:asciiTheme="minorHAnsi" w:hAnsiTheme="minorHAnsi"/>
          <w:sz w:val="22"/>
          <w:szCs w:val="22"/>
          <w:lang w:val="en-US"/>
        </w:rPr>
        <w:t>W</w:t>
      </w:r>
      <w:r w:rsidRPr="007F6798">
        <w:rPr>
          <w:rFonts w:asciiTheme="minorHAnsi" w:hAnsiTheme="minorHAnsi"/>
          <w:sz w:val="22"/>
          <w:szCs w:val="22"/>
        </w:rPr>
        <w:t>e suggest that ESMA considers that EMIR trade reporting data contains data reflecting the post execution status, including allocations etc which may distort several of the parameters used to measure liquidity (e.g.</w:t>
      </w:r>
      <w:r w:rsidR="00A04633">
        <w:rPr>
          <w:rFonts w:asciiTheme="minorHAnsi" w:hAnsiTheme="minorHAnsi"/>
          <w:sz w:val="22"/>
          <w:szCs w:val="22"/>
        </w:rPr>
        <w:t>,</w:t>
      </w:r>
      <w:r w:rsidRPr="007F6798">
        <w:rPr>
          <w:rFonts w:asciiTheme="minorHAnsi" w:hAnsiTheme="minorHAnsi"/>
          <w:sz w:val="22"/>
          <w:szCs w:val="22"/>
        </w:rPr>
        <w:t xml:space="preserve"> number of transactions).  From 2018 onwards, a better approach may be to use a combination of data sources (</w:t>
      </w:r>
      <w:r w:rsidR="008754FC">
        <w:rPr>
          <w:rFonts w:asciiTheme="minorHAnsi" w:hAnsiTheme="minorHAnsi"/>
          <w:sz w:val="22"/>
          <w:szCs w:val="22"/>
        </w:rPr>
        <w:t>including</w:t>
      </w:r>
      <w:r w:rsidRPr="007F6798">
        <w:rPr>
          <w:rFonts w:asciiTheme="minorHAnsi" w:hAnsiTheme="minorHAnsi"/>
          <w:sz w:val="22"/>
          <w:szCs w:val="22"/>
        </w:rPr>
        <w:t xml:space="preserve"> Central Bank data) to obtain a truer reflection of what is actually executed.</w:t>
      </w:r>
    </w:p>
    <w:p w:rsidR="00E66E28" w:rsidRPr="007F6798" w:rsidRDefault="00E66E28" w:rsidP="00E66E28">
      <w:pPr>
        <w:spacing w:after="120"/>
        <w:contextualSpacing/>
        <w:jc w:val="both"/>
        <w:rPr>
          <w:rFonts w:asciiTheme="minorHAnsi" w:hAnsiTheme="minorHAnsi"/>
          <w:sz w:val="22"/>
          <w:szCs w:val="22"/>
          <w:lang w:val="en-US"/>
        </w:rPr>
      </w:pPr>
    </w:p>
    <w:p w:rsidR="00E66E28" w:rsidRPr="007F6798" w:rsidRDefault="00E66E28" w:rsidP="00E66E28">
      <w:pPr>
        <w:spacing w:after="120"/>
        <w:contextualSpacing/>
        <w:jc w:val="both"/>
        <w:rPr>
          <w:rFonts w:asciiTheme="minorHAnsi" w:hAnsiTheme="minorHAnsi"/>
          <w:i/>
          <w:sz w:val="22"/>
          <w:szCs w:val="22"/>
          <w:u w:val="single"/>
          <w:lang w:val="en-US"/>
        </w:rPr>
      </w:pPr>
      <w:r w:rsidRPr="007F6798">
        <w:rPr>
          <w:rFonts w:asciiTheme="minorHAnsi" w:hAnsiTheme="minorHAnsi"/>
          <w:i/>
          <w:sz w:val="22"/>
          <w:szCs w:val="22"/>
          <w:u w:val="single"/>
          <w:lang w:val="en-US"/>
        </w:rPr>
        <w:t>2. LIS and SSTI thresholds:</w:t>
      </w:r>
    </w:p>
    <w:p w:rsidR="00E66E28" w:rsidRPr="007F6798" w:rsidRDefault="00E66E28" w:rsidP="00E66E28">
      <w:pPr>
        <w:pStyle w:val="ListParagraph"/>
        <w:numPr>
          <w:ilvl w:val="0"/>
          <w:numId w:val="49"/>
        </w:numPr>
        <w:spacing w:after="120"/>
        <w:jc w:val="both"/>
        <w:rPr>
          <w:rFonts w:asciiTheme="minorHAnsi" w:hAnsiTheme="minorHAnsi"/>
          <w:sz w:val="22"/>
          <w:szCs w:val="22"/>
          <w:lang w:val="en-US"/>
        </w:rPr>
      </w:pPr>
      <w:r w:rsidRPr="007F6798">
        <w:rPr>
          <w:rFonts w:asciiTheme="minorHAnsi" w:hAnsiTheme="minorHAnsi"/>
          <w:sz w:val="22"/>
          <w:szCs w:val="22"/>
          <w:lang w:val="en-US"/>
        </w:rPr>
        <w:t>We propose that LIS and SSTI thresholds should be different for pre- and post-trade obligations, due to the differing levels of risk facing market participants with each.</w:t>
      </w:r>
    </w:p>
    <w:p w:rsidR="00E66E28" w:rsidRPr="007F6798" w:rsidRDefault="00E66E28" w:rsidP="00E66E28">
      <w:pPr>
        <w:pStyle w:val="ListParagraph"/>
        <w:spacing w:after="120"/>
        <w:ind w:left="0"/>
        <w:jc w:val="both"/>
        <w:rPr>
          <w:rFonts w:asciiTheme="minorHAnsi" w:hAnsiTheme="minorHAnsi"/>
          <w:sz w:val="22"/>
          <w:szCs w:val="22"/>
          <w:lang w:val="en-US"/>
        </w:rPr>
      </w:pPr>
    </w:p>
    <w:p w:rsidR="00E66E28" w:rsidRPr="007F6798" w:rsidRDefault="00E66E28" w:rsidP="00E66E28">
      <w:pPr>
        <w:spacing w:after="120"/>
        <w:jc w:val="both"/>
        <w:rPr>
          <w:rFonts w:asciiTheme="minorHAnsi" w:hAnsiTheme="minorHAnsi" w:cs="Arial"/>
          <w:i/>
          <w:sz w:val="22"/>
          <w:szCs w:val="22"/>
        </w:rPr>
      </w:pPr>
      <w:r w:rsidRPr="007F6798">
        <w:rPr>
          <w:rFonts w:asciiTheme="minorHAnsi" w:hAnsiTheme="minorHAnsi"/>
          <w:i/>
          <w:sz w:val="22"/>
          <w:szCs w:val="22"/>
          <w:lang w:val="en-US"/>
        </w:rPr>
        <w:t>(a) LIS proposal:</w:t>
      </w:r>
      <w:r w:rsidRPr="007F6798">
        <w:rPr>
          <w:rFonts w:asciiTheme="minorHAnsi" w:hAnsiTheme="minorHAnsi" w:cs="Arial"/>
          <w:i/>
          <w:sz w:val="22"/>
          <w:szCs w:val="22"/>
        </w:rPr>
        <w:t xml:space="preserve"> </w:t>
      </w:r>
    </w:p>
    <w:p w:rsidR="00E66E28" w:rsidRPr="007F6798" w:rsidRDefault="00E66E28" w:rsidP="00E66E28">
      <w:pPr>
        <w:pStyle w:val="ListParagraph"/>
        <w:numPr>
          <w:ilvl w:val="0"/>
          <w:numId w:val="49"/>
        </w:numPr>
        <w:spacing w:after="120"/>
        <w:jc w:val="both"/>
        <w:rPr>
          <w:rFonts w:asciiTheme="minorHAnsi" w:hAnsiTheme="minorHAnsi" w:cs="Arial"/>
          <w:sz w:val="22"/>
          <w:szCs w:val="22"/>
        </w:rPr>
      </w:pPr>
      <w:r w:rsidRPr="007F6798">
        <w:rPr>
          <w:rFonts w:asciiTheme="minorHAnsi" w:hAnsiTheme="minorHAnsi" w:cs="Arial"/>
          <w:sz w:val="22"/>
          <w:szCs w:val="22"/>
        </w:rPr>
        <w:t>For 2018 onwards, we propose the following for FX:</w:t>
      </w:r>
    </w:p>
    <w:p w:rsidR="00E66E28" w:rsidRPr="007F6798" w:rsidRDefault="00E66E28" w:rsidP="00E66E28">
      <w:pPr>
        <w:pStyle w:val="ListParagraph"/>
        <w:numPr>
          <w:ilvl w:val="0"/>
          <w:numId w:val="47"/>
        </w:numPr>
        <w:spacing w:after="120"/>
        <w:ind w:left="1276"/>
        <w:jc w:val="both"/>
        <w:rPr>
          <w:rFonts w:asciiTheme="minorHAnsi" w:hAnsiTheme="minorHAnsi" w:cs="Arial"/>
          <w:sz w:val="22"/>
          <w:szCs w:val="22"/>
        </w:rPr>
      </w:pPr>
      <w:r w:rsidRPr="007F6798">
        <w:rPr>
          <w:rFonts w:asciiTheme="minorHAnsi" w:hAnsiTheme="minorHAnsi" w:cs="Arial"/>
          <w:sz w:val="22"/>
          <w:szCs w:val="22"/>
        </w:rPr>
        <w:t xml:space="preserve">Pre-trade: LIS threshold so that either 50% of the trades would lie below the threshold </w:t>
      </w:r>
      <w:r w:rsidRPr="007F6798">
        <w:rPr>
          <w:rFonts w:asciiTheme="minorHAnsi" w:hAnsiTheme="minorHAnsi" w:cs="Arial"/>
          <w:sz w:val="22"/>
          <w:szCs w:val="22"/>
          <w:u w:val="single"/>
        </w:rPr>
        <w:t>or</w:t>
      </w:r>
      <w:r w:rsidRPr="007F6798">
        <w:rPr>
          <w:rFonts w:asciiTheme="minorHAnsi" w:hAnsiTheme="minorHAnsi" w:cs="Arial"/>
          <w:sz w:val="22"/>
          <w:szCs w:val="22"/>
        </w:rPr>
        <w:t xml:space="preserve"> 30% of the total volume traded for the relevant instrument would fall below the threshold. </w:t>
      </w:r>
    </w:p>
    <w:p w:rsidR="00E66E28" w:rsidRPr="007F6798" w:rsidRDefault="00E66E28" w:rsidP="00E66E28">
      <w:pPr>
        <w:pStyle w:val="ListParagraph"/>
        <w:numPr>
          <w:ilvl w:val="0"/>
          <w:numId w:val="47"/>
        </w:numPr>
        <w:spacing w:after="120"/>
        <w:ind w:left="1276"/>
        <w:jc w:val="both"/>
        <w:rPr>
          <w:rFonts w:asciiTheme="minorHAnsi" w:hAnsiTheme="minorHAnsi"/>
          <w:i/>
          <w:sz w:val="22"/>
          <w:szCs w:val="22"/>
          <w:lang w:val="en-US"/>
        </w:rPr>
      </w:pPr>
      <w:r w:rsidRPr="007F6798">
        <w:rPr>
          <w:rFonts w:asciiTheme="minorHAnsi" w:hAnsiTheme="minorHAnsi" w:cs="Arial"/>
          <w:sz w:val="22"/>
          <w:szCs w:val="22"/>
        </w:rPr>
        <w:t>Post-trade: LIS of 65% of the total volume traded for the relevant instrument would lie b</w:t>
      </w:r>
      <w:r w:rsidRPr="007F6798">
        <w:rPr>
          <w:rFonts w:asciiTheme="minorHAnsi" w:hAnsiTheme="minorHAnsi" w:cs="Arial"/>
          <w:sz w:val="22"/>
          <w:szCs w:val="22"/>
        </w:rPr>
        <w:t>e</w:t>
      </w:r>
      <w:r w:rsidRPr="007F6798">
        <w:rPr>
          <w:rFonts w:asciiTheme="minorHAnsi" w:hAnsiTheme="minorHAnsi" w:cs="Arial"/>
          <w:sz w:val="22"/>
          <w:szCs w:val="22"/>
        </w:rPr>
        <w:t>low the threshold.</w:t>
      </w:r>
    </w:p>
    <w:p w:rsidR="00E66E28" w:rsidRPr="007F6798" w:rsidRDefault="00E66E28" w:rsidP="00E66E28">
      <w:pPr>
        <w:spacing w:after="120"/>
        <w:contextualSpacing/>
        <w:jc w:val="both"/>
        <w:rPr>
          <w:rFonts w:asciiTheme="minorHAnsi" w:hAnsiTheme="minorHAnsi"/>
          <w:i/>
          <w:sz w:val="22"/>
          <w:szCs w:val="22"/>
          <w:lang w:val="en-US"/>
        </w:rPr>
      </w:pPr>
    </w:p>
    <w:p w:rsidR="00E66E28" w:rsidRPr="007F6798" w:rsidRDefault="00E66E28" w:rsidP="00E66E28">
      <w:pPr>
        <w:spacing w:after="120"/>
        <w:contextualSpacing/>
        <w:jc w:val="both"/>
        <w:rPr>
          <w:rFonts w:asciiTheme="minorHAnsi" w:hAnsiTheme="minorHAnsi"/>
          <w:i/>
          <w:sz w:val="22"/>
          <w:szCs w:val="22"/>
          <w:lang w:val="en-US"/>
        </w:rPr>
      </w:pPr>
      <w:r w:rsidRPr="007F6798">
        <w:rPr>
          <w:rFonts w:asciiTheme="minorHAnsi" w:hAnsiTheme="minorHAnsi"/>
          <w:i/>
          <w:sz w:val="22"/>
          <w:szCs w:val="22"/>
          <w:lang w:val="en-US"/>
        </w:rPr>
        <w:t>(b) SSTI proposal:</w:t>
      </w:r>
    </w:p>
    <w:p w:rsidR="00E66E28" w:rsidRPr="007F6798" w:rsidRDefault="00E66E28" w:rsidP="00E66E28">
      <w:pPr>
        <w:pStyle w:val="ListParagraph"/>
        <w:numPr>
          <w:ilvl w:val="0"/>
          <w:numId w:val="49"/>
        </w:numPr>
        <w:spacing w:after="120"/>
        <w:jc w:val="both"/>
        <w:rPr>
          <w:rFonts w:asciiTheme="minorHAnsi" w:hAnsiTheme="minorHAnsi" w:cs="Arial"/>
          <w:sz w:val="22"/>
          <w:szCs w:val="22"/>
        </w:rPr>
      </w:pPr>
      <w:r w:rsidRPr="007F6798">
        <w:rPr>
          <w:rFonts w:asciiTheme="minorHAnsi" w:hAnsiTheme="minorHAnsi" w:cs="Arial"/>
          <w:sz w:val="22"/>
          <w:szCs w:val="22"/>
        </w:rPr>
        <w:t>We propose that the SSTI threshold should either be set at either:</w:t>
      </w:r>
    </w:p>
    <w:p w:rsidR="00E66E28" w:rsidRPr="007F6798" w:rsidRDefault="00E66E28" w:rsidP="00E66E28">
      <w:pPr>
        <w:pStyle w:val="ListParagraph"/>
        <w:numPr>
          <w:ilvl w:val="0"/>
          <w:numId w:val="47"/>
        </w:numPr>
        <w:spacing w:after="120"/>
        <w:ind w:left="1276"/>
        <w:jc w:val="both"/>
        <w:rPr>
          <w:rFonts w:asciiTheme="minorHAnsi" w:hAnsiTheme="minorHAnsi" w:cs="Arial"/>
          <w:sz w:val="22"/>
          <w:szCs w:val="22"/>
        </w:rPr>
      </w:pPr>
      <w:r w:rsidRPr="007F6798">
        <w:rPr>
          <w:rFonts w:asciiTheme="minorHAnsi" w:hAnsiTheme="minorHAnsi" w:cs="Arial"/>
          <w:sz w:val="22"/>
          <w:szCs w:val="22"/>
        </w:rPr>
        <w:t>The median trade size (50th percentile of transaction sizes) for transactions below LIS in the relevant instrument; or</w:t>
      </w:r>
    </w:p>
    <w:p w:rsidR="00E66E28" w:rsidRPr="007F6798" w:rsidRDefault="00E66E28" w:rsidP="00E66E28">
      <w:pPr>
        <w:pStyle w:val="ListParagraph"/>
        <w:numPr>
          <w:ilvl w:val="0"/>
          <w:numId w:val="47"/>
        </w:numPr>
        <w:spacing w:after="120"/>
        <w:ind w:left="1276"/>
        <w:jc w:val="both"/>
        <w:rPr>
          <w:rFonts w:asciiTheme="minorHAnsi" w:hAnsiTheme="minorHAnsi" w:cs="Arial"/>
          <w:sz w:val="22"/>
          <w:szCs w:val="22"/>
        </w:rPr>
      </w:pPr>
      <w:r w:rsidRPr="007F6798">
        <w:rPr>
          <w:rFonts w:asciiTheme="minorHAnsi" w:hAnsiTheme="minorHAnsi" w:cs="Arial"/>
          <w:sz w:val="22"/>
          <w:szCs w:val="22"/>
        </w:rPr>
        <w:t>10% of the LIS threshold for the relevant instrument (if ESMA prefers to retain a method based on the percentage of LIS).</w:t>
      </w:r>
    </w:p>
    <w:p w:rsidR="00E66E28" w:rsidRPr="007F6798" w:rsidRDefault="00E66E28" w:rsidP="00E66E28">
      <w:pPr>
        <w:spacing w:after="120"/>
        <w:contextualSpacing/>
        <w:jc w:val="both"/>
        <w:rPr>
          <w:rFonts w:asciiTheme="minorHAnsi" w:hAnsiTheme="minorHAnsi"/>
          <w:b/>
          <w:sz w:val="22"/>
          <w:szCs w:val="22"/>
          <w:lang w:val="en-US"/>
        </w:rPr>
      </w:pPr>
    </w:p>
    <w:p w:rsidR="00E66E28" w:rsidRPr="007F6798" w:rsidRDefault="00E66E28" w:rsidP="00E66E28">
      <w:pPr>
        <w:spacing w:after="120"/>
        <w:contextualSpacing/>
        <w:jc w:val="both"/>
        <w:rPr>
          <w:rFonts w:asciiTheme="minorHAnsi" w:hAnsiTheme="minorHAnsi"/>
          <w:b/>
          <w:sz w:val="22"/>
          <w:szCs w:val="22"/>
          <w:lang w:val="en-US"/>
        </w:rPr>
      </w:pPr>
      <w:r w:rsidRPr="007F6798">
        <w:rPr>
          <w:rFonts w:asciiTheme="minorHAnsi" w:hAnsiTheme="minorHAnsi"/>
          <w:b/>
          <w:sz w:val="22"/>
          <w:szCs w:val="22"/>
          <w:lang w:val="en-US"/>
        </w:rPr>
        <w:t>B. Observations on the ESMA approach</w:t>
      </w:r>
    </w:p>
    <w:p w:rsidR="00E66E28" w:rsidRPr="007F6798" w:rsidRDefault="00E66E28" w:rsidP="00E66E28">
      <w:pPr>
        <w:spacing w:after="120"/>
        <w:contextualSpacing/>
        <w:jc w:val="both"/>
        <w:rPr>
          <w:rFonts w:asciiTheme="minorHAnsi" w:hAnsiTheme="minorHAnsi"/>
          <w:b/>
          <w:sz w:val="22"/>
          <w:szCs w:val="22"/>
          <w:lang w:val="en-US"/>
        </w:rPr>
      </w:pPr>
    </w:p>
    <w:p w:rsidR="00E66E28" w:rsidRPr="007F6798" w:rsidRDefault="00E66E28" w:rsidP="00E66E28">
      <w:pPr>
        <w:spacing w:after="120"/>
        <w:contextualSpacing/>
        <w:jc w:val="both"/>
        <w:rPr>
          <w:rFonts w:asciiTheme="minorHAnsi" w:hAnsiTheme="minorHAnsi"/>
          <w:sz w:val="22"/>
          <w:szCs w:val="22"/>
          <w:lang w:val="en-US"/>
        </w:rPr>
      </w:pPr>
      <w:r w:rsidRPr="007F6798">
        <w:rPr>
          <w:rFonts w:asciiTheme="minorHAnsi" w:hAnsiTheme="minorHAnsi"/>
          <w:sz w:val="22"/>
          <w:szCs w:val="22"/>
          <w:lang w:val="en-US"/>
        </w:rPr>
        <w:t>The GFXD has presented the above proposal in response to concerns about the data that ESMA has used in the CP, and about its approach to the liquidity definition and LIS/SSTI thresholds. These concerns are summarised below.</w:t>
      </w:r>
    </w:p>
    <w:p w:rsidR="00E66E28" w:rsidRPr="007F6798" w:rsidRDefault="00E66E28" w:rsidP="00E66E28">
      <w:pPr>
        <w:spacing w:after="120"/>
        <w:contextualSpacing/>
        <w:jc w:val="both"/>
        <w:rPr>
          <w:rFonts w:asciiTheme="minorHAnsi" w:hAnsiTheme="minorHAnsi"/>
          <w:b/>
          <w:sz w:val="22"/>
          <w:szCs w:val="22"/>
          <w:lang w:val="en-US"/>
        </w:rPr>
      </w:pPr>
    </w:p>
    <w:p w:rsidR="00E66E28" w:rsidRPr="007F6798" w:rsidRDefault="00E66E28" w:rsidP="00E66E28">
      <w:pPr>
        <w:spacing w:after="120"/>
        <w:ind w:left="66"/>
        <w:jc w:val="both"/>
        <w:rPr>
          <w:rFonts w:asciiTheme="minorHAnsi" w:hAnsiTheme="minorHAnsi"/>
          <w:i/>
          <w:sz w:val="22"/>
          <w:szCs w:val="22"/>
          <w:u w:val="single"/>
        </w:rPr>
      </w:pPr>
      <w:r w:rsidRPr="007F6798">
        <w:rPr>
          <w:rFonts w:asciiTheme="minorHAnsi" w:hAnsiTheme="minorHAnsi"/>
          <w:i/>
          <w:sz w:val="22"/>
          <w:szCs w:val="22"/>
          <w:u w:val="single"/>
        </w:rPr>
        <w:t xml:space="preserve">1. Data Quality: </w:t>
      </w:r>
    </w:p>
    <w:p w:rsidR="00E66E28" w:rsidRPr="007F6798" w:rsidRDefault="00E66E28" w:rsidP="00E66E28">
      <w:pPr>
        <w:pStyle w:val="ListParagraph"/>
        <w:numPr>
          <w:ilvl w:val="1"/>
          <w:numId w:val="50"/>
        </w:numPr>
        <w:spacing w:after="120"/>
        <w:ind w:left="709"/>
        <w:jc w:val="both"/>
        <w:rPr>
          <w:rFonts w:asciiTheme="minorHAnsi" w:hAnsiTheme="minorHAnsi"/>
          <w:sz w:val="22"/>
          <w:szCs w:val="22"/>
        </w:rPr>
      </w:pPr>
      <w:r w:rsidRPr="007F6798">
        <w:rPr>
          <w:rFonts w:asciiTheme="minorHAnsi" w:hAnsiTheme="minorHAnsi"/>
          <w:sz w:val="22"/>
          <w:szCs w:val="22"/>
        </w:rPr>
        <w:t xml:space="preserve">We believe that the data presented by ESMA in the CP does not reflect the FX industry when compared to known and accurate market surveys, such as: </w:t>
      </w:r>
    </w:p>
    <w:p w:rsidR="00E66E28" w:rsidRPr="007F6798" w:rsidRDefault="00E66E28" w:rsidP="00E66E28">
      <w:pPr>
        <w:pStyle w:val="ListParagraph"/>
        <w:numPr>
          <w:ilvl w:val="2"/>
          <w:numId w:val="51"/>
        </w:numPr>
        <w:spacing w:after="120"/>
        <w:ind w:left="1276"/>
        <w:jc w:val="both"/>
        <w:rPr>
          <w:rFonts w:asciiTheme="minorHAnsi" w:hAnsiTheme="minorHAnsi"/>
          <w:sz w:val="22"/>
          <w:szCs w:val="22"/>
        </w:rPr>
      </w:pPr>
      <w:r w:rsidRPr="007F6798">
        <w:rPr>
          <w:rFonts w:asciiTheme="minorHAnsi" w:hAnsiTheme="minorHAnsi"/>
          <w:sz w:val="22"/>
          <w:szCs w:val="22"/>
        </w:rPr>
        <w:lastRenderedPageBreak/>
        <w:t>The Bank of England semi-annual FX survey; and</w:t>
      </w:r>
    </w:p>
    <w:p w:rsidR="00E66E28" w:rsidRPr="007F6798" w:rsidRDefault="00E66E28" w:rsidP="00E66E28">
      <w:pPr>
        <w:pStyle w:val="ListParagraph"/>
        <w:numPr>
          <w:ilvl w:val="2"/>
          <w:numId w:val="51"/>
        </w:numPr>
        <w:spacing w:after="120"/>
        <w:ind w:left="1276"/>
        <w:jc w:val="both"/>
        <w:rPr>
          <w:rFonts w:asciiTheme="minorHAnsi" w:hAnsiTheme="minorHAnsi"/>
          <w:sz w:val="22"/>
          <w:szCs w:val="22"/>
        </w:rPr>
      </w:pPr>
      <w:r w:rsidRPr="007F6798">
        <w:rPr>
          <w:rFonts w:asciiTheme="minorHAnsi" w:hAnsiTheme="minorHAnsi"/>
          <w:sz w:val="22"/>
          <w:szCs w:val="22"/>
        </w:rPr>
        <w:t>The Bank of International Settlements Triennial Central Bank Survey of FX Turnover.</w:t>
      </w:r>
    </w:p>
    <w:p w:rsidR="00E66E28" w:rsidRPr="007F6798" w:rsidRDefault="00E66E28" w:rsidP="00E66E28">
      <w:pPr>
        <w:pStyle w:val="ListParagraph"/>
        <w:numPr>
          <w:ilvl w:val="1"/>
          <w:numId w:val="52"/>
        </w:numPr>
        <w:spacing w:after="120"/>
        <w:ind w:left="709"/>
        <w:jc w:val="both"/>
        <w:rPr>
          <w:rFonts w:asciiTheme="minorHAnsi" w:hAnsiTheme="minorHAnsi"/>
          <w:sz w:val="22"/>
          <w:szCs w:val="22"/>
        </w:rPr>
      </w:pPr>
      <w:r w:rsidRPr="007F6798">
        <w:rPr>
          <w:rFonts w:asciiTheme="minorHAnsi" w:hAnsiTheme="minorHAnsi"/>
          <w:sz w:val="22"/>
          <w:szCs w:val="22"/>
        </w:rPr>
        <w:t>The use of EMIR trade reporting data from March-May 2014 is widely known to be inaccurate, including misclassification of financial instruments and mismatching financial details, such as n</w:t>
      </w:r>
      <w:r w:rsidRPr="007F6798">
        <w:rPr>
          <w:rFonts w:asciiTheme="minorHAnsi" w:hAnsiTheme="minorHAnsi"/>
          <w:sz w:val="22"/>
          <w:szCs w:val="22"/>
        </w:rPr>
        <w:t>o</w:t>
      </w:r>
      <w:r w:rsidRPr="007F6798">
        <w:rPr>
          <w:rFonts w:asciiTheme="minorHAnsi" w:hAnsiTheme="minorHAnsi"/>
          <w:sz w:val="22"/>
          <w:szCs w:val="22"/>
        </w:rPr>
        <w:t>tionals.  This period is also deemed to be too short to capture a range of market events.</w:t>
      </w:r>
    </w:p>
    <w:p w:rsidR="00E66E28" w:rsidRPr="007F6798" w:rsidRDefault="00E66E28" w:rsidP="00E66E28">
      <w:pPr>
        <w:pStyle w:val="ListParagraph"/>
        <w:numPr>
          <w:ilvl w:val="1"/>
          <w:numId w:val="52"/>
        </w:numPr>
        <w:spacing w:after="120"/>
        <w:ind w:left="709"/>
        <w:jc w:val="both"/>
        <w:rPr>
          <w:rFonts w:asciiTheme="minorHAnsi" w:hAnsiTheme="minorHAnsi"/>
          <w:sz w:val="22"/>
          <w:szCs w:val="22"/>
        </w:rPr>
      </w:pPr>
      <w:r w:rsidRPr="007F6798">
        <w:rPr>
          <w:rFonts w:asciiTheme="minorHAnsi" w:hAnsiTheme="minorHAnsi"/>
          <w:sz w:val="22"/>
          <w:szCs w:val="22"/>
        </w:rPr>
        <w:t>We believe that the mapping of industry acknowledged financial taxonomies (i.e.</w:t>
      </w:r>
      <w:r w:rsidR="00EA34C5">
        <w:rPr>
          <w:rFonts w:asciiTheme="minorHAnsi" w:hAnsiTheme="minorHAnsi"/>
          <w:sz w:val="22"/>
          <w:szCs w:val="22"/>
        </w:rPr>
        <w:t>,</w:t>
      </w:r>
      <w:r w:rsidRPr="007F6798">
        <w:rPr>
          <w:rFonts w:asciiTheme="minorHAnsi" w:hAnsiTheme="minorHAnsi"/>
          <w:sz w:val="22"/>
          <w:szCs w:val="22"/>
        </w:rPr>
        <w:t xml:space="preserve"> the ISDA FX taxonomy) to EMIR trade reporting product ID fields is not sufficiently granular to represent the instruments traded in the FX market.</w:t>
      </w:r>
    </w:p>
    <w:p w:rsidR="00E66E28" w:rsidRPr="007F6798" w:rsidRDefault="00E66E28" w:rsidP="00E66E28">
      <w:pPr>
        <w:pStyle w:val="ListParagraph"/>
        <w:numPr>
          <w:ilvl w:val="1"/>
          <w:numId w:val="52"/>
        </w:numPr>
        <w:spacing w:after="120"/>
        <w:ind w:left="709"/>
        <w:jc w:val="both"/>
        <w:rPr>
          <w:rFonts w:asciiTheme="minorHAnsi" w:hAnsiTheme="minorHAnsi"/>
          <w:sz w:val="22"/>
          <w:szCs w:val="22"/>
        </w:rPr>
      </w:pPr>
      <w:r w:rsidRPr="007F6798">
        <w:rPr>
          <w:rFonts w:asciiTheme="minorHAnsi" w:hAnsiTheme="minorHAnsi"/>
          <w:sz w:val="22"/>
          <w:szCs w:val="22"/>
        </w:rPr>
        <w:t>ESMA have created a new FX ‘product’ to capture those FX instruments that do not easily map across to the EMIR trade reporting product ID fields:</w:t>
      </w:r>
    </w:p>
    <w:p w:rsidR="00E66E28" w:rsidRPr="007F6798" w:rsidRDefault="00E66E28" w:rsidP="00E66E28">
      <w:pPr>
        <w:pStyle w:val="ListParagraph"/>
        <w:numPr>
          <w:ilvl w:val="2"/>
          <w:numId w:val="53"/>
        </w:numPr>
        <w:spacing w:after="120"/>
        <w:ind w:left="1276"/>
        <w:jc w:val="both"/>
        <w:rPr>
          <w:rFonts w:asciiTheme="minorHAnsi" w:hAnsiTheme="minorHAnsi"/>
          <w:sz w:val="22"/>
          <w:szCs w:val="22"/>
        </w:rPr>
      </w:pPr>
      <w:r w:rsidRPr="007F6798">
        <w:rPr>
          <w:rFonts w:asciiTheme="minorHAnsi" w:hAnsiTheme="minorHAnsi"/>
          <w:sz w:val="22"/>
          <w:szCs w:val="22"/>
        </w:rPr>
        <w:t>FX spread-betting, which is usually used as a description of financial contracts for diffe</w:t>
      </w:r>
      <w:r w:rsidRPr="007F6798">
        <w:rPr>
          <w:rFonts w:asciiTheme="minorHAnsi" w:hAnsiTheme="minorHAnsi"/>
          <w:sz w:val="22"/>
          <w:szCs w:val="22"/>
        </w:rPr>
        <w:t>r</w:t>
      </w:r>
      <w:r w:rsidRPr="007F6798">
        <w:rPr>
          <w:rFonts w:asciiTheme="minorHAnsi" w:hAnsiTheme="minorHAnsi"/>
          <w:sz w:val="22"/>
          <w:szCs w:val="22"/>
        </w:rPr>
        <w:t>ence, has been used as a ‘catch-all’ by ESMA for those products mapped to the FX ‘Other’ product category under EMIR trade reporting.  We suggest that spread-betting is included under MiFID Annex C9, Financial Contracts for Difference, whereas FX derivatives are i</w:t>
      </w:r>
      <w:r w:rsidRPr="007F6798">
        <w:rPr>
          <w:rFonts w:asciiTheme="minorHAnsi" w:hAnsiTheme="minorHAnsi"/>
          <w:sz w:val="22"/>
          <w:szCs w:val="22"/>
        </w:rPr>
        <w:t>n</w:t>
      </w:r>
      <w:r w:rsidRPr="007F6798">
        <w:rPr>
          <w:rFonts w:asciiTheme="minorHAnsi" w:hAnsiTheme="minorHAnsi"/>
          <w:sz w:val="22"/>
          <w:szCs w:val="22"/>
        </w:rPr>
        <w:t>cluded under MiFID Annex C4.</w:t>
      </w:r>
    </w:p>
    <w:p w:rsidR="00E66E28" w:rsidRPr="007F6798" w:rsidRDefault="00E66E28" w:rsidP="00E66E28">
      <w:pPr>
        <w:pStyle w:val="ListParagraph"/>
        <w:numPr>
          <w:ilvl w:val="1"/>
          <w:numId w:val="54"/>
        </w:numPr>
        <w:spacing w:after="120"/>
        <w:ind w:left="709"/>
        <w:jc w:val="both"/>
        <w:rPr>
          <w:rFonts w:asciiTheme="minorHAnsi" w:hAnsiTheme="minorHAnsi"/>
          <w:sz w:val="22"/>
          <w:szCs w:val="22"/>
        </w:rPr>
      </w:pPr>
      <w:r w:rsidRPr="007F6798">
        <w:rPr>
          <w:rFonts w:asciiTheme="minorHAnsi" w:hAnsiTheme="minorHAnsi"/>
          <w:sz w:val="22"/>
          <w:szCs w:val="22"/>
        </w:rPr>
        <w:t>Precious metals have been included within the FX analysis rather than the Commodities analysis.</w:t>
      </w:r>
    </w:p>
    <w:p w:rsidR="00E66E28" w:rsidRPr="007F6798" w:rsidRDefault="00E66E28" w:rsidP="00E66E28">
      <w:pPr>
        <w:spacing w:after="120"/>
        <w:contextualSpacing/>
        <w:jc w:val="both"/>
        <w:rPr>
          <w:rFonts w:asciiTheme="minorHAnsi" w:hAnsiTheme="minorHAnsi"/>
          <w:sz w:val="22"/>
          <w:szCs w:val="22"/>
        </w:rPr>
      </w:pPr>
    </w:p>
    <w:p w:rsidR="00E66E28" w:rsidRPr="007F6798" w:rsidRDefault="00E66E28" w:rsidP="00E66E28">
      <w:pPr>
        <w:spacing w:after="120"/>
        <w:contextualSpacing/>
        <w:jc w:val="both"/>
        <w:rPr>
          <w:rFonts w:asciiTheme="minorHAnsi" w:hAnsiTheme="minorHAnsi"/>
          <w:i/>
          <w:sz w:val="22"/>
          <w:szCs w:val="22"/>
          <w:u w:val="single"/>
        </w:rPr>
      </w:pPr>
      <w:r w:rsidRPr="007F6798">
        <w:rPr>
          <w:rFonts w:asciiTheme="minorHAnsi" w:hAnsiTheme="minorHAnsi"/>
          <w:i/>
          <w:sz w:val="22"/>
          <w:szCs w:val="22"/>
          <w:u w:val="single"/>
        </w:rPr>
        <w:t>2. Liquidity Definitions:</w:t>
      </w:r>
    </w:p>
    <w:p w:rsidR="00E66E28" w:rsidRPr="007F6798" w:rsidRDefault="00E66E28" w:rsidP="00E66E28">
      <w:pPr>
        <w:pStyle w:val="ListParagraph"/>
        <w:numPr>
          <w:ilvl w:val="1"/>
          <w:numId w:val="55"/>
        </w:numPr>
        <w:spacing w:after="120"/>
        <w:ind w:left="709"/>
        <w:jc w:val="both"/>
        <w:rPr>
          <w:rFonts w:asciiTheme="minorHAnsi" w:hAnsiTheme="minorHAnsi"/>
          <w:sz w:val="22"/>
          <w:szCs w:val="22"/>
        </w:rPr>
      </w:pPr>
      <w:r w:rsidRPr="007F6798">
        <w:rPr>
          <w:rFonts w:asciiTheme="minorHAnsi" w:hAnsiTheme="minorHAnsi"/>
          <w:sz w:val="22"/>
          <w:szCs w:val="22"/>
        </w:rPr>
        <w:t>GFXD does not agree with the ESMA liquidity definitions.  The use of inaccurate trade data has lead to instruments being classified as liquid, that are usually illiquid and vice-versa:</w:t>
      </w:r>
    </w:p>
    <w:p w:rsidR="00E66E28" w:rsidRPr="007F6798" w:rsidRDefault="00E66E28" w:rsidP="00E66E28">
      <w:pPr>
        <w:pStyle w:val="ListParagraph"/>
        <w:numPr>
          <w:ilvl w:val="2"/>
          <w:numId w:val="56"/>
        </w:numPr>
        <w:spacing w:after="120"/>
        <w:ind w:left="1276"/>
        <w:jc w:val="both"/>
        <w:rPr>
          <w:rFonts w:asciiTheme="minorHAnsi" w:hAnsiTheme="minorHAnsi"/>
          <w:sz w:val="22"/>
          <w:szCs w:val="22"/>
        </w:rPr>
      </w:pPr>
      <w:r w:rsidRPr="007F6798">
        <w:rPr>
          <w:rFonts w:asciiTheme="minorHAnsi" w:hAnsiTheme="minorHAnsi"/>
          <w:sz w:val="22"/>
          <w:szCs w:val="22"/>
        </w:rPr>
        <w:t>The CP contains many deliverable currency pairs which have been included as non-deliverable forwards and many non-deliverable currency pairs which have been included as deliverable forwards.</w:t>
      </w:r>
    </w:p>
    <w:p w:rsidR="00E66E28" w:rsidRPr="007F6798" w:rsidRDefault="00E66E28" w:rsidP="00E66E28">
      <w:pPr>
        <w:pStyle w:val="ListParagraph"/>
        <w:numPr>
          <w:ilvl w:val="2"/>
          <w:numId w:val="56"/>
        </w:numPr>
        <w:spacing w:after="120"/>
        <w:ind w:left="1276"/>
        <w:jc w:val="both"/>
        <w:rPr>
          <w:rFonts w:asciiTheme="minorHAnsi" w:hAnsiTheme="minorHAnsi"/>
          <w:sz w:val="22"/>
          <w:szCs w:val="22"/>
        </w:rPr>
      </w:pPr>
      <w:r w:rsidRPr="007F6798">
        <w:rPr>
          <w:rFonts w:asciiTheme="minorHAnsi" w:hAnsiTheme="minorHAnsi"/>
          <w:sz w:val="22"/>
          <w:szCs w:val="22"/>
        </w:rPr>
        <w:t>Tenors expected to be liquid have not been included for some currency pairs and instr</w:t>
      </w:r>
      <w:r w:rsidRPr="007F6798">
        <w:rPr>
          <w:rFonts w:asciiTheme="minorHAnsi" w:hAnsiTheme="minorHAnsi"/>
          <w:sz w:val="22"/>
          <w:szCs w:val="22"/>
        </w:rPr>
        <w:t>u</w:t>
      </w:r>
      <w:r w:rsidRPr="007F6798">
        <w:rPr>
          <w:rFonts w:asciiTheme="minorHAnsi" w:hAnsiTheme="minorHAnsi"/>
          <w:sz w:val="22"/>
          <w:szCs w:val="22"/>
        </w:rPr>
        <w:t>ments (and vice-versa).</w:t>
      </w:r>
    </w:p>
    <w:p w:rsidR="00E66E28" w:rsidRPr="007F6798" w:rsidRDefault="00E66E28" w:rsidP="00E66E28">
      <w:pPr>
        <w:pStyle w:val="ListParagraph"/>
        <w:numPr>
          <w:ilvl w:val="1"/>
          <w:numId w:val="57"/>
        </w:numPr>
        <w:spacing w:after="120"/>
        <w:ind w:left="709"/>
        <w:jc w:val="both"/>
        <w:rPr>
          <w:rFonts w:asciiTheme="minorHAnsi" w:hAnsiTheme="minorHAnsi"/>
          <w:sz w:val="22"/>
          <w:szCs w:val="22"/>
        </w:rPr>
      </w:pPr>
      <w:r w:rsidRPr="007F6798">
        <w:rPr>
          <w:rFonts w:asciiTheme="minorHAnsi" w:hAnsiTheme="minorHAnsi"/>
          <w:sz w:val="22"/>
          <w:szCs w:val="22"/>
        </w:rPr>
        <w:t>The parameters used in the liquidity calibration were not fully reflective of the 4 defined param</w:t>
      </w:r>
      <w:r w:rsidRPr="007F6798">
        <w:rPr>
          <w:rFonts w:asciiTheme="minorHAnsi" w:hAnsiTheme="minorHAnsi"/>
          <w:sz w:val="22"/>
          <w:szCs w:val="22"/>
        </w:rPr>
        <w:t>e</w:t>
      </w:r>
      <w:r w:rsidRPr="007F6798">
        <w:rPr>
          <w:rFonts w:asciiTheme="minorHAnsi" w:hAnsiTheme="minorHAnsi"/>
          <w:sz w:val="22"/>
          <w:szCs w:val="22"/>
        </w:rPr>
        <w:t>ters available to ESMA:</w:t>
      </w:r>
    </w:p>
    <w:p w:rsidR="00E66E28" w:rsidRPr="007F6798" w:rsidRDefault="00E66E28" w:rsidP="00E66E28">
      <w:pPr>
        <w:pStyle w:val="ListParagraph"/>
        <w:numPr>
          <w:ilvl w:val="2"/>
          <w:numId w:val="58"/>
        </w:numPr>
        <w:spacing w:after="120"/>
        <w:ind w:left="1276"/>
        <w:jc w:val="both"/>
        <w:rPr>
          <w:rFonts w:asciiTheme="minorHAnsi" w:hAnsiTheme="minorHAnsi"/>
          <w:sz w:val="22"/>
          <w:szCs w:val="22"/>
        </w:rPr>
      </w:pPr>
      <w:r w:rsidRPr="007F6798">
        <w:rPr>
          <w:rFonts w:asciiTheme="minorHAnsi" w:hAnsiTheme="minorHAnsi"/>
          <w:sz w:val="22"/>
          <w:szCs w:val="22"/>
        </w:rPr>
        <w:t>Data using bid-ask spreads and data on the types and numbers of market participants have been omitted.</w:t>
      </w:r>
    </w:p>
    <w:p w:rsidR="00E66E28" w:rsidRPr="007F6798" w:rsidRDefault="00E66E28" w:rsidP="00E66E28">
      <w:pPr>
        <w:pStyle w:val="ListParagraph"/>
        <w:numPr>
          <w:ilvl w:val="2"/>
          <w:numId w:val="58"/>
        </w:numPr>
        <w:spacing w:after="120"/>
        <w:ind w:left="1276"/>
        <w:jc w:val="both"/>
        <w:rPr>
          <w:rFonts w:asciiTheme="minorHAnsi" w:hAnsiTheme="minorHAnsi"/>
          <w:sz w:val="22"/>
          <w:szCs w:val="22"/>
        </w:rPr>
      </w:pPr>
      <w:r w:rsidRPr="007F6798">
        <w:rPr>
          <w:rFonts w:asciiTheme="minorHAnsi" w:hAnsiTheme="minorHAnsi"/>
          <w:sz w:val="22"/>
          <w:szCs w:val="22"/>
        </w:rPr>
        <w:t>Data on the number of trading days have yielded a result greater than 100%, influencing the overall categorisation.</w:t>
      </w:r>
    </w:p>
    <w:p w:rsidR="00E66E28" w:rsidRPr="007F6798" w:rsidRDefault="00E66E28" w:rsidP="00E66E28">
      <w:pPr>
        <w:pStyle w:val="ListParagraph"/>
        <w:numPr>
          <w:ilvl w:val="2"/>
          <w:numId w:val="58"/>
        </w:numPr>
        <w:spacing w:after="120"/>
        <w:ind w:left="1276"/>
        <w:jc w:val="both"/>
        <w:rPr>
          <w:rFonts w:asciiTheme="minorHAnsi" w:hAnsiTheme="minorHAnsi"/>
          <w:sz w:val="22"/>
          <w:szCs w:val="22"/>
        </w:rPr>
      </w:pPr>
      <w:r w:rsidRPr="007F6798">
        <w:rPr>
          <w:rFonts w:asciiTheme="minorHAnsi" w:hAnsiTheme="minorHAnsi"/>
          <w:sz w:val="22"/>
          <w:szCs w:val="22"/>
        </w:rPr>
        <w:t>Data on the number of trades per day and the notional amount per day have been arb</w:t>
      </w:r>
      <w:r w:rsidRPr="007F6798">
        <w:rPr>
          <w:rFonts w:asciiTheme="minorHAnsi" w:hAnsiTheme="minorHAnsi"/>
          <w:sz w:val="22"/>
          <w:szCs w:val="22"/>
        </w:rPr>
        <w:t>i</w:t>
      </w:r>
      <w:r w:rsidRPr="007F6798">
        <w:rPr>
          <w:rFonts w:asciiTheme="minorHAnsi" w:hAnsiTheme="minorHAnsi"/>
          <w:sz w:val="22"/>
          <w:szCs w:val="22"/>
        </w:rPr>
        <w:t>trarily set per instrument (e.g.</w:t>
      </w:r>
      <w:r w:rsidR="00054728">
        <w:rPr>
          <w:rFonts w:asciiTheme="minorHAnsi" w:hAnsiTheme="minorHAnsi"/>
          <w:sz w:val="22"/>
          <w:szCs w:val="22"/>
        </w:rPr>
        <w:t>,</w:t>
      </w:r>
      <w:r w:rsidRPr="007F6798">
        <w:rPr>
          <w:rFonts w:asciiTheme="minorHAnsi" w:hAnsiTheme="minorHAnsi"/>
          <w:sz w:val="22"/>
          <w:szCs w:val="22"/>
        </w:rPr>
        <w:t xml:space="preserve"> 1 trade per day and EUR 10million for FX forwards) and are not reflective for a market with a high number of participants trading significant volumes, such as the FX market.</w:t>
      </w:r>
    </w:p>
    <w:p w:rsidR="00E66E28" w:rsidRPr="007F6798" w:rsidRDefault="00E66E28" w:rsidP="00E66E28">
      <w:pPr>
        <w:pStyle w:val="ListParagraph"/>
        <w:spacing w:after="120"/>
        <w:ind w:left="1276"/>
        <w:jc w:val="both"/>
        <w:rPr>
          <w:rFonts w:asciiTheme="minorHAnsi" w:hAnsiTheme="minorHAnsi"/>
          <w:sz w:val="22"/>
          <w:szCs w:val="22"/>
        </w:rPr>
      </w:pPr>
    </w:p>
    <w:p w:rsidR="00E66E28" w:rsidRPr="007F6798" w:rsidRDefault="00E66E28" w:rsidP="00E66E28">
      <w:pPr>
        <w:spacing w:after="120"/>
        <w:contextualSpacing/>
        <w:jc w:val="both"/>
        <w:rPr>
          <w:rFonts w:asciiTheme="minorHAnsi" w:hAnsiTheme="minorHAnsi"/>
          <w:i/>
          <w:sz w:val="22"/>
          <w:szCs w:val="22"/>
          <w:u w:val="single"/>
        </w:rPr>
      </w:pPr>
      <w:r w:rsidRPr="007F6798">
        <w:rPr>
          <w:rFonts w:asciiTheme="minorHAnsi" w:hAnsiTheme="minorHAnsi"/>
          <w:i/>
          <w:sz w:val="22"/>
          <w:szCs w:val="22"/>
          <w:u w:val="single"/>
        </w:rPr>
        <w:t>3. LIS and SSTI thresholds:</w:t>
      </w:r>
    </w:p>
    <w:p w:rsidR="00E66E28" w:rsidRPr="007F6798" w:rsidRDefault="00E66E28" w:rsidP="00E66E28">
      <w:pPr>
        <w:pStyle w:val="ListParagraph"/>
        <w:numPr>
          <w:ilvl w:val="1"/>
          <w:numId w:val="59"/>
        </w:numPr>
        <w:spacing w:after="120"/>
        <w:ind w:left="709"/>
        <w:jc w:val="both"/>
        <w:rPr>
          <w:rFonts w:asciiTheme="minorHAnsi" w:hAnsiTheme="minorHAnsi"/>
          <w:sz w:val="22"/>
          <w:szCs w:val="22"/>
        </w:rPr>
      </w:pPr>
      <w:r w:rsidRPr="007F6798">
        <w:rPr>
          <w:rFonts w:asciiTheme="minorHAnsi" w:hAnsiTheme="minorHAnsi"/>
          <w:sz w:val="22"/>
          <w:szCs w:val="22"/>
        </w:rPr>
        <w:t>GFXD does not agree with the thresholds set by ESMA.</w:t>
      </w:r>
    </w:p>
    <w:p w:rsidR="00E66E28" w:rsidRPr="007F6798" w:rsidRDefault="00E66E28" w:rsidP="00E66E28">
      <w:pPr>
        <w:pStyle w:val="ListParagraph"/>
        <w:numPr>
          <w:ilvl w:val="1"/>
          <w:numId w:val="59"/>
        </w:numPr>
        <w:spacing w:after="120"/>
        <w:ind w:left="709"/>
        <w:jc w:val="both"/>
        <w:rPr>
          <w:rFonts w:asciiTheme="minorHAnsi" w:hAnsiTheme="minorHAnsi"/>
          <w:sz w:val="22"/>
          <w:szCs w:val="22"/>
        </w:rPr>
      </w:pPr>
      <w:r w:rsidRPr="007F6798">
        <w:rPr>
          <w:rFonts w:asciiTheme="minorHAnsi" w:hAnsiTheme="minorHAnsi"/>
          <w:sz w:val="22"/>
          <w:szCs w:val="22"/>
        </w:rPr>
        <w:t>We believe that the LIS threshold should be calculated from 2018 onwards dynamically, but we do not agree that a floor should be applied.</w:t>
      </w:r>
    </w:p>
    <w:p w:rsidR="00E66E28" w:rsidRPr="007F6798" w:rsidRDefault="00E66E28" w:rsidP="00E66E28">
      <w:pPr>
        <w:pStyle w:val="ListParagraph"/>
        <w:numPr>
          <w:ilvl w:val="1"/>
          <w:numId w:val="59"/>
        </w:numPr>
        <w:spacing w:after="120"/>
        <w:ind w:left="709"/>
        <w:jc w:val="both"/>
        <w:rPr>
          <w:rFonts w:asciiTheme="minorHAnsi" w:hAnsiTheme="minorHAnsi"/>
          <w:sz w:val="22"/>
          <w:szCs w:val="22"/>
        </w:rPr>
      </w:pPr>
      <w:r w:rsidRPr="007F6798">
        <w:rPr>
          <w:rFonts w:asciiTheme="minorHAnsi" w:hAnsiTheme="minorHAnsi"/>
          <w:sz w:val="22"/>
          <w:szCs w:val="22"/>
        </w:rPr>
        <w:t>We believe that SSTI should not be arbitrarily set as 50% of LIS.</w:t>
      </w:r>
    </w:p>
    <w:p w:rsidR="00E66E28" w:rsidRPr="007F6798" w:rsidRDefault="00E66E28" w:rsidP="00E66E28">
      <w:pPr>
        <w:pStyle w:val="ListParagraph"/>
        <w:spacing w:after="120"/>
        <w:ind w:left="709"/>
        <w:jc w:val="both"/>
        <w:rPr>
          <w:rFonts w:asciiTheme="minorHAnsi" w:hAnsiTheme="minorHAnsi"/>
          <w:sz w:val="22"/>
          <w:szCs w:val="22"/>
        </w:rPr>
      </w:pPr>
    </w:p>
    <w:p w:rsidR="00E66E28" w:rsidRPr="007F6798" w:rsidRDefault="00E66E28" w:rsidP="00E66E28">
      <w:pPr>
        <w:spacing w:after="120"/>
        <w:contextualSpacing/>
        <w:jc w:val="both"/>
        <w:rPr>
          <w:rFonts w:asciiTheme="minorHAnsi" w:hAnsiTheme="minorHAnsi"/>
          <w:b/>
          <w:sz w:val="22"/>
          <w:szCs w:val="22"/>
          <w:lang w:val="en-US"/>
        </w:rPr>
      </w:pPr>
      <w:r w:rsidRPr="007F6798">
        <w:rPr>
          <w:rFonts w:asciiTheme="minorHAnsi" w:hAnsiTheme="minorHAnsi"/>
          <w:b/>
          <w:sz w:val="22"/>
          <w:szCs w:val="22"/>
          <w:lang w:val="en-US"/>
        </w:rPr>
        <w:t>C: FX Prime Brokerage</w:t>
      </w:r>
    </w:p>
    <w:p w:rsidR="00E66E28" w:rsidRPr="007F6798" w:rsidRDefault="00E66E28" w:rsidP="00E66E28">
      <w:pPr>
        <w:spacing w:after="120"/>
        <w:contextualSpacing/>
        <w:jc w:val="both"/>
        <w:rPr>
          <w:rFonts w:asciiTheme="minorHAnsi" w:hAnsiTheme="minorHAnsi"/>
          <w:b/>
          <w:sz w:val="22"/>
          <w:szCs w:val="22"/>
          <w:lang w:val="en-US"/>
        </w:rPr>
      </w:pPr>
    </w:p>
    <w:p w:rsidR="00E66E28" w:rsidRPr="007F6798" w:rsidRDefault="00E66E28" w:rsidP="00E66E28">
      <w:pPr>
        <w:jc w:val="both"/>
        <w:rPr>
          <w:rFonts w:asciiTheme="minorHAnsi" w:hAnsiTheme="minorHAnsi"/>
          <w:sz w:val="22"/>
          <w:szCs w:val="22"/>
        </w:rPr>
      </w:pPr>
      <w:r w:rsidRPr="007F6798">
        <w:rPr>
          <w:rFonts w:asciiTheme="minorHAnsi" w:hAnsiTheme="minorHAnsi"/>
          <w:sz w:val="22"/>
          <w:szCs w:val="22"/>
        </w:rPr>
        <w:t>The below updates the current discussion with a description of FX prime brokerage (FXPB) when consi</w:t>
      </w:r>
      <w:r w:rsidRPr="007F6798">
        <w:rPr>
          <w:rFonts w:asciiTheme="minorHAnsi" w:hAnsiTheme="minorHAnsi"/>
          <w:sz w:val="22"/>
          <w:szCs w:val="22"/>
        </w:rPr>
        <w:t>d</w:t>
      </w:r>
      <w:r w:rsidRPr="007F6798">
        <w:rPr>
          <w:rFonts w:asciiTheme="minorHAnsi" w:hAnsiTheme="minorHAnsi"/>
          <w:sz w:val="22"/>
          <w:szCs w:val="22"/>
        </w:rPr>
        <w:t>ering transparency and transaction-reporting obligations under MiFID II/MiFIR.</w:t>
      </w:r>
    </w:p>
    <w:p w:rsidR="008E13F7" w:rsidRPr="007F6798" w:rsidRDefault="008E13F7" w:rsidP="00E66E28">
      <w:pPr>
        <w:jc w:val="both"/>
        <w:rPr>
          <w:rFonts w:asciiTheme="minorHAnsi" w:hAnsiTheme="minorHAnsi"/>
          <w:sz w:val="22"/>
          <w:szCs w:val="22"/>
        </w:rPr>
      </w:pPr>
    </w:p>
    <w:p w:rsidR="00E66E28" w:rsidRPr="007F6798" w:rsidRDefault="00E66E28" w:rsidP="00E66E28">
      <w:pPr>
        <w:autoSpaceDE w:val="0"/>
        <w:autoSpaceDN w:val="0"/>
        <w:adjustRightInd w:val="0"/>
        <w:jc w:val="both"/>
        <w:rPr>
          <w:rFonts w:asciiTheme="minorHAnsi" w:hAnsiTheme="minorHAnsi" w:cstheme="minorHAnsi"/>
          <w:sz w:val="22"/>
          <w:szCs w:val="22"/>
        </w:rPr>
      </w:pPr>
      <w:r w:rsidRPr="007F6798">
        <w:rPr>
          <w:rFonts w:asciiTheme="minorHAnsi" w:hAnsiTheme="minorHAnsi" w:cstheme="minorHAnsi"/>
          <w:sz w:val="22"/>
          <w:szCs w:val="22"/>
        </w:rPr>
        <w:t xml:space="preserve">FX prime brokerage activity has unique elements that are not present in bilateral transactions. Indeed, the </w:t>
      </w:r>
      <w:r w:rsidR="00B34829">
        <w:rPr>
          <w:rFonts w:asciiTheme="minorHAnsi" w:hAnsiTheme="minorHAnsi" w:cstheme="minorHAnsi"/>
          <w:sz w:val="22"/>
          <w:szCs w:val="22"/>
        </w:rPr>
        <w:t>FX P</w:t>
      </w:r>
      <w:r w:rsidRPr="007F6798">
        <w:rPr>
          <w:rFonts w:asciiTheme="minorHAnsi" w:hAnsiTheme="minorHAnsi" w:cstheme="minorHAnsi"/>
          <w:sz w:val="22"/>
          <w:szCs w:val="22"/>
        </w:rPr>
        <w:t xml:space="preserve">rime </w:t>
      </w:r>
      <w:r w:rsidR="00B34829">
        <w:rPr>
          <w:rFonts w:asciiTheme="minorHAnsi" w:hAnsiTheme="minorHAnsi" w:cstheme="minorHAnsi"/>
          <w:sz w:val="22"/>
          <w:szCs w:val="22"/>
        </w:rPr>
        <w:t>B</w:t>
      </w:r>
      <w:r w:rsidRPr="007F6798">
        <w:rPr>
          <w:rFonts w:asciiTheme="minorHAnsi" w:hAnsiTheme="minorHAnsi" w:cstheme="minorHAnsi"/>
          <w:sz w:val="22"/>
          <w:szCs w:val="22"/>
        </w:rPr>
        <w:t>roker</w:t>
      </w:r>
      <w:r w:rsidR="00B34829">
        <w:rPr>
          <w:rFonts w:asciiTheme="minorHAnsi" w:hAnsiTheme="minorHAnsi" w:cstheme="minorHAnsi"/>
          <w:sz w:val="22"/>
          <w:szCs w:val="22"/>
        </w:rPr>
        <w:t xml:space="preserve"> (FXPB)</w:t>
      </w:r>
      <w:r w:rsidRPr="007F6798">
        <w:rPr>
          <w:rFonts w:asciiTheme="minorHAnsi" w:hAnsiTheme="minorHAnsi" w:cstheme="minorHAnsi"/>
          <w:sz w:val="22"/>
          <w:szCs w:val="22"/>
        </w:rPr>
        <w:t xml:space="preserve"> is not present at the point of commitment to economic terms between the FXPB client and the executing broker</w:t>
      </w:r>
      <w:r w:rsidR="00B34829">
        <w:rPr>
          <w:rFonts w:asciiTheme="minorHAnsi" w:hAnsiTheme="minorHAnsi" w:cstheme="minorHAnsi"/>
          <w:sz w:val="22"/>
          <w:szCs w:val="22"/>
        </w:rPr>
        <w:t xml:space="preserve"> or electronic platform</w:t>
      </w:r>
      <w:r w:rsidRPr="007F6798">
        <w:rPr>
          <w:rFonts w:asciiTheme="minorHAnsi" w:hAnsiTheme="minorHAnsi" w:cstheme="minorHAnsi"/>
          <w:sz w:val="22"/>
          <w:szCs w:val="22"/>
        </w:rPr>
        <w:t xml:space="preserve"> (</w:t>
      </w:r>
      <w:r w:rsidRPr="00B34829">
        <w:rPr>
          <w:rFonts w:asciiTheme="minorHAnsi" w:hAnsiTheme="minorHAnsi" w:cstheme="minorHAnsi"/>
          <w:sz w:val="22"/>
          <w:szCs w:val="22"/>
        </w:rPr>
        <w:t>the “</w:t>
      </w:r>
      <w:r w:rsidR="00B34829" w:rsidRPr="00B34829">
        <w:rPr>
          <w:rFonts w:asciiTheme="minorHAnsi" w:hAnsiTheme="minorHAnsi" w:cstheme="minorHAnsi"/>
          <w:sz w:val="22"/>
          <w:szCs w:val="22"/>
        </w:rPr>
        <w:t>P</w:t>
      </w:r>
      <w:r w:rsidRPr="00B34829">
        <w:rPr>
          <w:rFonts w:asciiTheme="minorHAnsi" w:hAnsiTheme="minorHAnsi" w:cstheme="minorHAnsi"/>
          <w:sz w:val="22"/>
          <w:szCs w:val="22"/>
        </w:rPr>
        <w:t xml:space="preserve">rice </w:t>
      </w:r>
      <w:r w:rsidR="00B34829" w:rsidRPr="00B34829">
        <w:rPr>
          <w:rFonts w:asciiTheme="minorHAnsi" w:hAnsiTheme="minorHAnsi" w:cstheme="minorHAnsi"/>
          <w:sz w:val="22"/>
          <w:szCs w:val="22"/>
        </w:rPr>
        <w:t>M</w:t>
      </w:r>
      <w:r w:rsidRPr="00B34829">
        <w:rPr>
          <w:rFonts w:asciiTheme="minorHAnsi" w:hAnsiTheme="minorHAnsi" w:cstheme="minorHAnsi"/>
          <w:sz w:val="22"/>
          <w:szCs w:val="22"/>
        </w:rPr>
        <w:t>aker”).</w:t>
      </w:r>
      <w:r w:rsidRPr="007F6798">
        <w:rPr>
          <w:rFonts w:asciiTheme="minorHAnsi" w:hAnsiTheme="minorHAnsi" w:cstheme="minorHAnsi"/>
          <w:sz w:val="22"/>
          <w:szCs w:val="22"/>
        </w:rPr>
        <w:t xml:space="preserve"> This commitment to economic terms is a single price-formative event, but it gives rise to multiple transactions: the give-up </w:t>
      </w:r>
      <w:r w:rsidR="00B34829">
        <w:rPr>
          <w:rFonts w:asciiTheme="minorHAnsi" w:hAnsiTheme="minorHAnsi" w:cstheme="minorHAnsi"/>
          <w:sz w:val="22"/>
          <w:szCs w:val="22"/>
        </w:rPr>
        <w:t>trade and the mirror trade and</w:t>
      </w:r>
      <w:r w:rsidRPr="007F6798">
        <w:rPr>
          <w:rFonts w:asciiTheme="minorHAnsi" w:hAnsiTheme="minorHAnsi" w:cstheme="minorHAnsi"/>
          <w:sz w:val="22"/>
          <w:szCs w:val="22"/>
        </w:rPr>
        <w:t xml:space="preserve"> in multi-FXPB arrangements, more transactions between prime bro</w:t>
      </w:r>
      <w:r w:rsidR="00B34829">
        <w:rPr>
          <w:rFonts w:asciiTheme="minorHAnsi" w:hAnsiTheme="minorHAnsi" w:cstheme="minorHAnsi"/>
          <w:sz w:val="22"/>
          <w:szCs w:val="22"/>
        </w:rPr>
        <w:t>kers</w:t>
      </w:r>
      <w:r w:rsidRPr="007F6798">
        <w:rPr>
          <w:rFonts w:asciiTheme="minorHAnsi" w:hAnsiTheme="minorHAnsi" w:cstheme="minorHAnsi"/>
          <w:sz w:val="22"/>
          <w:szCs w:val="22"/>
        </w:rPr>
        <w:t>.</w:t>
      </w:r>
    </w:p>
    <w:p w:rsidR="00E66E28" w:rsidRPr="007F6798" w:rsidRDefault="00E66E28" w:rsidP="00E66E28">
      <w:pPr>
        <w:autoSpaceDE w:val="0"/>
        <w:autoSpaceDN w:val="0"/>
        <w:adjustRightInd w:val="0"/>
        <w:jc w:val="both"/>
        <w:rPr>
          <w:rFonts w:asciiTheme="minorHAnsi" w:hAnsiTheme="minorHAnsi" w:cs="TimesNewRoman"/>
          <w:sz w:val="22"/>
          <w:szCs w:val="22"/>
        </w:rPr>
      </w:pPr>
    </w:p>
    <w:p w:rsidR="00E66E28" w:rsidRPr="007F679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Further details on the FXPB structure are in the GFXD response to Question 138 of the 22 May 2014 ESMA MiFID II/MiFIR Discussion Paper</w:t>
      </w:r>
      <w:r w:rsidR="008754FC">
        <w:rPr>
          <w:rFonts w:asciiTheme="minorHAnsi" w:hAnsiTheme="minorHAnsi" w:cstheme="minorHAnsi"/>
          <w:color w:val="000000" w:themeColor="text1"/>
          <w:sz w:val="22"/>
          <w:szCs w:val="22"/>
        </w:rPr>
        <w:t xml:space="preserve"> (DP)</w:t>
      </w:r>
      <w:r w:rsidRPr="007F6798">
        <w:rPr>
          <w:rFonts w:asciiTheme="minorHAnsi" w:hAnsiTheme="minorHAnsi" w:cstheme="minorHAnsi"/>
          <w:color w:val="000000" w:themeColor="text1"/>
          <w:sz w:val="22"/>
          <w:szCs w:val="22"/>
        </w:rPr>
        <w:t>.</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B34829" w:rsidP="00E66E2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Pre-trade transparency, post-trade transparency and transaction reporting obligations under MiFID II</w:t>
      </w:r>
      <w:r w:rsidR="00E66E28" w:rsidRPr="007F6798">
        <w:rPr>
          <w:rFonts w:asciiTheme="minorHAnsi" w:hAnsiTheme="minorHAnsi" w:cstheme="minorHAnsi"/>
          <w:color w:val="000000" w:themeColor="text1"/>
          <w:sz w:val="22"/>
          <w:szCs w:val="22"/>
        </w:rPr>
        <w:t xml:space="preserve"> have been identified </w:t>
      </w:r>
      <w:r>
        <w:rPr>
          <w:rFonts w:asciiTheme="minorHAnsi" w:hAnsiTheme="minorHAnsi" w:cstheme="minorHAnsi"/>
          <w:color w:val="000000" w:themeColor="text1"/>
          <w:sz w:val="22"/>
          <w:szCs w:val="22"/>
        </w:rPr>
        <w:t xml:space="preserve">as areas </w:t>
      </w:r>
      <w:r w:rsidR="00E66E28" w:rsidRPr="007F6798">
        <w:rPr>
          <w:rFonts w:asciiTheme="minorHAnsi" w:hAnsiTheme="minorHAnsi" w:cstheme="minorHAnsi"/>
          <w:color w:val="000000" w:themeColor="text1"/>
          <w:sz w:val="22"/>
          <w:szCs w:val="22"/>
        </w:rPr>
        <w:t xml:space="preserve">for further discussion and analysis: </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8E13F7" w:rsidP="008E13F7">
      <w:pPr>
        <w:jc w:val="both"/>
        <w:rPr>
          <w:rFonts w:asciiTheme="minorHAnsi" w:hAnsiTheme="minorHAnsi" w:cstheme="minorHAnsi"/>
          <w:i/>
          <w:color w:val="000000" w:themeColor="text1"/>
          <w:sz w:val="22"/>
          <w:szCs w:val="22"/>
          <w:u w:val="single"/>
        </w:rPr>
      </w:pPr>
      <w:r w:rsidRPr="007F6798">
        <w:rPr>
          <w:rFonts w:asciiTheme="minorHAnsi" w:hAnsiTheme="minorHAnsi" w:cstheme="minorHAnsi"/>
          <w:i/>
          <w:color w:val="000000" w:themeColor="text1"/>
          <w:sz w:val="22"/>
          <w:szCs w:val="22"/>
          <w:u w:val="single"/>
        </w:rPr>
        <w:t xml:space="preserve">1. </w:t>
      </w:r>
      <w:r w:rsidR="00E66E28" w:rsidRPr="007F6798">
        <w:rPr>
          <w:rFonts w:asciiTheme="minorHAnsi" w:hAnsiTheme="minorHAnsi" w:cstheme="minorHAnsi"/>
          <w:i/>
          <w:color w:val="000000" w:themeColor="text1"/>
          <w:sz w:val="22"/>
          <w:szCs w:val="22"/>
          <w:u w:val="single"/>
        </w:rPr>
        <w:t>Pre-Trade Transparency</w:t>
      </w:r>
    </w:p>
    <w:p w:rsidR="008E13F7" w:rsidRPr="007F6798" w:rsidRDefault="008E13F7" w:rsidP="008E13F7">
      <w:pPr>
        <w:rPr>
          <w:rFonts w:asciiTheme="minorHAnsi" w:hAnsiTheme="minorHAnsi"/>
          <w:sz w:val="22"/>
          <w:szCs w:val="22"/>
        </w:rPr>
      </w:pPr>
    </w:p>
    <w:p w:rsidR="00E66E28" w:rsidRPr="007F6798" w:rsidRDefault="00B34829" w:rsidP="00E66E28">
      <w:pPr>
        <w:tabs>
          <w:tab w:val="left" w:pos="0"/>
        </w:tabs>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Does an FXPB </w:t>
      </w:r>
      <w:r w:rsidR="00E66E28" w:rsidRPr="007F6798">
        <w:rPr>
          <w:rFonts w:asciiTheme="minorHAnsi" w:hAnsiTheme="minorHAnsi" w:cstheme="minorHAnsi"/>
          <w:i/>
          <w:color w:val="000000" w:themeColor="text1"/>
          <w:sz w:val="22"/>
          <w:szCs w:val="22"/>
        </w:rPr>
        <w:t>fall within the definition of a Systematic Internaliser (“</w:t>
      </w:r>
      <w:r w:rsidR="00E66E28" w:rsidRPr="007F6798">
        <w:rPr>
          <w:rFonts w:asciiTheme="minorHAnsi" w:hAnsiTheme="minorHAnsi" w:cstheme="minorHAnsi"/>
          <w:b/>
          <w:i/>
          <w:color w:val="000000" w:themeColor="text1"/>
          <w:sz w:val="22"/>
          <w:szCs w:val="22"/>
        </w:rPr>
        <w:t>SI</w:t>
      </w:r>
      <w:r w:rsidR="00E66E28" w:rsidRPr="007F6798">
        <w:rPr>
          <w:rFonts w:asciiTheme="minorHAnsi" w:hAnsiTheme="minorHAnsi" w:cstheme="minorHAnsi"/>
          <w:i/>
          <w:color w:val="000000" w:themeColor="text1"/>
          <w:sz w:val="22"/>
          <w:szCs w:val="22"/>
        </w:rPr>
        <w:t>”)?</w:t>
      </w:r>
    </w:p>
    <w:p w:rsidR="00E66E28" w:rsidRPr="007F6798" w:rsidRDefault="00E66E28" w:rsidP="00E66E28">
      <w:pPr>
        <w:pStyle w:val="ListParagraph"/>
        <w:tabs>
          <w:tab w:val="left" w:pos="0"/>
        </w:tabs>
        <w:ind w:left="1080"/>
        <w:jc w:val="both"/>
        <w:rPr>
          <w:rFonts w:asciiTheme="minorHAnsi" w:hAnsiTheme="minorHAnsi" w:cstheme="minorHAnsi"/>
          <w:color w:val="000000" w:themeColor="text1"/>
          <w:sz w:val="22"/>
          <w:szCs w:val="22"/>
        </w:rPr>
      </w:pP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A “</w:t>
      </w:r>
      <w:r w:rsidRPr="007F6798">
        <w:rPr>
          <w:rFonts w:asciiTheme="minorHAnsi" w:hAnsiTheme="minorHAnsi" w:cstheme="minorHAnsi"/>
          <w:i/>
          <w:color w:val="000000" w:themeColor="text1"/>
          <w:sz w:val="22"/>
          <w:szCs w:val="22"/>
        </w:rPr>
        <w:t>systematic internaliser</w:t>
      </w:r>
      <w:r w:rsidRPr="007F6798">
        <w:rPr>
          <w:rFonts w:asciiTheme="minorHAnsi" w:hAnsiTheme="minorHAnsi" w:cstheme="minorHAnsi"/>
          <w:color w:val="000000" w:themeColor="text1"/>
          <w:sz w:val="22"/>
          <w:szCs w:val="22"/>
        </w:rPr>
        <w:t>” is defined in MiFID II/MiFIR</w:t>
      </w:r>
      <w:r w:rsidRPr="007F6798" w:rsidDel="0054125A">
        <w:rPr>
          <w:rFonts w:asciiTheme="minorHAnsi" w:hAnsiTheme="minorHAnsi" w:cstheme="minorHAnsi"/>
          <w:color w:val="000000" w:themeColor="text1"/>
          <w:sz w:val="22"/>
          <w:szCs w:val="22"/>
        </w:rPr>
        <w:t xml:space="preserve"> </w:t>
      </w:r>
      <w:r w:rsidRPr="007F6798">
        <w:rPr>
          <w:rFonts w:asciiTheme="minorHAnsi" w:hAnsiTheme="minorHAnsi" w:cstheme="minorHAnsi"/>
          <w:color w:val="000000" w:themeColor="text1"/>
          <w:sz w:val="22"/>
          <w:szCs w:val="22"/>
        </w:rPr>
        <w:t>as: an investment firm that, on an organised, frequent, systematic, and substantial basis, deals on its own account when executing client orders ou</w:t>
      </w:r>
      <w:r w:rsidRPr="007F6798">
        <w:rPr>
          <w:rFonts w:asciiTheme="minorHAnsi" w:hAnsiTheme="minorHAnsi" w:cstheme="minorHAnsi"/>
          <w:color w:val="000000" w:themeColor="text1"/>
          <w:sz w:val="22"/>
          <w:szCs w:val="22"/>
        </w:rPr>
        <w:t>t</w:t>
      </w:r>
      <w:r w:rsidRPr="007F6798">
        <w:rPr>
          <w:rFonts w:asciiTheme="minorHAnsi" w:hAnsiTheme="minorHAnsi" w:cstheme="minorHAnsi"/>
          <w:color w:val="000000" w:themeColor="text1"/>
          <w:sz w:val="22"/>
          <w:szCs w:val="22"/>
        </w:rPr>
        <w:t>side a regulated market, an MTF, or an OTF without operating a multilateral system.</w:t>
      </w:r>
    </w:p>
    <w:p w:rsidR="00E66E28" w:rsidRPr="007F6798" w:rsidRDefault="00E66E28" w:rsidP="00E66E28">
      <w:pPr>
        <w:pStyle w:val="ListParagraph"/>
        <w:tabs>
          <w:tab w:val="left" w:pos="0"/>
        </w:tabs>
        <w:ind w:left="1080" w:hanging="1080"/>
        <w:jc w:val="both"/>
        <w:rPr>
          <w:rFonts w:asciiTheme="minorHAnsi" w:hAnsiTheme="minorHAnsi" w:cstheme="minorHAnsi"/>
          <w:color w:val="000000" w:themeColor="text1"/>
          <w:sz w:val="22"/>
          <w:szCs w:val="22"/>
        </w:rPr>
      </w:pPr>
    </w:p>
    <w:p w:rsidR="00E66E28" w:rsidRPr="007F6798" w:rsidRDefault="00E66E28" w:rsidP="00E66E28">
      <w:pPr>
        <w:pStyle w:val="ListParagraph"/>
        <w:tabs>
          <w:tab w:val="left" w:pos="0"/>
        </w:tabs>
        <w:ind w:left="1080" w:hanging="1080"/>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The issue therefore becomes whether the investment firm is:</w:t>
      </w:r>
    </w:p>
    <w:p w:rsidR="00E66E28" w:rsidRPr="007F6798" w:rsidRDefault="00E66E28" w:rsidP="00E66E28">
      <w:pPr>
        <w:pStyle w:val="ListParagraph"/>
        <w:numPr>
          <w:ilvl w:val="0"/>
          <w:numId w:val="60"/>
        </w:numPr>
        <w:tabs>
          <w:tab w:val="left" w:pos="0"/>
        </w:tabs>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 xml:space="preserve">on an organised, frequent, systematic and substantial basis; </w:t>
      </w:r>
    </w:p>
    <w:p w:rsidR="00E66E28" w:rsidRPr="007F6798" w:rsidRDefault="00E66E28" w:rsidP="00E66E28">
      <w:pPr>
        <w:pStyle w:val="ListParagraph"/>
        <w:numPr>
          <w:ilvl w:val="0"/>
          <w:numId w:val="60"/>
        </w:numPr>
        <w:tabs>
          <w:tab w:val="left" w:pos="0"/>
        </w:tabs>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dealing on own account; and</w:t>
      </w:r>
    </w:p>
    <w:p w:rsidR="00E66E28" w:rsidRPr="007F6798" w:rsidRDefault="00960C61" w:rsidP="00E66E28">
      <w:pPr>
        <w:pStyle w:val="ListParagraph"/>
        <w:numPr>
          <w:ilvl w:val="0"/>
          <w:numId w:val="60"/>
        </w:numPr>
        <w:tabs>
          <w:tab w:val="left" w:pos="0"/>
        </w:tabs>
        <w:jc w:val="both"/>
        <w:rPr>
          <w:rFonts w:asciiTheme="minorHAnsi" w:hAnsiTheme="minorHAnsi" w:cstheme="minorHAnsi"/>
          <w:color w:val="000000" w:themeColor="text1"/>
          <w:sz w:val="22"/>
          <w:szCs w:val="22"/>
        </w:rPr>
      </w:pPr>
      <w:proofErr w:type="gramStart"/>
      <w:r>
        <w:rPr>
          <w:rFonts w:asciiTheme="minorHAnsi" w:hAnsiTheme="minorHAnsi" w:cstheme="minorHAnsi"/>
          <w:color w:val="000000" w:themeColor="text1"/>
          <w:sz w:val="22"/>
          <w:szCs w:val="22"/>
        </w:rPr>
        <w:t>executing</w:t>
      </w:r>
      <w:proofErr w:type="gramEnd"/>
      <w:r>
        <w:rPr>
          <w:rFonts w:asciiTheme="minorHAnsi" w:hAnsiTheme="minorHAnsi" w:cstheme="minorHAnsi"/>
          <w:color w:val="000000" w:themeColor="text1"/>
          <w:sz w:val="22"/>
          <w:szCs w:val="22"/>
        </w:rPr>
        <w:t xml:space="preserve"> client orders.</w:t>
      </w:r>
    </w:p>
    <w:p w:rsidR="00E66E28" w:rsidRPr="007F6798" w:rsidRDefault="00E66E28" w:rsidP="00E66E28">
      <w:pPr>
        <w:pStyle w:val="ListParagraph"/>
        <w:tabs>
          <w:tab w:val="left" w:pos="0"/>
        </w:tabs>
        <w:ind w:left="1080" w:hanging="1080"/>
        <w:jc w:val="both"/>
        <w:rPr>
          <w:rFonts w:asciiTheme="minorHAnsi" w:hAnsiTheme="minorHAnsi" w:cstheme="minorHAnsi"/>
          <w:color w:val="000000" w:themeColor="text1"/>
          <w:sz w:val="22"/>
          <w:szCs w:val="22"/>
        </w:rPr>
      </w:pP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An FX</w:t>
      </w:r>
      <w:r w:rsidR="00B34829">
        <w:rPr>
          <w:rFonts w:asciiTheme="minorHAnsi" w:hAnsiTheme="minorHAnsi" w:cstheme="minorHAnsi"/>
          <w:color w:val="000000" w:themeColor="text1"/>
          <w:sz w:val="22"/>
          <w:szCs w:val="22"/>
        </w:rPr>
        <w:t>PB</w:t>
      </w:r>
      <w:r w:rsidRPr="007F6798">
        <w:rPr>
          <w:rFonts w:asciiTheme="minorHAnsi" w:hAnsiTheme="minorHAnsi" w:cstheme="minorHAnsi"/>
          <w:color w:val="000000" w:themeColor="text1"/>
          <w:sz w:val="22"/>
          <w:szCs w:val="22"/>
        </w:rPr>
        <w:t xml:space="preserve"> is not “executing client orders.” The price-formation and execution of the transaction take place between the </w:t>
      </w:r>
      <w:r w:rsidR="00B34829">
        <w:rPr>
          <w:rFonts w:asciiTheme="minorHAnsi" w:hAnsiTheme="minorHAnsi" w:cstheme="minorHAnsi"/>
          <w:color w:val="000000" w:themeColor="text1"/>
          <w:sz w:val="22"/>
          <w:szCs w:val="22"/>
        </w:rPr>
        <w:t>Price M</w:t>
      </w:r>
      <w:r w:rsidRPr="007F6798">
        <w:rPr>
          <w:rFonts w:asciiTheme="minorHAnsi" w:hAnsiTheme="minorHAnsi" w:cstheme="minorHAnsi"/>
          <w:color w:val="000000" w:themeColor="text1"/>
          <w:sz w:val="22"/>
          <w:szCs w:val="22"/>
        </w:rPr>
        <w:t xml:space="preserve">aker and the client of the FXPB, acting as agent of the latter, pursuant to the agency authority granted to the client under the FXPB documentation. The </w:t>
      </w:r>
      <w:r w:rsidRPr="007F6798">
        <w:rPr>
          <w:rFonts w:asciiTheme="minorHAnsi" w:hAnsiTheme="minorHAnsi" w:cstheme="minorHAnsi"/>
          <w:b/>
          <w:color w:val="000000" w:themeColor="text1"/>
          <w:sz w:val="22"/>
          <w:szCs w:val="22"/>
        </w:rPr>
        <w:t>lack of execution of a client order by the FXPB</w:t>
      </w:r>
      <w:r w:rsidRPr="007F6798">
        <w:rPr>
          <w:rFonts w:asciiTheme="minorHAnsi" w:hAnsiTheme="minorHAnsi" w:cstheme="minorHAnsi"/>
          <w:color w:val="000000" w:themeColor="text1"/>
          <w:sz w:val="22"/>
          <w:szCs w:val="22"/>
        </w:rPr>
        <w:t xml:space="preserve"> means that the FXPB does not act as an SI when accepting give-up transactions.</w:t>
      </w: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 xml:space="preserve">An important purpose of the regulation is to provide the market with accurate price discovery data. But, pursuant to RTS 9, the </w:t>
      </w:r>
      <w:r w:rsidR="00B34829">
        <w:rPr>
          <w:rFonts w:asciiTheme="minorHAnsi" w:hAnsiTheme="minorHAnsi" w:cstheme="minorHAnsi"/>
          <w:color w:val="000000" w:themeColor="text1"/>
          <w:sz w:val="22"/>
          <w:szCs w:val="22"/>
        </w:rPr>
        <w:t>Price-M</w:t>
      </w:r>
      <w:r w:rsidRPr="007F6798">
        <w:rPr>
          <w:rFonts w:asciiTheme="minorHAnsi" w:hAnsiTheme="minorHAnsi" w:cstheme="minorHAnsi"/>
          <w:color w:val="000000" w:themeColor="text1"/>
          <w:sz w:val="22"/>
          <w:szCs w:val="22"/>
        </w:rPr>
        <w:t>aker is already subject to the pre-trade transparency obligation in his capacity as an SI. Therefore, we conclude that the purpose of regulation is already satisfied</w:t>
      </w:r>
      <w:r w:rsidR="00B34829">
        <w:rPr>
          <w:rFonts w:asciiTheme="minorHAnsi" w:hAnsiTheme="minorHAnsi" w:cstheme="minorHAnsi"/>
          <w:color w:val="000000" w:themeColor="text1"/>
          <w:sz w:val="22"/>
          <w:szCs w:val="22"/>
        </w:rPr>
        <w:t>, and that the FXPB should be exempted from any pre-trade transparency obligation</w:t>
      </w:r>
      <w:r w:rsidRPr="007F6798">
        <w:rPr>
          <w:rFonts w:asciiTheme="minorHAnsi" w:hAnsiTheme="minorHAnsi" w:cstheme="minorHAnsi"/>
          <w:color w:val="000000" w:themeColor="text1"/>
          <w:sz w:val="22"/>
          <w:szCs w:val="22"/>
        </w:rPr>
        <w:t>.</w:t>
      </w:r>
    </w:p>
    <w:p w:rsidR="00E66E28" w:rsidRPr="007F6798" w:rsidRDefault="00E66E28" w:rsidP="00E66E28">
      <w:pPr>
        <w:pStyle w:val="ListParagraph"/>
        <w:tabs>
          <w:tab w:val="left" w:pos="0"/>
        </w:tabs>
        <w:ind w:left="0"/>
        <w:jc w:val="both"/>
        <w:rPr>
          <w:rFonts w:asciiTheme="minorHAnsi" w:hAnsiTheme="minorHAnsi" w:cstheme="minorHAnsi"/>
          <w:b/>
          <w:color w:val="000000" w:themeColor="text1"/>
          <w:sz w:val="22"/>
          <w:szCs w:val="22"/>
        </w:rPr>
      </w:pP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Furthermore, the mirror transaction between the FXPB and its client (</w:t>
      </w:r>
      <w:r w:rsidR="001017C0">
        <w:rPr>
          <w:rFonts w:asciiTheme="minorHAnsi" w:hAnsiTheme="minorHAnsi" w:cstheme="minorHAnsi"/>
          <w:color w:val="000000" w:themeColor="text1"/>
          <w:sz w:val="22"/>
          <w:szCs w:val="22"/>
        </w:rPr>
        <w:t xml:space="preserve">i.e. the identical but offsetting transactions between the FXPB and its client post </w:t>
      </w:r>
      <w:r w:rsidRPr="007F6798">
        <w:rPr>
          <w:rFonts w:asciiTheme="minorHAnsi" w:hAnsiTheme="minorHAnsi" w:cstheme="minorHAnsi"/>
          <w:color w:val="000000" w:themeColor="text1"/>
          <w:sz w:val="22"/>
          <w:szCs w:val="22"/>
        </w:rPr>
        <w:t>acceptance of the give-up trade) should not be ca</w:t>
      </w:r>
      <w:r w:rsidRPr="007F6798">
        <w:rPr>
          <w:rFonts w:asciiTheme="minorHAnsi" w:hAnsiTheme="minorHAnsi" w:cstheme="minorHAnsi"/>
          <w:color w:val="000000" w:themeColor="text1"/>
          <w:sz w:val="22"/>
          <w:szCs w:val="22"/>
        </w:rPr>
        <w:t>p</w:t>
      </w:r>
      <w:r w:rsidRPr="007F6798">
        <w:rPr>
          <w:rFonts w:asciiTheme="minorHAnsi" w:hAnsiTheme="minorHAnsi" w:cstheme="minorHAnsi"/>
          <w:color w:val="000000" w:themeColor="text1"/>
          <w:sz w:val="22"/>
          <w:szCs w:val="22"/>
        </w:rPr>
        <w:t>tured by the pre-trade-transparency regime. The mirror trade is executed at the same price as the give-up trade but only upon acceptance of the give-up trade by the FXPB (this creates a natural delay b</w:t>
      </w:r>
      <w:r w:rsidRPr="007F6798">
        <w:rPr>
          <w:rFonts w:asciiTheme="minorHAnsi" w:hAnsiTheme="minorHAnsi" w:cstheme="minorHAnsi"/>
          <w:color w:val="000000" w:themeColor="text1"/>
          <w:sz w:val="22"/>
          <w:szCs w:val="22"/>
        </w:rPr>
        <w:t>e</w:t>
      </w:r>
      <w:r w:rsidRPr="007F6798">
        <w:rPr>
          <w:rFonts w:asciiTheme="minorHAnsi" w:hAnsiTheme="minorHAnsi" w:cstheme="minorHAnsi"/>
          <w:color w:val="000000" w:themeColor="text1"/>
          <w:sz w:val="22"/>
          <w:szCs w:val="22"/>
        </w:rPr>
        <w:t xml:space="preserve">tween price formation and the prime broker being </w:t>
      </w:r>
      <w:r w:rsidR="00EA34C5">
        <w:rPr>
          <w:rFonts w:asciiTheme="minorHAnsi" w:hAnsiTheme="minorHAnsi" w:cstheme="minorHAnsi"/>
          <w:color w:val="000000" w:themeColor="text1"/>
          <w:sz w:val="22"/>
          <w:szCs w:val="22"/>
        </w:rPr>
        <w:t>‘</w:t>
      </w:r>
      <w:r w:rsidRPr="007F6798">
        <w:rPr>
          <w:rFonts w:asciiTheme="minorHAnsi" w:hAnsiTheme="minorHAnsi" w:cstheme="minorHAnsi"/>
          <w:color w:val="000000" w:themeColor="text1"/>
          <w:sz w:val="22"/>
          <w:szCs w:val="22"/>
        </w:rPr>
        <w:t>in</w:t>
      </w:r>
      <w:r w:rsidR="00EA34C5">
        <w:rPr>
          <w:rFonts w:asciiTheme="minorHAnsi" w:hAnsiTheme="minorHAnsi" w:cstheme="minorHAnsi"/>
          <w:color w:val="000000" w:themeColor="text1"/>
          <w:sz w:val="22"/>
          <w:szCs w:val="22"/>
        </w:rPr>
        <w:t>’</w:t>
      </w:r>
      <w:r w:rsidRPr="007F6798">
        <w:rPr>
          <w:rFonts w:asciiTheme="minorHAnsi" w:hAnsiTheme="minorHAnsi" w:cstheme="minorHAnsi"/>
          <w:color w:val="000000" w:themeColor="text1"/>
          <w:sz w:val="22"/>
          <w:szCs w:val="22"/>
        </w:rPr>
        <w:t xml:space="preserve"> the trade). Reporting could then result in the reporting of a stale price, thereby reporting erroneous information to the market. Furthermore, no SI will be involved in the mirror trade</w:t>
      </w:r>
      <w:r w:rsidRPr="007F6798" w:rsidDel="00FA7E5D">
        <w:rPr>
          <w:rFonts w:asciiTheme="minorHAnsi" w:hAnsiTheme="minorHAnsi" w:cstheme="minorHAnsi"/>
          <w:color w:val="000000" w:themeColor="text1"/>
          <w:sz w:val="22"/>
          <w:szCs w:val="22"/>
        </w:rPr>
        <w:t xml:space="preserve"> </w:t>
      </w:r>
      <w:r w:rsidRPr="007F6798">
        <w:rPr>
          <w:rFonts w:asciiTheme="minorHAnsi" w:hAnsiTheme="minorHAnsi" w:cstheme="minorHAnsi"/>
          <w:color w:val="000000" w:themeColor="text1"/>
          <w:sz w:val="22"/>
          <w:szCs w:val="22"/>
        </w:rPr>
        <w:t xml:space="preserve">(note the above analysis concluding that the FXPB is not an SI). Therefore, the mirror trade should be exempted from the pre-trade transparency requirement. </w:t>
      </w:r>
    </w:p>
    <w:p w:rsidR="00E66E28" w:rsidRPr="007F6798" w:rsidRDefault="00E66E28" w:rsidP="00E66E28">
      <w:pPr>
        <w:pStyle w:val="ListParagraph"/>
        <w:tabs>
          <w:tab w:val="left" w:pos="0"/>
        </w:tabs>
        <w:ind w:left="0"/>
        <w:jc w:val="both"/>
        <w:rPr>
          <w:rFonts w:asciiTheme="minorHAnsi" w:hAnsiTheme="minorHAnsi" w:cstheme="minorHAnsi"/>
          <w:color w:val="000000" w:themeColor="text1"/>
          <w:sz w:val="22"/>
          <w:szCs w:val="22"/>
        </w:rPr>
      </w:pPr>
    </w:p>
    <w:p w:rsidR="00E66E2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A strict reading of the current MiFID II/MiFIR provisions would conclude that the trades are out-of-scope because no SI is involved in the price formation. The relevant provisions under RTS 9 provide:</w:t>
      </w:r>
    </w:p>
    <w:p w:rsidR="00A04633" w:rsidRPr="007F6798" w:rsidRDefault="00A04633" w:rsidP="00E66E28">
      <w:pPr>
        <w:jc w:val="both"/>
        <w:rPr>
          <w:rFonts w:asciiTheme="minorHAnsi" w:hAnsiTheme="minorHAnsi" w:cstheme="minorHAnsi"/>
          <w:color w:val="000000" w:themeColor="text1"/>
          <w:sz w:val="22"/>
          <w:szCs w:val="22"/>
        </w:rPr>
      </w:pPr>
    </w:p>
    <w:p w:rsidR="00E66E28" w:rsidRPr="00A04633" w:rsidRDefault="00E66E28" w:rsidP="00E66E28">
      <w:pPr>
        <w:pStyle w:val="Default"/>
        <w:spacing w:after="305"/>
        <w:ind w:left="284" w:right="379"/>
        <w:rPr>
          <w:rFonts w:asciiTheme="minorHAnsi" w:hAnsiTheme="minorHAnsi"/>
          <w:i/>
          <w:sz w:val="22"/>
          <w:szCs w:val="22"/>
          <w:lang w:val="en-GB"/>
        </w:rPr>
      </w:pPr>
      <w:r w:rsidRPr="00A04633">
        <w:rPr>
          <w:rFonts w:asciiTheme="minorHAnsi" w:hAnsiTheme="minorHAnsi"/>
          <w:i/>
          <w:sz w:val="22"/>
          <w:szCs w:val="22"/>
          <w:lang w:val="en-GB"/>
        </w:rPr>
        <w:lastRenderedPageBreak/>
        <w:t xml:space="preserve">“6. Where a transaction between two investment firms is concluded outside the rules of a trading venue, either on own account or on behalf of clients, the investment firm that sells the financial instrument concerned shall be responsible for making the transaction public through an Approved Publication Arrangement (APA). </w:t>
      </w:r>
    </w:p>
    <w:p w:rsidR="00E66E28" w:rsidRPr="00A04633" w:rsidRDefault="00E66E28" w:rsidP="00E66E28">
      <w:pPr>
        <w:pStyle w:val="Default"/>
        <w:ind w:left="284" w:right="379"/>
        <w:rPr>
          <w:rFonts w:asciiTheme="minorHAnsi" w:hAnsiTheme="minorHAnsi"/>
          <w:i/>
          <w:sz w:val="22"/>
          <w:szCs w:val="22"/>
          <w:lang w:val="en-GB"/>
        </w:rPr>
      </w:pPr>
      <w:r w:rsidRPr="00A04633">
        <w:rPr>
          <w:rFonts w:asciiTheme="minorHAnsi" w:hAnsiTheme="minorHAnsi"/>
          <w:i/>
          <w:sz w:val="22"/>
          <w:szCs w:val="22"/>
          <w:lang w:val="en-GB"/>
        </w:rPr>
        <w:t>7. By way of derogation to the previous paragraph, if only one of the investment firms party to the transaction is a systematic internaliser in the given instrument, that firm shall report the transa</w:t>
      </w:r>
      <w:r w:rsidRPr="00A04633">
        <w:rPr>
          <w:rFonts w:asciiTheme="minorHAnsi" w:hAnsiTheme="minorHAnsi"/>
          <w:i/>
          <w:sz w:val="22"/>
          <w:szCs w:val="22"/>
          <w:lang w:val="en-GB"/>
        </w:rPr>
        <w:t>c</w:t>
      </w:r>
      <w:r w:rsidRPr="00A04633">
        <w:rPr>
          <w:rFonts w:asciiTheme="minorHAnsi" w:hAnsiTheme="minorHAnsi"/>
          <w:i/>
          <w:sz w:val="22"/>
          <w:szCs w:val="22"/>
          <w:lang w:val="en-GB"/>
        </w:rPr>
        <w:t>tion, informing th</w:t>
      </w:r>
      <w:r w:rsidR="00D13AF7">
        <w:rPr>
          <w:rFonts w:asciiTheme="minorHAnsi" w:hAnsiTheme="minorHAnsi"/>
          <w:i/>
          <w:sz w:val="22"/>
          <w:szCs w:val="22"/>
          <w:lang w:val="en-GB"/>
        </w:rPr>
        <w:t xml:space="preserve">e seller of the action taken.” </w:t>
      </w:r>
    </w:p>
    <w:p w:rsidR="00E66E28" w:rsidRPr="007F6798" w:rsidRDefault="00E66E28" w:rsidP="00E66E28">
      <w:pPr>
        <w:pStyle w:val="Default"/>
        <w:rPr>
          <w:rFonts w:asciiTheme="minorHAnsi" w:hAnsiTheme="minorHAnsi" w:cstheme="minorHAnsi"/>
          <w:b/>
          <w:color w:val="000000" w:themeColor="text1"/>
          <w:sz w:val="22"/>
          <w:szCs w:val="22"/>
          <w:u w:val="single"/>
        </w:rPr>
      </w:pPr>
    </w:p>
    <w:p w:rsidR="00E66E28" w:rsidRDefault="00E66E28" w:rsidP="00E66E28">
      <w:pPr>
        <w:jc w:val="both"/>
        <w:rPr>
          <w:rFonts w:asciiTheme="minorHAnsi" w:hAnsiTheme="minorHAnsi" w:cstheme="minorHAnsi"/>
          <w:i/>
          <w:color w:val="000000" w:themeColor="text1"/>
          <w:sz w:val="22"/>
          <w:szCs w:val="22"/>
          <w:u w:val="single"/>
        </w:rPr>
      </w:pPr>
      <w:r w:rsidRPr="007F6798">
        <w:rPr>
          <w:rFonts w:asciiTheme="minorHAnsi" w:hAnsiTheme="minorHAnsi" w:cstheme="minorHAnsi"/>
          <w:i/>
          <w:color w:val="000000" w:themeColor="text1"/>
          <w:sz w:val="22"/>
          <w:szCs w:val="22"/>
          <w:u w:val="single"/>
        </w:rPr>
        <w:t>2. Post-trade transparency</w:t>
      </w:r>
    </w:p>
    <w:p w:rsidR="00054728" w:rsidRPr="007F6798" w:rsidRDefault="00054728" w:rsidP="00E66E28">
      <w:pPr>
        <w:jc w:val="both"/>
        <w:rPr>
          <w:rFonts w:asciiTheme="minorHAnsi" w:hAnsiTheme="minorHAnsi" w:cstheme="minorHAnsi"/>
          <w:i/>
          <w:color w:val="000000" w:themeColor="text1"/>
          <w:sz w:val="22"/>
          <w:szCs w:val="22"/>
          <w:u w:val="single"/>
        </w:rPr>
      </w:pPr>
    </w:p>
    <w:p w:rsidR="00E66E2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 xml:space="preserve">Because the FXPB is not present at the time of the price formation of the give-up transaction and the existence of such trade is only even known by the FXPB once given-up by its client (usually by the end of the same business day and following </w:t>
      </w:r>
      <w:r w:rsidR="001017C0">
        <w:rPr>
          <w:rFonts w:asciiTheme="minorHAnsi" w:hAnsiTheme="minorHAnsi" w:cstheme="minorHAnsi"/>
          <w:color w:val="000000" w:themeColor="text1"/>
          <w:sz w:val="22"/>
          <w:szCs w:val="22"/>
        </w:rPr>
        <w:t xml:space="preserve">matching </w:t>
      </w:r>
      <w:r w:rsidRPr="007F6798">
        <w:rPr>
          <w:rFonts w:asciiTheme="minorHAnsi" w:hAnsiTheme="minorHAnsi" w:cstheme="minorHAnsi"/>
          <w:color w:val="000000" w:themeColor="text1"/>
          <w:sz w:val="22"/>
          <w:szCs w:val="22"/>
        </w:rPr>
        <w:t xml:space="preserve">notices from both the client and the </w:t>
      </w:r>
      <w:r w:rsidR="001017C0">
        <w:rPr>
          <w:rFonts w:asciiTheme="minorHAnsi" w:hAnsiTheme="minorHAnsi" w:cstheme="minorHAnsi"/>
          <w:color w:val="000000" w:themeColor="text1"/>
          <w:sz w:val="22"/>
          <w:szCs w:val="22"/>
        </w:rPr>
        <w:t>Price Maker</w:t>
      </w:r>
      <w:r w:rsidRPr="007F6798">
        <w:rPr>
          <w:rFonts w:asciiTheme="minorHAnsi" w:hAnsiTheme="minorHAnsi" w:cstheme="minorHAnsi"/>
          <w:color w:val="000000" w:themeColor="text1"/>
          <w:sz w:val="22"/>
          <w:szCs w:val="22"/>
        </w:rPr>
        <w:t xml:space="preserve">), the </w:t>
      </w:r>
      <w:r w:rsidRPr="007F6798">
        <w:rPr>
          <w:rFonts w:asciiTheme="minorHAnsi" w:hAnsiTheme="minorHAnsi" w:cstheme="minorHAnsi"/>
          <w:b/>
          <w:color w:val="000000" w:themeColor="text1"/>
          <w:sz w:val="22"/>
          <w:szCs w:val="22"/>
        </w:rPr>
        <w:t>FXPB is unable to report the give-up trade in real-time</w:t>
      </w:r>
      <w:r w:rsidRPr="007F6798">
        <w:rPr>
          <w:rFonts w:asciiTheme="minorHAnsi" w:hAnsiTheme="minorHAnsi" w:cstheme="minorHAnsi"/>
          <w:color w:val="000000" w:themeColor="text1"/>
          <w:sz w:val="22"/>
          <w:szCs w:val="22"/>
        </w:rPr>
        <w:t xml:space="preserve">. If an obligation to report was imposed, </w:t>
      </w:r>
      <w:r w:rsidR="001017C0">
        <w:rPr>
          <w:rFonts w:asciiTheme="minorHAnsi" w:hAnsiTheme="minorHAnsi" w:cstheme="minorHAnsi"/>
          <w:color w:val="000000" w:themeColor="text1"/>
          <w:sz w:val="22"/>
          <w:szCs w:val="22"/>
        </w:rPr>
        <w:t xml:space="preserve">the </w:t>
      </w:r>
      <w:r w:rsidRPr="007F6798">
        <w:rPr>
          <w:rFonts w:asciiTheme="minorHAnsi" w:hAnsiTheme="minorHAnsi" w:cstheme="minorHAnsi"/>
          <w:color w:val="000000" w:themeColor="text1"/>
          <w:sz w:val="22"/>
          <w:szCs w:val="22"/>
        </w:rPr>
        <w:t xml:space="preserve">FXPB would report stale data. Post-trade transparency requirements applied to FXPBs would be counter-productive because they would disseminate out-of-date information. The same analysis applies to the mirror trade whose price is formed at the same time the give-up trade is agreed between the FXPB client and the </w:t>
      </w:r>
      <w:r w:rsidR="001017C0">
        <w:rPr>
          <w:rFonts w:asciiTheme="minorHAnsi" w:hAnsiTheme="minorHAnsi" w:cstheme="minorHAnsi"/>
          <w:color w:val="000000" w:themeColor="text1"/>
          <w:sz w:val="22"/>
          <w:szCs w:val="22"/>
        </w:rPr>
        <w:t>P</w:t>
      </w:r>
      <w:r w:rsidRPr="007F6798">
        <w:rPr>
          <w:rFonts w:asciiTheme="minorHAnsi" w:hAnsiTheme="minorHAnsi" w:cstheme="minorHAnsi"/>
          <w:color w:val="000000" w:themeColor="text1"/>
          <w:sz w:val="22"/>
          <w:szCs w:val="22"/>
        </w:rPr>
        <w:t xml:space="preserve">rice </w:t>
      </w:r>
      <w:r w:rsidR="001017C0">
        <w:rPr>
          <w:rFonts w:asciiTheme="minorHAnsi" w:hAnsiTheme="minorHAnsi" w:cstheme="minorHAnsi"/>
          <w:color w:val="000000" w:themeColor="text1"/>
          <w:sz w:val="22"/>
          <w:szCs w:val="22"/>
        </w:rPr>
        <w:t>M</w:t>
      </w:r>
      <w:r w:rsidRPr="007F6798">
        <w:rPr>
          <w:rFonts w:asciiTheme="minorHAnsi" w:hAnsiTheme="minorHAnsi" w:cstheme="minorHAnsi"/>
          <w:color w:val="000000" w:themeColor="text1"/>
          <w:sz w:val="22"/>
          <w:szCs w:val="22"/>
        </w:rPr>
        <w:t>aker.</w:t>
      </w:r>
    </w:p>
    <w:p w:rsidR="00054728" w:rsidRPr="007F6798" w:rsidRDefault="00054728" w:rsidP="00E66E28">
      <w:pPr>
        <w:jc w:val="both"/>
        <w:rPr>
          <w:rFonts w:asciiTheme="minorHAnsi" w:hAnsiTheme="minorHAnsi" w:cstheme="minorHAnsi"/>
          <w:color w:val="000000" w:themeColor="text1"/>
          <w:sz w:val="22"/>
          <w:szCs w:val="22"/>
        </w:rPr>
      </w:pPr>
    </w:p>
    <w:p w:rsidR="00E66E28" w:rsidRPr="007F6798" w:rsidRDefault="001017C0" w:rsidP="00E66E28">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w:t>
      </w:r>
      <w:r w:rsidR="00E66E28" w:rsidRPr="007F6798">
        <w:rPr>
          <w:rFonts w:asciiTheme="minorHAnsi" w:hAnsiTheme="minorHAnsi" w:cstheme="minorHAnsi"/>
          <w:color w:val="000000" w:themeColor="text1"/>
          <w:sz w:val="22"/>
          <w:szCs w:val="22"/>
        </w:rPr>
        <w:t>FX</w:t>
      </w:r>
      <w:r>
        <w:rPr>
          <w:rFonts w:asciiTheme="minorHAnsi" w:hAnsiTheme="minorHAnsi" w:cstheme="minorHAnsi"/>
          <w:color w:val="000000" w:themeColor="text1"/>
          <w:sz w:val="22"/>
          <w:szCs w:val="22"/>
        </w:rPr>
        <w:t>PB’s</w:t>
      </w:r>
      <w:r w:rsidR="00E66E28" w:rsidRPr="007F6798">
        <w:rPr>
          <w:rFonts w:asciiTheme="minorHAnsi" w:hAnsiTheme="minorHAnsi" w:cstheme="minorHAnsi"/>
          <w:color w:val="000000" w:themeColor="text1"/>
          <w:sz w:val="22"/>
          <w:szCs w:val="22"/>
        </w:rPr>
        <w:t xml:space="preserve"> reporting of stale pricing data to the public was a key consideration in the CFTC’s decision to issue the no action relief letter #12-53 dated December 17, 2012 (</w:t>
      </w:r>
      <w:hyperlink r:id="rId14" w:history="1">
        <w:r w:rsidR="00E66E28" w:rsidRPr="007F6798">
          <w:rPr>
            <w:rStyle w:val="Hyperlink"/>
            <w:rFonts w:asciiTheme="minorHAnsi" w:hAnsiTheme="minorHAnsi" w:cstheme="minorHAnsi"/>
            <w:sz w:val="22"/>
            <w:szCs w:val="22"/>
          </w:rPr>
          <w:t>http://www.cftc.gov/ucm/groups/public/@lrlettergeneral/documents/letter/12-53.pdf</w:t>
        </w:r>
      </w:hyperlink>
      <w:r w:rsidR="00E66E28" w:rsidRPr="007F6798">
        <w:rPr>
          <w:rFonts w:asciiTheme="minorHAnsi" w:hAnsiTheme="minorHAnsi" w:cstheme="minorHAnsi"/>
          <w:color w:val="000000" w:themeColor="text1"/>
          <w:sz w:val="22"/>
          <w:szCs w:val="22"/>
        </w:rPr>
        <w:t xml:space="preserve">) under which </w:t>
      </w:r>
      <w:r w:rsidRPr="007F6798">
        <w:rPr>
          <w:rFonts w:asciiTheme="minorHAnsi" w:hAnsiTheme="minorHAnsi" w:cstheme="minorHAnsi"/>
          <w:color w:val="000000" w:themeColor="text1"/>
          <w:sz w:val="22"/>
          <w:szCs w:val="22"/>
        </w:rPr>
        <w:t>FX</w:t>
      </w:r>
      <w:r>
        <w:rPr>
          <w:rFonts w:asciiTheme="minorHAnsi" w:hAnsiTheme="minorHAnsi" w:cstheme="minorHAnsi"/>
          <w:color w:val="000000" w:themeColor="text1"/>
          <w:sz w:val="22"/>
          <w:szCs w:val="22"/>
        </w:rPr>
        <w:t>PBs</w:t>
      </w:r>
      <w:r w:rsidR="00E66E28" w:rsidRPr="007F6798">
        <w:rPr>
          <w:rFonts w:asciiTheme="minorHAnsi" w:hAnsiTheme="minorHAnsi" w:cstheme="minorHAnsi"/>
          <w:color w:val="000000" w:themeColor="text1"/>
          <w:sz w:val="22"/>
          <w:szCs w:val="22"/>
        </w:rPr>
        <w:t xml:space="preserve"> have no real time public reporting obligation as long as that responsibility is allocated to </w:t>
      </w:r>
      <w:r>
        <w:rPr>
          <w:rFonts w:asciiTheme="minorHAnsi" w:hAnsiTheme="minorHAnsi" w:cstheme="minorHAnsi"/>
          <w:color w:val="000000" w:themeColor="text1"/>
          <w:sz w:val="22"/>
          <w:szCs w:val="22"/>
        </w:rPr>
        <w:t>a Price Maker</w:t>
      </w:r>
      <w:r w:rsidR="00E66E28" w:rsidRPr="007F6798">
        <w:rPr>
          <w:rFonts w:asciiTheme="minorHAnsi" w:hAnsiTheme="minorHAnsi" w:cstheme="minorHAnsi"/>
          <w:color w:val="000000" w:themeColor="text1"/>
          <w:sz w:val="22"/>
          <w:szCs w:val="22"/>
        </w:rPr>
        <w:t xml:space="preserve"> that is a registered swap dealer.</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MiFID II/MiFIR should avoid the intricate and time-consuming process engaged by the industry in the US to obtain the CFTC relief. It can be avoided if the FXPB is exempted from post-trade transparency oblig</w:t>
      </w:r>
      <w:r w:rsidRPr="007F6798">
        <w:rPr>
          <w:rFonts w:asciiTheme="minorHAnsi" w:hAnsiTheme="minorHAnsi" w:cstheme="minorHAnsi"/>
          <w:color w:val="000000" w:themeColor="text1"/>
          <w:sz w:val="22"/>
          <w:szCs w:val="22"/>
        </w:rPr>
        <w:t>a</w:t>
      </w:r>
      <w:r w:rsidRPr="007F6798">
        <w:rPr>
          <w:rFonts w:asciiTheme="minorHAnsi" w:hAnsiTheme="minorHAnsi" w:cstheme="minorHAnsi"/>
          <w:color w:val="000000" w:themeColor="text1"/>
          <w:sz w:val="22"/>
          <w:szCs w:val="22"/>
        </w:rPr>
        <w:t>tions.</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In this respect, RTS 9 does provide exemptions to OTC post-trade transparency obligations where there are “give-up” and “give-in” transactions. These terms are not defined for derivatives in the 19 December 2014 Consultation Paper but we understand it will follow the definitions provided for equity-like instr</w:t>
      </w:r>
      <w:r w:rsidRPr="007F6798">
        <w:rPr>
          <w:rFonts w:asciiTheme="minorHAnsi" w:hAnsiTheme="minorHAnsi" w:cstheme="minorHAnsi"/>
          <w:color w:val="000000" w:themeColor="text1"/>
          <w:sz w:val="22"/>
          <w:szCs w:val="22"/>
        </w:rPr>
        <w:t>u</w:t>
      </w:r>
      <w:r w:rsidRPr="007F6798">
        <w:rPr>
          <w:rFonts w:asciiTheme="minorHAnsi" w:hAnsiTheme="minorHAnsi" w:cstheme="minorHAnsi"/>
          <w:color w:val="000000" w:themeColor="text1"/>
          <w:sz w:val="22"/>
          <w:szCs w:val="22"/>
        </w:rPr>
        <w:t>ments under RTS 8, which provides:</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E66E28" w:rsidP="00E66E28">
      <w:pPr>
        <w:pStyle w:val="Default"/>
        <w:ind w:left="284" w:right="379"/>
        <w:rPr>
          <w:rFonts w:asciiTheme="minorHAnsi" w:hAnsiTheme="minorHAnsi" w:cstheme="minorHAnsi"/>
          <w:sz w:val="22"/>
          <w:szCs w:val="22"/>
        </w:rPr>
      </w:pPr>
      <w:r w:rsidRPr="007F6798">
        <w:rPr>
          <w:rFonts w:asciiTheme="minorHAnsi" w:hAnsiTheme="minorHAnsi" w:cstheme="minorHAnsi"/>
          <w:sz w:val="22"/>
          <w:szCs w:val="22"/>
        </w:rPr>
        <w:t>“</w:t>
      </w:r>
      <w:proofErr w:type="gramStart"/>
      <w:r w:rsidRPr="007F6798">
        <w:rPr>
          <w:rFonts w:asciiTheme="minorHAnsi" w:hAnsiTheme="minorHAnsi" w:cstheme="minorHAnsi"/>
          <w:i/>
          <w:sz w:val="22"/>
          <w:szCs w:val="22"/>
        </w:rPr>
        <w:t>a</w:t>
      </w:r>
      <w:proofErr w:type="gramEnd"/>
      <w:r w:rsidRPr="007F6798">
        <w:rPr>
          <w:rFonts w:asciiTheme="minorHAnsi" w:hAnsiTheme="minorHAnsi" w:cstheme="minorHAnsi"/>
          <w:i/>
          <w:sz w:val="22"/>
          <w:szCs w:val="22"/>
        </w:rPr>
        <w:t xml:space="preserve"> transaction </w:t>
      </w:r>
      <w:proofErr w:type="spellStart"/>
      <w:r w:rsidRPr="007F6798">
        <w:rPr>
          <w:rFonts w:asciiTheme="minorHAnsi" w:hAnsiTheme="minorHAnsi" w:cstheme="minorHAnsi"/>
          <w:i/>
          <w:sz w:val="22"/>
          <w:szCs w:val="22"/>
        </w:rPr>
        <w:t>where</w:t>
      </w:r>
      <w:proofErr w:type="spellEnd"/>
      <w:r w:rsidRPr="007F6798">
        <w:rPr>
          <w:rFonts w:asciiTheme="minorHAnsi" w:hAnsiTheme="minorHAnsi" w:cstheme="minorHAnsi"/>
          <w:i/>
          <w:sz w:val="22"/>
          <w:szCs w:val="22"/>
        </w:rPr>
        <w:t xml:space="preserve"> an </w:t>
      </w:r>
      <w:proofErr w:type="spellStart"/>
      <w:r w:rsidRPr="007F6798">
        <w:rPr>
          <w:rFonts w:asciiTheme="minorHAnsi" w:hAnsiTheme="minorHAnsi" w:cstheme="minorHAnsi"/>
          <w:i/>
          <w:sz w:val="22"/>
          <w:szCs w:val="22"/>
        </w:rPr>
        <w:t>investment</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firm</w:t>
      </w:r>
      <w:proofErr w:type="spellEnd"/>
      <w:r w:rsidRPr="007F6798">
        <w:rPr>
          <w:rFonts w:asciiTheme="minorHAnsi" w:hAnsiTheme="minorHAnsi" w:cstheme="minorHAnsi"/>
          <w:i/>
          <w:sz w:val="22"/>
          <w:szCs w:val="22"/>
        </w:rPr>
        <w:t xml:space="preserve"> passes a client </w:t>
      </w:r>
      <w:proofErr w:type="spellStart"/>
      <w:r w:rsidRPr="007F6798">
        <w:rPr>
          <w:rFonts w:asciiTheme="minorHAnsi" w:hAnsiTheme="minorHAnsi" w:cstheme="minorHAnsi"/>
          <w:i/>
          <w:sz w:val="22"/>
          <w:szCs w:val="22"/>
        </w:rPr>
        <w:t>trade</w:t>
      </w:r>
      <w:proofErr w:type="spellEnd"/>
      <w:r w:rsidRPr="007F6798">
        <w:rPr>
          <w:rFonts w:asciiTheme="minorHAnsi" w:hAnsiTheme="minorHAnsi" w:cstheme="minorHAnsi"/>
          <w:i/>
          <w:sz w:val="22"/>
          <w:szCs w:val="22"/>
        </w:rPr>
        <w:t xml:space="preserve"> to, or </w:t>
      </w:r>
      <w:proofErr w:type="spellStart"/>
      <w:r w:rsidRPr="007F6798">
        <w:rPr>
          <w:rFonts w:asciiTheme="minorHAnsi" w:hAnsiTheme="minorHAnsi" w:cstheme="minorHAnsi"/>
          <w:i/>
          <w:sz w:val="22"/>
          <w:szCs w:val="22"/>
        </w:rPr>
        <w:t>receives</w:t>
      </w:r>
      <w:proofErr w:type="spellEnd"/>
      <w:r w:rsidRPr="007F6798">
        <w:rPr>
          <w:rFonts w:asciiTheme="minorHAnsi" w:hAnsiTheme="minorHAnsi" w:cstheme="minorHAnsi"/>
          <w:i/>
          <w:sz w:val="22"/>
          <w:szCs w:val="22"/>
        </w:rPr>
        <w:t xml:space="preserve"> a client </w:t>
      </w:r>
      <w:proofErr w:type="spellStart"/>
      <w:r w:rsidRPr="007F6798">
        <w:rPr>
          <w:rFonts w:asciiTheme="minorHAnsi" w:hAnsiTheme="minorHAnsi" w:cstheme="minorHAnsi"/>
          <w:i/>
          <w:sz w:val="22"/>
          <w:szCs w:val="22"/>
        </w:rPr>
        <w:t>trade</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from</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another</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investment</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firm</w:t>
      </w:r>
      <w:proofErr w:type="spellEnd"/>
      <w:r w:rsidRPr="007F6798">
        <w:rPr>
          <w:rFonts w:asciiTheme="minorHAnsi" w:hAnsiTheme="minorHAnsi" w:cstheme="minorHAnsi"/>
          <w:i/>
          <w:sz w:val="22"/>
          <w:szCs w:val="22"/>
        </w:rPr>
        <w:t xml:space="preserve"> for the </w:t>
      </w:r>
      <w:proofErr w:type="spellStart"/>
      <w:r w:rsidRPr="007F6798">
        <w:rPr>
          <w:rFonts w:asciiTheme="minorHAnsi" w:hAnsiTheme="minorHAnsi" w:cstheme="minorHAnsi"/>
          <w:i/>
          <w:sz w:val="22"/>
          <w:szCs w:val="22"/>
        </w:rPr>
        <w:t>purpose</w:t>
      </w:r>
      <w:proofErr w:type="spellEnd"/>
      <w:r w:rsidRPr="007F6798">
        <w:rPr>
          <w:rFonts w:asciiTheme="minorHAnsi" w:hAnsiTheme="minorHAnsi" w:cstheme="minorHAnsi"/>
          <w:i/>
          <w:sz w:val="22"/>
          <w:szCs w:val="22"/>
        </w:rPr>
        <w:t xml:space="preserve"> of post-</w:t>
      </w:r>
      <w:proofErr w:type="spellStart"/>
      <w:r w:rsidRPr="007F6798">
        <w:rPr>
          <w:rFonts w:asciiTheme="minorHAnsi" w:hAnsiTheme="minorHAnsi" w:cstheme="minorHAnsi"/>
          <w:i/>
          <w:sz w:val="22"/>
          <w:szCs w:val="22"/>
        </w:rPr>
        <w:t>trade</w:t>
      </w:r>
      <w:proofErr w:type="spellEnd"/>
      <w:r w:rsidRPr="007F6798">
        <w:rPr>
          <w:rFonts w:asciiTheme="minorHAnsi" w:hAnsiTheme="minorHAnsi" w:cstheme="minorHAnsi"/>
          <w:i/>
          <w:sz w:val="22"/>
          <w:szCs w:val="22"/>
        </w:rPr>
        <w:t xml:space="preserve"> </w:t>
      </w:r>
      <w:proofErr w:type="spellStart"/>
      <w:r w:rsidRPr="007F6798">
        <w:rPr>
          <w:rFonts w:asciiTheme="minorHAnsi" w:hAnsiTheme="minorHAnsi" w:cstheme="minorHAnsi"/>
          <w:i/>
          <w:sz w:val="22"/>
          <w:szCs w:val="22"/>
        </w:rPr>
        <w:t>processing</w:t>
      </w:r>
      <w:proofErr w:type="spellEnd"/>
      <w:r w:rsidRPr="007F6798">
        <w:rPr>
          <w:rFonts w:asciiTheme="minorHAnsi" w:hAnsiTheme="minorHAnsi" w:cstheme="minorHAnsi"/>
          <w:sz w:val="22"/>
          <w:szCs w:val="22"/>
        </w:rPr>
        <w:t>“</w:t>
      </w:r>
    </w:p>
    <w:p w:rsidR="00E66E28" w:rsidRPr="007F6798" w:rsidRDefault="00E66E28" w:rsidP="00E66E28">
      <w:pPr>
        <w:pStyle w:val="Default"/>
        <w:rPr>
          <w:rFonts w:asciiTheme="minorHAnsi" w:hAnsiTheme="minorHAnsi" w:cstheme="minorHAnsi"/>
          <w:sz w:val="22"/>
          <w:szCs w:val="22"/>
        </w:rPr>
      </w:pPr>
    </w:p>
    <w:p w:rsidR="00E66E28" w:rsidRPr="007F679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The FX</w:t>
      </w:r>
      <w:r w:rsidR="001017C0">
        <w:rPr>
          <w:rFonts w:asciiTheme="minorHAnsi" w:hAnsiTheme="minorHAnsi" w:cstheme="minorHAnsi"/>
          <w:color w:val="000000" w:themeColor="text1"/>
          <w:sz w:val="22"/>
          <w:szCs w:val="22"/>
        </w:rPr>
        <w:t xml:space="preserve"> </w:t>
      </w:r>
      <w:r w:rsidRPr="007F6798">
        <w:rPr>
          <w:rFonts w:asciiTheme="minorHAnsi" w:hAnsiTheme="minorHAnsi" w:cstheme="minorHAnsi"/>
          <w:color w:val="000000" w:themeColor="text1"/>
          <w:sz w:val="22"/>
          <w:szCs w:val="22"/>
        </w:rPr>
        <w:t>P</w:t>
      </w:r>
      <w:r w:rsidR="001017C0">
        <w:rPr>
          <w:rFonts w:asciiTheme="minorHAnsi" w:hAnsiTheme="minorHAnsi" w:cstheme="minorHAnsi"/>
          <w:color w:val="000000" w:themeColor="text1"/>
          <w:sz w:val="22"/>
          <w:szCs w:val="22"/>
        </w:rPr>
        <w:t xml:space="preserve">rime </w:t>
      </w:r>
      <w:r w:rsidRPr="007F6798">
        <w:rPr>
          <w:rFonts w:asciiTheme="minorHAnsi" w:hAnsiTheme="minorHAnsi" w:cstheme="minorHAnsi"/>
          <w:color w:val="000000" w:themeColor="text1"/>
          <w:sz w:val="22"/>
          <w:szCs w:val="22"/>
        </w:rPr>
        <w:t>B</w:t>
      </w:r>
      <w:r w:rsidR="001017C0">
        <w:rPr>
          <w:rFonts w:asciiTheme="minorHAnsi" w:hAnsiTheme="minorHAnsi" w:cstheme="minorHAnsi"/>
          <w:color w:val="000000" w:themeColor="text1"/>
          <w:sz w:val="22"/>
          <w:szCs w:val="22"/>
        </w:rPr>
        <w:t>rokerage</w:t>
      </w:r>
      <w:r w:rsidRPr="007F6798">
        <w:rPr>
          <w:rFonts w:asciiTheme="minorHAnsi" w:hAnsiTheme="minorHAnsi" w:cstheme="minorHAnsi"/>
          <w:color w:val="000000" w:themeColor="text1"/>
          <w:sz w:val="22"/>
          <w:szCs w:val="22"/>
        </w:rPr>
        <w:t xml:space="preserve"> industry understands that the above definition captures the give-up and mirror transactions involved in the </w:t>
      </w:r>
      <w:r w:rsidR="001017C0" w:rsidRPr="007F6798">
        <w:rPr>
          <w:rFonts w:asciiTheme="minorHAnsi" w:hAnsiTheme="minorHAnsi" w:cstheme="minorHAnsi"/>
          <w:color w:val="000000" w:themeColor="text1"/>
          <w:sz w:val="22"/>
          <w:szCs w:val="22"/>
        </w:rPr>
        <w:t>FX</w:t>
      </w:r>
      <w:r w:rsidR="001017C0">
        <w:rPr>
          <w:rFonts w:asciiTheme="minorHAnsi" w:hAnsiTheme="minorHAnsi" w:cstheme="minorHAnsi"/>
          <w:color w:val="000000" w:themeColor="text1"/>
          <w:sz w:val="22"/>
          <w:szCs w:val="22"/>
        </w:rPr>
        <w:t xml:space="preserve"> </w:t>
      </w:r>
      <w:r w:rsidR="001017C0" w:rsidRPr="007F6798">
        <w:rPr>
          <w:rFonts w:asciiTheme="minorHAnsi" w:hAnsiTheme="minorHAnsi" w:cstheme="minorHAnsi"/>
          <w:color w:val="000000" w:themeColor="text1"/>
          <w:sz w:val="22"/>
          <w:szCs w:val="22"/>
        </w:rPr>
        <w:t>P</w:t>
      </w:r>
      <w:r w:rsidR="001017C0">
        <w:rPr>
          <w:rFonts w:asciiTheme="minorHAnsi" w:hAnsiTheme="minorHAnsi" w:cstheme="minorHAnsi"/>
          <w:color w:val="000000" w:themeColor="text1"/>
          <w:sz w:val="22"/>
          <w:szCs w:val="22"/>
        </w:rPr>
        <w:t xml:space="preserve">rime </w:t>
      </w:r>
      <w:r w:rsidR="001017C0" w:rsidRPr="007F6798">
        <w:rPr>
          <w:rFonts w:asciiTheme="minorHAnsi" w:hAnsiTheme="minorHAnsi" w:cstheme="minorHAnsi"/>
          <w:color w:val="000000" w:themeColor="text1"/>
          <w:sz w:val="22"/>
          <w:szCs w:val="22"/>
        </w:rPr>
        <w:t>B</w:t>
      </w:r>
      <w:r w:rsidR="001017C0">
        <w:rPr>
          <w:rFonts w:asciiTheme="minorHAnsi" w:hAnsiTheme="minorHAnsi" w:cstheme="minorHAnsi"/>
          <w:color w:val="000000" w:themeColor="text1"/>
          <w:sz w:val="22"/>
          <w:szCs w:val="22"/>
        </w:rPr>
        <w:t>rokerage</w:t>
      </w:r>
      <w:r w:rsidR="001017C0" w:rsidRPr="007F6798">
        <w:rPr>
          <w:rFonts w:asciiTheme="minorHAnsi" w:hAnsiTheme="minorHAnsi" w:cstheme="minorHAnsi"/>
          <w:color w:val="000000" w:themeColor="text1"/>
          <w:sz w:val="22"/>
          <w:szCs w:val="22"/>
        </w:rPr>
        <w:t xml:space="preserve"> </w:t>
      </w:r>
      <w:r w:rsidRPr="007F6798">
        <w:rPr>
          <w:rFonts w:asciiTheme="minorHAnsi" w:hAnsiTheme="minorHAnsi" w:cstheme="minorHAnsi"/>
          <w:color w:val="000000" w:themeColor="text1"/>
          <w:sz w:val="22"/>
          <w:szCs w:val="22"/>
        </w:rPr>
        <w:t xml:space="preserve">structure. As result the </w:t>
      </w:r>
      <w:r w:rsidR="001017C0" w:rsidRPr="007F6798">
        <w:rPr>
          <w:rFonts w:asciiTheme="minorHAnsi" w:hAnsiTheme="minorHAnsi" w:cstheme="minorHAnsi"/>
          <w:color w:val="000000" w:themeColor="text1"/>
          <w:sz w:val="22"/>
          <w:szCs w:val="22"/>
        </w:rPr>
        <w:t>FX</w:t>
      </w:r>
      <w:r w:rsidR="001017C0">
        <w:rPr>
          <w:rFonts w:asciiTheme="minorHAnsi" w:hAnsiTheme="minorHAnsi" w:cstheme="minorHAnsi"/>
          <w:color w:val="000000" w:themeColor="text1"/>
          <w:sz w:val="22"/>
          <w:szCs w:val="22"/>
        </w:rPr>
        <w:t xml:space="preserve"> </w:t>
      </w:r>
      <w:r w:rsidR="001017C0" w:rsidRPr="007F6798">
        <w:rPr>
          <w:rFonts w:asciiTheme="minorHAnsi" w:hAnsiTheme="minorHAnsi" w:cstheme="minorHAnsi"/>
          <w:color w:val="000000" w:themeColor="text1"/>
          <w:sz w:val="22"/>
          <w:szCs w:val="22"/>
        </w:rPr>
        <w:t>P</w:t>
      </w:r>
      <w:r w:rsidR="001017C0">
        <w:rPr>
          <w:rFonts w:asciiTheme="minorHAnsi" w:hAnsiTheme="minorHAnsi" w:cstheme="minorHAnsi"/>
          <w:color w:val="000000" w:themeColor="text1"/>
          <w:sz w:val="22"/>
          <w:szCs w:val="22"/>
        </w:rPr>
        <w:t xml:space="preserve">rime </w:t>
      </w:r>
      <w:r w:rsidR="001017C0" w:rsidRPr="007F6798">
        <w:rPr>
          <w:rFonts w:asciiTheme="minorHAnsi" w:hAnsiTheme="minorHAnsi" w:cstheme="minorHAnsi"/>
          <w:color w:val="000000" w:themeColor="text1"/>
          <w:sz w:val="22"/>
          <w:szCs w:val="22"/>
        </w:rPr>
        <w:t>B</w:t>
      </w:r>
      <w:r w:rsidR="001017C0">
        <w:rPr>
          <w:rFonts w:asciiTheme="minorHAnsi" w:hAnsiTheme="minorHAnsi" w:cstheme="minorHAnsi"/>
          <w:color w:val="000000" w:themeColor="text1"/>
          <w:sz w:val="22"/>
          <w:szCs w:val="22"/>
        </w:rPr>
        <w:t>rokerage</w:t>
      </w:r>
      <w:r w:rsidR="001017C0" w:rsidRPr="007F6798">
        <w:rPr>
          <w:rFonts w:asciiTheme="minorHAnsi" w:hAnsiTheme="minorHAnsi" w:cstheme="minorHAnsi"/>
          <w:color w:val="000000" w:themeColor="text1"/>
          <w:sz w:val="22"/>
          <w:szCs w:val="22"/>
        </w:rPr>
        <w:t xml:space="preserve"> </w:t>
      </w:r>
      <w:r w:rsidRPr="007F6798">
        <w:rPr>
          <w:rFonts w:asciiTheme="minorHAnsi" w:hAnsiTheme="minorHAnsi" w:cstheme="minorHAnsi"/>
          <w:color w:val="000000" w:themeColor="text1"/>
          <w:sz w:val="22"/>
          <w:szCs w:val="22"/>
        </w:rPr>
        <w:t xml:space="preserve">trade will not be subject to post-trade-transparency obligations. </w:t>
      </w:r>
    </w:p>
    <w:p w:rsidR="00E66E28" w:rsidRPr="007F6798" w:rsidRDefault="00E66E28" w:rsidP="00E66E28">
      <w:pPr>
        <w:pStyle w:val="Default"/>
        <w:rPr>
          <w:rFonts w:asciiTheme="minorHAnsi" w:hAnsiTheme="minorHAnsi"/>
          <w:sz w:val="22"/>
          <w:szCs w:val="22"/>
        </w:rPr>
      </w:pPr>
    </w:p>
    <w:p w:rsidR="00E66E28" w:rsidRPr="007F6798" w:rsidRDefault="00E66E28" w:rsidP="00E66E28">
      <w:pPr>
        <w:jc w:val="both"/>
        <w:rPr>
          <w:rFonts w:asciiTheme="minorHAnsi" w:hAnsiTheme="minorHAnsi" w:cstheme="minorHAnsi"/>
          <w:i/>
          <w:color w:val="000000" w:themeColor="text1"/>
          <w:sz w:val="22"/>
          <w:szCs w:val="22"/>
          <w:u w:val="single"/>
        </w:rPr>
      </w:pPr>
      <w:r w:rsidRPr="007F6798">
        <w:rPr>
          <w:rFonts w:asciiTheme="minorHAnsi" w:hAnsiTheme="minorHAnsi" w:cstheme="minorHAnsi"/>
          <w:i/>
          <w:color w:val="000000" w:themeColor="text1"/>
          <w:sz w:val="22"/>
          <w:szCs w:val="22"/>
          <w:u w:val="single"/>
        </w:rPr>
        <w:t>3. Transaction reporting</w:t>
      </w:r>
    </w:p>
    <w:p w:rsidR="008E13F7" w:rsidRPr="007F6798" w:rsidRDefault="008E13F7" w:rsidP="00E66E28">
      <w:pPr>
        <w:jc w:val="both"/>
        <w:rPr>
          <w:rFonts w:asciiTheme="minorHAnsi" w:hAnsiTheme="minorHAnsi" w:cstheme="minorHAnsi"/>
          <w:i/>
          <w:color w:val="000000" w:themeColor="text1"/>
          <w:sz w:val="22"/>
          <w:szCs w:val="22"/>
          <w:u w:val="single"/>
        </w:rPr>
      </w:pPr>
    </w:p>
    <w:p w:rsidR="00E66E28" w:rsidRPr="007F6798" w:rsidRDefault="00E66E28" w:rsidP="00E66E28">
      <w:pPr>
        <w:jc w:val="both"/>
        <w:rPr>
          <w:rFonts w:asciiTheme="minorHAnsi" w:hAnsiTheme="minorHAnsi" w:cstheme="minorHAnsi"/>
          <w:sz w:val="22"/>
          <w:szCs w:val="22"/>
        </w:rPr>
      </w:pPr>
      <w:r w:rsidRPr="007F6798">
        <w:rPr>
          <w:rFonts w:asciiTheme="minorHAnsi" w:hAnsiTheme="minorHAnsi" w:cstheme="minorHAnsi"/>
          <w:sz w:val="22"/>
          <w:szCs w:val="22"/>
        </w:rPr>
        <w:t xml:space="preserve">The FXPB industry must understand its transaction-reporting obligations. </w:t>
      </w:r>
    </w:p>
    <w:p w:rsidR="008E13F7" w:rsidRPr="007F6798" w:rsidRDefault="008E13F7" w:rsidP="00E66E28">
      <w:pPr>
        <w:jc w:val="both"/>
        <w:rPr>
          <w:rFonts w:asciiTheme="minorHAnsi" w:hAnsiTheme="minorHAnsi" w:cstheme="minorHAnsi"/>
          <w:sz w:val="22"/>
          <w:szCs w:val="22"/>
        </w:rPr>
      </w:pPr>
    </w:p>
    <w:p w:rsidR="00E66E28" w:rsidRPr="007F6798" w:rsidRDefault="001017C0" w:rsidP="00E66E28">
      <w:pPr>
        <w:jc w:val="both"/>
        <w:rPr>
          <w:rFonts w:asciiTheme="minorHAnsi" w:hAnsiTheme="minorHAnsi" w:cstheme="minorHAnsi"/>
          <w:color w:val="000000" w:themeColor="text1"/>
          <w:sz w:val="22"/>
          <w:szCs w:val="22"/>
        </w:rPr>
      </w:pPr>
      <w:r>
        <w:rPr>
          <w:rFonts w:asciiTheme="minorHAnsi" w:hAnsiTheme="minorHAnsi" w:cstheme="minorHAnsi"/>
          <w:sz w:val="22"/>
          <w:szCs w:val="22"/>
        </w:rPr>
        <w:t xml:space="preserve">In the “plain vanilla” FX Prime Brokerage relationship, the </w:t>
      </w:r>
      <w:r w:rsidR="00E66E28" w:rsidRPr="007F6798">
        <w:rPr>
          <w:rFonts w:asciiTheme="minorHAnsi" w:hAnsiTheme="minorHAnsi" w:cstheme="minorHAnsi"/>
          <w:sz w:val="22"/>
          <w:szCs w:val="22"/>
        </w:rPr>
        <w:t xml:space="preserve">FXPB is involved in two different transactions: the </w:t>
      </w:r>
      <w:r w:rsidR="00E66E28" w:rsidRPr="007F6798">
        <w:rPr>
          <w:rFonts w:asciiTheme="minorHAnsi" w:hAnsiTheme="minorHAnsi" w:cstheme="minorHAnsi"/>
          <w:color w:val="000000" w:themeColor="text1"/>
          <w:sz w:val="22"/>
          <w:szCs w:val="22"/>
        </w:rPr>
        <w:t xml:space="preserve">give-up and mirror transaction. The current framework under EMIR requires the FXPB to report both </w:t>
      </w:r>
      <w:r w:rsidR="00E66E28" w:rsidRPr="007F6798">
        <w:rPr>
          <w:rFonts w:asciiTheme="minorHAnsi" w:hAnsiTheme="minorHAnsi" w:cstheme="minorHAnsi"/>
          <w:color w:val="000000" w:themeColor="text1"/>
          <w:sz w:val="22"/>
          <w:szCs w:val="22"/>
        </w:rPr>
        <w:lastRenderedPageBreak/>
        <w:t>trades. This is inconsistent with the goals set-up by MiFID II/MiFIR. For example, when considering post-trade transparency, RTS 9 in its Chapter 2 section 8, provides the following:</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E66E28" w:rsidP="00E66E28">
      <w:pPr>
        <w:ind w:left="284" w:right="379"/>
        <w:jc w:val="both"/>
        <w:rPr>
          <w:rFonts w:asciiTheme="minorHAnsi" w:hAnsiTheme="minorHAnsi"/>
          <w:sz w:val="22"/>
          <w:szCs w:val="22"/>
        </w:rPr>
      </w:pPr>
      <w:r w:rsidRPr="007F6798">
        <w:rPr>
          <w:rFonts w:asciiTheme="minorHAnsi" w:hAnsiTheme="minorHAnsi"/>
          <w:sz w:val="22"/>
          <w:szCs w:val="22"/>
        </w:rPr>
        <w:t>“</w:t>
      </w:r>
      <w:r w:rsidRPr="007F6798">
        <w:rPr>
          <w:rFonts w:asciiTheme="minorHAnsi" w:hAnsiTheme="minorHAnsi"/>
          <w:i/>
          <w:sz w:val="22"/>
          <w:szCs w:val="22"/>
        </w:rPr>
        <w:t>For those purposes two matching trades entered at the same time and for the same price with a single party interposed shall be considered to be a single transaction</w:t>
      </w:r>
      <w:r w:rsidRPr="007F6798">
        <w:rPr>
          <w:rFonts w:asciiTheme="minorHAnsi" w:hAnsiTheme="minorHAnsi"/>
          <w:sz w:val="22"/>
          <w:szCs w:val="22"/>
        </w:rPr>
        <w:t>”.</w:t>
      </w:r>
    </w:p>
    <w:p w:rsidR="008E13F7" w:rsidRPr="007F6798" w:rsidRDefault="008E13F7" w:rsidP="00E66E28">
      <w:pPr>
        <w:ind w:left="284" w:right="379"/>
        <w:jc w:val="both"/>
        <w:rPr>
          <w:rFonts w:asciiTheme="minorHAnsi" w:hAnsiTheme="minorHAnsi"/>
          <w:sz w:val="22"/>
          <w:szCs w:val="22"/>
        </w:rPr>
      </w:pPr>
    </w:p>
    <w:p w:rsidR="00E66E28" w:rsidRPr="007F6798" w:rsidRDefault="00E66E28" w:rsidP="00E66E28">
      <w:pPr>
        <w:jc w:val="both"/>
        <w:rPr>
          <w:rFonts w:asciiTheme="minorHAnsi" w:hAnsiTheme="minorHAnsi" w:cstheme="minorHAnsi"/>
          <w:color w:val="000000" w:themeColor="text1"/>
          <w:sz w:val="22"/>
          <w:szCs w:val="22"/>
        </w:rPr>
      </w:pPr>
      <w:r w:rsidRPr="007F6798">
        <w:rPr>
          <w:rFonts w:asciiTheme="minorHAnsi" w:hAnsiTheme="minorHAnsi" w:cstheme="minorHAnsi"/>
          <w:color w:val="000000" w:themeColor="text1"/>
          <w:sz w:val="22"/>
          <w:szCs w:val="22"/>
        </w:rPr>
        <w:t xml:space="preserve">Although it is arguable whether the give-up and mirror transactions are entered at the same time, they certainly have the same price that is crystallised </w:t>
      </w:r>
      <w:r w:rsidR="00E47872">
        <w:rPr>
          <w:rFonts w:asciiTheme="minorHAnsi" w:hAnsiTheme="minorHAnsi" w:cstheme="minorHAnsi"/>
          <w:color w:val="000000" w:themeColor="text1"/>
          <w:sz w:val="22"/>
          <w:szCs w:val="22"/>
        </w:rPr>
        <w:t xml:space="preserve">(at the same time) </w:t>
      </w:r>
      <w:r w:rsidRPr="007F6798">
        <w:rPr>
          <w:rFonts w:asciiTheme="minorHAnsi" w:hAnsiTheme="minorHAnsi" w:cstheme="minorHAnsi"/>
          <w:color w:val="000000" w:themeColor="text1"/>
          <w:sz w:val="22"/>
          <w:szCs w:val="22"/>
        </w:rPr>
        <w:t xml:space="preserve">when the FXPB client and the </w:t>
      </w:r>
      <w:r w:rsidR="001017C0">
        <w:rPr>
          <w:rFonts w:asciiTheme="minorHAnsi" w:hAnsiTheme="minorHAnsi" w:cstheme="minorHAnsi"/>
          <w:color w:val="000000" w:themeColor="text1"/>
          <w:sz w:val="22"/>
          <w:szCs w:val="22"/>
        </w:rPr>
        <w:t>Price M</w:t>
      </w:r>
      <w:r w:rsidRPr="007F6798">
        <w:rPr>
          <w:rFonts w:asciiTheme="minorHAnsi" w:hAnsiTheme="minorHAnsi" w:cstheme="minorHAnsi"/>
          <w:color w:val="000000" w:themeColor="text1"/>
          <w:sz w:val="22"/>
          <w:szCs w:val="22"/>
        </w:rPr>
        <w:t xml:space="preserve">aker agree on economic terms.  </w:t>
      </w:r>
    </w:p>
    <w:p w:rsidR="008E13F7" w:rsidRPr="007F6798" w:rsidRDefault="008E13F7" w:rsidP="00E66E28">
      <w:pPr>
        <w:jc w:val="both"/>
        <w:rPr>
          <w:rFonts w:asciiTheme="minorHAnsi" w:hAnsiTheme="minorHAnsi" w:cstheme="minorHAnsi"/>
          <w:sz w:val="22"/>
          <w:szCs w:val="22"/>
        </w:rPr>
      </w:pPr>
    </w:p>
    <w:p w:rsidR="00E66E28" w:rsidRPr="007F6798" w:rsidRDefault="00E66E28" w:rsidP="00E66E28">
      <w:pPr>
        <w:jc w:val="both"/>
        <w:rPr>
          <w:rFonts w:asciiTheme="minorHAnsi" w:hAnsiTheme="minorHAnsi"/>
          <w:sz w:val="22"/>
          <w:szCs w:val="22"/>
        </w:rPr>
      </w:pPr>
      <w:r w:rsidRPr="007F6798">
        <w:rPr>
          <w:rFonts w:asciiTheme="minorHAnsi" w:hAnsiTheme="minorHAnsi"/>
          <w:sz w:val="22"/>
          <w:szCs w:val="22"/>
        </w:rPr>
        <w:t xml:space="preserve">We are concerned by the discrepancy between the differing trade reporting rules for FXPBs under EMIR and </w:t>
      </w:r>
      <w:r w:rsidRPr="007F6798">
        <w:rPr>
          <w:rFonts w:asciiTheme="minorHAnsi" w:hAnsiTheme="minorHAnsi" w:cstheme="minorHAnsi"/>
          <w:color w:val="000000" w:themeColor="text1"/>
          <w:sz w:val="22"/>
          <w:szCs w:val="22"/>
        </w:rPr>
        <w:t>MiFID II/MiFIR</w:t>
      </w:r>
      <w:r w:rsidRPr="007F6798">
        <w:rPr>
          <w:rFonts w:asciiTheme="minorHAnsi" w:hAnsiTheme="minorHAnsi"/>
          <w:sz w:val="22"/>
          <w:szCs w:val="22"/>
        </w:rPr>
        <w:t>. The FXPB industry must have uniform reporting obligations under the two European regulations.</w:t>
      </w:r>
    </w:p>
    <w:p w:rsidR="008E13F7" w:rsidRPr="007F6798" w:rsidRDefault="008E13F7" w:rsidP="00E66E28">
      <w:pPr>
        <w:jc w:val="both"/>
        <w:rPr>
          <w:rFonts w:asciiTheme="minorHAnsi" w:hAnsiTheme="minorHAnsi"/>
          <w:sz w:val="22"/>
          <w:szCs w:val="22"/>
        </w:rPr>
      </w:pPr>
    </w:p>
    <w:p w:rsidR="00E66E28" w:rsidRPr="007F6798" w:rsidRDefault="00E66E28" w:rsidP="00E66E28">
      <w:pPr>
        <w:jc w:val="both"/>
        <w:rPr>
          <w:rFonts w:asciiTheme="minorHAnsi" w:hAnsiTheme="minorHAnsi"/>
          <w:sz w:val="22"/>
          <w:szCs w:val="22"/>
        </w:rPr>
      </w:pPr>
      <w:r w:rsidRPr="007F6798">
        <w:rPr>
          <w:rFonts w:asciiTheme="minorHAnsi" w:hAnsiTheme="minorHAnsi"/>
          <w:sz w:val="22"/>
          <w:szCs w:val="22"/>
        </w:rPr>
        <w:t xml:space="preserve">Under </w:t>
      </w:r>
      <w:r w:rsidR="001017C0">
        <w:rPr>
          <w:rFonts w:asciiTheme="minorHAnsi" w:hAnsiTheme="minorHAnsi"/>
          <w:sz w:val="22"/>
          <w:szCs w:val="22"/>
        </w:rPr>
        <w:t xml:space="preserve">the </w:t>
      </w:r>
      <w:r w:rsidRPr="007F6798">
        <w:rPr>
          <w:rFonts w:asciiTheme="minorHAnsi" w:hAnsiTheme="minorHAnsi"/>
          <w:sz w:val="22"/>
          <w:szCs w:val="22"/>
        </w:rPr>
        <w:t>Dodd Frank</w:t>
      </w:r>
      <w:r w:rsidR="001017C0">
        <w:rPr>
          <w:rFonts w:asciiTheme="minorHAnsi" w:hAnsiTheme="minorHAnsi"/>
          <w:sz w:val="22"/>
          <w:szCs w:val="22"/>
        </w:rPr>
        <w:t xml:space="preserve"> Wall Street Reform and Consumer Protection Act</w:t>
      </w:r>
      <w:r w:rsidRPr="007F6798">
        <w:rPr>
          <w:rFonts w:asciiTheme="minorHAnsi" w:hAnsiTheme="minorHAnsi"/>
          <w:sz w:val="22"/>
          <w:szCs w:val="22"/>
        </w:rPr>
        <w:t xml:space="preserve">, for example, the FXPB reports the mirror transaction and the price-maker reports the give-up transaction. Adopting this approach would at least result in global-consistency.  </w:t>
      </w:r>
    </w:p>
    <w:p w:rsidR="008E13F7" w:rsidRPr="007F6798" w:rsidRDefault="008E13F7" w:rsidP="00E66E28">
      <w:pPr>
        <w:jc w:val="both"/>
        <w:rPr>
          <w:rFonts w:asciiTheme="minorHAnsi" w:hAnsiTheme="minorHAnsi" w:cstheme="minorHAnsi"/>
          <w:color w:val="000000" w:themeColor="text1"/>
          <w:sz w:val="22"/>
          <w:szCs w:val="22"/>
        </w:rPr>
      </w:pPr>
    </w:p>
    <w:p w:rsidR="00E66E28" w:rsidRPr="007F6798" w:rsidRDefault="00E66E28" w:rsidP="00E66E28">
      <w:pPr>
        <w:jc w:val="both"/>
        <w:rPr>
          <w:rFonts w:asciiTheme="minorHAnsi" w:hAnsiTheme="minorHAnsi"/>
          <w:sz w:val="22"/>
          <w:szCs w:val="22"/>
        </w:rPr>
      </w:pPr>
      <w:r w:rsidRPr="007F6798">
        <w:rPr>
          <w:rFonts w:asciiTheme="minorHAnsi" w:hAnsiTheme="minorHAnsi" w:cstheme="minorHAnsi"/>
          <w:sz w:val="22"/>
          <w:szCs w:val="22"/>
        </w:rPr>
        <w:t xml:space="preserve">We understand from </w:t>
      </w:r>
      <w:r w:rsidRPr="007F6798">
        <w:rPr>
          <w:rFonts w:asciiTheme="minorHAnsi" w:hAnsiTheme="minorHAnsi"/>
          <w:sz w:val="22"/>
          <w:szCs w:val="22"/>
        </w:rPr>
        <w:t xml:space="preserve">Chapter 8.2 “Obligations to report transaction” of the 19 December 2014 </w:t>
      </w:r>
      <w:r w:rsidRPr="007F6798">
        <w:rPr>
          <w:rFonts w:asciiTheme="minorHAnsi" w:hAnsiTheme="minorHAnsi" w:cstheme="minorHAnsi"/>
          <w:color w:val="000000" w:themeColor="text1"/>
          <w:sz w:val="22"/>
          <w:szCs w:val="22"/>
        </w:rPr>
        <w:t>MiFID II/MiFIR</w:t>
      </w:r>
      <w:r w:rsidRPr="007F6798">
        <w:rPr>
          <w:rFonts w:asciiTheme="minorHAnsi" w:hAnsiTheme="minorHAnsi"/>
          <w:sz w:val="22"/>
          <w:szCs w:val="22"/>
        </w:rPr>
        <w:t xml:space="preserve"> Consultation Paper </w:t>
      </w:r>
      <w:r w:rsidR="001017C0">
        <w:rPr>
          <w:rFonts w:asciiTheme="minorHAnsi" w:hAnsiTheme="minorHAnsi"/>
          <w:sz w:val="22"/>
          <w:szCs w:val="22"/>
        </w:rPr>
        <w:t xml:space="preserve">outlines </w:t>
      </w:r>
      <w:r w:rsidRPr="007F6798">
        <w:rPr>
          <w:rFonts w:asciiTheme="minorHAnsi" w:hAnsiTheme="minorHAnsi"/>
          <w:sz w:val="22"/>
          <w:szCs w:val="22"/>
        </w:rPr>
        <w:t>that counteracting market abuse is the key consideration of transa</w:t>
      </w:r>
      <w:r w:rsidRPr="007F6798">
        <w:rPr>
          <w:rFonts w:asciiTheme="minorHAnsi" w:hAnsiTheme="minorHAnsi"/>
          <w:sz w:val="22"/>
          <w:szCs w:val="22"/>
        </w:rPr>
        <w:t>c</w:t>
      </w:r>
      <w:r w:rsidRPr="007F6798">
        <w:rPr>
          <w:rFonts w:asciiTheme="minorHAnsi" w:hAnsiTheme="minorHAnsi"/>
          <w:sz w:val="22"/>
          <w:szCs w:val="22"/>
        </w:rPr>
        <w:t>tion-reporting. We argue that because the mirror transaction is executed at the same pr</w:t>
      </w:r>
      <w:r w:rsidR="00493871">
        <w:rPr>
          <w:rFonts w:asciiTheme="minorHAnsi" w:hAnsiTheme="minorHAnsi"/>
          <w:sz w:val="22"/>
          <w:szCs w:val="22"/>
        </w:rPr>
        <w:t>ice as the give-up transaction (</w:t>
      </w:r>
      <w:r w:rsidRPr="007F6798">
        <w:rPr>
          <w:rFonts w:asciiTheme="minorHAnsi" w:hAnsiTheme="minorHAnsi"/>
          <w:sz w:val="22"/>
          <w:szCs w:val="22"/>
        </w:rPr>
        <w:t xml:space="preserve">and based on the reporting of the give-up transaction by the </w:t>
      </w:r>
      <w:r w:rsidR="00493871">
        <w:rPr>
          <w:rFonts w:asciiTheme="minorHAnsi" w:hAnsiTheme="minorHAnsi"/>
          <w:sz w:val="22"/>
          <w:szCs w:val="22"/>
        </w:rPr>
        <w:t>Price Maker, the other option would be)</w:t>
      </w:r>
      <w:r w:rsidRPr="007F6798">
        <w:rPr>
          <w:rFonts w:asciiTheme="minorHAnsi" w:hAnsiTheme="minorHAnsi"/>
          <w:sz w:val="22"/>
          <w:szCs w:val="22"/>
        </w:rPr>
        <w:t xml:space="preserve"> to exempt the mirror trade from reporting obligations.</w:t>
      </w:r>
    </w:p>
    <w:p w:rsidR="00E66E28" w:rsidRPr="007F6798" w:rsidRDefault="00E66E28" w:rsidP="00E66E28">
      <w:pPr>
        <w:spacing w:after="120"/>
        <w:jc w:val="both"/>
        <w:rPr>
          <w:rFonts w:asciiTheme="minorHAnsi" w:hAnsiTheme="minorHAnsi"/>
          <w:sz w:val="22"/>
          <w:szCs w:val="22"/>
        </w:rPr>
      </w:pPr>
    </w:p>
    <w:p w:rsidR="00E66E28" w:rsidRPr="007F6798" w:rsidRDefault="00E66E28" w:rsidP="00E66E28">
      <w:pPr>
        <w:pStyle w:val="ListParagraph"/>
        <w:jc w:val="center"/>
        <w:rPr>
          <w:rFonts w:asciiTheme="minorHAnsi" w:hAnsiTheme="minorHAnsi" w:cstheme="minorHAnsi"/>
          <w:sz w:val="22"/>
          <w:szCs w:val="22"/>
        </w:rPr>
      </w:pPr>
      <w:r w:rsidRPr="007F6798">
        <w:rPr>
          <w:rFonts w:asciiTheme="minorHAnsi" w:hAnsiTheme="minorHAnsi" w:cstheme="minorHAnsi"/>
          <w:sz w:val="22"/>
          <w:szCs w:val="22"/>
        </w:rPr>
        <w:t>**************</w:t>
      </w:r>
    </w:p>
    <w:p w:rsidR="00E66E28" w:rsidRPr="007F6798" w:rsidRDefault="00E66E28" w:rsidP="00E66E28">
      <w:pPr>
        <w:pStyle w:val="ListParagraph"/>
        <w:spacing w:after="120"/>
        <w:ind w:left="851"/>
        <w:jc w:val="both"/>
        <w:rPr>
          <w:rFonts w:asciiTheme="minorHAnsi" w:hAnsiTheme="minorHAnsi"/>
          <w:sz w:val="22"/>
          <w:szCs w:val="22"/>
        </w:rPr>
      </w:pPr>
    </w:p>
    <w:p w:rsidR="00E66E28" w:rsidRPr="007F6798" w:rsidRDefault="00E66E28" w:rsidP="00E66E28">
      <w:pPr>
        <w:spacing w:after="120"/>
        <w:contextualSpacing/>
        <w:jc w:val="both"/>
        <w:rPr>
          <w:rFonts w:asciiTheme="minorHAnsi" w:hAnsiTheme="minorHAnsi"/>
          <w:sz w:val="22"/>
          <w:szCs w:val="22"/>
        </w:rPr>
      </w:pPr>
      <w:r w:rsidRPr="007F6798">
        <w:rPr>
          <w:rFonts w:asciiTheme="minorHAnsi" w:hAnsiTheme="minorHAnsi"/>
          <w:sz w:val="22"/>
          <w:szCs w:val="22"/>
        </w:rPr>
        <w:t xml:space="preserve">We appreciate the opportunity to share our views on this consultation paper issued by ESMA. Please do not hesitate to contact Fiona McKane on +44 207 743 9317, email </w:t>
      </w:r>
      <w:hyperlink r:id="rId15" w:history="1">
        <w:r w:rsidRPr="007F6798">
          <w:rPr>
            <w:rStyle w:val="Hyperlink"/>
            <w:rFonts w:asciiTheme="minorHAnsi" w:hAnsiTheme="minorHAnsi"/>
            <w:sz w:val="22"/>
            <w:szCs w:val="22"/>
          </w:rPr>
          <w:t>fmckane@gfma.org</w:t>
        </w:r>
      </w:hyperlink>
      <w:r w:rsidRPr="007F6798">
        <w:rPr>
          <w:rFonts w:asciiTheme="minorHAnsi" w:hAnsiTheme="minorHAnsi"/>
          <w:sz w:val="22"/>
          <w:szCs w:val="22"/>
        </w:rPr>
        <w:t xml:space="preserve"> or Andrew Harvey </w:t>
      </w:r>
      <w:r w:rsidR="00054728">
        <w:rPr>
          <w:rFonts w:asciiTheme="minorHAnsi" w:hAnsiTheme="minorHAnsi"/>
          <w:sz w:val="22"/>
          <w:szCs w:val="22"/>
        </w:rPr>
        <w:t>on</w:t>
      </w:r>
      <w:r w:rsidRPr="007F6798">
        <w:rPr>
          <w:rFonts w:asciiTheme="minorHAnsi" w:hAnsiTheme="minorHAnsi"/>
          <w:sz w:val="22"/>
          <w:szCs w:val="22"/>
        </w:rPr>
        <w:t xml:space="preserve"> +44 207 </w:t>
      </w:r>
      <w:r w:rsidR="00A04633">
        <w:rPr>
          <w:rFonts w:asciiTheme="minorHAnsi" w:hAnsiTheme="minorHAnsi"/>
          <w:sz w:val="22"/>
          <w:szCs w:val="22"/>
        </w:rPr>
        <w:t>743</w:t>
      </w:r>
      <w:r w:rsidRPr="007F6798">
        <w:rPr>
          <w:rFonts w:asciiTheme="minorHAnsi" w:hAnsiTheme="minorHAnsi"/>
          <w:sz w:val="22"/>
          <w:szCs w:val="22"/>
        </w:rPr>
        <w:t xml:space="preserve"> 931</w:t>
      </w:r>
      <w:r w:rsidR="00A04633">
        <w:rPr>
          <w:rFonts w:asciiTheme="minorHAnsi" w:hAnsiTheme="minorHAnsi"/>
          <w:sz w:val="22"/>
          <w:szCs w:val="22"/>
        </w:rPr>
        <w:t>2</w:t>
      </w:r>
      <w:r w:rsidRPr="007F6798">
        <w:rPr>
          <w:rFonts w:asciiTheme="minorHAnsi" w:hAnsiTheme="minorHAnsi"/>
          <w:sz w:val="22"/>
          <w:szCs w:val="22"/>
        </w:rPr>
        <w:t xml:space="preserve">, email </w:t>
      </w:r>
      <w:hyperlink r:id="rId16" w:history="1">
        <w:r w:rsidRPr="007F6798">
          <w:rPr>
            <w:rStyle w:val="Hyperlink"/>
            <w:rFonts w:asciiTheme="minorHAnsi" w:hAnsiTheme="minorHAnsi"/>
            <w:sz w:val="22"/>
            <w:szCs w:val="22"/>
          </w:rPr>
          <w:t>aharvey@gfma.org</w:t>
        </w:r>
      </w:hyperlink>
      <w:r w:rsidRPr="007F6798">
        <w:rPr>
          <w:rFonts w:asciiTheme="minorHAnsi" w:hAnsiTheme="minorHAnsi"/>
          <w:sz w:val="22"/>
          <w:szCs w:val="22"/>
        </w:rPr>
        <w:t xml:space="preserve"> should you wish to discuss any of the above.</w:t>
      </w:r>
    </w:p>
    <w:p w:rsidR="00E66E28" w:rsidRDefault="00E66E28" w:rsidP="00E66E28">
      <w:pPr>
        <w:spacing w:after="120"/>
        <w:contextualSpacing/>
        <w:jc w:val="both"/>
        <w:rPr>
          <w:u w:val="single"/>
        </w:rPr>
      </w:pPr>
    </w:p>
    <w:p w:rsidR="00E66E28" w:rsidRDefault="00E66E28" w:rsidP="00E66E28">
      <w:pPr>
        <w:spacing w:after="120"/>
        <w:contextualSpacing/>
        <w:jc w:val="both"/>
        <w:rPr>
          <w:u w:val="single"/>
        </w:rPr>
      </w:pPr>
    </w:p>
    <w:permEnd w:id="9"/>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A8728B" w:rsidRPr="00B62727" w:rsidRDefault="00F32462" w:rsidP="00A8728B">
      <w:pPr>
        <w:pStyle w:val="CPQuestions"/>
        <w:ind w:left="714" w:hanging="357"/>
      </w:pPr>
      <w:r>
        <w:rPr>
          <w:rFonts w:cs="Arial"/>
          <w:szCs w:val="22"/>
        </w:rPr>
        <w:br w:type="page"/>
      </w:r>
      <w:r w:rsidR="00A8728B" w:rsidRPr="00C24BCA">
        <w:lastRenderedPageBreak/>
        <w:t>Do you agree with ESMA’s proposal for the definition of a liquid market? Please provide an answer detailed per asset class identified (deliverable forwards, non-deliverable forwards, options, swaps, spread</w:t>
      </w:r>
      <w:r w:rsidR="00A8728B">
        <w:t xml:space="preserve"> betting contracts and futures)</w:t>
      </w:r>
      <w:r w:rsidR="00A8728B" w:rsidRPr="00B62727">
        <w:t xml:space="preserve"> </w:t>
      </w:r>
      <w:r w:rsidR="00A8728B">
        <w:t>a</w:t>
      </w:r>
      <w:r w:rsidR="00A8728B" w:rsidRPr="00B62727">
        <w:t>d</w:t>
      </w:r>
      <w:r w:rsidR="00A8728B" w:rsidRPr="00B62727">
        <w:t xml:space="preserve">dressing the following points: </w:t>
      </w:r>
    </w:p>
    <w:p w:rsidR="00A8728B" w:rsidRPr="00B62727" w:rsidRDefault="00A8728B" w:rsidP="00566C6A">
      <w:pPr>
        <w:pStyle w:val="CPQuest2"/>
      </w:pPr>
      <w:r w:rsidRPr="00B62727">
        <w:t>Would you use different qualitative criteria to define the sub-classes?</w:t>
      </w:r>
      <w:r>
        <w:t xml:space="preserve"> Please also specify if you agree in </w:t>
      </w:r>
      <w:r w:rsidRPr="00313056">
        <w:t>distinguish</w:t>
      </w:r>
      <w:r>
        <w:t>ing or not distinguishing</w:t>
      </w:r>
      <w:r w:rsidRPr="00313056">
        <w:t xml:space="preserve"> between deliverable and non-deliverable contracts</w:t>
      </w:r>
      <w:r>
        <w:t>. If you would distinguish between deliverable and non-deliverable contracts for other classes besides forwards, please provide your</w:t>
      </w:r>
      <w:r w:rsidRPr="00313056">
        <w:t xml:space="preserve"> feedback </w:t>
      </w:r>
      <w:r>
        <w:t>as specific as possible with regard to the sub-classes that should be deemed liquid for deliverable contracts and those for non-deliverable contracts, pointing out the differences between the two sub-groups.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 xml:space="preserve">Would you define </w:t>
      </w:r>
      <w:r>
        <w:t xml:space="preserve">some specific </w:t>
      </w:r>
      <w:r w:rsidRPr="00B62727">
        <w:t>classes declared as liquid in ESMA’s proposal as illiquid (</w:t>
      </w:r>
      <w:r>
        <w:t>and</w:t>
      </w:r>
      <w:r w:rsidRPr="00B62727">
        <w:t xml:space="preserve"> vice versa)? Please provide reasons for your answer.</w:t>
      </w:r>
    </w:p>
    <w:p w:rsidR="00A8728B" w:rsidRDefault="00A8728B" w:rsidP="00A8728B">
      <w:r>
        <w:t>&lt;ESMA_QUESTION_MIFID_ADD_1&gt;</w:t>
      </w:r>
    </w:p>
    <w:p w:rsidR="00E66E28" w:rsidRPr="007F6798" w:rsidRDefault="00E66E28" w:rsidP="00E66E28">
      <w:pPr>
        <w:pStyle w:val="Default"/>
        <w:rPr>
          <w:rFonts w:asciiTheme="minorHAnsi" w:hAnsiTheme="minorHAnsi"/>
          <w:b/>
          <w:bCs/>
          <w:sz w:val="22"/>
          <w:szCs w:val="22"/>
          <w:lang w:val="en-GB"/>
        </w:rPr>
      </w:pPr>
      <w:permStart w:id="10" w:edGrp="everyone"/>
      <w:r w:rsidRPr="007F6798">
        <w:rPr>
          <w:rFonts w:asciiTheme="minorHAnsi" w:hAnsiTheme="minorHAnsi"/>
          <w:b/>
          <w:bCs/>
          <w:sz w:val="22"/>
          <w:szCs w:val="22"/>
          <w:lang w:val="en-GB"/>
        </w:rPr>
        <w:t>Q1. Do you agree with ESMA’s proposal for the definition of a liquid market?</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does not agree with ESMAs definition of a liquid market.  We consider that ESMA has used data that is not of sufficient quality, or contains too many incorrectly classified instruments, and as a consequence has made a proposal that contains many incorrect conclusions. We recommend that ESMA instead:</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ListParagraph"/>
        <w:numPr>
          <w:ilvl w:val="0"/>
          <w:numId w:val="68"/>
        </w:numPr>
        <w:spacing w:after="240"/>
        <w:ind w:left="567" w:hanging="357"/>
        <w:contextualSpacing w:val="0"/>
        <w:rPr>
          <w:rFonts w:asciiTheme="minorHAnsi" w:hAnsiTheme="minorHAnsi" w:cs="Arial"/>
          <w:sz w:val="22"/>
          <w:szCs w:val="22"/>
        </w:rPr>
      </w:pPr>
      <w:r w:rsidRPr="007F6798">
        <w:rPr>
          <w:rFonts w:asciiTheme="minorHAnsi" w:hAnsiTheme="minorHAnsi"/>
          <w:bCs/>
          <w:sz w:val="22"/>
          <w:szCs w:val="22"/>
        </w:rPr>
        <w:t>Correct for the many issues arising from poor quality data or the incorrect classification of trades. ESMA should:</w:t>
      </w:r>
    </w:p>
    <w:p w:rsidR="00E66E28" w:rsidRPr="007F6798" w:rsidRDefault="00E66E28" w:rsidP="00E66E28">
      <w:pPr>
        <w:pStyle w:val="ListParagraph"/>
        <w:numPr>
          <w:ilvl w:val="0"/>
          <w:numId w:val="72"/>
        </w:numPr>
        <w:spacing w:after="240"/>
        <w:ind w:left="1418"/>
        <w:contextualSpacing w:val="0"/>
        <w:rPr>
          <w:rFonts w:asciiTheme="minorHAnsi" w:hAnsiTheme="minorHAnsi" w:cs="Arial"/>
          <w:sz w:val="22"/>
          <w:szCs w:val="22"/>
        </w:rPr>
      </w:pPr>
      <w:r w:rsidRPr="007F6798">
        <w:rPr>
          <w:rFonts w:asciiTheme="minorHAnsi" w:hAnsiTheme="minorHAnsi"/>
          <w:bCs/>
          <w:sz w:val="22"/>
          <w:szCs w:val="22"/>
        </w:rPr>
        <w:t>Only utilise data from EMIR trade repositories once ESMA can be sure that trades can be appropriately classified into correct classes, correcting the apparent misclassification of trades between the deliverable forward (FX forward), non-deliverable forward (NDF) FX swap and FX option classes</w:t>
      </w:r>
      <w:r w:rsidR="00C570B2">
        <w:rPr>
          <w:rFonts w:asciiTheme="minorHAnsi" w:hAnsiTheme="minorHAnsi"/>
          <w:bCs/>
          <w:sz w:val="22"/>
          <w:szCs w:val="22"/>
        </w:rPr>
        <w:t>.</w:t>
      </w:r>
      <w:r w:rsidRPr="007F6798">
        <w:rPr>
          <w:rFonts w:asciiTheme="minorHAnsi" w:hAnsiTheme="minorHAnsi"/>
          <w:bCs/>
          <w:sz w:val="22"/>
          <w:szCs w:val="22"/>
        </w:rPr>
        <w:t xml:space="preserve"> </w:t>
      </w:r>
    </w:p>
    <w:p w:rsidR="00E66E28" w:rsidRPr="007F6798" w:rsidRDefault="00E66E28" w:rsidP="00E66E28">
      <w:pPr>
        <w:pStyle w:val="ListParagraph"/>
        <w:numPr>
          <w:ilvl w:val="0"/>
          <w:numId w:val="72"/>
        </w:numPr>
        <w:spacing w:after="240"/>
        <w:ind w:left="1418"/>
        <w:contextualSpacing w:val="0"/>
        <w:rPr>
          <w:rFonts w:asciiTheme="minorHAnsi" w:hAnsiTheme="minorHAnsi"/>
          <w:bCs/>
          <w:sz w:val="22"/>
          <w:szCs w:val="22"/>
        </w:rPr>
      </w:pPr>
      <w:r w:rsidRPr="007F6798">
        <w:rPr>
          <w:rFonts w:asciiTheme="minorHAnsi" w:hAnsiTheme="minorHAnsi"/>
          <w:bCs/>
          <w:sz w:val="22"/>
          <w:szCs w:val="22"/>
        </w:rPr>
        <w:t>ESMA’s use of data to assess liquidity is from the period very shortly after the EMIR trade reporting requirement came into effect which has likely compounded ESMA’s difficulties in performing analysis. The challenges that this reporting requirement presented to the industry have been widely publicised, and we are concerned that ESMA’s dataset may, for example, contain duplicate trades or other erroneous data. ESMA may not wish to place full reliance on this dataset, or could compensate through the use of higher liqui</w:t>
      </w:r>
      <w:r w:rsidRPr="007F6798">
        <w:rPr>
          <w:rFonts w:asciiTheme="minorHAnsi" w:hAnsiTheme="minorHAnsi"/>
          <w:bCs/>
          <w:sz w:val="22"/>
          <w:szCs w:val="22"/>
        </w:rPr>
        <w:t>d</w:t>
      </w:r>
      <w:r w:rsidRPr="007F6798">
        <w:rPr>
          <w:rFonts w:asciiTheme="minorHAnsi" w:hAnsiTheme="minorHAnsi"/>
          <w:bCs/>
          <w:sz w:val="22"/>
          <w:szCs w:val="22"/>
        </w:rPr>
        <w:t>ity thresholds for the average frequency and average size of transactions liquidity p</w:t>
      </w:r>
      <w:r w:rsidRPr="007F6798">
        <w:rPr>
          <w:rFonts w:asciiTheme="minorHAnsi" w:hAnsiTheme="minorHAnsi"/>
          <w:bCs/>
          <w:sz w:val="22"/>
          <w:szCs w:val="22"/>
        </w:rPr>
        <w:t>a</w:t>
      </w:r>
      <w:r w:rsidRPr="007F6798">
        <w:rPr>
          <w:rFonts w:asciiTheme="minorHAnsi" w:hAnsiTheme="minorHAnsi"/>
          <w:bCs/>
          <w:sz w:val="22"/>
          <w:szCs w:val="22"/>
        </w:rPr>
        <w:t>rameters than might otherwise have been appropriate. Alternatively, ESMA could repeat its analysis on more recent trade repository data or use an alternate data source, which might be more accurate. Additionally, use of a dataset covering a longer period of time may produce more representative results, potentially less distorted by seasonal or short-</w:t>
      </w:r>
      <w:r w:rsidRPr="007F6798">
        <w:rPr>
          <w:rFonts w:asciiTheme="minorHAnsi" w:hAnsiTheme="minorHAnsi"/>
          <w:bCs/>
          <w:sz w:val="22"/>
          <w:szCs w:val="22"/>
        </w:rPr>
        <w:lastRenderedPageBreak/>
        <w:t>term factors. GFXD would be prepared to assist ESMA in repeating the analysis in order to incorporate the necessary corrections</w:t>
      </w:r>
      <w:r w:rsidR="00C570B2">
        <w:rPr>
          <w:rFonts w:asciiTheme="minorHAnsi" w:hAnsiTheme="minorHAnsi"/>
          <w:bCs/>
          <w:sz w:val="22"/>
          <w:szCs w:val="22"/>
        </w:rPr>
        <w:t>.</w:t>
      </w:r>
    </w:p>
    <w:p w:rsidR="00E66E28" w:rsidRPr="007F6798" w:rsidRDefault="00E66E28" w:rsidP="00E66E28">
      <w:pPr>
        <w:pStyle w:val="ListParagraph"/>
        <w:numPr>
          <w:ilvl w:val="0"/>
          <w:numId w:val="72"/>
        </w:numPr>
        <w:spacing w:after="240"/>
        <w:ind w:left="1418"/>
        <w:contextualSpacing w:val="0"/>
        <w:rPr>
          <w:rFonts w:asciiTheme="minorHAnsi" w:hAnsiTheme="minorHAnsi"/>
          <w:bCs/>
          <w:sz w:val="22"/>
          <w:szCs w:val="22"/>
        </w:rPr>
      </w:pPr>
      <w:r w:rsidRPr="007F6798">
        <w:rPr>
          <w:rFonts w:asciiTheme="minorHAnsi" w:hAnsiTheme="minorHAnsi"/>
          <w:bCs/>
          <w:sz w:val="22"/>
          <w:szCs w:val="22"/>
        </w:rPr>
        <w:t>In the absence of the necessary corrections, make a more conservative assessment of what is liquid in order to avoid permanent harmful impacts on the liquidity of those i</w:t>
      </w:r>
      <w:r w:rsidRPr="007F6798">
        <w:rPr>
          <w:rFonts w:asciiTheme="minorHAnsi" w:hAnsiTheme="minorHAnsi"/>
          <w:bCs/>
          <w:sz w:val="22"/>
          <w:szCs w:val="22"/>
        </w:rPr>
        <w:t>n</w:t>
      </w:r>
      <w:r w:rsidRPr="007F6798">
        <w:rPr>
          <w:rFonts w:asciiTheme="minorHAnsi" w:hAnsiTheme="minorHAnsi"/>
          <w:bCs/>
          <w:sz w:val="22"/>
          <w:szCs w:val="22"/>
        </w:rPr>
        <w:t>struments incorrectly assessed</w:t>
      </w:r>
      <w:r w:rsidR="00C570B2">
        <w:rPr>
          <w:rFonts w:asciiTheme="minorHAnsi" w:hAnsiTheme="minorHAnsi"/>
          <w:bCs/>
          <w:sz w:val="22"/>
          <w:szCs w:val="22"/>
        </w:rPr>
        <w:t>.</w:t>
      </w:r>
      <w:r w:rsidRPr="007F6798">
        <w:rPr>
          <w:rFonts w:asciiTheme="minorHAnsi" w:hAnsiTheme="minorHAnsi"/>
          <w:bCs/>
          <w:sz w:val="22"/>
          <w:szCs w:val="22"/>
        </w:rPr>
        <w:t xml:space="preserve"> </w:t>
      </w:r>
    </w:p>
    <w:p w:rsidR="00E66E28" w:rsidRPr="007F6798" w:rsidRDefault="00E66E28" w:rsidP="00E66E28">
      <w:pPr>
        <w:pStyle w:val="Default"/>
        <w:numPr>
          <w:ilvl w:val="0"/>
          <w:numId w:val="69"/>
        </w:numPr>
        <w:ind w:left="567"/>
        <w:rPr>
          <w:rFonts w:asciiTheme="minorHAnsi" w:hAnsiTheme="minorHAnsi" w:cstheme="minorHAnsi"/>
          <w:bCs/>
          <w:color w:val="auto"/>
          <w:sz w:val="22"/>
          <w:szCs w:val="22"/>
          <w:lang w:val="en-GB"/>
        </w:rPr>
      </w:pPr>
      <w:r w:rsidRPr="007F6798">
        <w:rPr>
          <w:rFonts w:asciiTheme="minorHAnsi" w:hAnsiTheme="minorHAnsi" w:cstheme="minorBidi"/>
          <w:bCs/>
          <w:color w:val="auto"/>
          <w:sz w:val="22"/>
          <w:szCs w:val="22"/>
          <w:lang w:val="en-GB"/>
        </w:rPr>
        <w:t xml:space="preserve">Remove the ‘spread betting' class altogether, and instead allocate the trades into this class more granularly according to the specific nature of the transactions. The term ‘spread betting’ should not be </w:t>
      </w:r>
      <w:r w:rsidRPr="007F6798">
        <w:rPr>
          <w:rFonts w:asciiTheme="minorHAnsi" w:hAnsiTheme="minorHAnsi" w:cstheme="minorHAnsi"/>
          <w:bCs/>
          <w:color w:val="auto"/>
          <w:sz w:val="22"/>
          <w:szCs w:val="22"/>
          <w:lang w:val="en-GB"/>
        </w:rPr>
        <w:t>used, and instead actual product types should be provided, according to market standard taxonomies. ESMA must make an appropriate determination of liquidity on each of the resultant sub-classes, a task with which GFXD is prepared to assist. Failing that, the ‘spread betting’ asset class should be re-labelled ‘Others’ and determined to be illiquid due to the non-homogeneity of the underlying instruments.</w:t>
      </w:r>
      <w:r w:rsidRPr="007F6798">
        <w:rPr>
          <w:rFonts w:asciiTheme="minorHAnsi" w:hAnsiTheme="minorHAnsi" w:cstheme="minorBidi"/>
          <w:bCs/>
          <w:color w:val="auto"/>
          <w:sz w:val="22"/>
          <w:szCs w:val="22"/>
          <w:lang w:val="en-GB"/>
        </w:rPr>
        <w:t xml:space="preserve"> We recommend that ESMA ceases to use this classification in conjun</w:t>
      </w:r>
      <w:r w:rsidRPr="007F6798">
        <w:rPr>
          <w:rFonts w:asciiTheme="minorHAnsi" w:hAnsiTheme="minorHAnsi" w:cstheme="minorBidi"/>
          <w:bCs/>
          <w:color w:val="auto"/>
          <w:sz w:val="22"/>
          <w:szCs w:val="22"/>
          <w:lang w:val="en-GB"/>
        </w:rPr>
        <w:t>c</w:t>
      </w:r>
      <w:r w:rsidRPr="007F6798">
        <w:rPr>
          <w:rFonts w:asciiTheme="minorHAnsi" w:hAnsiTheme="minorHAnsi" w:cstheme="minorBidi"/>
          <w:bCs/>
          <w:color w:val="auto"/>
          <w:sz w:val="22"/>
          <w:szCs w:val="22"/>
          <w:lang w:val="en-GB"/>
        </w:rPr>
        <w:t>tion with FX derivatives, as defined under MiFID annex C4</w:t>
      </w:r>
      <w:r w:rsidR="00C570B2">
        <w:rPr>
          <w:rFonts w:asciiTheme="minorHAnsi" w:hAnsiTheme="minorHAnsi" w:cstheme="minorBidi"/>
          <w:bCs/>
          <w:color w:val="auto"/>
          <w:sz w:val="22"/>
          <w:szCs w:val="22"/>
          <w:lang w:val="en-GB"/>
        </w:rPr>
        <w:t>.</w:t>
      </w:r>
    </w:p>
    <w:p w:rsidR="00E66E28" w:rsidRPr="007F6798" w:rsidRDefault="00E66E28" w:rsidP="00E66E28">
      <w:pPr>
        <w:pStyle w:val="Default"/>
        <w:ind w:left="567"/>
        <w:rPr>
          <w:rFonts w:asciiTheme="minorHAnsi" w:hAnsiTheme="minorHAnsi" w:cstheme="minorHAnsi"/>
          <w:bCs/>
          <w:color w:val="auto"/>
          <w:sz w:val="22"/>
          <w:szCs w:val="22"/>
          <w:lang w:val="en-GB"/>
        </w:rPr>
      </w:pPr>
    </w:p>
    <w:p w:rsidR="00E66E28" w:rsidRPr="007F6798" w:rsidRDefault="00E66E28" w:rsidP="00E66E28">
      <w:pPr>
        <w:pStyle w:val="Default"/>
        <w:numPr>
          <w:ilvl w:val="0"/>
          <w:numId w:val="69"/>
        </w:numPr>
        <w:ind w:left="567"/>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Consult on all product definitions via a specific public consultation and not introduce them as fact, such as in this MiFIR consultation.  We draw specific reference to the process used by ESMA in its consultation on the delineation of FX spot and FX forward in May 2014 (</w:t>
      </w:r>
      <w:hyperlink r:id="rId17" w:history="1">
        <w:r w:rsidRPr="007F6798">
          <w:rPr>
            <w:rFonts w:asciiTheme="minorHAnsi" w:hAnsiTheme="minorHAnsi" w:cstheme="minorBidi"/>
            <w:bCs/>
            <w:color w:val="auto"/>
            <w:sz w:val="22"/>
            <w:szCs w:val="22"/>
            <w:lang w:val="en-GB"/>
          </w:rPr>
          <w:t>http://gfma.org/correspondence/item.aspx?id=591</w:t>
        </w:r>
      </w:hyperlink>
      <w:r w:rsidRPr="007F6798">
        <w:rPr>
          <w:rFonts w:asciiTheme="minorHAnsi" w:hAnsiTheme="minorHAnsi" w:cstheme="minorBidi"/>
          <w:bCs/>
          <w:color w:val="auto"/>
          <w:sz w:val="22"/>
          <w:szCs w:val="22"/>
          <w:lang w:val="en-GB"/>
        </w:rPr>
        <w:t>).  If ESMA decide not to separately consult the industry, then we strongly recommend that in order to complete Section 6 Annex III of RTS 9, ESMA leverages those provisions in the ISDA 1998 FX and Currency Option Definitions (and subs</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 xml:space="preserve">quent Supplements), as well as those available in other jurisdictions e.g., in the US Commodities Exchange Act.  The GFXD would be prepared to assist ESMA as required. </w:t>
      </w:r>
    </w:p>
    <w:p w:rsidR="00E66E28" w:rsidRPr="007F6798" w:rsidRDefault="00E66E28" w:rsidP="00E66E28">
      <w:pPr>
        <w:pStyle w:val="Default"/>
        <w:ind w:left="567"/>
        <w:rPr>
          <w:rFonts w:asciiTheme="minorHAnsi" w:hAnsiTheme="minorHAnsi" w:cstheme="minorHAnsi"/>
          <w:sz w:val="22"/>
          <w:szCs w:val="22"/>
          <w:lang w:val="en-GB" w:eastAsia="zh-CN" w:bidi="ar-AE"/>
        </w:rPr>
      </w:pPr>
    </w:p>
    <w:p w:rsidR="00E66E28" w:rsidRPr="007F6798" w:rsidRDefault="00E66E28" w:rsidP="00E66E28">
      <w:pPr>
        <w:pStyle w:val="Default"/>
        <w:numPr>
          <w:ilvl w:val="0"/>
          <w:numId w:val="69"/>
        </w:numPr>
        <w:ind w:left="567"/>
        <w:rPr>
          <w:rFonts w:asciiTheme="minorHAnsi" w:hAnsiTheme="minorHAnsi" w:cstheme="minorHAnsi"/>
          <w:sz w:val="22"/>
          <w:szCs w:val="22"/>
          <w:lang w:val="en-GB" w:eastAsia="zh-CN" w:bidi="ar-AE"/>
        </w:rPr>
      </w:pPr>
      <w:r w:rsidRPr="007F6798">
        <w:rPr>
          <w:rFonts w:asciiTheme="minorHAnsi" w:hAnsiTheme="minorHAnsi" w:cstheme="minorHAnsi"/>
          <w:sz w:val="22"/>
          <w:szCs w:val="22"/>
          <w:lang w:val="en-GB" w:eastAsia="zh-CN" w:bidi="ar-AE"/>
        </w:rPr>
        <w:t>Seek to achieve its policy objective of ensuring transparency at the aggregate level of the FX d</w:t>
      </w:r>
      <w:r w:rsidRPr="007F6798">
        <w:rPr>
          <w:rFonts w:asciiTheme="minorHAnsi" w:hAnsiTheme="minorHAnsi" w:cstheme="minorHAnsi"/>
          <w:sz w:val="22"/>
          <w:szCs w:val="22"/>
          <w:lang w:val="en-GB" w:eastAsia="zh-CN" w:bidi="ar-AE"/>
        </w:rPr>
        <w:t>e</w:t>
      </w:r>
      <w:r w:rsidRPr="007F6798">
        <w:rPr>
          <w:rFonts w:asciiTheme="minorHAnsi" w:hAnsiTheme="minorHAnsi" w:cstheme="minorHAnsi"/>
          <w:sz w:val="22"/>
          <w:szCs w:val="22"/>
          <w:lang w:val="en-GB" w:eastAsia="zh-CN" w:bidi="ar-AE"/>
        </w:rPr>
        <w:t>rivatives asset class, and not attempt to find at least some liquid sub-classes in as many classes of FX derivatives as possible. Some classes are simply very illiquid or extremely heterogeneous. A</w:t>
      </w:r>
      <w:r w:rsidRPr="007F6798">
        <w:rPr>
          <w:rFonts w:asciiTheme="minorHAnsi" w:hAnsiTheme="minorHAnsi" w:cstheme="minorHAnsi"/>
          <w:sz w:val="22"/>
          <w:szCs w:val="22"/>
          <w:lang w:val="en-GB" w:eastAsia="zh-CN" w:bidi="ar-AE"/>
        </w:rPr>
        <w:t>p</w:t>
      </w:r>
      <w:r w:rsidRPr="007F6798">
        <w:rPr>
          <w:rFonts w:asciiTheme="minorHAnsi" w:hAnsiTheme="minorHAnsi" w:cstheme="minorHAnsi"/>
          <w:sz w:val="22"/>
          <w:szCs w:val="22"/>
          <w:lang w:val="en-GB" w:eastAsia="zh-CN" w:bidi="ar-AE"/>
        </w:rPr>
        <w:t>propriate and consistent use of liquidity thresholds across sub-classes when defined with comp</w:t>
      </w:r>
      <w:r w:rsidRPr="007F6798">
        <w:rPr>
          <w:rFonts w:asciiTheme="minorHAnsi" w:hAnsiTheme="minorHAnsi" w:cstheme="minorHAnsi"/>
          <w:sz w:val="22"/>
          <w:szCs w:val="22"/>
          <w:lang w:val="en-GB" w:eastAsia="zh-CN" w:bidi="ar-AE"/>
        </w:rPr>
        <w:t>a</w:t>
      </w:r>
      <w:r w:rsidRPr="007F6798">
        <w:rPr>
          <w:rFonts w:asciiTheme="minorHAnsi" w:hAnsiTheme="minorHAnsi" w:cstheme="minorHAnsi"/>
          <w:sz w:val="22"/>
          <w:szCs w:val="22"/>
          <w:lang w:val="en-GB" w:eastAsia="zh-CN" w:bidi="ar-AE"/>
        </w:rPr>
        <w:t>rable levels of granularity will ensure that illiquid classes are not incorrectly identified as liquid. If ESMA wishes to assess whether or not it has "captured" a sufficiently broad range of derivatives as liquid instruments, it should make this assessment at the aggregate level of the FX derivatives a</w:t>
      </w:r>
      <w:r w:rsidRPr="007F6798">
        <w:rPr>
          <w:rFonts w:asciiTheme="minorHAnsi" w:hAnsiTheme="minorHAnsi" w:cstheme="minorHAnsi"/>
          <w:sz w:val="22"/>
          <w:szCs w:val="22"/>
          <w:lang w:val="en-GB" w:eastAsia="zh-CN" w:bidi="ar-AE"/>
        </w:rPr>
        <w:t>s</w:t>
      </w:r>
      <w:r w:rsidRPr="007F6798">
        <w:rPr>
          <w:rFonts w:asciiTheme="minorHAnsi" w:hAnsiTheme="minorHAnsi" w:cstheme="minorHAnsi"/>
          <w:sz w:val="22"/>
          <w:szCs w:val="22"/>
          <w:lang w:val="en-GB" w:eastAsia="zh-CN" w:bidi="ar-AE"/>
        </w:rPr>
        <w:t>set class, rather than at the level of each class or sub-class</w:t>
      </w:r>
      <w:r w:rsidR="00960C61">
        <w:rPr>
          <w:rFonts w:asciiTheme="minorHAnsi" w:hAnsiTheme="minorHAnsi" w:cstheme="minorHAnsi"/>
          <w:sz w:val="22"/>
          <w:szCs w:val="22"/>
          <w:lang w:val="en-GB" w:eastAsia="zh-CN" w:bidi="ar-AE"/>
        </w:rPr>
        <w:t>.</w:t>
      </w:r>
    </w:p>
    <w:p w:rsidR="00E66E28" w:rsidRPr="007F6798" w:rsidRDefault="00E66E28" w:rsidP="00E66E28">
      <w:pPr>
        <w:pStyle w:val="Default"/>
        <w:ind w:left="720"/>
        <w:rPr>
          <w:rFonts w:asciiTheme="minorHAnsi" w:hAnsiTheme="minorHAnsi" w:cstheme="minorHAnsi"/>
          <w:sz w:val="22"/>
          <w:szCs w:val="22"/>
          <w:lang w:val="en-GB" w:eastAsia="zh-CN" w:bidi="ar-AE"/>
        </w:rPr>
      </w:pPr>
    </w:p>
    <w:p w:rsidR="00E66E28" w:rsidRPr="007F6798" w:rsidRDefault="00E66E28" w:rsidP="00E66E28">
      <w:pPr>
        <w:pStyle w:val="Default"/>
        <w:numPr>
          <w:ilvl w:val="0"/>
          <w:numId w:val="69"/>
        </w:numPr>
        <w:ind w:left="567"/>
        <w:rPr>
          <w:rFonts w:asciiTheme="minorHAnsi" w:hAnsiTheme="minorHAnsi" w:cstheme="minorHAnsi"/>
          <w:sz w:val="22"/>
          <w:szCs w:val="22"/>
          <w:lang w:val="en-GB" w:eastAsia="zh-CN" w:bidi="ar-AE"/>
        </w:rPr>
      </w:pPr>
      <w:r w:rsidRPr="007F6798">
        <w:rPr>
          <w:rFonts w:asciiTheme="minorHAnsi" w:hAnsiTheme="minorHAnsi" w:cstheme="minorHAnsi"/>
          <w:sz w:val="22"/>
          <w:szCs w:val="22"/>
          <w:lang w:val="en-GB"/>
        </w:rPr>
        <w:t>Compensate for that fact that two of the key elements of the definition of a liquid market have not been taken into account, specifically: the number and type of market participants; and the average size of spreads. We understand why ESMA may have encountered difficulty incorporating these l</w:t>
      </w:r>
      <w:r w:rsidRPr="007F6798">
        <w:rPr>
          <w:rFonts w:asciiTheme="minorHAnsi" w:hAnsiTheme="minorHAnsi" w:cstheme="minorHAnsi"/>
          <w:sz w:val="22"/>
          <w:szCs w:val="22"/>
          <w:lang w:val="en-GB"/>
        </w:rPr>
        <w:t>i</w:t>
      </w:r>
      <w:r w:rsidRPr="007F6798">
        <w:rPr>
          <w:rFonts w:asciiTheme="minorHAnsi" w:hAnsiTheme="minorHAnsi" w:cstheme="minorHAnsi"/>
          <w:sz w:val="22"/>
          <w:szCs w:val="22"/>
          <w:lang w:val="en-GB"/>
        </w:rPr>
        <w:t>quidity parameters, but MiFIR does require their consideration, and we therefore recommend that ESMA compensate for the potential misclassification of illiquid sub-classes as liquid through higher liquidity thresholds for those liquidity parameters actually used (i.e., average frequency and ave</w:t>
      </w:r>
      <w:r w:rsidRPr="007F6798">
        <w:rPr>
          <w:rFonts w:asciiTheme="minorHAnsi" w:hAnsiTheme="minorHAnsi" w:cstheme="minorHAnsi"/>
          <w:sz w:val="22"/>
          <w:szCs w:val="22"/>
          <w:lang w:val="en-GB"/>
        </w:rPr>
        <w:t>r</w:t>
      </w:r>
      <w:r w:rsidRPr="007F6798">
        <w:rPr>
          <w:rFonts w:asciiTheme="minorHAnsi" w:hAnsiTheme="minorHAnsi" w:cstheme="minorHAnsi"/>
          <w:sz w:val="22"/>
          <w:szCs w:val="22"/>
          <w:lang w:val="en-GB"/>
        </w:rPr>
        <w:t>age size of transactions), than would otherwise have been possible had the full set of liquidity p</w:t>
      </w:r>
      <w:r w:rsidRPr="007F6798">
        <w:rPr>
          <w:rFonts w:asciiTheme="minorHAnsi" w:hAnsiTheme="minorHAnsi" w:cstheme="minorHAnsi"/>
          <w:sz w:val="22"/>
          <w:szCs w:val="22"/>
          <w:lang w:val="en-GB"/>
        </w:rPr>
        <w:t>a</w:t>
      </w:r>
      <w:r w:rsidRPr="007F6798">
        <w:rPr>
          <w:rFonts w:asciiTheme="minorHAnsi" w:hAnsiTheme="minorHAnsi" w:cstheme="minorHAnsi"/>
          <w:sz w:val="22"/>
          <w:szCs w:val="22"/>
          <w:lang w:val="en-GB"/>
        </w:rPr>
        <w:t xml:space="preserve">rameters been </w:t>
      </w:r>
      <w:r w:rsidRPr="007F6798">
        <w:rPr>
          <w:rFonts w:asciiTheme="minorHAnsi" w:hAnsiTheme="minorHAnsi" w:cstheme="minorHAnsi"/>
          <w:sz w:val="22"/>
          <w:szCs w:val="22"/>
          <w:lang w:val="en-GB" w:eastAsia="zh-CN" w:bidi="ar-AE"/>
        </w:rPr>
        <w:t>considered</w:t>
      </w:r>
      <w:r w:rsidR="00960C61">
        <w:rPr>
          <w:rFonts w:asciiTheme="minorHAnsi" w:hAnsiTheme="minorHAnsi" w:cstheme="minorHAnsi"/>
          <w:sz w:val="22"/>
          <w:szCs w:val="22"/>
          <w:lang w:val="en-GB" w:eastAsia="zh-CN" w:bidi="ar-AE"/>
        </w:rPr>
        <w:t>.</w:t>
      </w:r>
    </w:p>
    <w:p w:rsidR="00E66E28" w:rsidRPr="007F6798" w:rsidRDefault="00E66E28" w:rsidP="00E66E28">
      <w:pPr>
        <w:pStyle w:val="Default"/>
        <w:ind w:left="567"/>
        <w:rPr>
          <w:rFonts w:asciiTheme="minorHAnsi" w:hAnsiTheme="minorHAnsi" w:cstheme="minorHAnsi"/>
          <w:sz w:val="22"/>
          <w:szCs w:val="22"/>
          <w:lang w:val="en-GB" w:eastAsia="zh-CN" w:bidi="ar-AE"/>
        </w:rPr>
      </w:pPr>
    </w:p>
    <w:p w:rsidR="00E66E28" w:rsidRPr="007F6798" w:rsidRDefault="00E66E28" w:rsidP="00E66E28">
      <w:pPr>
        <w:pStyle w:val="Default"/>
        <w:numPr>
          <w:ilvl w:val="0"/>
          <w:numId w:val="69"/>
        </w:numPr>
        <w:ind w:left="567"/>
        <w:rPr>
          <w:rFonts w:asciiTheme="minorHAnsi" w:hAnsiTheme="minorHAnsi" w:cstheme="minorHAnsi"/>
          <w:sz w:val="22"/>
          <w:szCs w:val="22"/>
          <w:lang w:val="en-GB" w:eastAsia="zh-CN" w:bidi="ar-AE"/>
        </w:rPr>
      </w:pPr>
      <w:r w:rsidRPr="007F6798">
        <w:rPr>
          <w:rFonts w:asciiTheme="minorHAnsi" w:hAnsiTheme="minorHAnsi" w:cstheme="minorHAnsi"/>
          <w:sz w:val="22"/>
          <w:szCs w:val="22"/>
          <w:lang w:val="en-GB" w:eastAsia="zh-CN" w:bidi="ar-AE"/>
        </w:rPr>
        <w:t>Recognise package transactions as a distinct class of financial transactions and ensure that they are adequately provided for in the RTS</w:t>
      </w:r>
      <w:r w:rsidR="00960C61">
        <w:rPr>
          <w:rFonts w:asciiTheme="minorHAnsi" w:hAnsiTheme="minorHAnsi" w:cstheme="minorHAnsi"/>
          <w:sz w:val="22"/>
          <w:szCs w:val="22"/>
          <w:lang w:val="en-GB" w:eastAsia="zh-CN" w:bidi="ar-AE"/>
        </w:rPr>
        <w:t>.</w:t>
      </w:r>
    </w:p>
    <w:p w:rsidR="00E66E28" w:rsidRPr="007F6798" w:rsidRDefault="00E66E28" w:rsidP="00E66E28">
      <w:pPr>
        <w:pStyle w:val="Default"/>
        <w:ind w:left="567"/>
        <w:rPr>
          <w:rFonts w:asciiTheme="minorHAnsi" w:hAnsiTheme="minorHAnsi" w:cstheme="minorHAnsi"/>
          <w:sz w:val="22"/>
          <w:szCs w:val="22"/>
          <w:lang w:val="en-GB" w:eastAsia="zh-CN" w:bidi="ar-AE"/>
        </w:rPr>
      </w:pPr>
    </w:p>
    <w:p w:rsidR="00E66E28" w:rsidRPr="007F6798" w:rsidRDefault="00E66E28" w:rsidP="00E66E28">
      <w:pPr>
        <w:numPr>
          <w:ilvl w:val="0"/>
          <w:numId w:val="69"/>
        </w:numPr>
        <w:spacing w:after="240"/>
        <w:ind w:left="567"/>
        <w:rPr>
          <w:rFonts w:asciiTheme="minorHAnsi" w:hAnsiTheme="minorHAnsi" w:cs="Arial"/>
          <w:sz w:val="22"/>
          <w:szCs w:val="22"/>
          <w:lang w:eastAsia="zh-CN" w:bidi="ar-AE"/>
        </w:rPr>
      </w:pPr>
      <w:r w:rsidRPr="007F6798">
        <w:rPr>
          <w:rFonts w:asciiTheme="minorHAnsi" w:hAnsiTheme="minorHAnsi" w:cs="Arial"/>
          <w:sz w:val="22"/>
          <w:szCs w:val="22"/>
          <w:lang w:eastAsia="zh-CN" w:bidi="ar-AE"/>
        </w:rPr>
        <w:t>Make clearer and more specific compensation for the inadequacies in, and the errors of, the l</w:t>
      </w:r>
      <w:r w:rsidRPr="007F6798">
        <w:rPr>
          <w:rFonts w:asciiTheme="minorHAnsi" w:hAnsiTheme="minorHAnsi" w:cs="Arial"/>
          <w:sz w:val="22"/>
          <w:szCs w:val="22"/>
          <w:lang w:eastAsia="zh-CN" w:bidi="ar-AE"/>
        </w:rPr>
        <w:t>i</w:t>
      </w:r>
      <w:r w:rsidRPr="007F6798">
        <w:rPr>
          <w:rFonts w:asciiTheme="minorHAnsi" w:hAnsiTheme="minorHAnsi" w:cs="Arial"/>
          <w:sz w:val="22"/>
          <w:szCs w:val="22"/>
          <w:lang w:eastAsia="zh-CN" w:bidi="ar-AE"/>
        </w:rPr>
        <w:t>quidity assessment, through setting lower LIS and particularly SSTI thresholds than might othe</w:t>
      </w:r>
      <w:r w:rsidRPr="007F6798">
        <w:rPr>
          <w:rFonts w:asciiTheme="minorHAnsi" w:hAnsiTheme="minorHAnsi" w:cs="Arial"/>
          <w:sz w:val="22"/>
          <w:szCs w:val="22"/>
          <w:lang w:eastAsia="zh-CN" w:bidi="ar-AE"/>
        </w:rPr>
        <w:t>r</w:t>
      </w:r>
      <w:r w:rsidRPr="007F6798">
        <w:rPr>
          <w:rFonts w:asciiTheme="minorHAnsi" w:hAnsiTheme="minorHAnsi" w:cs="Arial"/>
          <w:sz w:val="22"/>
          <w:szCs w:val="22"/>
          <w:lang w:eastAsia="zh-CN" w:bidi="ar-AE"/>
        </w:rPr>
        <w:lastRenderedPageBreak/>
        <w:t>wise have been possible had a more accurate determination of liquidity been utilized.  This is of greatest importance where the liquidity assessment of the subclasses is most erroneous</w:t>
      </w:r>
      <w:r w:rsidR="00960C61">
        <w:rPr>
          <w:rFonts w:asciiTheme="minorHAnsi" w:hAnsiTheme="minorHAnsi" w:cs="Arial"/>
          <w:sz w:val="22"/>
          <w:szCs w:val="22"/>
          <w:lang w:eastAsia="zh-CN" w:bidi="ar-AE"/>
        </w:rPr>
        <w:t>.</w:t>
      </w: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Below we explain in detail why we disagree with the ESMA proposal and propose an alternative using the Bank of England semi-annual FX survey.</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0"/>
          <w:numId w:val="70"/>
        </w:numPr>
        <w:ind w:left="0" w:firstLine="0"/>
        <w:rPr>
          <w:rFonts w:asciiTheme="minorHAnsi" w:eastAsiaTheme="minorEastAsia" w:hAnsiTheme="minorHAnsi"/>
          <w:b/>
          <w:bCs/>
          <w:sz w:val="22"/>
          <w:szCs w:val="22"/>
          <w:lang w:val="en-GB"/>
        </w:rPr>
      </w:pPr>
      <w:r w:rsidRPr="007F6798">
        <w:rPr>
          <w:rFonts w:asciiTheme="minorHAnsi" w:eastAsiaTheme="minorEastAsia" w:hAnsiTheme="minorHAnsi"/>
          <w:b/>
          <w:bCs/>
          <w:sz w:val="22"/>
          <w:szCs w:val="22"/>
          <w:lang w:val="en-GB"/>
        </w:rPr>
        <w:t>Would you use different qualitative criteria to define the sub-classes?</w:t>
      </w:r>
    </w:p>
    <w:p w:rsidR="00E66E28" w:rsidRPr="007F6798" w:rsidRDefault="00E66E28" w:rsidP="00E66E28">
      <w:pPr>
        <w:pStyle w:val="Default"/>
        <w:ind w:left="720"/>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would use different criteria to define the sub classes.  Below, we discuss our observ</w:t>
      </w:r>
      <w:r w:rsidRPr="007F6798">
        <w:rPr>
          <w:rFonts w:asciiTheme="minorHAnsi" w:hAnsiTheme="minorHAnsi" w:cstheme="minorBidi"/>
          <w:bCs/>
          <w:color w:val="auto"/>
          <w:sz w:val="22"/>
          <w:szCs w:val="22"/>
          <w:lang w:val="en-GB"/>
        </w:rPr>
        <w:t>a</w:t>
      </w:r>
      <w:r w:rsidRPr="007F6798">
        <w:rPr>
          <w:rFonts w:asciiTheme="minorHAnsi" w:hAnsiTheme="minorHAnsi" w:cstheme="minorBidi"/>
          <w:bCs/>
          <w:color w:val="auto"/>
          <w:sz w:val="22"/>
          <w:szCs w:val="22"/>
          <w:lang w:val="en-GB"/>
        </w:rPr>
        <w:t>tions across FX forward, FX swap, FX NDF and FX options and provide an alternative for consider</w:t>
      </w:r>
      <w:r w:rsidRPr="007F6798">
        <w:rPr>
          <w:rFonts w:asciiTheme="minorHAnsi" w:hAnsiTheme="minorHAnsi" w:cstheme="minorBidi"/>
          <w:bCs/>
          <w:color w:val="auto"/>
          <w:sz w:val="22"/>
          <w:szCs w:val="22"/>
          <w:lang w:val="en-GB"/>
        </w:rPr>
        <w:t>a</w:t>
      </w:r>
      <w:r w:rsidRPr="007F6798">
        <w:rPr>
          <w:rFonts w:asciiTheme="minorHAnsi" w:hAnsiTheme="minorHAnsi" w:cstheme="minorBidi"/>
          <w:bCs/>
          <w:color w:val="auto"/>
          <w:sz w:val="22"/>
          <w:szCs w:val="22"/>
          <w:lang w:val="en-GB"/>
        </w:rPr>
        <w:t>tion.</w:t>
      </w:r>
    </w:p>
    <w:p w:rsidR="00E66E28" w:rsidRPr="007F6798" w:rsidRDefault="00E66E28" w:rsidP="00E66E28">
      <w:pPr>
        <w:pStyle w:val="Default"/>
        <w:rPr>
          <w:rFonts w:asciiTheme="minorHAnsi" w:hAnsiTheme="minorHAnsi" w:cstheme="minorBidi"/>
          <w:bCs/>
          <w:i/>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EMIR trade reporting and instrument mapping:</w:t>
      </w:r>
      <w:r w:rsidRPr="007F6798">
        <w:rPr>
          <w:rFonts w:asciiTheme="minorHAnsi" w:hAnsiTheme="minorHAnsi" w:cstheme="minorBidi"/>
          <w:bCs/>
          <w:color w:val="auto"/>
          <w:sz w:val="22"/>
          <w:szCs w:val="22"/>
          <w:lang w:val="en-GB"/>
        </w:rPr>
        <w:t xml:space="preserve"> We do not believe that EMIR trade reporting data has been categorized by ESMA to a sufficient degree of granularity to determine the liquidity of FX instr</w:t>
      </w:r>
      <w:r w:rsidRPr="007F6798">
        <w:rPr>
          <w:rFonts w:asciiTheme="minorHAnsi" w:hAnsiTheme="minorHAnsi" w:cstheme="minorBidi"/>
          <w:bCs/>
          <w:color w:val="auto"/>
          <w:sz w:val="22"/>
          <w:szCs w:val="22"/>
          <w:lang w:val="en-GB"/>
        </w:rPr>
        <w:t>u</w:t>
      </w:r>
      <w:r w:rsidRPr="007F6798">
        <w:rPr>
          <w:rFonts w:asciiTheme="minorHAnsi" w:hAnsiTheme="minorHAnsi" w:cstheme="minorBidi"/>
          <w:bCs/>
          <w:color w:val="auto"/>
          <w:sz w:val="22"/>
          <w:szCs w:val="22"/>
          <w:lang w:val="en-GB"/>
        </w:rPr>
        <w:t xml:space="preserve">ments.  As per our response to the May 2014 MiFID </w:t>
      </w:r>
      <w:r w:rsidR="000B6278">
        <w:rPr>
          <w:rFonts w:asciiTheme="minorHAnsi" w:hAnsiTheme="minorHAnsi" w:cstheme="minorBidi"/>
          <w:bCs/>
          <w:color w:val="auto"/>
          <w:sz w:val="22"/>
          <w:szCs w:val="22"/>
          <w:lang w:val="en-GB"/>
        </w:rPr>
        <w:t>Discussion Paper (</w:t>
      </w:r>
      <w:r w:rsidR="008754FC">
        <w:rPr>
          <w:rFonts w:asciiTheme="minorHAnsi" w:hAnsiTheme="minorHAnsi" w:cstheme="minorBidi"/>
          <w:bCs/>
          <w:color w:val="auto"/>
          <w:sz w:val="22"/>
          <w:szCs w:val="22"/>
          <w:lang w:val="en-GB"/>
        </w:rPr>
        <w:t>DP</w:t>
      </w:r>
      <w:r w:rsidR="000B6278">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the GFXD believes that the FX instruments should be categorized as per Annex 3.6.1, included for ease in Figure 1 below.  Our proposal allows the market to be considered in-line with the ISDA FX taxonomy which accurately represents how the market trades FX.  For non-spot trades, participants report this data under the ‘Product ID Value’ field to the TRs, and we suggest that this data should be made available to ESMA for consideration. The current ISDA FX taxonomy does not contain a FX swap, due to the fact that FX swaps are reported as FX forwards and are linked with a ‘link id’. Such an approach accommodates the varying booking methods used by market participants.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1"/>
          <w:numId w:val="65"/>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The current ISDA FX taxonomy is as follows: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spot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FX NDF (non deliverable forwards) (Product ID Value: Foreign Exchange: NDF)</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FX NDO (non deliverable options) (Product ID Value: Foreign Exchange: NDO)</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FX forward (Product ID Value: Foreign Exchange: Forward)</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FX vanilla options (Product ID Value: Foreign Exchange: Vanilla Options)</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simple exotics (Product ID Value: Foreign Exchange: </w:t>
      </w:r>
      <w:proofErr w:type="spellStart"/>
      <w:r w:rsidRPr="007F6798">
        <w:rPr>
          <w:rFonts w:asciiTheme="minorHAnsi" w:hAnsiTheme="minorHAnsi" w:cstheme="minorBidi"/>
          <w:bCs/>
          <w:color w:val="auto"/>
          <w:sz w:val="22"/>
          <w:szCs w:val="22"/>
          <w:lang w:val="en-GB"/>
        </w:rPr>
        <w:t>SimpleExotic</w:t>
      </w:r>
      <w:proofErr w:type="spellEnd"/>
      <w:r w:rsidRPr="007F6798">
        <w:rPr>
          <w:rFonts w:asciiTheme="minorHAnsi" w:hAnsiTheme="minorHAnsi" w:cstheme="minorBidi"/>
          <w:bCs/>
          <w:color w:val="auto"/>
          <w:sz w:val="22"/>
          <w:szCs w:val="22"/>
          <w:lang w:val="en-GB"/>
        </w:rPr>
        <w:t>)</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complex exotics (Product ID Value: Foreign Exchange: </w:t>
      </w:r>
      <w:proofErr w:type="spellStart"/>
      <w:r w:rsidRPr="007F6798">
        <w:rPr>
          <w:rFonts w:asciiTheme="minorHAnsi" w:hAnsiTheme="minorHAnsi" w:cstheme="minorBidi"/>
          <w:bCs/>
          <w:color w:val="auto"/>
          <w:sz w:val="22"/>
          <w:szCs w:val="22"/>
          <w:lang w:val="en-GB"/>
        </w:rPr>
        <w:t>ComplexExotic</w:t>
      </w:r>
      <w:proofErr w:type="spellEnd"/>
      <w:r w:rsidRPr="007F6798">
        <w:rPr>
          <w:rFonts w:asciiTheme="minorHAnsi" w:hAnsiTheme="minorHAnsi" w:cstheme="minorBidi"/>
          <w:bCs/>
          <w:color w:val="auto"/>
          <w:sz w:val="22"/>
          <w:szCs w:val="22"/>
          <w:lang w:val="en-GB"/>
        </w:rPr>
        <w:t>)</w:t>
      </w:r>
    </w:p>
    <w:p w:rsidR="00E66E28" w:rsidRPr="007F6798" w:rsidRDefault="00E66E28" w:rsidP="00E66E28">
      <w:pPr>
        <w:pStyle w:val="Default"/>
        <w:ind w:left="709"/>
        <w:rPr>
          <w:rFonts w:asciiTheme="minorHAnsi" w:hAnsiTheme="minorHAnsi" w:cstheme="minorBidi"/>
          <w:bCs/>
          <w:color w:val="auto"/>
          <w:sz w:val="22"/>
          <w:szCs w:val="22"/>
          <w:lang w:val="en-GB"/>
        </w:rPr>
      </w:pPr>
    </w:p>
    <w:p w:rsidR="00E66E28" w:rsidRPr="007F6798" w:rsidRDefault="00E66E28" w:rsidP="00E66E28">
      <w:pPr>
        <w:pStyle w:val="Default"/>
        <w:numPr>
          <w:ilvl w:val="1"/>
          <w:numId w:val="65"/>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EMIR trade reporting currently does not recognize this taxonomy.  Instead trade repositories permit reporting firms map data submissions using the following EMIR reportable fields:</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Product ID 1: CU (currency)</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Product ID 2: FW (forwards), OP (options), SW (swap), OT (other)</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1"/>
          <w:numId w:val="65"/>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For example, DTCC maps their FX trade submissions as follows:</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Spot – mapped to ‘OT’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NDF – mapped to ‘FW’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NDO – mapped to ‘OP’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Fwd – mapped to ‘FW’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Vanilla Option – mapped to ‘OP’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FX Simple Exotic – mapped to ‘OP’ </w:t>
      </w:r>
    </w:p>
    <w:p w:rsidR="00E66E28" w:rsidRPr="007F6798" w:rsidRDefault="00E66E28" w:rsidP="00E66E28">
      <w:pPr>
        <w:pStyle w:val="Default"/>
        <w:numPr>
          <w:ilvl w:val="0"/>
          <w:numId w:val="64"/>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FX Complex Exotic – mapped to ‘OT’</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ESMA also note that they have performed additional mapping of the data to the ‘Other’ bucket and have re-classified this as ‘Spread-betting’. As discussed above, this is not appropriate to FX derivatives defined under MiFID Annex C4, so should be disaggregated and split by ESMA into the appropriate sub-product </w:t>
      </w:r>
      <w:r w:rsidRPr="007F6798">
        <w:rPr>
          <w:rFonts w:asciiTheme="minorHAnsi" w:hAnsiTheme="minorHAnsi" w:cstheme="minorBidi"/>
          <w:bCs/>
          <w:color w:val="auto"/>
          <w:sz w:val="22"/>
          <w:szCs w:val="22"/>
          <w:lang w:val="en-GB"/>
        </w:rPr>
        <w:lastRenderedPageBreak/>
        <w:t xml:space="preserve">classes for in order to achieve an appropriate determination of liquidity at a suitably granular level.  Annex 2.1.1 paragraph </w:t>
      </w:r>
      <w:proofErr w:type="gramStart"/>
      <w:r w:rsidRPr="007F6798">
        <w:rPr>
          <w:rFonts w:asciiTheme="minorHAnsi" w:hAnsiTheme="minorHAnsi" w:cstheme="minorBidi"/>
          <w:bCs/>
          <w:color w:val="auto"/>
          <w:sz w:val="22"/>
          <w:szCs w:val="22"/>
          <w:lang w:val="en-GB"/>
        </w:rPr>
        <w:t>vi</w:t>
      </w:r>
      <w:proofErr w:type="gramEnd"/>
      <w:r w:rsidRPr="007F6798">
        <w:rPr>
          <w:rFonts w:asciiTheme="minorHAnsi" w:hAnsiTheme="minorHAnsi" w:cstheme="minorBidi"/>
          <w:bCs/>
          <w:color w:val="auto"/>
          <w:sz w:val="22"/>
          <w:szCs w:val="22"/>
          <w:lang w:val="en-GB"/>
        </w:rPr>
        <w:t xml:space="preserve"> on page 210 of the </w:t>
      </w:r>
      <w:r w:rsidR="00F015C7">
        <w:rPr>
          <w:rFonts w:asciiTheme="minorHAnsi" w:hAnsiTheme="minorHAnsi" w:cstheme="minorBidi"/>
          <w:bCs/>
          <w:color w:val="auto"/>
          <w:sz w:val="22"/>
          <w:szCs w:val="22"/>
          <w:lang w:val="en-GB"/>
        </w:rPr>
        <w:t>Consultation Paper (</w:t>
      </w:r>
      <w:r w:rsidRPr="007F6798">
        <w:rPr>
          <w:rFonts w:asciiTheme="minorHAnsi" w:hAnsiTheme="minorHAnsi" w:cstheme="minorBidi"/>
          <w:bCs/>
          <w:color w:val="auto"/>
          <w:sz w:val="22"/>
          <w:szCs w:val="22"/>
          <w:lang w:val="en-GB"/>
        </w:rPr>
        <w:t>CP</w:t>
      </w:r>
      <w:r w:rsidR="00F015C7">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xml:space="preserve"> defines how ESMA have re-pointed data and created the ‘Spread-betting’ bucket.  We believe that this approach i</w:t>
      </w:r>
      <w:r w:rsidR="00EA25E8">
        <w:rPr>
          <w:rFonts w:asciiTheme="minorHAnsi" w:hAnsiTheme="minorHAnsi" w:cstheme="minorBidi"/>
          <w:bCs/>
          <w:color w:val="auto"/>
          <w:sz w:val="22"/>
          <w:szCs w:val="22"/>
          <w:lang w:val="en-GB"/>
        </w:rPr>
        <w:t>s not accurate and grossly mis</w:t>
      </w:r>
      <w:r w:rsidRPr="007F6798">
        <w:rPr>
          <w:rFonts w:asciiTheme="minorHAnsi" w:hAnsiTheme="minorHAnsi" w:cstheme="minorBidi"/>
          <w:bCs/>
          <w:color w:val="auto"/>
          <w:sz w:val="22"/>
          <w:szCs w:val="22"/>
          <w:lang w:val="en-GB"/>
        </w:rPr>
        <w:t>represents what should be included in the ‘Other’ bucket, namely FX complex exotic options, which represent approximately 2% of the FX market and are widely considered to be bespoke and illiquid in nature.</w:t>
      </w:r>
    </w:p>
    <w:p w:rsidR="00E66E28" w:rsidRPr="007F6798" w:rsidRDefault="00E66E28" w:rsidP="00E66E28">
      <w:pPr>
        <w:pStyle w:val="Default"/>
        <w:rPr>
          <w:rFonts w:asciiTheme="minorHAnsi" w:hAnsiTheme="minorHAnsi" w:cstheme="minorBidi"/>
          <w:b/>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Figure 1: GFXD proposal for Annex 3.6.1 defining FX instrument categorization under MiFIR</w:t>
      </w:r>
    </w:p>
    <w:p w:rsidR="00E66E28" w:rsidRPr="007F6798" w:rsidRDefault="00E66E28" w:rsidP="00E66E28">
      <w:pPr>
        <w:pStyle w:val="Default"/>
        <w:rPr>
          <w:rFonts w:asciiTheme="minorHAnsi" w:hAnsiTheme="minorHAnsi" w:cstheme="minorBidi"/>
          <w:bCs/>
          <w:color w:val="auto"/>
          <w:sz w:val="22"/>
          <w:szCs w:val="22"/>
          <w:lang w:val="en-GB"/>
        </w:rPr>
      </w:pPr>
    </w:p>
    <w:tbl>
      <w:tblPr>
        <w:tblW w:w="10220" w:type="dxa"/>
        <w:tblInd w:w="91" w:type="dxa"/>
        <w:tblLook w:val="04A0"/>
      </w:tblPr>
      <w:tblGrid>
        <w:gridCol w:w="2760"/>
        <w:gridCol w:w="1500"/>
        <w:gridCol w:w="1940"/>
        <w:gridCol w:w="4020"/>
      </w:tblGrid>
      <w:tr w:rsidR="00E66E28" w:rsidRPr="007F6798" w:rsidTr="00233471">
        <w:trPr>
          <w:trHeight w:val="315"/>
        </w:trPr>
        <w:tc>
          <w:tcPr>
            <w:tcW w:w="27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Financial Instrument</w:t>
            </w:r>
          </w:p>
        </w:tc>
        <w:tc>
          <w:tcPr>
            <w:tcW w:w="1500" w:type="dxa"/>
            <w:tcBorders>
              <w:top w:val="single" w:sz="8" w:space="0" w:color="auto"/>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Product Types</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Sub-Product Types</w:t>
            </w:r>
          </w:p>
        </w:tc>
        <w:tc>
          <w:tcPr>
            <w:tcW w:w="4020" w:type="dxa"/>
            <w:tcBorders>
              <w:top w:val="single" w:sz="8" w:space="0" w:color="auto"/>
              <w:left w:val="nil"/>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Recommended Liquidity sub-categories</w:t>
            </w:r>
          </w:p>
        </w:tc>
      </w:tr>
      <w:tr w:rsidR="00E66E28" w:rsidRPr="007F6798" w:rsidTr="00233471">
        <w:trPr>
          <w:trHeight w:val="315"/>
        </w:trPr>
        <w:tc>
          <w:tcPr>
            <w:tcW w:w="27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Foreign Exchange Deriv</w:t>
            </w:r>
            <w:r w:rsidRPr="007F6798">
              <w:rPr>
                <w:rFonts w:asciiTheme="minorHAnsi" w:hAnsiTheme="minorHAnsi"/>
                <w:color w:val="000000"/>
                <w:sz w:val="22"/>
                <w:szCs w:val="22"/>
              </w:rPr>
              <w:t>a</w:t>
            </w:r>
            <w:r w:rsidRPr="007F6798">
              <w:rPr>
                <w:rFonts w:asciiTheme="minorHAnsi" w:hAnsiTheme="minorHAnsi"/>
                <w:color w:val="000000"/>
                <w:sz w:val="22"/>
                <w:szCs w:val="22"/>
              </w:rPr>
              <w:t>tives</w:t>
            </w:r>
          </w:p>
        </w:tc>
        <w:tc>
          <w:tcPr>
            <w:tcW w:w="1500" w:type="dxa"/>
            <w:tcBorders>
              <w:top w:val="nil"/>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Futures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N/A</w:t>
            </w:r>
          </w:p>
        </w:tc>
        <w:tc>
          <w:tcPr>
            <w:tcW w:w="4020" w:type="dxa"/>
            <w:tcBorders>
              <w:top w:val="single" w:sz="8" w:space="0" w:color="auto"/>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18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Options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Non-Deliverable Option - NDO (only European type options are NDO - not any other FX options settled in non-deliverable currency)</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Currency Pair</w:t>
            </w:r>
          </w:p>
        </w:tc>
      </w:tr>
      <w:tr w:rsidR="00E66E28" w:rsidRPr="007F6798" w:rsidTr="00233471">
        <w:trPr>
          <w:trHeight w:val="690"/>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Vanilla Option (European and American)</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Maturity</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Forwards</w:t>
            </w: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Deliverable Fo</w:t>
            </w:r>
            <w:r w:rsidRPr="007F6798">
              <w:rPr>
                <w:rFonts w:asciiTheme="minorHAnsi" w:hAnsiTheme="minorHAnsi"/>
                <w:color w:val="000000"/>
                <w:sz w:val="22"/>
                <w:szCs w:val="22"/>
              </w:rPr>
              <w:t>r</w:t>
            </w:r>
            <w:r w:rsidRPr="007F6798">
              <w:rPr>
                <w:rFonts w:asciiTheme="minorHAnsi" w:hAnsiTheme="minorHAnsi"/>
                <w:color w:val="000000"/>
                <w:sz w:val="22"/>
                <w:szCs w:val="22"/>
              </w:rPr>
              <w:t>ward</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NDF</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FX Swaps</w:t>
            </w: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Non-Deliverable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Others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Simple exotic (Barrier &amp; Digital)</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Complex Exotic</w:t>
            </w:r>
          </w:p>
        </w:tc>
        <w:tc>
          <w:tcPr>
            <w:tcW w:w="4020" w:type="dxa"/>
            <w:tcBorders>
              <w:top w:val="nil"/>
              <w:left w:val="single" w:sz="8" w:space="0" w:color="auto"/>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bl>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would also like to support the ISDA position on package transactions, a direct extract included below for ease which we consider should be applied generically to all non-Equity instruments:</w:t>
      </w:r>
    </w:p>
    <w:p w:rsidR="00054728" w:rsidRPr="007F6798" w:rsidRDefault="00E66E28" w:rsidP="00E66E28">
      <w:pPr>
        <w:spacing w:before="240"/>
        <w:ind w:right="360"/>
        <w:rPr>
          <w:rFonts w:asciiTheme="minorHAnsi" w:hAnsiTheme="minorHAnsi" w:cs="Arial"/>
          <w:b/>
          <w:sz w:val="22"/>
          <w:szCs w:val="22"/>
        </w:rPr>
      </w:pPr>
      <w:r w:rsidRPr="007F6798">
        <w:rPr>
          <w:rFonts w:asciiTheme="minorHAnsi" w:hAnsiTheme="minorHAnsi" w:cs="Arial"/>
          <w:b/>
          <w:sz w:val="22"/>
          <w:szCs w:val="22"/>
        </w:rPr>
        <w:t>START OF ISDA TEXT [Package transactions</w:t>
      </w:r>
    </w:p>
    <w:p w:rsidR="00E66E28" w:rsidRPr="007F6798" w:rsidRDefault="00E66E28" w:rsidP="00E66E28">
      <w:pPr>
        <w:rPr>
          <w:rFonts w:asciiTheme="minorHAnsi" w:hAnsiTheme="minorHAnsi" w:cs="Arial"/>
          <w:b/>
          <w:i/>
          <w:sz w:val="22"/>
          <w:szCs w:val="22"/>
        </w:rPr>
      </w:pPr>
      <w:r w:rsidRPr="007F6798">
        <w:rPr>
          <w:rFonts w:asciiTheme="minorHAnsi" w:hAnsiTheme="minorHAnsi" w:cs="Arial"/>
          <w:b/>
          <w:i/>
          <w:sz w:val="22"/>
          <w:szCs w:val="22"/>
        </w:rPr>
        <w:t>a) Overview</w:t>
      </w:r>
    </w:p>
    <w:p w:rsidR="00E66E28" w:rsidRPr="007F6798" w:rsidRDefault="00E66E28" w:rsidP="00E66E28">
      <w:pPr>
        <w:pStyle w:val="Default"/>
        <w:rPr>
          <w:rFonts w:asciiTheme="minorHAnsi" w:hAnsiTheme="minorHAnsi" w:cs="Arial"/>
          <w:bCs/>
          <w:color w:val="auto"/>
          <w:sz w:val="22"/>
          <w:szCs w:val="22"/>
          <w:lang w:val="en-GB"/>
        </w:rPr>
      </w:pPr>
      <w:r w:rsidRPr="007F6798">
        <w:rPr>
          <w:rFonts w:asciiTheme="minorHAnsi" w:hAnsiTheme="minorHAnsi" w:cs="Arial"/>
          <w:bCs/>
          <w:color w:val="auto"/>
          <w:sz w:val="22"/>
          <w:szCs w:val="22"/>
          <w:lang w:val="en-GB"/>
        </w:rPr>
        <w:t>ISDA would like to propose that ESMA considers specific and tailored treatment for package transactions as the Consultation Paper does not address how these transactions might be treated under the new framework. In res</w:t>
      </w:r>
      <w:r w:rsidR="008754FC">
        <w:rPr>
          <w:rFonts w:asciiTheme="minorHAnsi" w:hAnsiTheme="minorHAnsi" w:cs="Arial"/>
          <w:bCs/>
          <w:color w:val="auto"/>
          <w:sz w:val="22"/>
          <w:szCs w:val="22"/>
          <w:lang w:val="en-GB"/>
        </w:rPr>
        <w:t>ponse to the May 2014 D</w:t>
      </w:r>
      <w:r w:rsidRPr="007F6798">
        <w:rPr>
          <w:rFonts w:asciiTheme="minorHAnsi" w:hAnsiTheme="minorHAnsi" w:cs="Arial"/>
          <w:bCs/>
          <w:color w:val="auto"/>
          <w:sz w:val="22"/>
          <w:szCs w:val="22"/>
          <w:lang w:val="en-GB"/>
        </w:rPr>
        <w:t>P,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E66E28" w:rsidRPr="007F6798" w:rsidRDefault="00E66E28" w:rsidP="00E66E28">
      <w:pPr>
        <w:pStyle w:val="Default"/>
        <w:rPr>
          <w:rFonts w:asciiTheme="minorHAnsi" w:hAnsiTheme="minorHAnsi" w:cs="Arial"/>
          <w:bCs/>
          <w:color w:val="auto"/>
          <w:sz w:val="22"/>
          <w:szCs w:val="22"/>
          <w:lang w:val="en-GB"/>
        </w:rPr>
      </w:pPr>
    </w:p>
    <w:p w:rsidR="00E66E28" w:rsidRPr="007F6798" w:rsidRDefault="00E66E28" w:rsidP="00E66E28">
      <w:pPr>
        <w:pStyle w:val="Default"/>
        <w:rPr>
          <w:rFonts w:asciiTheme="minorHAnsi" w:hAnsiTheme="minorHAnsi" w:cs="Arial"/>
          <w:bCs/>
          <w:color w:val="auto"/>
          <w:sz w:val="22"/>
          <w:szCs w:val="22"/>
          <w:lang w:val="en-GB"/>
        </w:rPr>
      </w:pPr>
      <w:r w:rsidRPr="007F6798">
        <w:rPr>
          <w:rFonts w:asciiTheme="minorHAnsi" w:hAnsiTheme="minorHAnsi" w:cs="Arial"/>
          <w:bCs/>
          <w:color w:val="auto"/>
          <w:sz w:val="22"/>
          <w:szCs w:val="22"/>
          <w:lang w:val="en-GB"/>
        </w:rPr>
        <w:lastRenderedPageBreak/>
        <w:t>We believe that Level 1 text is flexible enough to empower ESMA to specify how package transactions are treated in order to determine if such transactions are liquid or “traded on a trading venue” (both for determining whether transparency obligations apply as well as determining whether the derivatives trading obligation applies).   The Level 1 text clearly sets the foundation for the pre- and post-trade transparency regimes in non-equities by defining the asset classes – “bonds, structured finance products, emission allowances and derivatives” – on which the Level 2 measures must be built. However, ESMA has flexibility to define how, within these broad asset classes, to identify whether specific financial i</w:t>
      </w:r>
      <w:r w:rsidRPr="007F6798">
        <w:rPr>
          <w:rFonts w:asciiTheme="minorHAnsi" w:hAnsiTheme="minorHAnsi" w:cs="Arial"/>
          <w:bCs/>
          <w:color w:val="auto"/>
          <w:sz w:val="22"/>
          <w:szCs w:val="22"/>
          <w:lang w:val="en-GB"/>
        </w:rPr>
        <w:t>n</w:t>
      </w:r>
      <w:r w:rsidRPr="007F6798">
        <w:rPr>
          <w:rFonts w:asciiTheme="minorHAnsi" w:hAnsiTheme="minorHAnsi" w:cs="Arial"/>
          <w:bCs/>
          <w:color w:val="auto"/>
          <w:sz w:val="22"/>
          <w:szCs w:val="22"/>
          <w:lang w:val="en-GB"/>
        </w:rPr>
        <w:t>struments (or combinations thereof) are to be considered “liquid” or “traded on a trading venue”.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E66E28" w:rsidRPr="007F6798" w:rsidRDefault="00E66E28" w:rsidP="00E66E28">
      <w:pPr>
        <w:pStyle w:val="Default"/>
        <w:rPr>
          <w:rFonts w:asciiTheme="minorHAnsi" w:hAnsiTheme="minorHAnsi" w:cs="Arial"/>
          <w:bCs/>
          <w:color w:val="auto"/>
          <w:sz w:val="22"/>
          <w:szCs w:val="22"/>
          <w:lang w:val="en-GB"/>
        </w:rPr>
      </w:pPr>
    </w:p>
    <w:p w:rsidR="00E66E28" w:rsidRPr="007F6798" w:rsidRDefault="00E66E28" w:rsidP="00E66E28">
      <w:pPr>
        <w:rPr>
          <w:rFonts w:asciiTheme="minorHAnsi" w:hAnsiTheme="minorHAnsi" w:cs="Arial"/>
          <w:b/>
          <w:i/>
          <w:sz w:val="22"/>
          <w:szCs w:val="22"/>
        </w:rPr>
      </w:pPr>
      <w:r w:rsidRPr="007F6798">
        <w:rPr>
          <w:rFonts w:asciiTheme="minorHAnsi" w:hAnsiTheme="minorHAnsi" w:cs="Arial"/>
          <w:b/>
          <w:i/>
          <w:sz w:val="22"/>
          <w:szCs w:val="22"/>
        </w:rPr>
        <w:t>b) Advantages of package transactions to clients</w:t>
      </w: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Package transactions allow clients to reduce their transaction costs (i.e. a single transaction is less expe</w:t>
      </w:r>
      <w:r w:rsidRPr="007F6798">
        <w:rPr>
          <w:rFonts w:asciiTheme="minorHAnsi" w:hAnsiTheme="minorHAnsi" w:cs="Arial"/>
          <w:bCs/>
          <w:sz w:val="22"/>
          <w:szCs w:val="22"/>
        </w:rPr>
        <w:t>n</w:t>
      </w:r>
      <w:r w:rsidRPr="007F6798">
        <w:rPr>
          <w:rFonts w:asciiTheme="minorHAnsi" w:hAnsiTheme="minorHAnsi" w:cs="Arial"/>
          <w:bCs/>
          <w:sz w:val="22"/>
          <w:szCs w:val="22"/>
        </w:rPr>
        <w:t>sive to execute than multiple transactions) and manage their execution risk (i.e. a single execution allev</w:t>
      </w:r>
      <w:r w:rsidRPr="007F6798">
        <w:rPr>
          <w:rFonts w:asciiTheme="minorHAnsi" w:hAnsiTheme="minorHAnsi" w:cs="Arial"/>
          <w:bCs/>
          <w:sz w:val="22"/>
          <w:szCs w:val="22"/>
        </w:rPr>
        <w:t>i</w:t>
      </w:r>
      <w:r w:rsidRPr="007F6798">
        <w:rPr>
          <w:rFonts w:asciiTheme="minorHAnsi" w:hAnsiTheme="minorHAnsi" w:cs="Arial"/>
          <w:bCs/>
          <w:sz w:val="22"/>
          <w:szCs w:val="22"/>
        </w:rPr>
        <w:t>ates timing and other mechanical/process type risks). They are tailored to provide risk-return characte</w:t>
      </w:r>
      <w:r w:rsidRPr="007F6798">
        <w:rPr>
          <w:rFonts w:asciiTheme="minorHAnsi" w:hAnsiTheme="minorHAnsi" w:cs="Arial"/>
          <w:bCs/>
          <w:sz w:val="22"/>
          <w:szCs w:val="22"/>
        </w:rPr>
        <w:t>r</w:t>
      </w:r>
      <w:r w:rsidRPr="007F6798">
        <w:rPr>
          <w:rFonts w:asciiTheme="minorHAnsi" w:hAnsiTheme="minorHAnsi" w:cs="Arial"/>
          <w:bCs/>
          <w:sz w:val="22"/>
          <w:szCs w:val="22"/>
        </w:rPr>
        <w:t>istics in the form of a single transaction in an efficient and cost-effective manner to clients.</w:t>
      </w:r>
    </w:p>
    <w:p w:rsidR="005D2AFD" w:rsidRPr="007F6798" w:rsidRDefault="005D2AFD" w:rsidP="00E66E28">
      <w:pPr>
        <w:rPr>
          <w:rFonts w:asciiTheme="minorHAnsi" w:hAnsiTheme="minorHAnsi" w:cs="Arial"/>
          <w:b/>
          <w:i/>
          <w:sz w:val="22"/>
          <w:szCs w:val="22"/>
        </w:rPr>
      </w:pPr>
    </w:p>
    <w:p w:rsidR="00E66E28" w:rsidRPr="007F6798" w:rsidRDefault="00E66E28" w:rsidP="00E66E28">
      <w:pPr>
        <w:rPr>
          <w:rFonts w:asciiTheme="minorHAnsi" w:hAnsiTheme="minorHAnsi" w:cs="Arial"/>
          <w:b/>
          <w:i/>
          <w:sz w:val="22"/>
          <w:szCs w:val="22"/>
        </w:rPr>
      </w:pPr>
      <w:r w:rsidRPr="007F6798">
        <w:rPr>
          <w:rFonts w:asciiTheme="minorHAnsi" w:hAnsiTheme="minorHAnsi" w:cs="Arial"/>
          <w:b/>
          <w:i/>
          <w:sz w:val="22"/>
          <w:szCs w:val="22"/>
        </w:rPr>
        <w:t>c) Challenges to trading package transactions without a tailored proposal</w:t>
      </w:r>
    </w:p>
    <w:p w:rsidR="005D2AFD"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 xml:space="preserve">Below are some very realistic fact patterns which hopefully demonstrate that unless there is tailored treatment for package transactions which recognises that package transactions should be considered in their entirety when being assessed as subject to transparency requires and/or the derivatives trading obligation, there is a significant risk that such transactions may no longer be available to clients in the EU. </w:t>
      </w:r>
    </w:p>
    <w:p w:rsidR="005D2AFD" w:rsidRPr="007F6798" w:rsidRDefault="005D2AFD" w:rsidP="00E66E28">
      <w:pPr>
        <w:rPr>
          <w:rFonts w:asciiTheme="minorHAnsi" w:hAnsiTheme="minorHAnsi" w:cs="Arial"/>
          <w:bCs/>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This will be due to the individual components being treated differently and inconsistently vs. each other when they are assessed against the relevant requirements which would negate the advantages hig</w:t>
      </w:r>
      <w:r w:rsidRPr="007F6798">
        <w:rPr>
          <w:rFonts w:asciiTheme="minorHAnsi" w:hAnsiTheme="minorHAnsi" w:cs="Arial"/>
          <w:bCs/>
          <w:sz w:val="22"/>
          <w:szCs w:val="22"/>
        </w:rPr>
        <w:t>h</w:t>
      </w:r>
      <w:r w:rsidRPr="007F6798">
        <w:rPr>
          <w:rFonts w:asciiTheme="minorHAnsi" w:hAnsiTheme="minorHAnsi" w:cs="Arial"/>
          <w:bCs/>
          <w:sz w:val="22"/>
          <w:szCs w:val="22"/>
        </w:rPr>
        <w:t>lighted above of trading package transactions. These challenges are likely to be particularly acute where one or more of the components of a package transaction includes derivatives subject to the trading obligation:</w:t>
      </w:r>
    </w:p>
    <w:p w:rsidR="00E66E28" w:rsidRPr="007F6798" w:rsidRDefault="00E66E28" w:rsidP="00E66E28">
      <w:pPr>
        <w:pStyle w:val="ListParagraph"/>
        <w:numPr>
          <w:ilvl w:val="0"/>
          <w:numId w:val="71"/>
        </w:numPr>
        <w:spacing w:after="120"/>
        <w:rPr>
          <w:rFonts w:asciiTheme="minorHAnsi" w:hAnsiTheme="minorHAnsi" w:cs="Arial"/>
          <w:sz w:val="22"/>
          <w:szCs w:val="22"/>
        </w:rPr>
      </w:pPr>
      <w:r w:rsidRPr="007F6798">
        <w:rPr>
          <w:rFonts w:asciiTheme="minorHAnsi" w:hAnsiTheme="minorHAnsi" w:cs="Arial"/>
          <w:sz w:val="22"/>
          <w:szCs w:val="22"/>
        </w:rPr>
        <w:t xml:space="preserve">If some components of a package transaction are traded on a trading venue but others are not. </w:t>
      </w:r>
    </w:p>
    <w:p w:rsidR="00E66E28" w:rsidRPr="007F6798" w:rsidRDefault="00E66E28" w:rsidP="00E66E28">
      <w:pPr>
        <w:pStyle w:val="ListParagraph"/>
        <w:numPr>
          <w:ilvl w:val="0"/>
          <w:numId w:val="71"/>
        </w:numPr>
        <w:spacing w:after="120"/>
        <w:rPr>
          <w:rFonts w:asciiTheme="minorHAnsi" w:hAnsiTheme="minorHAnsi" w:cs="Arial"/>
          <w:sz w:val="22"/>
          <w:szCs w:val="22"/>
        </w:rPr>
      </w:pPr>
      <w:r w:rsidRPr="007F6798">
        <w:rPr>
          <w:rFonts w:asciiTheme="minorHAnsi" w:hAnsiTheme="minorHAnsi" w:cs="Arial"/>
          <w:sz w:val="22"/>
          <w:szCs w:val="22"/>
        </w:rPr>
        <w:t>If some components of a package transaction are deemed liquid but others are not.</w:t>
      </w:r>
    </w:p>
    <w:p w:rsidR="00E66E28" w:rsidRPr="007F6798" w:rsidRDefault="00E66E28" w:rsidP="00E66E28">
      <w:pPr>
        <w:pStyle w:val="ListParagraph"/>
        <w:numPr>
          <w:ilvl w:val="0"/>
          <w:numId w:val="71"/>
        </w:numPr>
        <w:spacing w:after="120"/>
        <w:rPr>
          <w:rFonts w:asciiTheme="minorHAnsi" w:hAnsiTheme="minorHAnsi" w:cs="Arial"/>
          <w:sz w:val="22"/>
          <w:szCs w:val="22"/>
        </w:rPr>
      </w:pPr>
      <w:r w:rsidRPr="007F6798">
        <w:rPr>
          <w:rFonts w:asciiTheme="minorHAnsi" w:hAnsiTheme="minorHAnsi" w:cs="Arial"/>
          <w:sz w:val="22"/>
          <w:szCs w:val="22"/>
        </w:rPr>
        <w:t>If some components of a package transaction are above the relevant LIS or SSTI thresholds but others are not.</w:t>
      </w:r>
    </w:p>
    <w:p w:rsidR="00E66E28" w:rsidRPr="007F6798" w:rsidRDefault="00E66E28" w:rsidP="00E66E28">
      <w:pPr>
        <w:pStyle w:val="ListParagraph"/>
        <w:numPr>
          <w:ilvl w:val="0"/>
          <w:numId w:val="71"/>
        </w:numPr>
        <w:spacing w:after="120"/>
        <w:rPr>
          <w:rFonts w:asciiTheme="minorHAnsi" w:hAnsiTheme="minorHAnsi" w:cs="Arial"/>
          <w:sz w:val="22"/>
          <w:szCs w:val="22"/>
        </w:rPr>
      </w:pPr>
      <w:r w:rsidRPr="007F6798">
        <w:rPr>
          <w:rFonts w:asciiTheme="minorHAnsi" w:hAnsiTheme="minorHAnsi" w:cs="Arial"/>
          <w:sz w:val="22"/>
          <w:szCs w:val="22"/>
        </w:rPr>
        <w:t>If the components of a package transaction are below the relevant LIS or SSTI thresholds but t</w:t>
      </w:r>
      <w:r w:rsidRPr="007F6798">
        <w:rPr>
          <w:rFonts w:asciiTheme="minorHAnsi" w:hAnsiTheme="minorHAnsi" w:cs="Arial"/>
          <w:sz w:val="22"/>
          <w:szCs w:val="22"/>
        </w:rPr>
        <w:t>o</w:t>
      </w:r>
      <w:r w:rsidRPr="007F6798">
        <w:rPr>
          <w:rFonts w:asciiTheme="minorHAnsi" w:hAnsiTheme="minorHAnsi" w:cs="Arial"/>
          <w:sz w:val="22"/>
          <w:szCs w:val="22"/>
        </w:rPr>
        <w:t xml:space="preserve">gether they behave similarly to a single transaction above the LIS or SSTI. </w:t>
      </w:r>
    </w:p>
    <w:p w:rsidR="00E66E28" w:rsidRPr="007F6798" w:rsidRDefault="00E66E28" w:rsidP="00E66E28">
      <w:pPr>
        <w:pStyle w:val="ListParagraph"/>
        <w:numPr>
          <w:ilvl w:val="0"/>
          <w:numId w:val="71"/>
        </w:numPr>
        <w:spacing w:after="120"/>
        <w:rPr>
          <w:rFonts w:asciiTheme="minorHAnsi" w:hAnsiTheme="minorHAnsi" w:cs="Arial"/>
          <w:sz w:val="22"/>
          <w:szCs w:val="22"/>
        </w:rPr>
      </w:pPr>
      <w:r w:rsidRPr="007F6798">
        <w:rPr>
          <w:rFonts w:asciiTheme="minorHAnsi" w:hAnsiTheme="minorHAnsi" w:cs="Arial"/>
          <w:sz w:val="22"/>
          <w:szCs w:val="22"/>
        </w:rPr>
        <w:t>If the package transaction contains a listed derivative which trades on a different trading venue to other components.</w:t>
      </w: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5D2AFD" w:rsidRPr="007F6798" w:rsidRDefault="005D2AFD" w:rsidP="00E66E28">
      <w:pPr>
        <w:rPr>
          <w:rFonts w:asciiTheme="minorHAnsi" w:hAnsiTheme="minorHAnsi" w:cs="Arial"/>
          <w:b/>
          <w:i/>
          <w:sz w:val="22"/>
          <w:szCs w:val="22"/>
        </w:rPr>
      </w:pPr>
    </w:p>
    <w:p w:rsidR="00E66E28" w:rsidRPr="007F6798" w:rsidRDefault="00E66E28" w:rsidP="00E66E28">
      <w:pPr>
        <w:rPr>
          <w:rFonts w:asciiTheme="minorHAnsi" w:hAnsiTheme="minorHAnsi" w:cs="Arial"/>
          <w:b/>
          <w:i/>
          <w:sz w:val="22"/>
          <w:szCs w:val="22"/>
        </w:rPr>
      </w:pPr>
      <w:r w:rsidRPr="007F6798">
        <w:rPr>
          <w:rFonts w:asciiTheme="minorHAnsi" w:hAnsiTheme="minorHAnsi" w:cs="Arial"/>
          <w:b/>
          <w:i/>
          <w:sz w:val="22"/>
          <w:szCs w:val="22"/>
        </w:rPr>
        <w:t>d) ISDA proposal</w:t>
      </w: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5D2AFD" w:rsidRPr="007F6798" w:rsidRDefault="005D2AFD" w:rsidP="00E66E28">
      <w:pPr>
        <w:rPr>
          <w:rFonts w:asciiTheme="minorHAnsi" w:hAnsiTheme="minorHAnsi" w:cs="Arial"/>
          <w:sz w:val="22"/>
          <w:szCs w:val="22"/>
          <w:u w:val="single"/>
        </w:rPr>
      </w:pPr>
    </w:p>
    <w:p w:rsidR="00E66E28" w:rsidRPr="007F6798" w:rsidRDefault="00E66E28" w:rsidP="00E66E28">
      <w:pPr>
        <w:rPr>
          <w:rFonts w:asciiTheme="minorHAnsi" w:hAnsiTheme="minorHAnsi" w:cs="Arial"/>
          <w:sz w:val="22"/>
          <w:szCs w:val="22"/>
          <w:u w:val="single"/>
        </w:rPr>
      </w:pPr>
      <w:r w:rsidRPr="007F6798">
        <w:rPr>
          <w:rFonts w:asciiTheme="minorHAnsi" w:hAnsiTheme="minorHAnsi" w:cs="Arial"/>
          <w:sz w:val="22"/>
          <w:szCs w:val="22"/>
          <w:u w:val="single"/>
        </w:rPr>
        <w:lastRenderedPageBreak/>
        <w:t>Option 1:</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 xml:space="preserve"> 1. Subject to point 3 below, if each component of a package transaction is liquid:</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 xml:space="preserve">a. The package transaction should be considered liquid; and </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b. If any one component is above the relevant threshold (LIS or SSTI) then the package transaction should be deemed to be above the threshold.</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2. Subject to point 3 below, if the package transaction contains liquid and illiquid components:</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a. The package transaction should be considered illiquid; and</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b. If any one component is above the relevant threshold (LIS or SSTI) then the package transaction should be deemed to be above the threshold.</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3. For the purposes of MiFIR Articles 8(1), 10(1), 18(1) and 18(2), all components of a package have to be tradable on a single venue in order for the package be considered “traded on a venue”.</w:t>
      </w:r>
    </w:p>
    <w:p w:rsidR="00E66E28" w:rsidRDefault="00E66E28" w:rsidP="00E66E28">
      <w:pPr>
        <w:ind w:left="720"/>
        <w:rPr>
          <w:rFonts w:asciiTheme="minorHAnsi" w:hAnsiTheme="minorHAnsi" w:cs="Arial"/>
          <w:sz w:val="22"/>
          <w:szCs w:val="22"/>
        </w:rPr>
      </w:pPr>
      <w:r w:rsidRPr="007F6798">
        <w:rPr>
          <w:rFonts w:asciiTheme="minorHAnsi" w:hAnsiTheme="minorHAnsi" w:cs="Arial"/>
          <w:sz w:val="22"/>
          <w:szCs w:val="22"/>
        </w:rPr>
        <w:t xml:space="preserve">4. If the package transaction comprises ten or more component legs, the package transaction should be considered illiquid. </w:t>
      </w:r>
    </w:p>
    <w:p w:rsidR="00054728" w:rsidRPr="007F6798" w:rsidRDefault="00054728" w:rsidP="00E66E28">
      <w:pPr>
        <w:ind w:left="720"/>
        <w:rPr>
          <w:rFonts w:asciiTheme="minorHAnsi" w:hAnsiTheme="minorHAnsi" w:cs="Arial"/>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If ESMA, for pre-trade transparency purposes, would prefer to represent this in a table format, we pr</w:t>
      </w:r>
      <w:r w:rsidRPr="007F6798">
        <w:rPr>
          <w:rFonts w:asciiTheme="minorHAnsi" w:hAnsiTheme="minorHAnsi" w:cs="Arial"/>
          <w:bCs/>
          <w:sz w:val="22"/>
          <w:szCs w:val="22"/>
        </w:rPr>
        <w:t>o</w:t>
      </w:r>
      <w:r w:rsidRPr="007F6798">
        <w:rPr>
          <w:rFonts w:asciiTheme="minorHAnsi" w:hAnsiTheme="minorHAnsi" w:cs="Arial"/>
          <w:bCs/>
          <w:sz w:val="22"/>
          <w:szCs w:val="22"/>
        </w:rPr>
        <w:t xml:space="preserve">pose the following table which reflects the above: </w:t>
      </w:r>
    </w:p>
    <w:p w:rsidR="008E13F7" w:rsidRDefault="008E13F7"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Default="007F6798" w:rsidP="00E66E28">
      <w:pPr>
        <w:rPr>
          <w:rFonts w:asciiTheme="minorHAnsi" w:hAnsiTheme="minorHAnsi" w:cs="Arial"/>
          <w:bCs/>
          <w:sz w:val="22"/>
          <w:szCs w:val="22"/>
        </w:rPr>
      </w:pPr>
    </w:p>
    <w:p w:rsidR="007F6798" w:rsidRPr="007F6798" w:rsidRDefault="007F6798" w:rsidP="00E66E28">
      <w:pPr>
        <w:rPr>
          <w:rFonts w:asciiTheme="minorHAnsi" w:hAnsiTheme="minorHAnsi" w:cs="Arial"/>
          <w:bCs/>
          <w:sz w:val="22"/>
          <w:szCs w:val="22"/>
        </w:rPr>
      </w:pPr>
    </w:p>
    <w:tbl>
      <w:tblPr>
        <w:tblW w:w="8771" w:type="dxa"/>
        <w:tblLayout w:type="fixed"/>
        <w:tblCellMar>
          <w:left w:w="28" w:type="dxa"/>
          <w:right w:w="28" w:type="dxa"/>
        </w:tblCellMar>
        <w:tblLook w:val="04A0"/>
      </w:tblPr>
      <w:tblGrid>
        <w:gridCol w:w="350"/>
        <w:gridCol w:w="2045"/>
        <w:gridCol w:w="864"/>
        <w:gridCol w:w="827"/>
        <w:gridCol w:w="937"/>
        <w:gridCol w:w="937"/>
        <w:gridCol w:w="936"/>
        <w:gridCol w:w="937"/>
        <w:gridCol w:w="938"/>
      </w:tblGrid>
      <w:tr w:rsidR="00E66E28" w:rsidRPr="007F6798" w:rsidTr="00233471">
        <w:trPr>
          <w:trHeight w:val="454"/>
        </w:trPr>
        <w:tc>
          <w:tcPr>
            <w:tcW w:w="87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E66E28" w:rsidRPr="007F6798" w:rsidRDefault="00E66E28" w:rsidP="00233471">
            <w:pPr>
              <w:spacing w:before="60" w:after="60"/>
              <w:rPr>
                <w:rFonts w:asciiTheme="minorHAnsi" w:hAnsiTheme="minorHAnsi" w:cs="Arial"/>
                <w:b/>
                <w:bCs/>
                <w:color w:val="000000"/>
                <w:sz w:val="16"/>
                <w:szCs w:val="16"/>
              </w:rPr>
            </w:pPr>
            <w:r w:rsidRPr="007F6798">
              <w:rPr>
                <w:rFonts w:asciiTheme="minorHAnsi" w:hAnsiTheme="minorHAnsi" w:cs="Arial"/>
                <w:b/>
                <w:bCs/>
                <w:color w:val="000000"/>
                <w:sz w:val="16"/>
                <w:szCs w:val="16"/>
              </w:rPr>
              <w:lastRenderedPageBreak/>
              <w:t xml:space="preserve">Table 11: ISDA Proposal for the calibration of Package Transactions </w:t>
            </w:r>
          </w:p>
          <w:p w:rsidR="00E66E28" w:rsidRPr="007F6798" w:rsidRDefault="00E66E28" w:rsidP="00233471">
            <w:pPr>
              <w:spacing w:before="60" w:after="60"/>
              <w:rPr>
                <w:rFonts w:asciiTheme="minorHAnsi" w:hAnsiTheme="minorHAnsi" w:cs="Arial"/>
                <w:b/>
                <w:bCs/>
                <w:color w:val="000000"/>
                <w:sz w:val="16"/>
                <w:szCs w:val="16"/>
              </w:rPr>
            </w:pPr>
            <w:proofErr w:type="gramStart"/>
            <w:r w:rsidRPr="007F6798">
              <w:rPr>
                <w:rFonts w:asciiTheme="minorHAnsi" w:hAnsiTheme="minorHAnsi" w:cs="Arial"/>
                <w:b/>
                <w:bCs/>
                <w:color w:val="000000"/>
                <w:sz w:val="16"/>
                <w:szCs w:val="16"/>
              </w:rPr>
              <w:t>for</w:t>
            </w:r>
            <w:proofErr w:type="gramEnd"/>
            <w:r w:rsidRPr="007F6798">
              <w:rPr>
                <w:rFonts w:asciiTheme="minorHAnsi" w:hAnsiTheme="minorHAnsi" w:cs="Arial"/>
                <w:b/>
                <w:bCs/>
                <w:color w:val="000000"/>
                <w:sz w:val="16"/>
                <w:szCs w:val="16"/>
              </w:rPr>
              <w:t xml:space="preserve"> liquidity, Large in Scale, and Size Specific to the Instrument thresholds.</w:t>
            </w:r>
          </w:p>
        </w:tc>
      </w:tr>
      <w:tr w:rsidR="00E66E28" w:rsidRPr="007F6798" w:rsidTr="00233471">
        <w:trPr>
          <w:cantSplit/>
          <w:trHeight w:val="1143"/>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rsidR="00E66E28" w:rsidRPr="007F6798" w:rsidRDefault="00E66E28" w:rsidP="00233471">
            <w:pPr>
              <w:ind w:left="113" w:right="113"/>
              <w:rPr>
                <w:rFonts w:asciiTheme="minorHAnsi" w:hAnsiTheme="minorHAnsi" w:cs="Arial"/>
                <w:b/>
                <w:bCs/>
                <w:color w:val="000000"/>
                <w:sz w:val="16"/>
                <w:szCs w:val="16"/>
              </w:rPr>
            </w:pPr>
            <w:r w:rsidRPr="007F6798">
              <w:rPr>
                <w:rFonts w:asciiTheme="minorHAnsi" w:hAnsiTheme="minorHAnsi" w:cs="Arial"/>
                <w:b/>
                <w:bCs/>
                <w:color w:val="000000"/>
                <w:sz w:val="16"/>
                <w:szCs w:val="16"/>
              </w:rPr>
              <w:t>Type</w:t>
            </w:r>
          </w:p>
        </w:tc>
        <w:tc>
          <w:tcPr>
            <w:tcW w:w="20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Package type comprising:</w:t>
            </w:r>
          </w:p>
        </w:tc>
        <w:tc>
          <w:tcPr>
            <w:tcW w:w="8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Example</w:t>
            </w:r>
          </w:p>
        </w:tc>
        <w:tc>
          <w:tcPr>
            <w:tcW w:w="8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1. All comp</w:t>
            </w:r>
            <w:r w:rsidRPr="007F6798">
              <w:rPr>
                <w:rFonts w:asciiTheme="minorHAnsi" w:hAnsiTheme="minorHAnsi" w:cs="Arial"/>
                <w:b/>
                <w:bCs/>
                <w:color w:val="000000"/>
                <w:sz w:val="16"/>
                <w:szCs w:val="16"/>
              </w:rPr>
              <w:t>o</w:t>
            </w:r>
            <w:r w:rsidRPr="007F6798">
              <w:rPr>
                <w:rFonts w:asciiTheme="minorHAnsi" w:hAnsiTheme="minorHAnsi" w:cs="Arial"/>
                <w:b/>
                <w:bCs/>
                <w:color w:val="000000"/>
                <w:sz w:val="16"/>
                <w:szCs w:val="16"/>
              </w:rPr>
              <w:t>nents above LIS</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2. All components above SSTI</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3. At least one comp</w:t>
            </w:r>
            <w:r w:rsidRPr="007F6798">
              <w:rPr>
                <w:rFonts w:asciiTheme="minorHAnsi" w:hAnsiTheme="minorHAnsi" w:cs="Arial"/>
                <w:b/>
                <w:bCs/>
                <w:color w:val="000000"/>
                <w:sz w:val="16"/>
                <w:szCs w:val="16"/>
              </w:rPr>
              <w:t>o</w:t>
            </w:r>
            <w:r w:rsidRPr="007F6798">
              <w:rPr>
                <w:rFonts w:asciiTheme="minorHAnsi" w:hAnsiTheme="minorHAnsi" w:cs="Arial"/>
                <w:b/>
                <w:bCs/>
                <w:color w:val="000000"/>
                <w:sz w:val="16"/>
                <w:szCs w:val="16"/>
              </w:rPr>
              <w:t>nent above LIS</w:t>
            </w:r>
          </w:p>
        </w:tc>
        <w:tc>
          <w:tcPr>
            <w:tcW w:w="9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4. At least one comp</w:t>
            </w:r>
            <w:r w:rsidRPr="007F6798">
              <w:rPr>
                <w:rFonts w:asciiTheme="minorHAnsi" w:hAnsiTheme="minorHAnsi" w:cs="Arial"/>
                <w:b/>
                <w:bCs/>
                <w:color w:val="000000"/>
                <w:sz w:val="16"/>
                <w:szCs w:val="16"/>
              </w:rPr>
              <w:t>o</w:t>
            </w:r>
            <w:r w:rsidRPr="007F6798">
              <w:rPr>
                <w:rFonts w:asciiTheme="minorHAnsi" w:hAnsiTheme="minorHAnsi" w:cs="Arial"/>
                <w:b/>
                <w:bCs/>
                <w:color w:val="000000"/>
                <w:sz w:val="16"/>
                <w:szCs w:val="16"/>
              </w:rPr>
              <w:t>nent above SSTI</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5. All components below LIS</w:t>
            </w:r>
          </w:p>
        </w:tc>
        <w:tc>
          <w:tcPr>
            <w:tcW w:w="9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66E28" w:rsidRPr="007F6798" w:rsidRDefault="00E66E28" w:rsidP="00233471">
            <w:pPr>
              <w:rPr>
                <w:rFonts w:asciiTheme="minorHAnsi" w:hAnsiTheme="minorHAnsi" w:cs="Arial"/>
                <w:b/>
                <w:bCs/>
                <w:color w:val="000000"/>
                <w:sz w:val="16"/>
                <w:szCs w:val="16"/>
              </w:rPr>
            </w:pPr>
            <w:r w:rsidRPr="007F6798">
              <w:rPr>
                <w:rFonts w:asciiTheme="minorHAnsi" w:hAnsiTheme="minorHAnsi" w:cs="Arial"/>
                <w:b/>
                <w:bCs/>
                <w:color w:val="000000"/>
                <w:sz w:val="16"/>
                <w:szCs w:val="16"/>
              </w:rPr>
              <w:t>6. All components below SSTI</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A</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Exclusively liquid derivatives in one derivative asset class</w:t>
            </w:r>
            <w:r w:rsidRPr="007F6798">
              <w:rPr>
                <w:rFonts w:asciiTheme="minorHAnsi" w:hAnsiTheme="minorHAnsi"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 xml:space="preserve">2yr </w:t>
            </w:r>
            <w:proofErr w:type="spellStart"/>
            <w:r w:rsidRPr="007F6798">
              <w:rPr>
                <w:rFonts w:asciiTheme="minorHAnsi" w:hAnsiTheme="minorHAnsi" w:cs="Arial"/>
                <w:color w:val="000000"/>
                <w:sz w:val="16"/>
                <w:szCs w:val="16"/>
              </w:rPr>
              <w:t>vs</w:t>
            </w:r>
            <w:proofErr w:type="spellEnd"/>
            <w:r w:rsidRPr="007F6798">
              <w:rPr>
                <w:rFonts w:asciiTheme="minorHAnsi" w:hAnsiTheme="minorHAnsi" w:cs="Arial"/>
                <w:color w:val="000000"/>
                <w:sz w:val="16"/>
                <w:szCs w:val="16"/>
              </w:rPr>
              <w:t xml:space="preserve"> 10yr EUR swap</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liquid</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B</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Exclusively liquid securities</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 xml:space="preserve">2yr </w:t>
            </w:r>
            <w:proofErr w:type="spellStart"/>
            <w:r w:rsidRPr="007F6798">
              <w:rPr>
                <w:rFonts w:asciiTheme="minorHAnsi" w:hAnsiTheme="minorHAnsi" w:cs="Arial"/>
                <w:color w:val="000000"/>
                <w:sz w:val="16"/>
                <w:szCs w:val="16"/>
              </w:rPr>
              <w:t>vs</w:t>
            </w:r>
            <w:proofErr w:type="spellEnd"/>
            <w:r w:rsidRPr="007F6798">
              <w:rPr>
                <w:rFonts w:asciiTheme="minorHAnsi" w:hAnsiTheme="minorHAnsi" w:cs="Arial"/>
                <w:color w:val="000000"/>
                <w:sz w:val="16"/>
                <w:szCs w:val="16"/>
              </w:rPr>
              <w:t xml:space="preserve"> 10yr Bund switch</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liquid</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C</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Liquid security(</w:t>
            </w:r>
            <w:proofErr w:type="spellStart"/>
            <w:r w:rsidRPr="007F6798">
              <w:rPr>
                <w:rFonts w:asciiTheme="minorHAnsi" w:hAnsiTheme="minorHAnsi" w:cs="Arial"/>
                <w:color w:val="000000"/>
                <w:sz w:val="16"/>
                <w:szCs w:val="16"/>
              </w:rPr>
              <w:t>ies</w:t>
            </w:r>
            <w:proofErr w:type="spellEnd"/>
            <w:r w:rsidRPr="007F6798">
              <w:rPr>
                <w:rFonts w:asciiTheme="minorHAnsi" w:hAnsiTheme="minorHAnsi" w:cs="Arial"/>
                <w:color w:val="000000"/>
                <w:sz w:val="16"/>
                <w:szCs w:val="16"/>
              </w:rPr>
              <w:t>) and derivative(s) where the derivatives are from a single asset class</w:t>
            </w:r>
            <w:r w:rsidRPr="007F6798">
              <w:rPr>
                <w:rFonts w:asciiTheme="minorHAnsi" w:hAnsiTheme="minorHAnsi"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Asset swap vs. cash bund</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liquid</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D</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Liquid &amp; illiquid security(</w:t>
            </w:r>
            <w:proofErr w:type="spellStart"/>
            <w:r w:rsidRPr="007F6798">
              <w:rPr>
                <w:rFonts w:asciiTheme="minorHAnsi" w:hAnsiTheme="minorHAnsi" w:cs="Arial"/>
                <w:color w:val="000000"/>
                <w:sz w:val="16"/>
                <w:szCs w:val="16"/>
              </w:rPr>
              <w:t>ies</w:t>
            </w:r>
            <w:proofErr w:type="spellEnd"/>
            <w:r w:rsidRPr="007F6798">
              <w:rPr>
                <w:rFonts w:asciiTheme="minorHAnsi" w:hAnsiTheme="minorHAnsi" w:cs="Arial"/>
                <w:color w:val="000000"/>
                <w:sz w:val="16"/>
                <w:szCs w:val="16"/>
              </w:rPr>
              <w:t>) and derivative(s) where the derivatives are from a single asset class</w:t>
            </w:r>
            <w:r w:rsidRPr="007F6798">
              <w:rPr>
                <w:rFonts w:asciiTheme="minorHAnsi" w:hAnsiTheme="minorHAnsi" w:cs="Arial"/>
                <w:color w:val="000000"/>
                <w:sz w:val="16"/>
                <w:szCs w:val="16"/>
                <w:vertAlign w:val="superscript"/>
              </w:rPr>
              <w:t>1</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10yr EUR swap vs. 10yr inflation swap</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not liquid</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not liquid</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E</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Liquid derivative(s) &amp; any liquid exchange traded derivative(s) in the same derivative asset class</w:t>
            </w:r>
            <w:r w:rsidRPr="007F6798">
              <w:rPr>
                <w:rFonts w:asciiTheme="minorHAnsi" w:hAnsiTheme="minorHAnsi" w:cs="Arial"/>
                <w:color w:val="000000"/>
                <w:sz w:val="16"/>
                <w:szCs w:val="16"/>
                <w:vertAlign w:val="superscript"/>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EFP transaction of swap vs. future</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r w:rsidRPr="007F6798">
              <w:rPr>
                <w:rFonts w:asciiTheme="minorHAnsi" w:hAnsiTheme="minorHAnsi" w:cs="Arial"/>
                <w:color w:val="000000"/>
                <w:sz w:val="16"/>
                <w:szCs w:val="16"/>
                <w:vertAlign w:val="superscript"/>
              </w:rPr>
              <w:t>2</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liquid</w:t>
            </w:r>
            <w:r w:rsidRPr="007F6798">
              <w:rPr>
                <w:rFonts w:asciiTheme="minorHAnsi" w:hAnsiTheme="minorHAnsi" w:cs="Arial"/>
                <w:color w:val="000000"/>
                <w:sz w:val="16"/>
                <w:szCs w:val="16"/>
                <w:vertAlign w:val="superscript"/>
              </w:rPr>
              <w:t>2</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liquid</w:t>
            </w:r>
            <w:r w:rsidRPr="007F6798">
              <w:rPr>
                <w:rFonts w:asciiTheme="minorHAnsi" w:hAnsiTheme="minorHAnsi" w:cs="Arial"/>
                <w:color w:val="000000"/>
                <w:sz w:val="16"/>
                <w:szCs w:val="16"/>
                <w:vertAlign w:val="superscript"/>
              </w:rPr>
              <w:t>2</w:t>
            </w:r>
          </w:p>
        </w:tc>
      </w:tr>
      <w:tr w:rsidR="00E66E28" w:rsidRPr="007F6798" w:rsidTr="00233471">
        <w:trPr>
          <w:trHeight w:val="679"/>
        </w:trPr>
        <w:tc>
          <w:tcPr>
            <w:tcW w:w="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F</w:t>
            </w:r>
          </w:p>
        </w:tc>
        <w:tc>
          <w:tcPr>
            <w:tcW w:w="2045"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Liquid security(</w:t>
            </w:r>
            <w:proofErr w:type="spellStart"/>
            <w:r w:rsidRPr="007F6798">
              <w:rPr>
                <w:rFonts w:asciiTheme="minorHAnsi" w:hAnsiTheme="minorHAnsi" w:cs="Arial"/>
                <w:color w:val="000000"/>
                <w:sz w:val="16"/>
                <w:szCs w:val="16"/>
              </w:rPr>
              <w:t>ies</w:t>
            </w:r>
            <w:proofErr w:type="spellEnd"/>
            <w:r w:rsidRPr="007F6798">
              <w:rPr>
                <w:rFonts w:asciiTheme="minorHAnsi" w:hAnsiTheme="minorHAnsi" w:cs="Arial"/>
                <w:color w:val="000000"/>
                <w:sz w:val="16"/>
                <w:szCs w:val="16"/>
              </w:rPr>
              <w:t>) &amp; any liquid exchange traded derivative(s) in the same derivative asset class</w:t>
            </w:r>
            <w:r w:rsidRPr="007F6798">
              <w:rPr>
                <w:rFonts w:asciiTheme="minorHAnsi" w:hAnsiTheme="minorHAnsi" w:cs="Arial"/>
                <w:color w:val="000000"/>
                <w:sz w:val="16"/>
                <w:szCs w:val="16"/>
                <w:vertAlign w:val="superscript"/>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Cash bund vs. Bund future basis trade</w:t>
            </w:r>
          </w:p>
        </w:tc>
        <w:tc>
          <w:tcPr>
            <w:tcW w:w="82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liquid</w:t>
            </w:r>
            <w:r w:rsidRPr="007F6798">
              <w:rPr>
                <w:rFonts w:asciiTheme="minorHAnsi" w:hAnsiTheme="minorHAnsi" w:cs="Arial"/>
                <w:color w:val="000000"/>
                <w:sz w:val="16"/>
                <w:szCs w:val="16"/>
                <w:vertAlign w:val="superscript"/>
              </w:rPr>
              <w:t>2</w:t>
            </w:r>
          </w:p>
        </w:tc>
        <w:tc>
          <w:tcPr>
            <w:tcW w:w="936"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liquid</w:t>
            </w:r>
            <w:r w:rsidRPr="007F6798">
              <w:rPr>
                <w:rFonts w:asciiTheme="minorHAnsi" w:hAnsiTheme="minorHAnsi" w:cs="Arial"/>
                <w:color w:val="000000"/>
                <w:sz w:val="16"/>
                <w:szCs w:val="16"/>
                <w:vertAlign w:val="superscript"/>
              </w:rPr>
              <w:t>2</w:t>
            </w:r>
          </w:p>
        </w:tc>
        <w:tc>
          <w:tcPr>
            <w:tcW w:w="937"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liquid</w:t>
            </w:r>
            <w:r w:rsidRPr="007F6798">
              <w:rPr>
                <w:rFonts w:asciiTheme="minorHAnsi" w:hAnsiTheme="minorHAnsi" w:cs="Arial"/>
                <w:color w:val="000000"/>
                <w:sz w:val="16"/>
                <w:szCs w:val="16"/>
                <w:vertAlign w:val="superscript"/>
              </w:rPr>
              <w:t>2</w:t>
            </w:r>
          </w:p>
        </w:tc>
        <w:tc>
          <w:tcPr>
            <w:tcW w:w="938" w:type="dxa"/>
            <w:tcBorders>
              <w:top w:val="nil"/>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liquid</w:t>
            </w:r>
            <w:r w:rsidRPr="007F6798">
              <w:rPr>
                <w:rFonts w:asciiTheme="minorHAnsi" w:hAnsiTheme="minorHAnsi" w:cs="Arial"/>
                <w:color w:val="000000"/>
                <w:sz w:val="16"/>
                <w:szCs w:val="16"/>
                <w:vertAlign w:val="superscript"/>
              </w:rPr>
              <w:t>2</w:t>
            </w:r>
          </w:p>
        </w:tc>
      </w:tr>
      <w:tr w:rsidR="00E66E28" w:rsidRPr="007F6798" w:rsidTr="00233471">
        <w:trPr>
          <w:trHeight w:val="679"/>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G</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Exclusively illiquid sec</w:t>
            </w:r>
            <w:r w:rsidRPr="007F6798">
              <w:rPr>
                <w:rFonts w:asciiTheme="minorHAnsi" w:hAnsiTheme="minorHAnsi" w:cs="Arial"/>
                <w:color w:val="000000"/>
                <w:sz w:val="16"/>
                <w:szCs w:val="16"/>
              </w:rPr>
              <w:t>u</w:t>
            </w:r>
            <w:r w:rsidRPr="007F6798">
              <w:rPr>
                <w:rFonts w:asciiTheme="minorHAnsi" w:hAnsiTheme="minorHAnsi" w:cs="Arial"/>
                <w:color w:val="000000"/>
                <w:sz w:val="16"/>
                <w:szCs w:val="16"/>
              </w:rPr>
              <w:t>rity(</w:t>
            </w:r>
            <w:proofErr w:type="spellStart"/>
            <w:r w:rsidRPr="007F6798">
              <w:rPr>
                <w:rFonts w:asciiTheme="minorHAnsi" w:hAnsiTheme="minorHAnsi" w:cs="Arial"/>
                <w:color w:val="000000"/>
                <w:sz w:val="16"/>
                <w:szCs w:val="16"/>
              </w:rPr>
              <w:t>ies</w:t>
            </w:r>
            <w:proofErr w:type="spellEnd"/>
            <w:r w:rsidRPr="007F6798">
              <w:rPr>
                <w:rFonts w:asciiTheme="minorHAnsi" w:hAnsiTheme="minorHAnsi" w:cs="Arial"/>
                <w:color w:val="000000"/>
                <w:sz w:val="16"/>
                <w:szCs w:val="16"/>
              </w:rPr>
              <w:t>) or derivative(s)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10yr EUR inflation vs. 30yr GBP inflation</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not liquid</w:t>
            </w:r>
          </w:p>
        </w:tc>
      </w:tr>
      <w:tr w:rsidR="00E66E28" w:rsidRPr="007F6798" w:rsidTr="00233471">
        <w:trPr>
          <w:trHeight w:val="680"/>
        </w:trPr>
        <w:tc>
          <w:tcPr>
            <w:tcW w:w="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66E28" w:rsidRPr="007F6798" w:rsidRDefault="00E66E28" w:rsidP="00233471">
            <w:pPr>
              <w:rPr>
                <w:rFonts w:asciiTheme="minorHAnsi" w:hAnsiTheme="minorHAnsi" w:cs="Arial"/>
                <w:color w:val="000000"/>
                <w:sz w:val="16"/>
                <w:szCs w:val="16"/>
              </w:rPr>
            </w:pPr>
            <w:r w:rsidRPr="007F6798">
              <w:rPr>
                <w:rFonts w:asciiTheme="minorHAnsi" w:hAnsiTheme="minorHAnsi" w:cs="Arial"/>
                <w:color w:val="000000"/>
                <w:sz w:val="16"/>
                <w:szCs w:val="16"/>
              </w:rPr>
              <w:t>H</w:t>
            </w:r>
          </w:p>
        </w:tc>
        <w:tc>
          <w:tcPr>
            <w:tcW w:w="2045"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10 or more components</w:t>
            </w:r>
          </w:p>
        </w:tc>
        <w:tc>
          <w:tcPr>
            <w:tcW w:w="864"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of several swaps bundled for execution (e.g. 10yr EUR swap, 15yr EUR swap, 20yr EUR swap, 25yr EUR swap, and 30 yr EUR swap)</w:t>
            </w:r>
          </w:p>
        </w:tc>
        <w:tc>
          <w:tcPr>
            <w:tcW w:w="827"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tcPr>
          <w:p w:rsidR="00E66E28" w:rsidRPr="007F6798" w:rsidRDefault="00E66E28" w:rsidP="00233471">
            <w:pPr>
              <w:spacing w:before="40" w:after="40"/>
              <w:rPr>
                <w:rFonts w:asciiTheme="minorHAnsi" w:hAnsiTheme="minorHAnsi" w:cs="Arial"/>
                <w:color w:val="000000"/>
                <w:sz w:val="16"/>
                <w:szCs w:val="16"/>
              </w:rPr>
            </w:pPr>
            <w:r w:rsidRPr="007F6798">
              <w:rPr>
                <w:rFonts w:asciiTheme="minorHAnsi" w:hAnsiTheme="minorHAnsi" w:cs="Arial"/>
                <w:color w:val="000000"/>
                <w:sz w:val="16"/>
                <w:szCs w:val="16"/>
              </w:rPr>
              <w:t>Package is below SSTI and not liquid</w:t>
            </w:r>
          </w:p>
        </w:tc>
      </w:tr>
    </w:tbl>
    <w:p w:rsidR="00E66E28" w:rsidRPr="007F6798" w:rsidRDefault="00E66E28" w:rsidP="00E66E28">
      <w:pPr>
        <w:rPr>
          <w:rFonts w:asciiTheme="minorHAnsi" w:hAnsiTheme="minorHAnsi" w:cs="Arial"/>
          <w:b/>
          <w:sz w:val="22"/>
          <w:szCs w:val="22"/>
        </w:rPr>
      </w:pPr>
    </w:p>
    <w:tbl>
      <w:tblPr>
        <w:tblStyle w:val="PlainTable4"/>
        <w:tblW w:w="8742" w:type="dxa"/>
        <w:tblLayout w:type="fixed"/>
        <w:tblLook w:val="04A0"/>
      </w:tblPr>
      <w:tblGrid>
        <w:gridCol w:w="8742"/>
      </w:tblGrid>
      <w:tr w:rsidR="00E66E28" w:rsidRPr="007F6798" w:rsidTr="00233471">
        <w:trPr>
          <w:cnfStyle w:val="100000000000"/>
          <w:trHeight w:val="303"/>
        </w:trPr>
        <w:tc>
          <w:tcPr>
            <w:cnfStyle w:val="001000000000"/>
            <w:tcW w:w="8742" w:type="dxa"/>
            <w:shd w:val="clear" w:color="auto" w:fill="FFFFFF" w:themeFill="background1"/>
          </w:tcPr>
          <w:p w:rsidR="00E66E28" w:rsidRPr="00054728" w:rsidRDefault="00E66E28" w:rsidP="00233471">
            <w:pPr>
              <w:rPr>
                <w:rFonts w:asciiTheme="minorHAnsi" w:hAnsiTheme="minorHAnsi" w:cs="Arial"/>
                <w:b w:val="0"/>
                <w:sz w:val="20"/>
                <w:szCs w:val="20"/>
              </w:rPr>
            </w:pPr>
            <w:r w:rsidRPr="00054728">
              <w:rPr>
                <w:rFonts w:asciiTheme="minorHAnsi" w:hAnsiTheme="minorHAnsi" w:cs="Arial"/>
                <w:b w:val="0"/>
                <w:sz w:val="20"/>
                <w:szCs w:val="20"/>
                <w:vertAlign w:val="superscript"/>
              </w:rPr>
              <w:t>1</w:t>
            </w:r>
            <w:r w:rsidRPr="00054728">
              <w:rPr>
                <w:rFonts w:asciiTheme="minorHAnsi" w:hAnsiTheme="minorHAnsi" w:cs="Arial"/>
                <w:b w:val="0"/>
                <w:sz w:val="20"/>
                <w:szCs w:val="20"/>
              </w:rPr>
              <w:t xml:space="preserve"> Interest Rate Derivatives, FX Derivatives, Commodity Derivatives, Equity Derivatives etc considered as distinct derivative asset classes.</w:t>
            </w:r>
          </w:p>
        </w:tc>
      </w:tr>
      <w:tr w:rsidR="00E66E28" w:rsidRPr="007F6798" w:rsidTr="00233471">
        <w:trPr>
          <w:cnfStyle w:val="000000100000"/>
          <w:trHeight w:val="470"/>
        </w:trPr>
        <w:tc>
          <w:tcPr>
            <w:cnfStyle w:val="001000000000"/>
            <w:tcW w:w="8742" w:type="dxa"/>
            <w:vMerge w:val="restart"/>
            <w:shd w:val="clear" w:color="auto" w:fill="FFFFFF" w:themeFill="background1"/>
          </w:tcPr>
          <w:p w:rsidR="00E66E28" w:rsidRPr="00054728" w:rsidRDefault="00E66E28" w:rsidP="00233471">
            <w:pPr>
              <w:rPr>
                <w:rFonts w:asciiTheme="minorHAnsi" w:hAnsiTheme="minorHAnsi" w:cs="Arial"/>
                <w:b w:val="0"/>
                <w:sz w:val="20"/>
                <w:szCs w:val="20"/>
              </w:rPr>
            </w:pPr>
            <w:r w:rsidRPr="00054728">
              <w:rPr>
                <w:rFonts w:asciiTheme="minorHAnsi" w:hAnsiTheme="minorHAnsi" w:cs="Arial"/>
                <w:b w:val="0"/>
                <w:sz w:val="20"/>
                <w:szCs w:val="20"/>
                <w:vertAlign w:val="superscript"/>
              </w:rPr>
              <w:t>2</w:t>
            </w:r>
            <w:r w:rsidRPr="00054728">
              <w:rPr>
                <w:rFonts w:asciiTheme="minorHAnsi" w:hAnsiTheme="minorHAnsi" w:cs="Arial"/>
                <w:b w:val="0"/>
                <w:sz w:val="20"/>
                <w:szCs w:val="20"/>
              </w:rPr>
              <w:t xml:space="preserve"> Assuming that ESMA agrees that, for the purposes of MiFIR articles 8(1), 10(1), 18(1) and 18(2), all components of a package have to be tradable on a single venue in order that the package </w:t>
            </w:r>
            <w:proofErr w:type="gramStart"/>
            <w:r w:rsidRPr="00054728">
              <w:rPr>
                <w:rFonts w:asciiTheme="minorHAnsi" w:hAnsiTheme="minorHAnsi" w:cs="Arial"/>
                <w:b w:val="0"/>
                <w:sz w:val="20"/>
                <w:szCs w:val="20"/>
              </w:rPr>
              <w:t>be</w:t>
            </w:r>
            <w:proofErr w:type="gramEnd"/>
            <w:r w:rsidRPr="00054728">
              <w:rPr>
                <w:rFonts w:asciiTheme="minorHAnsi" w:hAnsiTheme="minorHAnsi" w:cs="Arial"/>
                <w:b w:val="0"/>
                <w:sz w:val="20"/>
                <w:szCs w:val="20"/>
              </w:rPr>
              <w:t xml:space="preserve"> considered "traded on a venue".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E66E28" w:rsidRPr="007F6798" w:rsidTr="00233471">
        <w:trPr>
          <w:trHeight w:val="484"/>
        </w:trPr>
        <w:tc>
          <w:tcPr>
            <w:cnfStyle w:val="001000000000"/>
            <w:tcW w:w="8742" w:type="dxa"/>
            <w:vMerge/>
            <w:shd w:val="clear" w:color="auto" w:fill="FFFFFF" w:themeFill="background1"/>
          </w:tcPr>
          <w:p w:rsidR="00E66E28" w:rsidRPr="007F6798" w:rsidRDefault="00E66E28" w:rsidP="00233471">
            <w:pPr>
              <w:rPr>
                <w:rFonts w:asciiTheme="minorHAnsi" w:hAnsiTheme="minorHAnsi" w:cs="Arial"/>
              </w:rPr>
            </w:pPr>
          </w:p>
        </w:tc>
      </w:tr>
    </w:tbl>
    <w:p w:rsidR="00054728" w:rsidRDefault="00054728" w:rsidP="00E66E28">
      <w:pPr>
        <w:spacing w:before="240"/>
        <w:rPr>
          <w:rFonts w:asciiTheme="minorHAnsi" w:hAnsiTheme="minorHAnsi" w:cs="Arial"/>
          <w:sz w:val="22"/>
          <w:szCs w:val="22"/>
          <w:u w:val="single"/>
        </w:rPr>
      </w:pPr>
    </w:p>
    <w:p w:rsidR="00E66E28" w:rsidRPr="007F6798" w:rsidRDefault="00E66E28" w:rsidP="00E66E28">
      <w:pPr>
        <w:spacing w:before="240"/>
        <w:rPr>
          <w:rFonts w:asciiTheme="minorHAnsi" w:hAnsiTheme="minorHAnsi" w:cs="Arial"/>
          <w:sz w:val="22"/>
          <w:szCs w:val="22"/>
          <w:u w:val="single"/>
        </w:rPr>
      </w:pPr>
      <w:r w:rsidRPr="007F6798">
        <w:rPr>
          <w:rFonts w:asciiTheme="minorHAnsi" w:hAnsiTheme="minorHAnsi" w:cs="Arial"/>
          <w:sz w:val="22"/>
          <w:szCs w:val="22"/>
          <w:u w:val="single"/>
        </w:rPr>
        <w:lastRenderedPageBreak/>
        <w:t>Option 2:</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1. Subject to point 3 below, if each component of a package transaction is liquid:</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 xml:space="preserve">a. The package transaction should be considered liquid; and </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 xml:space="preserve">b. </w:t>
      </w:r>
      <w:r w:rsidRPr="007F6798">
        <w:rPr>
          <w:rFonts w:asciiTheme="minorHAnsi" w:hAnsiTheme="minorHAnsi" w:cs="Arial"/>
          <w:bCs/>
          <w:sz w:val="22"/>
          <w:szCs w:val="22"/>
        </w:rPr>
        <w:t>The percentage threshold for each individual component in a package transaction is equal to the notional of the relevant component expressed as a percentage of its rel</w:t>
      </w:r>
      <w:r w:rsidRPr="007F6798">
        <w:rPr>
          <w:rFonts w:asciiTheme="minorHAnsi" w:hAnsiTheme="minorHAnsi" w:cs="Arial"/>
          <w:bCs/>
          <w:sz w:val="22"/>
          <w:szCs w:val="22"/>
        </w:rPr>
        <w:t>e</w:t>
      </w:r>
      <w:r w:rsidRPr="007F6798">
        <w:rPr>
          <w:rFonts w:asciiTheme="minorHAnsi" w:hAnsiTheme="minorHAnsi" w:cs="Arial"/>
          <w:bCs/>
          <w:sz w:val="22"/>
          <w:szCs w:val="22"/>
        </w:rPr>
        <w:t>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w:t>
      </w:r>
      <w:r w:rsidRPr="007F6798">
        <w:rPr>
          <w:rFonts w:asciiTheme="minorHAnsi" w:hAnsiTheme="minorHAnsi" w:cs="Arial"/>
          <w:sz w:val="22"/>
          <w:szCs w:val="22"/>
        </w:rPr>
        <w:t xml:space="preserve"> </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2. Subject to point 3 below, if the package transaction contains liquid and illiquid components:</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a. The package transaction should be considered illiquid; and</w:t>
      </w:r>
    </w:p>
    <w:p w:rsidR="00E66E28" w:rsidRPr="007F6798" w:rsidRDefault="00E66E28" w:rsidP="00E66E28">
      <w:pPr>
        <w:ind w:left="1440"/>
        <w:rPr>
          <w:rFonts w:asciiTheme="minorHAnsi" w:hAnsiTheme="minorHAnsi" w:cs="Arial"/>
          <w:sz w:val="22"/>
          <w:szCs w:val="22"/>
        </w:rPr>
      </w:pPr>
      <w:r w:rsidRPr="007F6798">
        <w:rPr>
          <w:rFonts w:asciiTheme="minorHAnsi" w:hAnsiTheme="minorHAnsi" w:cs="Arial"/>
          <w:sz w:val="22"/>
          <w:szCs w:val="22"/>
        </w:rPr>
        <w:t>b. The percentage threshold for each individual component in a package transaction is equal to the notional of the relevant component expressed as a percentage of its rel</w:t>
      </w:r>
      <w:r w:rsidRPr="007F6798">
        <w:rPr>
          <w:rFonts w:asciiTheme="minorHAnsi" w:hAnsiTheme="minorHAnsi" w:cs="Arial"/>
          <w:sz w:val="22"/>
          <w:szCs w:val="22"/>
        </w:rPr>
        <w:t>e</w:t>
      </w:r>
      <w:r w:rsidRPr="007F6798">
        <w:rPr>
          <w:rFonts w:asciiTheme="minorHAnsi" w:hAnsiTheme="minorHAnsi" w:cs="Arial"/>
          <w:sz w:val="22"/>
          <w:szCs w:val="22"/>
        </w:rPr>
        <w:t>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3. For the purposes of MiFIR Articles 8(1), 10(1), 18(1) and 18(2), all components of a package have to be tradable on a single venue in order for the package be considered “traded on a venue”.</w:t>
      </w:r>
    </w:p>
    <w:p w:rsidR="00E66E28" w:rsidRPr="007F6798" w:rsidRDefault="00E66E28" w:rsidP="00E66E28">
      <w:pPr>
        <w:ind w:left="720"/>
        <w:rPr>
          <w:rFonts w:asciiTheme="minorHAnsi" w:hAnsiTheme="minorHAnsi" w:cs="Arial"/>
          <w:sz w:val="22"/>
          <w:szCs w:val="22"/>
        </w:rPr>
      </w:pPr>
      <w:r w:rsidRPr="007F6798">
        <w:rPr>
          <w:rFonts w:asciiTheme="minorHAnsi" w:hAnsiTheme="minorHAnsi" w:cs="Arial"/>
          <w:sz w:val="22"/>
          <w:szCs w:val="22"/>
        </w:rPr>
        <w:t xml:space="preserve">4. If the package transaction comprises ten or more component legs, the package transaction should be considered illiquid. </w:t>
      </w:r>
    </w:p>
    <w:p w:rsidR="008E13F7" w:rsidRPr="007F6798" w:rsidRDefault="008E13F7" w:rsidP="00E66E28">
      <w:pPr>
        <w:rPr>
          <w:rFonts w:asciiTheme="minorHAnsi" w:hAnsiTheme="minorHAnsi" w:cs="Arial"/>
          <w:bCs/>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The percentage threshold approach aims to, in a simple manner, replicate the package of instruments into a single instrument to test whether it would indeed be above the threshold (SSTI or LIS purposes) or not if it were traded as a single instrument.</w:t>
      </w:r>
    </w:p>
    <w:p w:rsidR="008E13F7" w:rsidRPr="007F6798" w:rsidRDefault="008E13F7" w:rsidP="00E66E28">
      <w:pPr>
        <w:rPr>
          <w:rFonts w:asciiTheme="minorHAnsi" w:hAnsiTheme="minorHAnsi" w:cs="Arial"/>
          <w:bCs/>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Example: if an investor wishes to hedge cash flows at 5-year and 15-year points using EUR interest rate swaps, to create an accurate hedge the investor would trade a package of two EUR swaps at 5-year and 15-year</w:t>
      </w:r>
      <w:r w:rsidRPr="007F6798" w:rsidDel="007A35FA">
        <w:rPr>
          <w:rFonts w:asciiTheme="minorHAnsi" w:hAnsiTheme="minorHAnsi" w:cs="Arial"/>
          <w:bCs/>
          <w:sz w:val="22"/>
          <w:szCs w:val="22"/>
        </w:rPr>
        <w:t xml:space="preserve"> </w:t>
      </w:r>
      <w:r w:rsidRPr="007F6798">
        <w:rPr>
          <w:rFonts w:asciiTheme="minorHAnsi" w:hAnsiTheme="minorHAnsi" w:cs="Arial"/>
          <w:bCs/>
          <w:sz w:val="22"/>
          <w:szCs w:val="22"/>
        </w:rPr>
        <w:t>maturities. Alternatively, the investor could enter into a single swap with an average 10-year maturity to try to replicate the risk profile but with less accuracy.</w:t>
      </w:r>
    </w:p>
    <w:p w:rsidR="008E13F7" w:rsidRPr="007F6798" w:rsidRDefault="008E13F7" w:rsidP="00E66E28">
      <w:pPr>
        <w:rPr>
          <w:rFonts w:asciiTheme="minorHAnsi" w:hAnsiTheme="minorHAnsi" w:cs="Arial"/>
          <w:bCs/>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However, whilst the individual swaps in the package of swaps could each be below the relevant thres</w:t>
      </w:r>
      <w:r w:rsidRPr="007F6798">
        <w:rPr>
          <w:rFonts w:asciiTheme="minorHAnsi" w:hAnsiTheme="minorHAnsi" w:cs="Arial"/>
          <w:bCs/>
          <w:sz w:val="22"/>
          <w:szCs w:val="22"/>
        </w:rPr>
        <w:t>h</w:t>
      </w:r>
      <w:r w:rsidRPr="007F6798">
        <w:rPr>
          <w:rFonts w:asciiTheme="minorHAnsi" w:hAnsiTheme="minorHAnsi" w:cs="Arial"/>
          <w:bCs/>
          <w:sz w:val="22"/>
          <w:szCs w:val="22"/>
        </w:rPr>
        <w:t xml:space="preserve">old, the equivalent single swap would have a larger notional and could therefore be above the threshold, as illustrated below. Given the 5-year and 15-year swaps are economically similar in </w:t>
      </w:r>
      <w:proofErr w:type="gramStart"/>
      <w:r w:rsidRPr="007F6798">
        <w:rPr>
          <w:rFonts w:asciiTheme="minorHAnsi" w:hAnsiTheme="minorHAnsi" w:cs="Arial"/>
          <w:bCs/>
          <w:sz w:val="22"/>
          <w:szCs w:val="22"/>
        </w:rPr>
        <w:t>nature,</w:t>
      </w:r>
      <w:proofErr w:type="gramEnd"/>
      <w:r w:rsidRPr="007F6798">
        <w:rPr>
          <w:rFonts w:asciiTheme="minorHAnsi" w:hAnsiTheme="minorHAnsi" w:cs="Arial"/>
          <w:bCs/>
          <w:sz w:val="22"/>
          <w:szCs w:val="22"/>
        </w:rPr>
        <w:t xml:space="preserv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8E13F7" w:rsidRPr="007F6798" w:rsidRDefault="008E13F7" w:rsidP="00E66E28">
      <w:pPr>
        <w:rPr>
          <w:rFonts w:asciiTheme="minorHAnsi" w:hAnsiTheme="minorHAnsi" w:cs="Arial"/>
          <w:bCs/>
          <w:sz w:val="22"/>
          <w:szCs w:val="22"/>
        </w:rPr>
      </w:pPr>
    </w:p>
    <w:p w:rsidR="00E66E28" w:rsidRPr="007F6798" w:rsidRDefault="00E66E28" w:rsidP="00E66E28">
      <w:pPr>
        <w:rPr>
          <w:rFonts w:asciiTheme="minorHAnsi" w:hAnsiTheme="minorHAnsi" w:cs="Arial"/>
          <w:bCs/>
          <w:sz w:val="22"/>
          <w:szCs w:val="22"/>
        </w:rPr>
      </w:pPr>
      <w:r w:rsidRPr="007F6798">
        <w:rPr>
          <w:rFonts w:asciiTheme="minorHAnsi" w:hAnsiTheme="minorHAnsi" w:cs="Arial"/>
          <w:bCs/>
          <w:sz w:val="22"/>
          <w:szCs w:val="22"/>
        </w:rPr>
        <w:t>The suggested percentage threshold approach provides a way to calibrate this and ensures that package transactions are not disproportionately disadvantaged.</w:t>
      </w:r>
    </w:p>
    <w:p w:rsidR="008E13F7" w:rsidRPr="007F6798" w:rsidRDefault="008E13F7" w:rsidP="00E66E28">
      <w:pPr>
        <w:rPr>
          <w:rFonts w:asciiTheme="minorHAnsi" w:hAnsiTheme="minorHAnsi" w:cs="Arial"/>
          <w:bCs/>
          <w:sz w:val="22"/>
          <w:szCs w:val="22"/>
        </w:rPr>
      </w:pPr>
    </w:p>
    <w:p w:rsidR="00E66E28" w:rsidRDefault="00E66E28" w:rsidP="00E66E28">
      <w:pPr>
        <w:rPr>
          <w:rFonts w:asciiTheme="minorHAnsi" w:hAnsiTheme="minorHAnsi" w:cs="Arial"/>
          <w:sz w:val="22"/>
          <w:szCs w:val="22"/>
        </w:rPr>
      </w:pPr>
      <w:r w:rsidRPr="007F6798">
        <w:rPr>
          <w:rFonts w:asciiTheme="minorHAnsi" w:hAnsiTheme="minorHAnsi" w:cs="Arial"/>
          <w:sz w:val="22"/>
          <w:szCs w:val="22"/>
        </w:rPr>
        <w:t xml:space="preserve">The below table illustrates the example described above. </w:t>
      </w:r>
    </w:p>
    <w:p w:rsidR="007F6798" w:rsidRDefault="007F6798" w:rsidP="00E66E28">
      <w:pPr>
        <w:rPr>
          <w:rFonts w:asciiTheme="minorHAnsi" w:hAnsiTheme="minorHAnsi" w:cs="Arial"/>
          <w:sz w:val="22"/>
          <w:szCs w:val="22"/>
        </w:rPr>
      </w:pPr>
    </w:p>
    <w:p w:rsidR="007F6798" w:rsidRDefault="007F6798" w:rsidP="00E66E28">
      <w:pPr>
        <w:rPr>
          <w:rFonts w:asciiTheme="minorHAnsi" w:hAnsiTheme="minorHAnsi" w:cs="Arial"/>
          <w:sz w:val="22"/>
          <w:szCs w:val="22"/>
        </w:rPr>
      </w:pPr>
    </w:p>
    <w:p w:rsidR="007F6798" w:rsidRDefault="007F6798" w:rsidP="00E66E28">
      <w:pPr>
        <w:rPr>
          <w:rFonts w:asciiTheme="minorHAnsi" w:hAnsiTheme="minorHAnsi" w:cs="Arial"/>
          <w:sz w:val="22"/>
          <w:szCs w:val="22"/>
        </w:rPr>
      </w:pPr>
    </w:p>
    <w:p w:rsidR="007F6798" w:rsidRPr="007F6798" w:rsidRDefault="007F6798" w:rsidP="00E66E28">
      <w:pPr>
        <w:rPr>
          <w:rFonts w:asciiTheme="minorHAnsi" w:hAnsiTheme="minorHAnsi" w:cs="Arial"/>
          <w:sz w:val="22"/>
          <w:szCs w:val="22"/>
        </w:rPr>
      </w:pPr>
    </w:p>
    <w:p w:rsidR="008E13F7" w:rsidRPr="007F6798" w:rsidRDefault="008E13F7" w:rsidP="00E66E28">
      <w:pPr>
        <w:rPr>
          <w:rFonts w:asciiTheme="minorHAnsi" w:hAnsiTheme="minorHAnsi" w:cs="Arial"/>
          <w:sz w:val="22"/>
          <w:szCs w:val="22"/>
        </w:rPr>
      </w:pPr>
    </w:p>
    <w:tbl>
      <w:tblPr>
        <w:tblStyle w:val="TableGrid"/>
        <w:tblW w:w="0" w:type="auto"/>
        <w:tblInd w:w="108" w:type="dxa"/>
        <w:tblLook w:val="04A0"/>
      </w:tblPr>
      <w:tblGrid>
        <w:gridCol w:w="2202"/>
        <w:gridCol w:w="2310"/>
        <w:gridCol w:w="2311"/>
        <w:gridCol w:w="2311"/>
      </w:tblGrid>
      <w:tr w:rsidR="00E66E28" w:rsidRPr="007F6798" w:rsidTr="00233471">
        <w:tc>
          <w:tcPr>
            <w:tcW w:w="9134" w:type="dxa"/>
            <w:gridSpan w:val="4"/>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lastRenderedPageBreak/>
              <w:t>Table 12: Example of how the percentage threshold approach (Option 2) operates</w:t>
            </w:r>
          </w:p>
        </w:tc>
      </w:tr>
      <w:tr w:rsidR="00E66E28" w:rsidRPr="007F6798" w:rsidTr="00233471">
        <w:tc>
          <w:tcPr>
            <w:tcW w:w="2202" w:type="dxa"/>
            <w:vMerge w:val="restart"/>
            <w:shd w:val="clear" w:color="auto" w:fill="DBE5F1" w:themeFill="accent1" w:themeFillTint="33"/>
          </w:tcPr>
          <w:p w:rsidR="00E66E28" w:rsidRPr="007F6798" w:rsidRDefault="00E66E28" w:rsidP="00233471">
            <w:pPr>
              <w:rPr>
                <w:rFonts w:asciiTheme="minorHAnsi" w:hAnsiTheme="minorHAnsi" w:cs="Arial"/>
                <w:b/>
                <w:sz w:val="22"/>
                <w:szCs w:val="22"/>
              </w:rPr>
            </w:pPr>
          </w:p>
        </w:tc>
        <w:tc>
          <w:tcPr>
            <w:tcW w:w="4621" w:type="dxa"/>
            <w:gridSpan w:val="2"/>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t>More accurate hedge</w:t>
            </w:r>
          </w:p>
        </w:tc>
        <w:tc>
          <w:tcPr>
            <w:tcW w:w="2311" w:type="dxa"/>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t>Less accurate hedge</w:t>
            </w:r>
          </w:p>
        </w:tc>
      </w:tr>
      <w:tr w:rsidR="00E66E28" w:rsidRPr="007F6798" w:rsidTr="00233471">
        <w:tc>
          <w:tcPr>
            <w:tcW w:w="2202" w:type="dxa"/>
            <w:vMerge/>
            <w:shd w:val="clear" w:color="auto" w:fill="DBE5F1" w:themeFill="accent1" w:themeFillTint="33"/>
          </w:tcPr>
          <w:p w:rsidR="00E66E28" w:rsidRPr="007F6798" w:rsidRDefault="00E66E28" w:rsidP="00233471">
            <w:pPr>
              <w:rPr>
                <w:rFonts w:asciiTheme="minorHAnsi" w:hAnsiTheme="minorHAnsi" w:cs="Arial"/>
                <w:b/>
                <w:sz w:val="22"/>
                <w:szCs w:val="22"/>
              </w:rPr>
            </w:pPr>
          </w:p>
        </w:tc>
        <w:tc>
          <w:tcPr>
            <w:tcW w:w="2310" w:type="dxa"/>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t>EUR 5yr swap</w:t>
            </w:r>
          </w:p>
        </w:tc>
        <w:tc>
          <w:tcPr>
            <w:tcW w:w="2311" w:type="dxa"/>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t>EUR 15yr swap</w:t>
            </w:r>
          </w:p>
        </w:tc>
        <w:tc>
          <w:tcPr>
            <w:tcW w:w="2311" w:type="dxa"/>
            <w:shd w:val="clear" w:color="auto" w:fill="DBE5F1" w:themeFill="accent1" w:themeFillTint="33"/>
          </w:tcPr>
          <w:p w:rsidR="00E66E28" w:rsidRPr="007F6798" w:rsidRDefault="00E66E28" w:rsidP="00233471">
            <w:pPr>
              <w:rPr>
                <w:rFonts w:asciiTheme="minorHAnsi" w:hAnsiTheme="minorHAnsi" w:cs="Arial"/>
                <w:b/>
                <w:sz w:val="22"/>
                <w:szCs w:val="22"/>
              </w:rPr>
            </w:pPr>
            <w:r w:rsidRPr="007F6798">
              <w:rPr>
                <w:rFonts w:asciiTheme="minorHAnsi" w:hAnsiTheme="minorHAnsi" w:cs="Arial"/>
                <w:b/>
                <w:sz w:val="22"/>
                <w:szCs w:val="22"/>
              </w:rPr>
              <w:t>EUR 10yr swap</w:t>
            </w:r>
          </w:p>
        </w:tc>
      </w:tr>
      <w:tr w:rsidR="00E66E28" w:rsidRPr="007F6798" w:rsidTr="00233471">
        <w:tc>
          <w:tcPr>
            <w:tcW w:w="2202"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Notional</w:t>
            </w:r>
          </w:p>
        </w:tc>
        <w:tc>
          <w:tcPr>
            <w:tcW w:w="2310"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60m</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60m</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120m</w:t>
            </w:r>
          </w:p>
        </w:tc>
      </w:tr>
      <w:tr w:rsidR="00E66E28" w:rsidRPr="007F6798" w:rsidTr="00233471">
        <w:tc>
          <w:tcPr>
            <w:tcW w:w="2202"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Threshold (SSTI or LIS)</w:t>
            </w:r>
          </w:p>
        </w:tc>
        <w:tc>
          <w:tcPr>
            <w:tcW w:w="2310"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100m</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100m</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100m</w:t>
            </w:r>
          </w:p>
        </w:tc>
      </w:tr>
      <w:tr w:rsidR="00E66E28" w:rsidRPr="007F6798" w:rsidTr="00233471">
        <w:tc>
          <w:tcPr>
            <w:tcW w:w="2202"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Percentage Threshold</w:t>
            </w:r>
          </w:p>
        </w:tc>
        <w:tc>
          <w:tcPr>
            <w:tcW w:w="2310"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60%</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60%</w:t>
            </w:r>
          </w:p>
        </w:tc>
        <w:tc>
          <w:tcPr>
            <w:tcW w:w="2311" w:type="dxa"/>
          </w:tcPr>
          <w:p w:rsidR="00E66E28" w:rsidRPr="007F6798" w:rsidRDefault="00E66E28" w:rsidP="00233471">
            <w:pPr>
              <w:rPr>
                <w:rFonts w:asciiTheme="minorHAnsi" w:hAnsiTheme="minorHAnsi" w:cs="Arial"/>
                <w:sz w:val="22"/>
                <w:szCs w:val="22"/>
              </w:rPr>
            </w:pPr>
            <w:r w:rsidRPr="007F6798">
              <w:rPr>
                <w:rFonts w:asciiTheme="minorHAnsi" w:hAnsiTheme="minorHAnsi" w:cs="Arial"/>
                <w:sz w:val="22"/>
                <w:szCs w:val="22"/>
              </w:rPr>
              <w:t>120%</w:t>
            </w:r>
          </w:p>
        </w:tc>
      </w:tr>
    </w:tbl>
    <w:p w:rsidR="00E66E28" w:rsidRPr="007F6798" w:rsidRDefault="00E66E28" w:rsidP="00233471">
      <w:pPr>
        <w:spacing w:before="240"/>
        <w:rPr>
          <w:rFonts w:asciiTheme="minorHAnsi" w:hAnsiTheme="minorHAnsi" w:cs="Arial"/>
          <w:sz w:val="22"/>
          <w:szCs w:val="22"/>
        </w:rPr>
      </w:pPr>
      <w:r w:rsidRPr="007F6798">
        <w:rPr>
          <w:rFonts w:asciiTheme="minorHAnsi" w:hAnsiTheme="minorHAnsi" w:cs="Arial"/>
          <w:sz w:val="22"/>
          <w:szCs w:val="22"/>
        </w:rPr>
        <w:t xml:space="preserve">Table 11, prepared for Option 1, could easily be adapted for Option 2 if this is ESMA's preferred option and we would be happy to prepare this table if requested. </w:t>
      </w:r>
    </w:p>
    <w:p w:rsidR="00E66E28" w:rsidRPr="007F6798" w:rsidRDefault="00E66E28" w:rsidP="00233471">
      <w:pPr>
        <w:spacing w:before="240"/>
        <w:rPr>
          <w:rFonts w:asciiTheme="minorHAnsi" w:hAnsiTheme="minorHAnsi" w:cs="Arial"/>
          <w:b/>
          <w:i/>
          <w:sz w:val="22"/>
          <w:szCs w:val="22"/>
        </w:rPr>
      </w:pPr>
      <w:r w:rsidRPr="007F6798">
        <w:rPr>
          <w:rFonts w:asciiTheme="minorHAnsi" w:hAnsiTheme="minorHAnsi" w:cs="Arial"/>
          <w:b/>
          <w:i/>
          <w:sz w:val="22"/>
          <w:szCs w:val="22"/>
        </w:rPr>
        <w:t>e) Safeguarding against avoidance</w:t>
      </w:r>
    </w:p>
    <w:p w:rsidR="00E66E28" w:rsidRPr="007F6798" w:rsidRDefault="00E66E28" w:rsidP="00233471">
      <w:pPr>
        <w:rPr>
          <w:rFonts w:asciiTheme="minorHAnsi" w:hAnsiTheme="minorHAnsi" w:cs="Arial"/>
          <w:bCs/>
          <w:sz w:val="22"/>
          <w:szCs w:val="22"/>
        </w:rPr>
      </w:pPr>
      <w:r w:rsidRPr="007F6798">
        <w:rPr>
          <w:rFonts w:asciiTheme="minorHAnsi" w:hAnsiTheme="minorHAnsi" w:cs="Arial"/>
          <w:bCs/>
          <w:sz w:val="22"/>
          <w:szCs w:val="22"/>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8E13F7" w:rsidRPr="007F6798" w:rsidRDefault="008E13F7" w:rsidP="00233471">
      <w:pPr>
        <w:rPr>
          <w:rFonts w:asciiTheme="minorHAnsi" w:hAnsiTheme="minorHAnsi" w:cs="Arial"/>
          <w:bCs/>
          <w:sz w:val="22"/>
          <w:szCs w:val="22"/>
        </w:rPr>
      </w:pPr>
    </w:p>
    <w:p w:rsidR="00E66E28" w:rsidRPr="007F6798" w:rsidRDefault="008E13F7" w:rsidP="008E13F7">
      <w:pPr>
        <w:rPr>
          <w:rFonts w:asciiTheme="minorHAnsi" w:hAnsiTheme="minorHAnsi" w:cs="Arial"/>
          <w:sz w:val="22"/>
          <w:szCs w:val="22"/>
          <w:u w:val="single"/>
        </w:rPr>
      </w:pPr>
      <w:r w:rsidRPr="007F6798">
        <w:rPr>
          <w:rFonts w:asciiTheme="minorHAnsi" w:hAnsiTheme="minorHAnsi" w:cs="Arial"/>
          <w:sz w:val="22"/>
          <w:szCs w:val="22"/>
          <w:u w:val="single"/>
        </w:rPr>
        <w:t xml:space="preserve">1. </w:t>
      </w:r>
      <w:r w:rsidR="00E66E28" w:rsidRPr="007F6798">
        <w:rPr>
          <w:rFonts w:asciiTheme="minorHAnsi" w:hAnsiTheme="minorHAnsi" w:cs="Arial"/>
          <w:sz w:val="22"/>
          <w:szCs w:val="22"/>
          <w:u w:val="single"/>
        </w:rPr>
        <w:t>Definition of package transaction</w:t>
      </w:r>
    </w:p>
    <w:p w:rsidR="008E13F7" w:rsidRPr="007F6798" w:rsidRDefault="008E13F7" w:rsidP="008E13F7">
      <w:pPr>
        <w:rPr>
          <w:rFonts w:asciiTheme="minorHAnsi" w:hAnsiTheme="minorHAnsi" w:cs="Arial"/>
          <w:sz w:val="22"/>
          <w:szCs w:val="22"/>
        </w:rPr>
      </w:pPr>
    </w:p>
    <w:p w:rsidR="00E66E28" w:rsidRPr="007F6798" w:rsidRDefault="00E66E28" w:rsidP="00233471">
      <w:pPr>
        <w:rPr>
          <w:rFonts w:asciiTheme="minorHAnsi" w:hAnsiTheme="minorHAnsi" w:cs="Arial"/>
          <w:bCs/>
          <w:sz w:val="22"/>
          <w:szCs w:val="22"/>
        </w:rPr>
      </w:pPr>
      <w:r w:rsidRPr="007F6798">
        <w:rPr>
          <w:rFonts w:asciiTheme="minorHAnsi" w:hAnsiTheme="minorHAnsi" w:cs="Arial"/>
          <w:bCs/>
          <w:sz w:val="22"/>
          <w:szCs w:val="22"/>
        </w:rPr>
        <w:t>ISDA recommends that a “package transaction” be defined as a transaction comprising two or more components, each of which is a bond, structured finance product, emission allowance or derivative where:</w:t>
      </w:r>
    </w:p>
    <w:p w:rsidR="008E13F7" w:rsidRPr="007F6798" w:rsidRDefault="008E13F7" w:rsidP="00233471">
      <w:pPr>
        <w:rPr>
          <w:rFonts w:asciiTheme="minorHAnsi" w:hAnsiTheme="minorHAnsi" w:cs="Arial"/>
          <w:bCs/>
          <w:sz w:val="22"/>
          <w:szCs w:val="22"/>
        </w:rPr>
      </w:pPr>
    </w:p>
    <w:p w:rsidR="00E66E28" w:rsidRPr="007F6798" w:rsidRDefault="00E66E28" w:rsidP="00233471">
      <w:pPr>
        <w:ind w:left="720"/>
        <w:rPr>
          <w:rFonts w:asciiTheme="minorHAnsi" w:hAnsiTheme="minorHAnsi" w:cs="Arial"/>
          <w:sz w:val="22"/>
          <w:szCs w:val="22"/>
        </w:rPr>
      </w:pPr>
      <w:r w:rsidRPr="007F6798">
        <w:rPr>
          <w:rFonts w:asciiTheme="minorHAnsi" w:hAnsiTheme="minorHAnsi" w:cs="Arial"/>
          <w:sz w:val="22"/>
          <w:szCs w:val="22"/>
        </w:rPr>
        <w:t>(</w:t>
      </w:r>
      <w:proofErr w:type="spellStart"/>
      <w:r w:rsidRPr="007F6798">
        <w:rPr>
          <w:rFonts w:asciiTheme="minorHAnsi" w:hAnsiTheme="minorHAnsi" w:cs="Arial"/>
          <w:sz w:val="22"/>
          <w:szCs w:val="22"/>
        </w:rPr>
        <w:t>i</w:t>
      </w:r>
      <w:proofErr w:type="spellEnd"/>
      <w:r w:rsidRPr="007F6798">
        <w:rPr>
          <w:rFonts w:asciiTheme="minorHAnsi" w:hAnsiTheme="minorHAnsi" w:cs="Arial"/>
          <w:sz w:val="22"/>
          <w:szCs w:val="22"/>
        </w:rPr>
        <w:t>) The components are priced as a “package” with simultaneous execution of all such comp</w:t>
      </w:r>
      <w:r w:rsidRPr="007F6798">
        <w:rPr>
          <w:rFonts w:asciiTheme="minorHAnsi" w:hAnsiTheme="minorHAnsi" w:cs="Arial"/>
          <w:sz w:val="22"/>
          <w:szCs w:val="22"/>
        </w:rPr>
        <w:t>o</w:t>
      </w:r>
      <w:r w:rsidRPr="007F6798">
        <w:rPr>
          <w:rFonts w:asciiTheme="minorHAnsi" w:hAnsiTheme="minorHAnsi" w:cs="Arial"/>
          <w:sz w:val="22"/>
          <w:szCs w:val="22"/>
        </w:rPr>
        <w:t>nents;</w:t>
      </w:r>
    </w:p>
    <w:p w:rsidR="00E66E28" w:rsidRPr="007F6798" w:rsidRDefault="00E66E28" w:rsidP="00233471">
      <w:pPr>
        <w:ind w:left="720"/>
        <w:rPr>
          <w:rFonts w:asciiTheme="minorHAnsi" w:hAnsiTheme="minorHAnsi" w:cs="Arial"/>
          <w:sz w:val="22"/>
          <w:szCs w:val="22"/>
        </w:rPr>
      </w:pPr>
      <w:r w:rsidRPr="007F6798">
        <w:rPr>
          <w:rFonts w:asciiTheme="minorHAnsi" w:hAnsiTheme="minorHAnsi" w:cs="Arial"/>
          <w:sz w:val="22"/>
          <w:szCs w:val="22"/>
        </w:rPr>
        <w:t>(ii) The execution of each component is contingent on the execution of the other components;</w:t>
      </w:r>
    </w:p>
    <w:p w:rsidR="00E66E28" w:rsidRPr="007F6798" w:rsidRDefault="00E66E28" w:rsidP="00233471">
      <w:pPr>
        <w:ind w:left="720"/>
        <w:rPr>
          <w:rFonts w:asciiTheme="minorHAnsi" w:hAnsiTheme="minorHAnsi" w:cs="Arial"/>
          <w:sz w:val="22"/>
          <w:szCs w:val="22"/>
        </w:rPr>
      </w:pPr>
      <w:r w:rsidRPr="007F6798">
        <w:rPr>
          <w:rFonts w:asciiTheme="minorHAnsi" w:hAnsiTheme="minorHAnsi" w:cs="Arial"/>
          <w:sz w:val="22"/>
          <w:szCs w:val="22"/>
        </w:rPr>
        <w:t>(iii) Each component must be able to stand alone and must be able to bear economic risk; and</w:t>
      </w:r>
    </w:p>
    <w:p w:rsidR="00E66E28" w:rsidRPr="007F6798" w:rsidRDefault="00E66E28" w:rsidP="00233471">
      <w:pPr>
        <w:ind w:left="720"/>
        <w:rPr>
          <w:rFonts w:asciiTheme="minorHAnsi" w:hAnsiTheme="minorHAnsi" w:cs="Arial"/>
          <w:sz w:val="22"/>
          <w:szCs w:val="22"/>
        </w:rPr>
      </w:pPr>
      <w:proofErr w:type="gramStart"/>
      <w:r w:rsidRPr="007F6798">
        <w:rPr>
          <w:rFonts w:asciiTheme="minorHAnsi" w:hAnsiTheme="minorHAnsi" w:cs="Arial"/>
          <w:sz w:val="22"/>
          <w:szCs w:val="22"/>
        </w:rPr>
        <w:t>(iv) Either</w:t>
      </w:r>
      <w:proofErr w:type="gramEnd"/>
      <w:r w:rsidRPr="007F6798">
        <w:rPr>
          <w:rFonts w:asciiTheme="minorHAnsi" w:hAnsiTheme="minorHAnsi" w:cs="Arial"/>
          <w:sz w:val="22"/>
          <w:szCs w:val="22"/>
        </w:rPr>
        <w:t>:</w:t>
      </w:r>
    </w:p>
    <w:p w:rsidR="00E66E28" w:rsidRPr="007F6798" w:rsidRDefault="00E66E28" w:rsidP="00233471">
      <w:pPr>
        <w:ind w:left="2160" w:hanging="720"/>
        <w:rPr>
          <w:rFonts w:asciiTheme="minorHAnsi" w:hAnsiTheme="minorHAnsi" w:cs="Arial"/>
          <w:sz w:val="22"/>
          <w:szCs w:val="22"/>
        </w:rPr>
      </w:pPr>
      <w:proofErr w:type="spellStart"/>
      <w:proofErr w:type="gramStart"/>
      <w:r w:rsidRPr="007F6798">
        <w:rPr>
          <w:rFonts w:asciiTheme="minorHAnsi" w:hAnsiTheme="minorHAnsi" w:cs="Arial"/>
          <w:sz w:val="22"/>
          <w:szCs w:val="22"/>
        </w:rPr>
        <w:t>i</w:t>
      </w:r>
      <w:proofErr w:type="spellEnd"/>
      <w:proofErr w:type="gramEnd"/>
      <w:r w:rsidRPr="007F6798">
        <w:rPr>
          <w:rFonts w:asciiTheme="minorHAnsi" w:hAnsiTheme="minorHAnsi" w:cs="Arial"/>
          <w:sz w:val="22"/>
          <w:szCs w:val="22"/>
        </w:rPr>
        <w:t>.</w:t>
      </w:r>
      <w:r w:rsidRPr="007F6798">
        <w:rPr>
          <w:rFonts w:asciiTheme="minorHAnsi" w:hAnsiTheme="minorHAnsi" w:cs="Arial"/>
          <w:sz w:val="22"/>
          <w:szCs w:val="22"/>
        </w:rPr>
        <w:tab/>
        <w:t>the components are economically similar in nature such that the pricing of one component can affect the pricing of the other component; or</w:t>
      </w:r>
    </w:p>
    <w:p w:rsidR="00E66E28" w:rsidRPr="007F6798" w:rsidRDefault="00E66E28" w:rsidP="00233471">
      <w:pPr>
        <w:ind w:left="2160" w:hanging="720"/>
        <w:rPr>
          <w:rFonts w:asciiTheme="minorHAnsi" w:hAnsiTheme="minorHAnsi" w:cs="Arial"/>
          <w:sz w:val="22"/>
          <w:szCs w:val="22"/>
        </w:rPr>
      </w:pPr>
      <w:r w:rsidRPr="007F6798">
        <w:rPr>
          <w:rFonts w:asciiTheme="minorHAnsi" w:hAnsiTheme="minorHAnsi" w:cs="Arial"/>
          <w:sz w:val="22"/>
          <w:szCs w:val="22"/>
        </w:rPr>
        <w:t>ii.</w:t>
      </w:r>
      <w:r w:rsidRPr="007F6798">
        <w:rPr>
          <w:rFonts w:asciiTheme="minorHAnsi" w:hAnsiTheme="minorHAnsi" w:cs="Arial"/>
          <w:sz w:val="22"/>
          <w:szCs w:val="22"/>
        </w:rPr>
        <w:tab/>
      </w:r>
      <w:proofErr w:type="gramStart"/>
      <w:r w:rsidRPr="007F6798">
        <w:rPr>
          <w:rFonts w:asciiTheme="minorHAnsi" w:hAnsiTheme="minorHAnsi" w:cs="Arial"/>
          <w:sz w:val="22"/>
          <w:szCs w:val="22"/>
        </w:rPr>
        <w:t>the</w:t>
      </w:r>
      <w:proofErr w:type="gramEnd"/>
      <w:r w:rsidRPr="007F6798">
        <w:rPr>
          <w:rFonts w:asciiTheme="minorHAnsi" w:hAnsiTheme="minorHAnsi" w:cs="Arial"/>
          <w:sz w:val="22"/>
          <w:szCs w:val="22"/>
        </w:rPr>
        <w:t xml:space="preserve"> components must have a reasonable degree of correlation.</w:t>
      </w:r>
    </w:p>
    <w:p w:rsidR="008E13F7" w:rsidRPr="007F6798" w:rsidRDefault="008E13F7" w:rsidP="00233471">
      <w:pPr>
        <w:rPr>
          <w:rFonts w:asciiTheme="minorHAnsi" w:hAnsiTheme="minorHAnsi" w:cs="Arial"/>
          <w:sz w:val="22"/>
          <w:szCs w:val="22"/>
          <w:u w:val="single"/>
        </w:rPr>
      </w:pPr>
    </w:p>
    <w:p w:rsidR="00E66E28" w:rsidRPr="007F6798" w:rsidRDefault="00E66E28" w:rsidP="00233471">
      <w:pPr>
        <w:rPr>
          <w:rFonts w:asciiTheme="minorHAnsi" w:hAnsiTheme="minorHAnsi" w:cs="Arial"/>
          <w:sz w:val="22"/>
          <w:szCs w:val="22"/>
          <w:u w:val="single"/>
        </w:rPr>
      </w:pPr>
      <w:r w:rsidRPr="007F6798">
        <w:rPr>
          <w:rFonts w:asciiTheme="minorHAnsi" w:hAnsiTheme="minorHAnsi" w:cs="Arial"/>
          <w:sz w:val="22"/>
          <w:szCs w:val="22"/>
          <w:u w:val="single"/>
        </w:rPr>
        <w:t xml:space="preserve">2. Post-trade transparency flag </w:t>
      </w:r>
    </w:p>
    <w:p w:rsidR="008E13F7" w:rsidRPr="007F6798" w:rsidRDefault="008E13F7" w:rsidP="00233471">
      <w:pPr>
        <w:rPr>
          <w:rFonts w:asciiTheme="minorHAnsi" w:hAnsiTheme="minorHAnsi" w:cs="Arial"/>
          <w:bCs/>
          <w:sz w:val="22"/>
          <w:szCs w:val="22"/>
        </w:rPr>
      </w:pPr>
    </w:p>
    <w:p w:rsidR="00E66E28" w:rsidRPr="007F6798" w:rsidRDefault="00E66E28" w:rsidP="00233471">
      <w:pPr>
        <w:rPr>
          <w:rFonts w:asciiTheme="minorHAnsi" w:hAnsiTheme="minorHAnsi" w:cs="Arial"/>
          <w:bCs/>
          <w:sz w:val="22"/>
          <w:szCs w:val="22"/>
        </w:rPr>
      </w:pPr>
      <w:r w:rsidRPr="007F6798">
        <w:rPr>
          <w:rFonts w:asciiTheme="minorHAnsi" w:hAnsiTheme="minorHAnsi" w:cs="Arial"/>
          <w:bCs/>
          <w:sz w:val="22"/>
          <w:szCs w:val="22"/>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E66E28" w:rsidRPr="007F6798" w:rsidRDefault="00E66E28" w:rsidP="00233471">
      <w:pPr>
        <w:rPr>
          <w:rFonts w:asciiTheme="minorHAnsi" w:hAnsiTheme="minorHAnsi"/>
          <w:b/>
          <w:bCs/>
          <w:sz w:val="22"/>
          <w:szCs w:val="22"/>
        </w:rPr>
      </w:pPr>
      <w:r w:rsidRPr="007F6798">
        <w:rPr>
          <w:rFonts w:asciiTheme="minorHAnsi" w:hAnsiTheme="minorHAnsi" w:cs="Arial"/>
          <w:bCs/>
          <w:sz w:val="22"/>
          <w:szCs w:val="22"/>
        </w:rPr>
        <w:t xml:space="preserve">We would also draw attention to our response to Question 218 where we suggest that ESMA may wish to consider including a "link ID" field in transaction reports (for the purposes of the Article 26 MiFIR transaction reporting regime). In ISDA's response to ESMA's recent consultation paper on the review of reporting technical standards under EMIR, we recommended the inclusion of a "link ID"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 </w:t>
      </w:r>
      <w:r w:rsidRPr="007F6798">
        <w:rPr>
          <w:rFonts w:asciiTheme="minorHAnsi" w:hAnsiTheme="minorHAnsi" w:cs="Arial"/>
          <w:b/>
          <w:bCs/>
          <w:sz w:val="22"/>
          <w:szCs w:val="22"/>
        </w:rPr>
        <w:t>END OF ISDA TEXT</w:t>
      </w:r>
    </w:p>
    <w:p w:rsidR="005D2AFD" w:rsidRPr="007F6798" w:rsidRDefault="005D2AFD" w:rsidP="00233471">
      <w:pPr>
        <w:rPr>
          <w:rFonts w:asciiTheme="minorHAnsi" w:hAnsiTheme="minorHAnsi"/>
          <w:bCs/>
          <w:sz w:val="22"/>
          <w:szCs w:val="22"/>
        </w:rPr>
      </w:pPr>
    </w:p>
    <w:p w:rsidR="00E66E28" w:rsidRPr="007F6798" w:rsidRDefault="00E66E28" w:rsidP="00233471">
      <w:pPr>
        <w:pStyle w:val="Default"/>
        <w:spacing w:after="302"/>
        <w:rPr>
          <w:rFonts w:asciiTheme="minorHAnsi" w:hAnsiTheme="minorHAnsi"/>
          <w:b/>
          <w:bCs/>
          <w:sz w:val="22"/>
          <w:szCs w:val="22"/>
          <w:lang w:val="en-GB"/>
        </w:rPr>
      </w:pPr>
      <w:r w:rsidRPr="007F6798">
        <w:rPr>
          <w:rFonts w:asciiTheme="minorHAnsi" w:hAnsiTheme="minorHAnsi"/>
          <w:b/>
          <w:bCs/>
          <w:sz w:val="22"/>
          <w:szCs w:val="22"/>
          <w:lang w:val="en-GB"/>
        </w:rPr>
        <w:t xml:space="preserve">(2) Would you use different parameters or the same parameters but different thresholds in order to define a sub-class as liquid? </w:t>
      </w: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lastRenderedPageBreak/>
        <w:t xml:space="preserve">We do not believe that the approach used by ESMA in defining the Notional Amount/Number of trades a day is appropriate in its current state.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FX market is global in nature and forms the basis of the global payments system, resulting is a very large number of market participants.  It would be very easy for a financial instrument to be traded once a day but considered illiquid by market participants.  Also, the definition of ‘liquid market’ in Article 2(17</w:t>
      </w:r>
      <w:proofErr w:type="gramStart"/>
      <w:r w:rsidRPr="007F6798">
        <w:rPr>
          <w:rFonts w:asciiTheme="minorHAnsi" w:hAnsiTheme="minorHAnsi" w:cstheme="minorBidi"/>
          <w:bCs/>
          <w:color w:val="auto"/>
          <w:sz w:val="22"/>
          <w:szCs w:val="22"/>
          <w:lang w:val="en-GB"/>
        </w:rPr>
        <w:t>)(</w:t>
      </w:r>
      <w:proofErr w:type="gramEnd"/>
      <w:r w:rsidRPr="007F6798">
        <w:rPr>
          <w:rFonts w:asciiTheme="minorHAnsi" w:hAnsiTheme="minorHAnsi" w:cstheme="minorBidi"/>
          <w:bCs/>
          <w:color w:val="auto"/>
          <w:sz w:val="22"/>
          <w:szCs w:val="22"/>
          <w:lang w:val="en-GB"/>
        </w:rPr>
        <w:t xml:space="preserve">a) of MiFIR requires there to be “ready and willing buyers and sellers on a continuous basis”. This requires there to be more than one buyer or seller in a market for a particular sub-class of instruments for that sub-class to be determined liquid. Specifically, two trades, or in some cases one trade per day, cannot be considered consistent with this definition.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Supporting ISDA in their response to the December 2014 CP, GFXD members believe that where a pro</w:t>
      </w:r>
      <w:r w:rsidRPr="007F6798">
        <w:rPr>
          <w:rFonts w:asciiTheme="minorHAnsi" w:hAnsiTheme="minorHAnsi" w:cstheme="minorBidi"/>
          <w:bCs/>
          <w:color w:val="auto"/>
          <w:sz w:val="22"/>
          <w:szCs w:val="22"/>
          <w:lang w:val="en-GB"/>
        </w:rPr>
        <w:t>d</w:t>
      </w:r>
      <w:r w:rsidRPr="007F6798">
        <w:rPr>
          <w:rFonts w:asciiTheme="minorHAnsi" w:hAnsiTheme="minorHAnsi" w:cstheme="minorBidi"/>
          <w:bCs/>
          <w:color w:val="auto"/>
          <w:sz w:val="22"/>
          <w:szCs w:val="22"/>
          <w:lang w:val="en-GB"/>
        </w:rPr>
        <w:t>uct is traded by a small number of participants, ESMA should seek to understand the composition of market participants before determining the final thresholds. For example, a market with ten active participants may have two sellers and eight buyers, or just one risk management provider amongst nine participants seeking risk management services.</w:t>
      </w:r>
    </w:p>
    <w:p w:rsidR="00E66E28" w:rsidRPr="007F6798" w:rsidRDefault="00E66E28" w:rsidP="00233471">
      <w:pPr>
        <w:rPr>
          <w:rFonts w:asciiTheme="minorHAnsi" w:hAnsiTheme="minorHAnsi"/>
          <w:bCs/>
          <w:sz w:val="22"/>
          <w:szCs w:val="22"/>
        </w:rPr>
      </w:pPr>
    </w:p>
    <w:p w:rsidR="00E66E28" w:rsidRPr="007F6798" w:rsidRDefault="00E66E28" w:rsidP="00233471">
      <w:pPr>
        <w:pStyle w:val="Default"/>
        <w:rPr>
          <w:rFonts w:asciiTheme="minorHAnsi" w:hAnsiTheme="minorHAnsi"/>
          <w:b/>
          <w:bCs/>
          <w:sz w:val="22"/>
          <w:szCs w:val="22"/>
          <w:lang w:val="en-GB"/>
        </w:rPr>
      </w:pPr>
      <w:r w:rsidRPr="007F6798">
        <w:rPr>
          <w:rFonts w:asciiTheme="minorHAnsi" w:hAnsiTheme="minorHAnsi"/>
          <w:b/>
          <w:bCs/>
          <w:sz w:val="22"/>
          <w:szCs w:val="22"/>
          <w:lang w:val="en-GB"/>
        </w:rPr>
        <w:t>(3) Would you define some specific classes declared as liquid in ESMA’s proposal as illiquid (and vice versa)?</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would define some classes declared liquid by ESMA as illiquid and vice-versa and we explain why below.</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ESMA have included on page 16 of the </w:t>
      </w:r>
      <w:r w:rsidR="00542D2F">
        <w:rPr>
          <w:rFonts w:asciiTheme="minorHAnsi" w:hAnsiTheme="minorHAnsi" w:cstheme="minorBidi"/>
          <w:bCs/>
          <w:color w:val="auto"/>
          <w:sz w:val="22"/>
          <w:szCs w:val="22"/>
          <w:lang w:val="en-GB"/>
        </w:rPr>
        <w:t>CP</w:t>
      </w:r>
      <w:r w:rsidRPr="007F6798">
        <w:rPr>
          <w:rFonts w:asciiTheme="minorHAnsi" w:hAnsiTheme="minorHAnsi" w:cstheme="minorBidi"/>
          <w:bCs/>
          <w:color w:val="auto"/>
          <w:sz w:val="22"/>
          <w:szCs w:val="22"/>
          <w:lang w:val="en-GB"/>
        </w:rPr>
        <w:t xml:space="preserve"> 2 charts which show the notional and trade distribution of FX derivatives, essentially summarizing the data used by ESMA in this CP.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It is immediately obvious that these charts do not mirror the data published in the Bank of International Settlements (BIS) Triennial Central Bank Survey of Foreign Exchange turnover (</w:t>
      </w:r>
      <w:hyperlink r:id="rId18" w:history="1">
        <w:r w:rsidRPr="007F6798">
          <w:rPr>
            <w:rStyle w:val="Hyperlink"/>
            <w:rFonts w:asciiTheme="minorHAnsi" w:hAnsiTheme="minorHAnsi" w:cstheme="minorBidi"/>
            <w:bCs/>
            <w:sz w:val="22"/>
            <w:szCs w:val="22"/>
            <w:lang w:val="en-GB"/>
          </w:rPr>
          <w:t>http://www.bis.org/publ/rpfx13fx.pdf</w:t>
        </w:r>
      </w:hyperlink>
      <w:r w:rsidRPr="007F6798">
        <w:rPr>
          <w:rFonts w:asciiTheme="minorHAnsi" w:hAnsiTheme="minorHAnsi" w:cstheme="minorBidi"/>
          <w:bCs/>
          <w:color w:val="auto"/>
          <w:sz w:val="22"/>
          <w:szCs w:val="22"/>
          <w:lang w:val="en-GB"/>
        </w:rPr>
        <w:t>), nor that published by the Bank of England in its semi-annual FX surveys (</w:t>
      </w:r>
      <w:hyperlink r:id="rId19" w:history="1">
        <w:r w:rsidRPr="007F6798">
          <w:rPr>
            <w:rStyle w:val="Hyperlink"/>
            <w:rFonts w:asciiTheme="minorHAnsi" w:hAnsiTheme="minorHAnsi" w:cstheme="minorBidi"/>
            <w:bCs/>
            <w:sz w:val="22"/>
            <w:szCs w:val="22"/>
            <w:lang w:val="en-GB"/>
          </w:rPr>
          <w:t>http://www.bankofengland.co.uk/markets/Pages/forex/fxjsc/default.aspx</w:t>
        </w:r>
      </w:hyperlink>
      <w:r w:rsidRPr="007F6798">
        <w:rPr>
          <w:rFonts w:asciiTheme="minorHAnsi" w:hAnsiTheme="minorHAnsi" w:cstheme="minorBidi"/>
          <w:bCs/>
          <w:color w:val="auto"/>
          <w:sz w:val="22"/>
          <w:szCs w:val="22"/>
          <w:lang w:val="en-GB"/>
        </w:rPr>
        <w:t xml:space="preserve">). Both of these sources are widely accepted by the FX industry (including Central Banks) as being representative of turnover within the FX markets, both sources reporting similar market splits by instrument traded and currency pairs.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Figures 2, 3, 4a/b and 5 below show the results of these data sources (Figure 5 comparing all 3) and it should be noted that ESMA themselves used the BIS data in their recent FX NDF Clearing CP, as illu</w:t>
      </w:r>
      <w:r w:rsidRPr="007F6798">
        <w:rPr>
          <w:rFonts w:asciiTheme="minorHAnsi" w:hAnsiTheme="minorHAnsi" w:cstheme="minorBidi"/>
          <w:bCs/>
          <w:color w:val="auto"/>
          <w:sz w:val="22"/>
          <w:szCs w:val="22"/>
          <w:lang w:val="en-GB"/>
        </w:rPr>
        <w:t>s</w:t>
      </w:r>
      <w:r w:rsidRPr="007F6798">
        <w:rPr>
          <w:rFonts w:asciiTheme="minorHAnsi" w:hAnsiTheme="minorHAnsi" w:cstheme="minorBidi"/>
          <w:bCs/>
          <w:color w:val="auto"/>
          <w:sz w:val="22"/>
          <w:szCs w:val="22"/>
          <w:lang w:val="en-GB"/>
        </w:rPr>
        <w:t>trated in Figure 3.</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It is clear that the product splits in Figure 2 (ESMA Addendum CP) are considerably different to those seen in Figures 3 and 4a/b (BIS and BoE) and the difference is even more obvious in Figure 5.  The vo</w:t>
      </w:r>
      <w:r w:rsidRPr="007F6798">
        <w:rPr>
          <w:rFonts w:asciiTheme="minorHAnsi" w:hAnsiTheme="minorHAnsi" w:cstheme="minorBidi"/>
          <w:bCs/>
          <w:color w:val="auto"/>
          <w:sz w:val="22"/>
          <w:szCs w:val="22"/>
          <w:lang w:val="en-GB"/>
        </w:rPr>
        <w:t>l</w:t>
      </w:r>
      <w:r w:rsidRPr="007F6798">
        <w:rPr>
          <w:rFonts w:asciiTheme="minorHAnsi" w:hAnsiTheme="minorHAnsi" w:cstheme="minorBidi"/>
          <w:bCs/>
          <w:color w:val="auto"/>
          <w:sz w:val="22"/>
          <w:szCs w:val="22"/>
          <w:lang w:val="en-GB"/>
        </w:rPr>
        <w:t>ume of each product is either considerably greater/smaller than expected and there is the addition of a new product, ‘spread-betting’ which w</w:t>
      </w:r>
      <w:r w:rsidR="00EA25E8">
        <w:rPr>
          <w:rFonts w:asciiTheme="minorHAnsi" w:hAnsiTheme="minorHAnsi" w:cstheme="minorBidi"/>
          <w:bCs/>
          <w:color w:val="auto"/>
          <w:sz w:val="22"/>
          <w:szCs w:val="22"/>
          <w:lang w:val="en-GB"/>
        </w:rPr>
        <w:t>as unexpected (and in fact mis</w:t>
      </w:r>
      <w:r w:rsidRPr="007F6798">
        <w:rPr>
          <w:rFonts w:asciiTheme="minorHAnsi" w:hAnsiTheme="minorHAnsi" w:cstheme="minorBidi"/>
          <w:bCs/>
          <w:color w:val="auto"/>
          <w:sz w:val="22"/>
          <w:szCs w:val="22"/>
          <w:lang w:val="en-GB"/>
        </w:rPr>
        <w:t>representative), and is discussed in more detail elsewhere in Q1.</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Default="00E66E28" w:rsidP="00233471">
      <w:pPr>
        <w:pStyle w:val="Default"/>
        <w:rPr>
          <w:rFonts w:asciiTheme="minorHAnsi" w:hAnsiTheme="minorHAnsi" w:cstheme="minorBidi"/>
          <w:bCs/>
          <w:color w:val="auto"/>
          <w:sz w:val="22"/>
          <w:szCs w:val="22"/>
          <w:u w:val="single"/>
          <w:lang w:val="en-GB"/>
        </w:rPr>
      </w:pPr>
    </w:p>
    <w:p w:rsidR="00EA25E8" w:rsidRPr="007F6798" w:rsidRDefault="00EA25E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cstheme="minorBidi"/>
          <w:bCs/>
          <w:color w:val="auto"/>
          <w:sz w:val="22"/>
          <w:szCs w:val="22"/>
          <w:u w:val="single"/>
          <w:lang w:val="en-GB"/>
        </w:rPr>
        <w:lastRenderedPageBreak/>
        <w:t>Figure 2: Extract from ESMAs MiFID</w:t>
      </w:r>
      <w:r w:rsidRPr="007F6798">
        <w:rPr>
          <w:rFonts w:asciiTheme="minorHAnsi" w:hAnsiTheme="minorHAnsi"/>
          <w:bCs/>
          <w:sz w:val="22"/>
          <w:szCs w:val="22"/>
          <w:u w:val="single"/>
          <w:lang w:val="en-GB"/>
        </w:rPr>
        <w:t xml:space="preserve"> </w:t>
      </w:r>
      <w:r w:rsidRPr="007F6798">
        <w:rPr>
          <w:rFonts w:asciiTheme="minorHAnsi" w:hAnsiTheme="minorHAnsi" w:cstheme="minorBidi"/>
          <w:bCs/>
          <w:color w:val="auto"/>
          <w:sz w:val="22"/>
          <w:szCs w:val="22"/>
          <w:u w:val="single"/>
          <w:lang w:val="en-GB"/>
        </w:rPr>
        <w:t>Addendum Consultation Paper using EMIR trade reporting data</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bCs/>
          <w:noProof/>
          <w:sz w:val="22"/>
          <w:szCs w:val="22"/>
          <w:lang w:val="en-US" w:eastAsia="en-US"/>
        </w:rPr>
        <w:drawing>
          <wp:inline distT="0" distB="0" distL="0" distR="0">
            <wp:extent cx="3843153" cy="4914457"/>
            <wp:effectExtent l="19050" t="19050" r="23997" b="19493"/>
            <wp:docPr id="10" name="Picture 2"/>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0" cstate="print"/>
                    <a:srcRect l="27527" t="20540" r="29058" b="10583"/>
                    <a:stretch>
                      <a:fillRect/>
                    </a:stretch>
                  </pic:blipFill>
                  <pic:spPr bwMode="auto">
                    <a:xfrm>
                      <a:off x="0" y="0"/>
                      <a:ext cx="3836943" cy="4906516"/>
                    </a:xfrm>
                    <a:prstGeom prst="rect">
                      <a:avLst/>
                    </a:prstGeom>
                    <a:noFill/>
                    <a:ln w="3175">
                      <a:solidFill>
                        <a:schemeClr val="tx1"/>
                      </a:solidFill>
                      <a:miter lim="800000"/>
                      <a:headEnd/>
                      <a:tailEnd/>
                    </a:ln>
                  </pic:spPr>
                </pic:pic>
              </a:graphicData>
            </a:graphic>
          </wp:inline>
        </w:drawing>
      </w:r>
    </w:p>
    <w:p w:rsidR="00E66E28" w:rsidRPr="007F6798" w:rsidRDefault="00E66E28"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lastRenderedPageBreak/>
        <w:t>Figure 3: Extract from ESMAs FX NDF Clearing CP from October 2014 using BIS data</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bCs/>
          <w:noProof/>
          <w:sz w:val="22"/>
          <w:szCs w:val="22"/>
          <w:lang w:val="en-US" w:eastAsia="en-US"/>
        </w:rPr>
        <w:drawing>
          <wp:inline distT="0" distB="0" distL="0" distR="0">
            <wp:extent cx="4127648" cy="3294411"/>
            <wp:effectExtent l="19050" t="19050" r="25252" b="20289"/>
            <wp:docPr id="12" name="Picture 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1" cstate="print"/>
                    <a:srcRect l="17668" t="11084" r="21621" b="19759"/>
                    <a:stretch>
                      <a:fillRect/>
                    </a:stretch>
                  </pic:blipFill>
                  <pic:spPr bwMode="auto">
                    <a:xfrm>
                      <a:off x="0" y="0"/>
                      <a:ext cx="4137128" cy="3301977"/>
                    </a:xfrm>
                    <a:prstGeom prst="rect">
                      <a:avLst/>
                    </a:prstGeom>
                    <a:noFill/>
                    <a:ln w="3175">
                      <a:solidFill>
                        <a:schemeClr val="tx1"/>
                      </a:solidFill>
                      <a:miter lim="800000"/>
                      <a:headEnd/>
                      <a:tailEnd/>
                    </a:ln>
                  </pic:spPr>
                </pic:pic>
              </a:graphicData>
            </a:graphic>
          </wp:inline>
        </w:drawing>
      </w:r>
    </w:p>
    <w:p w:rsidR="008E13F7" w:rsidRPr="007F6798" w:rsidRDefault="008E13F7"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 xml:space="preserve">Figure 4a: Extract and Representation of the BoE April 2014 Semi-Annual FX </w:t>
      </w:r>
      <w:r w:rsidR="00960C61">
        <w:rPr>
          <w:rFonts w:asciiTheme="minorHAnsi" w:hAnsiTheme="minorHAnsi" w:cstheme="minorBidi"/>
          <w:bCs/>
          <w:color w:val="auto"/>
          <w:sz w:val="22"/>
          <w:szCs w:val="22"/>
          <w:u w:val="single"/>
          <w:lang w:val="en-GB"/>
        </w:rPr>
        <w:t>S</w:t>
      </w:r>
      <w:r w:rsidRPr="007F6798">
        <w:rPr>
          <w:rFonts w:asciiTheme="minorHAnsi" w:hAnsiTheme="minorHAnsi" w:cstheme="minorBidi"/>
          <w:bCs/>
          <w:color w:val="auto"/>
          <w:sz w:val="22"/>
          <w:szCs w:val="22"/>
          <w:u w:val="single"/>
          <w:lang w:val="en-GB"/>
        </w:rPr>
        <w:t>urvey</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cstheme="minorBidi"/>
          <w:noProof/>
          <w:color w:val="auto"/>
          <w:sz w:val="22"/>
          <w:szCs w:val="22"/>
          <w:lang w:val="en-US" w:eastAsia="en-US"/>
        </w:rPr>
        <w:drawing>
          <wp:inline distT="0" distB="0" distL="0" distR="0">
            <wp:extent cx="4593575" cy="3106922"/>
            <wp:effectExtent l="19050" t="19050" r="16525" b="17278"/>
            <wp:docPr id="17" name="Picture 4"/>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2" cstate="print"/>
                    <a:srcRect l="19755" t="12560" r="17420" b="15405"/>
                    <a:stretch>
                      <a:fillRect/>
                    </a:stretch>
                  </pic:blipFill>
                  <pic:spPr bwMode="auto">
                    <a:xfrm>
                      <a:off x="0" y="0"/>
                      <a:ext cx="4631268" cy="3132416"/>
                    </a:xfrm>
                    <a:prstGeom prst="rect">
                      <a:avLst/>
                    </a:prstGeom>
                    <a:noFill/>
                    <a:ln w="3175">
                      <a:solidFill>
                        <a:schemeClr val="tx1"/>
                      </a:solidFill>
                      <a:miter lim="800000"/>
                      <a:headEnd/>
                      <a:tailEnd/>
                    </a:ln>
                  </pic:spPr>
                </pic:pic>
              </a:graphicData>
            </a:graphic>
          </wp:inline>
        </w:drawing>
      </w:r>
      <w:r w:rsidRPr="007F6798">
        <w:rPr>
          <w:rFonts w:asciiTheme="minorHAnsi" w:hAnsiTheme="minorHAnsi" w:cstheme="minorBidi"/>
          <w:noProof/>
          <w:color w:val="auto"/>
          <w:sz w:val="22"/>
          <w:szCs w:val="22"/>
          <w:lang w:val="en-GB"/>
        </w:rPr>
        <w:t xml:space="preserve"> </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Default="008E13F7" w:rsidP="00233471">
      <w:pPr>
        <w:pStyle w:val="Default"/>
        <w:rPr>
          <w:rFonts w:asciiTheme="minorHAnsi" w:hAnsiTheme="minorHAnsi" w:cstheme="minorBidi"/>
          <w:bCs/>
          <w:color w:val="auto"/>
          <w:sz w:val="22"/>
          <w:szCs w:val="22"/>
          <w:u w:val="single"/>
          <w:lang w:val="en-GB"/>
        </w:rPr>
      </w:pPr>
    </w:p>
    <w:p w:rsidR="00F2518E" w:rsidRPr="007F6798" w:rsidRDefault="00F2518E"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lastRenderedPageBreak/>
        <w:t>Figure 4b: Chart representation of Figure 4a (BoE Oct 2014 Semi-Annual FX Survey)</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sz w:val="22"/>
          <w:szCs w:val="22"/>
          <w:lang w:val="en-GB"/>
        </w:rPr>
      </w:pPr>
      <w:r w:rsidRPr="007F6798">
        <w:rPr>
          <w:rFonts w:asciiTheme="minorHAnsi" w:hAnsiTheme="minorHAnsi"/>
          <w:noProof/>
          <w:sz w:val="22"/>
          <w:szCs w:val="22"/>
          <w:lang w:val="en-US" w:eastAsia="en-US"/>
        </w:rPr>
        <w:drawing>
          <wp:inline distT="0" distB="0" distL="0" distR="0">
            <wp:extent cx="4589145" cy="2760345"/>
            <wp:effectExtent l="19050" t="0" r="190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589145" cy="2760345"/>
                    </a:xfrm>
                    <a:prstGeom prst="rect">
                      <a:avLst/>
                    </a:prstGeom>
                    <a:noFill/>
                    <a:ln w="9525">
                      <a:noFill/>
                      <a:miter lim="800000"/>
                      <a:headEnd/>
                      <a:tailEnd/>
                    </a:ln>
                  </pic:spPr>
                </pic:pic>
              </a:graphicData>
            </a:graphic>
          </wp:inline>
        </w:drawing>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Figure 5: Comparative analysis between the ESMA CP, BIS and BoE data sets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noProof/>
          <w:sz w:val="22"/>
          <w:szCs w:val="22"/>
          <w:lang w:val="en-US" w:eastAsia="en-US"/>
        </w:rPr>
        <w:drawing>
          <wp:inline distT="0" distB="0" distL="0" distR="0">
            <wp:extent cx="6281420" cy="4773902"/>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281420" cy="4773902"/>
                    </a:xfrm>
                    <a:prstGeom prst="rect">
                      <a:avLst/>
                    </a:prstGeom>
                    <a:noFill/>
                    <a:ln w="9525">
                      <a:noFill/>
                      <a:miter lim="800000"/>
                      <a:headEnd/>
                      <a:tailEnd/>
                    </a:ln>
                  </pic:spPr>
                </pic:pic>
              </a:graphicData>
            </a:graphic>
          </wp:inline>
        </w:drawing>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Analysis of the underlying data, as provided in the charts on pages 22-163 of the CP, immediately illu</w:t>
      </w:r>
      <w:r w:rsidRPr="007F6798">
        <w:rPr>
          <w:rFonts w:asciiTheme="minorHAnsi" w:hAnsiTheme="minorHAnsi" w:cstheme="minorBidi"/>
          <w:bCs/>
          <w:color w:val="auto"/>
          <w:sz w:val="22"/>
          <w:szCs w:val="22"/>
          <w:lang w:val="en-GB"/>
        </w:rPr>
        <w:t>s</w:t>
      </w:r>
      <w:r w:rsidRPr="007F6798">
        <w:rPr>
          <w:rFonts w:asciiTheme="minorHAnsi" w:hAnsiTheme="minorHAnsi" w:cstheme="minorBidi"/>
          <w:bCs/>
          <w:color w:val="auto"/>
          <w:sz w:val="22"/>
          <w:szCs w:val="22"/>
          <w:lang w:val="en-GB"/>
        </w:rPr>
        <w:t>trated examples of data inconsistencies, such as: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Inclusion of deliverable currency crosses within the NDF bucket</w:t>
      </w:r>
      <w:r w:rsidR="00960C61">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xml:space="preserve"> </w:t>
      </w: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Inclusion of non-deliverable currency crosses within the DF bucket</w:t>
      </w:r>
      <w:r w:rsidR="00960C61">
        <w:rPr>
          <w:rFonts w:asciiTheme="minorHAnsi" w:hAnsiTheme="minorHAnsi" w:cstheme="minorBidi"/>
          <w:bCs/>
          <w:color w:val="auto"/>
          <w:sz w:val="22"/>
          <w:szCs w:val="22"/>
          <w:lang w:val="en-GB"/>
        </w:rPr>
        <w:t>.</w:t>
      </w: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Inclusion of a new product category, Spread-betting, which appears to be being used by ESMA as a ‘catch all’ category for the EMIR trade reporting product category ‘Other’.  We also consider that there could be an overlap of this category with the Financial</w:t>
      </w:r>
      <w:r w:rsidR="00960C61">
        <w:rPr>
          <w:rFonts w:asciiTheme="minorHAnsi" w:hAnsiTheme="minorHAnsi" w:cstheme="minorBidi"/>
          <w:bCs/>
          <w:color w:val="auto"/>
          <w:sz w:val="22"/>
          <w:szCs w:val="22"/>
          <w:lang w:val="en-GB"/>
        </w:rPr>
        <w:t xml:space="preserve"> Contracts for Difference (CFD)</w:t>
      </w:r>
      <w:r w:rsidRPr="007F6798">
        <w:rPr>
          <w:rFonts w:asciiTheme="minorHAnsi" w:hAnsiTheme="minorHAnsi" w:cstheme="minorBidi"/>
          <w:bCs/>
          <w:color w:val="auto"/>
          <w:sz w:val="22"/>
          <w:szCs w:val="22"/>
          <w:lang w:val="en-GB"/>
        </w:rPr>
        <w:t xml:space="preserve"> product which is defined under MiFID Annex C9 and not C4 which is where FX derivatives are d</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fined</w:t>
      </w:r>
      <w:r w:rsidR="00960C61">
        <w:rPr>
          <w:rFonts w:asciiTheme="minorHAnsi" w:hAnsiTheme="minorHAnsi" w:cstheme="minorBidi"/>
          <w:bCs/>
          <w:color w:val="auto"/>
          <w:sz w:val="22"/>
          <w:szCs w:val="22"/>
          <w:lang w:val="en-GB"/>
        </w:rPr>
        <w:t>.</w:t>
      </w: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Inclusion of precious metals within the FX data, which at best has the potential to result in co</w:t>
      </w:r>
      <w:r w:rsidRPr="007F6798">
        <w:rPr>
          <w:rFonts w:asciiTheme="minorHAnsi" w:hAnsiTheme="minorHAnsi" w:cstheme="minorBidi"/>
          <w:bCs/>
          <w:color w:val="auto"/>
          <w:sz w:val="22"/>
          <w:szCs w:val="22"/>
          <w:lang w:val="en-GB"/>
        </w:rPr>
        <w:t>n</w:t>
      </w:r>
      <w:r w:rsidRPr="007F6798">
        <w:rPr>
          <w:rFonts w:asciiTheme="minorHAnsi" w:hAnsiTheme="minorHAnsi" w:cstheme="minorBidi"/>
          <w:bCs/>
          <w:color w:val="auto"/>
          <w:sz w:val="22"/>
          <w:szCs w:val="22"/>
          <w:lang w:val="en-GB"/>
        </w:rPr>
        <w:t>fusing and conflicting rules between the FX and Commodities asset classes, and at worst creates unhelpful incentives to repackage economic exposure into different ‘wrappers’ in order to obtain different regulatory treatment. These commodity products should be removed from the r</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quirements for FX products and addressed solely within the requirements for the Commodities asset class</w:t>
      </w:r>
      <w:r w:rsidR="00960C61">
        <w:rPr>
          <w:rFonts w:asciiTheme="minorHAnsi" w:hAnsiTheme="minorHAnsi" w:cstheme="minorBidi"/>
          <w:bCs/>
          <w:color w:val="auto"/>
          <w:sz w:val="22"/>
          <w:szCs w:val="22"/>
          <w:lang w:val="en-GB"/>
        </w:rPr>
        <w:t>.</w:t>
      </w:r>
    </w:p>
    <w:p w:rsidR="00E66E28" w:rsidRPr="007F6798" w:rsidRDefault="00E66E28" w:rsidP="00233471">
      <w:pPr>
        <w:pStyle w:val="Default"/>
        <w:ind w:left="709"/>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The </w:t>
      </w:r>
      <w:r w:rsidRPr="007F6798">
        <w:rPr>
          <w:rFonts w:asciiTheme="minorHAnsi" w:hAnsiTheme="minorHAnsi" w:cstheme="minorBidi"/>
          <w:bCs/>
          <w:color w:val="auto"/>
          <w:sz w:val="22"/>
          <w:szCs w:val="22"/>
          <w:u w:val="single"/>
          <w:lang w:val="en-GB"/>
        </w:rPr>
        <w:t>impact</w:t>
      </w:r>
      <w:r w:rsidRPr="007F6798">
        <w:rPr>
          <w:rFonts w:asciiTheme="minorHAnsi" w:hAnsiTheme="minorHAnsi" w:cstheme="minorBidi"/>
          <w:bCs/>
          <w:color w:val="auto"/>
          <w:sz w:val="22"/>
          <w:szCs w:val="22"/>
          <w:lang w:val="en-GB"/>
        </w:rPr>
        <w:t xml:space="preserve"> of these data inconsistencies is that:</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Some FX instruments we had expected to be considered liquid have been classified as illiquid</w:t>
      </w:r>
      <w:r w:rsidR="00960C61">
        <w:rPr>
          <w:rFonts w:asciiTheme="minorHAnsi" w:hAnsiTheme="minorHAnsi" w:cstheme="minorBidi"/>
          <w:bCs/>
          <w:color w:val="auto"/>
          <w:sz w:val="22"/>
          <w:szCs w:val="22"/>
          <w:lang w:val="en-GB"/>
        </w:rPr>
        <w:t>:</w:t>
      </w:r>
    </w:p>
    <w:p w:rsidR="00E66E28" w:rsidRPr="007F6798" w:rsidRDefault="00E66E28" w:rsidP="00E66E28">
      <w:pPr>
        <w:pStyle w:val="Default"/>
        <w:numPr>
          <w:ilvl w:val="1"/>
          <w:numId w:val="61"/>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e.g., deliverable forward AUD crosses </w:t>
      </w:r>
    </w:p>
    <w:p w:rsidR="00E66E28" w:rsidRPr="007F6798" w:rsidRDefault="00E66E28" w:rsidP="00233471">
      <w:pPr>
        <w:pStyle w:val="Default"/>
        <w:ind w:left="1440"/>
        <w:rPr>
          <w:rFonts w:asciiTheme="minorHAnsi" w:hAnsiTheme="minorHAnsi" w:cstheme="minorBidi"/>
          <w:bCs/>
          <w:color w:val="auto"/>
          <w:sz w:val="22"/>
          <w:szCs w:val="22"/>
          <w:lang w:val="en-GB"/>
        </w:rPr>
      </w:pPr>
    </w:p>
    <w:p w:rsidR="00E66E28" w:rsidRPr="007F6798" w:rsidRDefault="00E66E28" w:rsidP="00E66E28">
      <w:pPr>
        <w:pStyle w:val="Default"/>
        <w:numPr>
          <w:ilvl w:val="0"/>
          <w:numId w:val="61"/>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Some FX instruments which we had expected to be to be considered illiquid have been classified</w:t>
      </w:r>
      <w:r w:rsidR="00960C61">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xml:space="preserve"> as liquid</w:t>
      </w:r>
    </w:p>
    <w:p w:rsidR="00E66E28" w:rsidRPr="007F6798" w:rsidRDefault="00E66E28" w:rsidP="00E66E28">
      <w:pPr>
        <w:pStyle w:val="Default"/>
        <w:numPr>
          <w:ilvl w:val="1"/>
          <w:numId w:val="61"/>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e.g., deliverable forward non-USD crosses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To illustrate the scale of these inconsistencies we have extracted the final deliverable and non-deliverable liquidity tables from the CP.  Figure 6 illustrates the data from Table 48-Liquid NDF (which starts on page 329 of the CP) and Figure 7 illustrates Table 50-Liquid DF (which starts on page 336 of the CP).</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br w:type="page"/>
      </w:r>
    </w:p>
    <w:p w:rsidR="00E66E2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lastRenderedPageBreak/>
        <w:t>Figure 6: MiFID Addendum CP Extract of FX non-deliverable forwards – liquid classes</w:t>
      </w:r>
    </w:p>
    <w:p w:rsidR="00171B9D" w:rsidRPr="007F6798" w:rsidRDefault="00171B9D"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noProof/>
          <w:sz w:val="22"/>
          <w:szCs w:val="22"/>
          <w:lang w:val="en-US" w:eastAsia="en-US"/>
        </w:rPr>
        <w:drawing>
          <wp:inline distT="0" distB="0" distL="0" distR="0">
            <wp:extent cx="6208122" cy="8091377"/>
            <wp:effectExtent l="19050" t="0" r="2178"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210497" cy="8094473"/>
                    </a:xfrm>
                    <a:prstGeom prst="rect">
                      <a:avLst/>
                    </a:prstGeom>
                    <a:noFill/>
                    <a:ln w="9525">
                      <a:noFill/>
                      <a:miter lim="800000"/>
                      <a:headEnd/>
                      <a:tailEnd/>
                    </a:ln>
                  </pic:spPr>
                </pic:pic>
              </a:graphicData>
            </a:graphic>
          </wp:inline>
        </w:drawing>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We have identified (grey highlight) in Figure 6 those currency crosses which are typically non-deliverable in nature and it is clear that there are many other crosses included in this category which rarely or  never trade as non-deliverable forwards.  It should be noted too that some of the LIS numbers, such as the COPUSD 700million, are actually </w:t>
      </w:r>
      <w:r w:rsidRPr="007F6798">
        <w:rPr>
          <w:rFonts w:asciiTheme="minorHAnsi" w:hAnsiTheme="minorHAnsi" w:cstheme="minorBidi"/>
          <w:bCs/>
          <w:color w:val="auto"/>
          <w:sz w:val="22"/>
          <w:szCs w:val="22"/>
          <w:u w:val="single"/>
          <w:lang w:val="en-GB"/>
        </w:rPr>
        <w:t>higher</w:t>
      </w:r>
      <w:r w:rsidRPr="007F6798">
        <w:rPr>
          <w:rFonts w:asciiTheme="minorHAnsi" w:hAnsiTheme="minorHAnsi" w:cstheme="minorBidi"/>
          <w:bCs/>
          <w:color w:val="auto"/>
          <w:sz w:val="22"/>
          <w:szCs w:val="22"/>
          <w:lang w:val="en-GB"/>
        </w:rPr>
        <w:t xml:space="preserve"> than the notional/per day reported on page 30 of the CP (340million), again reflective of the data quality issues facing ESMA.</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For ease we have also highlighted in blue those precious metals crosses (see comment above) which have also been included within the FX data.  It is clear to us that the current ESMA analysis includes a large proportion of instruments which are rarely if ever traded as FX non-deliverables.</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rPr>
          <w:rFonts w:asciiTheme="minorHAnsi" w:hAnsiTheme="minorHAnsi" w:cs="Arial"/>
          <w:bCs/>
          <w:color w:val="000000"/>
          <w:sz w:val="22"/>
          <w:szCs w:val="22"/>
          <w:u w:val="single"/>
        </w:rPr>
      </w:pPr>
      <w:r w:rsidRPr="007F6798">
        <w:rPr>
          <w:rFonts w:asciiTheme="minorHAnsi" w:hAnsiTheme="minorHAnsi"/>
          <w:bCs/>
          <w:sz w:val="22"/>
          <w:szCs w:val="22"/>
          <w:u w:val="single"/>
        </w:rPr>
        <w:br w:type="page"/>
      </w: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lastRenderedPageBreak/>
        <w:t>Figure 7: MiFID Addendum CP Extract of FX deliverable forwards – liquid classes</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bCs/>
          <w:sz w:val="22"/>
          <w:szCs w:val="22"/>
          <w:u w:val="single"/>
          <w:lang w:val="en-GB"/>
        </w:rPr>
      </w:pPr>
      <w:r w:rsidRPr="007F6798">
        <w:rPr>
          <w:rFonts w:asciiTheme="minorHAnsi" w:hAnsiTheme="minorHAnsi"/>
          <w:noProof/>
          <w:sz w:val="22"/>
          <w:szCs w:val="22"/>
          <w:lang w:val="en-US" w:eastAsia="en-US"/>
        </w:rPr>
        <w:drawing>
          <wp:inline distT="0" distB="0" distL="0" distR="0">
            <wp:extent cx="3293640" cy="7824058"/>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295664" cy="7828866"/>
                    </a:xfrm>
                    <a:prstGeom prst="rect">
                      <a:avLst/>
                    </a:prstGeom>
                    <a:noFill/>
                    <a:ln w="9525">
                      <a:noFill/>
                      <a:miter lim="800000"/>
                      <a:headEnd/>
                      <a:tailEnd/>
                    </a:ln>
                  </pic:spPr>
                </pic:pic>
              </a:graphicData>
            </a:graphic>
          </wp:inline>
        </w:drawing>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lastRenderedPageBreak/>
        <w:t xml:space="preserve">We have used the same approach in Figure 7 as that used in Figure 6.  Those currency pairs usually traded as non-deliverable are highlighted in grey.  For ease we have also highlighted in blue </w:t>
      </w:r>
      <w:proofErr w:type="gramStart"/>
      <w:r w:rsidRPr="007F6798">
        <w:rPr>
          <w:rFonts w:asciiTheme="minorHAnsi" w:hAnsiTheme="minorHAnsi" w:cstheme="minorBidi"/>
          <w:bCs/>
          <w:color w:val="auto"/>
          <w:sz w:val="22"/>
          <w:szCs w:val="22"/>
          <w:lang w:val="en-GB"/>
        </w:rPr>
        <w:t>those pr</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cious metal</w:t>
      </w:r>
      <w:proofErr w:type="gramEnd"/>
      <w:r w:rsidRPr="007F6798">
        <w:rPr>
          <w:rFonts w:asciiTheme="minorHAnsi" w:hAnsiTheme="minorHAnsi" w:cstheme="minorBidi"/>
          <w:bCs/>
          <w:color w:val="auto"/>
          <w:sz w:val="22"/>
          <w:szCs w:val="22"/>
          <w:lang w:val="en-GB"/>
        </w:rPr>
        <w:t xml:space="preserve"> crosses (see comment above) which have also been included within the FX data.  As me</w:t>
      </w:r>
      <w:r w:rsidRPr="007F6798">
        <w:rPr>
          <w:rFonts w:asciiTheme="minorHAnsi" w:hAnsiTheme="minorHAnsi" w:cstheme="minorBidi"/>
          <w:bCs/>
          <w:color w:val="auto"/>
          <w:sz w:val="22"/>
          <w:szCs w:val="22"/>
          <w:lang w:val="en-GB"/>
        </w:rPr>
        <w:t>n</w:t>
      </w:r>
      <w:r w:rsidRPr="007F6798">
        <w:rPr>
          <w:rFonts w:asciiTheme="minorHAnsi" w:hAnsiTheme="minorHAnsi" w:cstheme="minorBidi"/>
          <w:bCs/>
          <w:color w:val="auto"/>
          <w:sz w:val="22"/>
          <w:szCs w:val="22"/>
          <w:lang w:val="en-GB"/>
        </w:rPr>
        <w:t>tioned in the paragraph above, it is very easy to see that the ESMA analysis includes instruments in non-deliverable currencies that are very rarely traded as deliverables, and  that a large proportion of instr</w:t>
      </w:r>
      <w:r w:rsidRPr="007F6798">
        <w:rPr>
          <w:rFonts w:asciiTheme="minorHAnsi" w:hAnsiTheme="minorHAnsi" w:cstheme="minorBidi"/>
          <w:bCs/>
          <w:color w:val="auto"/>
          <w:sz w:val="22"/>
          <w:szCs w:val="22"/>
          <w:lang w:val="en-GB"/>
        </w:rPr>
        <w:t>u</w:t>
      </w:r>
      <w:r w:rsidRPr="007F6798">
        <w:rPr>
          <w:rFonts w:asciiTheme="minorHAnsi" w:hAnsiTheme="minorHAnsi" w:cstheme="minorBidi"/>
          <w:bCs/>
          <w:color w:val="auto"/>
          <w:sz w:val="22"/>
          <w:szCs w:val="22"/>
          <w:lang w:val="en-GB"/>
        </w:rPr>
        <w:t>ments that typically are not deemed liquid (e.g</w:t>
      </w:r>
      <w:r w:rsidR="00171B9D">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non-USD crosses) in the normal course of trading have been categorized as liquid by ESMA.  This is further demonstrated in the GFXD proposal at the end of our response to question 1.</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also strongly suggest that accurate data collected over a longer period than 3 months should be used to ensure a range of market events are captured within any calculations.  However, the GFXD is aware that in our proposal below we have used data from a single month, October 2014, noting that this is more of a necessity to ensure the short consultation deadlines were met and we hope that ESMA will conduct a fuller analysis taking into consideration the issues we are raising.</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For instance, the March-May2014 period used in this analysis contained specific CNY activity due to </w:t>
      </w:r>
      <w:proofErr w:type="spellStart"/>
      <w:r w:rsidRPr="007F6798">
        <w:rPr>
          <w:rFonts w:asciiTheme="minorHAnsi" w:hAnsiTheme="minorHAnsi" w:cstheme="minorBidi"/>
          <w:bCs/>
          <w:color w:val="auto"/>
          <w:sz w:val="22"/>
          <w:szCs w:val="22"/>
          <w:lang w:val="en-GB"/>
        </w:rPr>
        <w:t>PBoC</w:t>
      </w:r>
      <w:proofErr w:type="spellEnd"/>
      <w:r w:rsidRPr="007F6798">
        <w:rPr>
          <w:rFonts w:asciiTheme="minorHAnsi" w:hAnsiTheme="minorHAnsi" w:cstheme="minorBidi"/>
          <w:bCs/>
          <w:color w:val="auto"/>
          <w:sz w:val="22"/>
          <w:szCs w:val="22"/>
          <w:lang w:val="en-GB"/>
        </w:rPr>
        <w:t xml:space="preserve"> policy intervention as reported by Standard Chartered in the following research note, which may not be representative when considered over a longer period (</w:t>
      </w:r>
      <w:hyperlink r:id="rId27" w:history="1">
        <w:r w:rsidRPr="007F6798">
          <w:rPr>
            <w:rStyle w:val="Hyperlink"/>
            <w:rFonts w:asciiTheme="minorHAnsi" w:hAnsiTheme="minorHAnsi" w:cstheme="minorBidi"/>
            <w:bCs/>
            <w:sz w:val="22"/>
            <w:szCs w:val="22"/>
            <w:lang w:val="en-GB"/>
          </w:rPr>
          <w:t>https://research.standardchartered.com/configuration/ROW%20Documents/PBoC_delivers_a_decisive_band_widening_16_03_14_13_14.pdf</w:t>
        </w:r>
      </w:hyperlink>
      <w:r w:rsidRPr="007F6798">
        <w:rPr>
          <w:rFonts w:asciiTheme="minorHAnsi" w:hAnsiTheme="minorHAnsi" w:cstheme="minorBidi"/>
          <w:bCs/>
          <w:color w:val="auto"/>
          <w:sz w:val="22"/>
          <w:szCs w:val="22"/>
          <w:lang w:val="en-GB"/>
        </w:rPr>
        <w:t>).</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believe that the data should be collated once EMIR trade reporting is considered accurate and repr</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 xml:space="preserve">sentative of actual trading patterns, including the correct mapping of FX instruments as traded by the market.  </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ESMA Approach – Data Quality Concerns</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have discussed above our initial observations concerning the quality of the data used by ESMA in its analysis in this CP.  We believe it would be beneficial to expand on some of these themes.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A25E8" w:rsidP="00233471">
      <w:pPr>
        <w:pStyle w:val="Default"/>
        <w:rPr>
          <w:rFonts w:asciiTheme="minorHAnsi" w:hAnsiTheme="minorHAnsi" w:cstheme="minorBidi"/>
          <w:bCs/>
          <w:color w:val="auto"/>
          <w:sz w:val="22"/>
          <w:szCs w:val="22"/>
          <w:lang w:val="en-GB"/>
        </w:rPr>
      </w:pPr>
      <w:r>
        <w:rPr>
          <w:rFonts w:asciiTheme="minorHAnsi" w:hAnsiTheme="minorHAnsi" w:cstheme="minorBidi"/>
          <w:bCs/>
          <w:i/>
          <w:color w:val="auto"/>
          <w:sz w:val="22"/>
          <w:szCs w:val="22"/>
          <w:lang w:val="en-GB"/>
        </w:rPr>
        <w:t>Trade Reporting mis</w:t>
      </w:r>
      <w:r w:rsidR="00E66E28" w:rsidRPr="007F6798">
        <w:rPr>
          <w:rFonts w:asciiTheme="minorHAnsi" w:hAnsiTheme="minorHAnsi" w:cstheme="minorBidi"/>
          <w:bCs/>
          <w:i/>
          <w:color w:val="auto"/>
          <w:sz w:val="22"/>
          <w:szCs w:val="22"/>
          <w:lang w:val="en-GB"/>
        </w:rPr>
        <w:t>matches:</w:t>
      </w:r>
      <w:r w:rsidR="00E66E28" w:rsidRPr="007F6798">
        <w:rPr>
          <w:rFonts w:asciiTheme="minorHAnsi" w:hAnsiTheme="minorHAnsi" w:cstheme="minorBidi"/>
          <w:bCs/>
          <w:color w:val="auto"/>
          <w:sz w:val="22"/>
          <w:szCs w:val="22"/>
          <w:lang w:val="en-GB"/>
        </w:rPr>
        <w:t xml:space="preserve"> EMIR trade reporting, unlike that in some other jurisdictions, is 2-sided in nature, meaning that both parties to a trade are required to report to a trade repository (TR).  For FX, there are at least 6 trade repositories that have been registered in the EU, with the GFXD members all reporting to DTCC.  The dual sided nature of reporting creates the need for both parties to validate that their submission matches that of their counterparty and this is usually pe</w:t>
      </w:r>
      <w:r w:rsidR="00960C61">
        <w:rPr>
          <w:rFonts w:asciiTheme="minorHAnsi" w:hAnsiTheme="minorHAnsi" w:cstheme="minorBidi"/>
          <w:bCs/>
          <w:color w:val="auto"/>
          <w:sz w:val="22"/>
          <w:szCs w:val="22"/>
          <w:lang w:val="en-GB"/>
        </w:rPr>
        <w:t>rformed via exception (or ‘mis</w:t>
      </w:r>
      <w:r w:rsidR="00E66E28" w:rsidRPr="007F6798">
        <w:rPr>
          <w:rFonts w:asciiTheme="minorHAnsi" w:hAnsiTheme="minorHAnsi" w:cstheme="minorBidi"/>
          <w:bCs/>
          <w:color w:val="auto"/>
          <w:sz w:val="22"/>
          <w:szCs w:val="22"/>
          <w:lang w:val="en-GB"/>
        </w:rPr>
        <w:t>matching’) reporting.  During the first 3 months of data submissions (i.e., the extract used by ESMA in this CP), the ability for either party to check their submission for accuracy intra TR, or even inter TRs, did not exist due to the absence of any exception reporting.  Even now, some 14 months since the go-live of EMIR trade reporting obligations, the availability of exception reporting is lim</w:t>
      </w:r>
      <w:r>
        <w:rPr>
          <w:rFonts w:asciiTheme="minorHAnsi" w:hAnsiTheme="minorHAnsi" w:cstheme="minorBidi"/>
          <w:bCs/>
          <w:color w:val="auto"/>
          <w:sz w:val="22"/>
          <w:szCs w:val="22"/>
          <w:lang w:val="en-GB"/>
        </w:rPr>
        <w:t>ited.  ESMA therefore used mis</w:t>
      </w:r>
      <w:r w:rsidR="00E66E28" w:rsidRPr="007F6798">
        <w:rPr>
          <w:rFonts w:asciiTheme="minorHAnsi" w:hAnsiTheme="minorHAnsi" w:cstheme="minorBidi"/>
          <w:bCs/>
          <w:color w:val="auto"/>
          <w:sz w:val="22"/>
          <w:szCs w:val="22"/>
          <w:lang w:val="en-GB"/>
        </w:rPr>
        <w:t>matched trade data in their assessment of trading activity in Europe, impacting their assessment of notionals, financial instruments and volumes traded.</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Trading period:</w:t>
      </w:r>
      <w:r w:rsidRPr="007F6798">
        <w:rPr>
          <w:rFonts w:asciiTheme="minorHAnsi" w:hAnsiTheme="minorHAnsi" w:cstheme="minorBidi"/>
          <w:bCs/>
          <w:color w:val="auto"/>
          <w:sz w:val="22"/>
          <w:szCs w:val="22"/>
          <w:lang w:val="en-GB"/>
        </w:rPr>
        <w:t xml:space="preserve"> Table 1 on page 17 of the CP illustrates a high-level assessment showing which FX pro</w:t>
      </w:r>
      <w:r w:rsidRPr="007F6798">
        <w:rPr>
          <w:rFonts w:asciiTheme="minorHAnsi" w:hAnsiTheme="minorHAnsi" w:cstheme="minorBidi"/>
          <w:bCs/>
          <w:color w:val="auto"/>
          <w:sz w:val="22"/>
          <w:szCs w:val="22"/>
          <w:lang w:val="en-GB"/>
        </w:rPr>
        <w:t>d</w:t>
      </w:r>
      <w:r w:rsidRPr="007F6798">
        <w:rPr>
          <w:rFonts w:asciiTheme="minorHAnsi" w:hAnsiTheme="minorHAnsi" w:cstheme="minorBidi"/>
          <w:bCs/>
          <w:color w:val="auto"/>
          <w:sz w:val="22"/>
          <w:szCs w:val="22"/>
          <w:lang w:val="en-GB"/>
        </w:rPr>
        <w:t xml:space="preserve">uct types are liquid.  Footnote 5 on page 17 clearly states that the number of trading days for the period of data chosen for analysis was 65.  However, Table 1 states that the number of trading days for each of the product types was </w:t>
      </w:r>
      <w:r w:rsidRPr="007F6798">
        <w:rPr>
          <w:rFonts w:asciiTheme="minorHAnsi" w:hAnsiTheme="minorHAnsi" w:cstheme="minorBidi"/>
          <w:bCs/>
          <w:color w:val="auto"/>
          <w:sz w:val="22"/>
          <w:szCs w:val="22"/>
          <w:u w:val="single"/>
          <w:lang w:val="en-GB"/>
        </w:rPr>
        <w:t>above</w:t>
      </w:r>
      <w:r w:rsidRPr="007F6798">
        <w:rPr>
          <w:rFonts w:asciiTheme="minorHAnsi" w:hAnsiTheme="minorHAnsi" w:cstheme="minorBidi"/>
          <w:bCs/>
          <w:color w:val="auto"/>
          <w:sz w:val="22"/>
          <w:szCs w:val="22"/>
          <w:lang w:val="en-GB"/>
        </w:rPr>
        <w:t xml:space="preserve"> 65, and for NDFs was actually 92. We believe that the number of days traded should not exceed 100% which suggests that yet more of the data submitted to the TR was not representative.  The number of days traded is a specific factor in the determination of liquidity, in that in order for a class of derivatives to be liquid, one of the categories assessed is the “number of days traded </w:t>
      </w:r>
      <w:r w:rsidRPr="007F6798">
        <w:rPr>
          <w:rFonts w:asciiTheme="minorHAnsi" w:hAnsiTheme="minorHAnsi" w:cstheme="minorBidi"/>
          <w:bCs/>
          <w:color w:val="auto"/>
          <w:sz w:val="22"/>
          <w:szCs w:val="22"/>
          <w:lang w:val="en-GB"/>
        </w:rPr>
        <w:lastRenderedPageBreak/>
        <w:t xml:space="preserve">greater than or equal to 80% of the available trading days in the period”.  We believe this is a further example impacting ESMA’s ability to make an accurate liquidity assessment.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 xml:space="preserve">ESMA Approach – LIS/SSTI </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also believe that the relevant LIS/SSTI thresholds need to be set at a level appropriate to the liquidity (or illiquidity) of an instrument, and whilst our preference would be that ESMA make an accurate dete</w:t>
      </w:r>
      <w:r w:rsidRPr="007F6798">
        <w:rPr>
          <w:rFonts w:asciiTheme="minorHAnsi" w:hAnsiTheme="minorHAnsi" w:cstheme="minorBidi"/>
          <w:bCs/>
          <w:color w:val="auto"/>
          <w:sz w:val="22"/>
          <w:szCs w:val="22"/>
          <w:lang w:val="en-GB"/>
        </w:rPr>
        <w:t>r</w:t>
      </w:r>
      <w:r w:rsidRPr="007F6798">
        <w:rPr>
          <w:rFonts w:asciiTheme="minorHAnsi" w:hAnsiTheme="minorHAnsi" w:cstheme="minorBidi"/>
          <w:bCs/>
          <w:color w:val="auto"/>
          <w:sz w:val="22"/>
          <w:szCs w:val="22"/>
          <w:lang w:val="en-GB"/>
        </w:rPr>
        <w:t>mination of liquidity, failing that we agree that ESMA can compensate to a degree through lower LIS and SSTI. It concerns us therefore that ESMA does not in practice make this compensation even though this is noted as a possibility.  Furthermore, the proposed 50% SSTI/LIS ratio is arbitrary and we are concerned that it assumes a linear relationship between SSTI and LIS.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We propose two alternative solutions that would achieve a more appropriate SSTI (that would also compensate for an incorrect liquidity determination), a topic discussed in more details in our response to Question 2: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1"/>
          <w:numId w:val="65"/>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SSTI be calibrated as the median trade size for trades below the</w:t>
      </w:r>
      <w:r w:rsidR="00960C61">
        <w:rPr>
          <w:rFonts w:asciiTheme="minorHAnsi" w:hAnsiTheme="minorHAnsi" w:cstheme="minorBidi"/>
          <w:bCs/>
          <w:color w:val="auto"/>
          <w:sz w:val="22"/>
          <w:szCs w:val="22"/>
          <w:lang w:val="en-GB"/>
        </w:rPr>
        <w:t xml:space="preserve"> LIS threshold in a given class;</w:t>
      </w:r>
      <w:r w:rsidRPr="007F6798">
        <w:rPr>
          <w:rFonts w:asciiTheme="minorHAnsi" w:hAnsiTheme="minorHAnsi" w:cstheme="minorBidi"/>
          <w:bCs/>
          <w:color w:val="auto"/>
          <w:sz w:val="22"/>
          <w:szCs w:val="22"/>
          <w:lang w:val="en-GB"/>
        </w:rPr>
        <w:t xml:space="preserve"> or </w:t>
      </w:r>
    </w:p>
    <w:p w:rsidR="00E66E28" w:rsidRPr="007F6798" w:rsidRDefault="00E66E28" w:rsidP="00E66E28">
      <w:pPr>
        <w:pStyle w:val="Default"/>
        <w:numPr>
          <w:ilvl w:val="1"/>
          <w:numId w:val="65"/>
        </w:numPr>
        <w:ind w:left="709"/>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A lower SSTI/LIS ratio of 10% should be used.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ESMA Approach – Ability to Re-calibrate</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As referenced in the AFME and ISDA responses to the December 2014 MiFID CP, the GFXD shares the same concerns in that ESMA does not propose to recalibrate the liquidity assessment at all. </w:t>
      </w:r>
      <w:proofErr w:type="gramStart"/>
      <w:r w:rsidRPr="007F6798">
        <w:rPr>
          <w:rFonts w:asciiTheme="minorHAnsi" w:hAnsiTheme="minorHAnsi" w:cstheme="minorBidi"/>
          <w:bCs/>
          <w:color w:val="auto"/>
          <w:sz w:val="22"/>
          <w:szCs w:val="22"/>
          <w:lang w:val="en-GB"/>
        </w:rPr>
        <w:t xml:space="preserve">In the May 2014 </w:t>
      </w:r>
      <w:r w:rsidR="008754FC">
        <w:rPr>
          <w:rFonts w:asciiTheme="minorHAnsi" w:hAnsiTheme="minorHAnsi" w:cstheme="minorBidi"/>
          <w:bCs/>
          <w:color w:val="auto"/>
          <w:sz w:val="22"/>
          <w:szCs w:val="22"/>
          <w:lang w:val="en-GB"/>
        </w:rPr>
        <w:t>DP</w:t>
      </w:r>
      <w:r w:rsidRPr="007F6798">
        <w:rPr>
          <w:rFonts w:asciiTheme="minorHAnsi" w:hAnsiTheme="minorHAnsi" w:cstheme="minorBidi"/>
          <w:bCs/>
          <w:color w:val="auto"/>
          <w:sz w:val="22"/>
          <w:szCs w:val="22"/>
          <w:lang w:val="en-GB"/>
        </w:rPr>
        <w:t>, ESMA stated (on page 125, paragraph 44) that “the liquidity of the sub-categories needs to be re-assessed periodically”.</w:t>
      </w:r>
      <w:proofErr w:type="gramEnd"/>
      <w:r w:rsidRPr="007F6798">
        <w:rPr>
          <w:rFonts w:asciiTheme="minorHAnsi" w:hAnsiTheme="minorHAnsi" w:cstheme="minorBidi"/>
          <w:bCs/>
          <w:color w:val="auto"/>
          <w:sz w:val="22"/>
          <w:szCs w:val="22"/>
          <w:lang w:val="en-GB"/>
        </w:rPr>
        <w:t xml:space="preserve">  Instead, it is now clear that ESMA proposes no such re-assessment. This dec</w:t>
      </w:r>
      <w:r w:rsidRPr="007F6798">
        <w:rPr>
          <w:rFonts w:asciiTheme="minorHAnsi" w:hAnsiTheme="minorHAnsi" w:cstheme="minorBidi"/>
          <w:bCs/>
          <w:color w:val="auto"/>
          <w:sz w:val="22"/>
          <w:szCs w:val="22"/>
          <w:lang w:val="en-GB"/>
        </w:rPr>
        <w:t>i</w:t>
      </w:r>
      <w:r w:rsidRPr="007F6798">
        <w:rPr>
          <w:rFonts w:asciiTheme="minorHAnsi" w:hAnsiTheme="minorHAnsi" w:cstheme="minorBidi"/>
          <w:bCs/>
          <w:color w:val="auto"/>
          <w:sz w:val="22"/>
          <w:szCs w:val="22"/>
          <w:lang w:val="en-GB"/>
        </w:rPr>
        <w:t xml:space="preserve">sion also implies that ESMA has chosen not to utilise the market data that MiFIR (or EMIR) will make available to facilitate recalibration, which is an incomprehensible waste of the opportunity to refine the liquidity classification over time (particularly given the concerns over the EMIR trade repository data noted above).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This static determination is a serious weakness of ESMA’s approach which implies that an incorrect initial assessment of liquidity will have permanent implications. We encourage ESMA to reconsider whether the COFIA can be recalibrated more regularly, as improved market data becomes available and to better reflect changing liquidity conditions. In the absence of regular and accurate recalibration, we urge ESMA to compensate through both a more conservative initial assessment of liquidity, and by calibrating the LIS and SSTI thresholds at lower levels. Finally, such a static approach will not leverage developments within the trade reporting requirements, most notably those being driven by ESMA as well as global standardisation through the use of the UPI.</w:t>
      </w:r>
    </w:p>
    <w:p w:rsidR="00E66E28" w:rsidRPr="007F6798" w:rsidRDefault="00E66E28"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 xml:space="preserve">GFXD Liquidity Proposal </w:t>
      </w:r>
    </w:p>
    <w:p w:rsidR="00E66E28" w:rsidRPr="007F6798" w:rsidRDefault="00E66E28" w:rsidP="00233471">
      <w:pPr>
        <w:pStyle w:val="Default"/>
        <w:rPr>
          <w:rFonts w:asciiTheme="minorHAnsi" w:hAnsiTheme="minorHAnsi"/>
          <w:bCs/>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believes that due to the policy objectives of ensuring transparency at the aggregate level of the FX derivatives asset class, ESMA should not attempt to find at least some liquid sub-classes in as many classes of FX derivatives as possible. Some classes are simply very illiquid or extremely heterog</w:t>
      </w:r>
      <w:r w:rsidRPr="007F6798">
        <w:rPr>
          <w:rFonts w:asciiTheme="minorHAnsi" w:hAnsiTheme="minorHAnsi" w:cstheme="minorBidi"/>
          <w:bCs/>
          <w:color w:val="auto"/>
          <w:sz w:val="22"/>
          <w:szCs w:val="22"/>
          <w:lang w:val="en-GB"/>
        </w:rPr>
        <w:t>e</w:t>
      </w:r>
      <w:r w:rsidRPr="007F6798">
        <w:rPr>
          <w:rFonts w:asciiTheme="minorHAnsi" w:hAnsiTheme="minorHAnsi" w:cstheme="minorBidi"/>
          <w:bCs/>
          <w:color w:val="auto"/>
          <w:sz w:val="22"/>
          <w:szCs w:val="22"/>
          <w:lang w:val="en-GB"/>
        </w:rPr>
        <w:t xml:space="preserve">neous. For instance, the GFXD regards simple and complex exotic options as being illiquid, yet due to the current product mapping in the EMIR trade reporting data these would be deemed liquid.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therefore propose the following alternative approach.</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Data Source:</w:t>
      </w:r>
      <w:r w:rsidRPr="007F6798">
        <w:rPr>
          <w:rFonts w:asciiTheme="minorHAnsi" w:hAnsiTheme="minorHAnsi" w:cstheme="minorBidi"/>
          <w:bCs/>
          <w:color w:val="auto"/>
          <w:sz w:val="22"/>
          <w:szCs w:val="22"/>
          <w:lang w:val="en-GB"/>
        </w:rPr>
        <w:t xml:space="preserve">  As we have demonstrated above, we believe that the Bank of International Settlements (BIS) Triennial Central Bank Survey of Foreign Exchange turnover (</w:t>
      </w:r>
      <w:hyperlink r:id="rId28" w:history="1">
        <w:r w:rsidRPr="007F6798">
          <w:rPr>
            <w:rStyle w:val="Hyperlink"/>
            <w:rFonts w:asciiTheme="minorHAnsi" w:hAnsiTheme="minorHAnsi" w:cstheme="minorBidi"/>
            <w:bCs/>
            <w:sz w:val="22"/>
            <w:szCs w:val="22"/>
            <w:lang w:val="en-GB"/>
          </w:rPr>
          <w:t>http://www.bis.org/publ/rpfx13fx.pdf</w:t>
        </w:r>
      </w:hyperlink>
      <w:r w:rsidRPr="007F6798">
        <w:rPr>
          <w:rFonts w:asciiTheme="minorHAnsi" w:hAnsiTheme="minorHAnsi" w:cstheme="minorBidi"/>
          <w:bCs/>
          <w:color w:val="auto"/>
          <w:sz w:val="22"/>
          <w:szCs w:val="22"/>
          <w:lang w:val="en-GB"/>
        </w:rPr>
        <w:t>), and the Bank of England (BoE) semi-annual FX surveys  (</w:t>
      </w:r>
      <w:hyperlink r:id="rId29" w:history="1">
        <w:r w:rsidRPr="007F6798">
          <w:rPr>
            <w:rStyle w:val="Hyperlink"/>
            <w:rFonts w:asciiTheme="minorHAnsi" w:hAnsiTheme="minorHAnsi" w:cstheme="minorBidi"/>
            <w:bCs/>
            <w:sz w:val="22"/>
            <w:szCs w:val="22"/>
            <w:lang w:val="en-GB"/>
          </w:rPr>
          <w:t>http://www.bankofengland.co.uk/markets/Pages/forex/fxjsc/default.aspx</w:t>
        </w:r>
      </w:hyperlink>
      <w:r w:rsidRPr="007F6798">
        <w:rPr>
          <w:rFonts w:asciiTheme="minorHAnsi" w:hAnsiTheme="minorHAnsi" w:cstheme="minorBidi"/>
          <w:bCs/>
          <w:color w:val="auto"/>
          <w:sz w:val="22"/>
          <w:szCs w:val="22"/>
          <w:lang w:val="en-GB"/>
        </w:rPr>
        <w:t>) accurately reflects the FX trading landscape in Europe. Both provide a level of granularity which enables the markets to be a</w:t>
      </w:r>
      <w:r w:rsidRPr="007F6798">
        <w:rPr>
          <w:rFonts w:asciiTheme="minorHAnsi" w:hAnsiTheme="minorHAnsi" w:cstheme="minorBidi"/>
          <w:bCs/>
          <w:color w:val="auto"/>
          <w:sz w:val="22"/>
          <w:szCs w:val="22"/>
          <w:lang w:val="en-GB"/>
        </w:rPr>
        <w:t>s</w:t>
      </w:r>
      <w:r w:rsidRPr="007F6798">
        <w:rPr>
          <w:rFonts w:asciiTheme="minorHAnsi" w:hAnsiTheme="minorHAnsi" w:cstheme="minorBidi"/>
          <w:bCs/>
          <w:color w:val="auto"/>
          <w:sz w:val="22"/>
          <w:szCs w:val="22"/>
          <w:lang w:val="en-GB"/>
        </w:rPr>
        <w:t>sessed to enable a practicable application by regulators and market participants alike as well as meeting policy objectives.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E66E28">
      <w:pPr>
        <w:pStyle w:val="ListParagraph"/>
        <w:numPr>
          <w:ilvl w:val="0"/>
          <w:numId w:val="48"/>
        </w:numPr>
        <w:spacing w:after="120"/>
        <w:jc w:val="both"/>
        <w:rPr>
          <w:rFonts w:asciiTheme="minorHAnsi" w:hAnsiTheme="minorHAnsi"/>
          <w:sz w:val="22"/>
          <w:szCs w:val="22"/>
          <w:lang w:val="en-US"/>
        </w:rPr>
      </w:pPr>
      <w:r w:rsidRPr="007F6798">
        <w:rPr>
          <w:rFonts w:asciiTheme="minorHAnsi" w:hAnsiTheme="minorHAnsi" w:cstheme="minorBidi"/>
          <w:bCs/>
          <w:sz w:val="22"/>
          <w:szCs w:val="22"/>
        </w:rPr>
        <w:t>Whilst the BoE survey captures the UK market only, it is important to understand that this repr</w:t>
      </w:r>
      <w:r w:rsidRPr="007F6798">
        <w:rPr>
          <w:rFonts w:asciiTheme="minorHAnsi" w:hAnsiTheme="minorHAnsi" w:cstheme="minorBidi"/>
          <w:bCs/>
          <w:sz w:val="22"/>
          <w:szCs w:val="22"/>
        </w:rPr>
        <w:t>e</w:t>
      </w:r>
      <w:r w:rsidRPr="007F6798">
        <w:rPr>
          <w:rFonts w:asciiTheme="minorHAnsi" w:hAnsiTheme="minorHAnsi" w:cstheme="minorBidi"/>
          <w:bCs/>
          <w:sz w:val="22"/>
          <w:szCs w:val="22"/>
        </w:rPr>
        <w:t>sents 70% of the FX market in Europe (by notional traded) and is considered representative across Europe. Both data sources have been used over a number of years (BoE since 2008, for i</w:t>
      </w:r>
      <w:r w:rsidRPr="007F6798">
        <w:rPr>
          <w:rFonts w:asciiTheme="minorHAnsi" w:hAnsiTheme="minorHAnsi" w:cstheme="minorBidi"/>
          <w:bCs/>
          <w:sz w:val="22"/>
          <w:szCs w:val="22"/>
        </w:rPr>
        <w:t>n</w:t>
      </w:r>
      <w:r w:rsidRPr="007F6798">
        <w:rPr>
          <w:rFonts w:asciiTheme="minorHAnsi" w:hAnsiTheme="minorHAnsi" w:cstheme="minorBidi"/>
          <w:bCs/>
          <w:sz w:val="22"/>
          <w:szCs w:val="22"/>
        </w:rPr>
        <w:t>stance), with the data collection models being refined over time.  These surveys are considered accurate by the FX industry, including central banks and ESMA (BIS was used by ESMA in the 2014 CP on FX NDF Clearing).  This is obviously contrary to the EMIR trade repository data avai</w:t>
      </w:r>
      <w:r w:rsidRPr="007F6798">
        <w:rPr>
          <w:rFonts w:asciiTheme="minorHAnsi" w:hAnsiTheme="minorHAnsi" w:cstheme="minorBidi"/>
          <w:bCs/>
          <w:sz w:val="22"/>
          <w:szCs w:val="22"/>
        </w:rPr>
        <w:t>l</w:t>
      </w:r>
      <w:r w:rsidRPr="007F6798">
        <w:rPr>
          <w:rFonts w:asciiTheme="minorHAnsi" w:hAnsiTheme="minorHAnsi" w:cstheme="minorBidi"/>
          <w:bCs/>
          <w:sz w:val="22"/>
          <w:szCs w:val="22"/>
        </w:rPr>
        <w:t>able to ESMA, which as we have discussed above is not considered in its current state to be re</w:t>
      </w:r>
      <w:r w:rsidRPr="007F6798">
        <w:rPr>
          <w:rFonts w:asciiTheme="minorHAnsi" w:hAnsiTheme="minorHAnsi" w:cstheme="minorBidi"/>
          <w:bCs/>
          <w:sz w:val="22"/>
          <w:szCs w:val="22"/>
        </w:rPr>
        <w:t>p</w:t>
      </w:r>
      <w:r w:rsidRPr="007F6798">
        <w:rPr>
          <w:rFonts w:asciiTheme="minorHAnsi" w:hAnsiTheme="minorHAnsi" w:cstheme="minorBidi"/>
          <w:bCs/>
          <w:sz w:val="22"/>
          <w:szCs w:val="22"/>
        </w:rPr>
        <w:t xml:space="preserve">resentative of the European FX industry.  </w:t>
      </w:r>
      <w:r w:rsidRPr="007F6798">
        <w:rPr>
          <w:rFonts w:asciiTheme="minorHAnsi" w:hAnsiTheme="minorHAnsi"/>
          <w:sz w:val="22"/>
          <w:szCs w:val="22"/>
          <w:lang w:val="en-US"/>
        </w:rPr>
        <w:t>W</w:t>
      </w:r>
      <w:r w:rsidRPr="007F6798">
        <w:rPr>
          <w:rFonts w:asciiTheme="minorHAnsi" w:hAnsiTheme="minorHAnsi"/>
          <w:sz w:val="22"/>
          <w:szCs w:val="22"/>
        </w:rPr>
        <w:t>e suggest that ESMA considers that EMIR trade r</w:t>
      </w:r>
      <w:r w:rsidRPr="007F6798">
        <w:rPr>
          <w:rFonts w:asciiTheme="minorHAnsi" w:hAnsiTheme="minorHAnsi"/>
          <w:sz w:val="22"/>
          <w:szCs w:val="22"/>
        </w:rPr>
        <w:t>e</w:t>
      </w:r>
      <w:r w:rsidRPr="007F6798">
        <w:rPr>
          <w:rFonts w:asciiTheme="minorHAnsi" w:hAnsiTheme="minorHAnsi"/>
          <w:sz w:val="22"/>
          <w:szCs w:val="22"/>
        </w:rPr>
        <w:t>porting data contains data reflecting the post execution status, including allocations etc which may distort several of the parameters used to measure liquidity (e.g., number of transactions).  From 2018 onwards, a better approach may be to use a combination of data sources (e.g.</w:t>
      </w:r>
      <w:r w:rsidR="00054728">
        <w:rPr>
          <w:rFonts w:asciiTheme="minorHAnsi" w:hAnsiTheme="minorHAnsi"/>
          <w:sz w:val="22"/>
          <w:szCs w:val="22"/>
        </w:rPr>
        <w:t>,</w:t>
      </w:r>
      <w:r w:rsidRPr="007F6798">
        <w:rPr>
          <w:rFonts w:asciiTheme="minorHAnsi" w:hAnsiTheme="minorHAnsi"/>
          <w:sz w:val="22"/>
          <w:szCs w:val="22"/>
        </w:rPr>
        <w:t xml:space="preserve"> Ce</w:t>
      </w:r>
      <w:r w:rsidRPr="007F6798">
        <w:rPr>
          <w:rFonts w:asciiTheme="minorHAnsi" w:hAnsiTheme="minorHAnsi"/>
          <w:sz w:val="22"/>
          <w:szCs w:val="22"/>
        </w:rPr>
        <w:t>n</w:t>
      </w:r>
      <w:r w:rsidRPr="007F6798">
        <w:rPr>
          <w:rFonts w:asciiTheme="minorHAnsi" w:hAnsiTheme="minorHAnsi"/>
          <w:sz w:val="22"/>
          <w:szCs w:val="22"/>
        </w:rPr>
        <w:t>tral Bank data) to obtain a truer reflection of what is actually executed.</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Results:</w:t>
      </w:r>
      <w:r w:rsidRPr="007F6798">
        <w:rPr>
          <w:rFonts w:asciiTheme="minorHAnsi" w:hAnsiTheme="minorHAnsi" w:cstheme="minorBidi"/>
          <w:bCs/>
          <w:color w:val="auto"/>
          <w:sz w:val="22"/>
          <w:szCs w:val="22"/>
          <w:lang w:val="en-GB"/>
        </w:rPr>
        <w:t xml:space="preserve">  Using the BoE October 2014 data, currency pairs and tenors were identified and agreed by GFXD members as being </w:t>
      </w:r>
      <w:r w:rsidRPr="007F6798">
        <w:rPr>
          <w:rFonts w:asciiTheme="minorHAnsi" w:hAnsiTheme="minorHAnsi" w:cstheme="minorBidi"/>
          <w:bCs/>
          <w:color w:val="auto"/>
          <w:sz w:val="22"/>
          <w:szCs w:val="22"/>
          <w:u w:val="single"/>
          <w:lang w:val="en-GB"/>
        </w:rPr>
        <w:t>‘usually’ liquid</w:t>
      </w:r>
      <w:r w:rsidRPr="007F6798">
        <w:rPr>
          <w:rFonts w:asciiTheme="minorHAnsi" w:hAnsiTheme="minorHAnsi" w:cstheme="minorBidi"/>
          <w:bCs/>
          <w:color w:val="auto"/>
          <w:sz w:val="22"/>
          <w:szCs w:val="22"/>
          <w:lang w:val="en-GB"/>
        </w:rPr>
        <w:t xml:space="preserve"> in the market (noting that this assessment was performed indepen</w:t>
      </w:r>
      <w:r w:rsidRPr="007F6798">
        <w:rPr>
          <w:rFonts w:asciiTheme="minorHAnsi" w:hAnsiTheme="minorHAnsi" w:cstheme="minorBidi"/>
          <w:bCs/>
          <w:color w:val="auto"/>
          <w:sz w:val="22"/>
          <w:szCs w:val="22"/>
          <w:lang w:val="en-GB"/>
        </w:rPr>
        <w:t>d</w:t>
      </w:r>
      <w:r w:rsidRPr="007F6798">
        <w:rPr>
          <w:rFonts w:asciiTheme="minorHAnsi" w:hAnsiTheme="minorHAnsi" w:cstheme="minorBidi"/>
          <w:bCs/>
          <w:color w:val="auto"/>
          <w:sz w:val="22"/>
          <w:szCs w:val="22"/>
          <w:lang w:val="en-GB"/>
        </w:rPr>
        <w:t xml:space="preserve">ently with the results then being applied to the BoE data) and have been </w:t>
      </w:r>
      <w:r w:rsidRPr="007F6798">
        <w:rPr>
          <w:rFonts w:asciiTheme="minorHAnsi" w:hAnsiTheme="minorHAnsi" w:cstheme="minorBidi"/>
          <w:bCs/>
          <w:color w:val="auto"/>
          <w:sz w:val="22"/>
          <w:szCs w:val="22"/>
          <w:u w:val="single"/>
          <w:lang w:val="en-GB"/>
        </w:rPr>
        <w:t>highlighted blue</w:t>
      </w:r>
      <w:r w:rsidRPr="007F6798">
        <w:rPr>
          <w:rFonts w:asciiTheme="minorHAnsi" w:hAnsiTheme="minorHAnsi" w:cstheme="minorBidi"/>
          <w:bCs/>
          <w:color w:val="auto"/>
          <w:sz w:val="22"/>
          <w:szCs w:val="22"/>
          <w:lang w:val="en-GB"/>
        </w:rPr>
        <w:t xml:space="preserve"> in the following tables.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Each cell shows the notional reported in the survey in USD millions equivalent and is a direct extract from </w:t>
      </w:r>
      <w:hyperlink r:id="rId30" w:history="1">
        <w:r w:rsidRPr="007F6798">
          <w:rPr>
            <w:rStyle w:val="Hyperlink"/>
            <w:rFonts w:asciiTheme="minorHAnsi" w:hAnsiTheme="minorHAnsi" w:cstheme="minorBidi"/>
            <w:bCs/>
            <w:sz w:val="22"/>
            <w:szCs w:val="22"/>
            <w:lang w:val="en-GB"/>
          </w:rPr>
          <w:t>http://www.bankofengland.co.uk/markets/Pages/forex/fxjsc/default.aspx</w:t>
        </w:r>
      </w:hyperlink>
      <w:r w:rsidRPr="007F6798">
        <w:rPr>
          <w:rFonts w:asciiTheme="minorHAnsi" w:hAnsiTheme="minorHAnsi" w:cstheme="minorBidi"/>
          <w:bCs/>
          <w:color w:val="auto"/>
          <w:sz w:val="22"/>
          <w:szCs w:val="22"/>
          <w:lang w:val="en-GB"/>
        </w:rPr>
        <w:t xml:space="preserve"> ‘Results of the Semi-Annual FX Turnover Surveys, 2014 Results, October’.</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also noted that there was a considerable concentration of activity at the 3 month tenor.  However, the BoE data only reports the 1-6 month tenor.  Anecdotal feedback from the trading desks of GFXD members suggests that the liquidity of the 1-6 month tenor is actually concentrated within the 1-3 month range.  As such, we have split the original 1-6 month tenor into a 1-3 month and 3-6 month tenors and have applied an 80/20 split to the 1-6 month tenor in-order to populate.</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p>
    <w:p w:rsidR="008E13F7" w:rsidRDefault="008E13F7" w:rsidP="00233471">
      <w:pPr>
        <w:pStyle w:val="Default"/>
        <w:rPr>
          <w:rFonts w:asciiTheme="minorHAnsi" w:hAnsiTheme="minorHAnsi" w:cstheme="minorBidi"/>
          <w:bCs/>
          <w:color w:val="auto"/>
          <w:sz w:val="22"/>
          <w:szCs w:val="22"/>
          <w:u w:val="single"/>
          <w:lang w:val="en-GB"/>
        </w:rPr>
      </w:pPr>
    </w:p>
    <w:p w:rsidR="00171B9D" w:rsidRPr="007F6798" w:rsidRDefault="00171B9D"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8E13F7" w:rsidRDefault="008E13F7" w:rsidP="00233471">
      <w:pPr>
        <w:pStyle w:val="Default"/>
        <w:rPr>
          <w:rFonts w:asciiTheme="minorHAnsi" w:hAnsiTheme="minorHAnsi" w:cstheme="minorBidi"/>
          <w:bCs/>
          <w:color w:val="auto"/>
          <w:sz w:val="22"/>
          <w:szCs w:val="22"/>
          <w:u w:val="single"/>
          <w:lang w:val="en-GB"/>
        </w:rPr>
      </w:pPr>
    </w:p>
    <w:p w:rsidR="00ED0B30" w:rsidRPr="007F6798" w:rsidRDefault="00ED0B30" w:rsidP="00233471">
      <w:pPr>
        <w:pStyle w:val="Default"/>
        <w:rPr>
          <w:rFonts w:asciiTheme="minorHAnsi" w:hAnsiTheme="minorHAnsi" w:cstheme="minorBidi"/>
          <w:bCs/>
          <w:color w:val="auto"/>
          <w:sz w:val="22"/>
          <w:szCs w:val="22"/>
          <w:u w:val="single"/>
          <w:lang w:val="en-GB"/>
        </w:rPr>
      </w:pPr>
    </w:p>
    <w:p w:rsidR="008E13F7" w:rsidRPr="007F6798" w:rsidRDefault="008E13F7"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lastRenderedPageBreak/>
        <w:t xml:space="preserve">Figure 8: Liquid and illiquid FX deliverable forwards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noProof/>
          <w:sz w:val="22"/>
          <w:szCs w:val="22"/>
          <w:lang w:val="en-US" w:eastAsia="en-US"/>
        </w:rPr>
        <w:drawing>
          <wp:inline distT="0" distB="0" distL="0" distR="0">
            <wp:extent cx="6281420" cy="4628485"/>
            <wp:effectExtent l="19050" t="19050" r="24130" b="19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281420" cy="4628485"/>
                    </a:xfrm>
                    <a:prstGeom prst="rect">
                      <a:avLst/>
                    </a:prstGeom>
                    <a:noFill/>
                    <a:ln w="9525">
                      <a:solidFill>
                        <a:schemeClr val="tx1"/>
                      </a:solidFill>
                      <a:miter lim="800000"/>
                      <a:headEnd/>
                      <a:tailEnd/>
                    </a:ln>
                  </pic:spPr>
                </pic:pic>
              </a:graphicData>
            </a:graphic>
          </wp:inline>
        </w:drawing>
      </w: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lastRenderedPageBreak/>
        <w:t>Figure 9: Liquid and Illiquid FX swaps</w:t>
      </w: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
          <w:bCs/>
          <w:sz w:val="22"/>
          <w:szCs w:val="22"/>
        </w:rPr>
      </w:pPr>
      <w:r w:rsidRPr="007F6798">
        <w:rPr>
          <w:rFonts w:asciiTheme="minorHAnsi" w:hAnsiTheme="minorHAnsi"/>
          <w:noProof/>
          <w:sz w:val="22"/>
          <w:szCs w:val="22"/>
          <w:lang w:val="en-US" w:eastAsia="en-US"/>
        </w:rPr>
        <w:drawing>
          <wp:inline distT="0" distB="0" distL="0" distR="0">
            <wp:extent cx="6281420" cy="4547548"/>
            <wp:effectExtent l="19050" t="19050" r="24130" b="24452"/>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281420" cy="4547548"/>
                    </a:xfrm>
                    <a:prstGeom prst="rect">
                      <a:avLst/>
                    </a:prstGeom>
                    <a:noFill/>
                    <a:ln w="9525">
                      <a:solidFill>
                        <a:schemeClr val="tx1"/>
                      </a:solidFill>
                      <a:miter lim="800000"/>
                      <a:headEnd/>
                      <a:tailEnd/>
                    </a:ln>
                  </pic:spPr>
                </pic:pic>
              </a:graphicData>
            </a:graphic>
          </wp:inline>
        </w:drawing>
      </w: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Liquid and illiquid FX options</w:t>
      </w:r>
    </w:p>
    <w:p w:rsidR="008E13F7" w:rsidRPr="007F6798" w:rsidRDefault="008E13F7"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GFXD members believe that as the FX options market is heterogeneous in nature, a dynamic liquidity calibration should be employed, and we note that ISDA recommended a similar approach in their su</w:t>
      </w:r>
      <w:r w:rsidRPr="007F6798">
        <w:rPr>
          <w:rFonts w:asciiTheme="minorHAnsi" w:hAnsiTheme="minorHAnsi" w:cstheme="minorBidi"/>
          <w:bCs/>
          <w:color w:val="auto"/>
          <w:sz w:val="22"/>
          <w:szCs w:val="22"/>
          <w:lang w:val="en-GB"/>
        </w:rPr>
        <w:t>b</w:t>
      </w:r>
      <w:r w:rsidRPr="007F6798">
        <w:rPr>
          <w:rFonts w:asciiTheme="minorHAnsi" w:hAnsiTheme="minorHAnsi" w:cstheme="minorBidi"/>
          <w:bCs/>
          <w:color w:val="auto"/>
          <w:sz w:val="22"/>
          <w:szCs w:val="22"/>
          <w:lang w:val="en-GB"/>
        </w:rPr>
        <w:t xml:space="preserve">mission to the December 2014 CP.  This is reflected in our recommended asset classification under Annex 3.6.1 in the May 2014 </w:t>
      </w:r>
      <w:r w:rsidR="008754FC">
        <w:rPr>
          <w:rFonts w:asciiTheme="minorHAnsi" w:hAnsiTheme="minorHAnsi" w:cstheme="minorBidi"/>
          <w:bCs/>
          <w:color w:val="auto"/>
          <w:sz w:val="22"/>
          <w:szCs w:val="22"/>
          <w:lang w:val="en-GB"/>
        </w:rPr>
        <w:t>DP</w:t>
      </w:r>
      <w:r w:rsidRPr="007F6798">
        <w:rPr>
          <w:rFonts w:asciiTheme="minorHAnsi" w:hAnsiTheme="minorHAnsi" w:cstheme="minorBidi"/>
          <w:bCs/>
          <w:color w:val="auto"/>
          <w:sz w:val="22"/>
          <w:szCs w:val="22"/>
          <w:lang w:val="en-GB"/>
        </w:rPr>
        <w:t xml:space="preserve">, as well as being included above in Figure 1.  </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It is considered that the FX simple and complex exotic options are heterogeneous, illiquid in nature and represent approximately 15% of the total FX options market, itself believed to be approximately 6-8% of the overall FX market (including FX spot) or 13% if FX spot is excluded.  With this in mind, we present 2 alternatives: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0"/>
          <w:numId w:val="67"/>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Figure 10a uses the BoE options data as a whole, not distinguishing between simple and complex exotics and the rest of the FX options market (i.e., vanilla and NDO)</w:t>
      </w:r>
      <w:r w:rsidR="00960C61">
        <w:rPr>
          <w:rFonts w:asciiTheme="minorHAnsi" w:hAnsiTheme="minorHAnsi" w:cstheme="minorBidi"/>
          <w:bCs/>
          <w:color w:val="auto"/>
          <w:sz w:val="22"/>
          <w:szCs w:val="22"/>
          <w:lang w:val="en-GB"/>
        </w:rPr>
        <w:t>.</w:t>
      </w:r>
    </w:p>
    <w:p w:rsidR="00E66E28" w:rsidRPr="007F6798" w:rsidRDefault="00E66E28" w:rsidP="00233471">
      <w:pPr>
        <w:pStyle w:val="Default"/>
        <w:ind w:left="720"/>
        <w:rPr>
          <w:rFonts w:asciiTheme="minorHAnsi" w:hAnsiTheme="minorHAnsi" w:cstheme="minorBidi"/>
          <w:bCs/>
          <w:color w:val="auto"/>
          <w:sz w:val="22"/>
          <w:szCs w:val="22"/>
          <w:lang w:val="en-GB"/>
        </w:rPr>
      </w:pPr>
    </w:p>
    <w:p w:rsidR="00E66E28" w:rsidRPr="007F6798" w:rsidRDefault="00E66E28" w:rsidP="00E66E28">
      <w:pPr>
        <w:pStyle w:val="Default"/>
        <w:numPr>
          <w:ilvl w:val="0"/>
          <w:numId w:val="67"/>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Figure 10b, we have applied a consistent 85% ratio to include the FX vanilla options and NDO only (thus excluding simple and complex exotics)</w:t>
      </w:r>
      <w:r w:rsidR="00960C61">
        <w:rPr>
          <w:rFonts w:asciiTheme="minorHAnsi" w:hAnsiTheme="minorHAnsi" w:cstheme="minorBidi"/>
          <w:bCs/>
          <w:color w:val="auto"/>
          <w:sz w:val="22"/>
          <w:szCs w:val="22"/>
          <w:lang w:val="en-GB"/>
        </w:rPr>
        <w:t>.</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Figure 10a: All options (FX vanilla options, NDO, simple and complex exotics)</w:t>
      </w: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rPr>
      </w:pPr>
      <w:r w:rsidRPr="007F6798">
        <w:rPr>
          <w:rFonts w:asciiTheme="minorHAnsi" w:hAnsiTheme="minorHAnsi"/>
          <w:noProof/>
          <w:sz w:val="22"/>
          <w:szCs w:val="22"/>
          <w:lang w:val="en-US" w:eastAsia="en-US"/>
        </w:rPr>
        <w:drawing>
          <wp:inline distT="0" distB="0" distL="0" distR="0">
            <wp:extent cx="6281420" cy="4492764"/>
            <wp:effectExtent l="19050" t="19050" r="24130" b="22086"/>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6281420" cy="4492764"/>
                    </a:xfrm>
                    <a:prstGeom prst="rect">
                      <a:avLst/>
                    </a:prstGeom>
                    <a:noFill/>
                    <a:ln w="9525">
                      <a:solidFill>
                        <a:schemeClr val="tx1"/>
                      </a:solidFill>
                      <a:miter lim="800000"/>
                      <a:headEnd/>
                      <a:tailEnd/>
                    </a:ln>
                  </pic:spPr>
                </pic:pic>
              </a:graphicData>
            </a:graphic>
          </wp:inline>
        </w:drawing>
      </w: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p>
    <w:p w:rsidR="008E13F7" w:rsidRPr="007F6798" w:rsidRDefault="008E13F7" w:rsidP="00233471">
      <w:pPr>
        <w:rPr>
          <w:rFonts w:asciiTheme="minorHAnsi" w:hAnsiTheme="minorHAnsi"/>
          <w:bCs/>
          <w:sz w:val="22"/>
          <w:szCs w:val="22"/>
          <w:u w:val="single"/>
        </w:rPr>
      </w:pPr>
    </w:p>
    <w:p w:rsidR="008E13F7" w:rsidRDefault="008E13F7" w:rsidP="00233471">
      <w:pPr>
        <w:rPr>
          <w:rFonts w:asciiTheme="minorHAnsi" w:hAnsiTheme="minorHAnsi"/>
          <w:bCs/>
          <w:sz w:val="22"/>
          <w:szCs w:val="22"/>
          <w:u w:val="single"/>
        </w:rPr>
      </w:pPr>
    </w:p>
    <w:p w:rsidR="00054728" w:rsidRDefault="00054728" w:rsidP="00233471">
      <w:pPr>
        <w:rPr>
          <w:rFonts w:asciiTheme="minorHAnsi" w:hAnsiTheme="minorHAnsi"/>
          <w:bCs/>
          <w:sz w:val="22"/>
          <w:szCs w:val="22"/>
          <w:u w:val="single"/>
        </w:rPr>
      </w:pPr>
    </w:p>
    <w:p w:rsidR="00054728" w:rsidRDefault="00054728" w:rsidP="00233471">
      <w:pPr>
        <w:rPr>
          <w:rFonts w:asciiTheme="minorHAnsi" w:hAnsiTheme="minorHAnsi"/>
          <w:bCs/>
          <w:sz w:val="22"/>
          <w:szCs w:val="22"/>
          <w:u w:val="single"/>
        </w:rPr>
      </w:pPr>
    </w:p>
    <w:p w:rsidR="00054728" w:rsidRDefault="00054728" w:rsidP="00233471">
      <w:pPr>
        <w:rPr>
          <w:rFonts w:asciiTheme="minorHAnsi" w:hAnsiTheme="minorHAnsi"/>
          <w:bCs/>
          <w:sz w:val="22"/>
          <w:szCs w:val="22"/>
          <w:u w:val="single"/>
        </w:rPr>
      </w:pPr>
    </w:p>
    <w:p w:rsidR="00054728" w:rsidRDefault="00054728" w:rsidP="00233471">
      <w:pPr>
        <w:rPr>
          <w:rFonts w:asciiTheme="minorHAnsi" w:hAnsiTheme="minorHAnsi"/>
          <w:bCs/>
          <w:sz w:val="22"/>
          <w:szCs w:val="22"/>
          <w:u w:val="single"/>
        </w:rPr>
      </w:pPr>
    </w:p>
    <w:p w:rsidR="00960C61" w:rsidRPr="007F6798" w:rsidRDefault="00960C61"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Figure 10b: Data for FX vanilla options and NDO only (85% of the data in Figure 10a)</w:t>
      </w: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r w:rsidRPr="007F6798">
        <w:rPr>
          <w:rFonts w:asciiTheme="minorHAnsi" w:hAnsiTheme="minorHAnsi"/>
          <w:noProof/>
          <w:sz w:val="22"/>
          <w:szCs w:val="22"/>
          <w:lang w:val="en-US" w:eastAsia="en-US"/>
        </w:rPr>
        <w:drawing>
          <wp:inline distT="0" distB="0" distL="0" distR="0">
            <wp:extent cx="6281420" cy="4478768"/>
            <wp:effectExtent l="19050" t="19050" r="24130" b="17032"/>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6281420" cy="4478768"/>
                    </a:xfrm>
                    <a:prstGeom prst="rect">
                      <a:avLst/>
                    </a:prstGeom>
                    <a:noFill/>
                    <a:ln w="9525">
                      <a:solidFill>
                        <a:schemeClr val="tx1"/>
                      </a:solidFill>
                      <a:miter lim="800000"/>
                      <a:headEnd/>
                      <a:tailEnd/>
                    </a:ln>
                  </pic:spPr>
                </pic:pic>
              </a:graphicData>
            </a:graphic>
          </wp:inline>
        </w:drawing>
      </w:r>
    </w:p>
    <w:p w:rsidR="008E13F7" w:rsidRPr="007F6798" w:rsidRDefault="008E13F7" w:rsidP="00233471">
      <w:pPr>
        <w:rPr>
          <w:rFonts w:asciiTheme="minorHAnsi" w:hAnsiTheme="minorHAnsi"/>
          <w:bCs/>
          <w:sz w:val="22"/>
          <w:szCs w:val="22"/>
          <w:u w:val="single"/>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NDF</w:t>
      </w:r>
    </w:p>
    <w:p w:rsidR="008E13F7" w:rsidRPr="007F6798" w:rsidRDefault="008E13F7" w:rsidP="00233471">
      <w:pPr>
        <w:rPr>
          <w:rFonts w:asciiTheme="minorHAnsi" w:hAnsiTheme="minorHAnsi"/>
          <w:bCs/>
          <w:sz w:val="22"/>
          <w:szCs w:val="22"/>
          <w:u w:val="single"/>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As demonstrated above in</w:t>
      </w:r>
      <w:r w:rsidRPr="007F6798">
        <w:rPr>
          <w:rFonts w:asciiTheme="minorHAnsi" w:hAnsiTheme="minorHAnsi"/>
          <w:bCs/>
          <w:sz w:val="22"/>
          <w:szCs w:val="22"/>
          <w:lang w:val="en-GB"/>
        </w:rPr>
        <w:t xml:space="preserve"> </w:t>
      </w:r>
      <w:r w:rsidRPr="007F6798">
        <w:rPr>
          <w:rFonts w:asciiTheme="minorHAnsi" w:hAnsiTheme="minorHAnsi" w:cstheme="minorBidi"/>
          <w:bCs/>
          <w:color w:val="auto"/>
          <w:sz w:val="22"/>
          <w:szCs w:val="22"/>
          <w:lang w:val="en-GB"/>
        </w:rPr>
        <w:t>Figure 4 (Extract and Representation of the BoE October 2014 Semi-Annual FX survey), the NDF market in Europe is approximately 4% of the total FX market. We do not believe that the NDF market has sufficient volume to be considered liquid and recommend that, like simple and complex exotic options, that NDF are deemed illiquid.  However, we are aware that there may be ince</w:t>
      </w:r>
      <w:r w:rsidRPr="007F6798">
        <w:rPr>
          <w:rFonts w:asciiTheme="minorHAnsi" w:hAnsiTheme="minorHAnsi" w:cstheme="minorBidi"/>
          <w:bCs/>
          <w:color w:val="auto"/>
          <w:sz w:val="22"/>
          <w:szCs w:val="22"/>
          <w:lang w:val="en-GB"/>
        </w:rPr>
        <w:t>n</w:t>
      </w:r>
      <w:r w:rsidRPr="007F6798">
        <w:rPr>
          <w:rFonts w:asciiTheme="minorHAnsi" w:hAnsiTheme="minorHAnsi" w:cstheme="minorBidi"/>
          <w:bCs/>
          <w:color w:val="auto"/>
          <w:sz w:val="22"/>
          <w:szCs w:val="22"/>
          <w:lang w:val="en-GB"/>
        </w:rPr>
        <w:t>tives to include the FX NDF market within the liquid categories of FX instruments.  Whilst we oppose this, noting that there are differing liquidity approaches for mandatory clearing obligations and the mand</w:t>
      </w:r>
      <w:r w:rsidRPr="007F6798">
        <w:rPr>
          <w:rFonts w:asciiTheme="minorHAnsi" w:hAnsiTheme="minorHAnsi" w:cstheme="minorBidi"/>
          <w:bCs/>
          <w:color w:val="auto"/>
          <w:sz w:val="22"/>
          <w:szCs w:val="22"/>
          <w:lang w:val="en-GB"/>
        </w:rPr>
        <w:t>a</w:t>
      </w:r>
      <w:r w:rsidRPr="007F6798">
        <w:rPr>
          <w:rFonts w:asciiTheme="minorHAnsi" w:hAnsiTheme="minorHAnsi" w:cstheme="minorBidi"/>
          <w:bCs/>
          <w:color w:val="auto"/>
          <w:sz w:val="22"/>
          <w:szCs w:val="22"/>
          <w:lang w:val="en-GB"/>
        </w:rPr>
        <w:t>tory trading obligations which may ultimately include some FX NDFs, our members anecdotally consider that the 1 week to 1 month tenors of USDBRL, USDKRW and USDCNY FX NDFs would be more liquid than other NDF crosses/tenors.  Due to the parameters reported in the BIS and BoE data subsets it is difficult for us to sensibly size the markets in these NDF currency pairs.</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Spread-betting</w:t>
      </w:r>
    </w:p>
    <w:p w:rsidR="008E13F7" w:rsidRPr="007F6798" w:rsidRDefault="008E13F7" w:rsidP="00233471">
      <w:pPr>
        <w:rPr>
          <w:rFonts w:asciiTheme="minorHAnsi" w:hAnsiTheme="minorHAnsi"/>
          <w:bCs/>
          <w:sz w:val="22"/>
          <w:szCs w:val="22"/>
          <w:u w:val="single"/>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do not consider this to be a FX instrument under MiFID C4.  ESMA admit so in the CP, notably in footnote 25 on page 210, which states “this code is not provided for by the legislation”.  As such we have not performed any analysis and do not agree that this ‘bucket’ should be included within this FX section.</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lastRenderedPageBreak/>
        <w:t>Instead, ESMA should either (</w:t>
      </w:r>
      <w:proofErr w:type="spellStart"/>
      <w:r w:rsidRPr="007F6798">
        <w:rPr>
          <w:rFonts w:asciiTheme="minorHAnsi" w:hAnsiTheme="minorHAnsi" w:cstheme="minorBidi"/>
          <w:bCs/>
          <w:color w:val="auto"/>
          <w:sz w:val="22"/>
          <w:szCs w:val="22"/>
          <w:lang w:val="en-GB"/>
        </w:rPr>
        <w:t>i</w:t>
      </w:r>
      <w:proofErr w:type="spellEnd"/>
      <w:r w:rsidRPr="007F6798">
        <w:rPr>
          <w:rFonts w:asciiTheme="minorHAnsi" w:hAnsiTheme="minorHAnsi" w:cstheme="minorBidi"/>
          <w:bCs/>
          <w:color w:val="auto"/>
          <w:sz w:val="22"/>
          <w:szCs w:val="22"/>
          <w:lang w:val="en-GB"/>
        </w:rPr>
        <w:t>) remove this spread betting category and associated definition, and i</w:t>
      </w:r>
      <w:r w:rsidRPr="007F6798">
        <w:rPr>
          <w:rFonts w:asciiTheme="minorHAnsi" w:hAnsiTheme="minorHAnsi" w:cstheme="minorBidi"/>
          <w:bCs/>
          <w:color w:val="auto"/>
          <w:sz w:val="22"/>
          <w:szCs w:val="22"/>
          <w:lang w:val="en-GB"/>
        </w:rPr>
        <w:t>n</w:t>
      </w:r>
      <w:r w:rsidRPr="007F6798">
        <w:rPr>
          <w:rFonts w:asciiTheme="minorHAnsi" w:hAnsiTheme="minorHAnsi" w:cstheme="minorBidi"/>
          <w:bCs/>
          <w:color w:val="auto"/>
          <w:sz w:val="22"/>
          <w:szCs w:val="22"/>
          <w:lang w:val="en-GB"/>
        </w:rPr>
        <w:t>stead appropriately categorize the underlying instruments according to the nature of those instrument, and provide suitable definitions that permit straightforward identification of product type without crea</w:t>
      </w:r>
      <w:r w:rsidRPr="007F6798">
        <w:rPr>
          <w:rFonts w:asciiTheme="minorHAnsi" w:hAnsiTheme="minorHAnsi" w:cstheme="minorBidi"/>
          <w:bCs/>
          <w:color w:val="auto"/>
          <w:sz w:val="22"/>
          <w:szCs w:val="22"/>
          <w:lang w:val="en-GB"/>
        </w:rPr>
        <w:t>t</w:t>
      </w:r>
      <w:r w:rsidRPr="007F6798">
        <w:rPr>
          <w:rFonts w:asciiTheme="minorHAnsi" w:hAnsiTheme="minorHAnsi" w:cstheme="minorBidi"/>
          <w:bCs/>
          <w:color w:val="auto"/>
          <w:sz w:val="22"/>
          <w:szCs w:val="22"/>
          <w:lang w:val="en-GB"/>
        </w:rPr>
        <w:t>ing overlapping classes, or (ii) define an ‘Others’ asset class, to be determined illiquid in its entirety due to the non-homogenous nature of this product set.</w:t>
      </w:r>
    </w:p>
    <w:p w:rsidR="00E66E28" w:rsidRPr="007F6798" w:rsidRDefault="00E66E28" w:rsidP="00233471">
      <w:pPr>
        <w:pStyle w:val="Default"/>
        <w:rPr>
          <w:rFonts w:asciiTheme="minorHAnsi" w:hAnsiTheme="minorHAnsi" w:cstheme="minorBidi"/>
          <w:bCs/>
          <w:color w:val="auto"/>
          <w:sz w:val="22"/>
          <w:szCs w:val="22"/>
          <w:lang w:val="en-GB"/>
        </w:rPr>
      </w:pPr>
    </w:p>
    <w:p w:rsidR="00E66E28" w:rsidRPr="007F6798" w:rsidRDefault="00E66E28" w:rsidP="00233471">
      <w:pPr>
        <w:rPr>
          <w:rFonts w:asciiTheme="minorHAnsi" w:hAnsiTheme="minorHAnsi"/>
          <w:bCs/>
          <w:sz w:val="22"/>
          <w:szCs w:val="22"/>
          <w:u w:val="single"/>
        </w:rPr>
      </w:pPr>
      <w:r w:rsidRPr="007F6798">
        <w:rPr>
          <w:rFonts w:asciiTheme="minorHAnsi" w:hAnsiTheme="minorHAnsi"/>
          <w:bCs/>
          <w:sz w:val="22"/>
          <w:szCs w:val="22"/>
          <w:u w:val="single"/>
        </w:rPr>
        <w:t>Summary</w:t>
      </w:r>
    </w:p>
    <w:p w:rsidR="008E13F7" w:rsidRPr="007F6798" w:rsidRDefault="008E13F7" w:rsidP="00233471">
      <w:pPr>
        <w:rPr>
          <w:rFonts w:asciiTheme="minorHAnsi" w:hAnsiTheme="minorHAnsi"/>
          <w:bCs/>
          <w:sz w:val="22"/>
          <w:szCs w:val="22"/>
          <w:u w:val="single"/>
        </w:rPr>
      </w:pPr>
    </w:p>
    <w:p w:rsidR="00E66E28" w:rsidRPr="007F6798" w:rsidRDefault="00E66E28" w:rsidP="00233471">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We believe the above proposal achieves the policy objectives in deeming a significant percentage of the European FX market liquid.  Our calculations show that using October 2014 Bank of England (BoE) semi-annual FX survey that </w:t>
      </w:r>
      <w:r w:rsidRPr="007F6798">
        <w:rPr>
          <w:rFonts w:asciiTheme="minorHAnsi" w:hAnsiTheme="minorHAnsi" w:cstheme="minorBidi"/>
          <w:b/>
          <w:bCs/>
          <w:color w:val="000000" w:themeColor="text1"/>
          <w:sz w:val="22"/>
          <w:szCs w:val="22"/>
          <w:lang w:val="en-GB"/>
        </w:rPr>
        <w:t>79% of the European FX market would be deemed liquid</w:t>
      </w:r>
      <w:r w:rsidRPr="007F6798">
        <w:rPr>
          <w:rFonts w:asciiTheme="minorHAnsi" w:hAnsiTheme="minorHAnsi" w:cstheme="minorBidi"/>
          <w:bCs/>
          <w:color w:val="auto"/>
          <w:sz w:val="22"/>
          <w:szCs w:val="22"/>
          <w:lang w:val="en-GB"/>
        </w:rPr>
        <w:t xml:space="preserve"> (calculations illustrated in Figure 11 below)</w:t>
      </w:r>
    </w:p>
    <w:p w:rsidR="008E13F7" w:rsidRPr="007F6798" w:rsidRDefault="008E13F7" w:rsidP="00233471">
      <w:pPr>
        <w:pStyle w:val="Default"/>
        <w:rPr>
          <w:rFonts w:asciiTheme="minorHAnsi" w:hAnsiTheme="minorHAnsi" w:cstheme="minorBidi"/>
          <w:bCs/>
          <w:color w:val="auto"/>
          <w:sz w:val="22"/>
          <w:szCs w:val="22"/>
          <w:u w:val="single"/>
          <w:lang w:val="en-GB"/>
        </w:rPr>
      </w:pPr>
    </w:p>
    <w:p w:rsidR="00E66E28" w:rsidRPr="007F6798" w:rsidRDefault="00E66E28" w:rsidP="00233471">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Figure 11: GFXD summary calculation determining the % of the European Market deemed liquid as per the October 2104 Bank of England semi-annual FX survey</w:t>
      </w:r>
    </w:p>
    <w:p w:rsidR="00E66E28" w:rsidRPr="00BA6497" w:rsidRDefault="00E66E28" w:rsidP="00233471">
      <w:pPr>
        <w:pStyle w:val="Default"/>
        <w:rPr>
          <w:rFonts w:asciiTheme="minorHAnsi" w:hAnsiTheme="minorHAnsi" w:cstheme="minorBidi"/>
          <w:bCs/>
          <w:color w:val="auto"/>
          <w:sz w:val="22"/>
          <w:szCs w:val="22"/>
          <w:u w:val="single"/>
          <w:lang w:val="en-GB"/>
        </w:rPr>
      </w:pPr>
    </w:p>
    <w:p w:rsidR="00E66E28" w:rsidRPr="00BA6497" w:rsidRDefault="00E66E28" w:rsidP="00233471">
      <w:pPr>
        <w:pStyle w:val="Default"/>
        <w:rPr>
          <w:rFonts w:asciiTheme="minorHAnsi" w:hAnsiTheme="minorHAnsi" w:cstheme="minorBidi"/>
          <w:bCs/>
          <w:color w:val="auto"/>
          <w:sz w:val="22"/>
          <w:szCs w:val="22"/>
          <w:u w:val="single"/>
          <w:lang w:val="en-GB"/>
        </w:rPr>
      </w:pPr>
      <w:r w:rsidRPr="00BA6497">
        <w:rPr>
          <w:noProof/>
          <w:szCs w:val="22"/>
          <w:lang w:val="en-US" w:eastAsia="en-US"/>
        </w:rPr>
        <w:drawing>
          <wp:inline distT="0" distB="0" distL="0" distR="0">
            <wp:extent cx="6281420" cy="1619734"/>
            <wp:effectExtent l="19050" t="19050" r="24130" b="18566"/>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281420" cy="1619734"/>
                    </a:xfrm>
                    <a:prstGeom prst="rect">
                      <a:avLst/>
                    </a:prstGeom>
                    <a:noFill/>
                    <a:ln w="9525">
                      <a:solidFill>
                        <a:schemeClr val="tx1"/>
                      </a:solidFill>
                      <a:miter lim="800000"/>
                      <a:headEnd/>
                      <a:tailEnd/>
                    </a:ln>
                  </pic:spPr>
                </pic:pic>
              </a:graphicData>
            </a:graphic>
          </wp:inline>
        </w:drawing>
      </w:r>
    </w:p>
    <w:p w:rsidR="00E66E28" w:rsidRPr="00BA6497" w:rsidRDefault="00E66E28" w:rsidP="00233471">
      <w:pPr>
        <w:pStyle w:val="Default"/>
        <w:rPr>
          <w:rFonts w:asciiTheme="minorHAnsi" w:hAnsiTheme="minorHAnsi" w:cstheme="minorBidi"/>
          <w:bCs/>
          <w:color w:val="auto"/>
          <w:sz w:val="22"/>
          <w:szCs w:val="22"/>
          <w:u w:val="single"/>
          <w:lang w:val="en-GB"/>
        </w:rPr>
      </w:pPr>
    </w:p>
    <w:p w:rsidR="00E66E28" w:rsidRPr="00BA6497" w:rsidRDefault="00E66E28" w:rsidP="00233471">
      <w:pPr>
        <w:pStyle w:val="Default"/>
        <w:rPr>
          <w:rFonts w:asciiTheme="minorHAnsi" w:hAnsiTheme="minorHAnsi" w:cstheme="minorBidi"/>
          <w:bCs/>
          <w:color w:val="auto"/>
          <w:sz w:val="22"/>
          <w:szCs w:val="22"/>
          <w:u w:val="single"/>
          <w:lang w:val="en-GB"/>
        </w:rPr>
      </w:pPr>
    </w:p>
    <w:permEnd w:id="10"/>
    <w:p w:rsidR="00A8728B" w:rsidRDefault="00A8728B" w:rsidP="00A8728B">
      <w:r>
        <w:t>&lt;ESMA_QUESTION_MIFID_ADD_1&gt;</w:t>
      </w:r>
    </w:p>
    <w:p w:rsidR="00A8728B" w:rsidRDefault="00A8728B" w:rsidP="00A8728B">
      <w:pPr>
        <w:pStyle w:val="CPQuestions"/>
        <w:ind w:left="714" w:hanging="357"/>
      </w:pPr>
      <w:r w:rsidRPr="00C24BCA">
        <w:t>Do you agree with ESMA’s proposal for foreign exchange derivatives? Please specify, for each sub-class (non-deliverable forwards</w:t>
      </w:r>
      <w:r>
        <w:t xml:space="preserve"> (NDF), deliverable forwards (DF)</w:t>
      </w:r>
      <w:r w:rsidRPr="000E6B5B">
        <w:t xml:space="preserve">, </w:t>
      </w:r>
      <w:r>
        <w:t>FX options, FX swaps,</w:t>
      </w:r>
      <w:r w:rsidRPr="00A94FC9">
        <w:t xml:space="preserve"> </w:t>
      </w:r>
      <w:r>
        <w:t>spread betting and FX futures)</w:t>
      </w:r>
      <w:r w:rsidRPr="000E6B5B">
        <w:t xml:space="preserve"> if you agree on the fo</w:t>
      </w:r>
      <w:r w:rsidRPr="000E6B5B">
        <w:t>l</w:t>
      </w:r>
      <w:r w:rsidRPr="000E6B5B">
        <w:t>lowing points providing reasons for your answer and, if you disagree providing ESMA with your alternative proposal:</w:t>
      </w:r>
      <w:r w:rsidRPr="00B62727">
        <w:t xml:space="preserve"> </w:t>
      </w:r>
    </w:p>
    <w:p w:rsidR="00A8728B" w:rsidRPr="00B62727" w:rsidRDefault="00A8728B" w:rsidP="00566C6A">
      <w:pPr>
        <w:pStyle w:val="CPQuest2"/>
        <w:numPr>
          <w:ilvl w:val="0"/>
          <w:numId w:val="37"/>
        </w:numPr>
      </w:pPr>
      <w:r w:rsidRPr="00B62727">
        <w:t>deferral period set to 48 hours</w:t>
      </w:r>
    </w:p>
    <w:p w:rsidR="00A8728B" w:rsidRPr="00B62727" w:rsidRDefault="00A8728B" w:rsidP="00566C6A">
      <w:pPr>
        <w:pStyle w:val="CPQuest2"/>
      </w:pPr>
      <w:r w:rsidRPr="00B62727">
        <w:t>size specific to the instrument threshold set as 50% of the large in scale threshold</w:t>
      </w:r>
    </w:p>
    <w:p w:rsidR="00A8728B" w:rsidRPr="00C24BCA" w:rsidRDefault="00A8728B" w:rsidP="00566C6A">
      <w:pPr>
        <w:pStyle w:val="CPQuest2"/>
      </w:pPr>
      <w:r w:rsidRPr="00B62727">
        <w:t xml:space="preserve">volume measure used to set the large in scale and size specific to the instrument threshold as </w:t>
      </w:r>
      <w:r w:rsidRPr="00C24BCA">
        <w:t>specified in Annex II, Table 3 of draft RTS 9</w:t>
      </w:r>
    </w:p>
    <w:p w:rsidR="00A8728B" w:rsidRPr="00B62727" w:rsidRDefault="00A8728B" w:rsidP="00566C6A">
      <w:pPr>
        <w:pStyle w:val="CPQuest2"/>
      </w:pPr>
      <w:r w:rsidRPr="00B62727">
        <w:t xml:space="preserve">pre-trade and post-trade </w:t>
      </w:r>
      <w:r>
        <w:t>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B62727">
        <w:t>r</w:t>
      </w:r>
      <w:r w:rsidRPr="00B62727">
        <w:lastRenderedPageBreak/>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p>
    <w:p w:rsidR="00A8728B" w:rsidRPr="00B62727" w:rsidRDefault="00A8728B" w:rsidP="00566C6A">
      <w:pPr>
        <w:pStyle w:val="CPQuest2"/>
      </w:pPr>
      <w:r>
        <w:rPr>
          <w:u w:val="single"/>
        </w:rPr>
        <w:t>f</w:t>
      </w:r>
      <w:r w:rsidRPr="00A94FC9">
        <w:rPr>
          <w:u w:val="single"/>
        </w:rPr>
        <w:t xml:space="preserve">or non-deliverable forwards (NDF) and spread betting </w:t>
      </w:r>
      <w:r>
        <w:rPr>
          <w:u w:val="single"/>
        </w:rPr>
        <w:t xml:space="preserve">contracts </w:t>
      </w:r>
      <w:r w:rsidRPr="00A94FC9">
        <w:rPr>
          <w:u w:val="single"/>
        </w:rPr>
        <w:t>only:</w:t>
      </w:r>
      <w:r>
        <w:t xml:space="preserve"> </w:t>
      </w:r>
      <w:r w:rsidRPr="00A90E83">
        <w:t>express your preference</w:t>
      </w:r>
      <w:r>
        <w:t xml:space="preserve"> for </w:t>
      </w:r>
      <w:r w:rsidRPr="00A90E83">
        <w:t>either “</w:t>
      </w:r>
      <w:r>
        <w:t>Alternative</w:t>
      </w:r>
      <w:r w:rsidRPr="00A90E83">
        <w:t xml:space="preserve"> </w:t>
      </w:r>
      <w:r>
        <w:t>A</w:t>
      </w:r>
      <w:r w:rsidRPr="00A90E83">
        <w:t>” or “</w:t>
      </w:r>
      <w:r>
        <w:t>Alternative</w:t>
      </w:r>
      <w:r w:rsidRPr="00A90E83">
        <w:t xml:space="preserve"> </w:t>
      </w:r>
      <w:r>
        <w:t>B</w:t>
      </w:r>
      <w:r w:rsidRPr="00A90E83">
        <w:t xml:space="preserve">”. If you disagree with both ESMA’s proposal provides your alternative proposal </w:t>
      </w:r>
      <w:r>
        <w:t>for the LIS threshold floor.</w:t>
      </w:r>
    </w:p>
    <w:p w:rsidR="00A8728B" w:rsidRDefault="00A8728B" w:rsidP="00A8728B">
      <w:r>
        <w:t>&lt;ESMA_QUESTION_MIFID_ADD_2&gt;</w:t>
      </w:r>
    </w:p>
    <w:p w:rsidR="00E66E28" w:rsidRPr="007F6798" w:rsidRDefault="00E66E28" w:rsidP="00E66E28">
      <w:pPr>
        <w:pStyle w:val="Default"/>
        <w:spacing w:after="302"/>
        <w:rPr>
          <w:rFonts w:asciiTheme="minorHAnsi" w:hAnsiTheme="minorHAnsi"/>
          <w:b/>
          <w:bCs/>
          <w:sz w:val="22"/>
          <w:szCs w:val="22"/>
          <w:lang w:val="en-GB"/>
        </w:rPr>
      </w:pPr>
      <w:permStart w:id="11" w:edGrp="everyone"/>
      <w:r w:rsidRPr="007F6798">
        <w:rPr>
          <w:rFonts w:asciiTheme="minorHAnsi" w:hAnsiTheme="minorHAnsi"/>
          <w:b/>
          <w:bCs/>
          <w:sz w:val="22"/>
          <w:szCs w:val="22"/>
          <w:lang w:val="en-GB"/>
        </w:rPr>
        <w:t>Q2. Do you agree with ESMA’s proposal for foreign exchange derivatives?</w:t>
      </w:r>
    </w:p>
    <w:p w:rsidR="00E66E28" w:rsidRPr="007F6798" w:rsidRDefault="00E66E28" w:rsidP="00E66E28">
      <w:pPr>
        <w:pStyle w:val="Default"/>
        <w:spacing w:after="302"/>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For FX non-deliverable forwards (NDF), FX forwards, FX options and FX swaps, the GFXD does not agree with ESMA’s proposals, each of which is discussed in more detail below.  </w:t>
      </w:r>
    </w:p>
    <w:p w:rsidR="00E66E28" w:rsidRPr="007F6798" w:rsidRDefault="00E66E28" w:rsidP="00E66E28">
      <w:pPr>
        <w:pStyle w:val="Default"/>
        <w:spacing w:after="302"/>
        <w:rPr>
          <w:rFonts w:asciiTheme="minorHAnsi" w:hAnsiTheme="minorHAnsi"/>
          <w:b/>
          <w:bCs/>
          <w:sz w:val="22"/>
          <w:szCs w:val="22"/>
          <w:lang w:val="en-GB"/>
        </w:rPr>
      </w:pPr>
      <w:r w:rsidRPr="007F6798">
        <w:rPr>
          <w:rFonts w:asciiTheme="minorHAnsi" w:hAnsiTheme="minorHAnsi"/>
          <w:b/>
          <w:bCs/>
          <w:sz w:val="22"/>
          <w:szCs w:val="22"/>
          <w:lang w:val="en-GB"/>
        </w:rPr>
        <w:t xml:space="preserve">(1) </w:t>
      </w:r>
      <w:proofErr w:type="gramStart"/>
      <w:r w:rsidRPr="007F6798">
        <w:rPr>
          <w:rFonts w:asciiTheme="minorHAnsi" w:hAnsiTheme="minorHAnsi"/>
          <w:b/>
          <w:bCs/>
          <w:sz w:val="22"/>
          <w:szCs w:val="22"/>
          <w:lang w:val="en-GB"/>
        </w:rPr>
        <w:t>deferral</w:t>
      </w:r>
      <w:proofErr w:type="gramEnd"/>
      <w:r w:rsidRPr="007F6798">
        <w:rPr>
          <w:rFonts w:asciiTheme="minorHAnsi" w:hAnsiTheme="minorHAnsi"/>
          <w:b/>
          <w:bCs/>
          <w:sz w:val="22"/>
          <w:szCs w:val="22"/>
          <w:lang w:val="en-GB"/>
        </w:rPr>
        <w:t xml:space="preserve"> period set to 48 hours </w:t>
      </w: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The GFXD does not support the 48 hour deferral and would like to reference the responses made by ISDA and AFME to question 78 of the December 2014 </w:t>
      </w:r>
      <w:r w:rsidR="00F015C7">
        <w:rPr>
          <w:rFonts w:asciiTheme="minorHAnsi" w:hAnsiTheme="minorHAnsi" w:cstheme="minorBidi"/>
          <w:bCs/>
          <w:color w:val="auto"/>
          <w:sz w:val="22"/>
          <w:szCs w:val="22"/>
          <w:lang w:val="en-GB"/>
        </w:rPr>
        <w:t>Consultation Paper (</w:t>
      </w:r>
      <w:r w:rsidRPr="007F6798">
        <w:rPr>
          <w:rFonts w:asciiTheme="minorHAnsi" w:hAnsiTheme="minorHAnsi" w:cstheme="minorBidi"/>
          <w:bCs/>
          <w:color w:val="auto"/>
          <w:sz w:val="22"/>
          <w:szCs w:val="22"/>
          <w:lang w:val="en-GB"/>
        </w:rPr>
        <w:t>CP</w:t>
      </w:r>
      <w:r w:rsidR="00F015C7">
        <w:rPr>
          <w:rFonts w:asciiTheme="minorHAnsi" w:hAnsiTheme="minorHAnsi" w:cstheme="minorBidi"/>
          <w:bCs/>
          <w:color w:val="auto"/>
          <w:sz w:val="22"/>
          <w:szCs w:val="22"/>
          <w:lang w:val="en-GB"/>
        </w:rPr>
        <w:t>)</w:t>
      </w:r>
      <w:r w:rsidRPr="007F6798">
        <w:rPr>
          <w:rFonts w:asciiTheme="minorHAnsi" w:hAnsiTheme="minorHAnsi" w:cstheme="minorBidi"/>
          <w:bCs/>
          <w:color w:val="auto"/>
          <w:sz w:val="22"/>
          <w:szCs w:val="22"/>
          <w:lang w:val="en-GB"/>
        </w:rPr>
        <w:t xml:space="preserve"> - w</w:t>
      </w:r>
      <w:r w:rsidRPr="007F6798">
        <w:rPr>
          <w:rFonts w:asciiTheme="minorHAnsi" w:hAnsiTheme="minorHAnsi"/>
          <w:sz w:val="22"/>
          <w:szCs w:val="22"/>
          <w:lang w:val="en-GB"/>
        </w:rPr>
        <w:t xml:space="preserve">hilst we welcome ESMA’s proposal to extend the length of the </w:t>
      </w:r>
      <w:r w:rsidRPr="007F6798">
        <w:rPr>
          <w:rFonts w:asciiTheme="minorHAnsi" w:hAnsiTheme="minorHAnsi" w:cstheme="minorBidi"/>
          <w:bCs/>
          <w:color w:val="auto"/>
          <w:sz w:val="22"/>
          <w:szCs w:val="22"/>
          <w:lang w:val="en-GB"/>
        </w:rPr>
        <w:t>deferral period for transactions that are equal to or exceed LIS, equal to or exceed SSTI (if carried out on own account other than matched principal) and in illiquid instruments, we recommend that the deferral period be set at two business days. This is to ensure that transactions that occur close to the end of trading before a weekend/bank holiday get the full benefit of the deferral period (which they may otherwise not if the 48 hour period runs over the weekend).</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As ISDA argued in their response to the May 2014 </w:t>
      </w:r>
      <w:r w:rsidR="008754FC">
        <w:rPr>
          <w:rFonts w:asciiTheme="minorHAnsi" w:hAnsiTheme="minorHAnsi" w:cstheme="minorBidi"/>
          <w:bCs/>
          <w:color w:val="auto"/>
          <w:sz w:val="22"/>
          <w:szCs w:val="22"/>
          <w:lang w:val="en-GB"/>
        </w:rPr>
        <w:t>DP</w:t>
      </w:r>
      <w:r w:rsidRPr="007F6798">
        <w:rPr>
          <w:rFonts w:asciiTheme="minorHAnsi" w:hAnsiTheme="minorHAnsi" w:cstheme="minorBidi"/>
          <w:bCs/>
          <w:color w:val="auto"/>
          <w:sz w:val="22"/>
          <w:szCs w:val="22"/>
          <w:lang w:val="en-GB"/>
        </w:rPr>
        <w:t xml:space="preserve"> and responded accordingly in the December 2014 CP, the duration of volume masking is critical. If ESMA does not accept ISDA’s proposal in response to Question 83 of the December 2014 CP (that a 12 week supplementary deferral period is required for volume omission in respect of trades which are both Illiquid and LIS) then we would urge ESMA to e</w:t>
      </w:r>
      <w:r w:rsidRPr="007F6798">
        <w:rPr>
          <w:rFonts w:asciiTheme="minorHAnsi" w:hAnsiTheme="minorHAnsi" w:cstheme="minorBidi"/>
          <w:bCs/>
          <w:color w:val="auto"/>
          <w:sz w:val="22"/>
          <w:szCs w:val="22"/>
          <w:lang w:val="en-GB"/>
        </w:rPr>
        <w:t>x</w:t>
      </w:r>
      <w:r w:rsidRPr="007F6798">
        <w:rPr>
          <w:rFonts w:asciiTheme="minorHAnsi" w:hAnsiTheme="minorHAnsi" w:cstheme="minorBidi"/>
          <w:bCs/>
          <w:color w:val="auto"/>
          <w:sz w:val="22"/>
          <w:szCs w:val="22"/>
          <w:lang w:val="en-GB"/>
        </w:rPr>
        <w:t xml:space="preserve">tend the post-trade deferral period to at least 7 days for trades that are both illiquid and LIS. </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believe that even two business days may provide challenges for certain types and sizes of transa</w:t>
      </w:r>
      <w:r w:rsidRPr="007F6798">
        <w:rPr>
          <w:rFonts w:asciiTheme="minorHAnsi" w:hAnsiTheme="minorHAnsi" w:cstheme="minorBidi"/>
          <w:bCs/>
          <w:color w:val="auto"/>
          <w:sz w:val="22"/>
          <w:szCs w:val="22"/>
          <w:lang w:val="en-GB"/>
        </w:rPr>
        <w:t>c</w:t>
      </w:r>
      <w:r w:rsidRPr="007F6798">
        <w:rPr>
          <w:rFonts w:asciiTheme="minorHAnsi" w:hAnsiTheme="minorHAnsi" w:cstheme="minorBidi"/>
          <w:bCs/>
          <w:color w:val="auto"/>
          <w:sz w:val="22"/>
          <w:szCs w:val="22"/>
          <w:lang w:val="en-GB"/>
        </w:rPr>
        <w:t>tions and especially so if the LIS and SSTI thresholds are not appropriately calibrated in the final rules. This challenge will be significantly worsened if NCAs do not implement the supplemental volume omi</w:t>
      </w:r>
      <w:r w:rsidRPr="007F6798">
        <w:rPr>
          <w:rFonts w:asciiTheme="minorHAnsi" w:hAnsiTheme="minorHAnsi" w:cstheme="minorBidi"/>
          <w:bCs/>
          <w:color w:val="auto"/>
          <w:sz w:val="22"/>
          <w:szCs w:val="22"/>
          <w:lang w:val="en-GB"/>
        </w:rPr>
        <w:t>s</w:t>
      </w:r>
      <w:r w:rsidRPr="007F6798">
        <w:rPr>
          <w:rFonts w:asciiTheme="minorHAnsi" w:hAnsiTheme="minorHAnsi" w:cstheme="minorBidi"/>
          <w:bCs/>
          <w:color w:val="auto"/>
          <w:sz w:val="22"/>
          <w:szCs w:val="22"/>
          <w:lang w:val="en-GB"/>
        </w:rPr>
        <w:t>sion regime. Whilst we appreciate that it is within the discretion of individual NCAs to determine whether to implement a supplemental volume omission deferral regime, the GFXD urges ESMA to try and encourage as many NCAs as possible to adopt this regime.</w:t>
      </w:r>
    </w:p>
    <w:p w:rsidR="00E66E28" w:rsidRPr="007F6798" w:rsidRDefault="00E66E28" w:rsidP="00E66E28">
      <w:pPr>
        <w:pStyle w:val="Default"/>
        <w:rPr>
          <w:rFonts w:asciiTheme="minorHAnsi" w:hAnsiTheme="minorHAnsi"/>
          <w:b/>
          <w:bCs/>
          <w:sz w:val="22"/>
          <w:szCs w:val="22"/>
          <w:lang w:val="en-GB"/>
        </w:rPr>
      </w:pPr>
    </w:p>
    <w:p w:rsidR="00E66E28" w:rsidRPr="007F6798" w:rsidRDefault="00E66E28" w:rsidP="00E66E28">
      <w:pPr>
        <w:pStyle w:val="Default"/>
        <w:spacing w:after="302"/>
        <w:rPr>
          <w:rFonts w:asciiTheme="minorHAnsi" w:hAnsiTheme="minorHAnsi"/>
          <w:b/>
          <w:bCs/>
          <w:sz w:val="22"/>
          <w:szCs w:val="22"/>
          <w:lang w:val="en-GB"/>
        </w:rPr>
      </w:pPr>
      <w:r w:rsidRPr="007F6798">
        <w:rPr>
          <w:rFonts w:asciiTheme="minorHAnsi" w:hAnsiTheme="minorHAnsi"/>
          <w:b/>
          <w:bCs/>
          <w:sz w:val="22"/>
          <w:szCs w:val="22"/>
          <w:lang w:val="en-GB"/>
        </w:rPr>
        <w:t xml:space="preserve">(2) </w:t>
      </w:r>
      <w:proofErr w:type="gramStart"/>
      <w:r w:rsidRPr="007F6798">
        <w:rPr>
          <w:rFonts w:asciiTheme="minorHAnsi" w:hAnsiTheme="minorHAnsi"/>
          <w:b/>
          <w:bCs/>
          <w:sz w:val="22"/>
          <w:szCs w:val="22"/>
          <w:lang w:val="en-GB"/>
        </w:rPr>
        <w:t>size</w:t>
      </w:r>
      <w:proofErr w:type="gramEnd"/>
      <w:r w:rsidRPr="007F6798">
        <w:rPr>
          <w:rFonts w:asciiTheme="minorHAnsi" w:hAnsiTheme="minorHAnsi"/>
          <w:b/>
          <w:bCs/>
          <w:sz w:val="22"/>
          <w:szCs w:val="22"/>
          <w:lang w:val="en-GB"/>
        </w:rPr>
        <w:t xml:space="preserve"> specific to the instrument threshold set as 50% of the large in scale threshold </w:t>
      </w:r>
    </w:p>
    <w:p w:rsidR="00E66E28" w:rsidRPr="007F6798" w:rsidRDefault="00E66E28" w:rsidP="00E66E28">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Size specific at 50%</w:t>
      </w:r>
    </w:p>
    <w:p w:rsidR="00E66E28" w:rsidRPr="007F6798" w:rsidRDefault="00E66E28" w:rsidP="00E66E28">
      <w:pPr>
        <w:pStyle w:val="Default"/>
        <w:rPr>
          <w:rFonts w:asciiTheme="minorHAnsi" w:hAnsiTheme="minorHAnsi" w:cstheme="minorBidi"/>
          <w:bCs/>
          <w:color w:val="auto"/>
          <w:sz w:val="22"/>
          <w:szCs w:val="22"/>
          <w:u w:val="single"/>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We do not support the proposal that the SSTI threshold is set as 50% of the large in scale threshold and would like to reference the responses made by ISDA and AFME to question 78 of the December 2014 CP.</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We believe that the proposal to set the SSTI threshold at 50% of the LIS threshold is arbitrary – there is no rationale for choosing 50% (as opposed to another percentage) and its link to the LIS threshold means </w:t>
      </w:r>
      <w:r w:rsidRPr="007F6798">
        <w:rPr>
          <w:rFonts w:asciiTheme="minorHAnsi" w:hAnsiTheme="minorHAnsi" w:cstheme="minorBidi"/>
          <w:bCs/>
          <w:color w:val="auto"/>
          <w:sz w:val="22"/>
          <w:szCs w:val="22"/>
          <w:lang w:val="en-GB"/>
        </w:rPr>
        <w:lastRenderedPageBreak/>
        <w:t>that the SSTI threshold is unlikely to result in 50% of trades in a sub-class actually falling below the SSTI threshold. The use of a 50% ratio does not appear to have factored in the elements required by MiFIR under Article 9(5)(d), specifically whether liquidity providers are able to hedge their risks, and the extent of retail participation (although we recognize the practical challenges of incorporating these factors).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Furthermore, as ESMA seems to view the waiver and deferral regimes as a way to reduce the detrime</w:t>
      </w:r>
      <w:r w:rsidRPr="007F6798">
        <w:rPr>
          <w:rFonts w:asciiTheme="minorHAnsi" w:hAnsiTheme="minorHAnsi" w:cstheme="minorBidi"/>
          <w:bCs/>
          <w:color w:val="auto"/>
          <w:sz w:val="22"/>
          <w:szCs w:val="22"/>
          <w:lang w:val="en-GB"/>
        </w:rPr>
        <w:t>n</w:t>
      </w:r>
      <w:r w:rsidRPr="007F6798">
        <w:rPr>
          <w:rFonts w:asciiTheme="minorHAnsi" w:hAnsiTheme="minorHAnsi" w:cstheme="minorBidi"/>
          <w:bCs/>
          <w:color w:val="auto"/>
          <w:sz w:val="22"/>
          <w:szCs w:val="22"/>
          <w:lang w:val="en-GB"/>
        </w:rPr>
        <w:t>tal impact of an illiquid instrument being incorrectly assessed as liquid, we urge ESMA to ensure that the LIS and SSTI thresholds are set at levels sufficiently low in order to compensate for inaccuracies in the liquidity calibration. We also note that in the US, the CFTC has adopted policy-based approach to calc</w:t>
      </w:r>
      <w:r w:rsidRPr="007F6798">
        <w:rPr>
          <w:rFonts w:asciiTheme="minorHAnsi" w:hAnsiTheme="minorHAnsi" w:cstheme="minorBidi"/>
          <w:bCs/>
          <w:color w:val="auto"/>
          <w:sz w:val="22"/>
          <w:szCs w:val="22"/>
          <w:lang w:val="en-GB"/>
        </w:rPr>
        <w:t>u</w:t>
      </w:r>
      <w:r w:rsidRPr="007F6798">
        <w:rPr>
          <w:rFonts w:asciiTheme="minorHAnsi" w:hAnsiTheme="minorHAnsi" w:cstheme="minorBidi"/>
          <w:bCs/>
          <w:color w:val="auto"/>
          <w:sz w:val="22"/>
          <w:szCs w:val="22"/>
          <w:lang w:val="en-GB"/>
        </w:rPr>
        <w:t>late block sizes, but for FX is currently applying Initial Block Sizes (CFTC 17 CFR Part 43) until accurate data can be collated and assessed.</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rPr>
          <w:rFonts w:asciiTheme="minorHAnsi" w:hAnsiTheme="minorHAnsi" w:cs="Arial"/>
          <w:sz w:val="22"/>
          <w:szCs w:val="22"/>
        </w:rPr>
      </w:pPr>
      <w:r w:rsidRPr="007F6798">
        <w:rPr>
          <w:rFonts w:asciiTheme="minorHAnsi" w:hAnsiTheme="minorHAnsi" w:cs="Arial"/>
          <w:sz w:val="22"/>
          <w:szCs w:val="22"/>
        </w:rPr>
        <w:t>We propose instead that the SSTI threshold should either be set at either:</w:t>
      </w:r>
    </w:p>
    <w:p w:rsidR="00E66E28" w:rsidRPr="007F6798" w:rsidRDefault="00E66E28" w:rsidP="00E66E28">
      <w:pPr>
        <w:pStyle w:val="ListParagraph"/>
        <w:numPr>
          <w:ilvl w:val="0"/>
          <w:numId w:val="63"/>
        </w:numPr>
        <w:spacing w:after="240"/>
        <w:rPr>
          <w:rFonts w:asciiTheme="minorHAnsi" w:hAnsiTheme="minorHAnsi" w:cs="Arial"/>
          <w:sz w:val="22"/>
          <w:szCs w:val="22"/>
        </w:rPr>
      </w:pPr>
      <w:r w:rsidRPr="007F6798">
        <w:rPr>
          <w:rFonts w:asciiTheme="minorHAnsi" w:hAnsiTheme="minorHAnsi" w:cs="Arial"/>
          <w:sz w:val="22"/>
          <w:szCs w:val="22"/>
        </w:rPr>
        <w:t>The median trade size (50</w:t>
      </w:r>
      <w:r w:rsidRPr="007F6798">
        <w:rPr>
          <w:rFonts w:asciiTheme="minorHAnsi" w:hAnsiTheme="minorHAnsi" w:cs="Arial"/>
          <w:sz w:val="22"/>
          <w:szCs w:val="22"/>
          <w:vertAlign w:val="superscript"/>
        </w:rPr>
        <w:t>th</w:t>
      </w:r>
      <w:r w:rsidRPr="007F6798">
        <w:rPr>
          <w:rFonts w:asciiTheme="minorHAnsi" w:hAnsiTheme="minorHAnsi" w:cs="Arial"/>
          <w:sz w:val="22"/>
          <w:szCs w:val="22"/>
        </w:rPr>
        <w:t xml:space="preserve"> percentile of transaction sizes) for transactions below LIS in the rel</w:t>
      </w:r>
      <w:r w:rsidRPr="007F6798">
        <w:rPr>
          <w:rFonts w:asciiTheme="minorHAnsi" w:hAnsiTheme="minorHAnsi" w:cs="Arial"/>
          <w:sz w:val="22"/>
          <w:szCs w:val="22"/>
        </w:rPr>
        <w:t>e</w:t>
      </w:r>
      <w:r w:rsidRPr="007F6798">
        <w:rPr>
          <w:rFonts w:asciiTheme="minorHAnsi" w:hAnsiTheme="minorHAnsi" w:cs="Arial"/>
          <w:sz w:val="22"/>
          <w:szCs w:val="22"/>
        </w:rPr>
        <w:t>vant sub-class; or</w:t>
      </w:r>
    </w:p>
    <w:p w:rsidR="00E66E28" w:rsidRPr="007F6798" w:rsidRDefault="00E66E28" w:rsidP="00E66E28">
      <w:pPr>
        <w:pStyle w:val="ListParagraph"/>
        <w:numPr>
          <w:ilvl w:val="0"/>
          <w:numId w:val="63"/>
        </w:numPr>
        <w:spacing w:after="240"/>
        <w:rPr>
          <w:rFonts w:asciiTheme="minorHAnsi" w:hAnsiTheme="minorHAnsi" w:cs="Arial"/>
          <w:sz w:val="22"/>
          <w:szCs w:val="22"/>
        </w:rPr>
      </w:pPr>
      <w:r w:rsidRPr="007F6798">
        <w:rPr>
          <w:rFonts w:asciiTheme="minorHAnsi" w:hAnsiTheme="minorHAnsi" w:cs="Arial"/>
          <w:sz w:val="22"/>
          <w:szCs w:val="22"/>
        </w:rPr>
        <w:t>10% of the LIS threshold for the relevant sub-class (if ESMA prefers to retain a method based on the percentage of LIS)</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The appeal of using the median size is that ESMA can be sure that half of 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w:t>
      </w:r>
      <w:proofErr w:type="gramStart"/>
      <w:r w:rsidRPr="007F6798">
        <w:rPr>
          <w:rFonts w:asciiTheme="minorHAnsi" w:hAnsiTheme="minorHAnsi" w:cs="Arial"/>
          <w:sz w:val="22"/>
          <w:szCs w:val="22"/>
        </w:rPr>
        <w:t>)(</w:t>
      </w:r>
      <w:proofErr w:type="gramEnd"/>
      <w:r w:rsidRPr="007F6798">
        <w:rPr>
          <w:rFonts w:asciiTheme="minorHAnsi" w:hAnsiTheme="minorHAnsi" w:cs="Arial"/>
          <w:sz w:val="22"/>
          <w:szCs w:val="22"/>
        </w:rPr>
        <w:t>d)). Furthermore, breaking the link to LIS would prevent the SSTI being skewed by individual, large transactions (which could result under ESMA’s current proposal for LIS calibration).</w:t>
      </w:r>
    </w:p>
    <w:p w:rsidR="00E66E28" w:rsidRPr="007F6798" w:rsidRDefault="00E66E28" w:rsidP="00E66E28">
      <w:pPr>
        <w:rPr>
          <w:rFonts w:asciiTheme="minorHAnsi" w:hAnsiTheme="minorHAnsi" w:cs="Arial"/>
          <w:sz w:val="22"/>
          <w:szCs w:val="22"/>
        </w:rPr>
      </w:pPr>
      <w:r w:rsidRPr="007F6798">
        <w:rPr>
          <w:rFonts w:asciiTheme="minorHAnsi" w:hAnsiTheme="minorHAnsi" w:cs="Arial"/>
          <w:sz w:val="22"/>
          <w:szCs w:val="22"/>
        </w:rPr>
        <w:t>For the following reasons, we urge ESMA adopt our recommendations for the pre-trade SSTI (although we encourage ESMA to also consider doing so for the post-trade SSTI):</w:t>
      </w:r>
    </w:p>
    <w:p w:rsidR="00E66E28" w:rsidRPr="007F6798" w:rsidRDefault="00E66E28" w:rsidP="00E66E28">
      <w:pPr>
        <w:pStyle w:val="ListParagraph"/>
        <w:numPr>
          <w:ilvl w:val="0"/>
          <w:numId w:val="62"/>
        </w:numPr>
        <w:spacing w:after="120"/>
        <w:rPr>
          <w:rFonts w:asciiTheme="minorHAnsi" w:hAnsiTheme="minorHAnsi" w:cs="Arial"/>
          <w:sz w:val="22"/>
          <w:szCs w:val="22"/>
        </w:rPr>
      </w:pPr>
      <w:r w:rsidRPr="007F6798">
        <w:rPr>
          <w:rFonts w:asciiTheme="minorHAnsi" w:hAnsiTheme="minorHAnsi" w:cs="Arial"/>
          <w:sz w:val="22"/>
          <w:szCs w:val="22"/>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E66E28" w:rsidRPr="007F6798" w:rsidRDefault="00E66E28" w:rsidP="00E66E28">
      <w:pPr>
        <w:pStyle w:val="ListParagraph"/>
        <w:spacing w:after="120"/>
        <w:rPr>
          <w:rFonts w:asciiTheme="minorHAnsi" w:hAnsiTheme="minorHAnsi" w:cs="Arial"/>
          <w:sz w:val="22"/>
          <w:szCs w:val="22"/>
        </w:rPr>
      </w:pPr>
    </w:p>
    <w:p w:rsidR="00E66E28" w:rsidRPr="007F6798" w:rsidRDefault="00E66E28" w:rsidP="00E66E28">
      <w:pPr>
        <w:pStyle w:val="ListParagraph"/>
        <w:numPr>
          <w:ilvl w:val="0"/>
          <w:numId w:val="62"/>
        </w:numPr>
        <w:spacing w:after="120"/>
        <w:rPr>
          <w:rFonts w:asciiTheme="minorHAnsi" w:hAnsiTheme="minorHAnsi" w:cs="Arial"/>
          <w:sz w:val="22"/>
          <w:szCs w:val="22"/>
        </w:rPr>
      </w:pPr>
      <w:r w:rsidRPr="007F6798">
        <w:rPr>
          <w:rFonts w:asciiTheme="minorHAnsi" w:hAnsiTheme="minorHAnsi" w:cs="Arial"/>
          <w:sz w:val="22"/>
          <w:szCs w:val="22"/>
        </w:rPr>
        <w:t>A 50% SSTI ratio would only permit an SI to undertake two trades before taking on risk equiv</w:t>
      </w:r>
      <w:r w:rsidRPr="007F6798">
        <w:rPr>
          <w:rFonts w:asciiTheme="minorHAnsi" w:hAnsiTheme="minorHAnsi" w:cs="Arial"/>
          <w:sz w:val="22"/>
          <w:szCs w:val="22"/>
        </w:rPr>
        <w:t>a</w:t>
      </w:r>
      <w:r w:rsidRPr="007F6798">
        <w:rPr>
          <w:rFonts w:asciiTheme="minorHAnsi" w:hAnsiTheme="minorHAnsi" w:cs="Arial"/>
          <w:sz w:val="22"/>
          <w:szCs w:val="22"/>
        </w:rPr>
        <w:t>lent to a Large in Scale transaction. If the policy objective is to encourage SIs to make their quotes available and executable to several clients then setting the SSTI threshold at a level which takes into account multiple transactions and still being able to maintain a given quote would e</w:t>
      </w:r>
      <w:r w:rsidRPr="007F6798">
        <w:rPr>
          <w:rFonts w:asciiTheme="minorHAnsi" w:hAnsiTheme="minorHAnsi" w:cs="Arial"/>
          <w:sz w:val="22"/>
          <w:szCs w:val="22"/>
        </w:rPr>
        <w:t>n</w:t>
      </w:r>
      <w:r w:rsidRPr="007F6798">
        <w:rPr>
          <w:rFonts w:asciiTheme="minorHAnsi" w:hAnsiTheme="minorHAnsi" w:cs="Arial"/>
          <w:sz w:val="22"/>
          <w:szCs w:val="22"/>
        </w:rPr>
        <w:t>able ESMA to achieve such an objective</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The risk is of a different nature in the post-trade context. At this stage, the firm has already committed its capital. The risk it faces at this stage relate to the management of its exposure (i.e., its ability to co</w:t>
      </w:r>
      <w:r w:rsidRPr="007F6798">
        <w:rPr>
          <w:rFonts w:asciiTheme="minorHAnsi" w:hAnsiTheme="minorHAnsi" w:cs="Arial"/>
          <w:sz w:val="22"/>
          <w:szCs w:val="22"/>
        </w:rPr>
        <w:t>n</w:t>
      </w:r>
      <w:r w:rsidRPr="007F6798">
        <w:rPr>
          <w:rFonts w:asciiTheme="minorHAnsi" w:hAnsiTheme="minorHAnsi" w:cs="Arial"/>
          <w:sz w:val="22"/>
          <w:szCs w:val="22"/>
        </w:rPr>
        <w:t>duct a successful hedging strategy). However, again, if the ratio is set too high for post-trade purposes, the risks the systematic internaliser faces in managing its hedging strategy in relation to certain products will be reflected in wider prices being quoted to clients.</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Default"/>
        <w:spacing w:after="302"/>
        <w:rPr>
          <w:rFonts w:asciiTheme="minorHAnsi" w:hAnsiTheme="minorHAnsi"/>
          <w:b/>
          <w:bCs/>
          <w:sz w:val="22"/>
          <w:szCs w:val="22"/>
          <w:lang w:val="en-GB"/>
        </w:rPr>
      </w:pPr>
      <w:r w:rsidRPr="007F6798">
        <w:rPr>
          <w:rFonts w:asciiTheme="minorHAnsi" w:hAnsiTheme="minorHAnsi"/>
          <w:b/>
          <w:bCs/>
          <w:sz w:val="22"/>
          <w:szCs w:val="22"/>
          <w:lang w:val="en-GB"/>
        </w:rPr>
        <w:t xml:space="preserve">(3) </w:t>
      </w:r>
      <w:proofErr w:type="gramStart"/>
      <w:r w:rsidRPr="007F6798">
        <w:rPr>
          <w:rFonts w:asciiTheme="minorHAnsi" w:hAnsiTheme="minorHAnsi"/>
          <w:b/>
          <w:bCs/>
          <w:sz w:val="22"/>
          <w:szCs w:val="22"/>
          <w:lang w:val="en-GB"/>
        </w:rPr>
        <w:t>volume</w:t>
      </w:r>
      <w:proofErr w:type="gramEnd"/>
      <w:r w:rsidRPr="007F6798">
        <w:rPr>
          <w:rFonts w:asciiTheme="minorHAnsi" w:hAnsiTheme="minorHAnsi"/>
          <w:b/>
          <w:bCs/>
          <w:sz w:val="22"/>
          <w:szCs w:val="22"/>
          <w:lang w:val="en-GB"/>
        </w:rPr>
        <w:t xml:space="preserve"> measure used to set the large in scale and size specific to the instrument threshold as specified in Annex II, Table 3 of draft RTS 9</w:t>
      </w:r>
    </w:p>
    <w:p w:rsidR="00E66E28" w:rsidRPr="007F6798" w:rsidRDefault="00E66E28" w:rsidP="00054728">
      <w:pPr>
        <w:pStyle w:val="BodyText"/>
        <w:numPr>
          <w:ilvl w:val="0"/>
          <w:numId w:val="0"/>
        </w:numPr>
        <w:ind w:left="720" w:hanging="720"/>
        <w:jc w:val="left"/>
        <w:rPr>
          <w:rFonts w:asciiTheme="minorHAnsi" w:hAnsiTheme="minorHAnsi" w:cs="Arial"/>
          <w:sz w:val="22"/>
          <w:szCs w:val="22"/>
          <w:lang w:eastAsia="en-US"/>
        </w:rPr>
      </w:pPr>
      <w:r w:rsidRPr="007F6798">
        <w:rPr>
          <w:rFonts w:asciiTheme="minorHAnsi" w:hAnsiTheme="minorHAnsi" w:cs="Arial"/>
          <w:sz w:val="22"/>
          <w:szCs w:val="22"/>
          <w:lang w:eastAsia="en-US"/>
        </w:rPr>
        <w:t xml:space="preserve">The GFXD agrees that FX trade notional is the correct measure. </w:t>
      </w:r>
    </w:p>
    <w:p w:rsidR="00E66E28" w:rsidRPr="007F6798" w:rsidRDefault="00E66E28" w:rsidP="00E66E28">
      <w:pPr>
        <w:pStyle w:val="Default"/>
        <w:spacing w:after="302"/>
        <w:rPr>
          <w:rFonts w:asciiTheme="minorHAnsi" w:hAnsiTheme="minorHAnsi"/>
          <w:b/>
          <w:bCs/>
          <w:sz w:val="22"/>
          <w:szCs w:val="22"/>
          <w:lang w:val="en-GB"/>
        </w:rPr>
      </w:pPr>
      <w:r w:rsidRPr="007F6798">
        <w:rPr>
          <w:rFonts w:asciiTheme="minorHAnsi" w:hAnsiTheme="minorHAnsi"/>
          <w:b/>
          <w:bCs/>
          <w:sz w:val="22"/>
          <w:szCs w:val="22"/>
          <w:lang w:val="en-GB"/>
        </w:rPr>
        <w:lastRenderedPageBreak/>
        <w:t xml:space="preserve">(4) </w:t>
      </w:r>
      <w:proofErr w:type="gramStart"/>
      <w:r w:rsidRPr="007F6798">
        <w:rPr>
          <w:rFonts w:asciiTheme="minorHAnsi" w:hAnsiTheme="minorHAnsi"/>
          <w:b/>
          <w:bCs/>
          <w:sz w:val="22"/>
          <w:szCs w:val="22"/>
          <w:lang w:val="en-GB"/>
        </w:rPr>
        <w:t>pre-trade</w:t>
      </w:r>
      <w:proofErr w:type="gramEnd"/>
      <w:r w:rsidRPr="007F6798">
        <w:rPr>
          <w:rFonts w:asciiTheme="minorHAnsi" w:hAnsiTheme="minorHAnsi"/>
          <w:b/>
          <w:bCs/>
          <w:sz w:val="22"/>
          <w:szCs w:val="22"/>
          <w:lang w:val="en-GB"/>
        </w:rPr>
        <w:t xml:space="preserve"> and post-trade thresholds set at the same size </w:t>
      </w:r>
    </w:p>
    <w:p w:rsidR="00E66E28" w:rsidRPr="007F6798" w:rsidRDefault="00E66E28" w:rsidP="00054728">
      <w:pPr>
        <w:pStyle w:val="BodyText"/>
        <w:numPr>
          <w:ilvl w:val="0"/>
          <w:numId w:val="0"/>
        </w:numPr>
        <w:jc w:val="left"/>
        <w:rPr>
          <w:rFonts w:asciiTheme="minorHAnsi" w:hAnsiTheme="minorHAnsi" w:cs="Arial"/>
          <w:sz w:val="22"/>
          <w:szCs w:val="22"/>
          <w:lang w:eastAsia="en-US"/>
        </w:rPr>
      </w:pPr>
      <w:r w:rsidRPr="007F6798">
        <w:rPr>
          <w:rFonts w:asciiTheme="minorHAnsi" w:hAnsiTheme="minorHAnsi" w:cs="Arial"/>
          <w:sz w:val="22"/>
          <w:szCs w:val="22"/>
          <w:lang w:eastAsia="en-US"/>
        </w:rPr>
        <w:t xml:space="preserve">The GFXD supports the responses made by ISDA and AFME to this equivalent question in the December 2014 CP. We believe that there should be a different SSTI for pre-trade transparency and post trade transparency because: </w:t>
      </w:r>
    </w:p>
    <w:p w:rsidR="00E66E28" w:rsidRPr="007F6798" w:rsidRDefault="00E66E28" w:rsidP="00E66E28">
      <w:pPr>
        <w:pStyle w:val="ListParagraph"/>
        <w:numPr>
          <w:ilvl w:val="0"/>
          <w:numId w:val="62"/>
        </w:numPr>
        <w:spacing w:after="120"/>
        <w:rPr>
          <w:rFonts w:asciiTheme="minorHAnsi" w:hAnsiTheme="minorHAnsi" w:cs="Arial"/>
          <w:sz w:val="22"/>
          <w:szCs w:val="22"/>
        </w:rPr>
      </w:pPr>
      <w:r w:rsidRPr="007F6798">
        <w:rPr>
          <w:rFonts w:asciiTheme="minorHAnsi" w:hAnsiTheme="minorHAnsi" w:cs="Arial"/>
          <w:sz w:val="22"/>
          <w:szCs w:val="22"/>
        </w:rPr>
        <w:t xml:space="preserve">The risk associated with the post trade threshold is the time permitted for the market maker to unwind and hedge risk. The pre-trade risks to the market maker are much greater than the post trade risks because the price formation process can be interfered with: </w:t>
      </w:r>
    </w:p>
    <w:p w:rsidR="00E66E28" w:rsidRPr="007F6798" w:rsidRDefault="00E66E28" w:rsidP="00E66E28">
      <w:pPr>
        <w:pStyle w:val="Default"/>
        <w:numPr>
          <w:ilvl w:val="1"/>
          <w:numId w:val="62"/>
        </w:numPr>
        <w:spacing w:after="70"/>
        <w:rPr>
          <w:rFonts w:asciiTheme="minorHAnsi" w:hAnsiTheme="minorHAnsi"/>
          <w:color w:val="auto"/>
          <w:sz w:val="22"/>
          <w:szCs w:val="22"/>
          <w:lang w:val="en-GB"/>
        </w:rPr>
      </w:pPr>
      <w:r w:rsidRPr="007F6798">
        <w:rPr>
          <w:rFonts w:asciiTheme="minorHAnsi" w:hAnsiTheme="minorHAnsi"/>
          <w:color w:val="auto"/>
          <w:sz w:val="22"/>
          <w:szCs w:val="22"/>
          <w:lang w:val="en-GB"/>
        </w:rPr>
        <w:t xml:space="preserve">Other dealers could price against the market maker with regards and result in a race to the bottom in pricing that does not reflect market risk. Further, the disclosure of prices pre-trade could result in predatory pricing practices; and </w:t>
      </w:r>
    </w:p>
    <w:p w:rsidR="00E66E28" w:rsidRPr="007F6798" w:rsidRDefault="00E66E28" w:rsidP="00E66E28">
      <w:pPr>
        <w:pStyle w:val="Default"/>
        <w:numPr>
          <w:ilvl w:val="1"/>
          <w:numId w:val="62"/>
        </w:numPr>
        <w:rPr>
          <w:rFonts w:asciiTheme="minorHAnsi" w:hAnsiTheme="minorHAnsi"/>
          <w:sz w:val="22"/>
          <w:szCs w:val="22"/>
          <w:lang w:val="en-GB"/>
        </w:rPr>
      </w:pPr>
      <w:r w:rsidRPr="007F6798">
        <w:rPr>
          <w:rFonts w:asciiTheme="minorHAnsi" w:hAnsiTheme="minorHAnsi"/>
          <w:color w:val="auto"/>
          <w:sz w:val="22"/>
          <w:szCs w:val="22"/>
          <w:lang w:val="en-GB"/>
        </w:rPr>
        <w:t>Other dealers could take contrarian positions against the market maker prior to exec</w:t>
      </w:r>
      <w:r w:rsidRPr="007F6798">
        <w:rPr>
          <w:rFonts w:asciiTheme="minorHAnsi" w:hAnsiTheme="minorHAnsi"/>
          <w:color w:val="auto"/>
          <w:sz w:val="22"/>
          <w:szCs w:val="22"/>
          <w:lang w:val="en-GB"/>
        </w:rPr>
        <w:t>u</w:t>
      </w:r>
      <w:r w:rsidRPr="007F6798">
        <w:rPr>
          <w:rFonts w:asciiTheme="minorHAnsi" w:hAnsiTheme="minorHAnsi"/>
          <w:color w:val="auto"/>
          <w:sz w:val="22"/>
          <w:szCs w:val="22"/>
          <w:lang w:val="en-GB"/>
        </w:rPr>
        <w:t>tion, increasing the cost of hedging or unwinding of the market maker’s risk</w:t>
      </w:r>
      <w:r w:rsidRPr="007F6798">
        <w:rPr>
          <w:rFonts w:asciiTheme="minorHAnsi" w:hAnsiTheme="minorHAnsi"/>
          <w:sz w:val="22"/>
          <w:szCs w:val="22"/>
          <w:lang w:val="en-GB"/>
        </w:rPr>
        <w:t xml:space="preserve">. </w:t>
      </w:r>
    </w:p>
    <w:p w:rsidR="00E66E28" w:rsidRPr="007F6798" w:rsidRDefault="00E66E28" w:rsidP="00E66E28">
      <w:pPr>
        <w:pStyle w:val="ListParagraph"/>
        <w:spacing w:after="120"/>
        <w:ind w:left="1440"/>
        <w:rPr>
          <w:rFonts w:asciiTheme="minorHAnsi" w:hAnsiTheme="minorHAnsi" w:cs="Arial"/>
          <w:sz w:val="22"/>
          <w:szCs w:val="22"/>
        </w:rPr>
      </w:pPr>
    </w:p>
    <w:p w:rsidR="00E66E28" w:rsidRPr="007F6798" w:rsidRDefault="00E66E28" w:rsidP="00E66E28">
      <w:pPr>
        <w:pStyle w:val="ListParagraph"/>
        <w:spacing w:after="120"/>
        <w:ind w:left="709"/>
        <w:rPr>
          <w:rFonts w:asciiTheme="minorHAnsi" w:hAnsiTheme="minorHAnsi" w:cs="Arial"/>
          <w:sz w:val="22"/>
          <w:szCs w:val="22"/>
        </w:rPr>
      </w:pPr>
      <w:r w:rsidRPr="007F6798">
        <w:rPr>
          <w:rFonts w:asciiTheme="minorHAnsi" w:hAnsiTheme="minorHAnsi" w:cs="Arial"/>
          <w:sz w:val="22"/>
          <w:szCs w:val="22"/>
        </w:rPr>
        <w:t>Therefore, we believe that the pre-trade SSTI should differ from post trade SSTI and that the le</w:t>
      </w:r>
      <w:r w:rsidRPr="007F6798">
        <w:rPr>
          <w:rFonts w:asciiTheme="minorHAnsi" w:hAnsiTheme="minorHAnsi" w:cs="Arial"/>
          <w:sz w:val="22"/>
          <w:szCs w:val="22"/>
        </w:rPr>
        <w:t>v</w:t>
      </w:r>
      <w:r w:rsidRPr="007F6798">
        <w:rPr>
          <w:rFonts w:asciiTheme="minorHAnsi" w:hAnsiTheme="minorHAnsi" w:cs="Arial"/>
          <w:sz w:val="22"/>
          <w:szCs w:val="22"/>
        </w:rPr>
        <w:t>els should be much lower. We do not believe that introducing different thresholds for pre-trade and post-trade would make the regime too operationally complex</w:t>
      </w:r>
    </w:p>
    <w:p w:rsidR="00E66E28" w:rsidRPr="007F6798" w:rsidRDefault="00E66E28" w:rsidP="00E66E28">
      <w:pPr>
        <w:pStyle w:val="ListParagraph"/>
        <w:spacing w:after="120"/>
        <w:rPr>
          <w:rFonts w:asciiTheme="minorHAnsi" w:hAnsiTheme="minorHAnsi" w:cs="Arial"/>
          <w:sz w:val="22"/>
          <w:szCs w:val="22"/>
        </w:rPr>
      </w:pPr>
    </w:p>
    <w:p w:rsidR="00E66E28" w:rsidRPr="007F6798" w:rsidRDefault="00E66E28" w:rsidP="00E66E28">
      <w:pPr>
        <w:pStyle w:val="ListParagraph"/>
        <w:numPr>
          <w:ilvl w:val="0"/>
          <w:numId w:val="62"/>
        </w:numPr>
        <w:spacing w:after="120"/>
        <w:rPr>
          <w:rFonts w:asciiTheme="minorHAnsi" w:hAnsiTheme="minorHAnsi" w:cs="Arial"/>
          <w:sz w:val="22"/>
          <w:szCs w:val="22"/>
        </w:rPr>
      </w:pPr>
      <w:r w:rsidRPr="007F6798">
        <w:rPr>
          <w:rFonts w:asciiTheme="minorHAnsi" w:hAnsiTheme="minorHAnsi" w:cs="Arial"/>
          <w:sz w:val="22"/>
          <w:szCs w:val="22"/>
        </w:rPr>
        <w:t>For post-trade transparency, if the SSTI is set too high (further exacerbated for illiquid instr</w:t>
      </w:r>
      <w:r w:rsidRPr="007F6798">
        <w:rPr>
          <w:rFonts w:asciiTheme="minorHAnsi" w:hAnsiTheme="minorHAnsi" w:cs="Arial"/>
          <w:sz w:val="22"/>
          <w:szCs w:val="22"/>
        </w:rPr>
        <w:t>u</w:t>
      </w:r>
      <w:r w:rsidRPr="007F6798">
        <w:rPr>
          <w:rFonts w:asciiTheme="minorHAnsi" w:hAnsiTheme="minorHAnsi" w:cs="Arial"/>
          <w:sz w:val="22"/>
          <w:szCs w:val="22"/>
        </w:rPr>
        <w:t>ments that are incorrectly classified as liquid), the larger trades will be subject to real time tran</w:t>
      </w:r>
      <w:r w:rsidRPr="007F6798">
        <w:rPr>
          <w:rFonts w:asciiTheme="minorHAnsi" w:hAnsiTheme="minorHAnsi" w:cs="Arial"/>
          <w:sz w:val="22"/>
          <w:szCs w:val="22"/>
        </w:rPr>
        <w:t>s</w:t>
      </w:r>
      <w:r w:rsidRPr="007F6798">
        <w:rPr>
          <w:rFonts w:asciiTheme="minorHAnsi" w:hAnsiTheme="minorHAnsi" w:cs="Arial"/>
          <w:sz w:val="22"/>
          <w:szCs w:val="22"/>
        </w:rPr>
        <w:t>parency (without NCA discretion for deferral) and market makers will be unable hedge and u</w:t>
      </w:r>
      <w:r w:rsidRPr="007F6798">
        <w:rPr>
          <w:rFonts w:asciiTheme="minorHAnsi" w:hAnsiTheme="minorHAnsi" w:cs="Arial"/>
          <w:sz w:val="22"/>
          <w:szCs w:val="22"/>
        </w:rPr>
        <w:t>n</w:t>
      </w:r>
      <w:r w:rsidRPr="007F6798">
        <w:rPr>
          <w:rFonts w:asciiTheme="minorHAnsi" w:hAnsiTheme="minorHAnsi" w:cs="Arial"/>
          <w:sz w:val="22"/>
          <w:szCs w:val="22"/>
        </w:rPr>
        <w:t xml:space="preserve">wind their positions. This will ultimately discourage market makers from committing capital to facilitate trades, resulting in less depth of liquidity and wider spreads, at the expense of investors </w:t>
      </w:r>
    </w:p>
    <w:p w:rsidR="00E66E28" w:rsidRPr="007F6798" w:rsidRDefault="00E66E28" w:rsidP="00E66E28">
      <w:pPr>
        <w:pStyle w:val="ListParagraph"/>
        <w:spacing w:after="120"/>
        <w:rPr>
          <w:rFonts w:asciiTheme="minorHAnsi" w:hAnsiTheme="minorHAnsi" w:cs="Arial"/>
          <w:sz w:val="22"/>
          <w:szCs w:val="22"/>
        </w:rPr>
      </w:pPr>
    </w:p>
    <w:p w:rsidR="00E66E28" w:rsidRPr="007F6798" w:rsidRDefault="00E66E28" w:rsidP="00E66E28">
      <w:pPr>
        <w:pStyle w:val="Default"/>
        <w:rPr>
          <w:rFonts w:asciiTheme="minorHAnsi" w:hAnsiTheme="minorHAnsi"/>
          <w:b/>
          <w:bCs/>
          <w:sz w:val="22"/>
          <w:szCs w:val="22"/>
          <w:lang w:val="en-GB"/>
        </w:rPr>
      </w:pPr>
      <w:r w:rsidRPr="007F6798">
        <w:rPr>
          <w:rFonts w:asciiTheme="minorHAnsi" w:hAnsiTheme="minorHAnsi"/>
          <w:b/>
          <w:bCs/>
          <w:sz w:val="22"/>
          <w:szCs w:val="22"/>
          <w:lang w:val="en-GB"/>
        </w:rPr>
        <w:t xml:space="preserve">(5) </w:t>
      </w:r>
      <w:proofErr w:type="gramStart"/>
      <w:r w:rsidRPr="007F6798">
        <w:rPr>
          <w:rFonts w:asciiTheme="minorHAnsi" w:hAnsiTheme="minorHAnsi"/>
          <w:b/>
          <w:bCs/>
          <w:sz w:val="22"/>
          <w:szCs w:val="22"/>
          <w:lang w:val="en-GB"/>
        </w:rPr>
        <w:t>large</w:t>
      </w:r>
      <w:proofErr w:type="gramEnd"/>
      <w:r w:rsidRPr="007F6798">
        <w:rPr>
          <w:rFonts w:asciiTheme="minorHAnsi" w:hAnsiTheme="minorHAnsi"/>
          <w:b/>
          <w:bCs/>
          <w:sz w:val="22"/>
          <w:szCs w:val="22"/>
          <w:lang w:val="en-GB"/>
        </w:rPr>
        <w:t xml:space="preserve"> in scale thresholds</w:t>
      </w:r>
    </w:p>
    <w:p w:rsidR="00E66E28" w:rsidRPr="007F6798" w:rsidRDefault="00E66E28" w:rsidP="00E66E28">
      <w:pPr>
        <w:pStyle w:val="Default"/>
        <w:rPr>
          <w:rFonts w:asciiTheme="minorHAnsi" w:hAnsiTheme="minorHAnsi" w:cstheme="minorBidi"/>
          <w:bCs/>
          <w:color w:val="auto"/>
          <w:sz w:val="22"/>
          <w:szCs w:val="22"/>
          <w:u w:val="single"/>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Data quality issues: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 xml:space="preserve">As per our response to the May 2014 </w:t>
      </w:r>
      <w:r w:rsidR="008754FC">
        <w:rPr>
          <w:rFonts w:asciiTheme="minorHAnsi" w:hAnsiTheme="minorHAnsi" w:cstheme="minorBidi"/>
          <w:bCs/>
          <w:color w:val="auto"/>
          <w:sz w:val="22"/>
          <w:szCs w:val="22"/>
          <w:lang w:val="en-GB"/>
        </w:rPr>
        <w:t>DP</w:t>
      </w:r>
      <w:r w:rsidRPr="007F6798">
        <w:rPr>
          <w:rFonts w:asciiTheme="minorHAnsi" w:hAnsiTheme="minorHAnsi" w:cstheme="minorBidi"/>
          <w:bCs/>
          <w:color w:val="auto"/>
          <w:sz w:val="22"/>
          <w:szCs w:val="22"/>
          <w:lang w:val="en-GB"/>
        </w:rPr>
        <w:t>, we believe that there should be globally harmonised a</w:t>
      </w:r>
      <w:r w:rsidRPr="007F6798">
        <w:rPr>
          <w:rFonts w:asciiTheme="minorHAnsi" w:hAnsiTheme="minorHAnsi" w:cstheme="minorBidi"/>
          <w:bCs/>
          <w:color w:val="auto"/>
          <w:sz w:val="22"/>
          <w:szCs w:val="22"/>
          <w:lang w:val="en-GB"/>
        </w:rPr>
        <w:t>p</w:t>
      </w:r>
      <w:r w:rsidRPr="007F6798">
        <w:rPr>
          <w:rFonts w:asciiTheme="minorHAnsi" w:hAnsiTheme="minorHAnsi" w:cstheme="minorBidi"/>
          <w:bCs/>
          <w:color w:val="auto"/>
          <w:sz w:val="22"/>
          <w:szCs w:val="22"/>
          <w:lang w:val="en-GB"/>
        </w:rPr>
        <w:t>proaches in calculating LIS or block sizes, especially relevant in FX due to the global nature of the market, with at least 75% of the market being traded by market participants across 5 key jurisdictions.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In order to simplify the implementation of a LIS number, we propose that ESMA should look to bucket, per sub-product (e.g., FX forward) as follows: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numPr>
          <w:ilvl w:val="0"/>
          <w:numId w:val="66"/>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Tenor bucket: less than 1 week; 1 week to 3 months; 3 months to 1 year; over 1 year</w:t>
      </w:r>
    </w:p>
    <w:p w:rsidR="00E66E28" w:rsidRPr="007F6798" w:rsidRDefault="00E66E28" w:rsidP="00E66E28">
      <w:pPr>
        <w:pStyle w:val="Default"/>
        <w:ind w:left="720"/>
        <w:rPr>
          <w:rFonts w:asciiTheme="minorHAnsi" w:hAnsiTheme="minorHAnsi" w:cstheme="minorBidi"/>
          <w:bCs/>
          <w:color w:val="auto"/>
          <w:sz w:val="22"/>
          <w:szCs w:val="22"/>
          <w:lang w:val="en-GB"/>
        </w:rPr>
      </w:pPr>
    </w:p>
    <w:p w:rsidR="00E66E28" w:rsidRPr="007F6798" w:rsidRDefault="00E66E28" w:rsidP="00E66E28">
      <w:pPr>
        <w:pStyle w:val="Default"/>
        <w:numPr>
          <w:ilvl w:val="0"/>
          <w:numId w:val="66"/>
        </w:numPr>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CCY buckets: super major (USDEUR, USDJPY, GBPUSD); major (USDCHF, AUDUSD, USDCAD, NZDUSD,GBPEUR, EURJPY); sub-major (USDNOK, USDSEK, USDZAR, USDMXN, USDSGD, USDTRY, USDCNY, EURCHF, EURNOK, GBPJPY)</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Having examined the data in the CP we have noticed 2 trends in the LIS data which we believe are not representative of the FX markets. We suggest that the LIS calculations as they are published are not accurate and should be recalibrated at the earliest instance using accurate and representative data.</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LIS absolute values:</w:t>
      </w:r>
      <w:r w:rsidRPr="007F6798">
        <w:rPr>
          <w:rFonts w:asciiTheme="minorHAnsi" w:hAnsiTheme="minorHAnsi" w:cstheme="minorBidi"/>
          <w:bCs/>
          <w:color w:val="auto"/>
          <w:sz w:val="22"/>
          <w:szCs w:val="22"/>
          <w:lang w:val="en-GB"/>
        </w:rPr>
        <w:t xml:space="preserve">  There are multiple examples where the LIS number is not representative of the market traded, again due to the poor quality of the data used in the assessment.  For instance, USDCOP </w:t>
      </w:r>
      <w:r w:rsidRPr="007F6798">
        <w:rPr>
          <w:rFonts w:asciiTheme="minorHAnsi" w:hAnsiTheme="minorHAnsi" w:cstheme="minorBidi"/>
          <w:bCs/>
          <w:color w:val="auto"/>
          <w:sz w:val="22"/>
          <w:szCs w:val="22"/>
          <w:lang w:val="en-GB"/>
        </w:rPr>
        <w:lastRenderedPageBreak/>
        <w:t>NDFs (4days to 7 days) have a LIS value of EUR 700million and USDCLP (3 months to 6 months) has a LIS value of EUR 175million. Both of these are many multiples greater than the LIS for the most liquid FX currency pairs, such as USDEUR and can be close to or more than the average daily notional amount per day that is stated in the liquidity assessment tables.</w:t>
      </w:r>
    </w:p>
    <w:p w:rsidR="00E66E28" w:rsidRPr="007F6798" w:rsidRDefault="00E66E28" w:rsidP="00E66E28">
      <w:pPr>
        <w:pStyle w:val="Default"/>
        <w:rPr>
          <w:rFonts w:asciiTheme="minorHAnsi" w:hAnsiTheme="minorHAnsi" w:cstheme="minorBidi"/>
          <w:bCs/>
          <w:color w:val="auto"/>
          <w:sz w:val="22"/>
          <w:szCs w:val="22"/>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i/>
          <w:color w:val="auto"/>
          <w:sz w:val="22"/>
          <w:szCs w:val="22"/>
          <w:lang w:val="en-GB"/>
        </w:rPr>
        <w:t>LIS comparative values per currency cross:</w:t>
      </w:r>
      <w:r w:rsidRPr="007F6798">
        <w:rPr>
          <w:rFonts w:asciiTheme="minorHAnsi" w:hAnsiTheme="minorHAnsi" w:cstheme="minorBidi"/>
          <w:bCs/>
          <w:color w:val="auto"/>
          <w:sz w:val="22"/>
          <w:szCs w:val="22"/>
          <w:lang w:val="en-GB"/>
        </w:rPr>
        <w:t xml:space="preserve"> On many of the instruments listed in the FX tables, the value of the LIS </w:t>
      </w:r>
      <w:r w:rsidRPr="007F6798">
        <w:rPr>
          <w:rFonts w:asciiTheme="minorHAnsi" w:hAnsiTheme="minorHAnsi" w:cstheme="minorBidi"/>
          <w:bCs/>
          <w:color w:val="auto"/>
          <w:sz w:val="22"/>
          <w:szCs w:val="22"/>
          <w:u w:val="single"/>
          <w:lang w:val="en-GB"/>
        </w:rPr>
        <w:t>increases</w:t>
      </w:r>
      <w:r w:rsidRPr="007F6798">
        <w:rPr>
          <w:rFonts w:asciiTheme="minorHAnsi" w:hAnsiTheme="minorHAnsi" w:cstheme="minorBidi"/>
          <w:bCs/>
          <w:color w:val="auto"/>
          <w:sz w:val="22"/>
          <w:szCs w:val="22"/>
          <w:lang w:val="en-GB"/>
        </w:rPr>
        <w:t xml:space="preserve"> with tenor.  This is contrary to what is seen in the market.  Generally liquidity peaks around the 3 month tenor and drops off post that, yet there are many examples showing otherwise, e.g., GBPUSD deliverable forwards as per Table 50 of the CP.</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GFXD proposal:</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The GFXD supports a dynamic calibration model, re-calibrating both LIS/SSTI using the financial instr</w:t>
      </w:r>
      <w:r w:rsidRPr="007F6798">
        <w:rPr>
          <w:rFonts w:asciiTheme="minorHAnsi" w:hAnsiTheme="minorHAnsi" w:cs="Arial"/>
          <w:sz w:val="22"/>
          <w:szCs w:val="22"/>
        </w:rPr>
        <w:t>u</w:t>
      </w:r>
      <w:r w:rsidRPr="007F6798">
        <w:rPr>
          <w:rFonts w:asciiTheme="minorHAnsi" w:hAnsiTheme="minorHAnsi" w:cs="Arial"/>
          <w:sz w:val="22"/>
          <w:szCs w:val="22"/>
        </w:rPr>
        <w:t xml:space="preserve">ment classification (proposed below in Figure 12) at the Annex 3.6.1 level.  It is essential that the LIS threshold is appropriately calibrated to ensure that end investors can continue to transact in large trade sizes. Requiring price disclosure of large trades would lead to a widening of bid-offer spreads, which may have a detrimental impact on investors wishing to trade at these large sizes. </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 xml:space="preserve">As we have previous discussed, we are concerned with the quality of the data used in this CP, especially given the known quality issues with EMIR trade reporting.  The GFXD </w:t>
      </w:r>
      <w:r w:rsidRPr="007F6798">
        <w:rPr>
          <w:rFonts w:asciiTheme="minorHAnsi" w:hAnsiTheme="minorHAnsi" w:cs="Arial"/>
          <w:sz w:val="22"/>
          <w:szCs w:val="22"/>
          <w:u w:val="single"/>
        </w:rPr>
        <w:t>partially</w:t>
      </w:r>
      <w:r w:rsidRPr="007F6798">
        <w:rPr>
          <w:rFonts w:asciiTheme="minorHAnsi" w:hAnsiTheme="minorHAnsi" w:cs="Arial"/>
          <w:sz w:val="22"/>
          <w:szCs w:val="22"/>
        </w:rPr>
        <w:t xml:space="preserve"> supports the dynamic model proposed in Option 2, a policy based approach and we believe that this offers the best compr</w:t>
      </w:r>
      <w:r w:rsidRPr="007F6798">
        <w:rPr>
          <w:rFonts w:asciiTheme="minorHAnsi" w:hAnsiTheme="minorHAnsi" w:cs="Arial"/>
          <w:sz w:val="22"/>
          <w:szCs w:val="22"/>
        </w:rPr>
        <w:t>o</w:t>
      </w:r>
      <w:r w:rsidRPr="007F6798">
        <w:rPr>
          <w:rFonts w:asciiTheme="minorHAnsi" w:hAnsiTheme="minorHAnsi" w:cs="Arial"/>
          <w:sz w:val="22"/>
          <w:szCs w:val="22"/>
        </w:rPr>
        <w:t>mise given global (US, CFTC) transparency obligations.</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For 2018 onwards, we propose the following for FX:</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numPr>
          <w:ilvl w:val="0"/>
          <w:numId w:val="47"/>
        </w:numPr>
        <w:spacing w:after="120"/>
        <w:rPr>
          <w:rFonts w:asciiTheme="minorHAnsi" w:hAnsiTheme="minorHAnsi" w:cs="Arial"/>
          <w:sz w:val="22"/>
          <w:szCs w:val="22"/>
        </w:rPr>
      </w:pPr>
      <w:r w:rsidRPr="007F6798">
        <w:rPr>
          <w:rFonts w:asciiTheme="minorHAnsi" w:hAnsiTheme="minorHAnsi" w:cs="Arial"/>
          <w:sz w:val="22"/>
          <w:szCs w:val="22"/>
        </w:rPr>
        <w:t xml:space="preserve">Pre trade: LIS threshold so that either 50% of the trades would lie below the threshold </w:t>
      </w:r>
      <w:r w:rsidRPr="007F6798">
        <w:rPr>
          <w:rFonts w:asciiTheme="minorHAnsi" w:hAnsiTheme="minorHAnsi" w:cs="Arial"/>
          <w:sz w:val="22"/>
          <w:szCs w:val="22"/>
          <w:u w:val="single"/>
        </w:rPr>
        <w:t>or</w:t>
      </w:r>
      <w:r w:rsidRPr="007F6798">
        <w:rPr>
          <w:rFonts w:asciiTheme="minorHAnsi" w:hAnsiTheme="minorHAnsi" w:cs="Arial"/>
          <w:sz w:val="22"/>
          <w:szCs w:val="22"/>
        </w:rPr>
        <w:t xml:space="preserve"> 30% of the total volume traded for that sub-class would lie below the threshold </w:t>
      </w:r>
    </w:p>
    <w:p w:rsidR="00E66E28" w:rsidRPr="007F6798" w:rsidRDefault="00E66E28" w:rsidP="00E66E28">
      <w:pPr>
        <w:pStyle w:val="ListParagraph"/>
        <w:spacing w:after="120"/>
        <w:rPr>
          <w:rFonts w:asciiTheme="minorHAnsi" w:hAnsiTheme="minorHAnsi" w:cs="Arial"/>
          <w:sz w:val="22"/>
          <w:szCs w:val="22"/>
        </w:rPr>
      </w:pPr>
    </w:p>
    <w:p w:rsidR="00E66E28" w:rsidRPr="007F6798" w:rsidRDefault="00E66E28" w:rsidP="00E66E28">
      <w:pPr>
        <w:pStyle w:val="ListParagraph"/>
        <w:numPr>
          <w:ilvl w:val="0"/>
          <w:numId w:val="47"/>
        </w:numPr>
        <w:spacing w:after="120"/>
        <w:rPr>
          <w:rFonts w:asciiTheme="minorHAnsi" w:hAnsiTheme="minorHAnsi" w:cs="Arial"/>
          <w:sz w:val="22"/>
          <w:szCs w:val="22"/>
        </w:rPr>
      </w:pPr>
      <w:r w:rsidRPr="007F6798">
        <w:rPr>
          <w:rFonts w:asciiTheme="minorHAnsi" w:hAnsiTheme="minorHAnsi" w:cs="Arial"/>
          <w:sz w:val="22"/>
          <w:szCs w:val="22"/>
        </w:rPr>
        <w:t>Post trade: LIS of 65% of the total volume traded for that sub-class would lie below the threshold</w:t>
      </w:r>
    </w:p>
    <w:p w:rsidR="00E66E28" w:rsidRPr="007F6798" w:rsidRDefault="00E66E28" w:rsidP="00E66E28">
      <w:pPr>
        <w:pStyle w:val="ListParagraph"/>
        <w:spacing w:after="120"/>
        <w:rPr>
          <w:rFonts w:asciiTheme="minorHAnsi" w:hAnsiTheme="minorHAnsi" w:cs="Arial"/>
          <w:sz w:val="22"/>
          <w:szCs w:val="22"/>
        </w:rPr>
      </w:pPr>
    </w:p>
    <w:p w:rsidR="00E66E28" w:rsidRPr="007F6798" w:rsidRDefault="00E66E28" w:rsidP="00E66E28">
      <w:pPr>
        <w:pStyle w:val="ListParagraph"/>
        <w:numPr>
          <w:ilvl w:val="0"/>
          <w:numId w:val="47"/>
        </w:numPr>
        <w:spacing w:after="120"/>
        <w:rPr>
          <w:rFonts w:asciiTheme="minorHAnsi" w:hAnsiTheme="minorHAnsi" w:cs="Arial"/>
          <w:sz w:val="22"/>
          <w:szCs w:val="22"/>
        </w:rPr>
      </w:pPr>
      <w:r w:rsidRPr="007F6798">
        <w:rPr>
          <w:rFonts w:asciiTheme="minorHAnsi" w:hAnsiTheme="minorHAnsi" w:cs="Arial"/>
          <w:sz w:val="22"/>
          <w:szCs w:val="22"/>
        </w:rPr>
        <w:t>We disagree with ESMA’s proposal to include a ‘floor’ in Option 2. In our view, this goes beyond the Level 1 requirements</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The above approach enables the FX market to be policy aligned across jurisdictions and we believe that the dynamic model proposed in Option 2 offers synergy with the CFTC approach where a similar policy based approach is used.  However, we would like to clarify that whilst US transparency obligations have been calculated in a similar fashion to the above recommendation, trade data has yet to be analyzed with updated LIS (block) numbers being provided to the market.  The FX market is currently reporting based on historical futures data rather than the latest data obtained from the CFTC SDR reporting and as such we are not able to accurately predict the impact on the markets if such an approach is adopted in practice.</w:t>
      </w:r>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We believe that accurate and reflective trade data should be collated and that this should be used to calibrate the LIS number, accommodating the larger risks faced by participants when complying with pre-trade obligations (see previous comments). We believe that use of a floor in 2017 essentially provides flexibility in the near term to compensate for the know</w:t>
      </w:r>
      <w:r w:rsidR="008754FC">
        <w:rPr>
          <w:rFonts w:asciiTheme="minorHAnsi" w:hAnsiTheme="minorHAnsi" w:cs="Arial"/>
          <w:sz w:val="22"/>
          <w:szCs w:val="22"/>
        </w:rPr>
        <w:t>n</w:t>
      </w:r>
      <w:r w:rsidRPr="007F6798">
        <w:rPr>
          <w:rFonts w:asciiTheme="minorHAnsi" w:hAnsiTheme="minorHAnsi" w:cs="Arial"/>
          <w:sz w:val="22"/>
          <w:szCs w:val="22"/>
        </w:rPr>
        <w:t xml:space="preserve"> inaccuracies of EMIR trade reporting.  We also believe that ESMA should correct its proposed rounding method which systematically rounds the LIS and SSTI thresholds higher. Instead, ESMA should adopt simple mathematical rounding to the nearest round </w:t>
      </w:r>
      <w:r w:rsidRPr="007F6798">
        <w:rPr>
          <w:rFonts w:asciiTheme="minorHAnsi" w:hAnsiTheme="minorHAnsi" w:cs="Arial"/>
          <w:sz w:val="22"/>
          <w:szCs w:val="22"/>
        </w:rPr>
        <w:lastRenderedPageBreak/>
        <w:t>number. In other words, Paragraph 3 of Article 11 of RTS 9 should be amended to “The threshold dete</w:t>
      </w:r>
      <w:r w:rsidRPr="007F6798">
        <w:rPr>
          <w:rFonts w:asciiTheme="minorHAnsi" w:hAnsiTheme="minorHAnsi" w:cs="Arial"/>
          <w:sz w:val="22"/>
          <w:szCs w:val="22"/>
        </w:rPr>
        <w:t>r</w:t>
      </w:r>
      <w:r w:rsidRPr="007F6798">
        <w:rPr>
          <w:rFonts w:asciiTheme="minorHAnsi" w:hAnsiTheme="minorHAnsi" w:cs="Arial"/>
          <w:sz w:val="22"/>
          <w:szCs w:val="22"/>
        </w:rPr>
        <w:t xml:space="preserve">mined in accordance to paragraph (2) shall be rounded to the next </w:t>
      </w:r>
      <w:r w:rsidRPr="007F6798">
        <w:rPr>
          <w:rFonts w:asciiTheme="minorHAnsi" w:hAnsiTheme="minorHAnsi" w:cs="Arial"/>
          <w:sz w:val="22"/>
          <w:szCs w:val="22"/>
          <w:u w:val="single"/>
        </w:rPr>
        <w:t>nearest</w:t>
      </w:r>
      <w:r w:rsidRPr="007F6798">
        <w:rPr>
          <w:rFonts w:asciiTheme="minorHAnsi" w:hAnsiTheme="minorHAnsi" w:cs="Arial"/>
          <w:sz w:val="22"/>
          <w:szCs w:val="22"/>
        </w:rPr>
        <w:t>:</w:t>
      </w:r>
      <w:proofErr w:type="gramStart"/>
      <w:r w:rsidRPr="007F6798">
        <w:rPr>
          <w:rFonts w:asciiTheme="minorHAnsi" w:hAnsiTheme="minorHAnsi" w:cs="Arial"/>
          <w:sz w:val="22"/>
          <w:szCs w:val="22"/>
        </w:rPr>
        <w:t>”.</w:t>
      </w:r>
      <w:proofErr w:type="gramEnd"/>
    </w:p>
    <w:p w:rsidR="00E66E28" w:rsidRPr="007F6798" w:rsidRDefault="00E66E28" w:rsidP="00E66E28">
      <w:pPr>
        <w:pStyle w:val="ListParagraph"/>
        <w:spacing w:after="120"/>
        <w:ind w:left="0"/>
        <w:rPr>
          <w:rFonts w:asciiTheme="minorHAnsi" w:hAnsiTheme="minorHAnsi" w:cs="Arial"/>
          <w:sz w:val="22"/>
          <w:szCs w:val="22"/>
        </w:rPr>
      </w:pPr>
    </w:p>
    <w:p w:rsidR="00E66E28" w:rsidRPr="007F6798" w:rsidRDefault="00E66E28" w:rsidP="00E66E28">
      <w:pPr>
        <w:pStyle w:val="ListParagraph"/>
        <w:spacing w:after="120"/>
        <w:ind w:left="0"/>
        <w:rPr>
          <w:rFonts w:asciiTheme="minorHAnsi" w:hAnsiTheme="minorHAnsi" w:cs="Arial"/>
          <w:sz w:val="22"/>
          <w:szCs w:val="22"/>
        </w:rPr>
      </w:pPr>
      <w:r w:rsidRPr="007F6798">
        <w:rPr>
          <w:rFonts w:asciiTheme="minorHAnsi" w:hAnsiTheme="minorHAnsi" w:cs="Arial"/>
          <w:sz w:val="22"/>
          <w:szCs w:val="22"/>
        </w:rPr>
        <w:t>Finally, we believe that thresholds should be applied at Annex 3.6.1 level, included below (with GFXD recommended amendments) in Figure 12.</w:t>
      </w:r>
    </w:p>
    <w:p w:rsidR="008E13F7" w:rsidRPr="007F6798" w:rsidRDefault="008E13F7" w:rsidP="00E66E28">
      <w:pPr>
        <w:pStyle w:val="Default"/>
        <w:rPr>
          <w:rFonts w:asciiTheme="minorHAnsi" w:hAnsiTheme="minorHAnsi" w:cstheme="minorBidi"/>
          <w:bCs/>
          <w:color w:val="auto"/>
          <w:sz w:val="22"/>
          <w:szCs w:val="22"/>
          <w:u w:val="single"/>
          <w:lang w:val="en-GB"/>
        </w:rPr>
      </w:pPr>
    </w:p>
    <w:p w:rsidR="00E66E28" w:rsidRPr="007F6798" w:rsidRDefault="00E66E28" w:rsidP="00E66E28">
      <w:pPr>
        <w:pStyle w:val="Default"/>
        <w:rPr>
          <w:rFonts w:asciiTheme="minorHAnsi" w:hAnsiTheme="minorHAnsi" w:cstheme="minorBidi"/>
          <w:bCs/>
          <w:color w:val="auto"/>
          <w:sz w:val="22"/>
          <w:szCs w:val="22"/>
          <w:u w:val="single"/>
          <w:lang w:val="en-GB"/>
        </w:rPr>
      </w:pPr>
      <w:r w:rsidRPr="007F6798">
        <w:rPr>
          <w:rFonts w:asciiTheme="minorHAnsi" w:hAnsiTheme="minorHAnsi" w:cstheme="minorBidi"/>
          <w:bCs/>
          <w:color w:val="auto"/>
          <w:sz w:val="22"/>
          <w:szCs w:val="22"/>
          <w:u w:val="single"/>
          <w:lang w:val="en-GB"/>
        </w:rPr>
        <w:t>Figure 12: GFXD proposal for Annex 3.6.1 defining FX instrument categorization under MiFIR</w:t>
      </w:r>
    </w:p>
    <w:p w:rsidR="00E66E28" w:rsidRPr="007F6798" w:rsidRDefault="00E66E28" w:rsidP="00E66E28">
      <w:pPr>
        <w:pStyle w:val="Default"/>
        <w:rPr>
          <w:rFonts w:asciiTheme="minorHAnsi" w:hAnsiTheme="minorHAnsi" w:cstheme="minorBidi"/>
          <w:bCs/>
          <w:color w:val="auto"/>
          <w:sz w:val="22"/>
          <w:szCs w:val="22"/>
          <w:lang w:val="en-GB"/>
        </w:rPr>
      </w:pPr>
    </w:p>
    <w:tbl>
      <w:tblPr>
        <w:tblW w:w="10220" w:type="dxa"/>
        <w:tblInd w:w="91" w:type="dxa"/>
        <w:tblLook w:val="04A0"/>
      </w:tblPr>
      <w:tblGrid>
        <w:gridCol w:w="2760"/>
        <w:gridCol w:w="1500"/>
        <w:gridCol w:w="1940"/>
        <w:gridCol w:w="4020"/>
      </w:tblGrid>
      <w:tr w:rsidR="00E66E28" w:rsidRPr="007F6798" w:rsidTr="00233471">
        <w:trPr>
          <w:trHeight w:val="315"/>
        </w:trPr>
        <w:tc>
          <w:tcPr>
            <w:tcW w:w="27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Financial Instrument</w:t>
            </w:r>
          </w:p>
        </w:tc>
        <w:tc>
          <w:tcPr>
            <w:tcW w:w="1500" w:type="dxa"/>
            <w:tcBorders>
              <w:top w:val="single" w:sz="8" w:space="0" w:color="auto"/>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Product Types</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Sub-Product Types</w:t>
            </w:r>
          </w:p>
        </w:tc>
        <w:tc>
          <w:tcPr>
            <w:tcW w:w="4020" w:type="dxa"/>
            <w:tcBorders>
              <w:top w:val="single" w:sz="8" w:space="0" w:color="auto"/>
              <w:left w:val="nil"/>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b/>
                <w:bCs/>
                <w:color w:val="000000"/>
                <w:sz w:val="22"/>
                <w:szCs w:val="22"/>
              </w:rPr>
            </w:pPr>
            <w:r w:rsidRPr="007F6798">
              <w:rPr>
                <w:rFonts w:asciiTheme="minorHAnsi" w:hAnsiTheme="minorHAnsi"/>
                <w:b/>
                <w:bCs/>
                <w:color w:val="000000"/>
                <w:sz w:val="22"/>
                <w:szCs w:val="22"/>
              </w:rPr>
              <w:t>Recommended Liquidity sub-categories</w:t>
            </w:r>
          </w:p>
        </w:tc>
      </w:tr>
      <w:tr w:rsidR="00E66E28" w:rsidRPr="007F6798" w:rsidTr="00233471">
        <w:trPr>
          <w:trHeight w:val="315"/>
        </w:trPr>
        <w:tc>
          <w:tcPr>
            <w:tcW w:w="27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Foreign Exchange Deriv</w:t>
            </w:r>
            <w:r w:rsidRPr="007F6798">
              <w:rPr>
                <w:rFonts w:asciiTheme="minorHAnsi" w:hAnsiTheme="minorHAnsi"/>
                <w:color w:val="000000"/>
                <w:sz w:val="22"/>
                <w:szCs w:val="22"/>
              </w:rPr>
              <w:t>a</w:t>
            </w:r>
            <w:r w:rsidRPr="007F6798">
              <w:rPr>
                <w:rFonts w:asciiTheme="minorHAnsi" w:hAnsiTheme="minorHAnsi"/>
                <w:color w:val="000000"/>
                <w:sz w:val="22"/>
                <w:szCs w:val="22"/>
              </w:rPr>
              <w:t>tives</w:t>
            </w:r>
          </w:p>
        </w:tc>
        <w:tc>
          <w:tcPr>
            <w:tcW w:w="1500" w:type="dxa"/>
            <w:tcBorders>
              <w:top w:val="nil"/>
              <w:left w:val="nil"/>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Futures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N/A</w:t>
            </w:r>
          </w:p>
        </w:tc>
        <w:tc>
          <w:tcPr>
            <w:tcW w:w="4020" w:type="dxa"/>
            <w:tcBorders>
              <w:top w:val="single" w:sz="8" w:space="0" w:color="auto"/>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18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Options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Non-Deliverable Option - NDO (only European type options are NDO - not any other FX options settled in non-deliverable currency)</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Currency Pair</w:t>
            </w:r>
          </w:p>
        </w:tc>
      </w:tr>
      <w:tr w:rsidR="00E66E28" w:rsidRPr="007F6798" w:rsidTr="00233471">
        <w:trPr>
          <w:trHeight w:val="690"/>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Vanilla Option (European and American)</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Maturity</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Forwards</w:t>
            </w: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Deliverable Fo</w:t>
            </w:r>
            <w:r w:rsidRPr="007F6798">
              <w:rPr>
                <w:rFonts w:asciiTheme="minorHAnsi" w:hAnsiTheme="minorHAnsi"/>
                <w:color w:val="000000"/>
                <w:sz w:val="22"/>
                <w:szCs w:val="22"/>
              </w:rPr>
              <w:t>r</w:t>
            </w:r>
            <w:r w:rsidRPr="007F6798">
              <w:rPr>
                <w:rFonts w:asciiTheme="minorHAnsi" w:hAnsiTheme="minorHAnsi"/>
                <w:color w:val="000000"/>
                <w:sz w:val="22"/>
                <w:szCs w:val="22"/>
              </w:rPr>
              <w:t>ward</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NDF</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FX Swaps</w:t>
            </w: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00"/>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Non-Deliverable FX Swap</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46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Others</w:t>
            </w: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Simple exotic (Barrier &amp; Digital)</w:t>
            </w:r>
          </w:p>
        </w:tc>
        <w:tc>
          <w:tcPr>
            <w:tcW w:w="4020" w:type="dxa"/>
            <w:tcBorders>
              <w:top w:val="nil"/>
              <w:left w:val="single" w:sz="8" w:space="0" w:color="auto"/>
              <w:bottom w:val="nil"/>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r w:rsidR="00E66E28" w:rsidRPr="007F6798" w:rsidTr="00233471">
        <w:trPr>
          <w:trHeight w:val="315"/>
        </w:trPr>
        <w:tc>
          <w:tcPr>
            <w:tcW w:w="276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500" w:type="dxa"/>
            <w:vMerge/>
            <w:tcBorders>
              <w:top w:val="nil"/>
              <w:left w:val="single" w:sz="8" w:space="0" w:color="auto"/>
              <w:bottom w:val="single" w:sz="8" w:space="0" w:color="000000"/>
              <w:right w:val="single" w:sz="8" w:space="0" w:color="auto"/>
            </w:tcBorders>
            <w:vAlign w:val="center"/>
            <w:hideMark/>
          </w:tcPr>
          <w:p w:rsidR="00E66E28" w:rsidRPr="007F6798" w:rsidRDefault="00E66E28" w:rsidP="00233471">
            <w:pPr>
              <w:rPr>
                <w:rFonts w:asciiTheme="minorHAnsi" w:hAnsiTheme="minorHAnsi"/>
                <w:color w:val="000000"/>
                <w:sz w:val="22"/>
                <w:szCs w:val="22"/>
              </w:rPr>
            </w:pPr>
          </w:p>
        </w:tc>
        <w:tc>
          <w:tcPr>
            <w:tcW w:w="1940" w:type="dxa"/>
            <w:tcBorders>
              <w:top w:val="nil"/>
              <w:left w:val="nil"/>
              <w:bottom w:val="single" w:sz="8" w:space="0" w:color="auto"/>
              <w:right w:val="nil"/>
            </w:tcBorders>
            <w:shd w:val="clear" w:color="000000" w:fill="FFFFFF"/>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Complex Exotic</w:t>
            </w:r>
          </w:p>
        </w:tc>
        <w:tc>
          <w:tcPr>
            <w:tcW w:w="4020" w:type="dxa"/>
            <w:tcBorders>
              <w:top w:val="nil"/>
              <w:left w:val="single" w:sz="8" w:space="0" w:color="auto"/>
              <w:bottom w:val="single" w:sz="8" w:space="0" w:color="auto"/>
              <w:right w:val="single" w:sz="8" w:space="0" w:color="auto"/>
            </w:tcBorders>
            <w:shd w:val="clear" w:color="000000" w:fill="FFFFFF"/>
            <w:noWrap/>
            <w:vAlign w:val="center"/>
            <w:hideMark/>
          </w:tcPr>
          <w:p w:rsidR="00E66E28" w:rsidRPr="007F6798" w:rsidRDefault="00E66E28" w:rsidP="00233471">
            <w:pPr>
              <w:rPr>
                <w:rFonts w:asciiTheme="minorHAnsi" w:hAnsiTheme="minorHAnsi"/>
                <w:color w:val="000000"/>
                <w:sz w:val="22"/>
                <w:szCs w:val="22"/>
              </w:rPr>
            </w:pPr>
            <w:r w:rsidRPr="007F6798">
              <w:rPr>
                <w:rFonts w:asciiTheme="minorHAnsi" w:hAnsiTheme="minorHAnsi"/>
                <w:color w:val="000000"/>
                <w:sz w:val="22"/>
                <w:szCs w:val="22"/>
              </w:rPr>
              <w:t> </w:t>
            </w:r>
          </w:p>
        </w:tc>
      </w:tr>
    </w:tbl>
    <w:p w:rsidR="008E13F7" w:rsidRPr="007F6798" w:rsidRDefault="008E13F7" w:rsidP="00E66E28">
      <w:pPr>
        <w:pStyle w:val="Default"/>
        <w:rPr>
          <w:rFonts w:asciiTheme="minorHAnsi" w:hAnsiTheme="minorHAnsi" w:cstheme="minorBidi"/>
          <w:bCs/>
          <w:color w:val="auto"/>
          <w:sz w:val="22"/>
          <w:szCs w:val="22"/>
          <w:u w:val="single"/>
          <w:lang w:val="en-GB"/>
        </w:rPr>
      </w:pPr>
    </w:p>
    <w:p w:rsidR="00E66E28" w:rsidRPr="007F6798" w:rsidRDefault="00E66E28" w:rsidP="00E66E28">
      <w:pPr>
        <w:pStyle w:val="Default"/>
        <w:rPr>
          <w:rFonts w:asciiTheme="minorHAnsi" w:hAnsiTheme="minorHAnsi"/>
          <w:b/>
          <w:bCs/>
          <w:sz w:val="22"/>
          <w:szCs w:val="22"/>
          <w:lang w:val="en-GB"/>
        </w:rPr>
      </w:pPr>
    </w:p>
    <w:p w:rsidR="00E66E28" w:rsidRPr="007F6798" w:rsidRDefault="00E66E28" w:rsidP="00E66E28">
      <w:pPr>
        <w:pStyle w:val="Default"/>
        <w:rPr>
          <w:rFonts w:asciiTheme="minorHAnsi" w:hAnsiTheme="minorHAnsi"/>
          <w:b/>
          <w:bCs/>
          <w:sz w:val="22"/>
          <w:szCs w:val="22"/>
          <w:lang w:val="en-GB"/>
        </w:rPr>
      </w:pPr>
      <w:r w:rsidRPr="007F6798">
        <w:rPr>
          <w:rFonts w:asciiTheme="minorHAnsi" w:hAnsiTheme="minorHAnsi"/>
          <w:b/>
          <w:bCs/>
          <w:sz w:val="22"/>
          <w:szCs w:val="22"/>
          <w:lang w:val="en-GB"/>
        </w:rPr>
        <w:t xml:space="preserve">6) </w:t>
      </w:r>
      <w:proofErr w:type="gramStart"/>
      <w:r w:rsidRPr="007F6798">
        <w:rPr>
          <w:rFonts w:asciiTheme="minorHAnsi" w:hAnsiTheme="minorHAnsi"/>
          <w:b/>
          <w:bCs/>
          <w:sz w:val="22"/>
          <w:szCs w:val="22"/>
          <w:lang w:val="en-GB"/>
        </w:rPr>
        <w:t>for</w:t>
      </w:r>
      <w:proofErr w:type="gramEnd"/>
      <w:r w:rsidRPr="007F6798">
        <w:rPr>
          <w:rFonts w:asciiTheme="minorHAnsi" w:hAnsiTheme="minorHAnsi"/>
          <w:b/>
          <w:bCs/>
          <w:sz w:val="22"/>
          <w:szCs w:val="22"/>
          <w:lang w:val="en-GB"/>
        </w:rPr>
        <w:t xml:space="preserve"> non-deliverable forwards (NDF) and spread betting contracts only: express your preference for either “Alternative A” or “Alternative B”.</w:t>
      </w:r>
    </w:p>
    <w:p w:rsidR="00E66E28" w:rsidRPr="007F6798" w:rsidRDefault="00E66E28" w:rsidP="00E66E28">
      <w:pPr>
        <w:pStyle w:val="Default"/>
        <w:rPr>
          <w:rFonts w:asciiTheme="minorHAnsi" w:hAnsiTheme="minorHAnsi" w:cstheme="minorBidi"/>
          <w:bCs/>
          <w:color w:val="auto"/>
          <w:sz w:val="22"/>
          <w:szCs w:val="22"/>
          <w:u w:val="single"/>
          <w:lang w:val="en-GB"/>
        </w:rPr>
      </w:pPr>
    </w:p>
    <w:p w:rsidR="00E66E28" w:rsidRPr="007F6798" w:rsidRDefault="00E66E28" w:rsidP="00E66E28">
      <w:pPr>
        <w:pStyle w:val="Default"/>
        <w:rPr>
          <w:rFonts w:asciiTheme="minorHAnsi" w:hAnsiTheme="minorHAnsi" w:cstheme="minorBidi"/>
          <w:bCs/>
          <w:color w:val="auto"/>
          <w:sz w:val="22"/>
          <w:szCs w:val="22"/>
          <w:lang w:val="en-GB"/>
        </w:rPr>
      </w:pPr>
      <w:r w:rsidRPr="007F6798">
        <w:rPr>
          <w:rFonts w:asciiTheme="minorHAnsi" w:hAnsiTheme="minorHAnsi" w:cstheme="minorBidi"/>
          <w:bCs/>
          <w:color w:val="auto"/>
          <w:sz w:val="22"/>
          <w:szCs w:val="22"/>
          <w:lang w:val="en-GB"/>
        </w:rPr>
        <w:t>The GFXD agrees with Alternative B.</w:t>
      </w:r>
    </w:p>
    <w:p w:rsidR="008E13F7" w:rsidRPr="00BA6497" w:rsidRDefault="008E13F7" w:rsidP="00E66E28">
      <w:pPr>
        <w:pStyle w:val="Default"/>
        <w:rPr>
          <w:rFonts w:asciiTheme="minorHAnsi" w:hAnsiTheme="minorHAnsi" w:cstheme="minorBidi"/>
          <w:bCs/>
          <w:color w:val="auto"/>
          <w:sz w:val="22"/>
          <w:szCs w:val="22"/>
          <w:lang w:val="en-GB"/>
        </w:rPr>
      </w:pPr>
    </w:p>
    <w:permEnd w:id="11"/>
    <w:p w:rsidR="00A8728B" w:rsidRDefault="00A8728B" w:rsidP="00A8728B">
      <w:r>
        <w:t>&lt;ESMA_QUESTION_MIFID_ADD_2&gt;</w:t>
      </w:r>
    </w:p>
    <w:p w:rsidR="00A8728B" w:rsidRPr="00B62727" w:rsidRDefault="00A8728B" w:rsidP="00A8728B">
      <w:pPr>
        <w:pStyle w:val="CPQuestions"/>
        <w:ind w:left="714" w:hanging="357"/>
      </w:pPr>
      <w:r w:rsidRPr="00C24BCA">
        <w:t>Which is your preferred option for the definition of a liquid market of single name CDS? Please provide an answer detailed</w:t>
      </w:r>
      <w:r w:rsidRPr="00B62727">
        <w:t xml:space="preserve"> per underlying </w:t>
      </w:r>
      <w:r>
        <w:t xml:space="preserve">issuer type </w:t>
      </w:r>
      <w:r w:rsidRPr="00B62727">
        <w:t>identified</w:t>
      </w:r>
      <w:r>
        <w:t xml:space="preserve"> (sovereign and corporate)</w:t>
      </w:r>
      <w:r w:rsidRPr="00B62727">
        <w:t xml:space="preserve">, addressing the following points: </w:t>
      </w:r>
    </w:p>
    <w:p w:rsidR="00A8728B" w:rsidRPr="00B62727" w:rsidRDefault="00A8728B" w:rsidP="00566C6A">
      <w:pPr>
        <w:pStyle w:val="CPQuest2"/>
        <w:numPr>
          <w:ilvl w:val="0"/>
          <w:numId w:val="38"/>
        </w:numPr>
      </w:pPr>
      <w:r w:rsidRPr="00B62727">
        <w:t>Would you use different qualitative criteria to define the sub-classes?</w:t>
      </w:r>
    </w:p>
    <w:p w:rsidR="00A8728B" w:rsidRPr="00B62727" w:rsidRDefault="00A8728B" w:rsidP="00566C6A">
      <w:pPr>
        <w:pStyle w:val="CPQuest2"/>
      </w:pPr>
      <w:r w:rsidRPr="00B62727">
        <w:lastRenderedPageBreak/>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&lt;ESMA_QUESTION_MIFID_ADD_3&gt;</w:t>
      </w:r>
    </w:p>
    <w:p w:rsidR="00A8728B" w:rsidRDefault="00A8728B" w:rsidP="00A8728B">
      <w:permStart w:id="12" w:edGrp="everyone"/>
      <w:r>
        <w:t>TYPE YOUR TEXT HERE</w:t>
      </w:r>
    </w:p>
    <w:permEnd w:id="12"/>
    <w:p w:rsidR="00A8728B" w:rsidRDefault="00A8728B" w:rsidP="00A8728B">
      <w:r>
        <w:t>&lt;ESMA_QUESTION_MIFID_ADD_3&gt;</w:t>
      </w:r>
    </w:p>
    <w:p w:rsidR="00A8728B" w:rsidRPr="00B62727" w:rsidRDefault="00A8728B" w:rsidP="00A8728B">
      <w:pPr>
        <w:pStyle w:val="CPQuestions"/>
        <w:ind w:left="714" w:hanging="357"/>
      </w:pPr>
      <w:r>
        <w:t>For all the other classes (CDS Index, Bespoke basket CDS, CDS index options and Single name CDS options): d</w:t>
      </w:r>
      <w:r w:rsidRPr="00B62727">
        <w:t>o you agree with ESMA’s proposal for the definition of a liquid market? Please provide an answer detailed per contract type</w:t>
      </w:r>
      <w:r>
        <w:t xml:space="preserve"> (CDS and </w:t>
      </w:r>
      <w:r w:rsidRPr="00D10A1C">
        <w:t>CDS options</w:t>
      </w:r>
      <w:r>
        <w:t>)</w:t>
      </w:r>
      <w:r w:rsidRPr="00B62727">
        <w:t xml:space="preserve">, underlying type </w:t>
      </w:r>
      <w:r>
        <w:t xml:space="preserve">(index, single name, bespoke basket) </w:t>
      </w:r>
      <w:r w:rsidRPr="00B62727">
        <w:t>and underl</w:t>
      </w:r>
      <w:r w:rsidRPr="00B62727">
        <w:t>y</w:t>
      </w:r>
      <w:r w:rsidRPr="00B62727">
        <w:t xml:space="preserve">ing identified, addressing the following points: </w:t>
      </w:r>
    </w:p>
    <w:p w:rsidR="00A8728B" w:rsidRPr="00B62727" w:rsidRDefault="00A8728B" w:rsidP="00566C6A">
      <w:pPr>
        <w:pStyle w:val="CPQuest2"/>
        <w:numPr>
          <w:ilvl w:val="0"/>
          <w:numId w:val="39"/>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&lt;ESMA_QUESTION_MIFID_ADD_4&gt;</w:t>
      </w:r>
    </w:p>
    <w:p w:rsidR="00A8728B" w:rsidRDefault="00A8728B" w:rsidP="00A8728B">
      <w:permStart w:id="13" w:edGrp="everyone"/>
      <w:r>
        <w:t>TYPE YOUR TEXT HERE</w:t>
      </w:r>
    </w:p>
    <w:permEnd w:id="13"/>
    <w:p w:rsidR="00A8728B" w:rsidRDefault="00A8728B" w:rsidP="00A8728B">
      <w:r>
        <w:t>&lt;ESMA_QUESTION_MIFID_ADD_4&gt;</w:t>
      </w:r>
    </w:p>
    <w:p w:rsidR="00A8728B" w:rsidRPr="00C24BCA" w:rsidRDefault="00A8728B" w:rsidP="00A8728B">
      <w:pPr>
        <w:pStyle w:val="CPQuestions"/>
        <w:ind w:left="714" w:hanging="357"/>
      </w:pPr>
      <w:r w:rsidRPr="00C24BCA">
        <w:t>Do you agree with ESMA’s proposal for credit derivatives? Please specify, for each sub-class (single name CDS, CDS index, bespoke basket CDS, single name CDS options, CDS index options) if you agree on the following points providing reasons for your answer and, if you disagree providing ESMA with your alternative pr</w:t>
      </w:r>
      <w:r w:rsidRPr="00C24BCA">
        <w:t>o</w:t>
      </w:r>
      <w:r w:rsidRPr="00C24BCA">
        <w:t xml:space="preserve">posal: </w:t>
      </w:r>
    </w:p>
    <w:p w:rsidR="00A8728B" w:rsidRPr="00C24BCA" w:rsidRDefault="00A8728B" w:rsidP="00566C6A">
      <w:pPr>
        <w:pStyle w:val="CPQuest2"/>
        <w:numPr>
          <w:ilvl w:val="0"/>
          <w:numId w:val="40"/>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B62727" w:rsidRDefault="00A8728B" w:rsidP="00566C6A">
      <w:pPr>
        <w:pStyle w:val="CPQuest2"/>
      </w:pPr>
      <w:r w:rsidRPr="00B62727">
        <w:t xml:space="preserve">large in scale thresholds: (a) state your preference for the system to set the thresholds (i.e. annual recalculation of the thresholds vs. no recalculation of the thresholds) (b) in the case of a preference for a system with no recalculation (i.e. </w:t>
      </w:r>
      <w:r w:rsidRPr="00B62727">
        <w:lastRenderedPageBreak/>
        <w:t>option 1), provide feedback on the thresholds determined. In the case of a prefe</w:t>
      </w:r>
      <w:r w:rsidRPr="00B62727">
        <w:t>r</w:t>
      </w:r>
      <w:r w:rsidRPr="00B62727">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r>
        <w:t>.</w:t>
      </w:r>
    </w:p>
    <w:p w:rsidR="00A8728B" w:rsidRDefault="00A8728B" w:rsidP="00A8728B">
      <w:r>
        <w:t>&lt;ESMA_QUESTION_MIFID_ADD_5&gt;</w:t>
      </w:r>
    </w:p>
    <w:p w:rsidR="00A8728B" w:rsidRDefault="00A8728B" w:rsidP="00A8728B">
      <w:permStart w:id="14" w:edGrp="everyone"/>
      <w:r>
        <w:t>TYPE YOUR TEXT HERE</w:t>
      </w:r>
    </w:p>
    <w:permEnd w:id="14"/>
    <w:p w:rsidR="00A8728B" w:rsidRDefault="00A8728B" w:rsidP="00A8728B">
      <w:r>
        <w:t>&lt;ESMA_QUESTION_MIFID_ADD_5&gt;</w:t>
      </w:r>
    </w:p>
    <w:p w:rsidR="00A8728B" w:rsidRDefault="00A8728B" w:rsidP="00A8728B">
      <w:pPr>
        <w:pStyle w:val="CPQuestions"/>
        <w:ind w:left="714" w:hanging="357"/>
      </w:pPr>
      <w:r>
        <w:t>D</w:t>
      </w:r>
      <w:r w:rsidRPr="00B62727">
        <w:t xml:space="preserve">o you agree with ESMA’s proposal for the definition of a liquid market? Please provide an answer detailed per </w:t>
      </w:r>
      <w:r>
        <w:t xml:space="preserve">class of derivatives (freight derivatives, emissions derivatives, weather derivatives and other exotic derivatives) and contract type identified (options, futures, forwards, swaps, others). If you do not agree with ESMA’s proposal for the definition of a liquid market, please specify </w:t>
      </w:r>
      <w:r w:rsidRPr="00B62727">
        <w:t xml:space="preserve">per </w:t>
      </w:r>
      <w:r>
        <w:t>class of derivatives</w:t>
      </w:r>
      <w:r w:rsidRPr="007E46F4">
        <w:t xml:space="preserve"> </w:t>
      </w:r>
      <w:r>
        <w:t>and contract type identified:</w:t>
      </w:r>
    </w:p>
    <w:p w:rsidR="00A8728B" w:rsidRDefault="00A8728B" w:rsidP="00566C6A">
      <w:pPr>
        <w:pStyle w:val="CPQuest2"/>
        <w:numPr>
          <w:ilvl w:val="0"/>
          <w:numId w:val="49"/>
        </w:numPr>
      </w:pPr>
      <w:r>
        <w:t>your alternative proposal;</w:t>
      </w:r>
    </w:p>
    <w:p w:rsidR="00A8728B" w:rsidRDefault="00A8728B" w:rsidP="00566C6A">
      <w:pPr>
        <w:pStyle w:val="CPQuest2"/>
      </w:pPr>
      <w:r>
        <w:t>which qualitative criteria would you use to define the sub-classes;</w:t>
      </w:r>
    </w:p>
    <w:p w:rsidR="00A8728B" w:rsidRDefault="00A8728B" w:rsidP="00566C6A">
      <w:pPr>
        <w:pStyle w:val="CPQuest2"/>
      </w:pPr>
      <w:r>
        <w:t>which parameters and related threshold values would you use in order to define a sub-class as liquid.</w:t>
      </w:r>
      <w:r w:rsidRPr="007E46F4">
        <w:t xml:space="preserve"> </w:t>
      </w:r>
      <w:r>
        <w:t>Please, provide r</w:t>
      </w:r>
      <w:r w:rsidRPr="000E6B5B">
        <w:t>easons for your answer</w:t>
      </w:r>
      <w:r>
        <w:t>.</w:t>
      </w:r>
    </w:p>
    <w:p w:rsidR="00A8728B" w:rsidRDefault="00A8728B" w:rsidP="00A8728B">
      <w:r>
        <w:t>&lt;ESMA_QUESTION_MIFID_ADD_6&gt;</w:t>
      </w:r>
    </w:p>
    <w:p w:rsidR="00A8728B" w:rsidRDefault="00A8728B" w:rsidP="00A8728B">
      <w:permStart w:id="15" w:edGrp="everyone"/>
      <w:r>
        <w:t>TYPE YOUR TEXT HERE</w:t>
      </w:r>
    </w:p>
    <w:permEnd w:id="15"/>
    <w:p w:rsidR="00A8728B" w:rsidRDefault="00A8728B" w:rsidP="00A8728B">
      <w:r>
        <w:t>&lt;ESMA_QUESTION_MIFID_ADD_6&gt;</w:t>
      </w:r>
    </w:p>
    <w:p w:rsidR="00A8728B" w:rsidRPr="00C24BCA" w:rsidRDefault="00A8728B" w:rsidP="00A8728B">
      <w:pPr>
        <w:pStyle w:val="CPQuestions"/>
        <w:ind w:left="714" w:hanging="357"/>
      </w:pPr>
      <w:r w:rsidRPr="00C24BCA">
        <w:t>Which is your preferred option? Please express your preference either for “Alte</w:t>
      </w:r>
      <w:r w:rsidRPr="00C24BCA">
        <w:t>r</w:t>
      </w:r>
      <w:r w:rsidRPr="00C24BCA">
        <w:t>native A” or for “Alternative B”. If you disagree with both ESMA’s proposals pr</w:t>
      </w:r>
      <w:r w:rsidRPr="00C24BCA">
        <w:t>o</w:t>
      </w:r>
      <w:r w:rsidRPr="00C24BCA">
        <w:t>vide your alternative proposal by answering the following question.</w:t>
      </w:r>
    </w:p>
    <w:p w:rsidR="00A8728B" w:rsidRDefault="00A8728B" w:rsidP="00A8728B">
      <w:r>
        <w:t>&lt;ESMA_QUESTION_MIFID_ADD_7&gt;</w:t>
      </w:r>
    </w:p>
    <w:p w:rsidR="00A8728B" w:rsidRDefault="00A8728B" w:rsidP="00A8728B">
      <w:permStart w:id="16" w:edGrp="everyone"/>
      <w:r>
        <w:t>TYPE YOUR TEXT HERE</w:t>
      </w:r>
    </w:p>
    <w:permEnd w:id="16"/>
    <w:p w:rsidR="00A8728B" w:rsidRDefault="00A8728B" w:rsidP="00A8728B">
      <w:r>
        <w:t>&lt;ESMA_QUESTION_MIFID_ADD_7&gt;</w:t>
      </w:r>
    </w:p>
    <w:p w:rsidR="00A8728B" w:rsidRPr="00C24BCA" w:rsidRDefault="00A8728B" w:rsidP="00A8728B">
      <w:pPr>
        <w:pStyle w:val="CPQuestions"/>
        <w:ind w:left="714" w:hanging="357"/>
      </w:pPr>
      <w:r w:rsidRPr="00C24BCA">
        <w:t>Please specify, for each class (defined as follows if you have stated your prefe</w:t>
      </w:r>
      <w:r w:rsidRPr="00C24BCA">
        <w:t>r</w:t>
      </w:r>
      <w:r w:rsidRPr="00C24BCA">
        <w:t>ence for Alternative A: freight derivatives, emissions derivatives, weather deriv</w:t>
      </w:r>
      <w:r w:rsidRPr="00C24BCA">
        <w:t>a</w:t>
      </w:r>
      <w:r w:rsidRPr="00C24BCA">
        <w:t>tives and other exotic derivatives. Defined as combination of underlying type and contract type if you have stated a preference for Alternative B: freight options, freight futures, freight forwards, etc.) if you agree on the following points providing reasons for your answer and, if you disagree, providing ESMA with your altern</w:t>
      </w:r>
      <w:r w:rsidRPr="00C24BCA">
        <w:t>a</w:t>
      </w:r>
      <w:r w:rsidRPr="00C24BCA">
        <w:t xml:space="preserve">tive proposal: </w:t>
      </w:r>
    </w:p>
    <w:p w:rsidR="00A8728B" w:rsidRPr="00C24BCA" w:rsidRDefault="00A8728B" w:rsidP="00566C6A">
      <w:pPr>
        <w:pStyle w:val="CPQuest2"/>
        <w:numPr>
          <w:ilvl w:val="0"/>
          <w:numId w:val="42"/>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lastRenderedPageBreak/>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C24BCA" w:rsidRDefault="00A8728B" w:rsidP="00566C6A">
      <w:pPr>
        <w:pStyle w:val="CPQuest2"/>
      </w:pPr>
      <w:r w:rsidRPr="00C24BCA">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C24BCA">
        <w:t>r</w:t>
      </w:r>
      <w:r w:rsidRPr="00C24BCA">
        <w:t>ence for a system with recalculation (i.e. option 2), provide feedback on the thresholds determined for 2017 and on the methodology to recalculate the thres</w:t>
      </w:r>
      <w:r w:rsidRPr="00C24BCA">
        <w:t>h</w:t>
      </w:r>
      <w:r w:rsidRPr="00C24BCA">
        <w:t>olds from 2018 onwards including the level of granularity of the classes on which the recalculations will be performed.</w:t>
      </w:r>
    </w:p>
    <w:p w:rsidR="00A8728B" w:rsidRDefault="00A8728B" w:rsidP="00A8728B">
      <w:r>
        <w:t>&lt;ESMA_QUESTION_MIFID_ADD_8&gt;</w:t>
      </w:r>
    </w:p>
    <w:p w:rsidR="00A8728B" w:rsidRDefault="00A8728B" w:rsidP="00A8728B">
      <w:permStart w:id="17" w:edGrp="everyone"/>
      <w:r>
        <w:t>TYPE YOUR TEXT HERE</w:t>
      </w:r>
    </w:p>
    <w:permEnd w:id="17"/>
    <w:p w:rsidR="00A8728B" w:rsidRDefault="00A8728B" w:rsidP="00A8728B">
      <w:r>
        <w:t>&lt;ESMA_QUESTION_MIFID_ADD_8&gt;</w:t>
      </w:r>
    </w:p>
    <w:p w:rsidR="00A8728B" w:rsidRDefault="00A8728B" w:rsidP="00A8728B">
      <w:pPr>
        <w:pStyle w:val="CPQuestions"/>
        <w:ind w:left="714" w:hanging="357"/>
      </w:pPr>
      <w:r>
        <w:t xml:space="preserve">Do you agree with the approach taken for </w:t>
      </w:r>
      <w:r w:rsidRPr="002D60BB">
        <w:t>shares</w:t>
      </w:r>
      <w:r>
        <w:t xml:space="preserve"> where any CFD based on a liquid share would be considered as having a liquid market? More specifically, please provide feedback on the following:</w:t>
      </w:r>
    </w:p>
    <w:p w:rsidR="00A8728B" w:rsidRDefault="00A8728B" w:rsidP="00566C6A">
      <w:pPr>
        <w:pStyle w:val="CPQuest2"/>
        <w:numPr>
          <w:ilvl w:val="0"/>
          <w:numId w:val="43"/>
        </w:numPr>
      </w:pPr>
      <w:r>
        <w:t>Would you prefer to follow a similar approach as that proposed in option 2 on l</w:t>
      </w:r>
      <w:r>
        <w:t>i</w:t>
      </w:r>
      <w:r>
        <w:t>quidity for equity derivatives (paragraph 90 page 132 of December CP), i.e. qualify all CFDs on equity as liquid irrespectively of the liquidity of the underlying?</w:t>
      </w:r>
    </w:p>
    <w:p w:rsidR="00A8728B" w:rsidRPr="00C24BCA" w:rsidRDefault="00A8728B" w:rsidP="00566C6A">
      <w:pPr>
        <w:pStyle w:val="CPQuest2"/>
      </w:pPr>
      <w:r>
        <w:t xml:space="preserve">Would you </w:t>
      </w:r>
      <w:r w:rsidRPr="00C24BCA">
        <w:t>have used different criteria to define the classes or sub-classes?</w:t>
      </w:r>
    </w:p>
    <w:p w:rsidR="00A8728B" w:rsidRPr="00C24BCA" w:rsidRDefault="00A8728B" w:rsidP="00566C6A">
      <w:pPr>
        <w:pStyle w:val="CPQuest2"/>
      </w:pPr>
      <w:r w:rsidRPr="00C24BCA">
        <w:t>Would you have used different parameters or the same parameters (i.e. average number of trades per day and average notional amount traded per day) but diffe</w:t>
      </w:r>
      <w:r w:rsidRPr="00C24BCA">
        <w:t>r</w:t>
      </w:r>
      <w:r w:rsidRPr="00C24BCA">
        <w:t>ent thresholds in order to define a sub-class as liquid?</w:t>
      </w:r>
    </w:p>
    <w:p w:rsidR="00A8728B" w:rsidRPr="00C24BCA" w:rsidRDefault="00A8728B" w:rsidP="00566C6A">
      <w:pPr>
        <w:pStyle w:val="CPQuest2"/>
      </w:pPr>
      <w:r w:rsidRPr="00C24BCA">
        <w:t xml:space="preserve">Would you support extending the approach taken for shares to other equity (ETFs, depositary receipts and certificates) and equity-like instruments? </w:t>
      </w:r>
    </w:p>
    <w:p w:rsidR="00A8728B" w:rsidRDefault="00A8728B" w:rsidP="00A8728B">
      <w:r>
        <w:t>&lt;ESMA_QUESTION_MIFID_ADD_9&gt;</w:t>
      </w:r>
    </w:p>
    <w:p w:rsidR="00A8728B" w:rsidRDefault="00A8728B" w:rsidP="00A8728B">
      <w:permStart w:id="18" w:edGrp="everyone"/>
      <w:r>
        <w:t>TYPE YOUR TEXT HERE</w:t>
      </w:r>
    </w:p>
    <w:permEnd w:id="18"/>
    <w:p w:rsidR="00A8728B" w:rsidRDefault="00A8728B" w:rsidP="00A8728B">
      <w:r>
        <w:t>&lt;ESMA_QUESTION_MIFID_ADD_9&gt;</w:t>
      </w:r>
    </w:p>
    <w:p w:rsidR="00A8728B" w:rsidRDefault="00A8728B" w:rsidP="00A8728B">
      <w:pPr>
        <w:pStyle w:val="CPQuestions"/>
        <w:ind w:left="714" w:hanging="357"/>
      </w:pPr>
      <w:r w:rsidRPr="00C24BCA">
        <w:t>Do you agree with ESMA’s proposal for the definition of a liquid market for CFDs on currencies? Please provide a feedback on</w:t>
      </w:r>
      <w:r>
        <w:t xml:space="preserve"> the following in your answer:</w:t>
      </w:r>
    </w:p>
    <w:p w:rsidR="00A8728B" w:rsidRPr="00B62727" w:rsidRDefault="00A8728B" w:rsidP="00566C6A">
      <w:pPr>
        <w:pStyle w:val="CPQuest2"/>
        <w:numPr>
          <w:ilvl w:val="0"/>
          <w:numId w:val="44"/>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lastRenderedPageBreak/>
        <w:t xml:space="preserve">Would you define </w:t>
      </w:r>
      <w:r>
        <w:t>sub-</w:t>
      </w:r>
      <w:r w:rsidRPr="00B62727">
        <w:t>classes declared as liquid in ESMA’s proposal as illiquid (or vice versa)? Please provide reasons for your answer.</w:t>
      </w:r>
    </w:p>
    <w:p w:rsidR="00A8728B" w:rsidRDefault="00A8728B" w:rsidP="00A8728B">
      <w:r>
        <w:t>&lt;ESMA_QUESTION_MIFID_ADD_10&gt;</w:t>
      </w:r>
    </w:p>
    <w:p w:rsidR="00A8728B" w:rsidRDefault="00A8728B" w:rsidP="00A8728B">
      <w:permStart w:id="19" w:edGrp="everyone"/>
      <w:r>
        <w:t>TYPE YOUR TEXT HERE</w:t>
      </w:r>
    </w:p>
    <w:permEnd w:id="19"/>
    <w:p w:rsidR="00A8728B" w:rsidRDefault="00A8728B" w:rsidP="00A8728B">
      <w:r>
        <w:t>&lt;ESMA_QUESTION_MIFID_ADD_10&gt;</w:t>
      </w:r>
    </w:p>
    <w:p w:rsidR="00A8728B" w:rsidRDefault="00A8728B" w:rsidP="00A8728B">
      <w:pPr>
        <w:pStyle w:val="CPQuestions"/>
        <w:ind w:left="714" w:hanging="357"/>
      </w:pPr>
      <w:r>
        <w:t>Do you agree that CFDs on instruments other than equities and currencies are i</w:t>
      </w:r>
      <w:r>
        <w:t>l</w:t>
      </w:r>
      <w:r>
        <w:t>liquid?</w:t>
      </w:r>
      <w:r w:rsidRPr="002D60BB">
        <w:t xml:space="preserve"> </w:t>
      </w:r>
      <w:r>
        <w:t>If you do not agree with ESMA’s proposal for the definition of a liquid ma</w:t>
      </w:r>
      <w:r>
        <w:t>r</w:t>
      </w:r>
      <w:r>
        <w:t>ket for those classes, please provide your alternative proposal specifying the fo</w:t>
      </w:r>
      <w:r>
        <w:t>l</w:t>
      </w:r>
      <w:r>
        <w:t>lowing:</w:t>
      </w:r>
    </w:p>
    <w:p w:rsidR="00A8728B" w:rsidRDefault="00A8728B" w:rsidP="00566C6A">
      <w:pPr>
        <w:pStyle w:val="CPQuest2"/>
        <w:numPr>
          <w:ilvl w:val="0"/>
          <w:numId w:val="45"/>
        </w:numPr>
      </w:pPr>
      <w:r>
        <w:t xml:space="preserve">How would you define the sub-classes, i.e. which </w:t>
      </w:r>
      <w:r w:rsidRPr="00B62727">
        <w:t xml:space="preserve">qualitative criteria </w:t>
      </w:r>
      <w:r>
        <w:t>would you use?</w:t>
      </w:r>
    </w:p>
    <w:p w:rsidR="00A8728B" w:rsidRDefault="00A8728B" w:rsidP="00566C6A">
      <w:pPr>
        <w:pStyle w:val="CPQuest2"/>
      </w:pPr>
      <w:r>
        <w:t xml:space="preserve">Which </w:t>
      </w:r>
      <w:r w:rsidRPr="00B62727">
        <w:t xml:space="preserve">parameters </w:t>
      </w:r>
      <w:r>
        <w:t xml:space="preserve">and related thresholds would you use to classify a </w:t>
      </w:r>
      <w:r w:rsidRPr="00B62727">
        <w:t>sub-class as liquid?</w:t>
      </w:r>
    </w:p>
    <w:p w:rsidR="00A8728B" w:rsidRDefault="00A8728B" w:rsidP="00566C6A">
      <w:pPr>
        <w:pStyle w:val="CPQuest2"/>
      </w:pPr>
      <w:r>
        <w:t>Which sub-classes would you define as liquid?</w:t>
      </w:r>
    </w:p>
    <w:p w:rsidR="00A8728B" w:rsidRDefault="00A8728B" w:rsidP="00A8728B">
      <w:r>
        <w:t>&lt;ESMA_QUESTION_MIFID_ADD_11&gt;</w:t>
      </w:r>
    </w:p>
    <w:p w:rsidR="00A8728B" w:rsidRDefault="00A8728B" w:rsidP="00A8728B">
      <w:permStart w:id="20" w:edGrp="everyone"/>
      <w:r>
        <w:t>TYPE YOUR TEXT HERE</w:t>
      </w:r>
    </w:p>
    <w:permEnd w:id="20"/>
    <w:p w:rsidR="00A8728B" w:rsidRDefault="00A8728B" w:rsidP="00A8728B">
      <w:r>
        <w:t>&lt;ESMA_QUESTION_MIFID_ADD_11&gt;</w:t>
      </w:r>
    </w:p>
    <w:p w:rsidR="00A8728B" w:rsidRPr="00C24BCA" w:rsidRDefault="00A8728B" w:rsidP="00A8728B">
      <w:pPr>
        <w:pStyle w:val="CPQuestions"/>
        <w:ind w:left="714" w:hanging="357"/>
      </w:pPr>
      <w:r w:rsidRPr="00C24BCA">
        <w:t xml:space="preserve">Do you agree with ESMA’s proposal for CFDs? Please specify, for each sub-class (CFDs on equity, CFDs on currency, CFDs on commodity, CFDs on bonds, CFDs on futures </w:t>
      </w:r>
      <w:r w:rsidR="00992D4E" w:rsidRPr="00C24BCA">
        <w:t xml:space="preserve">on equity </w:t>
      </w:r>
      <w:r w:rsidRPr="00C24BCA">
        <w:t xml:space="preserve">and CFDs on options on equity, others) if you agree on the following points providing reasons for your answer and, if you disagree providing ESMA with an alternative proposal regarding: </w:t>
      </w:r>
    </w:p>
    <w:p w:rsidR="00A8728B" w:rsidRPr="00C24BCA" w:rsidRDefault="00A8728B" w:rsidP="00566C6A">
      <w:pPr>
        <w:pStyle w:val="CPQuest2"/>
        <w:numPr>
          <w:ilvl w:val="0"/>
          <w:numId w:val="46"/>
        </w:numPr>
      </w:pPr>
      <w:r w:rsidRPr="00C24BCA">
        <w:t>deferral period set to 48 hours</w:t>
      </w:r>
    </w:p>
    <w:p w:rsidR="00A8728B" w:rsidRPr="00C24BCA" w:rsidRDefault="00A8728B" w:rsidP="00566C6A">
      <w:pPr>
        <w:pStyle w:val="CPQuest2"/>
      </w:pPr>
      <w:r w:rsidRPr="00C24BCA">
        <w:t>size specific to the instrument threshold set as 50% of the large in scale threshold</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pre-trade and post-trade 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w:t>
      </w:r>
      <w:r w:rsidRPr="00B62727">
        <w:t>r</w:t>
      </w:r>
      <w:r w:rsidRPr="00B62727">
        <w:t>ence for a system with recalculation (i.e. option 2), provide feedback on the thresholds determined for 2017 and on the methodology to recalculate the thres</w:t>
      </w:r>
      <w:r w:rsidRPr="00B62727">
        <w:t>h</w:t>
      </w:r>
      <w:r w:rsidRPr="00B62727">
        <w:t>olds from 2018 onwards including the level of granularity of the classes on which the recalculations will be performed</w:t>
      </w:r>
      <w:r>
        <w:t>.</w:t>
      </w:r>
    </w:p>
    <w:p w:rsidR="00A8728B" w:rsidRDefault="00A8728B" w:rsidP="00A8728B">
      <w:r>
        <w:t>&lt;ESMA_QUESTION_MIFID_ADD_12&gt;</w:t>
      </w:r>
    </w:p>
    <w:p w:rsidR="00A8728B" w:rsidRDefault="00A8728B" w:rsidP="00A8728B">
      <w:permStart w:id="21" w:edGrp="everyone"/>
      <w:r>
        <w:lastRenderedPageBreak/>
        <w:t>TYPE YOUR TEXT HERE</w:t>
      </w:r>
    </w:p>
    <w:permEnd w:id="21"/>
    <w:p w:rsidR="00A8728B" w:rsidRDefault="00A8728B" w:rsidP="00A8728B">
      <w:r>
        <w:t>&lt;ESMA_QUESTION_MIFID_ADD_12&gt;</w:t>
      </w:r>
    </w:p>
    <w:p w:rsidR="00A8728B" w:rsidRDefault="00A8728B" w:rsidP="00A8728B"/>
    <w:p w:rsidR="00F32462" w:rsidRDefault="00F32462">
      <w:pPr>
        <w:rPr>
          <w:rFonts w:cs="Arial"/>
          <w:b/>
          <w:sz w:val="22"/>
          <w:szCs w:val="22"/>
          <w:lang w:eastAsia="en-US"/>
        </w:rPr>
      </w:pPr>
    </w:p>
    <w:sectPr w:rsidR="00F32462" w:rsidSect="00A8728B">
      <w:headerReference w:type="even" r:id="rId36"/>
      <w:headerReference w:type="first" r:id="rId37"/>
      <w:footerReference w:type="first" r:id="rId38"/>
      <w:pgSz w:w="11906" w:h="16838" w:code="9"/>
      <w:pgMar w:top="2410" w:right="1247" w:bottom="1135"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7C0" w:rsidRDefault="001017C0">
      <w:r>
        <w:separator/>
      </w:r>
    </w:p>
    <w:p w:rsidR="001017C0" w:rsidRDefault="001017C0"/>
  </w:endnote>
  <w:endnote w:type="continuationSeparator" w:id="0">
    <w:p w:rsidR="001017C0" w:rsidRDefault="001017C0">
      <w:r>
        <w:continuationSeparator/>
      </w:r>
    </w:p>
    <w:p w:rsidR="001017C0" w:rsidRDefault="001017C0"/>
  </w:endnote>
  <w:endnote w:type="continuationNotice" w:id="1">
    <w:p w:rsidR="001017C0" w:rsidRDefault="001017C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1017C0" w:rsidRPr="00616B9B" w:rsidTr="00315E96">
      <w:trPr>
        <w:trHeight w:val="284"/>
      </w:trPr>
      <w:tc>
        <w:tcPr>
          <w:tcW w:w="8460" w:type="dxa"/>
        </w:tcPr>
        <w:p w:rsidR="001017C0" w:rsidRPr="00315E96" w:rsidRDefault="001017C0" w:rsidP="00315E96">
          <w:pPr>
            <w:pStyle w:val="00Footer"/>
            <w:rPr>
              <w:lang w:val="fr-FR"/>
            </w:rPr>
          </w:pPr>
        </w:p>
      </w:tc>
      <w:tc>
        <w:tcPr>
          <w:tcW w:w="952" w:type="dxa"/>
        </w:tcPr>
        <w:p w:rsidR="001017C0" w:rsidRPr="00616B9B" w:rsidRDefault="00FC3249" w:rsidP="002C5B2D">
          <w:pPr>
            <w:pStyle w:val="00aPagenumber"/>
            <w:rPr>
              <w:rFonts w:cs="Arial"/>
              <w:sz w:val="22"/>
              <w:szCs w:val="22"/>
            </w:rPr>
          </w:pPr>
          <w:r w:rsidRPr="00616B9B">
            <w:rPr>
              <w:rFonts w:cs="Arial"/>
              <w:sz w:val="22"/>
              <w:szCs w:val="22"/>
            </w:rPr>
            <w:fldChar w:fldCharType="begin"/>
          </w:r>
          <w:r w:rsidR="001017C0" w:rsidRPr="00616B9B">
            <w:rPr>
              <w:rFonts w:cs="Arial"/>
              <w:sz w:val="22"/>
              <w:szCs w:val="22"/>
            </w:rPr>
            <w:instrText xml:space="preserve"> PAGE </w:instrText>
          </w:r>
          <w:r w:rsidRPr="00616B9B">
            <w:rPr>
              <w:rFonts w:cs="Arial"/>
              <w:sz w:val="22"/>
              <w:szCs w:val="22"/>
            </w:rPr>
            <w:fldChar w:fldCharType="separate"/>
          </w:r>
          <w:r w:rsidR="000059A4">
            <w:rPr>
              <w:rFonts w:cs="Arial"/>
              <w:noProof/>
              <w:sz w:val="22"/>
              <w:szCs w:val="22"/>
            </w:rPr>
            <w:t>12</w:t>
          </w:r>
          <w:r w:rsidRPr="00616B9B">
            <w:rPr>
              <w:rFonts w:cs="Arial"/>
              <w:noProof/>
              <w:sz w:val="22"/>
              <w:szCs w:val="22"/>
            </w:rPr>
            <w:fldChar w:fldCharType="end"/>
          </w:r>
        </w:p>
      </w:tc>
    </w:tr>
  </w:tbl>
  <w:p w:rsidR="001017C0" w:rsidRDefault="001017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7C0" w:rsidRDefault="001017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7C0" w:rsidRDefault="001017C0">
      <w:r>
        <w:separator/>
      </w:r>
    </w:p>
    <w:p w:rsidR="001017C0" w:rsidRDefault="001017C0"/>
  </w:footnote>
  <w:footnote w:type="continuationSeparator" w:id="0">
    <w:p w:rsidR="001017C0" w:rsidRDefault="001017C0">
      <w:r>
        <w:continuationSeparator/>
      </w:r>
    </w:p>
    <w:p w:rsidR="001017C0" w:rsidRDefault="001017C0"/>
  </w:footnote>
  <w:footnote w:type="continuationNotice" w:id="1">
    <w:p w:rsidR="001017C0" w:rsidRDefault="001017C0"/>
  </w:footnote>
  <w:footnote w:id="2">
    <w:p w:rsidR="001017C0" w:rsidRPr="00AA7A30" w:rsidRDefault="001017C0" w:rsidP="00D34282">
      <w:pPr>
        <w:pStyle w:val="FootnoteText"/>
        <w:rPr>
          <w:rFonts w:cs="Arial"/>
        </w:rPr>
      </w:pPr>
      <w:r w:rsidRPr="00AA7A30">
        <w:rPr>
          <w:rStyle w:val="FootnoteReference"/>
          <w:rFonts w:cs="Arial"/>
        </w:rPr>
        <w:footnoteRef/>
      </w:r>
      <w:r w:rsidRPr="00AA7A30">
        <w:rPr>
          <w:rFonts w:cs="Arial"/>
        </w:rPr>
        <w:t xml:space="preserve"> The field will used for consistency checks. If its value is different from the value indicated during submission on the website form, the latest one will be taken into account.</w:t>
      </w:r>
    </w:p>
  </w:footnote>
  <w:footnote w:id="3">
    <w:p w:rsidR="001017C0" w:rsidRPr="00054728" w:rsidRDefault="001017C0" w:rsidP="00E66E28">
      <w:pPr>
        <w:pStyle w:val="FootnoteText"/>
        <w:rPr>
          <w:rStyle w:val="FootnoteReference"/>
          <w:rFonts w:asciiTheme="minorHAnsi" w:eastAsia="Cambria" w:hAnsiTheme="minorHAnsi"/>
          <w:sz w:val="18"/>
          <w:szCs w:val="18"/>
        </w:rPr>
      </w:pPr>
      <w:r w:rsidRPr="00054728">
        <w:rPr>
          <w:rStyle w:val="FootnoteReference"/>
          <w:rFonts w:asciiTheme="minorHAnsi" w:eastAsia="Cambria" w:hAnsiTheme="minorHAnsi"/>
          <w:sz w:val="18"/>
          <w:szCs w:val="18"/>
        </w:rPr>
        <w:footnoteRef/>
      </w:r>
      <w:r w:rsidRPr="00054728">
        <w:rPr>
          <w:rFonts w:asciiTheme="minorHAnsi" w:eastAsia="Cambria" w:hAnsiTheme="minorHAnsi"/>
          <w:sz w:val="18"/>
          <w:szCs w:val="18"/>
          <w:vertAlign w:val="superscript"/>
        </w:rPr>
        <w:t xml:space="preserve"> </w:t>
      </w:r>
      <w:r w:rsidRPr="00054728">
        <w:rPr>
          <w:rStyle w:val="FootnoteReference"/>
          <w:rFonts w:asciiTheme="minorHAnsi" w:eastAsia="Cambria" w:hAnsiTheme="minorHAnsi"/>
          <w:sz w:val="18"/>
          <w:szCs w:val="18"/>
        </w:rPr>
        <w:t xml:space="preserve">Bank of America Merrill Lynch, Bank of New York Mellon, Bank of Tokyo Mitsubishi UFJ, Barclays, BNP Paribas, Citigroup, Credit </w:t>
      </w:r>
      <w:proofErr w:type="spellStart"/>
      <w:r w:rsidRPr="00054728">
        <w:rPr>
          <w:rStyle w:val="FootnoteReference"/>
          <w:rFonts w:asciiTheme="minorHAnsi" w:eastAsia="Cambria" w:hAnsiTheme="minorHAnsi"/>
          <w:sz w:val="18"/>
          <w:szCs w:val="18"/>
        </w:rPr>
        <w:t>Agricole</w:t>
      </w:r>
      <w:proofErr w:type="spellEnd"/>
      <w:r w:rsidRPr="00054728">
        <w:rPr>
          <w:rStyle w:val="FootnoteReference"/>
          <w:rFonts w:asciiTheme="minorHAnsi" w:eastAsia="Cambria" w:hAnsiTheme="minorHAnsi"/>
          <w:sz w:val="18"/>
          <w:szCs w:val="18"/>
        </w:rPr>
        <w:t xml:space="preserve">, Credit Suisse, Deutsche Bank, Goldman Sachs, HSBC, JP Morgan, Lloyds, Mizuho, Morgan Stanley, Nomura, Royal Bank of Canada, Royal Bank of Scotland, </w:t>
      </w:r>
      <w:proofErr w:type="spellStart"/>
      <w:r w:rsidRPr="00054728">
        <w:rPr>
          <w:rStyle w:val="FootnoteReference"/>
          <w:rFonts w:asciiTheme="minorHAnsi" w:eastAsia="Cambria" w:hAnsiTheme="minorHAnsi"/>
          <w:sz w:val="18"/>
          <w:szCs w:val="18"/>
        </w:rPr>
        <w:t>Société</w:t>
      </w:r>
      <w:proofErr w:type="spellEnd"/>
      <w:r w:rsidRPr="00054728">
        <w:rPr>
          <w:rStyle w:val="FootnoteReference"/>
          <w:rFonts w:asciiTheme="minorHAnsi" w:eastAsia="Cambria" w:hAnsiTheme="minorHAnsi"/>
          <w:sz w:val="18"/>
          <w:szCs w:val="18"/>
        </w:rPr>
        <w:t xml:space="preserve"> </w:t>
      </w:r>
      <w:proofErr w:type="spellStart"/>
      <w:r w:rsidRPr="00054728">
        <w:rPr>
          <w:rStyle w:val="FootnoteReference"/>
          <w:rFonts w:asciiTheme="minorHAnsi" w:eastAsia="Cambria" w:hAnsiTheme="minorHAnsi"/>
          <w:sz w:val="18"/>
          <w:szCs w:val="18"/>
        </w:rPr>
        <w:t>Générale</w:t>
      </w:r>
      <w:proofErr w:type="spellEnd"/>
      <w:r w:rsidRPr="00054728">
        <w:rPr>
          <w:rStyle w:val="FootnoteReference"/>
          <w:rFonts w:asciiTheme="minorHAnsi" w:eastAsia="Cambria" w:hAnsiTheme="minorHAnsi"/>
          <w:sz w:val="18"/>
          <w:szCs w:val="18"/>
        </w:rPr>
        <w:t>, Standard Chartered Bank, State Street, UBS, Wells Fargo and Westpac</w:t>
      </w:r>
    </w:p>
  </w:footnote>
  <w:footnote w:id="4">
    <w:p w:rsidR="001017C0" w:rsidRPr="00054728" w:rsidRDefault="001017C0" w:rsidP="00E66E28">
      <w:pPr>
        <w:pStyle w:val="FootnoteText"/>
        <w:rPr>
          <w:rFonts w:asciiTheme="minorHAnsi" w:hAnsiTheme="minorHAnsi"/>
          <w:sz w:val="18"/>
          <w:szCs w:val="18"/>
        </w:rPr>
      </w:pPr>
      <w:r w:rsidRPr="00054728">
        <w:rPr>
          <w:rStyle w:val="FootnoteReference"/>
          <w:rFonts w:asciiTheme="minorHAnsi" w:eastAsia="Cambria" w:hAnsiTheme="minorHAnsi"/>
          <w:sz w:val="18"/>
          <w:szCs w:val="18"/>
        </w:rPr>
        <w:footnoteRef/>
      </w:r>
      <w:r w:rsidRPr="00054728">
        <w:rPr>
          <w:rStyle w:val="FootnoteReference"/>
          <w:rFonts w:asciiTheme="minorHAnsi" w:eastAsia="Cambria" w:hAnsiTheme="minorHAnsi"/>
          <w:sz w:val="18"/>
          <w:szCs w:val="18"/>
        </w:rPr>
        <w:t xml:space="preserve">  According to </w:t>
      </w:r>
      <w:proofErr w:type="spellStart"/>
      <w:r w:rsidRPr="00054728">
        <w:rPr>
          <w:rStyle w:val="FootnoteReference"/>
          <w:rFonts w:asciiTheme="minorHAnsi" w:eastAsia="Cambria" w:hAnsiTheme="minorHAnsi"/>
          <w:sz w:val="18"/>
          <w:szCs w:val="18"/>
        </w:rPr>
        <w:t>Euromoney</w:t>
      </w:r>
      <w:proofErr w:type="spellEnd"/>
      <w:r w:rsidRPr="00054728">
        <w:rPr>
          <w:rStyle w:val="FootnoteReference"/>
          <w:rFonts w:asciiTheme="minorHAnsi" w:eastAsia="Cambria" w:hAnsiTheme="minorHAnsi"/>
          <w:sz w:val="18"/>
          <w:szCs w:val="18"/>
        </w:rPr>
        <w:t xml:space="preserve"> league tables</w:t>
      </w:r>
    </w:p>
  </w:footnote>
  <w:footnote w:id="5">
    <w:p w:rsidR="001017C0" w:rsidRPr="000610AB" w:rsidRDefault="001017C0" w:rsidP="00E66E28">
      <w:pPr>
        <w:pStyle w:val="FootnoteText"/>
        <w:rPr>
          <w:rFonts w:ascii="Garamond" w:hAnsi="Garamond"/>
        </w:rPr>
      </w:pPr>
      <w:r w:rsidRPr="00054728">
        <w:rPr>
          <w:rStyle w:val="FootnoteReference"/>
          <w:rFonts w:asciiTheme="minorHAnsi" w:hAnsiTheme="minorHAnsi"/>
          <w:sz w:val="18"/>
          <w:szCs w:val="18"/>
        </w:rPr>
        <w:footnoteRef/>
      </w:r>
      <w:r w:rsidRPr="00054728">
        <w:rPr>
          <w:rFonts w:asciiTheme="minorHAnsi" w:hAnsiTheme="minorHAnsi"/>
          <w:sz w:val="18"/>
          <w:szCs w:val="18"/>
        </w:rPr>
        <w:t xml:space="preserve"> </w:t>
      </w:r>
      <w:hyperlink r:id="rId1" w:history="1">
        <w:r w:rsidRPr="00054728">
          <w:rPr>
            <w:rStyle w:val="Hyperlink"/>
            <w:rFonts w:asciiTheme="minorHAnsi" w:hAnsiTheme="minorHAnsi"/>
            <w:sz w:val="18"/>
            <w:szCs w:val="18"/>
          </w:rPr>
          <w:t>http://www.bis.org/publ/rpfx13fx.pdf</w:t>
        </w:r>
      </w:hyperlink>
      <w:r w:rsidRPr="00054728">
        <w:rPr>
          <w:rFonts w:asciiTheme="minorHAnsi" w:hAnsiTheme="minorHAnsi" w:cstheme="minorHAnsi"/>
          <w:sz w:val="18"/>
          <w:szCs w:val="18"/>
          <w:u w:val="single"/>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7C0" w:rsidRDefault="001017C0">
    <w:pPr>
      <w:pStyle w:val="Header"/>
    </w:pPr>
    <w:r>
      <w:rPr>
        <w:noProof/>
        <w:lang w:val="en-US" w:eastAsia="en-US"/>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anchor>
      </w:drawing>
    </w:r>
    <w:r w:rsidR="00FC3249">
      <w:rPr>
        <w:noProof/>
        <w:lang w:val="en-US" w:eastAsia="en-US"/>
      </w:rPr>
      <w:pict>
        <v:line id="Line 16" o:spid="_x0000_s12290"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7C0" w:rsidRDefault="001017C0" w:rsidP="00013CCE">
    <w:pPr>
      <w:pStyle w:val="Header"/>
      <w:jc w:val="right"/>
    </w:pPr>
    <w:r>
      <w:rPr>
        <w:noProof/>
        <w:lang w:val="en-US" w:eastAsia="en-US"/>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r>
      <w:rPr>
        <w:noProof/>
        <w:lang w:val="en-US" w:eastAsia="en-US"/>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6800850"/>
                  </a:xfrm>
                  <a:prstGeom prst="rect">
                    <a:avLst/>
                  </a:prstGeom>
                  <a:noFill/>
                  <a:ln>
                    <a:noFill/>
                  </a:ln>
                </pic:spPr>
              </pic:pic>
            </a:graphicData>
          </a:graphic>
        </wp:anchor>
      </w:drawing>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7C0" w:rsidRDefault="001017C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1017C0" w:rsidRPr="002F4496" w:rsidTr="000C06C9">
      <w:trPr>
        <w:trHeight w:val="284"/>
      </w:trPr>
      <w:tc>
        <w:tcPr>
          <w:tcW w:w="8460" w:type="dxa"/>
        </w:tcPr>
        <w:p w:rsidR="001017C0" w:rsidRPr="000C3B6D" w:rsidRDefault="001017C0" w:rsidP="000C06C9">
          <w:pPr>
            <w:pStyle w:val="00Footer"/>
            <w:rPr>
              <w:lang w:val="fr-FR"/>
            </w:rPr>
          </w:pPr>
        </w:p>
      </w:tc>
      <w:tc>
        <w:tcPr>
          <w:tcW w:w="952" w:type="dxa"/>
        </w:tcPr>
        <w:p w:rsidR="001017C0" w:rsidRPr="00146B34" w:rsidRDefault="001017C0" w:rsidP="000C06C9">
          <w:pPr>
            <w:pStyle w:val="00aPagenumber"/>
            <w:rPr>
              <w:lang w:val="fr-FR"/>
            </w:rPr>
          </w:pPr>
        </w:p>
      </w:tc>
    </w:tr>
  </w:tbl>
  <w:p w:rsidR="001017C0" w:rsidRPr="00DB46C3" w:rsidRDefault="001017C0">
    <w:pPr>
      <w:rPr>
        <w:lang w:val="fr-FR"/>
      </w:rPr>
    </w:pPr>
  </w:p>
  <w:p w:rsidR="001017C0" w:rsidRPr="002F4496" w:rsidRDefault="001017C0">
    <w:pPr>
      <w:pStyle w:val="Header"/>
      <w:rPr>
        <w:lang w:val="fr-FR"/>
      </w:rPr>
    </w:pPr>
  </w:p>
  <w:p w:rsidR="001017C0" w:rsidRPr="002F4496" w:rsidRDefault="001017C0" w:rsidP="000C06C9">
    <w:pPr>
      <w:pStyle w:val="Header"/>
      <w:tabs>
        <w:tab w:val="clear" w:pos="4536"/>
        <w:tab w:val="clear" w:pos="9072"/>
        <w:tab w:val="left" w:pos="8227"/>
      </w:tabs>
      <w:rPr>
        <w:lang w:val="fr-FR"/>
      </w:rPr>
    </w:pPr>
  </w:p>
  <w:p w:rsidR="001017C0" w:rsidRPr="002F4496" w:rsidRDefault="001017C0" w:rsidP="000C06C9">
    <w:pPr>
      <w:pStyle w:val="Header"/>
      <w:tabs>
        <w:tab w:val="clear" w:pos="4536"/>
        <w:tab w:val="clear" w:pos="9072"/>
        <w:tab w:val="left" w:pos="8227"/>
      </w:tabs>
      <w:rPr>
        <w:lang w:val="fr-FR"/>
      </w:rPr>
    </w:pPr>
  </w:p>
  <w:p w:rsidR="001017C0" w:rsidRPr="002F4496" w:rsidRDefault="001017C0">
    <w:pPr>
      <w:pStyle w:val="Header"/>
      <w:rPr>
        <w:lang w:val="fr-FR"/>
      </w:rPr>
    </w:pPr>
  </w:p>
  <w:p w:rsidR="001017C0" w:rsidRPr="002F4496" w:rsidRDefault="001017C0">
    <w:pPr>
      <w:pStyle w:val="Header"/>
      <w:rPr>
        <w:lang w:val="fr-FR"/>
      </w:rPr>
    </w:pPr>
  </w:p>
  <w:p w:rsidR="001017C0" w:rsidRPr="002F4496" w:rsidRDefault="001017C0">
    <w:pPr>
      <w:pStyle w:val="Header"/>
      <w:rPr>
        <w:lang w:val="fr-FR"/>
      </w:rPr>
    </w:pPr>
  </w:p>
  <w:p w:rsidR="001017C0" w:rsidRPr="002F4496" w:rsidRDefault="001017C0">
    <w:pPr>
      <w:pStyle w:val="Header"/>
      <w:rPr>
        <w:lang w:val="fr-FR"/>
      </w:rPr>
    </w:pPr>
  </w:p>
  <w:p w:rsidR="001017C0" w:rsidRPr="002F4496" w:rsidRDefault="001017C0">
    <w:pPr>
      <w:pStyle w:val="Header"/>
      <w:rPr>
        <w:highlight w:val="yellow"/>
        <w:lang w:val="fr-FR"/>
      </w:rPr>
    </w:pPr>
  </w:p>
  <w:p w:rsidR="001017C0" w:rsidRDefault="00FC3249">
    <w:pPr>
      <w:pStyle w:val="Header"/>
    </w:pPr>
    <w:r>
      <w:rPr>
        <w:noProof/>
        <w:lang w:val="en-US" w:eastAsia="en-US"/>
      </w:rPr>
      <w:pict>
        <v:line id="Straight Connector 138" o:spid="_x0000_s12289"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w:r>
    <w:r w:rsidR="001017C0">
      <w:rPr>
        <w:noProof/>
        <w:lang w:val="en-US" w:eastAsia="en-US"/>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D82BA9"/>
    <w:multiLevelType w:val="hybridMultilevel"/>
    <w:tmpl w:val="57A84302"/>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82846"/>
    <w:multiLevelType w:val="hybridMultilevel"/>
    <w:tmpl w:val="73A87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696647"/>
    <w:multiLevelType w:val="hybridMultilevel"/>
    <w:tmpl w:val="F582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D77A52"/>
    <w:multiLevelType w:val="hybridMultilevel"/>
    <w:tmpl w:val="11426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331DD6"/>
    <w:multiLevelType w:val="hybridMultilevel"/>
    <w:tmpl w:val="B3D68DB0"/>
    <w:lvl w:ilvl="0" w:tplc="47BC86E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6678FE"/>
    <w:multiLevelType w:val="hybridMultilevel"/>
    <w:tmpl w:val="D396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8C3064"/>
    <w:multiLevelType w:val="hybridMultilevel"/>
    <w:tmpl w:val="DCCC3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B551F8"/>
    <w:multiLevelType w:val="hybridMultilevel"/>
    <w:tmpl w:val="9CE8F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5A5EAB"/>
    <w:multiLevelType w:val="hybridMultilevel"/>
    <w:tmpl w:val="FC700E9E"/>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C66083"/>
    <w:multiLevelType w:val="hybridMultilevel"/>
    <w:tmpl w:val="80723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5">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8">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97D4A5D"/>
    <w:multiLevelType w:val="hybridMultilevel"/>
    <w:tmpl w:val="360A8C56"/>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1">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2F440969"/>
    <w:multiLevelType w:val="hybridMultilevel"/>
    <w:tmpl w:val="464E9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229D8"/>
    <w:multiLevelType w:val="hybridMultilevel"/>
    <w:tmpl w:val="05E0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A41186A"/>
    <w:multiLevelType w:val="hybridMultilevel"/>
    <w:tmpl w:val="9482B494"/>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7">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9">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31">
    <w:nsid w:val="3EDB1D4E"/>
    <w:multiLevelType w:val="hybridMultilevel"/>
    <w:tmpl w:val="D73A4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3">
    <w:nsid w:val="45785170"/>
    <w:multiLevelType w:val="hybridMultilevel"/>
    <w:tmpl w:val="D37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4892563E"/>
    <w:multiLevelType w:val="hybridMultilevel"/>
    <w:tmpl w:val="7FDCBD0C"/>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8">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nsid w:val="4E974252"/>
    <w:multiLevelType w:val="hybridMultilevel"/>
    <w:tmpl w:val="F442462C"/>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3B5168"/>
    <w:multiLevelType w:val="hybridMultilevel"/>
    <w:tmpl w:val="DEC24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187E01"/>
    <w:multiLevelType w:val="hybridMultilevel"/>
    <w:tmpl w:val="906AA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4">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6">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5A1E76CA"/>
    <w:multiLevelType w:val="hybridMultilevel"/>
    <w:tmpl w:val="D812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A2C261C"/>
    <w:multiLevelType w:val="hybridMultilevel"/>
    <w:tmpl w:val="67BE5F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DE31234"/>
    <w:multiLevelType w:val="hybridMultilevel"/>
    <w:tmpl w:val="179AF38E"/>
    <w:lvl w:ilvl="0" w:tplc="387E9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F12D65"/>
    <w:multiLevelType w:val="hybridMultilevel"/>
    <w:tmpl w:val="94F05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033C7B"/>
    <w:multiLevelType w:val="hybridMultilevel"/>
    <w:tmpl w:val="18443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56">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6DDB39E3"/>
    <w:multiLevelType w:val="hybridMultilevel"/>
    <w:tmpl w:val="D1344184"/>
    <w:lvl w:ilvl="0" w:tplc="04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9">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314FD6"/>
    <w:multiLevelType w:val="hybridMultilevel"/>
    <w:tmpl w:val="F9B2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63">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9"/>
  </w:num>
  <w:num w:numId="2">
    <w:abstractNumId w:val="32"/>
  </w:num>
  <w:num w:numId="3">
    <w:abstractNumId w:val="24"/>
  </w:num>
  <w:num w:numId="4">
    <w:abstractNumId w:val="42"/>
  </w:num>
  <w:num w:numId="5">
    <w:abstractNumId w:val="44"/>
  </w:num>
  <w:num w:numId="6">
    <w:abstractNumId w:val="0"/>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54"/>
  </w:num>
  <w:num w:numId="14">
    <w:abstractNumId w:val="38"/>
  </w:num>
  <w:num w:numId="15">
    <w:abstractNumId w:val="21"/>
  </w:num>
  <w:num w:numId="16">
    <w:abstractNumId w:val="1"/>
  </w:num>
  <w:num w:numId="17">
    <w:abstractNumId w:val="27"/>
  </w:num>
  <w:num w:numId="18">
    <w:abstractNumId w:val="28"/>
  </w:num>
  <w:num w:numId="19">
    <w:abstractNumId w:val="30"/>
  </w:num>
  <w:num w:numId="20">
    <w:abstractNumId w:val="45"/>
  </w:num>
  <w:num w:numId="21">
    <w:abstractNumId w:val="61"/>
  </w:num>
  <w:num w:numId="22">
    <w:abstractNumId w:val="43"/>
  </w:num>
  <w:num w:numId="23">
    <w:abstractNumId w:val="20"/>
  </w:num>
  <w:num w:numId="24">
    <w:abstractNumId w:val="53"/>
  </w:num>
  <w:num w:numId="25">
    <w:abstractNumId w:val="52"/>
  </w:num>
  <w:num w:numId="26">
    <w:abstractNumId w:val="34"/>
  </w:num>
  <w:num w:numId="27">
    <w:abstractNumId w:val="56"/>
  </w:num>
  <w:num w:numId="28">
    <w:abstractNumId w:val="63"/>
  </w:num>
  <w:num w:numId="29">
    <w:abstractNumId w:val="17"/>
  </w:num>
  <w:num w:numId="30">
    <w:abstractNumId w:val="11"/>
  </w:num>
  <w:num w:numId="31">
    <w:abstractNumId w:val="37"/>
  </w:num>
  <w:num w:numId="32">
    <w:abstractNumId w:val="2"/>
  </w:num>
  <w:num w:numId="33">
    <w:abstractNumId w:val="16"/>
  </w:num>
  <w:num w:numId="34">
    <w:abstractNumId w:val="36"/>
  </w:num>
  <w:num w:numId="35">
    <w:abstractNumId w:val="59"/>
  </w:num>
  <w:num w:numId="36">
    <w:abstractNumId w:val="59"/>
    <w:lvlOverride w:ilvl="0">
      <w:startOverride w:val="1"/>
    </w:lvlOverride>
  </w:num>
  <w:num w:numId="37">
    <w:abstractNumId w:val="59"/>
    <w:lvlOverride w:ilvl="0">
      <w:startOverride w:val="1"/>
    </w:lvlOverride>
  </w:num>
  <w:num w:numId="38">
    <w:abstractNumId w:val="59"/>
    <w:lvlOverride w:ilvl="0">
      <w:startOverride w:val="1"/>
    </w:lvlOverride>
  </w:num>
  <w:num w:numId="39">
    <w:abstractNumId w:val="59"/>
    <w:lvlOverride w:ilvl="0">
      <w:startOverride w:val="1"/>
    </w:lvlOverride>
  </w:num>
  <w:num w:numId="40">
    <w:abstractNumId w:val="59"/>
    <w:lvlOverride w:ilvl="0">
      <w:startOverride w:val="1"/>
    </w:lvlOverride>
  </w:num>
  <w:num w:numId="41">
    <w:abstractNumId w:val="59"/>
    <w:lvlOverride w:ilvl="0">
      <w:startOverride w:val="1"/>
    </w:lvlOverride>
  </w:num>
  <w:num w:numId="42">
    <w:abstractNumId w:val="59"/>
    <w:lvlOverride w:ilvl="0">
      <w:startOverride w:val="1"/>
    </w:lvlOverride>
  </w:num>
  <w:num w:numId="43">
    <w:abstractNumId w:val="59"/>
    <w:lvlOverride w:ilvl="0">
      <w:startOverride w:val="1"/>
    </w:lvlOverride>
  </w:num>
  <w:num w:numId="44">
    <w:abstractNumId w:val="59"/>
    <w:lvlOverride w:ilvl="0">
      <w:startOverride w:val="1"/>
    </w:lvlOverride>
  </w:num>
  <w:num w:numId="45">
    <w:abstractNumId w:val="58"/>
  </w:num>
  <w:num w:numId="46">
    <w:abstractNumId w:val="59"/>
    <w:lvlOverride w:ilvl="0">
      <w:startOverride w:val="1"/>
    </w:lvlOverride>
  </w:num>
  <w:num w:numId="47">
    <w:abstractNumId w:val="33"/>
  </w:num>
  <w:num w:numId="48">
    <w:abstractNumId w:val="41"/>
  </w:num>
  <w:num w:numId="49">
    <w:abstractNumId w:val="40"/>
  </w:num>
  <w:num w:numId="50">
    <w:abstractNumId w:val="39"/>
  </w:num>
  <w:num w:numId="51">
    <w:abstractNumId w:val="8"/>
  </w:num>
  <w:num w:numId="52">
    <w:abstractNumId w:val="19"/>
  </w:num>
  <w:num w:numId="53">
    <w:abstractNumId w:val="51"/>
  </w:num>
  <w:num w:numId="54">
    <w:abstractNumId w:val="35"/>
  </w:num>
  <w:num w:numId="55">
    <w:abstractNumId w:val="12"/>
  </w:num>
  <w:num w:numId="56">
    <w:abstractNumId w:val="22"/>
  </w:num>
  <w:num w:numId="57">
    <w:abstractNumId w:val="3"/>
  </w:num>
  <w:num w:numId="58">
    <w:abstractNumId w:val="13"/>
  </w:num>
  <w:num w:numId="59">
    <w:abstractNumId w:val="57"/>
  </w:num>
  <w:num w:numId="60">
    <w:abstractNumId w:val="7"/>
  </w:num>
  <w:num w:numId="61">
    <w:abstractNumId w:val="9"/>
  </w:num>
  <w:num w:numId="62">
    <w:abstractNumId w:val="4"/>
  </w:num>
  <w:num w:numId="63">
    <w:abstractNumId w:val="23"/>
  </w:num>
  <w:num w:numId="64">
    <w:abstractNumId w:val="10"/>
  </w:num>
  <w:num w:numId="65">
    <w:abstractNumId w:val="31"/>
  </w:num>
  <w:num w:numId="66">
    <w:abstractNumId w:val="47"/>
  </w:num>
  <w:num w:numId="67">
    <w:abstractNumId w:val="60"/>
  </w:num>
  <w:num w:numId="68">
    <w:abstractNumId w:val="48"/>
  </w:num>
  <w:num w:numId="69">
    <w:abstractNumId w:val="50"/>
  </w:num>
  <w:num w:numId="70">
    <w:abstractNumId w:val="49"/>
  </w:num>
  <w:num w:numId="71">
    <w:abstractNumId w:val="5"/>
  </w:num>
  <w:num w:numId="72">
    <w:abstractNumId w:val="25"/>
  </w:num>
  <w:num w:numId="73">
    <w:abstractNumId w:val="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F01"/>
  <w:documentProtection w:edit="readOnly" w:enforcement="1" w:cryptProviderType="rsaFull" w:cryptAlgorithmClass="hash" w:cryptAlgorithmType="typeAny" w:cryptAlgorithmSid="4" w:cryptSpinCount="100000" w:hash="NxXaH8KyD8QgqtQ9Kldtrt3DnIk=" w:salt="3xub1WRPctATi7RQzt2SsA=="/>
  <w:defaultTabStop w:val="709"/>
  <w:autoHyphenation/>
  <w:hyphenationZone w:val="567"/>
  <w:characterSpacingControl w:val="doNotCompress"/>
  <w:hdrShapeDefaults>
    <o:shapedefaults v:ext="edit" spidmax="12291">
      <o:colormru v:ext="edit" colors="#2d4491,#283583"/>
    </o:shapedefaults>
    <o:shapelayout v:ext="edit">
      <o:idmap v:ext="edit" data="12"/>
    </o:shapelayout>
  </w:hdrShapeDefaults>
  <w:footnotePr>
    <w:footnote w:id="-1"/>
    <w:footnote w:id="0"/>
    <w:footnote w:id="1"/>
  </w:footnotePr>
  <w:endnotePr>
    <w:endnote w:id="-1"/>
    <w:endnote w:id="0"/>
    <w:endnote w:id="1"/>
  </w:endnotePr>
  <w:compat/>
  <w:rsids>
    <w:rsidRoot w:val="00A02370"/>
    <w:rsid w:val="000006AD"/>
    <w:rsid w:val="00001490"/>
    <w:rsid w:val="00002232"/>
    <w:rsid w:val="00002491"/>
    <w:rsid w:val="0000378E"/>
    <w:rsid w:val="00003AEB"/>
    <w:rsid w:val="000059A4"/>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728"/>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B6278"/>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17C0"/>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5AD5"/>
    <w:rsid w:val="00166B04"/>
    <w:rsid w:val="001670A6"/>
    <w:rsid w:val="001701FA"/>
    <w:rsid w:val="00171183"/>
    <w:rsid w:val="00171B9D"/>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471"/>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3289"/>
    <w:rsid w:val="002543F8"/>
    <w:rsid w:val="002551A4"/>
    <w:rsid w:val="002559F3"/>
    <w:rsid w:val="00256DFE"/>
    <w:rsid w:val="00261D56"/>
    <w:rsid w:val="00261FD3"/>
    <w:rsid w:val="00264077"/>
    <w:rsid w:val="00266B9A"/>
    <w:rsid w:val="00270E54"/>
    <w:rsid w:val="0027283A"/>
    <w:rsid w:val="00273681"/>
    <w:rsid w:val="00274BA3"/>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2F5008"/>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4DF8"/>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3871"/>
    <w:rsid w:val="00494737"/>
    <w:rsid w:val="00494D5C"/>
    <w:rsid w:val="00495A6A"/>
    <w:rsid w:val="004964F6"/>
    <w:rsid w:val="00496821"/>
    <w:rsid w:val="00497750"/>
    <w:rsid w:val="00497B44"/>
    <w:rsid w:val="004A00E5"/>
    <w:rsid w:val="004A01A7"/>
    <w:rsid w:val="004A0D09"/>
    <w:rsid w:val="004A116E"/>
    <w:rsid w:val="004A27F5"/>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2D2F"/>
    <w:rsid w:val="005441D4"/>
    <w:rsid w:val="0054672D"/>
    <w:rsid w:val="00550F4E"/>
    <w:rsid w:val="005532B5"/>
    <w:rsid w:val="00554A05"/>
    <w:rsid w:val="00555849"/>
    <w:rsid w:val="005559A8"/>
    <w:rsid w:val="00556BF7"/>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2AFD"/>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15B"/>
    <w:rsid w:val="00752D4F"/>
    <w:rsid w:val="0075409F"/>
    <w:rsid w:val="0075525A"/>
    <w:rsid w:val="00755609"/>
    <w:rsid w:val="00755986"/>
    <w:rsid w:val="00755C86"/>
    <w:rsid w:val="00755E19"/>
    <w:rsid w:val="00756BFF"/>
    <w:rsid w:val="00756D77"/>
    <w:rsid w:val="00757C21"/>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1B19"/>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6798"/>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6C91"/>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754FC"/>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3F7"/>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0C61"/>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33"/>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29"/>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2"/>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3AF7"/>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488B"/>
    <w:rsid w:val="00E354DA"/>
    <w:rsid w:val="00E354F5"/>
    <w:rsid w:val="00E3687E"/>
    <w:rsid w:val="00E40974"/>
    <w:rsid w:val="00E40AAB"/>
    <w:rsid w:val="00E41205"/>
    <w:rsid w:val="00E41F32"/>
    <w:rsid w:val="00E42608"/>
    <w:rsid w:val="00E43536"/>
    <w:rsid w:val="00E43DA3"/>
    <w:rsid w:val="00E44B80"/>
    <w:rsid w:val="00E47430"/>
    <w:rsid w:val="00E47872"/>
    <w:rsid w:val="00E50FB7"/>
    <w:rsid w:val="00E5199F"/>
    <w:rsid w:val="00E526DF"/>
    <w:rsid w:val="00E53C15"/>
    <w:rsid w:val="00E54EE6"/>
    <w:rsid w:val="00E56715"/>
    <w:rsid w:val="00E56C2C"/>
    <w:rsid w:val="00E57F8E"/>
    <w:rsid w:val="00E611C8"/>
    <w:rsid w:val="00E6344A"/>
    <w:rsid w:val="00E64E69"/>
    <w:rsid w:val="00E64FB7"/>
    <w:rsid w:val="00E669A1"/>
    <w:rsid w:val="00E66E28"/>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5E8"/>
    <w:rsid w:val="00EA2AEA"/>
    <w:rsid w:val="00EA332B"/>
    <w:rsid w:val="00EA34C5"/>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0B30"/>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15C7"/>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518E"/>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5791C"/>
    <w:rsid w:val="00F6031F"/>
    <w:rsid w:val="00F61664"/>
    <w:rsid w:val="00F61B99"/>
    <w:rsid w:val="00F64C45"/>
    <w:rsid w:val="00F6502B"/>
    <w:rsid w:val="00F6612A"/>
    <w:rsid w:val="00F66724"/>
    <w:rsid w:val="00F67F04"/>
    <w:rsid w:val="00F70207"/>
    <w:rsid w:val="00F702CB"/>
    <w:rsid w:val="00F71AC2"/>
    <w:rsid w:val="00F7346B"/>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249"/>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colormru v:ext="edit" colors="#2d4491,#28358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64CB"/>
    <w:pPr>
      <w:tabs>
        <w:tab w:val="center" w:pos="4536"/>
        <w:tab w:val="right" w:pos="9072"/>
      </w:tabs>
    </w:pPr>
  </w:style>
  <w:style w:type="paragraph" w:styleId="Footer">
    <w:name w:val="footer"/>
    <w:basedOn w:val="Normal"/>
    <w:link w:val="FooterChar"/>
    <w:uiPriority w:val="99"/>
    <w:rsid w:val="005B64CB"/>
    <w:pPr>
      <w:tabs>
        <w:tab w:val="center" w:pos="4536"/>
        <w:tab w:val="right" w:pos="9072"/>
      </w:tabs>
    </w:pPr>
  </w:style>
  <w:style w:type="table" w:styleId="TableGrid">
    <w:name w:val="Table Grid"/>
    <w:basedOn w:val="TableNormal"/>
    <w:uiPriority w:val="59"/>
    <w:rsid w:val="0065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Car,FT,ft"/>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uiPriority w:val="99"/>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uiPriority w:val="99"/>
    <w:rsid w:val="004B1E61"/>
    <w:rPr>
      <w:b/>
      <w:bCs/>
    </w:rPr>
  </w:style>
  <w:style w:type="character" w:customStyle="1" w:styleId="CommentSubjectChar">
    <w:name w:val="Comment Subject Char"/>
    <w:link w:val="CommentSubject"/>
    <w:uiPriority w:val="99"/>
    <w:rsid w:val="004B1E61"/>
    <w:rPr>
      <w:rFonts w:ascii="Georgia" w:hAnsi="Georgia"/>
      <w:b/>
      <w:bCs/>
      <w:lang w:eastAsia="de-DE"/>
    </w:rPr>
  </w:style>
  <w:style w:type="paragraph" w:styleId="BalloonText">
    <w:name w:val="Balloon Text"/>
    <w:basedOn w:val="Normal"/>
    <w:link w:val="BalloonTextChar"/>
    <w:uiPriority w:val="99"/>
    <w:rsid w:val="004B1E61"/>
    <w:rPr>
      <w:rFonts w:ascii="Tahoma" w:hAnsi="Tahoma" w:cs="Tahoma"/>
      <w:sz w:val="16"/>
      <w:szCs w:val="16"/>
    </w:rPr>
  </w:style>
  <w:style w:type="character" w:customStyle="1" w:styleId="BalloonTextChar">
    <w:name w:val="Balloon Text Char"/>
    <w:link w:val="BalloonText"/>
    <w:uiPriority w:val="99"/>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Car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rPr>
  </w:style>
  <w:style w:type="paragraph" w:customStyle="1" w:styleId="04fBodytextline">
    <w:name w:val="04f_Body text line"/>
    <w:basedOn w:val="04BodyText"/>
    <w:rsid w:val="000D2D0B"/>
    <w:pPr>
      <w:pBdr>
        <w:bottom w:val="single" w:sz="4" w:space="12" w:color="000000"/>
      </w:pBdr>
      <w:tabs>
        <w:tab w:val="left" w:pos="454"/>
      </w:tabs>
    </w:pPr>
    <w:rPr>
      <w:color w:val="000000"/>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rPr>
  </w:style>
  <w:style w:type="character" w:customStyle="1" w:styleId="04RunningTextChar">
    <w:name w:val="04_Running Text Char"/>
    <w:link w:val="04RunningText"/>
    <w:rsid w:val="000D2D0B"/>
    <w:rPr>
      <w:rFonts w:ascii="Georgia" w:hAnsi="Georgia"/>
      <w:szCs w:val="24"/>
      <w:lang w:eastAsia="de-DE"/>
    </w:rPr>
  </w:style>
  <w:style w:type="character" w:customStyle="1" w:styleId="AnnexChar">
    <w:name w:val="Annex Char"/>
    <w:link w:val="Annex"/>
    <w:rsid w:val="000D2D0B"/>
    <w:rPr>
      <w:rFonts w:ascii="Georgia" w:hAnsi="Georgia"/>
      <w:b/>
      <w:color w:val="000000"/>
      <w:szCs w:val="24"/>
      <w:lang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rPr>
  </w:style>
  <w:style w:type="character" w:customStyle="1" w:styleId="aStyle1Char">
    <w:name w:val="a. Style1 Char"/>
    <w:link w:val="aStyle1"/>
    <w:rsid w:val="000D2D0B"/>
    <w:rPr>
      <w:rFonts w:ascii="Arial" w:hAnsi="Arial"/>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eastAsia="Calibri"/>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5"/>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5"/>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5"/>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5"/>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5"/>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5"/>
      </w:numPr>
      <w:spacing w:before="250" w:line="276" w:lineRule="auto"/>
      <w:jc w:val="both"/>
    </w:pPr>
    <w:rPr>
      <w:rFonts w:asciiTheme="minorHAnsi" w:eastAsiaTheme="minorEastAsia" w:hAnsiTheme="minorHAnsi" w:cstheme="minorBidi"/>
      <w:sz w:val="22"/>
      <w:szCs w:val="20"/>
      <w:lang w:eastAsia="en-US"/>
    </w:rPr>
  </w:style>
  <w:style w:type="table" w:customStyle="1" w:styleId="PlainTable4">
    <w:name w:val="Plain Table 4"/>
    <w:basedOn w:val="TableNormal"/>
    <w:uiPriority w:val="44"/>
    <w:rsid w:val="00E66E2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r="http://schemas.openxmlformats.org/officeDocument/2006/relationships" xmlns:w="http://schemas.openxmlformats.org/wordprocessingml/2006/main">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hyperlink" Target="http://www.bis.org/publ/rpfx13fx.pdf"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hyperlink" Target="http://gfma.org/correspondence/item.aspx?id=591" TargetMode="Externa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aharvey@gfma.org" TargetMode="External"/><Relationship Id="rId20" Type="http://schemas.openxmlformats.org/officeDocument/2006/relationships/image" Target="media/image4.png"/><Relationship Id="rId29" Type="http://schemas.openxmlformats.org/officeDocument/2006/relationships/hyperlink" Target="http://www.bankofengland.co.uk/markets/Pages/forex/fxjsc/default.aspx"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fmckane@gfma.org" TargetMode="External"/><Relationship Id="rId23" Type="http://schemas.openxmlformats.org/officeDocument/2006/relationships/image" Target="media/image7.emf"/><Relationship Id="rId28" Type="http://schemas.openxmlformats.org/officeDocument/2006/relationships/hyperlink" Target="http://www.bis.org/publ/rpfx13fx.pdf"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bankofengland.co.uk/markets/Pages/forex/fxjsc/default.aspx" TargetMode="External"/><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ftc.gov/ucm/groups/public/@lrlettergeneral/documents/letter/12-53.pdf" TargetMode="External"/><Relationship Id="rId22" Type="http://schemas.openxmlformats.org/officeDocument/2006/relationships/image" Target="media/image6.png"/><Relationship Id="rId27" Type="http://schemas.openxmlformats.org/officeDocument/2006/relationships/hyperlink" Target="https://research.standardchartered.com/configuration/ROW%20Documents/PBoC_delivers_a_decisive_band_widening_16_03_14_13_14.pdf" TargetMode="External"/><Relationship Id="rId30" Type="http://schemas.openxmlformats.org/officeDocument/2006/relationships/hyperlink" Target="http://www.bankofengland.co.uk/markets/Pages/forex/fxjsc/default.aspx" TargetMode="External"/><Relationship Id="rId35" Type="http://schemas.openxmlformats.org/officeDocument/2006/relationships/image" Target="media/image15.emf"/></Relationships>
</file>

<file path=word/_rels/footnotes.xml.rels><?xml version="1.0" encoding="UTF-8" standalone="yes"?>
<Relationships xmlns="http://schemas.openxmlformats.org/package/2006/relationships"><Relationship Id="rId1" Type="http://schemas.openxmlformats.org/officeDocument/2006/relationships/hyperlink" Target="http://www.bis.org/publ/rpfx13fx.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3EA02-C59B-458A-A070-78967769EB73}">
  <ds:schemaRefs>
    <ds:schemaRef ds:uri="http://schemas.openxmlformats.org/officeDocument/2006/bibliography"/>
  </ds:schemaRefs>
</ds:datastoreItem>
</file>

<file path=customXml/itemProps2.xml><?xml version="1.0" encoding="utf-8"?>
<ds:datastoreItem xmlns:ds="http://schemas.openxmlformats.org/officeDocument/2006/customXml" ds:itemID="{56B9211E-BA3E-49E4-A869-16C75FF8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44</Pages>
  <Words>14135</Words>
  <Characters>75242</Characters>
  <Application>Microsoft Office Word</Application>
  <DocSecurity>8</DocSecurity>
  <Lines>627</Lines>
  <Paragraphs>178</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89199</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aharvey</cp:lastModifiedBy>
  <cp:revision>30</cp:revision>
  <cp:lastPrinted>2015-02-18T11:01:00Z</cp:lastPrinted>
  <dcterms:created xsi:type="dcterms:W3CDTF">2015-03-19T11:33:00Z</dcterms:created>
  <dcterms:modified xsi:type="dcterms:W3CDTF">2015-03-20T08:22:00Z</dcterms:modified>
</cp:coreProperties>
</file>