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B297C46" w14:textId="77777777" w:rsidTr="00315E96">
        <w:trPr>
          <w:trHeight w:val="284"/>
        </w:trPr>
        <w:tc>
          <w:tcPr>
            <w:tcW w:w="9412" w:type="dxa"/>
          </w:tcPr>
          <w:p w14:paraId="4F4DEA7C" w14:textId="77777777" w:rsidR="00C2094B" w:rsidRPr="004E49B0" w:rsidRDefault="003A5DAC" w:rsidP="00EF0769">
            <w:pPr>
              <w:pStyle w:val="00bDBInfo"/>
              <w:rPr>
                <w:rFonts w:cs="Arial"/>
              </w:rPr>
            </w:pPr>
            <w:r>
              <w:rPr>
                <w:rFonts w:cs="Arial"/>
              </w:rPr>
              <w:t>1</w:t>
            </w:r>
            <w:r w:rsidR="00EF0769">
              <w:rPr>
                <w:rFonts w:cs="Arial"/>
              </w:rPr>
              <w:t>8</w:t>
            </w:r>
            <w:r>
              <w:rPr>
                <w:rFonts w:cs="Arial"/>
              </w:rPr>
              <w:t xml:space="preserve"> February</w:t>
            </w:r>
            <w:r w:rsidR="00ED351E" w:rsidRPr="004E49B0">
              <w:rPr>
                <w:rFonts w:cs="Arial"/>
              </w:rPr>
              <w:t xml:space="preserve"> </w:t>
            </w:r>
            <w:r w:rsidR="006F4B04" w:rsidRPr="004E49B0">
              <w:rPr>
                <w:rFonts w:cs="Arial"/>
              </w:rPr>
              <w:t>20</w:t>
            </w:r>
            <w:r>
              <w:rPr>
                <w:rFonts w:cs="Arial"/>
              </w:rPr>
              <w:t>15</w:t>
            </w:r>
          </w:p>
        </w:tc>
      </w:tr>
    </w:tbl>
    <w:p w14:paraId="0191727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3F2518E" w14:textId="77777777" w:rsidTr="00B835D5">
        <w:trPr>
          <w:trHeight w:hRule="exact" w:val="1209"/>
        </w:trPr>
        <w:tc>
          <w:tcPr>
            <w:tcW w:w="9397" w:type="dxa"/>
            <w:vAlign w:val="bottom"/>
          </w:tcPr>
          <w:p w14:paraId="43E1A5A3" w14:textId="77777777"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14:paraId="429C2699" w14:textId="77777777" w:rsidR="00422A7D" w:rsidRPr="00616B9B" w:rsidRDefault="00EF0769" w:rsidP="00C000A5">
            <w:pPr>
              <w:pStyle w:val="01aDBTitle"/>
              <w:rPr>
                <w:rFonts w:cs="Arial"/>
              </w:rPr>
            </w:pPr>
            <w:r>
              <w:rPr>
                <w:rFonts w:cs="Arial"/>
              </w:rPr>
              <w:t xml:space="preserve">Addendum </w:t>
            </w:r>
            <w:r w:rsidR="003A5DAC">
              <w:rPr>
                <w:rFonts w:cs="Arial"/>
              </w:rPr>
              <w:t xml:space="preserve">Consultation Paper </w:t>
            </w:r>
            <w:r>
              <w:rPr>
                <w:rFonts w:cs="Arial"/>
              </w:rPr>
              <w:t>on MiFID II/MiFIR</w:t>
            </w:r>
            <w:r w:rsidR="00422A7D" w:rsidRPr="00616B9B">
              <w:rPr>
                <w:rFonts w:cs="Arial"/>
              </w:rPr>
              <w:t xml:space="preserve"> </w:t>
            </w:r>
          </w:p>
          <w:p w14:paraId="7B818C5A" w14:textId="77777777" w:rsidR="00791EB4" w:rsidRPr="00616B9B" w:rsidRDefault="00791EB4" w:rsidP="00C000A5">
            <w:pPr>
              <w:pStyle w:val="01aDBTitle"/>
              <w:rPr>
                <w:rFonts w:cs="Arial"/>
              </w:rPr>
            </w:pPr>
          </w:p>
        </w:tc>
      </w:tr>
      <w:tr w:rsidR="00060F72" w:rsidRPr="00616B9B" w14:paraId="25667E0C" w14:textId="77777777" w:rsidTr="00B835D5">
        <w:trPr>
          <w:trHeight w:hRule="exact" w:val="605"/>
        </w:trPr>
        <w:tc>
          <w:tcPr>
            <w:tcW w:w="9397" w:type="dxa"/>
            <w:tcMar>
              <w:top w:w="142" w:type="dxa"/>
            </w:tcMar>
          </w:tcPr>
          <w:p w14:paraId="722F8DF9"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67FE5E1C"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0FD0647A" w14:textId="77777777" w:rsidTr="00315E96">
        <w:trPr>
          <w:trHeight w:hRule="exact" w:val="964"/>
        </w:trPr>
        <w:tc>
          <w:tcPr>
            <w:tcW w:w="2325" w:type="dxa"/>
          </w:tcPr>
          <w:p w14:paraId="246D4A84" w14:textId="77777777"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EF0769">
              <w:rPr>
                <w:rFonts w:cs="Arial"/>
              </w:rPr>
              <w:t>8</w:t>
            </w:r>
            <w:r w:rsidR="004E49B0" w:rsidRPr="004E49B0">
              <w:rPr>
                <w:rFonts w:cs="Arial"/>
              </w:rPr>
              <w:t xml:space="preserve"> </w:t>
            </w:r>
            <w:r w:rsidR="003A5DAC">
              <w:rPr>
                <w:rFonts w:cs="Arial"/>
              </w:rPr>
              <w:t>February</w:t>
            </w:r>
            <w:r w:rsidR="004E49B0" w:rsidRPr="004E49B0">
              <w:rPr>
                <w:rFonts w:cs="Arial"/>
              </w:rPr>
              <w:t xml:space="preserve"> 201</w:t>
            </w:r>
            <w:r w:rsidR="003A5DAC">
              <w:rPr>
                <w:rFonts w:cs="Arial"/>
              </w:rPr>
              <w:t>5</w:t>
            </w:r>
          </w:p>
        </w:tc>
      </w:tr>
    </w:tbl>
    <w:p w14:paraId="48AB4A7A"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E54FFF6"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Pr>
          <w:rFonts w:cs="Arial"/>
        </w:rPr>
        <w:t xml:space="preserve">Addendum </w:t>
      </w:r>
      <w:r w:rsidR="00332304" w:rsidRPr="00EF0769">
        <w:rPr>
          <w:rFonts w:cs="Arial"/>
        </w:rPr>
        <w:t xml:space="preserve">Consultation Paper </w:t>
      </w:r>
      <w:r w:rsidR="00332304">
        <w:rPr>
          <w:rFonts w:cs="Arial"/>
        </w:rPr>
        <w:t xml:space="preserve">on </w:t>
      </w:r>
      <w:r w:rsidR="00955F48" w:rsidRPr="00EF0769">
        <w:rPr>
          <w:rFonts w:cs="Arial"/>
        </w:rPr>
        <w:t>MiFID II/MiFIR</w:t>
      </w:r>
      <w:r w:rsidR="00015B5E" w:rsidRPr="00EF0769">
        <w:rPr>
          <w:rFonts w:cs="Arial"/>
        </w:rPr>
        <w:t>, published on the ESMA website</w:t>
      </w:r>
      <w:r w:rsidR="004E49B0" w:rsidRPr="00EF0769">
        <w:rPr>
          <w:rFonts w:cs="Arial"/>
        </w:rPr>
        <w:t>.</w:t>
      </w:r>
    </w:p>
    <w:p w14:paraId="4DEC71CF" w14:textId="77777777" w:rsidR="001D000A" w:rsidRDefault="001D000A" w:rsidP="00F574D0">
      <w:pPr>
        <w:autoSpaceDE w:val="0"/>
        <w:autoSpaceDN w:val="0"/>
        <w:adjustRightInd w:val="0"/>
        <w:spacing w:before="120" w:after="120" w:line="276" w:lineRule="auto"/>
        <w:jc w:val="both"/>
        <w:rPr>
          <w:rStyle w:val="Strong4"/>
          <w:rFonts w:cs="Arial"/>
          <w:i/>
        </w:rPr>
      </w:pPr>
    </w:p>
    <w:p w14:paraId="02D6EC58"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0A358CCA"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4366EA4A"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5E36FF99" w14:textId="77777777"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QUESTION_MIFID_ADD</w:t>
      </w:r>
      <w:r w:rsidR="00E9344E" w:rsidRPr="00EF0769">
        <w:rPr>
          <w:rFonts w:cs="Arial"/>
        </w:rPr>
        <w:t>_</w:t>
      </w:r>
      <w:r w:rsidR="00F574D0" w:rsidRPr="00EF0769">
        <w:rPr>
          <w:rFonts w:cs="Arial"/>
        </w:rPr>
        <w:t>1&gt; - i.e. the response to one question has to be framed by the 2 tags corresponding to the question; and</w:t>
      </w:r>
    </w:p>
    <w:p w14:paraId="7EF8829F"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1EB7F923"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12DD726F"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547BC113"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2AAACAF3"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753885F8" w14:textId="77777777" w:rsidR="001D000A" w:rsidRDefault="001D000A" w:rsidP="000D17AA">
      <w:pPr>
        <w:pStyle w:val="04BodyText"/>
        <w:spacing w:before="120" w:after="120"/>
        <w:jc w:val="left"/>
        <w:rPr>
          <w:rFonts w:cs="Arial"/>
          <w:b/>
        </w:rPr>
      </w:pPr>
    </w:p>
    <w:p w14:paraId="1478760E" w14:textId="77777777" w:rsidR="000D17AA" w:rsidRPr="00EF0769" w:rsidRDefault="00606240" w:rsidP="000D17AA">
      <w:pPr>
        <w:pStyle w:val="04BodyText"/>
        <w:spacing w:before="120" w:after="120"/>
        <w:jc w:val="left"/>
        <w:rPr>
          <w:rFonts w:cs="Arial"/>
          <w:b/>
        </w:rPr>
      </w:pPr>
      <w:r>
        <w:rPr>
          <w:rFonts w:cs="Arial"/>
          <w:b/>
        </w:rPr>
        <w:t>Naming protocol</w:t>
      </w:r>
    </w:p>
    <w:p w14:paraId="6C55AD68"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2DEA6312" w14:textId="77777777"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_NAMEOFCOMPANY_NAMEOFDOCUMENT</w:t>
      </w:r>
      <w:r w:rsidR="000D17AA" w:rsidRPr="00EF0769">
        <w:rPr>
          <w:rFonts w:cs="Arial"/>
        </w:rPr>
        <w:t>.</w:t>
      </w:r>
    </w:p>
    <w:p w14:paraId="13E77FC9"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ESMA, the </w:t>
      </w:r>
      <w:r w:rsidR="00021E83" w:rsidRPr="00EF0769">
        <w:rPr>
          <w:rFonts w:cs="Arial"/>
        </w:rPr>
        <w:t>name of the reply form would be:</w:t>
      </w:r>
    </w:p>
    <w:p w14:paraId="331DF81E" w14:textId="77777777"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_ADD_</w:t>
      </w:r>
      <w:r w:rsidRPr="00EF0769">
        <w:rPr>
          <w:rFonts w:cs="Arial"/>
        </w:rPr>
        <w:t xml:space="preserve">ESMA_REPLYFORM or </w:t>
      </w:r>
    </w:p>
    <w:p w14:paraId="1FC47649" w14:textId="77777777"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_ESMA_ANNEX1</w:t>
      </w:r>
    </w:p>
    <w:p w14:paraId="4EFA8AC3"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7CAA362D"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28ED464C"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1AEA575"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021E83" w:rsidRPr="00EF0769">
        <w:rPr>
          <w:rFonts w:cs="Arial"/>
          <w:b/>
        </w:rPr>
        <w:t>20 March 2015.</w:t>
      </w:r>
    </w:p>
    <w:p w14:paraId="140E36CC"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14:paraId="0058F9EB"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70785C9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54863F11"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D2E486A"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39CF129"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26DC85E4"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7509470E"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7FF7CC02" w14:textId="77777777" w:rsidR="00332304" w:rsidRDefault="00332304">
      <w:pPr>
        <w:rPr>
          <w:rFonts w:cs="Arial"/>
          <w:b/>
          <w:bCs/>
          <w:kern w:val="32"/>
          <w:sz w:val="24"/>
          <w:szCs w:val="32"/>
        </w:rPr>
      </w:pPr>
      <w:r>
        <w:br w:type="page"/>
      </w:r>
    </w:p>
    <w:p w14:paraId="605A6688" w14:textId="77777777" w:rsidR="00D34282" w:rsidRPr="00AB6D88" w:rsidRDefault="00D34282" w:rsidP="00D34282">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14:paraId="02D19BA8" w14:textId="77777777" w:rsidTr="001F03CA">
        <w:tc>
          <w:tcPr>
            <w:tcW w:w="3929" w:type="dxa"/>
            <w:shd w:val="clear" w:color="auto" w:fill="auto"/>
          </w:tcPr>
          <w:p w14:paraId="071C485A" w14:textId="77777777" w:rsidR="00D34282" w:rsidRPr="00AB6D88" w:rsidRDefault="00D34282" w:rsidP="001F03CA">
            <w:pPr>
              <w:rPr>
                <w:rFonts w:cs="Arial"/>
              </w:rPr>
            </w:pPr>
            <w:permStart w:id="158031441" w:edGrp="everyone" w:colFirst="1" w:colLast="1"/>
            <w:r w:rsidRPr="00AB6D88">
              <w:rPr>
                <w:rFonts w:cs="Arial"/>
              </w:rPr>
              <w:t>Name of the company / organisation</w:t>
            </w:r>
          </w:p>
        </w:tc>
        <w:sdt>
          <w:sdtPr>
            <w:rPr>
              <w:rStyle w:val="Platzhaltertext"/>
              <w:rFonts w:cs="Arial"/>
            </w:rPr>
            <w:id w:val="-1905066999"/>
            <w:text/>
          </w:sdtPr>
          <w:sdtEndPr>
            <w:rPr>
              <w:rStyle w:val="Platzhaltertext"/>
            </w:rPr>
          </w:sdtEndPr>
          <w:sdtContent>
            <w:permStart w:id="484077625" w:edGrp="everyone" w:displacedByCustomXml="prev"/>
            <w:tc>
              <w:tcPr>
                <w:tcW w:w="5595" w:type="dxa"/>
                <w:shd w:val="clear" w:color="auto" w:fill="auto"/>
              </w:tcPr>
              <w:p w14:paraId="6310491C" w14:textId="77777777" w:rsidR="00D34282" w:rsidRPr="00AB6D88" w:rsidRDefault="00785444" w:rsidP="00785444">
                <w:pPr>
                  <w:rPr>
                    <w:rStyle w:val="Platzhaltertext"/>
                    <w:rFonts w:cs="Arial"/>
                  </w:rPr>
                </w:pPr>
                <w:r>
                  <w:rPr>
                    <w:rStyle w:val="Platzhaltertext"/>
                    <w:rFonts w:cs="Arial"/>
                  </w:rPr>
                  <w:t>GBIC</w:t>
                </w:r>
              </w:p>
            </w:tc>
            <w:permEnd w:id="484077625" w:displacedByCustomXml="next"/>
          </w:sdtContent>
        </w:sdt>
      </w:tr>
      <w:tr w:rsidR="00D34282" w:rsidRPr="00AB6D88" w14:paraId="1B5CFC75" w14:textId="77777777" w:rsidTr="001F03CA">
        <w:tc>
          <w:tcPr>
            <w:tcW w:w="3929" w:type="dxa"/>
            <w:shd w:val="clear" w:color="auto" w:fill="auto"/>
          </w:tcPr>
          <w:p w14:paraId="3E4D1F66" w14:textId="77777777" w:rsidR="00D34282" w:rsidRPr="00AB6D88" w:rsidRDefault="00D34282" w:rsidP="001F03CA">
            <w:pPr>
              <w:rPr>
                <w:rFonts w:cs="Arial"/>
              </w:rPr>
            </w:pPr>
            <w:permStart w:id="1585934452" w:edGrp="everyone" w:colFirst="1" w:colLast="1"/>
            <w:permEnd w:id="158031441"/>
            <w:r w:rsidRPr="00AB6D88">
              <w:rPr>
                <w:rFonts w:cs="Arial"/>
              </w:rPr>
              <w:t>Confidential</w:t>
            </w:r>
            <w:r w:rsidRPr="00AB6D88">
              <w:rPr>
                <w:rStyle w:val="Funotenzeichen"/>
                <w:rFonts w:cs="Arial"/>
              </w:rPr>
              <w:footnoteReference w:id="2"/>
            </w:r>
          </w:p>
        </w:tc>
        <w:sdt>
          <w:sdtPr>
            <w:rPr>
              <w:rStyle w:val="Platzhaltertext"/>
              <w:rFonts w:cs="Arial"/>
            </w:rPr>
            <w:id w:val="-2035031634"/>
            <w14:checkbox>
              <w14:checked w14:val="0"/>
              <w14:checkedState w14:val="2612" w14:font="MS Gothic"/>
              <w14:uncheckedState w14:val="2610" w14:font="MS Gothic"/>
            </w14:checkbox>
          </w:sdtPr>
          <w:sdtEndPr>
            <w:rPr>
              <w:rStyle w:val="Platzhaltertext"/>
            </w:rPr>
          </w:sdtEndPr>
          <w:sdtContent>
            <w:tc>
              <w:tcPr>
                <w:tcW w:w="5595" w:type="dxa"/>
                <w:shd w:val="clear" w:color="auto" w:fill="auto"/>
              </w:tcPr>
              <w:p w14:paraId="2FBA5BB5" w14:textId="77777777" w:rsidR="00D34282" w:rsidRPr="00AB6D88" w:rsidRDefault="00D34282" w:rsidP="001F03CA">
                <w:pPr>
                  <w:rPr>
                    <w:rStyle w:val="Platzhaltertext"/>
                    <w:rFonts w:cs="Arial"/>
                  </w:rPr>
                </w:pPr>
                <w:r>
                  <w:rPr>
                    <w:rStyle w:val="Platzhaltertext"/>
                    <w:rFonts w:ascii="MS Gothic" w:eastAsia="MS Gothic" w:hAnsi="MS Gothic" w:cs="Arial" w:hint="eastAsia"/>
                  </w:rPr>
                  <w:t>☐</w:t>
                </w:r>
              </w:p>
            </w:tc>
          </w:sdtContent>
        </w:sdt>
      </w:tr>
      <w:tr w:rsidR="00D34282" w:rsidRPr="00AB6D88" w14:paraId="2CB265B9" w14:textId="77777777" w:rsidTr="001F03CA">
        <w:tc>
          <w:tcPr>
            <w:tcW w:w="3929" w:type="dxa"/>
            <w:shd w:val="clear" w:color="auto" w:fill="auto"/>
          </w:tcPr>
          <w:p w14:paraId="594DD5D7" w14:textId="77777777" w:rsidR="00D34282" w:rsidRPr="00AB6D88" w:rsidRDefault="00D34282" w:rsidP="001F03CA">
            <w:pPr>
              <w:rPr>
                <w:rFonts w:cs="Arial"/>
              </w:rPr>
            </w:pPr>
            <w:permStart w:id="938681430" w:edGrp="everyone" w:colFirst="1" w:colLast="1"/>
            <w:permEnd w:id="1585934452"/>
            <w:r w:rsidRPr="00AB6D88">
              <w:rPr>
                <w:rFonts w:cs="Arial"/>
              </w:rPr>
              <w:t>Activity</w:t>
            </w:r>
          </w:p>
        </w:tc>
        <w:tc>
          <w:tcPr>
            <w:tcW w:w="5595" w:type="dxa"/>
            <w:shd w:val="clear" w:color="auto" w:fill="auto"/>
          </w:tcPr>
          <w:p w14:paraId="1A1181EF" w14:textId="77777777" w:rsidR="00D34282" w:rsidRPr="00AB6D88" w:rsidRDefault="00570E96"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5776545" w:edGrp="everyone"/>
                <w:r w:rsidR="00785444">
                  <w:rPr>
                    <w:rFonts w:cs="Arial"/>
                  </w:rPr>
                  <w:t>Banking sector</w:t>
                </w:r>
                <w:permEnd w:id="5776545"/>
              </w:sdtContent>
            </w:sdt>
          </w:p>
        </w:tc>
      </w:tr>
      <w:tr w:rsidR="00D34282" w:rsidRPr="00AB6D88" w14:paraId="22BAC612" w14:textId="77777777" w:rsidTr="001F03CA">
        <w:tc>
          <w:tcPr>
            <w:tcW w:w="3929" w:type="dxa"/>
            <w:shd w:val="clear" w:color="auto" w:fill="auto"/>
          </w:tcPr>
          <w:p w14:paraId="52F53103" w14:textId="77777777" w:rsidR="00D34282" w:rsidRPr="00AB6D88" w:rsidRDefault="00D34282" w:rsidP="001F03CA">
            <w:pPr>
              <w:rPr>
                <w:rFonts w:cs="Arial"/>
              </w:rPr>
            </w:pPr>
            <w:permStart w:id="1065294784" w:edGrp="everyone" w:colFirst="1" w:colLast="1"/>
            <w:permEnd w:id="938681430"/>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236632E2" w14:textId="77777777" w:rsidR="00D34282" w:rsidRPr="00AB6D88" w:rsidRDefault="00785444" w:rsidP="001F03CA">
                <w:pPr>
                  <w:rPr>
                    <w:rFonts w:cs="Arial"/>
                  </w:rPr>
                </w:pPr>
                <w:r>
                  <w:rPr>
                    <w:rFonts w:ascii="MS Gothic" w:eastAsia="MS Gothic" w:hAnsi="MS Gothic" w:cs="Arial" w:hint="eastAsia"/>
                  </w:rPr>
                  <w:t>☒</w:t>
                </w:r>
              </w:p>
            </w:tc>
          </w:sdtContent>
        </w:sdt>
      </w:tr>
      <w:tr w:rsidR="00D34282" w:rsidRPr="00AB6D88" w14:paraId="3F1661F4" w14:textId="77777777" w:rsidTr="001F03CA">
        <w:tc>
          <w:tcPr>
            <w:tcW w:w="3929" w:type="dxa"/>
            <w:shd w:val="clear" w:color="auto" w:fill="auto"/>
          </w:tcPr>
          <w:p w14:paraId="724D5C54" w14:textId="77777777" w:rsidR="00D34282" w:rsidRPr="00AB6D88" w:rsidRDefault="00D34282" w:rsidP="001F03CA">
            <w:pPr>
              <w:rPr>
                <w:rFonts w:cs="Arial"/>
              </w:rPr>
            </w:pPr>
            <w:permStart w:id="297218828" w:edGrp="everyone" w:colFirst="1" w:colLast="1"/>
            <w:permEnd w:id="1065294784"/>
            <w:r w:rsidRPr="00AB6D88">
              <w:rPr>
                <w:rFonts w:cs="Arial"/>
              </w:rPr>
              <w:t>Country/Region</w:t>
            </w:r>
          </w:p>
        </w:tc>
        <w:permStart w:id="674849659"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730036646" w:edGrp="everyone" w:displacedByCustomXml="prev"/>
            <w:tc>
              <w:tcPr>
                <w:tcW w:w="5595" w:type="dxa"/>
                <w:shd w:val="clear" w:color="auto" w:fill="auto"/>
              </w:tcPr>
              <w:p w14:paraId="1CDC00C6" w14:textId="77777777" w:rsidR="00D34282" w:rsidRPr="00AB6D88" w:rsidRDefault="00785444" w:rsidP="001F03CA">
                <w:pPr>
                  <w:rPr>
                    <w:rFonts w:cs="Arial"/>
                  </w:rPr>
                </w:pPr>
                <w:r>
                  <w:rPr>
                    <w:rFonts w:cs="Arial"/>
                  </w:rPr>
                  <w:t>Germany</w:t>
                </w:r>
              </w:p>
            </w:tc>
            <w:permEnd w:id="1730036646" w:displacedByCustomXml="next"/>
          </w:sdtContent>
        </w:sdt>
        <w:permEnd w:id="674849659" w:displacedByCustomXml="prev"/>
      </w:tr>
      <w:permEnd w:id="297218828"/>
    </w:tbl>
    <w:p w14:paraId="58B8A60E" w14:textId="77777777" w:rsidR="00D34282" w:rsidRDefault="00D34282" w:rsidP="00D34282">
      <w:pPr>
        <w:spacing w:after="120" w:line="264" w:lineRule="auto"/>
      </w:pPr>
    </w:p>
    <w:p w14:paraId="3EC74DD0" w14:textId="77777777" w:rsidR="00D34282" w:rsidRDefault="00D34282" w:rsidP="00D34282">
      <w:pPr>
        <w:spacing w:after="120" w:line="264" w:lineRule="auto"/>
      </w:pPr>
    </w:p>
    <w:p w14:paraId="7F00FF86" w14:textId="77777777" w:rsidR="00D34282" w:rsidRDefault="00D34282" w:rsidP="00D34282">
      <w:pPr>
        <w:pStyle w:val="berschrift1"/>
        <w:numPr>
          <w:ilvl w:val="0"/>
          <w:numId w:val="0"/>
        </w:numPr>
        <w:ind w:left="431" w:hanging="431"/>
      </w:pPr>
      <w:r>
        <w:t>Introduction</w:t>
      </w:r>
    </w:p>
    <w:p w14:paraId="6457A526" w14:textId="77777777" w:rsidR="00D34282" w:rsidRPr="001D47A5" w:rsidRDefault="00D34282" w:rsidP="00D34282">
      <w:pPr>
        <w:rPr>
          <w:rStyle w:val="IntensiveHervorhebung"/>
        </w:rPr>
      </w:pPr>
      <w:r w:rsidRPr="001D47A5">
        <w:rPr>
          <w:rStyle w:val="IntensiveHervorhebung"/>
        </w:rPr>
        <w:t>Please make your introductory comments below, if any:</w:t>
      </w:r>
    </w:p>
    <w:p w14:paraId="11678B2F" w14:textId="77777777" w:rsidR="00D34282" w:rsidRPr="00C25863" w:rsidRDefault="00D34282" w:rsidP="00D34282">
      <w:r w:rsidRPr="00C25863">
        <w:t>&lt;</w:t>
      </w:r>
      <w:r w:rsidRPr="00D74C9D">
        <w:t xml:space="preserve"> </w:t>
      </w:r>
      <w:r>
        <w:t>ESMA_COMMENT</w:t>
      </w:r>
      <w:r w:rsidRPr="00C25863">
        <w:t>_</w:t>
      </w:r>
      <w:r w:rsidR="00F70207">
        <w:t>MIFID_ADD</w:t>
      </w:r>
      <w:r w:rsidRPr="00C25863">
        <w:t>_1&gt;</w:t>
      </w:r>
    </w:p>
    <w:p w14:paraId="40CEEA4E" w14:textId="77777777" w:rsidR="00576520" w:rsidRDefault="00576520" w:rsidP="00577C5D">
      <w:pPr>
        <w:rPr>
          <w:lang w:val="en-US"/>
        </w:rPr>
      </w:pPr>
      <w:permStart w:id="1209744379" w:edGrp="everyone"/>
    </w:p>
    <w:p w14:paraId="5CCE2737" w14:textId="77777777" w:rsidR="00577C5D" w:rsidRPr="00E357C6" w:rsidRDefault="00577C5D" w:rsidP="00577C5D">
      <w:pPr>
        <w:rPr>
          <w:lang w:val="en-US"/>
        </w:rPr>
      </w:pPr>
      <w:r w:rsidRPr="00E357C6">
        <w:rPr>
          <w:lang w:val="en-US"/>
        </w:rPr>
        <w:t>The German Banking Industry Committee represents more than 2,000 German banks. We have closely followed the legislative process to revise the Markets in Financial Instruments Directive (MiFID), which is intended to reorganise the European securities, derivatives and commodities markets and, not least, further enhance investor protection. We welcome the chance to respond to ESMA’s recent consultation on MiFID II/MiFIR – Level 2 measures. We would also, against this background, like to make some general, overarching comments about the consultation:</w:t>
      </w:r>
    </w:p>
    <w:p w14:paraId="6BC35267" w14:textId="77777777" w:rsidR="00577C5D" w:rsidRPr="00E357C6" w:rsidRDefault="00577C5D" w:rsidP="00577C5D">
      <w:pPr>
        <w:rPr>
          <w:lang w:val="en-US"/>
        </w:rPr>
      </w:pPr>
    </w:p>
    <w:p w14:paraId="3F3D2910" w14:textId="77777777" w:rsidR="00577C5D" w:rsidRPr="00E357C6" w:rsidRDefault="00577C5D" w:rsidP="00577C5D">
      <w:pPr>
        <w:rPr>
          <w:b/>
          <w:lang w:val="en-US"/>
        </w:rPr>
      </w:pPr>
      <w:r w:rsidRPr="00E357C6">
        <w:rPr>
          <w:b/>
          <w:lang w:val="en-US"/>
        </w:rPr>
        <w:t>• Application of the proportionality principle</w:t>
      </w:r>
    </w:p>
    <w:p w14:paraId="285D172B" w14:textId="77777777" w:rsidR="00577C5D" w:rsidRPr="00E357C6" w:rsidRDefault="00577C5D" w:rsidP="00577C5D">
      <w:pPr>
        <w:rPr>
          <w:lang w:val="en-US"/>
        </w:rPr>
      </w:pPr>
      <w:r w:rsidRPr="00E357C6">
        <w:rPr>
          <w:lang w:val="en-US"/>
        </w:rPr>
        <w:t>The proportionality principle enshrined in Article 5</w:t>
      </w:r>
      <w:r w:rsidRPr="00E357C6">
        <w:t> </w:t>
      </w:r>
      <w:r w:rsidRPr="00E357C6">
        <w:rPr>
          <w:lang w:val="en-US"/>
        </w:rPr>
        <w:t>(4) of the Treaty on European Union requires Level 2 measures to refrain from exceeding that what is necessary to achieve the objectives set at Level 1. The cost of Level 2 measures, moreover, should not be disproportionate to the intended benefits. Furthermore, proportionality is necessary to justify requirements with respect to data protection law.</w:t>
      </w:r>
    </w:p>
    <w:p w14:paraId="164E839F" w14:textId="77777777" w:rsidR="00577C5D" w:rsidRPr="00E357C6" w:rsidRDefault="00577C5D" w:rsidP="00577C5D">
      <w:pPr>
        <w:rPr>
          <w:lang w:val="en-US"/>
        </w:rPr>
      </w:pPr>
    </w:p>
    <w:p w14:paraId="5D1C2AAD" w14:textId="77777777" w:rsidR="00577C5D" w:rsidRPr="00E357C6" w:rsidRDefault="00577C5D" w:rsidP="00577C5D">
      <w:pPr>
        <w:rPr>
          <w:lang w:val="en-US"/>
        </w:rPr>
      </w:pPr>
      <w:r w:rsidRPr="00E357C6">
        <w:rPr>
          <w:lang w:val="en-US"/>
        </w:rPr>
        <w:t xml:space="preserve">With this in mind, a number of ESMA’s proposals need to be more targeted in scope. This applies, for example, to chapter </w:t>
      </w:r>
      <w:r>
        <w:rPr>
          <w:lang w:val="en-US"/>
        </w:rPr>
        <w:t xml:space="preserve">2.1 (Foreign Exchange Derivates). It applied equally for chapter </w:t>
      </w:r>
      <w:r w:rsidRPr="00E357C6">
        <w:rPr>
          <w:lang w:val="en-US"/>
        </w:rPr>
        <w:t>3.5 (Liquid market definition for non-equity financial instruments)</w:t>
      </w:r>
      <w:r>
        <w:rPr>
          <w:lang w:val="en-US"/>
        </w:rPr>
        <w:t xml:space="preserve"> of the previous Consultation Paper (ESMA/2014/1570)</w:t>
      </w:r>
      <w:r w:rsidRPr="00E357C6">
        <w:rPr>
          <w:lang w:val="en-US"/>
        </w:rPr>
        <w:t xml:space="preserve">. </w:t>
      </w:r>
      <w:r>
        <w:rPr>
          <w:lang w:val="en-US"/>
        </w:rPr>
        <w:t>We reiterate that i</w:t>
      </w:r>
      <w:r w:rsidRPr="00E357C6">
        <w:rPr>
          <w:lang w:val="en-US"/>
        </w:rPr>
        <w:t>t would be wrong to set the thresholds at a level which aims at a certain coverage ratio. It is true that MiFIR aims at increasing market transparency. However, it is equally true that MiFIR does not intend to create such transparency at the price of unreasonable risks, in particular for systematic internalisers. Defining a liquid market wrongly would result in the risk for systematic internalisers of such instruments becoming prohibitive. Liquidity would then dry up completely. This is not in the in</w:t>
      </w:r>
      <w:r>
        <w:rPr>
          <w:lang w:val="en-US"/>
        </w:rPr>
        <w:t>terest of issuers or investors.</w:t>
      </w:r>
    </w:p>
    <w:p w14:paraId="1C9E065E" w14:textId="77777777" w:rsidR="00577C5D" w:rsidRDefault="00577C5D" w:rsidP="00577C5D">
      <w:pPr>
        <w:rPr>
          <w:b/>
          <w:lang w:val="en-US"/>
        </w:rPr>
      </w:pPr>
    </w:p>
    <w:p w14:paraId="7566FD9E" w14:textId="77777777" w:rsidR="00577C5D" w:rsidRPr="00E357C6" w:rsidRDefault="00577C5D" w:rsidP="00577C5D">
      <w:pPr>
        <w:rPr>
          <w:b/>
          <w:lang w:val="en-US"/>
        </w:rPr>
      </w:pPr>
      <w:r w:rsidRPr="00E357C6">
        <w:rPr>
          <w:b/>
          <w:lang w:val="en-US"/>
        </w:rPr>
        <w:t>• No exceeding of the Level 1 framework</w:t>
      </w:r>
    </w:p>
    <w:p w14:paraId="0B1C7C74" w14:textId="75F0F1F6" w:rsidR="00577C5D" w:rsidRDefault="00577C5D" w:rsidP="00577C5D">
      <w:pPr>
        <w:rPr>
          <w:lang w:val="en-US"/>
        </w:rPr>
      </w:pPr>
      <w:r w:rsidRPr="00E357C6">
        <w:rPr>
          <w:lang w:val="en-US"/>
        </w:rPr>
        <w:t xml:space="preserve">Level 2 measures should not exceed the framework set at Level 1. The proposals and views set out by ESMA in its </w:t>
      </w:r>
      <w:r>
        <w:rPr>
          <w:lang w:val="en-US"/>
        </w:rPr>
        <w:t xml:space="preserve">Addendum </w:t>
      </w:r>
      <w:r w:rsidRPr="00E357C6">
        <w:rPr>
          <w:lang w:val="en-US"/>
        </w:rPr>
        <w:t xml:space="preserve">Consultation Paper do not always reflect this principle. </w:t>
      </w:r>
      <w:r>
        <w:rPr>
          <w:lang w:val="en-US"/>
        </w:rPr>
        <w:t>For example, t</w:t>
      </w:r>
      <w:r w:rsidRPr="00E357C6">
        <w:rPr>
          <w:lang w:val="en-US"/>
        </w:rPr>
        <w:t>he proposed measures on</w:t>
      </w:r>
      <w:r>
        <w:rPr>
          <w:lang w:val="en-US"/>
        </w:rPr>
        <w:t xml:space="preserve"> setting the size specific to the instrument threshold as 50% of the large in scale threshold regardless of whether investment firms would be able to manage the arising risks, do not correspond with Level 1. </w:t>
      </w:r>
      <w:r w:rsidRPr="00CB299C">
        <w:rPr>
          <w:rFonts w:cs="Arial"/>
        </w:rPr>
        <w:t>Art</w:t>
      </w:r>
      <w:r>
        <w:rPr>
          <w:rFonts w:cs="Arial"/>
        </w:rPr>
        <w:t>icle</w:t>
      </w:r>
      <w:r w:rsidRPr="00CB299C">
        <w:rPr>
          <w:rFonts w:cs="Arial"/>
        </w:rPr>
        <w:t xml:space="preserve"> 9</w:t>
      </w:r>
      <w:r>
        <w:t> </w:t>
      </w:r>
      <w:r>
        <w:rPr>
          <w:rFonts w:cs="Arial"/>
        </w:rPr>
        <w:t>(</w:t>
      </w:r>
      <w:r w:rsidRPr="00CB299C">
        <w:rPr>
          <w:rFonts w:cs="Arial"/>
        </w:rPr>
        <w:t>5</w:t>
      </w:r>
      <w:r>
        <w:rPr>
          <w:rFonts w:cs="Arial"/>
        </w:rPr>
        <w:t>)</w:t>
      </w:r>
      <w:r>
        <w:t> </w:t>
      </w:r>
      <w:r>
        <w:rPr>
          <w:rFonts w:cs="Arial"/>
        </w:rPr>
        <w:t>(</w:t>
      </w:r>
      <w:r w:rsidRPr="00CB299C">
        <w:rPr>
          <w:rFonts w:cs="Arial"/>
        </w:rPr>
        <w:t>d</w:t>
      </w:r>
      <w:r>
        <w:rPr>
          <w:rFonts w:cs="Arial"/>
        </w:rPr>
        <w:t>)</w:t>
      </w:r>
      <w:r>
        <w:t> </w:t>
      </w:r>
      <w:r w:rsidRPr="00CB299C">
        <w:rPr>
          <w:rFonts w:cs="Arial"/>
        </w:rPr>
        <w:t>(i)</w:t>
      </w:r>
      <w:r>
        <w:t> </w:t>
      </w:r>
      <w:r w:rsidRPr="00CB299C">
        <w:rPr>
          <w:rFonts w:cs="Arial"/>
        </w:rPr>
        <w:t>MiFIR req</w:t>
      </w:r>
      <w:r>
        <w:rPr>
          <w:rFonts w:cs="Arial"/>
        </w:rPr>
        <w:t>uires ESMA to take into account</w:t>
      </w:r>
      <w:r w:rsidRPr="00CB299C">
        <w:rPr>
          <w:rFonts w:cs="Arial"/>
        </w:rPr>
        <w:t xml:space="preserve"> </w:t>
      </w:r>
      <w:r>
        <w:rPr>
          <w:rFonts w:cs="Arial"/>
        </w:rPr>
        <w:t>“</w:t>
      </w:r>
      <w:r w:rsidRPr="00740607">
        <w:rPr>
          <w:rFonts w:cs="Arial"/>
        </w:rPr>
        <w:t>whether, at such sizes, liquidity providers would be able to hedge their risks</w:t>
      </w:r>
      <w:r>
        <w:rPr>
          <w:rFonts w:cs="Arial"/>
        </w:rPr>
        <w:t>”.</w:t>
      </w:r>
      <w:r w:rsidRPr="00D66778">
        <w:rPr>
          <w:lang w:val="en-US"/>
        </w:rPr>
        <w:t xml:space="preserve"> ESMA’s proposals in this area need to be revised.</w:t>
      </w:r>
    </w:p>
    <w:p w14:paraId="5421D5D3" w14:textId="77777777" w:rsidR="00576520" w:rsidRPr="00C652AE" w:rsidRDefault="00576520" w:rsidP="00577C5D">
      <w:pPr>
        <w:rPr>
          <w:lang w:val="en-US"/>
        </w:rPr>
      </w:pPr>
    </w:p>
    <w:permEnd w:id="1209744379"/>
    <w:p w14:paraId="1BF429A7" w14:textId="77777777" w:rsidR="00D34282" w:rsidRPr="00C25863" w:rsidRDefault="00D34282" w:rsidP="00D34282">
      <w:r w:rsidRPr="00C25863">
        <w:t>&lt;</w:t>
      </w:r>
      <w:r w:rsidRPr="00D74C9D">
        <w:t xml:space="preserve"> </w:t>
      </w:r>
      <w:r>
        <w:t>ESMA_COMMENT</w:t>
      </w:r>
      <w:r w:rsidRPr="00C25863">
        <w:t>_</w:t>
      </w:r>
      <w:r w:rsidR="00F70207">
        <w:t>MIFID_ADD</w:t>
      </w:r>
      <w:r w:rsidRPr="00C25863">
        <w:t>_1&gt;</w:t>
      </w:r>
    </w:p>
    <w:p w14:paraId="00EEB5DA" w14:textId="77777777" w:rsidR="00A8728B" w:rsidRPr="00B62727" w:rsidRDefault="00F32462" w:rsidP="00A8728B">
      <w:pPr>
        <w:pStyle w:val="CPQuestions"/>
        <w:ind w:left="714" w:hanging="357"/>
      </w:pPr>
      <w:r>
        <w:rPr>
          <w:rFonts w:cs="Arial"/>
          <w:szCs w:val="22"/>
        </w:rPr>
        <w:br w:type="page"/>
      </w:r>
      <w:r w:rsidR="00A8728B" w:rsidRPr="00C24BCA">
        <w:lastRenderedPageBreak/>
        <w:t>Do you agree with ESMA’s proposal for the definition of a liquid market? Please provide an answer detailed per asset class identified (deliverable forwards, non-deliverable forwards, options, swaps, spread</w:t>
      </w:r>
      <w:r w:rsidR="00A8728B">
        <w:t xml:space="preserve"> betting contracts and futures)</w:t>
      </w:r>
      <w:r w:rsidR="00A8728B" w:rsidRPr="00B62727">
        <w:t xml:space="preserve"> </w:t>
      </w:r>
      <w:r w:rsidR="00A8728B">
        <w:t>a</w:t>
      </w:r>
      <w:r w:rsidR="00A8728B" w:rsidRPr="00B62727">
        <w:t xml:space="preserve">ddressing the following points: </w:t>
      </w:r>
    </w:p>
    <w:p w14:paraId="60C318ED" w14:textId="77777777" w:rsidR="00A8728B" w:rsidRPr="00B62727" w:rsidRDefault="00A8728B" w:rsidP="00566C6A">
      <w:pPr>
        <w:pStyle w:val="CPQuest2"/>
      </w:pPr>
      <w:r w:rsidRPr="00B62727">
        <w:t>Would you use different qualitative criteria to define the sub-classes?</w:t>
      </w:r>
      <w:r>
        <w:t xml:space="preserve"> Please also specify if you agree in </w:t>
      </w:r>
      <w:r w:rsidRPr="00313056">
        <w:t>distinguish</w:t>
      </w:r>
      <w:r>
        <w:t>ing or not distinguishing</w:t>
      </w:r>
      <w:r w:rsidRPr="00313056">
        <w:t xml:space="preserve"> between deliverable and non-deliverable contracts</w:t>
      </w:r>
      <w:r>
        <w:t>. If you would distinguish between deliverable and non-deliverable contracts for other classes besides forwards, please provide your</w:t>
      </w:r>
      <w:r w:rsidRPr="00313056">
        <w:t xml:space="preserve"> feedback </w:t>
      </w:r>
      <w:r>
        <w:t>as specific as possible with regard to the sub-classes that should be deemed liquid for deliverable contracts and those for non-deliverable contracts, pointing out the differences between the two sub-groups.</w:t>
      </w:r>
    </w:p>
    <w:p w14:paraId="37A026CC" w14:textId="77777777"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14:paraId="15FD383A" w14:textId="77777777" w:rsidR="00A8728B" w:rsidRPr="00B62727" w:rsidRDefault="00A8728B" w:rsidP="00566C6A">
      <w:pPr>
        <w:pStyle w:val="CPQuest2"/>
      </w:pPr>
      <w:r w:rsidRPr="00B62727">
        <w:t xml:space="preserve">Would you define </w:t>
      </w:r>
      <w:r>
        <w:t xml:space="preserve">some specific </w:t>
      </w:r>
      <w:r w:rsidRPr="00B62727">
        <w:t>classes declared as liquid in ESMA’s proposal as illiquid (</w:t>
      </w:r>
      <w:r>
        <w:t>and</w:t>
      </w:r>
      <w:r w:rsidRPr="00B62727">
        <w:t xml:space="preserve"> vice versa)? Please provide reasons for your answer.</w:t>
      </w:r>
    </w:p>
    <w:p w14:paraId="2E62D3ED" w14:textId="77777777" w:rsidR="00A8728B" w:rsidRDefault="00A8728B" w:rsidP="00A8728B">
      <w:r>
        <w:t>&lt;ESMA_QUESTION_MIFID_ADD_1&gt;</w:t>
      </w:r>
    </w:p>
    <w:p w14:paraId="2068F02F" w14:textId="77777777" w:rsidR="00A8728B" w:rsidRDefault="00A8728B" w:rsidP="00A8728B">
      <w:permStart w:id="1403941323" w:edGrp="everyone"/>
      <w:r>
        <w:t>TYPE YOUR TEXT HERE</w:t>
      </w:r>
    </w:p>
    <w:permEnd w:id="1403941323"/>
    <w:p w14:paraId="74D300AE" w14:textId="77777777" w:rsidR="00A8728B" w:rsidRDefault="00A8728B" w:rsidP="00A8728B">
      <w:r>
        <w:t>&lt;ESMA_QUESTION_MIFID_ADD_1&gt;</w:t>
      </w:r>
    </w:p>
    <w:p w14:paraId="5DCE0999" w14:textId="77777777" w:rsidR="00A8728B" w:rsidRDefault="00A8728B" w:rsidP="00A8728B">
      <w:pPr>
        <w:pStyle w:val="CPQuestions"/>
        <w:ind w:left="714" w:hanging="357"/>
      </w:pPr>
      <w:r w:rsidRPr="00C24BCA">
        <w:t>Do you agree with ESMA’s proposal for foreign exchange derivatives? Please specify, for each sub-class (non-deliverable forwards</w:t>
      </w:r>
      <w:r>
        <w:t xml:space="preserve"> (NDF), deliverable forwards (DF)</w:t>
      </w:r>
      <w:r w:rsidRPr="000E6B5B">
        <w:t xml:space="preserve">, </w:t>
      </w:r>
      <w:r>
        <w:t>FX options, FX swaps,</w:t>
      </w:r>
      <w:r w:rsidRPr="00A94FC9">
        <w:t xml:space="preserve"> </w:t>
      </w:r>
      <w:r>
        <w:t>spread betting and FX futures)</w:t>
      </w:r>
      <w:r w:rsidRPr="000E6B5B">
        <w:t xml:space="preserve"> if you agree on the following points providing reasons for your answer and, if you disagree providing ESMA with your alternative proposal:</w:t>
      </w:r>
      <w:r w:rsidRPr="00B62727">
        <w:t xml:space="preserve"> </w:t>
      </w:r>
    </w:p>
    <w:p w14:paraId="44530C1F" w14:textId="77777777" w:rsidR="00A8728B" w:rsidRPr="00B62727" w:rsidRDefault="00A8728B" w:rsidP="00566C6A">
      <w:pPr>
        <w:pStyle w:val="CPQuest2"/>
        <w:numPr>
          <w:ilvl w:val="0"/>
          <w:numId w:val="37"/>
        </w:numPr>
      </w:pPr>
      <w:r w:rsidRPr="00B62727">
        <w:t>deferral period set to 48 hours</w:t>
      </w:r>
    </w:p>
    <w:p w14:paraId="4104DD6C" w14:textId="77777777" w:rsidR="00A8728B" w:rsidRPr="00B62727" w:rsidRDefault="00A8728B" w:rsidP="00566C6A">
      <w:pPr>
        <w:pStyle w:val="CPQuest2"/>
      </w:pPr>
      <w:r w:rsidRPr="00B62727">
        <w:t>size specific to the instrument threshold set as 50% of the large in scale threshold</w:t>
      </w:r>
    </w:p>
    <w:p w14:paraId="72AF621B" w14:textId="77777777" w:rsidR="00A8728B" w:rsidRPr="00C24BCA" w:rsidRDefault="00A8728B" w:rsidP="00566C6A">
      <w:pPr>
        <w:pStyle w:val="CPQuest2"/>
      </w:pPr>
      <w:r w:rsidRPr="00B62727">
        <w:t xml:space="preserve">volume measure used to set the large in scale and size specific to the instrument threshold as </w:t>
      </w:r>
      <w:r w:rsidRPr="00C24BCA">
        <w:t>specified in Annex II, Table 3 of draft RTS 9</w:t>
      </w:r>
    </w:p>
    <w:p w14:paraId="4D5398E6" w14:textId="77777777" w:rsidR="00A8728B" w:rsidRPr="00B62727" w:rsidRDefault="00A8728B" w:rsidP="00566C6A">
      <w:pPr>
        <w:pStyle w:val="CPQuest2"/>
      </w:pPr>
      <w:r w:rsidRPr="00B62727">
        <w:t xml:space="preserve">pre-trade and post-trade </w:t>
      </w:r>
      <w:r>
        <w:t>thresholds set at the same size</w:t>
      </w:r>
    </w:p>
    <w:p w14:paraId="1B1D8965" w14:textId="77777777"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14:paraId="572CB95D" w14:textId="77777777" w:rsidR="00A8728B" w:rsidRPr="00B62727" w:rsidRDefault="00A8728B" w:rsidP="00566C6A">
      <w:pPr>
        <w:pStyle w:val="CPQuest2"/>
      </w:pPr>
      <w:r>
        <w:rPr>
          <w:u w:val="single"/>
        </w:rPr>
        <w:lastRenderedPageBreak/>
        <w:t>f</w:t>
      </w:r>
      <w:r w:rsidRPr="00A94FC9">
        <w:rPr>
          <w:u w:val="single"/>
        </w:rPr>
        <w:t xml:space="preserve">or non-deliverable forwards (NDF) and spread betting </w:t>
      </w:r>
      <w:r>
        <w:rPr>
          <w:u w:val="single"/>
        </w:rPr>
        <w:t xml:space="preserve">contracts </w:t>
      </w:r>
      <w:r w:rsidRPr="00A94FC9">
        <w:rPr>
          <w:u w:val="single"/>
        </w:rPr>
        <w:t>only:</w:t>
      </w:r>
      <w:r>
        <w:t xml:space="preserve"> </w:t>
      </w:r>
      <w:r w:rsidRPr="00A90E83">
        <w:t>express your preference</w:t>
      </w:r>
      <w:r>
        <w:t xml:space="preserve"> for </w:t>
      </w:r>
      <w:r w:rsidRPr="00A90E83">
        <w:t>either “</w:t>
      </w:r>
      <w:r>
        <w:t>Alternative</w:t>
      </w:r>
      <w:r w:rsidRPr="00A90E83">
        <w:t xml:space="preserve"> </w:t>
      </w:r>
      <w:r>
        <w:t>A</w:t>
      </w:r>
      <w:r w:rsidRPr="00A90E83">
        <w:t>” or “</w:t>
      </w:r>
      <w:r>
        <w:t>Alternative</w:t>
      </w:r>
      <w:r w:rsidRPr="00A90E83">
        <w:t xml:space="preserve"> </w:t>
      </w:r>
      <w:r>
        <w:t>B</w:t>
      </w:r>
      <w:r w:rsidRPr="00A90E83">
        <w:t xml:space="preserve">”. If you disagree with both ESMA’s proposal provides your alternative proposal </w:t>
      </w:r>
      <w:r>
        <w:t>for the LIS threshold floor.</w:t>
      </w:r>
    </w:p>
    <w:p w14:paraId="69CFFE2C" w14:textId="77777777" w:rsidR="00A8728B" w:rsidRDefault="00A8728B" w:rsidP="00A8728B">
      <w:r>
        <w:t>&lt;ESMA_QUESTION_MIFID_ADD_2&gt;</w:t>
      </w:r>
    </w:p>
    <w:p w14:paraId="7F894393" w14:textId="77777777" w:rsidR="00577C5D" w:rsidRDefault="00577C5D" w:rsidP="00577C5D">
      <w:pPr>
        <w:rPr>
          <w:rFonts w:cs="Arial"/>
        </w:rPr>
      </w:pPr>
      <w:permStart w:id="1430979035" w:edGrp="everyone"/>
    </w:p>
    <w:p w14:paraId="276B5A78" w14:textId="77777777" w:rsidR="00577C5D" w:rsidRDefault="00577C5D" w:rsidP="00577C5D">
      <w:pPr>
        <w:rPr>
          <w:rFonts w:cs="Arial"/>
        </w:rPr>
      </w:pPr>
      <w:r>
        <w:rPr>
          <w:rFonts w:cs="Arial"/>
        </w:rPr>
        <w:t xml:space="preserve">The German Banking Industry Committee (GBIC), </w:t>
      </w:r>
      <w:r>
        <w:rPr>
          <w:rFonts w:cs="Arial"/>
          <w:lang w:val="en-US"/>
        </w:rPr>
        <w:t>which represents more than 2,000 banks in Germany,</w:t>
      </w:r>
      <w:r w:rsidRPr="00CB299C">
        <w:rPr>
          <w:rFonts w:cs="Arial"/>
        </w:rPr>
        <w:t xml:space="preserve"> </w:t>
      </w:r>
      <w:r>
        <w:rPr>
          <w:rFonts w:cs="Arial"/>
        </w:rPr>
        <w:t xml:space="preserve">considers: </w:t>
      </w:r>
    </w:p>
    <w:p w14:paraId="5C7A73A6" w14:textId="77777777" w:rsidR="00577C5D" w:rsidRPr="00CB299C" w:rsidRDefault="00577C5D" w:rsidP="00577C5D">
      <w:pPr>
        <w:rPr>
          <w:rFonts w:cs="Arial"/>
        </w:rPr>
      </w:pPr>
      <w:r w:rsidRPr="00CB299C">
        <w:rPr>
          <w:rFonts w:cs="Arial"/>
        </w:rPr>
        <w:t xml:space="preserve">(1) Regarding the setting of the deferral period to 48 hours, we welcome ESMA’s intention to provide for a longer deferral period compared to the proposal in the Discussion Paper. However, we still think that a 48 hour period is too short. For </w:t>
      </w:r>
      <w:r>
        <w:rPr>
          <w:rFonts w:cs="Arial"/>
        </w:rPr>
        <w:t>foreign exchange derivatives</w:t>
      </w:r>
      <w:r w:rsidRPr="00CB299C">
        <w:rPr>
          <w:rFonts w:cs="Arial"/>
        </w:rPr>
        <w:t xml:space="preserve">, deferral periods of at least </w:t>
      </w:r>
      <w:r>
        <w:rPr>
          <w:rFonts w:cs="Arial"/>
        </w:rPr>
        <w:t>one</w:t>
      </w:r>
      <w:r w:rsidRPr="00CB299C">
        <w:rPr>
          <w:rFonts w:cs="Arial"/>
        </w:rPr>
        <w:t xml:space="preserve"> week are necessary</w:t>
      </w:r>
      <w:r>
        <w:rPr>
          <w:rFonts w:cs="Arial"/>
        </w:rPr>
        <w:t>.</w:t>
      </w:r>
      <w:r w:rsidRPr="00CB299C">
        <w:rPr>
          <w:rFonts w:cs="Arial"/>
        </w:rPr>
        <w:t xml:space="preserve"> ESMA’s data show that the bulk of the financial instruments in question trade less than twice a week. More granular deferral periods are necessary, in particular given that the post trade transparency regime also applies to illiquid instruments. For some instruments, deferral periods of seve</w:t>
      </w:r>
      <w:r>
        <w:rPr>
          <w:rFonts w:cs="Arial"/>
        </w:rPr>
        <w:t>ral weeks would be appropriate.</w:t>
      </w:r>
    </w:p>
    <w:p w14:paraId="60B3A123" w14:textId="77777777" w:rsidR="00577C5D" w:rsidRPr="00CB299C" w:rsidRDefault="00577C5D" w:rsidP="00577C5D">
      <w:pPr>
        <w:rPr>
          <w:rFonts w:cs="Arial"/>
        </w:rPr>
      </w:pPr>
    </w:p>
    <w:p w14:paraId="6639A2E4" w14:textId="77777777" w:rsidR="00577C5D" w:rsidRPr="00CB299C" w:rsidRDefault="00577C5D" w:rsidP="00577C5D">
      <w:pPr>
        <w:rPr>
          <w:rFonts w:cs="Arial"/>
        </w:rPr>
      </w:pPr>
      <w:r w:rsidRPr="00CB299C">
        <w:rPr>
          <w:rFonts w:cs="Arial"/>
        </w:rPr>
        <w:t xml:space="preserve">In addition, the deferral period should take normal trading hours into account. Otherwise, a 48 hour deferral period which would commence on Friday evening would expire on Sunday evening. This would obviously not provide sufficient time for the </w:t>
      </w:r>
      <w:r>
        <w:rPr>
          <w:rFonts w:cs="Arial"/>
        </w:rPr>
        <w:t>systematic internaliser</w:t>
      </w:r>
      <w:r w:rsidRPr="00CB299C">
        <w:rPr>
          <w:rFonts w:cs="Arial"/>
        </w:rPr>
        <w:t xml:space="preserve"> to unwind large-volume transactions, in particular in less liquid instruments. We suggest using TARGET days as a reference for calculating the deferral period. A minimum deferral period of t+</w:t>
      </w:r>
      <w:r>
        <w:rPr>
          <w:rFonts w:cs="Arial"/>
        </w:rPr>
        <w:t>7</w:t>
      </w:r>
      <w:r w:rsidRPr="00CB299C">
        <w:rPr>
          <w:rFonts w:cs="Arial"/>
        </w:rPr>
        <w:t xml:space="preserve"> (resp. more for illiquid instruments) in TARGET days would provide for a practicable solution.</w:t>
      </w:r>
    </w:p>
    <w:p w14:paraId="4C2AE33D" w14:textId="77777777" w:rsidR="00577C5D" w:rsidRPr="000D52BA" w:rsidRDefault="00577C5D" w:rsidP="00577C5D">
      <w:pPr>
        <w:rPr>
          <w:rFonts w:cs="Arial"/>
          <w:i/>
        </w:rPr>
      </w:pPr>
    </w:p>
    <w:p w14:paraId="245C6FE8" w14:textId="77777777" w:rsidR="00577C5D" w:rsidRDefault="00577C5D" w:rsidP="00577C5D">
      <w:pPr>
        <w:rPr>
          <w:rFonts w:cs="Arial"/>
        </w:rPr>
      </w:pPr>
      <w:r w:rsidRPr="00CB299C">
        <w:rPr>
          <w:rFonts w:cs="Arial"/>
        </w:rPr>
        <w:t>2) With regard to the determination of the SSTI threshold, we disagree with ESMA’s approach under which ESMA would determine the LIS threshold and subsequently set the SSTI at 50% of the LIS.</w:t>
      </w:r>
      <w:r>
        <w:rPr>
          <w:rFonts w:cs="Arial"/>
        </w:rPr>
        <w:t xml:space="preserve"> Instead of depending on the SSTI the LIS should reflect a representative volume of transaction. </w:t>
      </w:r>
    </w:p>
    <w:p w14:paraId="093DDB78" w14:textId="5CFF958A" w:rsidR="00577C5D" w:rsidRPr="00CB299C" w:rsidRDefault="00577C5D" w:rsidP="00577C5D">
      <w:pPr>
        <w:rPr>
          <w:rFonts w:cs="Arial"/>
        </w:rPr>
      </w:pPr>
      <w:r w:rsidRPr="00CB299C">
        <w:rPr>
          <w:rFonts w:cs="Arial"/>
        </w:rPr>
        <w:t>Additionally, it would be wrong to set the</w:t>
      </w:r>
      <w:r>
        <w:rPr>
          <w:rFonts w:cs="Arial"/>
        </w:rPr>
        <w:t xml:space="preserve"> SSTI and LIS-</w:t>
      </w:r>
      <w:r w:rsidRPr="00CB299C">
        <w:rPr>
          <w:rFonts w:cs="Arial"/>
        </w:rPr>
        <w:t xml:space="preserve">thresholds at a level </w:t>
      </w:r>
      <w:r w:rsidRPr="00B26ADA">
        <w:rPr>
          <w:rFonts w:cs="Arial"/>
        </w:rPr>
        <w:t>which aims</w:t>
      </w:r>
      <w:r w:rsidRPr="00CB299C">
        <w:rPr>
          <w:rFonts w:cs="Arial"/>
        </w:rPr>
        <w:t xml:space="preserve"> at a certain coverage ratio (i.e. to set the threshold with the aim of having a certain percentage of </w:t>
      </w:r>
      <w:r>
        <w:rPr>
          <w:rFonts w:cs="Arial"/>
        </w:rPr>
        <w:t>derivatives</w:t>
      </w:r>
      <w:r w:rsidRPr="00CB299C">
        <w:rPr>
          <w:rFonts w:cs="Arial"/>
        </w:rPr>
        <w:t xml:space="preserve"> covered above the threshold). This approach would disregard the level 1 requirement that the aim of providing transparency has to be balanced with the risks arising from such transparency for investment firms</w:t>
      </w:r>
      <w:r>
        <w:rPr>
          <w:rFonts w:cs="Arial"/>
        </w:rPr>
        <w:t xml:space="preserve"> according to </w:t>
      </w:r>
      <w:r w:rsidRPr="00CB299C">
        <w:rPr>
          <w:rFonts w:cs="Arial"/>
        </w:rPr>
        <w:t>Art</w:t>
      </w:r>
      <w:r>
        <w:rPr>
          <w:rFonts w:cs="Arial"/>
        </w:rPr>
        <w:t>icle</w:t>
      </w:r>
      <w:r w:rsidRPr="00CB299C">
        <w:rPr>
          <w:rFonts w:cs="Arial"/>
        </w:rPr>
        <w:t xml:space="preserve"> 9</w:t>
      </w:r>
      <w:r>
        <w:t> </w:t>
      </w:r>
      <w:r>
        <w:rPr>
          <w:rFonts w:cs="Arial"/>
        </w:rPr>
        <w:t>(</w:t>
      </w:r>
      <w:r w:rsidRPr="00CB299C">
        <w:rPr>
          <w:rFonts w:cs="Arial"/>
        </w:rPr>
        <w:t>5</w:t>
      </w:r>
      <w:r>
        <w:rPr>
          <w:rFonts w:cs="Arial"/>
        </w:rPr>
        <w:t>)</w:t>
      </w:r>
      <w:r>
        <w:t> </w:t>
      </w:r>
      <w:r>
        <w:rPr>
          <w:rFonts w:cs="Arial"/>
        </w:rPr>
        <w:t>(</w:t>
      </w:r>
      <w:r w:rsidRPr="00CB299C">
        <w:rPr>
          <w:rFonts w:cs="Arial"/>
        </w:rPr>
        <w:t>d</w:t>
      </w:r>
      <w:r>
        <w:rPr>
          <w:rFonts w:cs="Arial"/>
        </w:rPr>
        <w:t>)</w:t>
      </w:r>
      <w:r>
        <w:t> </w:t>
      </w:r>
      <w:r>
        <w:rPr>
          <w:rFonts w:cs="Arial"/>
        </w:rPr>
        <w:t>(</w:t>
      </w:r>
      <w:r w:rsidRPr="00CB299C">
        <w:rPr>
          <w:rFonts w:cs="Arial"/>
        </w:rPr>
        <w:t>i) MiFIR</w:t>
      </w:r>
      <w:r>
        <w:rPr>
          <w:rFonts w:cs="Arial"/>
        </w:rPr>
        <w:t>.</w:t>
      </w:r>
    </w:p>
    <w:p w14:paraId="25194950" w14:textId="77777777" w:rsidR="00577C5D" w:rsidRPr="00CB299C" w:rsidRDefault="00577C5D" w:rsidP="00577C5D">
      <w:pPr>
        <w:rPr>
          <w:rFonts w:cs="Arial"/>
        </w:rPr>
      </w:pPr>
    </w:p>
    <w:p w14:paraId="561E36D0" w14:textId="77777777" w:rsidR="00577C5D" w:rsidRPr="00C62969" w:rsidRDefault="00577C5D" w:rsidP="00577C5D">
      <w:pPr>
        <w:rPr>
          <w:rFonts w:cs="Arial"/>
        </w:rPr>
      </w:pPr>
      <w:r w:rsidRPr="00C62969">
        <w:rPr>
          <w:rFonts w:cs="Arial"/>
        </w:rPr>
        <w:t xml:space="preserve">(3) </w:t>
      </w:r>
      <w:r w:rsidRPr="00AD1CE9">
        <w:rPr>
          <w:rFonts w:cs="Arial"/>
        </w:rPr>
        <w:t>With</w:t>
      </w:r>
      <w:r>
        <w:rPr>
          <w:rFonts w:cs="Arial"/>
        </w:rPr>
        <w:t xml:space="preserve"> regard to non-deliverable forwards (NDF), the notional amount is the suitable measure for the transaction volume.</w:t>
      </w:r>
    </w:p>
    <w:p w14:paraId="60299E9B" w14:textId="77777777" w:rsidR="00577C5D" w:rsidRPr="00CB299C" w:rsidRDefault="00577C5D" w:rsidP="00577C5D">
      <w:pPr>
        <w:rPr>
          <w:rFonts w:cs="Arial"/>
        </w:rPr>
      </w:pPr>
    </w:p>
    <w:p w14:paraId="37B6805E" w14:textId="77777777" w:rsidR="00577C5D" w:rsidRPr="00CB299C" w:rsidRDefault="00577C5D" w:rsidP="00577C5D">
      <w:pPr>
        <w:rPr>
          <w:rFonts w:cs="Arial"/>
        </w:rPr>
      </w:pPr>
      <w:r w:rsidRPr="00CB299C">
        <w:rPr>
          <w:rFonts w:cs="Arial"/>
        </w:rPr>
        <w:t xml:space="preserve">(4) </w:t>
      </w:r>
      <w:r w:rsidRPr="0078430D">
        <w:rPr>
          <w:rFonts w:cs="Arial"/>
        </w:rPr>
        <w:t>We reject the proposal to set identical thresholds for pre-trade and post-trade transparency. The risk incurred under the pre-trade transparency requirements is far higher than the post-trade requirements. Therefore the pre-trade threshold should be lower.</w:t>
      </w:r>
    </w:p>
    <w:p w14:paraId="6F676ABD" w14:textId="77777777" w:rsidR="00577C5D" w:rsidRPr="00CB299C" w:rsidRDefault="00577C5D" w:rsidP="00577C5D">
      <w:pPr>
        <w:rPr>
          <w:rFonts w:cs="Arial"/>
        </w:rPr>
      </w:pPr>
    </w:p>
    <w:p w14:paraId="6D76D7A2" w14:textId="77777777" w:rsidR="00577C5D" w:rsidRDefault="00577C5D" w:rsidP="00577C5D">
      <w:pPr>
        <w:rPr>
          <w:rFonts w:cs="Arial"/>
        </w:rPr>
      </w:pPr>
      <w:r>
        <w:rPr>
          <w:rFonts w:cs="Arial"/>
        </w:rPr>
        <w:t xml:space="preserve">(5) </w:t>
      </w:r>
      <w:r w:rsidRPr="0078430D">
        <w:rPr>
          <w:rFonts w:cs="Arial"/>
        </w:rPr>
        <w:t xml:space="preserve">Should ESMA decide in </w:t>
      </w:r>
      <w:r>
        <w:rPr>
          <w:rFonts w:cs="Arial"/>
        </w:rPr>
        <w:t>favour of O</w:t>
      </w:r>
      <w:r w:rsidRPr="0078430D">
        <w:rPr>
          <w:rFonts w:cs="Arial"/>
        </w:rPr>
        <w:t>ption 2 (system with recalculation), we would assume that all calculations are performed by ESMA itself.</w:t>
      </w:r>
    </w:p>
    <w:p w14:paraId="033B4F2D" w14:textId="77777777" w:rsidR="00577C5D" w:rsidRDefault="00577C5D" w:rsidP="00577C5D">
      <w:pPr>
        <w:rPr>
          <w:rFonts w:cs="Arial"/>
        </w:rPr>
      </w:pPr>
    </w:p>
    <w:p w14:paraId="170D3FF0" w14:textId="73A2A3AB" w:rsidR="00340E18" w:rsidRDefault="00577C5D" w:rsidP="00A83E1D">
      <w:r>
        <w:rPr>
          <w:rFonts w:cs="Arial"/>
        </w:rPr>
        <w:t>(6) GBIC prefers “Alternative B”.</w:t>
      </w:r>
    </w:p>
    <w:p w14:paraId="416DC5A4" w14:textId="77777777" w:rsidR="00577C5D" w:rsidRDefault="00577C5D" w:rsidP="00A83E1D"/>
    <w:permEnd w:id="1430979035"/>
    <w:p w14:paraId="7AFD96B4" w14:textId="77777777" w:rsidR="00A8728B" w:rsidRDefault="00A8728B" w:rsidP="00A8728B">
      <w:r>
        <w:t>&lt;ESMA_QUESTION_MIFID_ADD_2&gt;</w:t>
      </w:r>
    </w:p>
    <w:p w14:paraId="6D8B8095" w14:textId="77777777" w:rsidR="00A8728B" w:rsidRPr="00B62727" w:rsidRDefault="00A8728B" w:rsidP="00A8728B">
      <w:pPr>
        <w:pStyle w:val="CPQuestions"/>
        <w:ind w:left="714" w:hanging="357"/>
      </w:pPr>
      <w:r w:rsidRPr="00C24BCA">
        <w:t>Which is your preferred option for the definition of a liquid market of single name CDS? Please provide an answer detailed</w:t>
      </w:r>
      <w:r w:rsidRPr="00B62727">
        <w:t xml:space="preserve"> per underlying </w:t>
      </w:r>
      <w:r>
        <w:t xml:space="preserve">issuer type </w:t>
      </w:r>
      <w:r w:rsidRPr="00B62727">
        <w:t>identified</w:t>
      </w:r>
      <w:r>
        <w:t xml:space="preserve"> (sovereign and corporate)</w:t>
      </w:r>
      <w:r w:rsidRPr="00B62727">
        <w:t xml:space="preserve">, addressing the following points: </w:t>
      </w:r>
    </w:p>
    <w:p w14:paraId="1BD0C473" w14:textId="77777777" w:rsidR="00A8728B" w:rsidRPr="00B62727" w:rsidRDefault="00A8728B" w:rsidP="00566C6A">
      <w:pPr>
        <w:pStyle w:val="CPQuest2"/>
        <w:numPr>
          <w:ilvl w:val="0"/>
          <w:numId w:val="38"/>
        </w:numPr>
      </w:pPr>
      <w:r w:rsidRPr="00B62727">
        <w:t>Would you use different qualitative criteria to define the sub-classes?</w:t>
      </w:r>
    </w:p>
    <w:p w14:paraId="330D2E0B" w14:textId="77777777" w:rsidR="00A8728B" w:rsidRPr="00B62727" w:rsidRDefault="00A8728B" w:rsidP="00566C6A">
      <w:pPr>
        <w:pStyle w:val="CPQuest2"/>
      </w:pPr>
      <w:r w:rsidRPr="00B62727">
        <w:lastRenderedPageBreak/>
        <w:t>Would you use different parameters or the same parameters (i.e. average number of trades per day and average notional amount traded per day) but different thresholds in order to define a sub-class as liquid?</w:t>
      </w:r>
    </w:p>
    <w:p w14:paraId="1BAC33AA" w14:textId="77777777" w:rsidR="00A8728B" w:rsidRPr="00B62727" w:rsidRDefault="00A8728B" w:rsidP="00566C6A">
      <w:pPr>
        <w:pStyle w:val="CPQuest2"/>
      </w:pPr>
      <w:r w:rsidRPr="00B62727">
        <w:t>Would you define classes declared as liquid in ESMA’s proposal as illiquid (or vice versa)? Please provide reasons for your answer.</w:t>
      </w:r>
    </w:p>
    <w:p w14:paraId="3846C82A" w14:textId="77777777" w:rsidR="00A8728B" w:rsidRDefault="00A8728B" w:rsidP="00A8728B">
      <w:r>
        <w:t>&lt;ESMA_QUESTION_MIFID_ADD_3&gt;</w:t>
      </w:r>
    </w:p>
    <w:p w14:paraId="5418BBDA" w14:textId="77777777" w:rsidR="00576520" w:rsidRDefault="00576520" w:rsidP="00A8728B">
      <w:permStart w:id="1872000924" w:edGrp="everyone"/>
    </w:p>
    <w:p w14:paraId="0E79D112" w14:textId="0D25E548" w:rsidR="00A8728B" w:rsidRDefault="00577C5D" w:rsidP="00A8728B">
      <w:r w:rsidRPr="00981EF3">
        <w:t xml:space="preserve">The German Banking Industry Committee (GBIC), which represents more than 2,000 banks in Germany, </w:t>
      </w:r>
      <w:r>
        <w:t>prefers option B but demands to add further restrictions. The condition of the inclusion in a liquid CDS index for a single name CDS to belong to a liquid class is necessary but not sufficient to cover all cases. The 125 entities of the European investment grade iTRAXX Europe are definitely liquid. By contrast, the European high yield index iTRAXX Crossover contains entities which are rarely traded as single name CDS and therefore not to be classified as liquid. The condition of being part of a liquid INVESTMENT GRADE INDEX should be added to option B for the classification of single name CDS as liquid.</w:t>
      </w:r>
    </w:p>
    <w:p w14:paraId="01D9C14B" w14:textId="77777777" w:rsidR="00577C5D" w:rsidRDefault="00577C5D" w:rsidP="00A8728B"/>
    <w:permEnd w:id="1872000924"/>
    <w:p w14:paraId="725662E6" w14:textId="77777777" w:rsidR="00A8728B" w:rsidRDefault="00A8728B" w:rsidP="00A8728B">
      <w:r>
        <w:t>&lt;ESMA_QUESTION_MIFID_ADD_3&gt;</w:t>
      </w:r>
    </w:p>
    <w:p w14:paraId="771CF6B4" w14:textId="77777777" w:rsidR="00A8728B" w:rsidRPr="00B62727" w:rsidRDefault="00A8728B" w:rsidP="00A8728B">
      <w:pPr>
        <w:pStyle w:val="CPQuestions"/>
        <w:ind w:left="714" w:hanging="357"/>
      </w:pPr>
      <w:r>
        <w:t>For all the other classes (CDS Index, Bespoke basket CDS, CDS index options and Single name CDS options): d</w:t>
      </w:r>
      <w:r w:rsidRPr="00B62727">
        <w:t>o you agree with ESMA’s proposal for the definition of a liquid market? Please provide an answer detailed per contract type</w:t>
      </w:r>
      <w:r>
        <w:t xml:space="preserve"> (CDS and </w:t>
      </w:r>
      <w:r w:rsidRPr="00D10A1C">
        <w:t>CDS options</w:t>
      </w:r>
      <w:r>
        <w:t>)</w:t>
      </w:r>
      <w:r w:rsidRPr="00B62727">
        <w:t xml:space="preserve">, underlying type </w:t>
      </w:r>
      <w:r>
        <w:t xml:space="preserve">(index, single name, bespoke basket) </w:t>
      </w:r>
      <w:r w:rsidRPr="00B62727">
        <w:t xml:space="preserve">and underlying identified, addressing the following points: </w:t>
      </w:r>
    </w:p>
    <w:p w14:paraId="2D315FFD" w14:textId="77777777" w:rsidR="00A8728B" w:rsidRPr="00B62727" w:rsidRDefault="00A8728B" w:rsidP="00566C6A">
      <w:pPr>
        <w:pStyle w:val="CPQuest2"/>
        <w:numPr>
          <w:ilvl w:val="0"/>
          <w:numId w:val="39"/>
        </w:numPr>
      </w:pPr>
      <w:r w:rsidRPr="00B62727">
        <w:t>Would you use different qualitative criteria to define the sub-classes?</w:t>
      </w:r>
    </w:p>
    <w:p w14:paraId="5A3C257B" w14:textId="77777777"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14:paraId="5076BED8" w14:textId="77777777" w:rsidR="00A8728B" w:rsidRPr="00B62727" w:rsidRDefault="00A8728B" w:rsidP="00566C6A">
      <w:pPr>
        <w:pStyle w:val="CPQuest2"/>
      </w:pPr>
      <w:r w:rsidRPr="00B62727">
        <w:t>Would you define classes declared as liquid in ESMA’s proposal as illiquid (or vice versa)? Please provide reasons for your answer.</w:t>
      </w:r>
    </w:p>
    <w:p w14:paraId="7684322B" w14:textId="77777777" w:rsidR="00A8728B" w:rsidRDefault="00A8728B" w:rsidP="00A8728B">
      <w:r>
        <w:t>&lt;ESMA_QUESTION_MIFID_ADD_4&gt;</w:t>
      </w:r>
    </w:p>
    <w:p w14:paraId="48858352" w14:textId="77777777" w:rsidR="00A8728B" w:rsidRDefault="00A8728B" w:rsidP="00A8728B">
      <w:permStart w:id="1826836057" w:edGrp="everyone"/>
      <w:r>
        <w:t>TYPE YOUR TEXT HERE</w:t>
      </w:r>
    </w:p>
    <w:permEnd w:id="1826836057"/>
    <w:p w14:paraId="450BC99D" w14:textId="77777777" w:rsidR="00A8728B" w:rsidRDefault="00A8728B" w:rsidP="00A8728B">
      <w:r>
        <w:t>&lt;ESMA_QUESTION_MIFID_ADD_4&gt;</w:t>
      </w:r>
    </w:p>
    <w:p w14:paraId="70426A4B" w14:textId="77777777" w:rsidR="00A8728B" w:rsidRPr="00C24BCA" w:rsidRDefault="00A8728B" w:rsidP="00A8728B">
      <w:pPr>
        <w:pStyle w:val="CPQuestions"/>
        <w:ind w:left="714" w:hanging="357"/>
      </w:pPr>
      <w:r w:rsidRPr="00C24BCA">
        <w:t xml:space="preserve">Do you agree with ESMA’s proposal for credit derivatives? Please specify, for each sub-class (single name CDS, CDS index, bespoke basket CDS, single name CDS options, CDS index options) if you agree on the following points providing reasons for your answer and, if you disagree providing ESMA with your alternative proposal: </w:t>
      </w:r>
    </w:p>
    <w:p w14:paraId="3EF4AC6B" w14:textId="77777777" w:rsidR="00A8728B" w:rsidRPr="00C24BCA" w:rsidRDefault="00A8728B" w:rsidP="00566C6A">
      <w:pPr>
        <w:pStyle w:val="CPQuest2"/>
        <w:numPr>
          <w:ilvl w:val="0"/>
          <w:numId w:val="40"/>
        </w:numPr>
      </w:pPr>
      <w:r w:rsidRPr="00C24BCA">
        <w:t xml:space="preserve">deferral period set to 48 hours </w:t>
      </w:r>
    </w:p>
    <w:p w14:paraId="4B87515F" w14:textId="77777777" w:rsidR="00A8728B" w:rsidRPr="00C24BCA" w:rsidRDefault="00A8728B" w:rsidP="00566C6A">
      <w:pPr>
        <w:pStyle w:val="CPQuest2"/>
      </w:pPr>
      <w:r w:rsidRPr="00C24BCA">
        <w:t xml:space="preserve">size specific to the instrument threshold set as 50% of the large in scale threshold </w:t>
      </w:r>
    </w:p>
    <w:p w14:paraId="214994D0" w14:textId="77777777" w:rsidR="00A8728B" w:rsidRPr="00C24BCA" w:rsidRDefault="00A8728B" w:rsidP="00566C6A">
      <w:pPr>
        <w:pStyle w:val="CPQuest2"/>
      </w:pPr>
      <w:r w:rsidRPr="00C24BCA">
        <w:t>volume measure used to set the large in scale and size specific to the instrument threshold as specified in Annex II, Table 3 of draft RTS 9</w:t>
      </w:r>
    </w:p>
    <w:p w14:paraId="1EDEA73D" w14:textId="77777777" w:rsidR="00A8728B" w:rsidRPr="00C24BCA" w:rsidRDefault="00A8728B" w:rsidP="00566C6A">
      <w:pPr>
        <w:pStyle w:val="CPQuest2"/>
      </w:pPr>
      <w:r w:rsidRPr="00C24BCA">
        <w:lastRenderedPageBreak/>
        <w:t xml:space="preserve">pre-trade and post-trade thresholds set at the same size </w:t>
      </w:r>
    </w:p>
    <w:p w14:paraId="5EC28110" w14:textId="77777777" w:rsidR="00A8728B" w:rsidRPr="00B62727"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r>
        <w:t>.</w:t>
      </w:r>
    </w:p>
    <w:p w14:paraId="66DE1B9A" w14:textId="77777777" w:rsidR="00A8728B" w:rsidRDefault="00A8728B" w:rsidP="00A8728B">
      <w:r>
        <w:t>&lt;ESMA_QUESTION_MIFID_ADD_5&gt;</w:t>
      </w:r>
    </w:p>
    <w:p w14:paraId="53EB898A" w14:textId="77777777" w:rsidR="00576520" w:rsidRDefault="00576520" w:rsidP="00577C5D">
      <w:pPr>
        <w:rPr>
          <w:rFonts w:cs="Arial"/>
        </w:rPr>
      </w:pPr>
      <w:permStart w:id="1081611046" w:edGrp="everyone"/>
    </w:p>
    <w:p w14:paraId="5B2BBA11" w14:textId="77777777" w:rsidR="00577C5D" w:rsidRDefault="00577C5D" w:rsidP="00577C5D">
      <w:pPr>
        <w:rPr>
          <w:lang w:val="en-US"/>
        </w:rPr>
      </w:pPr>
      <w:r>
        <w:rPr>
          <w:rFonts w:cs="Arial"/>
        </w:rPr>
        <w:t xml:space="preserve">The response of the German Banking Industry Committee (GBIC), </w:t>
      </w:r>
      <w:r>
        <w:rPr>
          <w:rFonts w:cs="Arial"/>
          <w:lang w:val="en-US"/>
        </w:rPr>
        <w:t>which represents more than 2,000 banks in Germany</w:t>
      </w:r>
      <w:r>
        <w:rPr>
          <w:rFonts w:cs="Arial"/>
        </w:rPr>
        <w:t xml:space="preserve">, </w:t>
      </w:r>
      <w:r>
        <w:rPr>
          <w:lang w:val="en-US"/>
        </w:rPr>
        <w:t xml:space="preserve">to Q2 applies </w:t>
      </w:r>
      <w:r w:rsidRPr="002B5713">
        <w:rPr>
          <w:i/>
          <w:lang w:val="en-US"/>
        </w:rPr>
        <w:t>mutatis mutandis</w:t>
      </w:r>
      <w:r>
        <w:rPr>
          <w:lang w:val="en-US"/>
        </w:rPr>
        <w:t>. Furthermore, we would like to add specific comments to index and single name CDS and to the recalculation method:</w:t>
      </w:r>
    </w:p>
    <w:p w14:paraId="378DFD7C" w14:textId="77777777" w:rsidR="00577C5D" w:rsidRDefault="00577C5D" w:rsidP="00577C5D">
      <w:pPr>
        <w:rPr>
          <w:lang w:val="en-US"/>
        </w:rPr>
      </w:pPr>
      <w:r>
        <w:rPr>
          <w:lang w:val="en-US"/>
        </w:rPr>
        <w:t>a) Index CDS</w:t>
      </w:r>
    </w:p>
    <w:p w14:paraId="5D4259AF" w14:textId="77777777" w:rsidR="00577C5D" w:rsidRDefault="00577C5D" w:rsidP="00577C5D">
      <w:r>
        <w:t>The LIS and SSTI are adequate for the indices with tenor of 5 and 6 years. For all other tenors, however, the thresholds are far too high and not comprehensible. The current series of an index with a tenor of approx. 5 years is the most liquid. For all other tenors, far lower thresholds should be valid.</w:t>
      </w:r>
    </w:p>
    <w:p w14:paraId="55776E08" w14:textId="77777777" w:rsidR="00577C5D" w:rsidRDefault="00577C5D" w:rsidP="00577C5D">
      <w:r>
        <w:t>b) Single name CDS</w:t>
      </w:r>
    </w:p>
    <w:p w14:paraId="61C5127A" w14:textId="77777777" w:rsidR="00577C5D" w:rsidRDefault="00577C5D" w:rsidP="00577C5D">
      <w:r>
        <w:t xml:space="preserve">Comparable to indices, the 5 years contract is the most liquid in case of single name CDS. The LIS and SSTI thresholds for other tenors should be far lower. For investment grade CDS, the thresholds of 15 million € (LIS) and 7.5 milllion € (SSTI) are comprehensible. But should high yield CDS be also valid as liquid, the thresholds are too high for these CDS (please refer to Q 3). In our view, the LIS threshold for high yield CDS should be max. 5 million €. </w:t>
      </w:r>
    </w:p>
    <w:p w14:paraId="6062CFE6" w14:textId="77777777" w:rsidR="00577C5D" w:rsidRDefault="00577C5D" w:rsidP="00577C5D">
      <w:r>
        <w:t xml:space="preserve">c) Recalculation method </w:t>
      </w:r>
    </w:p>
    <w:p w14:paraId="49CE94E1" w14:textId="77777777" w:rsidR="00577C5D" w:rsidRDefault="00577C5D" w:rsidP="00577C5D">
      <w:r>
        <w:t>The recalculation should follow the highest possible level of granularity to correct potential errors which have been made during the initial calculation.</w:t>
      </w:r>
    </w:p>
    <w:p w14:paraId="15324BEA" w14:textId="77777777" w:rsidR="00577C5D" w:rsidRDefault="00577C5D" w:rsidP="00577C5D"/>
    <w:permEnd w:id="1081611046"/>
    <w:p w14:paraId="311F8C87" w14:textId="77777777" w:rsidR="00A8728B" w:rsidRDefault="00A8728B" w:rsidP="00A8728B">
      <w:r>
        <w:t>&lt;ESMA_QUESTION_MIFID_ADD_5&gt;</w:t>
      </w:r>
    </w:p>
    <w:p w14:paraId="225EE01A" w14:textId="77777777" w:rsidR="00A8728B" w:rsidRDefault="00A8728B" w:rsidP="00A8728B">
      <w:pPr>
        <w:pStyle w:val="CPQuestions"/>
        <w:ind w:left="714" w:hanging="357"/>
      </w:pPr>
      <w:r>
        <w:t>D</w:t>
      </w:r>
      <w:r w:rsidRPr="00B62727">
        <w:t xml:space="preserve">o you agree with ESMA’s proposal for the definition of a liquid market? Please provide an answer detailed per </w:t>
      </w:r>
      <w:r>
        <w:t xml:space="preserve">class of derivatives (freight derivatives, emissions derivatives, weather derivatives and other exotic derivatives) and contract type identified (options, futures, forwards, swaps, others). If you do not agree with ESMA’s proposal for the definition of a liquid market, please specify </w:t>
      </w:r>
      <w:r w:rsidRPr="00B62727">
        <w:t xml:space="preserve">per </w:t>
      </w:r>
      <w:r>
        <w:t>class of derivatives</w:t>
      </w:r>
      <w:r w:rsidRPr="007E46F4">
        <w:t xml:space="preserve"> </w:t>
      </w:r>
      <w:r>
        <w:t>and contract type identified:</w:t>
      </w:r>
    </w:p>
    <w:p w14:paraId="2CC7FCBE" w14:textId="77777777" w:rsidR="00A8728B" w:rsidRDefault="00A8728B" w:rsidP="00566C6A">
      <w:pPr>
        <w:pStyle w:val="CPQuest2"/>
        <w:numPr>
          <w:ilvl w:val="0"/>
          <w:numId w:val="49"/>
        </w:numPr>
      </w:pPr>
      <w:r>
        <w:t>your alternative proposal;</w:t>
      </w:r>
    </w:p>
    <w:p w14:paraId="0F37E0D0" w14:textId="77777777" w:rsidR="00A8728B" w:rsidRDefault="00A8728B" w:rsidP="00566C6A">
      <w:pPr>
        <w:pStyle w:val="CPQuest2"/>
      </w:pPr>
      <w:r>
        <w:t>which qualitative criteria would you use to define the sub-classes;</w:t>
      </w:r>
    </w:p>
    <w:p w14:paraId="6DB85298" w14:textId="77777777" w:rsidR="00A8728B" w:rsidRDefault="00A8728B" w:rsidP="00566C6A">
      <w:pPr>
        <w:pStyle w:val="CPQuest2"/>
      </w:pPr>
      <w:r>
        <w:t>which parameters and related threshold values would you use in order to define a sub-class as liquid.</w:t>
      </w:r>
      <w:r w:rsidRPr="007E46F4">
        <w:t xml:space="preserve"> </w:t>
      </w:r>
      <w:r>
        <w:t>Please, provide r</w:t>
      </w:r>
      <w:r w:rsidRPr="000E6B5B">
        <w:t>easons for your answer</w:t>
      </w:r>
      <w:r>
        <w:t>.</w:t>
      </w:r>
    </w:p>
    <w:p w14:paraId="5345728D" w14:textId="77777777" w:rsidR="00A8728B" w:rsidRDefault="00A8728B" w:rsidP="00A8728B">
      <w:r>
        <w:t>&lt;ESMA_QUESTION_MIFID_ADD_6&gt;</w:t>
      </w:r>
    </w:p>
    <w:p w14:paraId="2A486344" w14:textId="77777777" w:rsidR="00A8728B" w:rsidRDefault="00A8728B" w:rsidP="00A8728B">
      <w:permStart w:id="302607250" w:edGrp="everyone"/>
      <w:r>
        <w:t>TYPE YOUR TEXT HERE</w:t>
      </w:r>
    </w:p>
    <w:permEnd w:id="302607250"/>
    <w:p w14:paraId="3614EB97" w14:textId="77777777" w:rsidR="00A8728B" w:rsidRDefault="00A8728B" w:rsidP="00A8728B">
      <w:r>
        <w:t>&lt;ESMA_QUESTION_MIFID_ADD_6&gt;</w:t>
      </w:r>
    </w:p>
    <w:p w14:paraId="5B9EC90F" w14:textId="77777777" w:rsidR="00A8728B" w:rsidRPr="00C24BCA" w:rsidRDefault="00A8728B" w:rsidP="00A8728B">
      <w:pPr>
        <w:pStyle w:val="CPQuestions"/>
        <w:ind w:left="714" w:hanging="357"/>
      </w:pPr>
      <w:r w:rsidRPr="00C24BCA">
        <w:lastRenderedPageBreak/>
        <w:t>Which is your preferred option? Please express your preference either for “Alternative A” or for “Alternative B”. If you disagree with both ESMA’s proposals provide your alternative proposal by answering the following question.</w:t>
      </w:r>
    </w:p>
    <w:p w14:paraId="7594300B" w14:textId="77777777" w:rsidR="00A8728B" w:rsidRDefault="00A8728B" w:rsidP="00A8728B">
      <w:r>
        <w:t>&lt;ESMA_QUESTION_MIFID_ADD_7&gt;</w:t>
      </w:r>
    </w:p>
    <w:p w14:paraId="51040FE7" w14:textId="77777777" w:rsidR="00A8728B" w:rsidRDefault="00A8728B" w:rsidP="00A8728B">
      <w:permStart w:id="983569837" w:edGrp="everyone"/>
      <w:r>
        <w:t>TYPE YOUR TEXT HERE</w:t>
      </w:r>
    </w:p>
    <w:permEnd w:id="983569837"/>
    <w:p w14:paraId="23E2FF24" w14:textId="77777777" w:rsidR="00A8728B" w:rsidRDefault="00A8728B" w:rsidP="00A8728B">
      <w:r>
        <w:t>&lt;ESMA_QUESTION_MIFID_ADD_7&gt;</w:t>
      </w:r>
    </w:p>
    <w:p w14:paraId="5662C2F9" w14:textId="77777777" w:rsidR="00A8728B" w:rsidRPr="00C24BCA" w:rsidRDefault="00A8728B" w:rsidP="00A8728B">
      <w:pPr>
        <w:pStyle w:val="CPQuestions"/>
        <w:ind w:left="714" w:hanging="357"/>
      </w:pPr>
      <w:r w:rsidRPr="00C24BCA">
        <w:t xml:space="preserve">Please specify, for each class (defined as follows if you have stated your preference for Alternative A: freight derivatives, emissions derivatives, weather derivatives and other exotic derivatives. Defined as combination of underlying type and contract type if you have stated a preference for Alternative B: freight options, freight futures, freight forwards, etc.) if you agree on the following points providing reasons for your answer and, if you disagree, providing ESMA with your alternative proposal: </w:t>
      </w:r>
    </w:p>
    <w:p w14:paraId="25DE9B75" w14:textId="77777777" w:rsidR="00A8728B" w:rsidRPr="00C24BCA" w:rsidRDefault="00A8728B" w:rsidP="00566C6A">
      <w:pPr>
        <w:pStyle w:val="CPQuest2"/>
        <w:numPr>
          <w:ilvl w:val="0"/>
          <w:numId w:val="42"/>
        </w:numPr>
      </w:pPr>
      <w:r w:rsidRPr="00C24BCA">
        <w:t xml:space="preserve">deferral period set to 48 hours </w:t>
      </w:r>
    </w:p>
    <w:p w14:paraId="67FE988A" w14:textId="77777777" w:rsidR="00A8728B" w:rsidRPr="00C24BCA" w:rsidRDefault="00A8728B" w:rsidP="00566C6A">
      <w:pPr>
        <w:pStyle w:val="CPQuest2"/>
      </w:pPr>
      <w:r w:rsidRPr="00C24BCA">
        <w:t xml:space="preserve">size specific to the instrument threshold set as 50% of the large in scale threshold </w:t>
      </w:r>
    </w:p>
    <w:p w14:paraId="2D2ED973" w14:textId="77777777" w:rsidR="00A8728B" w:rsidRPr="00C24BCA" w:rsidRDefault="00A8728B" w:rsidP="00566C6A">
      <w:pPr>
        <w:pStyle w:val="CPQuest2"/>
      </w:pPr>
      <w:r w:rsidRPr="00C24BCA">
        <w:t>volume measure used to set the large in scale and size specific to the instrument threshold as specified in Annex II, Table 3 of draft RTS 9</w:t>
      </w:r>
    </w:p>
    <w:p w14:paraId="7958D928" w14:textId="77777777" w:rsidR="00A8728B" w:rsidRPr="00C24BCA" w:rsidRDefault="00A8728B" w:rsidP="00566C6A">
      <w:pPr>
        <w:pStyle w:val="CPQuest2"/>
      </w:pPr>
      <w:r w:rsidRPr="00C24BCA">
        <w:t xml:space="preserve">pre-trade and post-trade thresholds set at the same size </w:t>
      </w:r>
    </w:p>
    <w:p w14:paraId="608FBF34" w14:textId="77777777" w:rsidR="00A8728B" w:rsidRPr="00C24BCA" w:rsidRDefault="00A8728B" w:rsidP="00566C6A">
      <w:pPr>
        <w:pStyle w:val="CPQuest2"/>
      </w:pPr>
      <w:r w:rsidRPr="00C24BCA">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14:paraId="05A7087C" w14:textId="77777777" w:rsidR="00A8728B" w:rsidRDefault="00A8728B" w:rsidP="00A8728B">
      <w:r>
        <w:t>&lt;ESMA_QUESTION_MIFID_ADD_8&gt;</w:t>
      </w:r>
    </w:p>
    <w:p w14:paraId="0E0849D4" w14:textId="77777777" w:rsidR="00576520" w:rsidRDefault="00576520" w:rsidP="00A8728B">
      <w:pPr>
        <w:rPr>
          <w:rFonts w:cs="Arial"/>
        </w:rPr>
      </w:pPr>
      <w:permStart w:id="1598904971" w:edGrp="everyone"/>
    </w:p>
    <w:p w14:paraId="73FD214F" w14:textId="77777777" w:rsidR="00A8728B" w:rsidRDefault="004D480F" w:rsidP="00A8728B">
      <w:pPr>
        <w:rPr>
          <w:lang w:val="en-US"/>
        </w:rPr>
      </w:pPr>
      <w:r>
        <w:rPr>
          <w:rFonts w:cs="Arial"/>
        </w:rPr>
        <w:t xml:space="preserve">The response of the German Banking Industry Committee (GBIC), </w:t>
      </w:r>
      <w:r>
        <w:rPr>
          <w:rFonts w:cs="Arial"/>
          <w:lang w:val="en-US"/>
        </w:rPr>
        <w:t>which represents more than 2,000 banks in Germany</w:t>
      </w:r>
      <w:r>
        <w:rPr>
          <w:rFonts w:cs="Arial"/>
        </w:rPr>
        <w:t xml:space="preserve">, </w:t>
      </w:r>
      <w:r>
        <w:rPr>
          <w:lang w:val="en-US"/>
        </w:rPr>
        <w:t xml:space="preserve">to Q2 applies </w:t>
      </w:r>
      <w:r w:rsidRPr="002B5713">
        <w:rPr>
          <w:i/>
          <w:lang w:val="en-US"/>
        </w:rPr>
        <w:t>mutatis mutandis</w:t>
      </w:r>
      <w:r>
        <w:rPr>
          <w:lang w:val="en-US"/>
        </w:rPr>
        <w:t>.</w:t>
      </w:r>
    </w:p>
    <w:p w14:paraId="6F05038F" w14:textId="77777777" w:rsidR="00576520" w:rsidRDefault="00576520" w:rsidP="00A8728B">
      <w:bookmarkStart w:id="3" w:name="_GoBack"/>
      <w:bookmarkEnd w:id="3"/>
    </w:p>
    <w:permEnd w:id="1598904971"/>
    <w:p w14:paraId="50F3D09B" w14:textId="77777777" w:rsidR="00A8728B" w:rsidRDefault="00A8728B" w:rsidP="00A8728B">
      <w:r>
        <w:t>&lt;ESMA_QUESTION_MIFID_ADD_8&gt;</w:t>
      </w:r>
    </w:p>
    <w:p w14:paraId="34969C5B" w14:textId="77777777" w:rsidR="00A8728B" w:rsidRDefault="00A8728B" w:rsidP="00A8728B">
      <w:pPr>
        <w:pStyle w:val="CPQuestions"/>
        <w:ind w:left="714" w:hanging="357"/>
      </w:pPr>
      <w:r>
        <w:t xml:space="preserve">Do you agree with the approach taken for </w:t>
      </w:r>
      <w:r w:rsidRPr="002D60BB">
        <w:t>shares</w:t>
      </w:r>
      <w:r>
        <w:t xml:space="preserve"> where any CFD based on a liquid share would be considered as having a liquid market? More specifically, please provide feedback on the following:</w:t>
      </w:r>
    </w:p>
    <w:p w14:paraId="10F924EE" w14:textId="77777777" w:rsidR="00A8728B" w:rsidRDefault="00A8728B" w:rsidP="00566C6A">
      <w:pPr>
        <w:pStyle w:val="CPQuest2"/>
        <w:numPr>
          <w:ilvl w:val="0"/>
          <w:numId w:val="43"/>
        </w:numPr>
      </w:pPr>
      <w:r>
        <w:t>Would you prefer to follow a similar approach as that proposed in option 2 on liquidity for equity derivatives (paragraph 90 page 132 of December CP), i.e. qualify all CFDs on equity as liquid irrespectively of the liquidity of the underlying?</w:t>
      </w:r>
    </w:p>
    <w:p w14:paraId="410A7815" w14:textId="77777777" w:rsidR="00A8728B" w:rsidRPr="00C24BCA" w:rsidRDefault="00A8728B" w:rsidP="00566C6A">
      <w:pPr>
        <w:pStyle w:val="CPQuest2"/>
      </w:pPr>
      <w:r>
        <w:lastRenderedPageBreak/>
        <w:t xml:space="preserve">Would you </w:t>
      </w:r>
      <w:r w:rsidRPr="00C24BCA">
        <w:t>have used different criteria to define the classes or sub-classes?</w:t>
      </w:r>
    </w:p>
    <w:p w14:paraId="49AD8B41" w14:textId="77777777" w:rsidR="00A8728B" w:rsidRPr="00C24BCA" w:rsidRDefault="00A8728B" w:rsidP="00566C6A">
      <w:pPr>
        <w:pStyle w:val="CPQuest2"/>
      </w:pPr>
      <w:r w:rsidRPr="00C24BCA">
        <w:t>Would you have used different parameters or the same parameters (i.e. average number of trades per day and average notional amount traded per day) but different thresholds in order to define a sub-class as liquid?</w:t>
      </w:r>
    </w:p>
    <w:p w14:paraId="21C41D59" w14:textId="77777777" w:rsidR="00A8728B" w:rsidRPr="00C24BCA" w:rsidRDefault="00A8728B" w:rsidP="00566C6A">
      <w:pPr>
        <w:pStyle w:val="CPQuest2"/>
      </w:pPr>
      <w:r w:rsidRPr="00C24BCA">
        <w:t xml:space="preserve">Would you support extending the approach taken for shares to other equity (ETFs, depositary receipts and certificates) and equity-like instruments? </w:t>
      </w:r>
    </w:p>
    <w:p w14:paraId="7BA6A5E9" w14:textId="77777777" w:rsidR="00A8728B" w:rsidRDefault="00A8728B" w:rsidP="00A8728B">
      <w:r>
        <w:t>&lt;ESMA_QUESTION_MIFID_ADD_9&gt;</w:t>
      </w:r>
    </w:p>
    <w:p w14:paraId="4337DFE5" w14:textId="77777777" w:rsidR="00A8728B" w:rsidRDefault="00A8728B" w:rsidP="00A8728B">
      <w:permStart w:id="1382698554" w:edGrp="everyone"/>
      <w:r>
        <w:t>TYPE YOUR TEXT HERE</w:t>
      </w:r>
    </w:p>
    <w:permEnd w:id="1382698554"/>
    <w:p w14:paraId="51951E98" w14:textId="77777777" w:rsidR="00A8728B" w:rsidRDefault="00A8728B" w:rsidP="00A8728B">
      <w:r>
        <w:t>&lt;ESMA_QUESTION_MIFID_ADD_9&gt;</w:t>
      </w:r>
    </w:p>
    <w:p w14:paraId="60C39538" w14:textId="77777777" w:rsidR="00A8728B" w:rsidRDefault="00A8728B" w:rsidP="00A8728B">
      <w:pPr>
        <w:pStyle w:val="CPQuestions"/>
        <w:ind w:left="714" w:hanging="357"/>
      </w:pPr>
      <w:r w:rsidRPr="00C24BCA">
        <w:t>Do you agree with ESMA’s proposal for the definition of a liquid market for CFDs on currencies? Please provide a feedback on</w:t>
      </w:r>
      <w:r>
        <w:t xml:space="preserve"> the following in your answer:</w:t>
      </w:r>
    </w:p>
    <w:p w14:paraId="4A4063AE" w14:textId="77777777" w:rsidR="00A8728B" w:rsidRPr="00B62727" w:rsidRDefault="00A8728B" w:rsidP="00566C6A">
      <w:pPr>
        <w:pStyle w:val="CPQuest2"/>
        <w:numPr>
          <w:ilvl w:val="0"/>
          <w:numId w:val="44"/>
        </w:numPr>
      </w:pPr>
      <w:r w:rsidRPr="00B62727">
        <w:t>Would you use different qualitative criteria to define the sub-classes?</w:t>
      </w:r>
    </w:p>
    <w:p w14:paraId="233CD7FD" w14:textId="77777777"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14:paraId="7036CD37" w14:textId="77777777" w:rsidR="00A8728B" w:rsidRPr="00B62727" w:rsidRDefault="00A8728B" w:rsidP="00566C6A">
      <w:pPr>
        <w:pStyle w:val="CPQuest2"/>
      </w:pPr>
      <w:r w:rsidRPr="00B62727">
        <w:t xml:space="preserve">Would you define </w:t>
      </w:r>
      <w:r>
        <w:t>sub-</w:t>
      </w:r>
      <w:r w:rsidRPr="00B62727">
        <w:t>classes declared as liquid in ESMA’s proposal as illiquid (or vice versa)? Please provide reasons for your answer.</w:t>
      </w:r>
    </w:p>
    <w:p w14:paraId="016B9BB0" w14:textId="77777777" w:rsidR="00A8728B" w:rsidRDefault="00A8728B" w:rsidP="00A8728B">
      <w:r>
        <w:t>&lt;ESMA_QUESTION_MIFID_ADD_10&gt;</w:t>
      </w:r>
    </w:p>
    <w:p w14:paraId="18406736" w14:textId="77777777" w:rsidR="00A8728B" w:rsidRDefault="00A8728B" w:rsidP="00A8728B">
      <w:permStart w:id="44919865" w:edGrp="everyone"/>
      <w:r>
        <w:t>TYPE YOUR TEXT HERE</w:t>
      </w:r>
    </w:p>
    <w:permEnd w:id="44919865"/>
    <w:p w14:paraId="79C445E7" w14:textId="77777777" w:rsidR="00A8728B" w:rsidRDefault="00A8728B" w:rsidP="00A8728B">
      <w:r>
        <w:t>&lt;ESMA_QUESTION_MIFID_ADD_10&gt;</w:t>
      </w:r>
    </w:p>
    <w:p w14:paraId="79BA989A" w14:textId="77777777" w:rsidR="00A8728B" w:rsidRDefault="00A8728B" w:rsidP="00A8728B">
      <w:pPr>
        <w:pStyle w:val="CPQuestions"/>
        <w:ind w:left="714" w:hanging="357"/>
      </w:pPr>
      <w:r>
        <w:t>Do you agree that CFDs on instruments other than equities and currencies are illiquid?</w:t>
      </w:r>
      <w:r w:rsidRPr="002D60BB">
        <w:t xml:space="preserve"> </w:t>
      </w:r>
      <w:r>
        <w:t>If you do not agree with ESMA’s proposal for the definition of a liquid market for those classes, please provide your alternative proposal specifying the following:</w:t>
      </w:r>
    </w:p>
    <w:p w14:paraId="067D40EA" w14:textId="77777777" w:rsidR="00A8728B" w:rsidRDefault="00A8728B" w:rsidP="00566C6A">
      <w:pPr>
        <w:pStyle w:val="CPQuest2"/>
        <w:numPr>
          <w:ilvl w:val="0"/>
          <w:numId w:val="45"/>
        </w:numPr>
      </w:pPr>
      <w:r>
        <w:t xml:space="preserve">How would you define the sub-classes, i.e. which </w:t>
      </w:r>
      <w:r w:rsidRPr="00B62727">
        <w:t xml:space="preserve">qualitative criteria </w:t>
      </w:r>
      <w:r>
        <w:t>would you use?</w:t>
      </w:r>
    </w:p>
    <w:p w14:paraId="0E2FF2F4" w14:textId="77777777" w:rsidR="00A8728B" w:rsidRDefault="00A8728B" w:rsidP="00566C6A">
      <w:pPr>
        <w:pStyle w:val="CPQuest2"/>
      </w:pPr>
      <w:r>
        <w:t xml:space="preserve">Which </w:t>
      </w:r>
      <w:r w:rsidRPr="00B62727">
        <w:t xml:space="preserve">parameters </w:t>
      </w:r>
      <w:r>
        <w:t xml:space="preserve">and related thresholds would you use to classify a </w:t>
      </w:r>
      <w:r w:rsidRPr="00B62727">
        <w:t>sub-class as liquid?</w:t>
      </w:r>
    </w:p>
    <w:p w14:paraId="608838FB" w14:textId="77777777" w:rsidR="00A8728B" w:rsidRDefault="00A8728B" w:rsidP="00566C6A">
      <w:pPr>
        <w:pStyle w:val="CPQuest2"/>
      </w:pPr>
      <w:r>
        <w:t>Which sub-classes would you define as liquid?</w:t>
      </w:r>
    </w:p>
    <w:p w14:paraId="64FED3D1" w14:textId="77777777" w:rsidR="00A8728B" w:rsidRDefault="00A8728B" w:rsidP="00A8728B">
      <w:r>
        <w:t>&lt;ESMA_QUESTION_MIFID_ADD_11&gt;</w:t>
      </w:r>
    </w:p>
    <w:p w14:paraId="1F10E294" w14:textId="77777777" w:rsidR="00A8728B" w:rsidRDefault="00A8728B" w:rsidP="00A8728B">
      <w:permStart w:id="1799574212" w:edGrp="everyone"/>
      <w:r>
        <w:t>TYPE YOUR TEXT HERE</w:t>
      </w:r>
    </w:p>
    <w:permEnd w:id="1799574212"/>
    <w:p w14:paraId="65D0FF96" w14:textId="77777777" w:rsidR="00A8728B" w:rsidRDefault="00A8728B" w:rsidP="00A8728B">
      <w:r>
        <w:t>&lt;ESMA_QUESTION_MIFID_ADD_11&gt;</w:t>
      </w:r>
    </w:p>
    <w:p w14:paraId="1DEA03B2" w14:textId="77777777" w:rsidR="00A8728B" w:rsidRPr="00C24BCA" w:rsidRDefault="00A8728B" w:rsidP="00A8728B">
      <w:pPr>
        <w:pStyle w:val="CPQuestions"/>
        <w:ind w:left="714" w:hanging="357"/>
      </w:pPr>
      <w:r w:rsidRPr="00C24BCA">
        <w:t xml:space="preserve">Do you agree with ESMA’s proposal for CFDs? Please specify, for each sub-class (CFDs on equity, CFDs on currency, CFDs on commodity, CFDs on bonds, CFDs on </w:t>
      </w:r>
      <w:r w:rsidRPr="00C24BCA">
        <w:lastRenderedPageBreak/>
        <w:t xml:space="preserve">futures </w:t>
      </w:r>
      <w:r w:rsidR="00992D4E" w:rsidRPr="00C24BCA">
        <w:t xml:space="preserve">on equity </w:t>
      </w:r>
      <w:r w:rsidRPr="00C24BCA">
        <w:t xml:space="preserve">and CFDs on options on equity, others) if you agree on the following points providing reasons for your answer and, if you disagree providing ESMA with an alternative proposal regarding: </w:t>
      </w:r>
    </w:p>
    <w:p w14:paraId="359C9437" w14:textId="77777777" w:rsidR="00A8728B" w:rsidRPr="00C24BCA" w:rsidRDefault="00A8728B" w:rsidP="00566C6A">
      <w:pPr>
        <w:pStyle w:val="CPQuest2"/>
        <w:numPr>
          <w:ilvl w:val="0"/>
          <w:numId w:val="46"/>
        </w:numPr>
      </w:pPr>
      <w:r w:rsidRPr="00C24BCA">
        <w:t>deferral period set to 48 hours</w:t>
      </w:r>
    </w:p>
    <w:p w14:paraId="52EEBF92" w14:textId="77777777" w:rsidR="00A8728B" w:rsidRPr="00C24BCA" w:rsidRDefault="00A8728B" w:rsidP="00566C6A">
      <w:pPr>
        <w:pStyle w:val="CPQuest2"/>
      </w:pPr>
      <w:r w:rsidRPr="00C24BCA">
        <w:t>size specific to the instrument threshold set as 50% of the large in scale threshold</w:t>
      </w:r>
    </w:p>
    <w:p w14:paraId="2C3829B8" w14:textId="77777777" w:rsidR="00A8728B" w:rsidRPr="00C24BCA" w:rsidRDefault="00A8728B" w:rsidP="00566C6A">
      <w:pPr>
        <w:pStyle w:val="CPQuest2"/>
      </w:pPr>
      <w:r w:rsidRPr="00C24BCA">
        <w:t>volume measure used to set the large in scale and size specific to the instrument threshold as specified in Annex II, Table 3 of draft RTS 9</w:t>
      </w:r>
    </w:p>
    <w:p w14:paraId="01A53DFB" w14:textId="77777777" w:rsidR="00A8728B" w:rsidRPr="00C24BCA" w:rsidRDefault="00A8728B" w:rsidP="00566C6A">
      <w:pPr>
        <w:pStyle w:val="CPQuest2"/>
      </w:pPr>
      <w:r w:rsidRPr="00C24BCA">
        <w:t>pre-trade and post-trade thresholds set at the same size</w:t>
      </w:r>
    </w:p>
    <w:p w14:paraId="3B477A42" w14:textId="77777777"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r>
        <w:t>.</w:t>
      </w:r>
    </w:p>
    <w:p w14:paraId="402A1909" w14:textId="77777777" w:rsidR="00A8728B" w:rsidRDefault="00A8728B" w:rsidP="00A8728B">
      <w:r>
        <w:t>&lt;ESMA_QUESTION_MIFID_ADD_12&gt;</w:t>
      </w:r>
    </w:p>
    <w:p w14:paraId="2A0F3228" w14:textId="77777777" w:rsidR="00A8728B" w:rsidRDefault="00A8728B" w:rsidP="00A8728B">
      <w:permStart w:id="1894329122" w:edGrp="everyone"/>
      <w:r>
        <w:t>TYPE YOUR TEXT HERE</w:t>
      </w:r>
    </w:p>
    <w:permEnd w:id="1894329122"/>
    <w:p w14:paraId="2403F1BD" w14:textId="77777777" w:rsidR="00A8728B" w:rsidRDefault="00A8728B" w:rsidP="00A8728B">
      <w:r>
        <w:t>&lt;ESMA_QUESTION_MIFID_ADD_12&gt;</w:t>
      </w:r>
    </w:p>
    <w:p w14:paraId="465DA4E5" w14:textId="77777777" w:rsidR="00A8728B" w:rsidRDefault="00A8728B" w:rsidP="00A8728B"/>
    <w:p w14:paraId="118BB8BD" w14:textId="77777777" w:rsidR="00F32462" w:rsidRDefault="00F32462">
      <w:pPr>
        <w:rPr>
          <w:rFonts w:cs="Arial"/>
          <w:b/>
          <w:sz w:val="22"/>
          <w:szCs w:val="22"/>
          <w:lang w:eastAsia="en-US"/>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18B89" w14:textId="77777777" w:rsidR="00570E96" w:rsidRDefault="00570E96">
      <w:r>
        <w:separator/>
      </w:r>
    </w:p>
    <w:p w14:paraId="2782BD8B" w14:textId="77777777" w:rsidR="00570E96" w:rsidRDefault="00570E96"/>
  </w:endnote>
  <w:endnote w:type="continuationSeparator" w:id="0">
    <w:p w14:paraId="03147E88" w14:textId="77777777" w:rsidR="00570E96" w:rsidRDefault="00570E96">
      <w:r>
        <w:continuationSeparator/>
      </w:r>
    </w:p>
    <w:p w14:paraId="4446DFC1" w14:textId="77777777" w:rsidR="00570E96" w:rsidRDefault="00570E96"/>
  </w:endnote>
  <w:endnote w:type="continuationNotice" w:id="1">
    <w:p w14:paraId="798E3C36" w14:textId="77777777" w:rsidR="00570E96" w:rsidRDefault="00570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430B7C22" w14:textId="77777777" w:rsidTr="00315E96">
      <w:trPr>
        <w:trHeight w:val="284"/>
      </w:trPr>
      <w:tc>
        <w:tcPr>
          <w:tcW w:w="8460" w:type="dxa"/>
        </w:tcPr>
        <w:p w14:paraId="3966B1F4" w14:textId="77777777" w:rsidR="00811EDA" w:rsidRPr="00315E96" w:rsidRDefault="00811EDA" w:rsidP="00315E96">
          <w:pPr>
            <w:pStyle w:val="00Footer"/>
            <w:rPr>
              <w:lang w:val="fr-FR"/>
            </w:rPr>
          </w:pPr>
        </w:p>
      </w:tc>
      <w:tc>
        <w:tcPr>
          <w:tcW w:w="952" w:type="dxa"/>
        </w:tcPr>
        <w:p w14:paraId="33C5B708"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76520">
            <w:rPr>
              <w:rFonts w:cs="Arial"/>
              <w:noProof/>
              <w:sz w:val="22"/>
              <w:szCs w:val="22"/>
            </w:rPr>
            <w:t>8</w:t>
          </w:r>
          <w:r w:rsidRPr="00616B9B">
            <w:rPr>
              <w:rFonts w:cs="Arial"/>
              <w:noProof/>
              <w:sz w:val="22"/>
              <w:szCs w:val="22"/>
            </w:rPr>
            <w:fldChar w:fldCharType="end"/>
          </w:r>
        </w:p>
      </w:tc>
    </w:tr>
  </w:tbl>
  <w:p w14:paraId="2AA5F01B" w14:textId="77777777"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D489D" w14:textId="77777777"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CCCAF" w14:textId="77777777" w:rsidR="00570E96" w:rsidRDefault="00570E96">
      <w:r>
        <w:separator/>
      </w:r>
    </w:p>
    <w:p w14:paraId="040521A1" w14:textId="77777777" w:rsidR="00570E96" w:rsidRDefault="00570E96"/>
  </w:footnote>
  <w:footnote w:type="continuationSeparator" w:id="0">
    <w:p w14:paraId="0161ED39" w14:textId="77777777" w:rsidR="00570E96" w:rsidRDefault="00570E96">
      <w:r>
        <w:continuationSeparator/>
      </w:r>
    </w:p>
    <w:p w14:paraId="24D6535D" w14:textId="77777777" w:rsidR="00570E96" w:rsidRDefault="00570E96"/>
  </w:footnote>
  <w:footnote w:type="continuationNotice" w:id="1">
    <w:p w14:paraId="7F86A6DA" w14:textId="77777777" w:rsidR="00570E96" w:rsidRDefault="00570E96"/>
  </w:footnote>
  <w:footnote w:id="2">
    <w:p w14:paraId="112613D7" w14:textId="77777777" w:rsidR="00D34282" w:rsidRPr="00AA7A30" w:rsidRDefault="00D34282" w:rsidP="00D34282">
      <w:pPr>
        <w:pStyle w:val="Funotentext"/>
        <w:rPr>
          <w:rFonts w:cs="Arial"/>
        </w:rPr>
      </w:pPr>
      <w:r w:rsidRPr="00AA7A30">
        <w:rPr>
          <w:rStyle w:val="Funotenzeichen"/>
          <w:rFonts w:cs="Arial"/>
        </w:rPr>
        <w:footnoteRef/>
      </w:r>
      <w:r w:rsidRPr="00AA7A30">
        <w:rPr>
          <w:rFonts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7BECF" w14:textId="77777777" w:rsidR="00811EDA" w:rsidRDefault="00DE66EB">
    <w:pPr>
      <w:pStyle w:val="Kopfzeile"/>
    </w:pPr>
    <w:r>
      <w:rPr>
        <w:noProof/>
        <w:lang w:val="de-DE"/>
      </w:rPr>
      <w:drawing>
        <wp:anchor distT="0" distB="0" distL="114300" distR="114300" simplePos="0" relativeHeight="251658240" behindDoc="0" locked="0" layoutInCell="1" allowOverlap="1" wp14:anchorId="01F57F69" wp14:editId="42258FC6">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3609745A" wp14:editId="23C16DE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63A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C8AE6" w14:textId="77777777" w:rsidR="00811EDA" w:rsidRDefault="00DE66EB" w:rsidP="00013CCE">
    <w:pPr>
      <w:pStyle w:val="Kopfzeile"/>
      <w:jc w:val="right"/>
    </w:pPr>
    <w:r>
      <w:rPr>
        <w:noProof/>
        <w:lang w:val="de-DE"/>
      </w:rPr>
      <w:drawing>
        <wp:anchor distT="0" distB="0" distL="114300" distR="114300" simplePos="0" relativeHeight="251657216" behindDoc="0" locked="0" layoutInCell="1" allowOverlap="1" wp14:anchorId="4EA0E14C" wp14:editId="0CEFFFE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6E39B602" wp14:editId="37084A30">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06254"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38B93740" w14:textId="77777777" w:rsidTr="000C06C9">
      <w:trPr>
        <w:trHeight w:val="284"/>
      </w:trPr>
      <w:tc>
        <w:tcPr>
          <w:tcW w:w="8460" w:type="dxa"/>
        </w:tcPr>
        <w:p w14:paraId="6CC88DFE" w14:textId="77777777" w:rsidR="00811EDA" w:rsidRPr="000C3B6D" w:rsidRDefault="00811EDA" w:rsidP="000C06C9">
          <w:pPr>
            <w:pStyle w:val="00Footer"/>
            <w:rPr>
              <w:lang w:val="fr-FR"/>
            </w:rPr>
          </w:pPr>
        </w:p>
      </w:tc>
      <w:tc>
        <w:tcPr>
          <w:tcW w:w="952" w:type="dxa"/>
        </w:tcPr>
        <w:p w14:paraId="64FC28E1" w14:textId="77777777" w:rsidR="00811EDA" w:rsidRPr="00146B34" w:rsidRDefault="00811EDA" w:rsidP="000C06C9">
          <w:pPr>
            <w:pStyle w:val="00aPagenumber"/>
            <w:rPr>
              <w:lang w:val="fr-FR"/>
            </w:rPr>
          </w:pPr>
        </w:p>
      </w:tc>
    </w:tr>
  </w:tbl>
  <w:p w14:paraId="3489613A" w14:textId="77777777" w:rsidR="00811EDA" w:rsidRPr="00DB46C3" w:rsidRDefault="00811EDA">
    <w:pPr>
      <w:rPr>
        <w:lang w:val="fr-FR"/>
      </w:rPr>
    </w:pPr>
  </w:p>
  <w:p w14:paraId="1563B2C8" w14:textId="77777777" w:rsidR="00811EDA" w:rsidRPr="002F4496" w:rsidRDefault="00811EDA">
    <w:pPr>
      <w:pStyle w:val="Kopfzeile"/>
      <w:rPr>
        <w:lang w:val="fr-FR"/>
      </w:rPr>
    </w:pPr>
  </w:p>
  <w:p w14:paraId="2CCE6BCA" w14:textId="77777777" w:rsidR="00811EDA" w:rsidRPr="002F4496" w:rsidRDefault="00811EDA" w:rsidP="000C06C9">
    <w:pPr>
      <w:pStyle w:val="Kopfzeile"/>
      <w:tabs>
        <w:tab w:val="clear" w:pos="4536"/>
        <w:tab w:val="clear" w:pos="9072"/>
        <w:tab w:val="left" w:pos="8227"/>
      </w:tabs>
      <w:rPr>
        <w:lang w:val="fr-FR"/>
      </w:rPr>
    </w:pPr>
  </w:p>
  <w:p w14:paraId="0609E2A7" w14:textId="77777777" w:rsidR="00811EDA" w:rsidRPr="002F4496" w:rsidRDefault="00811EDA" w:rsidP="000C06C9">
    <w:pPr>
      <w:pStyle w:val="Kopfzeile"/>
      <w:tabs>
        <w:tab w:val="clear" w:pos="4536"/>
        <w:tab w:val="clear" w:pos="9072"/>
        <w:tab w:val="left" w:pos="8227"/>
      </w:tabs>
      <w:rPr>
        <w:lang w:val="fr-FR"/>
      </w:rPr>
    </w:pPr>
  </w:p>
  <w:p w14:paraId="4448D1F9" w14:textId="77777777" w:rsidR="00811EDA" w:rsidRPr="002F4496" w:rsidRDefault="00811EDA">
    <w:pPr>
      <w:pStyle w:val="Kopfzeile"/>
      <w:rPr>
        <w:lang w:val="fr-FR"/>
      </w:rPr>
    </w:pPr>
  </w:p>
  <w:p w14:paraId="38AC04DD" w14:textId="77777777" w:rsidR="00811EDA" w:rsidRPr="002F4496" w:rsidRDefault="00811EDA">
    <w:pPr>
      <w:pStyle w:val="Kopfzeile"/>
      <w:rPr>
        <w:lang w:val="fr-FR"/>
      </w:rPr>
    </w:pPr>
  </w:p>
  <w:p w14:paraId="3A437019" w14:textId="77777777" w:rsidR="00811EDA" w:rsidRPr="002F4496" w:rsidRDefault="00811EDA">
    <w:pPr>
      <w:pStyle w:val="Kopfzeile"/>
      <w:rPr>
        <w:lang w:val="fr-FR"/>
      </w:rPr>
    </w:pPr>
  </w:p>
  <w:p w14:paraId="48303271" w14:textId="77777777" w:rsidR="00811EDA" w:rsidRPr="002F4496" w:rsidRDefault="00811EDA">
    <w:pPr>
      <w:pStyle w:val="Kopfzeile"/>
      <w:rPr>
        <w:lang w:val="fr-FR"/>
      </w:rPr>
    </w:pPr>
  </w:p>
  <w:p w14:paraId="7C0BFE33" w14:textId="77777777" w:rsidR="00811EDA" w:rsidRPr="002F4496" w:rsidRDefault="00811EDA">
    <w:pPr>
      <w:pStyle w:val="Kopfzeile"/>
      <w:rPr>
        <w:highlight w:val="yellow"/>
        <w:lang w:val="fr-FR"/>
      </w:rPr>
    </w:pPr>
  </w:p>
  <w:p w14:paraId="7323F2F8" w14:textId="77777777"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5412D6CC" wp14:editId="71C73543">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86C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02532D6D" wp14:editId="4C02593B">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xXaH8KyD8QgqtQ9Kldtrt3DnIk=" w:salt="3xub1WRPctATi7RQzt2Ss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7CF"/>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1B7D"/>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6904"/>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283A"/>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0E18"/>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2B1A"/>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80F"/>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0E96"/>
    <w:rsid w:val="00573569"/>
    <w:rsid w:val="00573871"/>
    <w:rsid w:val="0057389E"/>
    <w:rsid w:val="00576520"/>
    <w:rsid w:val="005765C0"/>
    <w:rsid w:val="005778DE"/>
    <w:rsid w:val="00577C5D"/>
    <w:rsid w:val="00580B3F"/>
    <w:rsid w:val="005825F2"/>
    <w:rsid w:val="005860AF"/>
    <w:rsid w:val="00586D9B"/>
    <w:rsid w:val="00587F1D"/>
    <w:rsid w:val="00590348"/>
    <w:rsid w:val="00591161"/>
    <w:rsid w:val="00592318"/>
    <w:rsid w:val="0059250E"/>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5444"/>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67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346"/>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04"/>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3D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69A"/>
    <w:rsid w:val="00A65805"/>
    <w:rsid w:val="00A66BEE"/>
    <w:rsid w:val="00A671C9"/>
    <w:rsid w:val="00A67DFD"/>
    <w:rsid w:val="00A74F9F"/>
    <w:rsid w:val="00A750B3"/>
    <w:rsid w:val="00A75559"/>
    <w:rsid w:val="00A7623D"/>
    <w:rsid w:val="00A824A7"/>
    <w:rsid w:val="00A83644"/>
    <w:rsid w:val="00A83C07"/>
    <w:rsid w:val="00A83E1D"/>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67021"/>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0F49"/>
    <w:rsid w:val="00BB238D"/>
    <w:rsid w:val="00BB37CC"/>
    <w:rsid w:val="00BB48C4"/>
    <w:rsid w:val="00BB6907"/>
    <w:rsid w:val="00BB7A20"/>
    <w:rsid w:val="00BC15B1"/>
    <w:rsid w:val="00BC3C06"/>
    <w:rsid w:val="00BC4C2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94D"/>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52AE"/>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36"/>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6778"/>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3865"/>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5964"/>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CBE"/>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7E9BC2D"/>
  <w15:docId w15:val="{71AA49EA-34A7-4DDB-8225-5A09AE4D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36227716">
      <w:bodyDiv w:val="1"/>
      <w:marLeft w:val="0"/>
      <w:marRight w:val="0"/>
      <w:marTop w:val="0"/>
      <w:marBottom w:val="0"/>
      <w:divBdr>
        <w:top w:val="none" w:sz="0" w:space="0" w:color="auto"/>
        <w:left w:val="none" w:sz="0" w:space="0" w:color="auto"/>
        <w:bottom w:val="none" w:sz="0" w:space="0" w:color="auto"/>
        <w:right w:val="none" w:sz="0" w:space="0" w:color="auto"/>
      </w:divBdr>
      <w:divsChild>
        <w:div w:id="345599246">
          <w:marLeft w:val="0"/>
          <w:marRight w:val="0"/>
          <w:marTop w:val="60"/>
          <w:marBottom w:val="0"/>
          <w:divBdr>
            <w:top w:val="none" w:sz="0" w:space="0" w:color="auto"/>
            <w:left w:val="none" w:sz="0" w:space="0" w:color="auto"/>
            <w:bottom w:val="none" w:sz="0" w:space="0" w:color="auto"/>
            <w:right w:val="none" w:sz="0" w:space="0" w:color="auto"/>
          </w:divBdr>
          <w:divsChild>
            <w:div w:id="155458426">
              <w:marLeft w:val="0"/>
              <w:marRight w:val="0"/>
              <w:marTop w:val="0"/>
              <w:marBottom w:val="0"/>
              <w:divBdr>
                <w:top w:val="none" w:sz="0" w:space="0" w:color="auto"/>
                <w:left w:val="none" w:sz="0" w:space="0" w:color="auto"/>
                <w:bottom w:val="none" w:sz="0" w:space="0" w:color="auto"/>
                <w:right w:val="none" w:sz="0" w:space="0" w:color="auto"/>
              </w:divBdr>
              <w:divsChild>
                <w:div w:id="443500262">
                  <w:marLeft w:val="0"/>
                  <w:marRight w:val="0"/>
                  <w:marTop w:val="300"/>
                  <w:marBottom w:val="0"/>
                  <w:divBdr>
                    <w:top w:val="single" w:sz="6" w:space="0" w:color="C8C8C8"/>
                    <w:left w:val="single" w:sz="6" w:space="0" w:color="C8C8C8"/>
                    <w:bottom w:val="single" w:sz="6" w:space="0" w:color="C8C8C8"/>
                    <w:right w:val="single" w:sz="6" w:space="0" w:color="C8C8C8"/>
                  </w:divBdr>
                </w:div>
              </w:divsChild>
            </w:div>
          </w:divsChild>
        </w:div>
      </w:divsChild>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B1DD1-A64E-49BC-A385-E06F172D4667}">
  <ds:schemaRefs>
    <ds:schemaRef ds:uri="http://schemas.openxmlformats.org/officeDocument/2006/bibliography"/>
  </ds:schemaRefs>
</ds:datastoreItem>
</file>

<file path=customXml/itemProps2.xml><?xml version="1.0" encoding="utf-8"?>
<ds:datastoreItem xmlns:ds="http://schemas.openxmlformats.org/officeDocument/2006/customXml" ds:itemID="{456D3156-C9F6-43DA-8DBF-4A52402E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3025</Words>
  <Characters>19063</Characters>
  <Application>Microsoft Office Word</Application>
  <DocSecurity>8</DocSecurity>
  <Lines>158</Lines>
  <Paragraphs>44</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22044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Herr Frank Michael Bauer</cp:lastModifiedBy>
  <cp:revision>6</cp:revision>
  <cp:lastPrinted>2015-02-18T11:01:00Z</cp:lastPrinted>
  <dcterms:created xsi:type="dcterms:W3CDTF">2015-03-19T23:42:00Z</dcterms:created>
  <dcterms:modified xsi:type="dcterms:W3CDTF">2015-03-20T00:04:00Z</dcterms:modified>
  <cp:contentStatus/>
</cp:coreProperties>
</file>