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8FE" w:rsidRPr="0062636F" w:rsidRDefault="00641682">
      <w:pPr>
        <w:rPr>
          <w:rFonts w:cs="Arial"/>
          <w:b/>
          <w:color w:val="222222"/>
          <w:sz w:val="26"/>
          <w:szCs w:val="26"/>
          <w:u w:val="single"/>
          <w:shd w:val="clear" w:color="auto" w:fill="FFFFFF"/>
        </w:rPr>
      </w:pPr>
      <w:bookmarkStart w:id="0" w:name="_GoBack"/>
      <w:bookmarkEnd w:id="0"/>
      <w:r w:rsidRPr="0062636F">
        <w:rPr>
          <w:rFonts w:cs="Arial"/>
          <w:b/>
          <w:color w:val="222222"/>
          <w:sz w:val="26"/>
          <w:szCs w:val="26"/>
          <w:u w:val="single"/>
          <w:shd w:val="clear" w:color="auto" w:fill="FFFFFF"/>
        </w:rPr>
        <w:t>MiFID/R - ESMA LEVEL 2 Consultation - Addendum Consultation Document on Transparency Requirements</w:t>
      </w:r>
    </w:p>
    <w:p w:rsidR="00641682" w:rsidRPr="00641682" w:rsidRDefault="00641682" w:rsidP="00641682">
      <w:pPr>
        <w:spacing w:after="250" w:line="300" w:lineRule="exact"/>
        <w:jc w:val="both"/>
        <w:rPr>
          <w:rFonts w:eastAsia="Times New Roman" w:cs="Arial"/>
          <w:b/>
          <w:sz w:val="24"/>
          <w:szCs w:val="24"/>
          <w:lang w:eastAsia="de-DE"/>
        </w:rPr>
      </w:pPr>
      <w:bookmarkStart w:id="1" w:name="_Toc280628648"/>
      <w:r w:rsidRPr="00641682">
        <w:rPr>
          <w:rFonts w:eastAsia="Times New Roman" w:cs="Arial"/>
          <w:b/>
          <w:sz w:val="24"/>
          <w:szCs w:val="24"/>
          <w:lang w:eastAsia="de-DE"/>
        </w:rPr>
        <w:t xml:space="preserve">Responding to this paper </w:t>
      </w:r>
    </w:p>
    <w:p w:rsidR="00641682" w:rsidRPr="00641682" w:rsidRDefault="00641682" w:rsidP="00641682">
      <w:pPr>
        <w:spacing w:before="120" w:after="120"/>
        <w:jc w:val="both"/>
        <w:rPr>
          <w:rFonts w:eastAsia="Times New Roman" w:cs="Arial"/>
          <w:sz w:val="20"/>
          <w:szCs w:val="24"/>
          <w:lang w:eastAsia="de-DE"/>
        </w:rPr>
      </w:pPr>
      <w:r w:rsidRPr="00641682">
        <w:rPr>
          <w:rFonts w:eastAsia="Times New Roman" w:cs="Arial"/>
          <w:sz w:val="20"/>
          <w:szCs w:val="24"/>
          <w:lang w:eastAsia="de-DE"/>
        </w:rPr>
        <w:t>The European Securities and Markets Authority (ESMA) invites responses to the specific questions listed in the ESMA Addendum Consultation Paper on MiFID II/MiFIR, published on the ESMA website.</w:t>
      </w:r>
    </w:p>
    <w:p w:rsidR="00641682" w:rsidRPr="0062636F" w:rsidRDefault="00641682" w:rsidP="00641682">
      <w:pPr>
        <w:autoSpaceDE w:val="0"/>
        <w:autoSpaceDN w:val="0"/>
        <w:adjustRightInd w:val="0"/>
        <w:spacing w:before="120" w:after="120"/>
        <w:jc w:val="both"/>
        <w:rPr>
          <w:rFonts w:eastAsia="Times New Roman" w:cs="Arial"/>
          <w:b/>
          <w:bCs/>
          <w:i/>
          <w:sz w:val="20"/>
          <w:szCs w:val="24"/>
          <w:lang w:eastAsia="de-DE"/>
        </w:rPr>
      </w:pPr>
    </w:p>
    <w:p w:rsidR="00641682" w:rsidRPr="0062636F" w:rsidRDefault="00641682" w:rsidP="00641682">
      <w:pPr>
        <w:autoSpaceDE w:val="0"/>
        <w:autoSpaceDN w:val="0"/>
        <w:adjustRightInd w:val="0"/>
        <w:spacing w:before="120" w:after="120"/>
        <w:jc w:val="both"/>
        <w:rPr>
          <w:rFonts w:eastAsia="Times New Roman" w:cs="Arial"/>
          <w:b/>
          <w:bCs/>
          <w:i/>
          <w:sz w:val="20"/>
          <w:szCs w:val="24"/>
          <w:lang w:eastAsia="de-DE"/>
        </w:rPr>
      </w:pPr>
      <w:r w:rsidRPr="0062636F">
        <w:rPr>
          <w:rFonts w:eastAsia="Times New Roman" w:cs="Arial"/>
          <w:b/>
          <w:bCs/>
          <w:i/>
          <w:sz w:val="20"/>
          <w:szCs w:val="24"/>
          <w:lang w:eastAsia="de-DE"/>
        </w:rPr>
        <w:t>Instructions</w:t>
      </w:r>
    </w:p>
    <w:p w:rsidR="00641682" w:rsidRPr="00641682" w:rsidRDefault="00641682" w:rsidP="00641682">
      <w:pPr>
        <w:spacing w:before="120" w:after="120"/>
        <w:jc w:val="both"/>
        <w:rPr>
          <w:rFonts w:eastAsia="Times New Roman" w:cs="Arial"/>
          <w:sz w:val="20"/>
          <w:szCs w:val="24"/>
          <w:lang w:eastAsia="de-DE"/>
        </w:rPr>
      </w:pPr>
      <w:r w:rsidRPr="00641682">
        <w:rPr>
          <w:rFonts w:eastAsia="Times New Roman" w:cs="Arial"/>
          <w:sz w:val="20"/>
          <w:szCs w:val="24"/>
          <w:lang w:eastAsia="de-DE"/>
        </w:rPr>
        <w:t>Please note that, in order to facilitate the analysis of the large number of responses expected, you are requested to use this file to send your response to ESMA so as to allow us to process it properly. Therefore, ESMA will only be able to consider responses which follow the instructions described below:</w:t>
      </w:r>
    </w:p>
    <w:p w:rsidR="00641682" w:rsidRPr="00641682" w:rsidRDefault="00641682" w:rsidP="00641682">
      <w:pPr>
        <w:numPr>
          <w:ilvl w:val="0"/>
          <w:numId w:val="1"/>
        </w:numPr>
        <w:spacing w:before="120" w:after="120" w:line="240" w:lineRule="auto"/>
        <w:jc w:val="both"/>
        <w:rPr>
          <w:rFonts w:eastAsia="Times New Roman" w:cs="Arial"/>
          <w:sz w:val="20"/>
          <w:szCs w:val="24"/>
          <w:lang w:eastAsia="de-DE"/>
        </w:rPr>
      </w:pPr>
      <w:r w:rsidRPr="00641682">
        <w:rPr>
          <w:rFonts w:eastAsia="Times New Roman" w:cs="Arial"/>
          <w:sz w:val="20"/>
          <w:szCs w:val="24"/>
          <w:lang w:eastAsia="de-DE"/>
        </w:rPr>
        <w:t>use this form and send your responses in Word format (pdf documents will not be considered except for annexes);</w:t>
      </w:r>
    </w:p>
    <w:p w:rsidR="00641682" w:rsidRPr="00641682" w:rsidRDefault="00641682" w:rsidP="00641682">
      <w:pPr>
        <w:numPr>
          <w:ilvl w:val="0"/>
          <w:numId w:val="1"/>
        </w:numPr>
        <w:spacing w:before="120" w:after="120" w:line="240" w:lineRule="auto"/>
        <w:jc w:val="both"/>
        <w:rPr>
          <w:rFonts w:eastAsia="Times New Roman" w:cs="Arial"/>
          <w:sz w:val="20"/>
          <w:szCs w:val="24"/>
          <w:lang w:eastAsia="de-DE"/>
        </w:rPr>
      </w:pPr>
      <w:r w:rsidRPr="00641682">
        <w:rPr>
          <w:rFonts w:eastAsia="Times New Roman" w:cs="Arial"/>
          <w:sz w:val="20"/>
          <w:szCs w:val="24"/>
          <w:lang w:eastAsia="de-DE"/>
        </w:rPr>
        <w:t>do not remove the tags of type &lt;ESMA_ QUESTION_MIFID_ADD_1&gt; - i.e. the response to one question has to be framed by the 2 tags corresponding to the question; and</w:t>
      </w:r>
    </w:p>
    <w:p w:rsidR="00641682" w:rsidRPr="00641682" w:rsidRDefault="00641682" w:rsidP="00641682">
      <w:pPr>
        <w:numPr>
          <w:ilvl w:val="0"/>
          <w:numId w:val="1"/>
        </w:numPr>
        <w:spacing w:before="120" w:after="120" w:line="240" w:lineRule="auto"/>
        <w:jc w:val="both"/>
        <w:rPr>
          <w:rFonts w:eastAsia="Times New Roman" w:cs="Arial"/>
          <w:sz w:val="20"/>
          <w:szCs w:val="24"/>
          <w:lang w:eastAsia="de-DE"/>
        </w:rPr>
      </w:pPr>
      <w:r w:rsidRPr="00641682">
        <w:rPr>
          <w:rFonts w:eastAsia="Times New Roman" w:cs="Arial"/>
          <w:sz w:val="20"/>
          <w:szCs w:val="24"/>
          <w:lang w:eastAsia="de-DE"/>
        </w:rPr>
        <w:t>if you do not have a response to a question, do not delete it and leave the text “TYPE YOUR TEXT HERE” between the tags.</w:t>
      </w:r>
    </w:p>
    <w:p w:rsidR="00641682" w:rsidRPr="00641682" w:rsidRDefault="00641682" w:rsidP="00641682">
      <w:pPr>
        <w:spacing w:before="120" w:after="120"/>
        <w:jc w:val="both"/>
        <w:rPr>
          <w:rFonts w:eastAsia="Times New Roman" w:cs="Arial"/>
          <w:sz w:val="20"/>
          <w:szCs w:val="24"/>
          <w:lang w:eastAsia="de-DE"/>
        </w:rPr>
      </w:pPr>
      <w:r w:rsidRPr="00641682">
        <w:rPr>
          <w:rFonts w:eastAsia="Times New Roman" w:cs="Arial"/>
          <w:sz w:val="20"/>
          <w:szCs w:val="24"/>
          <w:lang w:eastAsia="de-DE"/>
        </w:rPr>
        <w:t>Responses are most helpful:</w:t>
      </w:r>
    </w:p>
    <w:p w:rsidR="00641682" w:rsidRPr="00641682" w:rsidRDefault="00641682" w:rsidP="00641682">
      <w:pPr>
        <w:numPr>
          <w:ilvl w:val="0"/>
          <w:numId w:val="2"/>
        </w:numPr>
        <w:spacing w:before="120" w:after="120" w:line="240" w:lineRule="auto"/>
        <w:jc w:val="both"/>
        <w:rPr>
          <w:rFonts w:eastAsia="Times New Roman" w:cs="Arial"/>
          <w:sz w:val="20"/>
          <w:szCs w:val="24"/>
          <w:lang w:eastAsia="de-DE"/>
        </w:rPr>
      </w:pPr>
      <w:r w:rsidRPr="00641682">
        <w:rPr>
          <w:rFonts w:eastAsia="Times New Roman" w:cs="Arial"/>
          <w:sz w:val="20"/>
          <w:szCs w:val="24"/>
          <w:lang w:eastAsia="de-DE"/>
        </w:rPr>
        <w:t>if they respond to the question stated;</w:t>
      </w:r>
    </w:p>
    <w:p w:rsidR="00641682" w:rsidRPr="00641682" w:rsidRDefault="00641682" w:rsidP="00641682">
      <w:pPr>
        <w:numPr>
          <w:ilvl w:val="0"/>
          <w:numId w:val="2"/>
        </w:numPr>
        <w:spacing w:before="120" w:after="120" w:line="240" w:lineRule="auto"/>
        <w:jc w:val="both"/>
        <w:rPr>
          <w:rFonts w:eastAsia="Times New Roman" w:cs="Arial"/>
          <w:sz w:val="20"/>
          <w:szCs w:val="24"/>
          <w:lang w:eastAsia="de-DE"/>
        </w:rPr>
      </w:pPr>
      <w:r w:rsidRPr="00641682">
        <w:rPr>
          <w:rFonts w:eastAsia="Times New Roman" w:cs="Arial"/>
          <w:sz w:val="20"/>
          <w:szCs w:val="24"/>
          <w:lang w:eastAsia="de-DE"/>
        </w:rPr>
        <w:t>contain a clear rationale, including on any related costs and benefits; and</w:t>
      </w:r>
    </w:p>
    <w:p w:rsidR="00641682" w:rsidRPr="00641682" w:rsidRDefault="00641682" w:rsidP="00641682">
      <w:pPr>
        <w:numPr>
          <w:ilvl w:val="0"/>
          <w:numId w:val="2"/>
        </w:numPr>
        <w:spacing w:before="120" w:after="120" w:line="240" w:lineRule="auto"/>
        <w:jc w:val="both"/>
        <w:rPr>
          <w:rFonts w:eastAsia="Times New Roman" w:cs="Arial"/>
          <w:sz w:val="20"/>
          <w:szCs w:val="24"/>
          <w:lang w:eastAsia="de-DE"/>
        </w:rPr>
      </w:pPr>
      <w:r w:rsidRPr="00641682">
        <w:rPr>
          <w:rFonts w:eastAsia="Times New Roman" w:cs="Arial"/>
          <w:sz w:val="20"/>
          <w:szCs w:val="24"/>
          <w:lang w:eastAsia="de-DE"/>
        </w:rPr>
        <w:t>describe any alternatives that ESMA should consider</w:t>
      </w:r>
    </w:p>
    <w:p w:rsidR="00641682" w:rsidRPr="00641682" w:rsidRDefault="00641682" w:rsidP="00641682">
      <w:pPr>
        <w:spacing w:before="120" w:after="120"/>
        <w:rPr>
          <w:rFonts w:eastAsia="Times New Roman" w:cs="Arial"/>
          <w:b/>
          <w:sz w:val="20"/>
          <w:szCs w:val="24"/>
          <w:lang w:eastAsia="de-DE"/>
        </w:rPr>
      </w:pPr>
    </w:p>
    <w:p w:rsidR="00641682" w:rsidRPr="00641682" w:rsidRDefault="00641682" w:rsidP="00641682">
      <w:pPr>
        <w:spacing w:before="120" w:after="120"/>
        <w:rPr>
          <w:rFonts w:eastAsia="Times New Roman" w:cs="Arial"/>
          <w:b/>
          <w:sz w:val="20"/>
          <w:szCs w:val="24"/>
          <w:lang w:eastAsia="de-DE"/>
        </w:rPr>
      </w:pPr>
      <w:r w:rsidRPr="00641682">
        <w:rPr>
          <w:rFonts w:eastAsia="Times New Roman" w:cs="Arial"/>
          <w:b/>
          <w:sz w:val="20"/>
          <w:szCs w:val="24"/>
          <w:lang w:eastAsia="de-DE"/>
        </w:rPr>
        <w:t>Naming protocol</w:t>
      </w:r>
    </w:p>
    <w:p w:rsidR="00641682" w:rsidRPr="00641682" w:rsidRDefault="00641682" w:rsidP="00641682">
      <w:pPr>
        <w:spacing w:before="120" w:after="120"/>
        <w:rPr>
          <w:rFonts w:eastAsia="Times New Roman" w:cs="Arial"/>
          <w:sz w:val="20"/>
          <w:szCs w:val="24"/>
          <w:lang w:eastAsia="de-DE"/>
        </w:rPr>
      </w:pPr>
      <w:r w:rsidRPr="00641682">
        <w:rPr>
          <w:rFonts w:eastAsia="Times New Roman" w:cs="Arial"/>
          <w:sz w:val="20"/>
          <w:szCs w:val="24"/>
          <w:lang w:eastAsia="de-DE"/>
        </w:rPr>
        <w:t>In order to facilitate the handling of stakeholders responses please save your document using the following format:</w:t>
      </w:r>
    </w:p>
    <w:p w:rsidR="00641682" w:rsidRPr="00641682" w:rsidRDefault="00641682" w:rsidP="00641682">
      <w:pPr>
        <w:spacing w:before="120" w:after="120"/>
        <w:rPr>
          <w:rFonts w:eastAsia="Times New Roman" w:cs="Arial"/>
          <w:sz w:val="20"/>
          <w:szCs w:val="24"/>
          <w:lang w:eastAsia="de-DE"/>
        </w:rPr>
      </w:pPr>
      <w:r w:rsidRPr="00641682">
        <w:rPr>
          <w:rFonts w:eastAsia="Times New Roman" w:cs="Arial"/>
          <w:sz w:val="20"/>
          <w:szCs w:val="24"/>
          <w:lang w:eastAsia="de-DE"/>
        </w:rPr>
        <w:t>ESMA_MiFID_ADD_NAMEOFCOMPANY_NAMEOFDOCUMENT.</w:t>
      </w:r>
    </w:p>
    <w:p w:rsidR="00641682" w:rsidRPr="00641682" w:rsidRDefault="00641682" w:rsidP="00641682">
      <w:pPr>
        <w:spacing w:before="120" w:after="120"/>
        <w:rPr>
          <w:rFonts w:eastAsia="Times New Roman" w:cs="Arial"/>
          <w:sz w:val="20"/>
          <w:szCs w:val="24"/>
          <w:lang w:eastAsia="de-DE"/>
        </w:rPr>
      </w:pPr>
      <w:r w:rsidRPr="00641682">
        <w:rPr>
          <w:rFonts w:eastAsia="Times New Roman" w:cs="Arial"/>
          <w:sz w:val="20"/>
          <w:szCs w:val="24"/>
          <w:lang w:eastAsia="de-DE"/>
        </w:rPr>
        <w:t>E.g. if the respondent were ESMA, the name of the reply form would be:</w:t>
      </w:r>
    </w:p>
    <w:p w:rsidR="00641682" w:rsidRPr="00641682" w:rsidRDefault="00641682" w:rsidP="00641682">
      <w:pPr>
        <w:spacing w:before="120" w:after="120"/>
        <w:rPr>
          <w:rFonts w:eastAsia="Times New Roman" w:cs="Arial"/>
          <w:sz w:val="20"/>
          <w:szCs w:val="24"/>
          <w:lang w:eastAsia="de-DE"/>
        </w:rPr>
      </w:pPr>
      <w:r w:rsidRPr="00641682">
        <w:rPr>
          <w:rFonts w:eastAsia="Times New Roman" w:cs="Arial"/>
          <w:sz w:val="20"/>
          <w:szCs w:val="24"/>
          <w:lang w:eastAsia="de-DE"/>
        </w:rPr>
        <w:t xml:space="preserve">ESMA_MiFID_ADD_ESMA_REPLYFORM or </w:t>
      </w:r>
    </w:p>
    <w:p w:rsidR="00641682" w:rsidRPr="00641682" w:rsidRDefault="00641682" w:rsidP="00641682">
      <w:pPr>
        <w:spacing w:before="120" w:after="120"/>
        <w:rPr>
          <w:rFonts w:eastAsia="Times New Roman" w:cs="Arial"/>
          <w:sz w:val="20"/>
          <w:szCs w:val="24"/>
          <w:lang w:eastAsia="de-DE"/>
        </w:rPr>
      </w:pPr>
      <w:r w:rsidRPr="00641682">
        <w:rPr>
          <w:rFonts w:eastAsia="Times New Roman" w:cs="Arial"/>
          <w:sz w:val="20"/>
          <w:szCs w:val="24"/>
          <w:lang w:eastAsia="de-DE"/>
        </w:rPr>
        <w:t>ESMA_MiFID_ADD_ESMA_ANNEX1</w:t>
      </w:r>
    </w:p>
    <w:p w:rsidR="00641682" w:rsidRPr="00641682" w:rsidRDefault="00641682" w:rsidP="00641682">
      <w:pPr>
        <w:spacing w:before="120" w:after="120"/>
        <w:jc w:val="both"/>
        <w:rPr>
          <w:rFonts w:eastAsia="Times New Roman" w:cs="Arial"/>
          <w:sz w:val="20"/>
          <w:szCs w:val="24"/>
          <w:lang w:eastAsia="de-DE"/>
        </w:rPr>
      </w:pPr>
      <w:r w:rsidRPr="00641682">
        <w:rPr>
          <w:rFonts w:eastAsia="Times New Roman" w:cs="Arial"/>
          <w:sz w:val="20"/>
          <w:szCs w:val="24"/>
          <w:lang w:eastAsia="de-DE"/>
        </w:rPr>
        <w:t>To help you navigate this document more easily, bookmarks are available in “Navigation Pane” for Word 2010 and in “Document Map” for Word 2007.</w:t>
      </w:r>
    </w:p>
    <w:p w:rsidR="00641682" w:rsidRPr="00641682" w:rsidRDefault="00641682" w:rsidP="00641682">
      <w:pPr>
        <w:autoSpaceDE w:val="0"/>
        <w:autoSpaceDN w:val="0"/>
        <w:adjustRightInd w:val="0"/>
        <w:spacing w:before="120" w:after="120"/>
        <w:jc w:val="both"/>
        <w:rPr>
          <w:rFonts w:eastAsia="Times New Roman" w:cs="Arial"/>
          <w:b/>
          <w:bCs/>
          <w:i/>
          <w:color w:val="000000"/>
          <w:sz w:val="20"/>
          <w:szCs w:val="20"/>
          <w:lang w:eastAsia="en-GB"/>
        </w:rPr>
      </w:pPr>
    </w:p>
    <w:p w:rsidR="00641682" w:rsidRPr="00641682" w:rsidRDefault="00641682" w:rsidP="00641682">
      <w:pPr>
        <w:autoSpaceDE w:val="0"/>
        <w:autoSpaceDN w:val="0"/>
        <w:adjustRightInd w:val="0"/>
        <w:spacing w:before="120" w:after="120"/>
        <w:jc w:val="both"/>
        <w:rPr>
          <w:rFonts w:eastAsia="Times New Roman" w:cs="Arial"/>
          <w:b/>
          <w:bCs/>
          <w:i/>
          <w:color w:val="000000"/>
          <w:sz w:val="20"/>
          <w:szCs w:val="20"/>
          <w:lang w:eastAsia="en-GB"/>
        </w:rPr>
      </w:pPr>
      <w:r w:rsidRPr="00641682">
        <w:rPr>
          <w:rFonts w:eastAsia="Times New Roman" w:cs="Arial"/>
          <w:b/>
          <w:bCs/>
          <w:i/>
          <w:color w:val="000000"/>
          <w:sz w:val="20"/>
          <w:szCs w:val="20"/>
          <w:lang w:eastAsia="en-GB"/>
        </w:rPr>
        <w:t>Deadline</w:t>
      </w:r>
    </w:p>
    <w:p w:rsidR="00641682" w:rsidRPr="00641682" w:rsidRDefault="00641682" w:rsidP="00641682">
      <w:pPr>
        <w:spacing w:before="120" w:after="120"/>
        <w:jc w:val="both"/>
        <w:rPr>
          <w:rFonts w:eastAsia="Times New Roman" w:cs="Arial"/>
          <w:sz w:val="20"/>
          <w:szCs w:val="24"/>
          <w:lang w:eastAsia="de-DE"/>
        </w:rPr>
      </w:pPr>
      <w:r w:rsidRPr="00641682">
        <w:rPr>
          <w:rFonts w:eastAsia="Times New Roman" w:cs="Arial"/>
          <w:sz w:val="20"/>
          <w:szCs w:val="24"/>
          <w:lang w:eastAsia="de-DE"/>
        </w:rPr>
        <w:t xml:space="preserve">Responses must reach us by </w:t>
      </w:r>
      <w:r w:rsidRPr="00641682">
        <w:rPr>
          <w:rFonts w:eastAsia="Times New Roman" w:cs="Arial"/>
          <w:b/>
          <w:sz w:val="20"/>
          <w:szCs w:val="24"/>
          <w:lang w:eastAsia="de-DE"/>
        </w:rPr>
        <w:t>20 March 2015.</w:t>
      </w:r>
    </w:p>
    <w:p w:rsidR="00641682" w:rsidRPr="00641682" w:rsidRDefault="00641682" w:rsidP="00641682">
      <w:pPr>
        <w:spacing w:before="120" w:after="120"/>
        <w:jc w:val="both"/>
        <w:rPr>
          <w:rFonts w:eastAsia="Times New Roman" w:cs="Arial"/>
          <w:sz w:val="20"/>
          <w:szCs w:val="24"/>
          <w:lang w:eastAsia="de-DE"/>
        </w:rPr>
      </w:pPr>
      <w:r w:rsidRPr="00641682">
        <w:rPr>
          <w:rFonts w:eastAsia="Times New Roman" w:cs="Arial"/>
          <w:sz w:val="20"/>
          <w:szCs w:val="24"/>
          <w:lang w:eastAsia="de-DE"/>
        </w:rPr>
        <w:t xml:space="preserve">All contributions should be submitted online at </w:t>
      </w:r>
      <w:hyperlink r:id="rId9" w:history="1">
        <w:r w:rsidRPr="0062636F">
          <w:rPr>
            <w:rFonts w:eastAsia="Times New Roman" w:cs="Arial"/>
            <w:color w:val="0000FF"/>
            <w:sz w:val="20"/>
            <w:szCs w:val="24"/>
            <w:u w:val="single"/>
            <w:lang w:eastAsia="de-DE"/>
          </w:rPr>
          <w:t>www.esma.europa.eu</w:t>
        </w:r>
      </w:hyperlink>
      <w:r w:rsidRPr="00641682">
        <w:rPr>
          <w:rFonts w:eastAsia="Times New Roman" w:cs="Arial"/>
          <w:sz w:val="20"/>
          <w:szCs w:val="24"/>
          <w:lang w:eastAsia="de-DE"/>
        </w:rPr>
        <w:t xml:space="preserve"> under the heading ‘Your input/Consultations’. </w:t>
      </w:r>
    </w:p>
    <w:p w:rsidR="00641682" w:rsidRPr="00641682" w:rsidRDefault="00641682" w:rsidP="00641682">
      <w:pPr>
        <w:autoSpaceDE w:val="0"/>
        <w:autoSpaceDN w:val="0"/>
        <w:adjustRightInd w:val="0"/>
        <w:spacing w:before="120" w:after="120"/>
        <w:jc w:val="both"/>
        <w:rPr>
          <w:rFonts w:eastAsia="Times New Roman" w:cs="Arial"/>
          <w:b/>
          <w:bCs/>
          <w:i/>
          <w:color w:val="000000"/>
          <w:sz w:val="20"/>
          <w:szCs w:val="20"/>
          <w:lang w:eastAsia="en-GB"/>
        </w:rPr>
      </w:pPr>
      <w:bookmarkStart w:id="2" w:name="_Toc335141334"/>
    </w:p>
    <w:p w:rsidR="00300467" w:rsidRDefault="00300467" w:rsidP="00641682">
      <w:pPr>
        <w:autoSpaceDE w:val="0"/>
        <w:autoSpaceDN w:val="0"/>
        <w:adjustRightInd w:val="0"/>
        <w:spacing w:before="120" w:after="120"/>
        <w:jc w:val="both"/>
        <w:rPr>
          <w:rFonts w:eastAsia="Times New Roman" w:cs="Arial"/>
          <w:b/>
          <w:bCs/>
          <w:i/>
          <w:color w:val="000000"/>
          <w:sz w:val="20"/>
          <w:szCs w:val="20"/>
          <w:lang w:eastAsia="en-GB"/>
        </w:rPr>
      </w:pPr>
    </w:p>
    <w:p w:rsidR="00641682" w:rsidRPr="00641682" w:rsidRDefault="00641682" w:rsidP="00641682">
      <w:pPr>
        <w:autoSpaceDE w:val="0"/>
        <w:autoSpaceDN w:val="0"/>
        <w:adjustRightInd w:val="0"/>
        <w:spacing w:before="120" w:after="120"/>
        <w:jc w:val="both"/>
        <w:rPr>
          <w:rFonts w:eastAsia="Times New Roman" w:cs="Arial"/>
          <w:b/>
          <w:bCs/>
          <w:i/>
          <w:color w:val="000000"/>
          <w:sz w:val="20"/>
          <w:szCs w:val="20"/>
          <w:lang w:eastAsia="en-GB"/>
        </w:rPr>
      </w:pPr>
      <w:r w:rsidRPr="00641682">
        <w:rPr>
          <w:rFonts w:eastAsia="Times New Roman" w:cs="Arial"/>
          <w:b/>
          <w:bCs/>
          <w:i/>
          <w:color w:val="000000"/>
          <w:sz w:val="20"/>
          <w:szCs w:val="20"/>
          <w:lang w:eastAsia="en-GB"/>
        </w:rPr>
        <w:lastRenderedPageBreak/>
        <w:t>Publication of responses</w:t>
      </w:r>
      <w:bookmarkEnd w:id="2"/>
    </w:p>
    <w:p w:rsidR="00641682" w:rsidRPr="00641682" w:rsidRDefault="00641682" w:rsidP="00641682">
      <w:pPr>
        <w:spacing w:before="120" w:after="120"/>
        <w:jc w:val="both"/>
        <w:rPr>
          <w:rFonts w:eastAsia="Times New Roman" w:cs="Arial"/>
          <w:sz w:val="20"/>
          <w:szCs w:val="24"/>
          <w:lang w:eastAsia="de-DE"/>
        </w:rPr>
      </w:pPr>
      <w:r w:rsidRPr="00641682">
        <w:rPr>
          <w:rFonts w:eastAsia="Times New Roman" w:cs="Arial"/>
          <w:sz w:val="20"/>
          <w:szCs w:val="24"/>
          <w:lang w:eastAsia="de-DE"/>
        </w:rPr>
        <w:t xml:space="preserve">All contributions received will be published following the end of the consultation period, unless otherwise requested. </w:t>
      </w:r>
      <w:r w:rsidRPr="00641682">
        <w:rPr>
          <w:rFonts w:eastAsia="Times New Roman" w:cs="Arial"/>
          <w:b/>
          <w:sz w:val="20"/>
          <w:szCs w:val="24"/>
          <w:lang w:eastAsia="de-DE"/>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641682">
        <w:rPr>
          <w:rFonts w:eastAsia="Times New Roman" w:cs="Arial"/>
          <w:sz w:val="20"/>
          <w:szCs w:val="24"/>
          <w:lang w:eastAsia="de-DE"/>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641682" w:rsidRPr="00641682" w:rsidRDefault="00641682" w:rsidP="00641682">
      <w:pPr>
        <w:autoSpaceDE w:val="0"/>
        <w:autoSpaceDN w:val="0"/>
        <w:adjustRightInd w:val="0"/>
        <w:spacing w:before="120" w:after="120"/>
        <w:jc w:val="both"/>
        <w:rPr>
          <w:rFonts w:eastAsia="Times New Roman" w:cs="Arial"/>
          <w:b/>
          <w:bCs/>
          <w:i/>
          <w:color w:val="000000"/>
          <w:sz w:val="20"/>
          <w:szCs w:val="20"/>
          <w:lang w:eastAsia="en-GB"/>
        </w:rPr>
      </w:pPr>
      <w:bookmarkStart w:id="3" w:name="_Toc335141335"/>
    </w:p>
    <w:p w:rsidR="00641682" w:rsidRPr="00641682" w:rsidRDefault="00641682" w:rsidP="00641682">
      <w:pPr>
        <w:autoSpaceDE w:val="0"/>
        <w:autoSpaceDN w:val="0"/>
        <w:adjustRightInd w:val="0"/>
        <w:spacing w:before="120" w:after="120"/>
        <w:jc w:val="both"/>
        <w:rPr>
          <w:rFonts w:eastAsia="Times New Roman" w:cs="Arial"/>
          <w:b/>
          <w:bCs/>
          <w:i/>
          <w:color w:val="000000"/>
          <w:sz w:val="20"/>
          <w:szCs w:val="20"/>
          <w:lang w:eastAsia="en-GB"/>
        </w:rPr>
      </w:pPr>
      <w:r w:rsidRPr="00641682">
        <w:rPr>
          <w:rFonts w:eastAsia="Times New Roman" w:cs="Arial"/>
          <w:b/>
          <w:bCs/>
          <w:i/>
          <w:color w:val="000000"/>
          <w:sz w:val="20"/>
          <w:szCs w:val="20"/>
          <w:lang w:eastAsia="en-GB"/>
        </w:rPr>
        <w:t>Data protection</w:t>
      </w:r>
      <w:bookmarkEnd w:id="3"/>
    </w:p>
    <w:p w:rsidR="00641682" w:rsidRPr="00641682" w:rsidRDefault="00641682" w:rsidP="00641682">
      <w:pPr>
        <w:autoSpaceDE w:val="0"/>
        <w:autoSpaceDN w:val="0"/>
        <w:adjustRightInd w:val="0"/>
        <w:spacing w:before="120" w:after="120"/>
        <w:jc w:val="both"/>
        <w:rPr>
          <w:rFonts w:eastAsia="Times New Roman" w:cs="Arial"/>
          <w:sz w:val="20"/>
          <w:szCs w:val="20"/>
          <w:lang w:eastAsia="de-DE"/>
        </w:rPr>
      </w:pPr>
      <w:r w:rsidRPr="00641682">
        <w:rPr>
          <w:rFonts w:eastAsia="Times New Roman" w:cs="Arial"/>
          <w:sz w:val="20"/>
          <w:szCs w:val="20"/>
          <w:lang w:eastAsia="de-DE"/>
        </w:rPr>
        <w:t xml:space="preserve">Information on data protection can be found at </w:t>
      </w:r>
      <w:hyperlink r:id="rId10" w:history="1">
        <w:r w:rsidRPr="0062636F">
          <w:rPr>
            <w:rFonts w:eastAsia="Times New Roman" w:cs="Arial"/>
            <w:color w:val="0000FF"/>
            <w:sz w:val="20"/>
            <w:szCs w:val="20"/>
            <w:u w:val="single"/>
            <w:lang w:eastAsia="de-DE"/>
          </w:rPr>
          <w:t>www.esma.europa.eu</w:t>
        </w:r>
      </w:hyperlink>
      <w:r w:rsidRPr="00641682">
        <w:rPr>
          <w:rFonts w:eastAsia="Times New Roman" w:cs="Arial"/>
          <w:sz w:val="20"/>
          <w:szCs w:val="20"/>
          <w:lang w:eastAsia="de-DE"/>
        </w:rPr>
        <w:t xml:space="preserve"> under the </w:t>
      </w:r>
      <w:r w:rsidRPr="00641682">
        <w:rPr>
          <w:rFonts w:eastAsia="Times New Roman" w:cs="Arial"/>
          <w:sz w:val="20"/>
          <w:lang w:eastAsia="en-GB"/>
        </w:rPr>
        <w:t>headings ‘Legal notice’ and ‘Data protection’</w:t>
      </w:r>
      <w:r w:rsidRPr="00641682">
        <w:rPr>
          <w:rFonts w:eastAsia="Times New Roman" w:cs="Arial"/>
          <w:sz w:val="20"/>
          <w:szCs w:val="20"/>
          <w:lang w:eastAsia="de-DE"/>
        </w:rPr>
        <w:t>.</w:t>
      </w:r>
    </w:p>
    <w:p w:rsidR="00641682" w:rsidRPr="00641682" w:rsidRDefault="00641682" w:rsidP="00641682">
      <w:pPr>
        <w:autoSpaceDE w:val="0"/>
        <w:autoSpaceDN w:val="0"/>
        <w:adjustRightInd w:val="0"/>
        <w:spacing w:before="120" w:after="120"/>
        <w:jc w:val="both"/>
        <w:rPr>
          <w:rFonts w:eastAsia="Times New Roman" w:cs="Arial"/>
          <w:sz w:val="20"/>
          <w:szCs w:val="20"/>
          <w:lang w:eastAsia="de-DE"/>
        </w:rPr>
      </w:pPr>
    </w:p>
    <w:bookmarkEnd w:id="1"/>
    <w:p w:rsidR="00641682" w:rsidRPr="00641682" w:rsidRDefault="00641682" w:rsidP="00641682">
      <w:pPr>
        <w:spacing w:after="0" w:line="240" w:lineRule="auto"/>
        <w:rPr>
          <w:rFonts w:ascii="Arial" w:eastAsia="Times New Roman" w:hAnsi="Arial" w:cs="Arial"/>
          <w:b/>
          <w:bCs/>
          <w:kern w:val="32"/>
          <w:sz w:val="24"/>
          <w:szCs w:val="32"/>
          <w:lang w:eastAsia="de-DE"/>
        </w:rPr>
      </w:pPr>
      <w:r w:rsidRPr="00641682">
        <w:rPr>
          <w:rFonts w:eastAsia="Times New Roman" w:cs="Times New Roman"/>
          <w:sz w:val="20"/>
          <w:szCs w:val="24"/>
          <w:lang w:eastAsia="de-DE"/>
        </w:rPr>
        <w:br w:type="page"/>
      </w:r>
    </w:p>
    <w:p w:rsidR="00641682" w:rsidRPr="00641682" w:rsidRDefault="00641682" w:rsidP="00641682">
      <w:pPr>
        <w:keepNext/>
        <w:spacing w:before="240" w:after="60" w:line="240" w:lineRule="auto"/>
        <w:outlineLvl w:val="0"/>
        <w:rPr>
          <w:rFonts w:eastAsia="Times New Roman" w:cs="Arial"/>
          <w:b/>
          <w:bCs/>
          <w:kern w:val="32"/>
          <w:sz w:val="24"/>
          <w:szCs w:val="32"/>
          <w:lang w:eastAsia="de-DE"/>
        </w:rPr>
      </w:pPr>
      <w:r w:rsidRPr="00641682">
        <w:rPr>
          <w:rFonts w:eastAsia="Times New Roman" w:cs="Arial"/>
          <w:b/>
          <w:bCs/>
          <w:kern w:val="32"/>
          <w:sz w:val="24"/>
          <w:szCs w:val="32"/>
          <w:lang w:eastAsia="de-DE"/>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641682" w:rsidRPr="00641682">
        <w:tc>
          <w:tcPr>
            <w:tcW w:w="3929" w:type="dxa"/>
            <w:shd w:val="clear" w:color="auto" w:fill="auto"/>
          </w:tcPr>
          <w:p w:rsidR="00641682" w:rsidRPr="00641682" w:rsidRDefault="00641682" w:rsidP="00641682">
            <w:pPr>
              <w:spacing w:after="0" w:line="240" w:lineRule="auto"/>
              <w:rPr>
                <w:rFonts w:eastAsia="Times New Roman" w:cs="Arial"/>
                <w:sz w:val="20"/>
                <w:szCs w:val="24"/>
                <w:lang w:eastAsia="de-DE"/>
              </w:rPr>
            </w:pPr>
            <w:r w:rsidRPr="00641682">
              <w:rPr>
                <w:rFonts w:eastAsia="Times New Roman" w:cs="Arial"/>
                <w:sz w:val="20"/>
                <w:szCs w:val="24"/>
                <w:lang w:eastAsia="de-DE"/>
              </w:rPr>
              <w:t>Name of the company / organisation</w:t>
            </w:r>
          </w:p>
        </w:tc>
        <w:tc>
          <w:tcPr>
            <w:tcW w:w="5595" w:type="dxa"/>
            <w:shd w:val="clear" w:color="auto" w:fill="auto"/>
          </w:tcPr>
          <w:p w:rsidR="00641682" w:rsidRPr="0062636F" w:rsidRDefault="00641682" w:rsidP="00641682">
            <w:pPr>
              <w:spacing w:after="0" w:line="240" w:lineRule="auto"/>
              <w:rPr>
                <w:rFonts w:eastAsia="Times New Roman" w:cs="Arial"/>
                <w:color w:val="808080"/>
                <w:sz w:val="20"/>
                <w:szCs w:val="24"/>
                <w:lang w:eastAsia="de-DE"/>
              </w:rPr>
            </w:pPr>
            <w:r w:rsidRPr="0062636F">
              <w:rPr>
                <w:rFonts w:eastAsia="Times New Roman" w:cs="Arial"/>
                <w:color w:val="808080"/>
                <w:sz w:val="20"/>
                <w:szCs w:val="24"/>
                <w:lang w:eastAsia="de-DE"/>
              </w:rPr>
              <w:t>ACI Financial Markets Association</w:t>
            </w:r>
          </w:p>
        </w:tc>
      </w:tr>
      <w:tr w:rsidR="00641682" w:rsidRPr="00641682">
        <w:tc>
          <w:tcPr>
            <w:tcW w:w="3929" w:type="dxa"/>
            <w:shd w:val="clear" w:color="auto" w:fill="auto"/>
          </w:tcPr>
          <w:p w:rsidR="00641682" w:rsidRPr="00641682" w:rsidRDefault="00641682" w:rsidP="00641682">
            <w:pPr>
              <w:spacing w:after="0" w:line="240" w:lineRule="auto"/>
              <w:rPr>
                <w:rFonts w:eastAsia="Times New Roman" w:cs="Arial"/>
                <w:sz w:val="20"/>
                <w:szCs w:val="24"/>
                <w:lang w:eastAsia="de-DE"/>
              </w:rPr>
            </w:pPr>
            <w:r w:rsidRPr="00641682">
              <w:rPr>
                <w:rFonts w:eastAsia="Times New Roman" w:cs="Arial"/>
                <w:sz w:val="20"/>
                <w:szCs w:val="24"/>
                <w:lang w:eastAsia="de-DE"/>
              </w:rPr>
              <w:t>Confidential</w:t>
            </w:r>
            <w:r w:rsidRPr="0062636F">
              <w:rPr>
                <w:rFonts w:eastAsia="Times New Roman" w:cs="Arial"/>
                <w:sz w:val="20"/>
                <w:szCs w:val="24"/>
                <w:vertAlign w:val="superscript"/>
                <w:lang w:eastAsia="de-DE"/>
              </w:rPr>
              <w:footnoteReference w:id="1"/>
            </w:r>
          </w:p>
        </w:tc>
        <w:sdt>
          <w:sdtPr>
            <w:rPr>
              <w:rFonts w:eastAsia="Times New Roman" w:cs="Arial"/>
              <w:color w:val="808080"/>
              <w:sz w:val="20"/>
              <w:szCs w:val="24"/>
              <w:lang w:eastAsia="de-DE"/>
            </w:rPr>
            <w:id w:val="-2035031634"/>
          </w:sdtPr>
          <w:sdtEndPr/>
          <w:sdtContent>
            <w:tc>
              <w:tcPr>
                <w:tcW w:w="5595" w:type="dxa"/>
                <w:shd w:val="clear" w:color="auto" w:fill="auto"/>
              </w:tcPr>
              <w:p w:rsidR="00641682" w:rsidRPr="0062636F" w:rsidRDefault="00641682" w:rsidP="00641682">
                <w:pPr>
                  <w:spacing w:after="0" w:line="240" w:lineRule="auto"/>
                  <w:rPr>
                    <w:rFonts w:eastAsia="Times New Roman" w:cs="Arial"/>
                    <w:color w:val="808080"/>
                    <w:sz w:val="20"/>
                    <w:szCs w:val="24"/>
                    <w:lang w:eastAsia="de-DE"/>
                  </w:rPr>
                </w:pPr>
                <w:r w:rsidRPr="0062636F">
                  <w:rPr>
                    <w:rFonts w:ascii="MS Gothic" w:eastAsia="MS Gothic" w:hAnsi="MS Gothic" w:cs="MS Gothic" w:hint="eastAsia"/>
                    <w:color w:val="808080"/>
                    <w:sz w:val="20"/>
                    <w:szCs w:val="24"/>
                    <w:lang w:eastAsia="de-DE"/>
                  </w:rPr>
                  <w:t>☐</w:t>
                </w:r>
              </w:p>
            </w:tc>
          </w:sdtContent>
        </w:sdt>
      </w:tr>
      <w:tr w:rsidR="00641682" w:rsidRPr="00641682">
        <w:tc>
          <w:tcPr>
            <w:tcW w:w="3929" w:type="dxa"/>
            <w:shd w:val="clear" w:color="auto" w:fill="auto"/>
          </w:tcPr>
          <w:p w:rsidR="00641682" w:rsidRPr="00641682" w:rsidRDefault="00641682" w:rsidP="00641682">
            <w:pPr>
              <w:spacing w:after="0" w:line="240" w:lineRule="auto"/>
              <w:rPr>
                <w:rFonts w:eastAsia="Times New Roman" w:cs="Arial"/>
                <w:sz w:val="20"/>
                <w:szCs w:val="24"/>
                <w:lang w:eastAsia="de-DE"/>
              </w:rPr>
            </w:pPr>
            <w:r w:rsidRPr="00641682">
              <w:rPr>
                <w:rFonts w:eastAsia="Times New Roman" w:cs="Arial"/>
                <w:sz w:val="20"/>
                <w:szCs w:val="24"/>
                <w:lang w:eastAsia="de-DE"/>
              </w:rPr>
              <w:t>Activity</w:t>
            </w:r>
          </w:p>
        </w:tc>
        <w:tc>
          <w:tcPr>
            <w:tcW w:w="5595" w:type="dxa"/>
            <w:shd w:val="clear" w:color="auto" w:fill="auto"/>
          </w:tcPr>
          <w:p w:rsidR="00641682" w:rsidRPr="00641682" w:rsidRDefault="00582F13" w:rsidP="00641682">
            <w:pPr>
              <w:spacing w:after="0" w:line="240" w:lineRule="auto"/>
              <w:rPr>
                <w:rFonts w:eastAsia="Times New Roman" w:cs="Arial"/>
                <w:sz w:val="20"/>
                <w:szCs w:val="24"/>
                <w:lang w:eastAsia="de-DE"/>
              </w:rPr>
            </w:pPr>
            <w:sdt>
              <w:sdtPr>
                <w:rPr>
                  <w:rFonts w:eastAsia="Times New Roman" w:cs="Arial"/>
                  <w:sz w:val="20"/>
                  <w:szCs w:val="24"/>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41682" w:rsidRPr="00641682">
                  <w:rPr>
                    <w:rFonts w:eastAsia="Times New Roman" w:cs="Arial"/>
                    <w:sz w:val="20"/>
                    <w:szCs w:val="24"/>
                    <w:lang w:eastAsia="de-DE"/>
                  </w:rPr>
                  <w:t>Investment Services</w:t>
                </w:r>
              </w:sdtContent>
            </w:sdt>
          </w:p>
        </w:tc>
      </w:tr>
      <w:tr w:rsidR="00641682" w:rsidRPr="00641682">
        <w:tc>
          <w:tcPr>
            <w:tcW w:w="3929" w:type="dxa"/>
            <w:shd w:val="clear" w:color="auto" w:fill="auto"/>
          </w:tcPr>
          <w:p w:rsidR="00641682" w:rsidRPr="00641682" w:rsidRDefault="00641682" w:rsidP="00641682">
            <w:pPr>
              <w:spacing w:after="0" w:line="240" w:lineRule="auto"/>
              <w:rPr>
                <w:rFonts w:eastAsia="Times New Roman" w:cs="Arial"/>
                <w:sz w:val="20"/>
                <w:szCs w:val="24"/>
                <w:lang w:eastAsia="de-DE"/>
              </w:rPr>
            </w:pPr>
            <w:r w:rsidRPr="00641682">
              <w:rPr>
                <w:rFonts w:eastAsia="Times New Roman" w:cs="Arial"/>
                <w:sz w:val="20"/>
                <w:szCs w:val="24"/>
                <w:lang w:eastAsia="de-DE"/>
              </w:rPr>
              <w:t>Are you representing an association?</w:t>
            </w:r>
          </w:p>
        </w:tc>
        <w:sdt>
          <w:sdtPr>
            <w:rPr>
              <w:rFonts w:eastAsia="Times New Roman" w:cs="Arial"/>
              <w:sz w:val="20"/>
              <w:szCs w:val="24"/>
              <w:lang w:eastAsia="de-DE"/>
            </w:rPr>
            <w:id w:val="-242871467"/>
          </w:sdtPr>
          <w:sdtEndPr/>
          <w:sdtContent>
            <w:tc>
              <w:tcPr>
                <w:tcW w:w="5595" w:type="dxa"/>
                <w:shd w:val="clear" w:color="auto" w:fill="auto"/>
              </w:tcPr>
              <w:p w:rsidR="00641682" w:rsidRPr="00641682" w:rsidRDefault="00641682" w:rsidP="00641682">
                <w:pPr>
                  <w:spacing w:after="0" w:line="240" w:lineRule="auto"/>
                  <w:rPr>
                    <w:rFonts w:eastAsia="Times New Roman" w:cs="Arial"/>
                    <w:sz w:val="20"/>
                    <w:szCs w:val="24"/>
                    <w:lang w:eastAsia="de-DE"/>
                  </w:rPr>
                </w:pPr>
                <w:r w:rsidRPr="00641682">
                  <w:rPr>
                    <w:rFonts w:ascii="MS Gothic" w:eastAsia="MS Gothic" w:hAnsi="MS Gothic" w:cs="MS Gothic" w:hint="eastAsia"/>
                    <w:sz w:val="20"/>
                    <w:szCs w:val="24"/>
                    <w:lang w:eastAsia="de-DE"/>
                  </w:rPr>
                  <w:t>☒</w:t>
                </w:r>
              </w:p>
            </w:tc>
          </w:sdtContent>
        </w:sdt>
      </w:tr>
      <w:tr w:rsidR="00641682" w:rsidRPr="00641682">
        <w:tc>
          <w:tcPr>
            <w:tcW w:w="3929" w:type="dxa"/>
            <w:shd w:val="clear" w:color="auto" w:fill="auto"/>
          </w:tcPr>
          <w:p w:rsidR="00641682" w:rsidRPr="00641682" w:rsidRDefault="00641682" w:rsidP="00641682">
            <w:pPr>
              <w:spacing w:after="0" w:line="240" w:lineRule="auto"/>
              <w:rPr>
                <w:rFonts w:eastAsia="Times New Roman" w:cs="Arial"/>
                <w:sz w:val="20"/>
                <w:szCs w:val="24"/>
                <w:lang w:eastAsia="de-DE"/>
              </w:rPr>
            </w:pPr>
            <w:r w:rsidRPr="00641682">
              <w:rPr>
                <w:rFonts w:eastAsia="Times New Roman" w:cs="Arial"/>
                <w:sz w:val="20"/>
                <w:szCs w:val="24"/>
                <w:lang w:eastAsia="de-DE"/>
              </w:rPr>
              <w:t>Country/Region</w:t>
            </w:r>
          </w:p>
        </w:tc>
        <w:sdt>
          <w:sdtPr>
            <w:rPr>
              <w:rFonts w:eastAsia="Times New Roman" w:cs="Arial"/>
              <w:sz w:val="20"/>
              <w:szCs w:val="24"/>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641682" w:rsidRPr="00641682" w:rsidRDefault="00641682" w:rsidP="00641682">
                <w:pPr>
                  <w:spacing w:after="0" w:line="240" w:lineRule="auto"/>
                  <w:rPr>
                    <w:rFonts w:eastAsia="Times New Roman" w:cs="Arial"/>
                    <w:sz w:val="20"/>
                    <w:szCs w:val="24"/>
                    <w:lang w:eastAsia="de-DE"/>
                  </w:rPr>
                </w:pPr>
                <w:r w:rsidRPr="0062636F">
                  <w:rPr>
                    <w:rFonts w:eastAsia="Times New Roman" w:cs="Arial"/>
                    <w:sz w:val="20"/>
                    <w:szCs w:val="24"/>
                    <w:lang w:eastAsia="de-DE"/>
                  </w:rPr>
                  <w:t>International</w:t>
                </w:r>
              </w:p>
            </w:tc>
          </w:sdtContent>
        </w:sdt>
      </w:tr>
    </w:tbl>
    <w:p w:rsidR="00CC590F" w:rsidRDefault="00CC590F" w:rsidP="00CC590F">
      <w:pPr>
        <w:pStyle w:val="Default"/>
      </w:pPr>
    </w:p>
    <w:p w:rsidR="00C7618B" w:rsidRDefault="00CC590F" w:rsidP="00CC590F">
      <w:pPr>
        <w:rPr>
          <w:b/>
          <w:bCs/>
          <w:sz w:val="28"/>
          <w:szCs w:val="28"/>
        </w:rPr>
      </w:pPr>
      <w:r>
        <w:t xml:space="preserve"> </w:t>
      </w:r>
      <w:r>
        <w:rPr>
          <w:b/>
          <w:bCs/>
          <w:sz w:val="28"/>
          <w:szCs w:val="28"/>
        </w:rPr>
        <w:t>Prepared on behalf of and by the ACI– The Financial Markets Association</w:t>
      </w:r>
      <w:r w:rsidR="00AC5B1D">
        <w:rPr>
          <w:b/>
          <w:bCs/>
          <w:sz w:val="28"/>
          <w:szCs w:val="28"/>
        </w:rPr>
        <w:t xml:space="preserve"> </w:t>
      </w:r>
    </w:p>
    <w:p w:rsidR="0062636F" w:rsidRPr="0002192F" w:rsidRDefault="0062636F" w:rsidP="00581522">
      <w:pPr>
        <w:pStyle w:val="NoSpacing"/>
      </w:pPr>
      <w:r w:rsidRPr="0002192F">
        <w:t>ACI - The Financial Markets Association</w:t>
      </w:r>
      <w:r w:rsidR="00AC5B1D">
        <w:t xml:space="preserve"> (ACI FMA)</w:t>
      </w:r>
      <w:r w:rsidRPr="0002192F">
        <w:t xml:space="preserve"> is a leading non-profit but also a non-political</w:t>
      </w:r>
    </w:p>
    <w:p w:rsidR="0062636F" w:rsidRPr="0002192F" w:rsidRDefault="0062636F" w:rsidP="00581522">
      <w:pPr>
        <w:pStyle w:val="NoSpacing"/>
      </w:pPr>
      <w:r w:rsidRPr="0002192F">
        <w:t>association of wholesale financial market professionals contributing to the market</w:t>
      </w:r>
    </w:p>
    <w:p w:rsidR="0062636F" w:rsidRPr="0002192F" w:rsidRDefault="0062636F" w:rsidP="00300467">
      <w:pPr>
        <w:pStyle w:val="NoSpacing"/>
      </w:pPr>
      <w:r w:rsidRPr="0002192F">
        <w:t xml:space="preserve">development through education, market practices, technical advice. </w:t>
      </w:r>
    </w:p>
    <w:p w:rsidR="0062636F" w:rsidRPr="0002192F" w:rsidRDefault="0062636F" w:rsidP="00581522">
      <w:pPr>
        <w:pStyle w:val="NoSpacing"/>
      </w:pPr>
    </w:p>
    <w:p w:rsidR="00CC590F" w:rsidRPr="0002192F" w:rsidRDefault="0062636F" w:rsidP="00581522">
      <w:pPr>
        <w:pStyle w:val="NoSpacing"/>
        <w:rPr>
          <w:b/>
          <w:bCs/>
          <w:sz w:val="28"/>
          <w:szCs w:val="28"/>
        </w:rPr>
      </w:pPr>
      <w:r w:rsidRPr="0002192F">
        <w:t>ACI counts some 13,000 international members from more than 68 countries</w:t>
      </w:r>
    </w:p>
    <w:p w:rsidR="007876B4" w:rsidRPr="000346CC" w:rsidRDefault="00CC590F" w:rsidP="007876B4">
      <w:pPr>
        <w:pStyle w:val="NoSpacing"/>
      </w:pPr>
      <w:r w:rsidRPr="0002192F">
        <w:t>This paper is the result of considered debate amongst the members of the ACI FMA appointed leadership and members, and is intended to provide our unbiased re</w:t>
      </w:r>
      <w:r w:rsidR="0062636F" w:rsidRPr="0002192F">
        <w:t xml:space="preserve">plies to the information provided in the </w:t>
      </w:r>
      <w:r w:rsidR="0062636F" w:rsidRPr="0002192F">
        <w:rPr>
          <w:rFonts w:cs="Arial"/>
          <w:shd w:val="clear" w:color="auto" w:fill="FFFFFF"/>
        </w:rPr>
        <w:t xml:space="preserve">MiFID/R - ESMA LEVEL 2 Consultation - Addendum Consultation Document on Transparency Requirements. </w:t>
      </w:r>
      <w:r w:rsidR="0062636F" w:rsidRPr="0002192F">
        <w:t xml:space="preserve"> The ACI FMA welcomes the opportunity to engage with the ESMA on this subject.</w:t>
      </w:r>
      <w:r w:rsidR="007876B4" w:rsidRPr="007876B4">
        <w:t xml:space="preserve"> </w:t>
      </w:r>
      <w:r w:rsidR="007876B4">
        <w:t>The</w:t>
      </w:r>
      <w:r w:rsidR="007876B4" w:rsidRPr="000346CC">
        <w:t xml:space="preserve"> Consultative document, and the responses from the various market participants to the document, will help the regulators, industry participants and the public to be better educated on the structure </w:t>
      </w:r>
      <w:r w:rsidR="007876B4">
        <w:t>and uses of derivative instruments in the financial</w:t>
      </w:r>
      <w:r w:rsidR="007876B4" w:rsidRPr="000346CC">
        <w:t xml:space="preserve"> market. The greater awareness that comes from this knowledge will assist the industry in assuring that best practices are followed.</w:t>
      </w:r>
    </w:p>
    <w:p w:rsidR="0062636F" w:rsidRPr="0002192F" w:rsidRDefault="0062636F" w:rsidP="00581522">
      <w:pPr>
        <w:pStyle w:val="NoSpacing"/>
      </w:pPr>
    </w:p>
    <w:p w:rsidR="00581522" w:rsidRPr="0002192F" w:rsidRDefault="00581522" w:rsidP="00581522">
      <w:pPr>
        <w:pStyle w:val="NoSpacing"/>
        <w:rPr>
          <w:rFonts w:cs="Arial"/>
          <w:shd w:val="clear" w:color="auto" w:fill="FFFFFF"/>
        </w:rPr>
      </w:pPr>
    </w:p>
    <w:p w:rsidR="00621179" w:rsidRPr="007876B4" w:rsidRDefault="00300467" w:rsidP="00621179">
      <w:pPr>
        <w:pStyle w:val="NoSpacing"/>
        <w:rPr>
          <w:b/>
        </w:rPr>
      </w:pPr>
      <w:r w:rsidRPr="0002192F">
        <w:t>T</w:t>
      </w:r>
      <w:r w:rsidR="00AF7818" w:rsidRPr="0002192F">
        <w:t xml:space="preserve">he members of ACI </w:t>
      </w:r>
      <w:r w:rsidR="00AC5B1D">
        <w:t xml:space="preserve">FMA </w:t>
      </w:r>
      <w:r w:rsidR="00AF7818" w:rsidRPr="0002192F">
        <w:t xml:space="preserve">are engaged with financial trading or sales environment in the global wholesale financial markets, representing a variety of asset classes including foreign exchange, interest rate products and other securities, banknotes, precious metals and commodities and derivatives. </w:t>
      </w:r>
      <w:r w:rsidR="00AF7818" w:rsidRPr="007876B4">
        <w:rPr>
          <w:b/>
        </w:rPr>
        <w:t>Therefore, unless otherwise specified, the ACI’s responses to this consultation with regard to transparency requirements apply to the FX derivative</w:t>
      </w:r>
      <w:r w:rsidR="00970972" w:rsidRPr="007876B4">
        <w:rPr>
          <w:b/>
        </w:rPr>
        <w:t>s and specific other derivative</w:t>
      </w:r>
      <w:r w:rsidR="00AF7818" w:rsidRPr="007876B4">
        <w:rPr>
          <w:b/>
        </w:rPr>
        <w:t xml:space="preserve"> asset classes </w:t>
      </w:r>
      <w:r w:rsidR="007876B4">
        <w:rPr>
          <w:b/>
        </w:rPr>
        <w:t xml:space="preserve">(CFDs, CDS) </w:t>
      </w:r>
      <w:r w:rsidR="00AF7818" w:rsidRPr="007876B4">
        <w:rPr>
          <w:b/>
        </w:rPr>
        <w:t>as addressed in the MiFID/R - ESMA LEVEL 2 Consultation - Addendum Consultation Document on Transparency Requirements.</w:t>
      </w:r>
      <w:r w:rsidR="009E6F61" w:rsidRPr="007876B4">
        <w:rPr>
          <w:b/>
        </w:rPr>
        <w:t xml:space="preserve"> </w:t>
      </w:r>
    </w:p>
    <w:p w:rsidR="00621179" w:rsidRPr="0002192F" w:rsidRDefault="00621179" w:rsidP="00581522">
      <w:pPr>
        <w:pStyle w:val="NoSpacing"/>
      </w:pPr>
    </w:p>
    <w:p w:rsidR="00AF7818" w:rsidRPr="0002192F" w:rsidRDefault="009E6F61" w:rsidP="00581522">
      <w:pPr>
        <w:pStyle w:val="NoSpacing"/>
      </w:pPr>
      <w:r w:rsidRPr="0002192F">
        <w:t>Our response has been structured as follows</w:t>
      </w:r>
      <w:r w:rsidR="00EF600A" w:rsidRPr="0002192F">
        <w:t xml:space="preserve"> to address our observations</w:t>
      </w:r>
      <w:r w:rsidRPr="0002192F">
        <w:t xml:space="preserve"> and </w:t>
      </w:r>
      <w:r w:rsidR="00930009" w:rsidRPr="0002192F">
        <w:t xml:space="preserve">key </w:t>
      </w:r>
      <w:r w:rsidRPr="0002192F">
        <w:t>concerns regarding the</w:t>
      </w:r>
      <w:r w:rsidR="00594C3C" w:rsidRPr="0002192F">
        <w:t xml:space="preserve"> methodology and </w:t>
      </w:r>
      <w:r w:rsidR="00930009" w:rsidRPr="0002192F">
        <w:t>interpretation of data for transparency evaluations</w:t>
      </w:r>
      <w:r w:rsidR="00594C3C" w:rsidRPr="0002192F">
        <w:t xml:space="preserve"> and the definition of liquidity</w:t>
      </w:r>
      <w:r w:rsidRPr="0002192F">
        <w:t>:</w:t>
      </w:r>
    </w:p>
    <w:p w:rsidR="00EF600A" w:rsidRPr="0002192F" w:rsidRDefault="00EF600A" w:rsidP="00581522">
      <w:pPr>
        <w:pStyle w:val="NoSpacing"/>
      </w:pPr>
    </w:p>
    <w:p w:rsidR="00EF600A" w:rsidRPr="0002192F" w:rsidRDefault="00EF600A" w:rsidP="003064BF">
      <w:pPr>
        <w:pStyle w:val="NoSpacing"/>
        <w:numPr>
          <w:ilvl w:val="0"/>
          <w:numId w:val="21"/>
        </w:numPr>
      </w:pPr>
      <w:r w:rsidRPr="0002192F">
        <w:t>General Observations</w:t>
      </w:r>
    </w:p>
    <w:p w:rsidR="009E6F61" w:rsidRPr="0002192F" w:rsidRDefault="009E6F61" w:rsidP="003064BF">
      <w:pPr>
        <w:pStyle w:val="NoSpacing"/>
        <w:numPr>
          <w:ilvl w:val="0"/>
          <w:numId w:val="21"/>
        </w:numPr>
      </w:pPr>
      <w:r w:rsidRPr="0002192F">
        <w:t>FX Der</w:t>
      </w:r>
      <w:r w:rsidR="00930009" w:rsidRPr="0002192F">
        <w:t>ivatives</w:t>
      </w:r>
    </w:p>
    <w:p w:rsidR="00930009" w:rsidRPr="0002192F" w:rsidRDefault="00930009" w:rsidP="003064BF">
      <w:pPr>
        <w:pStyle w:val="NoSpacing"/>
        <w:numPr>
          <w:ilvl w:val="0"/>
          <w:numId w:val="21"/>
        </w:numPr>
      </w:pPr>
      <w:r w:rsidRPr="0002192F">
        <w:t>Spread Betting</w:t>
      </w:r>
    </w:p>
    <w:p w:rsidR="00EF600A" w:rsidRPr="0002192F" w:rsidRDefault="00930009" w:rsidP="003064BF">
      <w:pPr>
        <w:pStyle w:val="NoSpacing"/>
        <w:numPr>
          <w:ilvl w:val="0"/>
          <w:numId w:val="21"/>
        </w:numPr>
      </w:pPr>
      <w:r w:rsidRPr="0002192F">
        <w:t>CFDs</w:t>
      </w:r>
    </w:p>
    <w:p w:rsidR="00930009" w:rsidRPr="0002192F" w:rsidRDefault="00930009" w:rsidP="003064BF">
      <w:pPr>
        <w:pStyle w:val="NoSpacing"/>
        <w:numPr>
          <w:ilvl w:val="0"/>
          <w:numId w:val="21"/>
        </w:numPr>
      </w:pPr>
      <w:r w:rsidRPr="0002192F">
        <w:t>Credit Derivatives</w:t>
      </w:r>
    </w:p>
    <w:p w:rsidR="00930009" w:rsidRPr="0002192F" w:rsidRDefault="00930009" w:rsidP="00930009">
      <w:pPr>
        <w:pStyle w:val="NoSpacing"/>
      </w:pPr>
    </w:p>
    <w:p w:rsidR="00A37C23" w:rsidRDefault="00ED4A62" w:rsidP="0002192F">
      <w:pPr>
        <w:pStyle w:val="NoSpacing"/>
        <w:rPr>
          <w:rFonts w:cs="Arial"/>
          <w:shd w:val="clear" w:color="auto" w:fill="FFFFFF"/>
        </w:rPr>
      </w:pPr>
      <w:r w:rsidRPr="0002192F">
        <w:lastRenderedPageBreak/>
        <w:t>The ACI</w:t>
      </w:r>
      <w:r w:rsidR="00AC5B1D">
        <w:t xml:space="preserve"> </w:t>
      </w:r>
      <w:r w:rsidRPr="0002192F">
        <w:t xml:space="preserve">FMA would also express support for the initiatives and </w:t>
      </w:r>
      <w:r w:rsidR="00A37C23" w:rsidRPr="0002192F">
        <w:t xml:space="preserve">very comprehensive </w:t>
      </w:r>
      <w:r w:rsidRPr="0002192F">
        <w:t>responses provided to ESMA by its fel</w:t>
      </w:r>
      <w:r w:rsidR="00A37C23" w:rsidRPr="0002192F">
        <w:t>l</w:t>
      </w:r>
      <w:r w:rsidRPr="0002192F">
        <w:t>o</w:t>
      </w:r>
      <w:r w:rsidR="00A37C23" w:rsidRPr="0002192F">
        <w:t xml:space="preserve">w </w:t>
      </w:r>
      <w:r w:rsidRPr="0002192F">
        <w:t>Trade organisations</w:t>
      </w:r>
      <w:r w:rsidR="00A37C23" w:rsidRPr="0002192F">
        <w:t xml:space="preserve">, </w:t>
      </w:r>
      <w:r w:rsidRPr="0002192F">
        <w:t>AFME and ISDA</w:t>
      </w:r>
      <w:r w:rsidR="00A37C23" w:rsidRPr="0002192F">
        <w:t xml:space="preserve"> with regard to the </w:t>
      </w:r>
      <w:r w:rsidR="00A37C23" w:rsidRPr="0002192F">
        <w:rPr>
          <w:rFonts w:cs="Arial"/>
          <w:shd w:val="clear" w:color="auto" w:fill="FFFFFF"/>
        </w:rPr>
        <w:t>MiFID/R - ESMA LEVEL 2 Consultation - Addendum Consultation Document on Transparency Requirements.</w:t>
      </w:r>
    </w:p>
    <w:p w:rsidR="00621179" w:rsidRPr="0002192F" w:rsidRDefault="00621179" w:rsidP="0002192F">
      <w:pPr>
        <w:pStyle w:val="NoSpacing"/>
        <w:rPr>
          <w:rFonts w:cs="Arial"/>
          <w:shd w:val="clear" w:color="auto" w:fill="FFFFFF"/>
        </w:rPr>
      </w:pPr>
    </w:p>
    <w:p w:rsidR="00782647" w:rsidRPr="0002192F" w:rsidRDefault="00782647" w:rsidP="0002192F">
      <w:pPr>
        <w:pStyle w:val="NoSpacing"/>
        <w:rPr>
          <w:u w:val="single"/>
        </w:rPr>
      </w:pPr>
      <w:r w:rsidRPr="0002192F">
        <w:rPr>
          <w:u w:val="single"/>
        </w:rPr>
        <w:t>General Ob</w:t>
      </w:r>
      <w:r w:rsidR="00C82887" w:rsidRPr="0002192F">
        <w:rPr>
          <w:u w:val="single"/>
        </w:rPr>
        <w:t>s</w:t>
      </w:r>
      <w:r w:rsidRPr="0002192F">
        <w:rPr>
          <w:u w:val="single"/>
        </w:rPr>
        <w:t>ervations</w:t>
      </w:r>
    </w:p>
    <w:p w:rsidR="00D543D5" w:rsidRPr="00621179" w:rsidRDefault="000304C0" w:rsidP="00621179">
      <w:pPr>
        <w:pStyle w:val="NoSpacing"/>
      </w:pPr>
      <w:r w:rsidRPr="00621179">
        <w:t xml:space="preserve">Comments by ACI </w:t>
      </w:r>
      <w:r w:rsidR="00D543D5" w:rsidRPr="00621179">
        <w:t>FMA</w:t>
      </w:r>
      <w:r w:rsidR="00477DB8">
        <w:t>’s</w:t>
      </w:r>
      <w:r w:rsidR="00D543D5" w:rsidRPr="00621179">
        <w:t xml:space="preserve"> global membership, their controlling institutions, which include bank and non-bank swap counterparties subject to or affected by EMIR, as well as their participant counterparties and customer base, reveals a number of common concerns.  </w:t>
      </w:r>
    </w:p>
    <w:p w:rsidR="00782647" w:rsidRPr="0002192F" w:rsidRDefault="00782647" w:rsidP="0002192F">
      <w:pPr>
        <w:pStyle w:val="NoSpacing"/>
      </w:pPr>
    </w:p>
    <w:p w:rsidR="005114D4" w:rsidRPr="0002192F" w:rsidRDefault="00EF600A" w:rsidP="0002192F">
      <w:pPr>
        <w:pStyle w:val="NoSpacing"/>
        <w:rPr>
          <w:i/>
        </w:rPr>
      </w:pPr>
      <w:r w:rsidRPr="0002192F">
        <w:rPr>
          <w:i/>
        </w:rPr>
        <w:t>While the ACI FMA fundamentally supports the legislative goals and objectives</w:t>
      </w:r>
      <w:r w:rsidR="00645049" w:rsidRPr="0002192F">
        <w:rPr>
          <w:i/>
        </w:rPr>
        <w:t xml:space="preserve"> that the MiFID/R - ESMA LEVEL 2 Consultation on Transparency Requirements endeavours to achieve</w:t>
      </w:r>
      <w:r w:rsidR="00C82887" w:rsidRPr="0002192F">
        <w:rPr>
          <w:i/>
        </w:rPr>
        <w:t>, the ACIFMA would propose caution in that liquidity standards and criteria introduced to fulfil these transparency objectives should not imp</w:t>
      </w:r>
      <w:r w:rsidR="00FB7A7E">
        <w:rPr>
          <w:i/>
        </w:rPr>
        <w:t xml:space="preserve">act market liquidity through </w:t>
      </w:r>
      <w:r w:rsidR="00FB7A7E" w:rsidRPr="005F2342">
        <w:rPr>
          <w:i/>
        </w:rPr>
        <w:t>in</w:t>
      </w:r>
      <w:r w:rsidR="00C82887" w:rsidRPr="005F2342">
        <w:rPr>
          <w:i/>
        </w:rPr>
        <w:t>correct</w:t>
      </w:r>
      <w:r w:rsidR="00C82887" w:rsidRPr="0002192F">
        <w:rPr>
          <w:i/>
        </w:rPr>
        <w:t xml:space="preserve"> categorisation of illiquid instruments as liquid and vice versa.</w:t>
      </w:r>
      <w:r w:rsidR="00DA0DB5" w:rsidRPr="0002192F">
        <w:rPr>
          <w:i/>
        </w:rPr>
        <w:t xml:space="preserve"> </w:t>
      </w:r>
    </w:p>
    <w:p w:rsidR="00D543D5" w:rsidRPr="0002192F" w:rsidRDefault="00D543D5" w:rsidP="0002192F">
      <w:pPr>
        <w:pStyle w:val="NoSpacing"/>
      </w:pPr>
    </w:p>
    <w:p w:rsidR="00D543D5" w:rsidRPr="0002192F" w:rsidRDefault="00D543D5" w:rsidP="0002192F">
      <w:pPr>
        <w:pStyle w:val="NoSpacing"/>
        <w:rPr>
          <w:rFonts w:ascii="Calibri" w:hAnsi="Calibri" w:cs="Calibri"/>
        </w:rPr>
      </w:pPr>
      <w:r w:rsidRPr="0002192F">
        <w:rPr>
          <w:rFonts w:ascii="Calibri" w:hAnsi="Calibri" w:cs="Calibri"/>
        </w:rPr>
        <w:t>Transparency in the FICC markets does not necessarily equate to liquidity as is the case in the equity markets. Furthermore, liquidity determination methodology among FICC asset classes, sub-asset classes, instruments and currency pairs must, by virtue of the diverse nature of those market and product characteristics, be guided according to robust operational/historical market data collation. Additionally, the involvement of expert practitioner panels e.g. from trade organisations, Regulator/Central Bank panels, may be invaluable in defining specific market/instrument liquidity and accrediting liquidity threshold calculations and is to be encouraged.</w:t>
      </w:r>
    </w:p>
    <w:p w:rsidR="00D543D5" w:rsidRPr="0002192F" w:rsidRDefault="00D543D5" w:rsidP="0002192F">
      <w:pPr>
        <w:pStyle w:val="NoSpacing"/>
        <w:rPr>
          <w:rFonts w:ascii="Calibri" w:hAnsi="Calibri" w:cs="Calibri"/>
        </w:rPr>
      </w:pPr>
    </w:p>
    <w:p w:rsidR="00D543D5" w:rsidRPr="0002192F" w:rsidRDefault="00D543D5" w:rsidP="0002192F">
      <w:pPr>
        <w:pStyle w:val="NoSpacing"/>
      </w:pPr>
      <w:r w:rsidRPr="0002192F">
        <w:rPr>
          <w:rFonts w:ascii="Calibri" w:hAnsi="Calibri" w:cs="Calibri"/>
          <w:i/>
        </w:rPr>
        <w:t xml:space="preserve">The ACI </w:t>
      </w:r>
      <w:r w:rsidR="006D1D45">
        <w:rPr>
          <w:rFonts w:ascii="Calibri" w:hAnsi="Calibri" w:cs="Calibri"/>
          <w:i/>
        </w:rPr>
        <w:t xml:space="preserve">FMA </w:t>
      </w:r>
      <w:r w:rsidRPr="0002192F">
        <w:rPr>
          <w:rFonts w:ascii="Calibri" w:hAnsi="Calibri" w:cs="Calibri"/>
          <w:i/>
        </w:rPr>
        <w:t>would advocate that ESM</w:t>
      </w:r>
      <w:r w:rsidR="0002192F">
        <w:rPr>
          <w:rFonts w:ascii="Calibri" w:hAnsi="Calibri" w:cs="Calibri"/>
          <w:i/>
        </w:rPr>
        <w:t xml:space="preserve">A encourage involvement of </w:t>
      </w:r>
      <w:r w:rsidRPr="0002192F">
        <w:rPr>
          <w:rFonts w:ascii="Calibri" w:hAnsi="Calibri" w:cs="Calibri"/>
          <w:i/>
        </w:rPr>
        <w:t xml:space="preserve">expert </w:t>
      </w:r>
      <w:r w:rsidR="0002192F">
        <w:rPr>
          <w:rFonts w:ascii="Calibri" w:hAnsi="Calibri" w:cs="Calibri"/>
          <w:i/>
        </w:rPr>
        <w:t xml:space="preserve">practitioner </w:t>
      </w:r>
      <w:r w:rsidRPr="0002192F">
        <w:rPr>
          <w:rFonts w:ascii="Calibri" w:hAnsi="Calibri" w:cs="Calibri"/>
          <w:i/>
        </w:rPr>
        <w:t>panel</w:t>
      </w:r>
      <w:r w:rsidR="0002192F">
        <w:rPr>
          <w:rFonts w:ascii="Calibri" w:hAnsi="Calibri" w:cs="Calibri"/>
          <w:i/>
        </w:rPr>
        <w:t xml:space="preserve">s from trade organisations or Regulator practitioner panels </w:t>
      </w:r>
      <w:r w:rsidRPr="0002192F">
        <w:rPr>
          <w:rFonts w:ascii="Calibri" w:hAnsi="Calibri" w:cs="Calibri"/>
          <w:i/>
        </w:rPr>
        <w:t xml:space="preserve">to ensure a robust outcome regarding the evaluation of FICC </w:t>
      </w:r>
      <w:r w:rsidR="00C008DB" w:rsidRPr="0002192F">
        <w:rPr>
          <w:rFonts w:ascii="Calibri" w:hAnsi="Calibri" w:cs="Calibri"/>
          <w:i/>
        </w:rPr>
        <w:t xml:space="preserve">derivative </w:t>
      </w:r>
      <w:r w:rsidRPr="0002192F">
        <w:rPr>
          <w:rFonts w:ascii="Calibri" w:hAnsi="Calibri" w:cs="Calibri"/>
          <w:i/>
        </w:rPr>
        <w:t>market liquidity</w:t>
      </w:r>
      <w:r w:rsidR="00C008DB" w:rsidRPr="0002192F">
        <w:rPr>
          <w:rFonts w:ascii="Calibri" w:hAnsi="Calibri" w:cs="Calibri"/>
          <w:i/>
        </w:rPr>
        <w:t xml:space="preserve"> under the MIFID 2 regime.</w:t>
      </w:r>
    </w:p>
    <w:p w:rsidR="00D543D5" w:rsidRPr="0002192F" w:rsidRDefault="00D543D5" w:rsidP="0002192F">
      <w:pPr>
        <w:pStyle w:val="NoSpacing"/>
      </w:pPr>
    </w:p>
    <w:p w:rsidR="00D543D5" w:rsidRPr="0002192F" w:rsidRDefault="00D543D5" w:rsidP="0002192F">
      <w:pPr>
        <w:pStyle w:val="NoSpacing"/>
      </w:pPr>
      <w:r w:rsidRPr="0002192F">
        <w:t>The cost of clearing related services, even those preparatory to market participation in instruments which have not yet been approved or made subject to mandatory clearing, are already rising, and are expected to rise further.  Experience in other jurisdictions and under past regulatory modification regimes has demonstrated that two principled considerations must underlie every stage of regulatory reform, including the sourcing and analysis of the data upon which policy will be based. These are:  (i) the cost/risk analysis of the compliance/avoidance decision across all categories of market participant, and (ii) the potential for regulatory arbitrage</w:t>
      </w:r>
      <w:r w:rsidR="005B7CB0" w:rsidRPr="0002192F">
        <w:t xml:space="preserve"> (see DFs vs NDFs)</w:t>
      </w:r>
    </w:p>
    <w:p w:rsidR="005114D4" w:rsidRPr="0002192F" w:rsidRDefault="005114D4" w:rsidP="0002192F">
      <w:pPr>
        <w:pStyle w:val="NoSpacing"/>
        <w:rPr>
          <w:i/>
        </w:rPr>
      </w:pPr>
    </w:p>
    <w:p w:rsidR="00594C3C" w:rsidRPr="0002192F" w:rsidRDefault="00594C3C" w:rsidP="0002192F">
      <w:pPr>
        <w:pStyle w:val="NoSpacing"/>
        <w:rPr>
          <w:rFonts w:ascii="Calibri" w:hAnsi="Calibri" w:cs="Calibri"/>
          <w:i/>
        </w:rPr>
      </w:pPr>
      <w:r w:rsidRPr="0002192F">
        <w:rPr>
          <w:rFonts w:ascii="Calibri" w:hAnsi="Calibri" w:cs="Calibri"/>
        </w:rPr>
        <w:t>Derivative products have</w:t>
      </w:r>
      <w:r w:rsidR="006C54F1" w:rsidRPr="0002192F">
        <w:rPr>
          <w:rFonts w:ascii="Calibri" w:hAnsi="Calibri" w:cs="Calibri"/>
        </w:rPr>
        <w:t xml:space="preserve"> been d</w:t>
      </w:r>
      <w:r w:rsidR="003064BF">
        <w:rPr>
          <w:rFonts w:ascii="Calibri" w:hAnsi="Calibri" w:cs="Calibri"/>
        </w:rPr>
        <w:t>eveloped, predominantly by the ‘</w:t>
      </w:r>
      <w:r w:rsidR="006C54F1" w:rsidRPr="0002192F">
        <w:rPr>
          <w:rFonts w:ascii="Calibri" w:hAnsi="Calibri" w:cs="Calibri"/>
        </w:rPr>
        <w:t>sell-side’ to provide ‘buy-side’ customers with</w:t>
      </w:r>
      <w:r w:rsidRPr="0002192F">
        <w:rPr>
          <w:rFonts w:ascii="Calibri" w:hAnsi="Calibri" w:cs="Calibri"/>
        </w:rPr>
        <w:t xml:space="preserve"> </w:t>
      </w:r>
      <w:r w:rsidR="006C54F1" w:rsidRPr="0002192F">
        <w:rPr>
          <w:rFonts w:ascii="Calibri" w:hAnsi="Calibri" w:cs="Calibri"/>
        </w:rPr>
        <w:t xml:space="preserve">risk management instrument for the purpose of </w:t>
      </w:r>
      <w:r w:rsidR="00DA0DB5" w:rsidRPr="0002192F">
        <w:rPr>
          <w:rFonts w:ascii="Calibri" w:hAnsi="Calibri" w:cs="Calibri"/>
        </w:rPr>
        <w:t>hedging and investment</w:t>
      </w:r>
      <w:r w:rsidR="00F268EF" w:rsidRPr="0002192F">
        <w:rPr>
          <w:rFonts w:ascii="Calibri" w:hAnsi="Calibri" w:cs="Calibri"/>
        </w:rPr>
        <w:t xml:space="preserve">. </w:t>
      </w:r>
      <w:r w:rsidR="00F268EF" w:rsidRPr="0002192F">
        <w:rPr>
          <w:rFonts w:ascii="Calibri" w:hAnsi="Calibri" w:cs="Calibri"/>
          <w:i/>
        </w:rPr>
        <w:t>The ACI FMA is concerned that the potential for in-correct categorisation of derivative products as liquid may have</w:t>
      </w:r>
      <w:r w:rsidR="006F4C58" w:rsidRPr="0002192F">
        <w:rPr>
          <w:rFonts w:ascii="Calibri" w:hAnsi="Calibri" w:cs="Calibri"/>
          <w:i/>
        </w:rPr>
        <w:t xml:space="preserve"> undesired consequences for financial market participants on both ‘sell and buy-side’</w:t>
      </w:r>
      <w:r w:rsidR="00CE5043" w:rsidRPr="0002192F">
        <w:rPr>
          <w:rFonts w:ascii="Calibri" w:hAnsi="Calibri" w:cs="Calibri"/>
          <w:i/>
        </w:rPr>
        <w:t xml:space="preserve"> and for the European financial markets overall</w:t>
      </w:r>
      <w:r w:rsidR="000F2EC8">
        <w:rPr>
          <w:rFonts w:ascii="Calibri" w:hAnsi="Calibri" w:cs="Calibri"/>
          <w:i/>
        </w:rPr>
        <w:t>. Our specific concerns in this respect are:</w:t>
      </w:r>
    </w:p>
    <w:p w:rsidR="00991CC9" w:rsidRPr="0002192F" w:rsidRDefault="00991CC9" w:rsidP="0002192F">
      <w:pPr>
        <w:pStyle w:val="NoSpacing"/>
        <w:rPr>
          <w:rFonts w:ascii="Calibri" w:hAnsi="Calibri" w:cs="Calibri"/>
        </w:rPr>
      </w:pPr>
    </w:p>
    <w:p w:rsidR="006F4C58" w:rsidRPr="0002192F" w:rsidRDefault="00CE5043" w:rsidP="000F2EC8">
      <w:pPr>
        <w:pStyle w:val="NoSpacing"/>
        <w:numPr>
          <w:ilvl w:val="0"/>
          <w:numId w:val="25"/>
        </w:numPr>
        <w:rPr>
          <w:rFonts w:ascii="Calibri" w:hAnsi="Calibri" w:cs="Calibri"/>
        </w:rPr>
      </w:pPr>
      <w:r w:rsidRPr="0002192F">
        <w:rPr>
          <w:rFonts w:ascii="Calibri" w:hAnsi="Calibri" w:cs="Calibri"/>
        </w:rPr>
        <w:t>T</w:t>
      </w:r>
      <w:r w:rsidR="006F4C58" w:rsidRPr="0002192F">
        <w:rPr>
          <w:rFonts w:ascii="Calibri" w:hAnsi="Calibri" w:cs="Calibri"/>
        </w:rPr>
        <w:t>he potential costly and onerous burden of additional transparency and Systemic Internaliser  (SI) com</w:t>
      </w:r>
      <w:r w:rsidR="006D1D45">
        <w:rPr>
          <w:rFonts w:ascii="Calibri" w:hAnsi="Calibri" w:cs="Calibri"/>
        </w:rPr>
        <w:t>pliance requirements under MIFIR</w:t>
      </w:r>
      <w:r w:rsidR="006F4C58" w:rsidRPr="0002192F">
        <w:rPr>
          <w:rFonts w:ascii="Calibri" w:hAnsi="Calibri" w:cs="Calibri"/>
        </w:rPr>
        <w:t xml:space="preserve"> on “sell-side market participants’</w:t>
      </w:r>
      <w:r w:rsidRPr="0002192F">
        <w:rPr>
          <w:rFonts w:ascii="Calibri" w:hAnsi="Calibri" w:cs="Calibri"/>
        </w:rPr>
        <w:t xml:space="preserve">, which may have a detrimental impact on liquidity/reluctance to quote, therefore and causing shortages in particular currencies, securities or instruments </w:t>
      </w:r>
      <w:r w:rsidR="006F4C58" w:rsidRPr="0002192F">
        <w:rPr>
          <w:rFonts w:ascii="Calibri" w:hAnsi="Calibri" w:cs="Calibri"/>
        </w:rPr>
        <w:t>or increase product cost</w:t>
      </w:r>
    </w:p>
    <w:p w:rsidR="006F4C58" w:rsidRPr="0002192F" w:rsidRDefault="00CE5043" w:rsidP="000F2EC8">
      <w:pPr>
        <w:pStyle w:val="NoSpacing"/>
        <w:numPr>
          <w:ilvl w:val="0"/>
          <w:numId w:val="25"/>
        </w:numPr>
        <w:rPr>
          <w:rFonts w:ascii="Calibri" w:hAnsi="Calibri" w:cs="Calibri"/>
        </w:rPr>
      </w:pPr>
      <w:r w:rsidRPr="0002192F">
        <w:rPr>
          <w:rFonts w:ascii="Calibri" w:hAnsi="Calibri" w:cs="Calibri"/>
        </w:rPr>
        <w:t xml:space="preserve">An </w:t>
      </w:r>
      <w:r w:rsidR="006F4C58" w:rsidRPr="0002192F">
        <w:rPr>
          <w:rFonts w:ascii="Calibri" w:hAnsi="Calibri" w:cs="Calibri"/>
        </w:rPr>
        <w:t xml:space="preserve">increase in </w:t>
      </w:r>
      <w:r w:rsidRPr="0002192F">
        <w:rPr>
          <w:rFonts w:ascii="Calibri" w:hAnsi="Calibri" w:cs="Calibri"/>
        </w:rPr>
        <w:t xml:space="preserve">systemic </w:t>
      </w:r>
      <w:r w:rsidR="006F4C58" w:rsidRPr="0002192F">
        <w:rPr>
          <w:rFonts w:ascii="Calibri" w:hAnsi="Calibri" w:cs="Calibri"/>
        </w:rPr>
        <w:t>risk to corporate or</w:t>
      </w:r>
      <w:r w:rsidRPr="0002192F">
        <w:rPr>
          <w:rFonts w:ascii="Calibri" w:hAnsi="Calibri" w:cs="Calibri"/>
        </w:rPr>
        <w:t xml:space="preserve"> institutional portfolios as customers are either reluctant to hedge/invest due to increased costs or with a reduced product offering, are forced to accept less than optimal hedging/investment instruments</w:t>
      </w:r>
      <w:r w:rsidR="00AF06C4" w:rsidRPr="0002192F">
        <w:rPr>
          <w:rFonts w:ascii="Calibri" w:hAnsi="Calibri" w:cs="Calibri"/>
        </w:rPr>
        <w:t>.</w:t>
      </w:r>
    </w:p>
    <w:p w:rsidR="00D543D5" w:rsidRPr="0002192F" w:rsidRDefault="00D543D5" w:rsidP="0002192F">
      <w:pPr>
        <w:pStyle w:val="NoSpacing"/>
        <w:rPr>
          <w:rFonts w:ascii="Calibri" w:hAnsi="Calibri" w:cs="Calibri"/>
        </w:rPr>
      </w:pPr>
    </w:p>
    <w:p w:rsidR="00D543D5" w:rsidRPr="00520AEA" w:rsidRDefault="00E837BB" w:rsidP="0002192F">
      <w:pPr>
        <w:pStyle w:val="NoSpacing"/>
      </w:pPr>
      <w:r w:rsidRPr="005F2342">
        <w:t xml:space="preserve">With reference to the last point the recent increases in general FX market volatility illustrates the systemic risk attendant to under hedging by end users. </w:t>
      </w:r>
      <w:r w:rsidR="00D543D5" w:rsidRPr="005F2342">
        <w:t>As many</w:t>
      </w:r>
      <w:r w:rsidR="00D543D5" w:rsidRPr="00520AEA">
        <w:t xml:space="preserve"> smaller investment related businesses, such as private equity and multi-family offices, are swept into the definition of financial institutions, and many end </w:t>
      </w:r>
      <w:r w:rsidR="00710AB3" w:rsidRPr="00520AEA">
        <w:t>users categoris</w:t>
      </w:r>
      <w:r w:rsidR="00D543D5" w:rsidRPr="00520AEA">
        <w:t xml:space="preserve">ed as large non-financial counterparties based upon the ESMA data, the cost of cleared hedging will become, or appear, greater to them then the potential losses from unhedged alternatives.  The cumulative systemic </w:t>
      </w:r>
      <w:r w:rsidR="005B7CB0" w:rsidRPr="00520AEA">
        <w:t>risk from such a result is self-</w:t>
      </w:r>
      <w:r w:rsidR="00D543D5" w:rsidRPr="00520AEA">
        <w:t>evident.</w:t>
      </w:r>
    </w:p>
    <w:p w:rsidR="00AF06C4" w:rsidRPr="00520AEA" w:rsidRDefault="00AF06C4" w:rsidP="0002192F">
      <w:pPr>
        <w:pStyle w:val="NoSpacing"/>
      </w:pPr>
    </w:p>
    <w:p w:rsidR="00AF06C4" w:rsidRPr="00520AEA" w:rsidRDefault="00AF06C4" w:rsidP="0002192F">
      <w:pPr>
        <w:pStyle w:val="NoSpacing"/>
        <w:rPr>
          <w:i/>
        </w:rPr>
      </w:pPr>
      <w:r w:rsidRPr="00520AEA">
        <w:rPr>
          <w:i/>
        </w:rPr>
        <w:t xml:space="preserve">While, as mentioned, being supportive of the consultation objectives, the ACI </w:t>
      </w:r>
      <w:r w:rsidR="00C008DB" w:rsidRPr="00520AEA">
        <w:rPr>
          <w:i/>
        </w:rPr>
        <w:t xml:space="preserve">FMA </w:t>
      </w:r>
      <w:r w:rsidRPr="00520AEA">
        <w:rPr>
          <w:i/>
        </w:rPr>
        <w:t xml:space="preserve">recognises the potential impacts and burdens (legal, technical, operational, etc.) of compliance with the on-going regulatory and legislative reform on market participants. Therefore, the ACI </w:t>
      </w:r>
      <w:r w:rsidR="006D1D45" w:rsidRPr="00520AEA">
        <w:rPr>
          <w:i/>
        </w:rPr>
        <w:t xml:space="preserve">FMA </w:t>
      </w:r>
      <w:r w:rsidRPr="00520AEA">
        <w:rPr>
          <w:i/>
        </w:rPr>
        <w:t>would advocate prudence and consideration regarding the process for intr</w:t>
      </w:r>
      <w:r w:rsidR="005114D4" w:rsidRPr="00520AEA">
        <w:rPr>
          <w:i/>
        </w:rPr>
        <w:t xml:space="preserve">oduction of further regulation and would espouse a phased implementation approach. </w:t>
      </w:r>
      <w:r w:rsidRPr="00520AEA">
        <w:rPr>
          <w:i/>
        </w:rPr>
        <w:t>Regulators need to allow the full impact of the on-going regulatory initiatives/revisions and the ensuing changes to be absorbed by the global markets, in order to evaluate whether further intervention is necessary to capture hitherto unidentified risks and to prevent the emergence of new systemic risks and/or the disruption of existing, functioning markets and liquidity.</w:t>
      </w:r>
      <w:r w:rsidR="00C008DB" w:rsidRPr="00520AEA">
        <w:rPr>
          <w:i/>
        </w:rPr>
        <w:t xml:space="preserve"> </w:t>
      </w:r>
    </w:p>
    <w:p w:rsidR="00A37C23" w:rsidRPr="0002192F" w:rsidRDefault="00A37C23" w:rsidP="0002192F">
      <w:pPr>
        <w:pStyle w:val="NoSpacing"/>
        <w:rPr>
          <w:rFonts w:ascii="Calibri" w:hAnsi="Calibri" w:cs="Calibri"/>
        </w:rPr>
      </w:pPr>
    </w:p>
    <w:p w:rsidR="00981529" w:rsidRPr="002F708D" w:rsidRDefault="00981529" w:rsidP="0002192F">
      <w:pPr>
        <w:pStyle w:val="NoSpacing"/>
        <w:rPr>
          <w:b/>
          <w:u w:val="single"/>
        </w:rPr>
      </w:pPr>
      <w:r w:rsidRPr="002F708D">
        <w:rPr>
          <w:b/>
          <w:u w:val="single"/>
        </w:rPr>
        <w:t>ACI FMA Comment on Data Integrity</w:t>
      </w:r>
      <w:r w:rsidR="00356933">
        <w:rPr>
          <w:b/>
          <w:u w:val="single"/>
        </w:rPr>
        <w:t xml:space="preserve"> </w:t>
      </w:r>
      <w:r w:rsidR="007876B4" w:rsidRPr="002F708D">
        <w:rPr>
          <w:b/>
          <w:u w:val="single"/>
        </w:rPr>
        <w:t xml:space="preserve"> (</w:t>
      </w:r>
      <w:r w:rsidR="002F708D" w:rsidRPr="002F708D">
        <w:rPr>
          <w:b/>
          <w:u w:val="single"/>
        </w:rPr>
        <w:t>With reference to Q1,3 &amp; 4 of the Consultation Paper)</w:t>
      </w:r>
    </w:p>
    <w:p w:rsidR="00991CC9" w:rsidRDefault="00991CC9" w:rsidP="0002192F">
      <w:pPr>
        <w:pStyle w:val="NoSpacing"/>
      </w:pPr>
      <w:r w:rsidRPr="0002192F">
        <w:t>The ACI FMA’</w:t>
      </w:r>
      <w:r w:rsidR="003D51C2" w:rsidRPr="0002192F">
        <w:t>s observation</w:t>
      </w:r>
      <w:r w:rsidRPr="0002192F">
        <w:t xml:space="preserve"> with regard to the data collate</w:t>
      </w:r>
      <w:r w:rsidR="005B7CB0" w:rsidRPr="0002192F">
        <w:t xml:space="preserve">d in this Consultation Paper (CP) </w:t>
      </w:r>
      <w:r w:rsidR="003717F1" w:rsidRPr="0002192F">
        <w:t>as representative of</w:t>
      </w:r>
      <w:r w:rsidRPr="0002192F">
        <w:t xml:space="preserve"> liq</w:t>
      </w:r>
      <w:r w:rsidR="003D51C2" w:rsidRPr="0002192F">
        <w:t>uidity</w:t>
      </w:r>
      <w:r w:rsidR="005B7CB0" w:rsidRPr="0002192F">
        <w:t xml:space="preserve"> for the deriva</w:t>
      </w:r>
      <w:r w:rsidR="00055943">
        <w:t>tive markets covered in this CP</w:t>
      </w:r>
      <w:r w:rsidR="003D51C2" w:rsidRPr="0002192F">
        <w:t xml:space="preserve"> is that the definition of liquidity as ascribed to each individual currency and cross</w:t>
      </w:r>
      <w:r w:rsidR="00A770A0" w:rsidRPr="0002192F">
        <w:t xml:space="preserve"> currency pair is too arbitrary.</w:t>
      </w:r>
      <w:r w:rsidR="00981529" w:rsidRPr="0002192F">
        <w:t xml:space="preserve"> </w:t>
      </w:r>
      <w:r w:rsidR="00342C71" w:rsidRPr="0002192F">
        <w:t>Our concern is based upon the following</w:t>
      </w:r>
      <w:r w:rsidR="00180723" w:rsidRPr="0002192F">
        <w:t>:</w:t>
      </w:r>
    </w:p>
    <w:p w:rsidR="003064BF" w:rsidRPr="0002192F" w:rsidRDefault="003064BF" w:rsidP="0002192F">
      <w:pPr>
        <w:pStyle w:val="NoSpacing"/>
      </w:pPr>
    </w:p>
    <w:p w:rsidR="00180723" w:rsidRPr="0002192F" w:rsidRDefault="003D51C2" w:rsidP="003064BF">
      <w:pPr>
        <w:pStyle w:val="NoSpacing"/>
        <w:numPr>
          <w:ilvl w:val="0"/>
          <w:numId w:val="20"/>
        </w:numPr>
        <w:rPr>
          <w:rFonts w:ascii="Calibri" w:hAnsi="Calibri" w:cs="Calibri"/>
        </w:rPr>
      </w:pPr>
      <w:r w:rsidRPr="0002192F">
        <w:rPr>
          <w:rFonts w:ascii="Calibri" w:hAnsi="Calibri" w:cs="Calibri"/>
        </w:rPr>
        <w:t xml:space="preserve">The data is </w:t>
      </w:r>
      <w:r w:rsidR="00180723" w:rsidRPr="0002192F">
        <w:rPr>
          <w:rFonts w:ascii="Calibri" w:hAnsi="Calibri" w:cs="Calibri"/>
        </w:rPr>
        <w:t xml:space="preserve">derived from Trade </w:t>
      </w:r>
      <w:r w:rsidR="00683C1F" w:rsidRPr="0002192F">
        <w:rPr>
          <w:rFonts w:ascii="Calibri" w:hAnsi="Calibri" w:cs="Calibri"/>
        </w:rPr>
        <w:t>Repositories (TR)</w:t>
      </w:r>
      <w:r w:rsidR="00180723" w:rsidRPr="0002192F">
        <w:rPr>
          <w:rFonts w:ascii="Calibri" w:hAnsi="Calibri" w:cs="Calibri"/>
        </w:rPr>
        <w:t xml:space="preserve"> gathered over</w:t>
      </w:r>
      <w:r w:rsidR="006C54F1" w:rsidRPr="0002192F">
        <w:rPr>
          <w:rFonts w:ascii="Calibri" w:hAnsi="Calibri" w:cs="Calibri"/>
        </w:rPr>
        <w:t xml:space="preserve"> a relatively brief period</w:t>
      </w:r>
      <w:r w:rsidR="00180723" w:rsidRPr="0002192F">
        <w:rPr>
          <w:rFonts w:ascii="Calibri" w:hAnsi="Calibri" w:cs="Calibri"/>
        </w:rPr>
        <w:t xml:space="preserve"> (3 months</w:t>
      </w:r>
      <w:r w:rsidR="00683C1F" w:rsidRPr="0002192F">
        <w:rPr>
          <w:rFonts w:ascii="Calibri" w:hAnsi="Calibri" w:cs="Calibri"/>
        </w:rPr>
        <w:t xml:space="preserve"> March-May 2014</w:t>
      </w:r>
      <w:r w:rsidR="00180723" w:rsidRPr="0002192F">
        <w:rPr>
          <w:rFonts w:ascii="Calibri" w:hAnsi="Calibri" w:cs="Calibri"/>
        </w:rPr>
        <w:t>)</w:t>
      </w:r>
      <w:r w:rsidR="006C54F1" w:rsidRPr="0002192F">
        <w:rPr>
          <w:rFonts w:ascii="Calibri" w:hAnsi="Calibri" w:cs="Calibri"/>
        </w:rPr>
        <w:t xml:space="preserve"> of time</w:t>
      </w:r>
      <w:r w:rsidR="00180723" w:rsidRPr="0002192F">
        <w:rPr>
          <w:rFonts w:ascii="Calibri" w:hAnsi="Calibri" w:cs="Calibri"/>
        </w:rPr>
        <w:t xml:space="preserve"> after the introduction of mandatory trade reporting under EMIR</w:t>
      </w:r>
      <w:r w:rsidR="006C54F1" w:rsidRPr="0002192F">
        <w:rPr>
          <w:rFonts w:ascii="Calibri" w:hAnsi="Calibri" w:cs="Calibri"/>
        </w:rPr>
        <w:t>.</w:t>
      </w:r>
    </w:p>
    <w:p w:rsidR="00180723" w:rsidRPr="0002192F" w:rsidRDefault="003D51C2" w:rsidP="003064BF">
      <w:pPr>
        <w:pStyle w:val="NoSpacing"/>
        <w:numPr>
          <w:ilvl w:val="0"/>
          <w:numId w:val="20"/>
        </w:numPr>
        <w:rPr>
          <w:rFonts w:ascii="Calibri" w:hAnsi="Calibri" w:cs="Calibri"/>
        </w:rPr>
      </w:pPr>
      <w:r w:rsidRPr="0002192F">
        <w:rPr>
          <w:rFonts w:ascii="Calibri" w:hAnsi="Calibri" w:cs="Calibri"/>
        </w:rPr>
        <w:t xml:space="preserve">The tenors </w:t>
      </w:r>
      <w:r w:rsidR="001D04D8" w:rsidRPr="0002192F">
        <w:rPr>
          <w:rFonts w:ascii="Calibri" w:hAnsi="Calibri" w:cs="Calibri"/>
        </w:rPr>
        <w:t xml:space="preserve"> </w:t>
      </w:r>
      <w:r w:rsidR="00256FD4" w:rsidRPr="0002192F">
        <w:rPr>
          <w:rFonts w:ascii="Calibri" w:hAnsi="Calibri" w:cs="Calibri"/>
        </w:rPr>
        <w:t xml:space="preserve">are </w:t>
      </w:r>
      <w:r w:rsidR="001D04D8" w:rsidRPr="0002192F">
        <w:rPr>
          <w:rFonts w:ascii="Calibri" w:hAnsi="Calibri" w:cs="Calibri"/>
        </w:rPr>
        <w:t xml:space="preserve">based on a </w:t>
      </w:r>
      <w:r w:rsidR="00342C71" w:rsidRPr="0002192F">
        <w:rPr>
          <w:rFonts w:ascii="Calibri" w:hAnsi="Calibri" w:cs="Calibri"/>
        </w:rPr>
        <w:t xml:space="preserve">very </w:t>
      </w:r>
      <w:r w:rsidR="001D04D8" w:rsidRPr="0002192F">
        <w:rPr>
          <w:rFonts w:ascii="Calibri" w:hAnsi="Calibri" w:cs="Calibri"/>
        </w:rPr>
        <w:t>protracted ‘snapshot’ of trade data</w:t>
      </w:r>
      <w:r w:rsidR="00342C71" w:rsidRPr="0002192F">
        <w:rPr>
          <w:rFonts w:ascii="Calibri" w:hAnsi="Calibri" w:cs="Calibri"/>
        </w:rPr>
        <w:t>, which may</w:t>
      </w:r>
      <w:r w:rsidR="00256FD4" w:rsidRPr="0002192F">
        <w:rPr>
          <w:rFonts w:ascii="Calibri" w:hAnsi="Calibri" w:cs="Calibri"/>
        </w:rPr>
        <w:t xml:space="preserve">  not </w:t>
      </w:r>
      <w:r w:rsidR="00342C71" w:rsidRPr="0002192F">
        <w:rPr>
          <w:rFonts w:ascii="Calibri" w:hAnsi="Calibri" w:cs="Calibri"/>
        </w:rPr>
        <w:t>represent/accommodate any trading anomalies</w:t>
      </w:r>
      <w:r w:rsidR="0031491C" w:rsidRPr="0002192F">
        <w:rPr>
          <w:rFonts w:ascii="Calibri" w:hAnsi="Calibri" w:cs="Calibri"/>
        </w:rPr>
        <w:t xml:space="preserve"> or</w:t>
      </w:r>
    </w:p>
    <w:p w:rsidR="0031491C" w:rsidRDefault="0031491C" w:rsidP="003064BF">
      <w:pPr>
        <w:pStyle w:val="NoSpacing"/>
        <w:numPr>
          <w:ilvl w:val="0"/>
          <w:numId w:val="20"/>
        </w:numPr>
        <w:rPr>
          <w:rFonts w:ascii="Calibri" w:hAnsi="Calibri" w:cs="Calibri"/>
        </w:rPr>
      </w:pPr>
      <w:r w:rsidRPr="0002192F">
        <w:rPr>
          <w:rFonts w:ascii="Calibri" w:hAnsi="Calibri" w:cs="Calibri"/>
        </w:rPr>
        <w:t>The data may contain compression trade data, which distorts liquidity thresholds as these are not price-predictive, market impacting trades</w:t>
      </w:r>
    </w:p>
    <w:p w:rsidR="003064BF" w:rsidRPr="0002192F" w:rsidRDefault="003064BF" w:rsidP="003064BF">
      <w:pPr>
        <w:pStyle w:val="NoSpacing"/>
        <w:ind w:left="720"/>
        <w:rPr>
          <w:rFonts w:ascii="Calibri" w:hAnsi="Calibri" w:cs="Calibri"/>
        </w:rPr>
      </w:pPr>
    </w:p>
    <w:p w:rsidR="00F7704F" w:rsidRDefault="009C15D6" w:rsidP="0002192F">
      <w:pPr>
        <w:pStyle w:val="NoSpacing"/>
      </w:pPr>
      <w:r w:rsidRPr="0002192F">
        <w:rPr>
          <w:rFonts w:ascii="Calibri" w:hAnsi="Calibri" w:cs="Calibri"/>
        </w:rPr>
        <w:t>The ACI</w:t>
      </w:r>
      <w:r w:rsidR="006D1D45">
        <w:rPr>
          <w:rFonts w:ascii="Calibri" w:hAnsi="Calibri" w:cs="Calibri"/>
        </w:rPr>
        <w:t xml:space="preserve"> </w:t>
      </w:r>
      <w:r w:rsidRPr="0002192F">
        <w:rPr>
          <w:rFonts w:ascii="Calibri" w:hAnsi="Calibri" w:cs="Calibri"/>
        </w:rPr>
        <w:t>FMA believes that</w:t>
      </w:r>
      <w:r w:rsidR="009C2412" w:rsidRPr="0002192F">
        <w:t xml:space="preserve"> it is important to frame the context of the ESMA’</w:t>
      </w:r>
      <w:r w:rsidR="00FD36D0" w:rsidRPr="0002192F">
        <w:t>s data collection</w:t>
      </w:r>
      <w:r w:rsidR="009C2412" w:rsidRPr="0002192F">
        <w:t xml:space="preserve"> within the very brief period used in the Consultation</w:t>
      </w:r>
      <w:r w:rsidR="00683C1F" w:rsidRPr="0002192F">
        <w:t xml:space="preserve"> Paper (CP)</w:t>
      </w:r>
      <w:r w:rsidR="009C2412" w:rsidRPr="0002192F">
        <w:t xml:space="preserve">. </w:t>
      </w:r>
      <w:r w:rsidR="005114D4" w:rsidRPr="0002192F">
        <w:t xml:space="preserve">Under EMIR, unlike, </w:t>
      </w:r>
      <w:r w:rsidR="009C2412" w:rsidRPr="0002192F">
        <w:t>for example</w:t>
      </w:r>
      <w:r w:rsidR="005114D4" w:rsidRPr="0002192F">
        <w:t>,</w:t>
      </w:r>
      <w:r w:rsidR="009C2412" w:rsidRPr="0002192F">
        <w:t xml:space="preserve"> under the Dodd Frank Act, the obligation for trade reporting and validation is incumbent on both parties to the transaction. For the F</w:t>
      </w:r>
      <w:r w:rsidR="005114D4" w:rsidRPr="0002192F">
        <w:t xml:space="preserve">X asset class there </w:t>
      </w:r>
      <w:r w:rsidR="00683C1F" w:rsidRPr="0002192F">
        <w:t>are</w:t>
      </w:r>
      <w:r w:rsidR="005114D4" w:rsidRPr="0002192F">
        <w:t xml:space="preserve"> a number of</w:t>
      </w:r>
      <w:r w:rsidR="009C2412" w:rsidRPr="0002192F">
        <w:t xml:space="preserve"> Trade Repositories</w:t>
      </w:r>
      <w:r w:rsidR="00A770A0" w:rsidRPr="0002192F">
        <w:t xml:space="preserve"> (TR)</w:t>
      </w:r>
      <w:r w:rsidR="009C2412" w:rsidRPr="0002192F">
        <w:t xml:space="preserve"> registered in the EU. Counterparty submission matching and validation is done via</w:t>
      </w:r>
      <w:r w:rsidR="009C2412" w:rsidRPr="0002192F">
        <w:rPr>
          <w:rFonts w:ascii="Calibri" w:hAnsi="Calibri" w:cs="Calibri"/>
          <w:sz w:val="24"/>
          <w:szCs w:val="24"/>
        </w:rPr>
        <w:t xml:space="preserve"> exception (or ‘miss-matching’) reporting</w:t>
      </w:r>
      <w:r w:rsidR="00A770A0" w:rsidRPr="0002192F">
        <w:t xml:space="preserve">. </w:t>
      </w:r>
      <w:r w:rsidR="009C2412" w:rsidRPr="0002192F">
        <w:t>However, during the time frame used for the Consultation</w:t>
      </w:r>
      <w:r w:rsidR="00A770A0" w:rsidRPr="0002192F">
        <w:t xml:space="preserve">, </w:t>
      </w:r>
      <w:r w:rsidR="00A770A0" w:rsidRPr="0002192F">
        <w:rPr>
          <w:bCs/>
        </w:rPr>
        <w:t>due to the absence of any exception reporting</w:t>
      </w:r>
      <w:r w:rsidR="00A770A0" w:rsidRPr="0002192F">
        <w:t xml:space="preserve">, counterparties would not have been able to perform this validation test either intra or inter TR. </w:t>
      </w:r>
      <w:r w:rsidR="00F7704F" w:rsidRPr="0002192F">
        <w:t>F</w:t>
      </w:r>
      <w:r w:rsidR="00FD36D0" w:rsidRPr="0002192F">
        <w:t xml:space="preserve">urther </w:t>
      </w:r>
      <w:r w:rsidR="00F7704F" w:rsidRPr="0002192F">
        <w:t xml:space="preserve">multiple </w:t>
      </w:r>
      <w:r w:rsidR="00FD36D0" w:rsidRPr="0002192F">
        <w:t>complication</w:t>
      </w:r>
      <w:r w:rsidR="00F7704F" w:rsidRPr="0002192F">
        <w:t>s to the sample collected include:</w:t>
      </w:r>
    </w:p>
    <w:p w:rsidR="003064BF" w:rsidRPr="0002192F" w:rsidRDefault="003064BF" w:rsidP="0002192F">
      <w:pPr>
        <w:pStyle w:val="NoSpacing"/>
      </w:pPr>
    </w:p>
    <w:p w:rsidR="00F7704F" w:rsidRDefault="00F7704F" w:rsidP="003064BF">
      <w:pPr>
        <w:pStyle w:val="NoSpacing"/>
        <w:numPr>
          <w:ilvl w:val="0"/>
          <w:numId w:val="22"/>
        </w:numPr>
      </w:pPr>
      <w:r w:rsidRPr="0002192F">
        <w:t>Double counting of mirror offset trades under prime brokerage and give up relationships</w:t>
      </w:r>
    </w:p>
    <w:p w:rsidR="006D1D45" w:rsidRPr="0002192F" w:rsidRDefault="006D1D45" w:rsidP="006D1D45">
      <w:pPr>
        <w:pStyle w:val="NoSpacing"/>
        <w:ind w:left="720"/>
      </w:pPr>
    </w:p>
    <w:p w:rsidR="006D1D45" w:rsidRDefault="006D1D45" w:rsidP="006D1D45">
      <w:pPr>
        <w:pStyle w:val="NoSpacing"/>
      </w:pPr>
      <w:r>
        <w:t>Additionally, m</w:t>
      </w:r>
      <w:r w:rsidR="00FD36D0" w:rsidRPr="0002192F">
        <w:t>any counterparties were hindered in their reporting ability by</w:t>
      </w:r>
      <w:r>
        <w:t>:</w:t>
      </w:r>
    </w:p>
    <w:p w:rsidR="006D1D45" w:rsidRDefault="00FD36D0" w:rsidP="006D1D45">
      <w:pPr>
        <w:pStyle w:val="NoSpacing"/>
        <w:numPr>
          <w:ilvl w:val="0"/>
          <w:numId w:val="22"/>
        </w:numPr>
      </w:pPr>
      <w:r w:rsidRPr="0002192F">
        <w:t>the absence</w:t>
      </w:r>
      <w:r w:rsidR="00F7704F" w:rsidRPr="0002192F">
        <w:t xml:space="preserve"> of or delay in</w:t>
      </w:r>
      <w:r w:rsidRPr="0002192F">
        <w:t xml:space="preserve"> Legal Entity Identifier (LEI)</w:t>
      </w:r>
      <w:r w:rsidR="00A770A0" w:rsidRPr="0002192F">
        <w:t xml:space="preserve"> </w:t>
      </w:r>
      <w:r w:rsidRPr="0002192F">
        <w:t>provision</w:t>
      </w:r>
      <w:r w:rsidR="006D1D45">
        <w:t>,</w:t>
      </w:r>
    </w:p>
    <w:p w:rsidR="006D1D45" w:rsidRDefault="006D1D45" w:rsidP="006D1D45">
      <w:pPr>
        <w:pStyle w:val="NoSpacing"/>
        <w:numPr>
          <w:ilvl w:val="0"/>
          <w:numId w:val="22"/>
        </w:numPr>
      </w:pPr>
      <w:r>
        <w:t>delayed processing of applications for</w:t>
      </w:r>
      <w:r w:rsidRPr="0002192F">
        <w:t xml:space="preserve"> multiple LEIs for certain counterparties and their affiliates</w:t>
      </w:r>
      <w:r>
        <w:t xml:space="preserve">  and </w:t>
      </w:r>
    </w:p>
    <w:p w:rsidR="00F7704F" w:rsidRPr="0002192F" w:rsidRDefault="006D1D45" w:rsidP="006D1D45">
      <w:pPr>
        <w:pStyle w:val="NoSpacing"/>
        <w:numPr>
          <w:ilvl w:val="0"/>
          <w:numId w:val="22"/>
        </w:numPr>
      </w:pPr>
      <w:r>
        <w:t>tardy</w:t>
      </w:r>
      <w:r w:rsidR="00F7704F" w:rsidRPr="0002192F">
        <w:t xml:space="preserve"> reactivation of LEIs after their expiration as well as some as yet unquantified levels of general non-compliance.</w:t>
      </w:r>
    </w:p>
    <w:p w:rsidR="00F7704F" w:rsidRPr="0002192F" w:rsidRDefault="00F7704F" w:rsidP="0002192F">
      <w:pPr>
        <w:pStyle w:val="NoSpacing"/>
      </w:pPr>
    </w:p>
    <w:p w:rsidR="005B7CB0" w:rsidRPr="0002192F" w:rsidRDefault="005B7CB0" w:rsidP="0002192F">
      <w:pPr>
        <w:pStyle w:val="NoSpacing"/>
      </w:pPr>
      <w:r w:rsidRPr="0002192F">
        <w:t xml:space="preserve">While netting is taken into account for threshold calculations at the individual counterparty level, it is unlikely that the absolute values of aggregate notional exposures in the ESMA data are robust, </w:t>
      </w:r>
      <w:r w:rsidRPr="0002192F">
        <w:rPr>
          <w:lang w:val="en-US"/>
        </w:rPr>
        <w:t>especially</w:t>
      </w:r>
      <w:r w:rsidRPr="0002192F">
        <w:t xml:space="preserve"> when the disparity to trade volumes is noted.  The importance of high volume largely retail contracts such a</w:t>
      </w:r>
      <w:r w:rsidR="00A37C23" w:rsidRPr="0002192F">
        <w:t xml:space="preserve">s currency spread bets and CFDs, </w:t>
      </w:r>
      <w:r w:rsidRPr="0002192F">
        <w:t xml:space="preserve">which are overwhelmingly traded on an intraday basis, is likewise of deceptive relevance.  </w:t>
      </w:r>
    </w:p>
    <w:p w:rsidR="00F7704F" w:rsidRPr="0002192F" w:rsidRDefault="00F7704F" w:rsidP="0002192F">
      <w:pPr>
        <w:pStyle w:val="NoSpacing"/>
        <w:rPr>
          <w:rFonts w:ascii="Calibri" w:eastAsia="Cambria" w:hAnsi="Calibri" w:cs="Times New Roman"/>
          <w:sz w:val="24"/>
          <w:szCs w:val="24"/>
        </w:rPr>
      </w:pPr>
    </w:p>
    <w:p w:rsidR="005B7CB0" w:rsidRPr="0038341D" w:rsidRDefault="00055943" w:rsidP="0002192F">
      <w:pPr>
        <w:pStyle w:val="NoSpacing"/>
        <w:rPr>
          <w:i/>
        </w:rPr>
      </w:pPr>
      <w:r>
        <w:t>The ACI FMA notes that the aforementioned data complications are not just applicable to the FX market data presented in the Consultation Paper, the data collection process and methodology will most probably have had a similar</w:t>
      </w:r>
      <w:r w:rsidR="0038341D">
        <w:t xml:space="preserve"> contra indicators with regard </w:t>
      </w:r>
      <w:r>
        <w:t>to(il)liquidity</w:t>
      </w:r>
      <w:r w:rsidR="0038341D">
        <w:t>,</w:t>
      </w:r>
      <w:r>
        <w:t xml:space="preserve"> </w:t>
      </w:r>
      <w:r w:rsidR="0038341D" w:rsidRPr="0038341D">
        <w:rPr>
          <w:rFonts w:eastAsia="Times New Roman" w:cs="Times New Roman"/>
          <w:lang w:eastAsia="de-DE"/>
        </w:rPr>
        <w:t>Large In Scale (LIS) and Size Specific to The Instrument (SSTI)</w:t>
      </w:r>
      <w:r w:rsidR="0038341D" w:rsidRPr="0038341D">
        <w:rPr>
          <w:lang w:eastAsia="de-DE"/>
        </w:rPr>
        <w:t xml:space="preserve"> </w:t>
      </w:r>
      <w:r w:rsidR="0038341D">
        <w:rPr>
          <w:lang w:eastAsia="de-DE"/>
        </w:rPr>
        <w:t xml:space="preserve">calculation </w:t>
      </w:r>
      <w:r w:rsidR="0038341D" w:rsidRPr="0038341D">
        <w:rPr>
          <w:lang w:eastAsia="de-DE"/>
        </w:rPr>
        <w:t>thresholds</w:t>
      </w:r>
      <w:r w:rsidR="0038341D">
        <w:t xml:space="preserve">. </w:t>
      </w:r>
      <w:r w:rsidR="00F7704F" w:rsidRPr="0038341D">
        <w:rPr>
          <w:i/>
        </w:rPr>
        <w:t>G</w:t>
      </w:r>
      <w:r w:rsidR="005B7CB0" w:rsidRPr="0038341D">
        <w:rPr>
          <w:i/>
        </w:rPr>
        <w:t xml:space="preserve">iven these noted complications </w:t>
      </w:r>
      <w:r w:rsidR="00970972" w:rsidRPr="0038341D">
        <w:rPr>
          <w:i/>
        </w:rPr>
        <w:t>during the data</w:t>
      </w:r>
      <w:r w:rsidR="005B7CB0" w:rsidRPr="0038341D">
        <w:rPr>
          <w:i/>
        </w:rPr>
        <w:t xml:space="preserve"> reporting period</w:t>
      </w:r>
      <w:r w:rsidR="00F7704F" w:rsidRPr="0038341D">
        <w:rPr>
          <w:i/>
        </w:rPr>
        <w:t xml:space="preserve">, we would propose that the data analysed and assessed in the Consultation cannot be an accurate representative sample of European trading from a standpoint of instruments, </w:t>
      </w:r>
      <w:r w:rsidR="00A37C23" w:rsidRPr="0038341D">
        <w:rPr>
          <w:i/>
        </w:rPr>
        <w:t>notionals</w:t>
      </w:r>
      <w:r w:rsidR="005B10D6" w:rsidRPr="0038341D">
        <w:rPr>
          <w:i/>
        </w:rPr>
        <w:t>, cash flow profiles</w:t>
      </w:r>
      <w:r w:rsidR="00F7704F" w:rsidRPr="0038341D">
        <w:rPr>
          <w:i/>
        </w:rPr>
        <w:t xml:space="preserve"> and volumes traded.</w:t>
      </w:r>
      <w:r w:rsidR="00A37C23" w:rsidRPr="0038341D">
        <w:rPr>
          <w:i/>
        </w:rPr>
        <w:t xml:space="preserve"> These issues of categoris</w:t>
      </w:r>
      <w:r w:rsidR="005B7CB0" w:rsidRPr="0038341D">
        <w:rPr>
          <w:i/>
        </w:rPr>
        <w:t>ation must be remedied before policy is based upon them.</w:t>
      </w:r>
    </w:p>
    <w:p w:rsidR="005B7CB0" w:rsidRPr="0002192F" w:rsidRDefault="005B7CB0" w:rsidP="0002192F">
      <w:pPr>
        <w:pStyle w:val="NoSpacing"/>
        <w:rPr>
          <w:i/>
        </w:rPr>
      </w:pPr>
    </w:p>
    <w:p w:rsidR="009C2412" w:rsidRPr="0002192F" w:rsidRDefault="00A770A0" w:rsidP="0002192F">
      <w:pPr>
        <w:pStyle w:val="NoSpacing"/>
        <w:rPr>
          <w:i/>
        </w:rPr>
      </w:pPr>
      <w:r w:rsidRPr="0002192F">
        <w:rPr>
          <w:i/>
        </w:rPr>
        <w:t>Therefore,</w:t>
      </w:r>
      <w:r w:rsidR="00981529" w:rsidRPr="0002192F">
        <w:rPr>
          <w:i/>
        </w:rPr>
        <w:t xml:space="preserve"> </w:t>
      </w:r>
      <w:r w:rsidR="00970972" w:rsidRPr="0002192F">
        <w:rPr>
          <w:i/>
        </w:rPr>
        <w:t xml:space="preserve">the ACI FMA </w:t>
      </w:r>
      <w:r w:rsidRPr="0002192F">
        <w:rPr>
          <w:rFonts w:ascii="Calibri" w:hAnsi="Calibri" w:cs="Calibri"/>
          <w:i/>
        </w:rPr>
        <w:t xml:space="preserve">would propose that the quality and type of data used in the data analysis does not represent </w:t>
      </w:r>
      <w:r w:rsidR="00FD36D0" w:rsidRPr="0002192F">
        <w:rPr>
          <w:i/>
        </w:rPr>
        <w:t xml:space="preserve">a </w:t>
      </w:r>
      <w:r w:rsidRPr="0002192F">
        <w:rPr>
          <w:rFonts w:ascii="Calibri" w:hAnsi="Calibri" w:cs="Calibri"/>
          <w:i/>
        </w:rPr>
        <w:t>robust -enough sampling, in most cases, to facilita</w:t>
      </w:r>
      <w:r w:rsidR="00FD36D0" w:rsidRPr="0002192F">
        <w:rPr>
          <w:i/>
        </w:rPr>
        <w:t xml:space="preserve">te accurate determination of </w:t>
      </w:r>
      <w:r w:rsidRPr="0002192F">
        <w:rPr>
          <w:rFonts w:ascii="Calibri" w:hAnsi="Calibri" w:cs="Calibri"/>
          <w:i/>
        </w:rPr>
        <w:t>derivative</w:t>
      </w:r>
      <w:r w:rsidR="00FD36D0" w:rsidRPr="0002192F">
        <w:rPr>
          <w:i/>
        </w:rPr>
        <w:t xml:space="preserve"> product</w:t>
      </w:r>
      <w:r w:rsidRPr="0002192F">
        <w:rPr>
          <w:rFonts w:ascii="Calibri" w:hAnsi="Calibri" w:cs="Calibri"/>
          <w:i/>
        </w:rPr>
        <w:t xml:space="preserve"> liquidity thresholds.</w:t>
      </w:r>
      <w:r w:rsidR="009B6366" w:rsidRPr="0002192F">
        <w:rPr>
          <w:rFonts w:ascii="Arial" w:hAnsi="Arial"/>
          <w:lang w:eastAsia="de-DE"/>
        </w:rPr>
        <w:t xml:space="preserve"> </w:t>
      </w:r>
      <w:r w:rsidR="009B6366" w:rsidRPr="0002192F">
        <w:rPr>
          <w:i/>
          <w:lang w:eastAsia="de-DE"/>
        </w:rPr>
        <w:t xml:space="preserve">This is of great concern to the ACI FMA as this data currently constitutes ESMA’s foundation for defining liquidity and calculating </w:t>
      </w:r>
      <w:r w:rsidR="009B6366" w:rsidRPr="0002192F">
        <w:rPr>
          <w:rFonts w:eastAsia="Times New Roman" w:cs="Times New Roman"/>
          <w:i/>
          <w:lang w:eastAsia="de-DE"/>
        </w:rPr>
        <w:t>Large In Scale (LIS) and Size Specific to The Instrument (SSTI)</w:t>
      </w:r>
      <w:r w:rsidR="009B6366" w:rsidRPr="0002192F">
        <w:rPr>
          <w:i/>
          <w:lang w:eastAsia="de-DE"/>
        </w:rPr>
        <w:t xml:space="preserve"> thresholds.</w:t>
      </w:r>
      <w:r w:rsidR="004F7081" w:rsidRPr="0002192F">
        <w:rPr>
          <w:i/>
          <w:lang w:eastAsia="de-DE"/>
        </w:rPr>
        <w:t xml:space="preserve"> Therefore, based on the CP analysis of data, the ACI FMA cannot confirm agreement of ESMA’s definition/representation of liquid/illiquid markets.</w:t>
      </w:r>
      <w:r w:rsidR="00C008DB" w:rsidRPr="0002192F">
        <w:t xml:space="preserve"> </w:t>
      </w:r>
      <w:r w:rsidR="00C008DB" w:rsidRPr="0002192F">
        <w:rPr>
          <w:i/>
        </w:rPr>
        <w:t>Furthermore,</w:t>
      </w:r>
      <w:r w:rsidR="005B10D6" w:rsidRPr="0002192F">
        <w:rPr>
          <w:i/>
        </w:rPr>
        <w:t xml:space="preserve"> the ACI FMA</w:t>
      </w:r>
      <w:r w:rsidR="00C008DB" w:rsidRPr="0002192F">
        <w:rPr>
          <w:i/>
        </w:rPr>
        <w:t xml:space="preserve"> </w:t>
      </w:r>
      <w:r w:rsidR="005B10D6" w:rsidRPr="0002192F">
        <w:rPr>
          <w:i/>
        </w:rPr>
        <w:t xml:space="preserve">believes that this </w:t>
      </w:r>
      <w:r w:rsidR="00C008DB" w:rsidRPr="0002192F">
        <w:rPr>
          <w:i/>
        </w:rPr>
        <w:t>model for assessing liquidity is</w:t>
      </w:r>
      <w:r w:rsidR="005B10D6" w:rsidRPr="0002192F">
        <w:rPr>
          <w:i/>
        </w:rPr>
        <w:t xml:space="preserve"> too static. We would suggest a</w:t>
      </w:r>
      <w:r w:rsidR="00C008DB" w:rsidRPr="0002192F">
        <w:rPr>
          <w:i/>
        </w:rPr>
        <w:t xml:space="preserve"> </w:t>
      </w:r>
      <w:r w:rsidR="005B10D6" w:rsidRPr="0002192F">
        <w:rPr>
          <w:i/>
        </w:rPr>
        <w:t>recalibration of data and model</w:t>
      </w:r>
      <w:r w:rsidR="00C008DB" w:rsidRPr="0002192F">
        <w:rPr>
          <w:i/>
        </w:rPr>
        <w:t xml:space="preserve"> within</w:t>
      </w:r>
      <w:r w:rsidR="005B10D6" w:rsidRPr="0002192F">
        <w:rPr>
          <w:i/>
        </w:rPr>
        <w:t xml:space="preserve"> the next</w:t>
      </w:r>
      <w:r w:rsidR="00C008DB" w:rsidRPr="0002192F">
        <w:rPr>
          <w:i/>
        </w:rPr>
        <w:t xml:space="preserve"> 6 months and</w:t>
      </w:r>
      <w:r w:rsidR="001534DB" w:rsidRPr="0002192F">
        <w:rPr>
          <w:i/>
        </w:rPr>
        <w:t xml:space="preserve"> thereafter on an annual</w:t>
      </w:r>
      <w:r w:rsidR="00C008DB" w:rsidRPr="0002192F">
        <w:rPr>
          <w:i/>
        </w:rPr>
        <w:t xml:space="preserve"> basis.</w:t>
      </w:r>
      <w:r w:rsidR="00391F93" w:rsidRPr="00391F93">
        <w:rPr>
          <w:u w:val="single"/>
        </w:rPr>
        <w:t xml:space="preserve"> </w:t>
      </w:r>
      <w:r w:rsidR="00391F93" w:rsidRPr="00391F93">
        <w:rPr>
          <w:i/>
        </w:rPr>
        <w:t>Any recalibration</w:t>
      </w:r>
      <w:r w:rsidR="00A80AFD">
        <w:rPr>
          <w:i/>
        </w:rPr>
        <w:t xml:space="preserve"> (methodology)</w:t>
      </w:r>
      <w:r w:rsidR="00391F93" w:rsidRPr="00391F93">
        <w:rPr>
          <w:i/>
        </w:rPr>
        <w:t xml:space="preserve"> will need to </w:t>
      </w:r>
      <w:r w:rsidR="00A80AFD">
        <w:rPr>
          <w:i/>
        </w:rPr>
        <w:t>incorporate/consider market/asset class/instrument impacts</w:t>
      </w:r>
      <w:r w:rsidR="00391F93" w:rsidRPr="00391F93">
        <w:rPr>
          <w:i/>
        </w:rPr>
        <w:t xml:space="preserve"> of the trans</w:t>
      </w:r>
      <w:r w:rsidR="00A80AFD">
        <w:rPr>
          <w:i/>
        </w:rPr>
        <w:t>parency regulation</w:t>
      </w:r>
      <w:r w:rsidR="00391F93" w:rsidRPr="00391F93">
        <w:rPr>
          <w:i/>
        </w:rPr>
        <w:t xml:space="preserve"> i.e. the effects that the introduction of the new EU transparency regime will have on the liquidity of the instruments. </w:t>
      </w:r>
      <w:r w:rsidR="00A80AFD">
        <w:rPr>
          <w:i/>
        </w:rPr>
        <w:t xml:space="preserve">We would also propose that ESMA seek counsel on these ‘Effects’ by </w:t>
      </w:r>
      <w:r w:rsidR="00A80AFD">
        <w:rPr>
          <w:rFonts w:ascii="Calibri" w:hAnsi="Calibri" w:cs="Calibri"/>
          <w:i/>
        </w:rPr>
        <w:t xml:space="preserve">involving </w:t>
      </w:r>
      <w:r w:rsidR="00A80AFD" w:rsidRPr="0002192F">
        <w:rPr>
          <w:rFonts w:ascii="Calibri" w:hAnsi="Calibri" w:cs="Calibri"/>
          <w:i/>
        </w:rPr>
        <w:t xml:space="preserve">expert </w:t>
      </w:r>
      <w:r w:rsidR="00A80AFD">
        <w:rPr>
          <w:rFonts w:ascii="Calibri" w:hAnsi="Calibri" w:cs="Calibri"/>
          <w:i/>
        </w:rPr>
        <w:t xml:space="preserve">practitioner </w:t>
      </w:r>
      <w:r w:rsidR="00A80AFD" w:rsidRPr="0002192F">
        <w:rPr>
          <w:rFonts w:ascii="Calibri" w:hAnsi="Calibri" w:cs="Calibri"/>
          <w:i/>
        </w:rPr>
        <w:t>panel</w:t>
      </w:r>
      <w:r w:rsidR="00A80AFD">
        <w:rPr>
          <w:rFonts w:ascii="Calibri" w:hAnsi="Calibri" w:cs="Calibri"/>
          <w:i/>
        </w:rPr>
        <w:t>s from trade organisations or Regulator practitioner panels.</w:t>
      </w:r>
    </w:p>
    <w:p w:rsidR="009C2412" w:rsidRPr="0002192F" w:rsidRDefault="009C2412" w:rsidP="0002192F">
      <w:pPr>
        <w:pStyle w:val="NoSpacing"/>
      </w:pPr>
    </w:p>
    <w:p w:rsidR="005B7CB0" w:rsidRPr="0002192F" w:rsidRDefault="005B7CB0" w:rsidP="0002192F">
      <w:pPr>
        <w:pStyle w:val="NoSpacing"/>
        <w:rPr>
          <w:u w:val="single"/>
        </w:rPr>
      </w:pPr>
      <w:r w:rsidRPr="0002192F">
        <w:rPr>
          <w:u w:val="single"/>
        </w:rPr>
        <w:t>FX  Market</w:t>
      </w:r>
    </w:p>
    <w:p w:rsidR="005B7CB0" w:rsidRPr="0002192F" w:rsidRDefault="005B7CB0" w:rsidP="0002192F">
      <w:pPr>
        <w:pStyle w:val="NoSpacing"/>
        <w:rPr>
          <w:rFonts w:ascii="Calibri" w:hAnsi="Calibri" w:cs="Calibri"/>
        </w:rPr>
      </w:pPr>
      <w:r w:rsidRPr="0002192F">
        <w:rPr>
          <w:rFonts w:ascii="Calibri" w:hAnsi="Calibri" w:cs="Calibri"/>
        </w:rPr>
        <w:t>With regard to the FX market: The global daily volume of the foreign exchange (FX) markets according to the Bank for International Settlements</w:t>
      </w:r>
      <w:r w:rsidRPr="0002192F">
        <w:rPr>
          <w:rFonts w:ascii="Calibri" w:hAnsi="Calibri" w:cs="Calibri"/>
          <w:sz w:val="14"/>
          <w:szCs w:val="14"/>
        </w:rPr>
        <w:t xml:space="preserve">  </w:t>
      </w:r>
      <w:r w:rsidRPr="0002192F">
        <w:rPr>
          <w:rFonts w:ascii="Calibri" w:hAnsi="Calibri" w:cs="Calibri"/>
        </w:rPr>
        <w:t xml:space="preserve">preliminary global results from the 2013 Triennial Central Bank Survey of Foreign Exchange and OTC Derivatives Markets Activity show that trading in foreign exchange markets averaged $5.3 trillion per day in April 2013. The transmission and exchange of currency is a fundamental financial activity that underpins the world’s economic and commercial system. The specific reasons behind each FX transaction are. However, the principal drivers behind FX activity can be regarded as: </w:t>
      </w:r>
    </w:p>
    <w:p w:rsidR="005B7CB0" w:rsidRPr="0002192F" w:rsidRDefault="005B7CB0" w:rsidP="0002192F">
      <w:pPr>
        <w:pStyle w:val="NoSpacing"/>
        <w:rPr>
          <w:rFonts w:ascii="Calibri" w:hAnsi="Calibri" w:cs="Calibri"/>
        </w:rPr>
      </w:pPr>
    </w:p>
    <w:p w:rsidR="005B7CB0" w:rsidRPr="0002192F" w:rsidRDefault="005B7CB0" w:rsidP="003064BF">
      <w:pPr>
        <w:pStyle w:val="NoSpacing"/>
        <w:numPr>
          <w:ilvl w:val="0"/>
          <w:numId w:val="23"/>
        </w:numPr>
        <w:rPr>
          <w:rFonts w:ascii="Calibri" w:hAnsi="Calibri" w:cs="Calibri"/>
        </w:rPr>
      </w:pPr>
      <w:r w:rsidRPr="0002192F">
        <w:rPr>
          <w:rFonts w:ascii="Calibri" w:hAnsi="Calibri" w:cs="Calibri"/>
        </w:rPr>
        <w:t xml:space="preserve">Commercial - payment for goods and services </w:t>
      </w:r>
    </w:p>
    <w:p w:rsidR="005B7CB0" w:rsidRPr="0002192F" w:rsidRDefault="005B7CB0" w:rsidP="003064BF">
      <w:pPr>
        <w:pStyle w:val="NoSpacing"/>
        <w:numPr>
          <w:ilvl w:val="0"/>
          <w:numId w:val="23"/>
        </w:numPr>
        <w:rPr>
          <w:rFonts w:ascii="Calibri" w:hAnsi="Calibri" w:cs="Calibri"/>
        </w:rPr>
      </w:pPr>
      <w:r w:rsidRPr="0002192F">
        <w:rPr>
          <w:rFonts w:ascii="Calibri" w:hAnsi="Calibri" w:cs="Calibri"/>
        </w:rPr>
        <w:t xml:space="preserve">FDI - to effect foreign direct investment </w:t>
      </w:r>
    </w:p>
    <w:p w:rsidR="005B7CB0" w:rsidRPr="0002192F" w:rsidRDefault="005B7CB0" w:rsidP="003064BF">
      <w:pPr>
        <w:pStyle w:val="NoSpacing"/>
        <w:numPr>
          <w:ilvl w:val="0"/>
          <w:numId w:val="23"/>
        </w:numPr>
        <w:rPr>
          <w:rFonts w:ascii="Calibri" w:hAnsi="Calibri" w:cs="Calibri"/>
        </w:rPr>
      </w:pPr>
      <w:r w:rsidRPr="0002192F">
        <w:rPr>
          <w:rFonts w:ascii="Calibri" w:hAnsi="Calibri" w:cs="Calibri"/>
        </w:rPr>
        <w:t xml:space="preserve">Derived from other financial markets activity i.e. purchase of foreign currency denominated assets – bonds or equities </w:t>
      </w:r>
    </w:p>
    <w:p w:rsidR="005B7CB0" w:rsidRPr="0002192F" w:rsidRDefault="005B7CB0" w:rsidP="003064BF">
      <w:pPr>
        <w:pStyle w:val="NoSpacing"/>
        <w:numPr>
          <w:ilvl w:val="0"/>
          <w:numId w:val="23"/>
        </w:numPr>
        <w:rPr>
          <w:rFonts w:ascii="Calibri" w:hAnsi="Calibri" w:cs="Calibri"/>
        </w:rPr>
      </w:pPr>
      <w:r w:rsidRPr="0002192F">
        <w:rPr>
          <w:rFonts w:ascii="Calibri" w:hAnsi="Calibri" w:cs="Calibri"/>
        </w:rPr>
        <w:t xml:space="preserve">Hedging of portfolio asset ( currency) risk </w:t>
      </w:r>
    </w:p>
    <w:p w:rsidR="005B7CB0" w:rsidRPr="0002192F" w:rsidRDefault="005B7CB0" w:rsidP="003064BF">
      <w:pPr>
        <w:pStyle w:val="NoSpacing"/>
        <w:numPr>
          <w:ilvl w:val="0"/>
          <w:numId w:val="23"/>
        </w:numPr>
        <w:rPr>
          <w:rFonts w:ascii="Calibri" w:hAnsi="Calibri" w:cs="Calibri"/>
        </w:rPr>
      </w:pPr>
      <w:r w:rsidRPr="0002192F">
        <w:rPr>
          <w:rFonts w:ascii="Calibri" w:hAnsi="Calibri" w:cs="Calibri"/>
        </w:rPr>
        <w:t xml:space="preserve">Direct investment in currencies </w:t>
      </w:r>
    </w:p>
    <w:p w:rsidR="005B7CB0" w:rsidRPr="0002192F" w:rsidRDefault="005B7CB0" w:rsidP="0002192F">
      <w:pPr>
        <w:pStyle w:val="NoSpacing"/>
        <w:rPr>
          <w:rFonts w:ascii="Calibri" w:hAnsi="Calibri" w:cs="Calibri"/>
        </w:rPr>
      </w:pPr>
    </w:p>
    <w:p w:rsidR="005B7CB0" w:rsidRPr="0002192F" w:rsidRDefault="005B7CB0" w:rsidP="0002192F">
      <w:pPr>
        <w:pStyle w:val="NoSpacing"/>
      </w:pPr>
      <w:r w:rsidRPr="0002192F">
        <w:t xml:space="preserve">The FX market is primarily an OTC market, which is de-centralised and geographically dispersed by nature with no dominant market venue and operates on a 24 hours basis through diverse time-zones circa 6 days a week. Transactions are bi-lateral, with prices discovered, indicated, quoted and trades executed by/on a variety of trading institutions, venues and electronic platforms – single dealer, multi dealer, retail and internet providers. Buy-side counterparties have access to a broad range of FX instruments (Spot, Forwards (DF &amp; NDF), FX Options (vanilla, complex and exotic deliverable and NDO), currency pairs, maturities and counterparties; therefore enjoy substantial transparency in liquid markets. </w:t>
      </w:r>
    </w:p>
    <w:p w:rsidR="00A15356" w:rsidRPr="0002192F" w:rsidRDefault="00A15356" w:rsidP="0002192F">
      <w:pPr>
        <w:pStyle w:val="NoSpacing"/>
        <w:rPr>
          <w:u w:val="single"/>
        </w:rPr>
      </w:pPr>
    </w:p>
    <w:p w:rsidR="00652C20" w:rsidRPr="0002192F" w:rsidRDefault="00981529" w:rsidP="0002192F">
      <w:pPr>
        <w:pStyle w:val="NoSpacing"/>
        <w:rPr>
          <w:u w:val="single"/>
        </w:rPr>
      </w:pPr>
      <w:r w:rsidRPr="0002192F">
        <w:rPr>
          <w:u w:val="single"/>
        </w:rPr>
        <w:t>ACI Comment on FX Market Liquidity NDF vs DF</w:t>
      </w:r>
      <w:r w:rsidR="00356933">
        <w:rPr>
          <w:u w:val="single"/>
        </w:rPr>
        <w:t xml:space="preserve"> (With reference to Q1 of the Consultation Paper</w:t>
      </w:r>
      <w:r w:rsidR="000A2480">
        <w:rPr>
          <w:u w:val="single"/>
        </w:rPr>
        <w:t>)</w:t>
      </w:r>
    </w:p>
    <w:p w:rsidR="0031491C" w:rsidRDefault="006C54F1" w:rsidP="0002192F">
      <w:pPr>
        <w:pStyle w:val="NoSpacing"/>
      </w:pPr>
      <w:r w:rsidRPr="0002192F">
        <w:t>For many of the cross currency pairs</w:t>
      </w:r>
      <w:r w:rsidR="0031491C" w:rsidRPr="0002192F">
        <w:t xml:space="preserve"> </w:t>
      </w:r>
      <w:r w:rsidR="004345A4" w:rsidRPr="0002192F">
        <w:t>illustrated</w:t>
      </w:r>
      <w:r w:rsidR="0031491C" w:rsidRPr="0002192F">
        <w:t xml:space="preserve"> in the Consultation,</w:t>
      </w:r>
      <w:r w:rsidRPr="0002192F">
        <w:t xml:space="preserve"> liquidity can be and is arrived at by trading the component parts so that the volumes in the actual iterative crosses are not representative of the total prospective liquidity.  </w:t>
      </w:r>
      <w:r w:rsidR="00180723" w:rsidRPr="0002192F">
        <w:t>Z</w:t>
      </w:r>
      <w:r w:rsidRPr="0002192F">
        <w:t xml:space="preserve">one differences make a sizeable difference to the criteria. </w:t>
      </w:r>
      <w:r w:rsidR="005114D4" w:rsidRPr="0002192F">
        <w:t>For example, w</w:t>
      </w:r>
      <w:r w:rsidRPr="0002192F">
        <w:t>hilst there might be consensus the USD CLP is a liquid currency that is surely only the case when Latin America is open.</w:t>
      </w:r>
      <w:r w:rsidR="003D51C2" w:rsidRPr="0002192F">
        <w:t xml:space="preserve"> </w:t>
      </w:r>
      <w:r w:rsidR="00342C71" w:rsidRPr="0002192F">
        <w:t>However, t</w:t>
      </w:r>
      <w:r w:rsidR="001D04D8" w:rsidRPr="0002192F">
        <w:t>he data cap</w:t>
      </w:r>
      <w:r w:rsidR="00342C71" w:rsidRPr="0002192F">
        <w:t>tured for the</w:t>
      </w:r>
      <w:r w:rsidR="00EB45D9" w:rsidRPr="0002192F">
        <w:t xml:space="preserve"> MiFID/R - ESMA LEVEL 2 Consultation on Transparency </w:t>
      </w:r>
      <w:r w:rsidR="0031491C" w:rsidRPr="0002192F">
        <w:t>Requirements is</w:t>
      </w:r>
      <w:r w:rsidR="00342C71" w:rsidRPr="0002192F">
        <w:t>, of nec</w:t>
      </w:r>
      <w:r w:rsidR="00EB45D9" w:rsidRPr="0002192F">
        <w:t>essity, European market centric. T</w:t>
      </w:r>
      <w:r w:rsidR="00342C71" w:rsidRPr="0002192F">
        <w:t xml:space="preserve">herefore, while the liquidity framework may seek to describe only </w:t>
      </w:r>
      <w:r w:rsidR="0031491C" w:rsidRPr="0002192F">
        <w:t xml:space="preserve">the liquidity of </w:t>
      </w:r>
      <w:r w:rsidR="00342C71" w:rsidRPr="0002192F">
        <w:t>the EU portion and</w:t>
      </w:r>
      <w:r w:rsidR="00F404B5" w:rsidRPr="0002192F">
        <w:t xml:space="preserve"> segmentation of those markets</w:t>
      </w:r>
      <w:r w:rsidR="00342C71" w:rsidRPr="0002192F">
        <w:t>, it appears</w:t>
      </w:r>
      <w:r w:rsidR="00EB45D9" w:rsidRPr="0002192F">
        <w:t xml:space="preserve"> potentially</w:t>
      </w:r>
      <w:r w:rsidR="00342C71" w:rsidRPr="0002192F">
        <w:t xml:space="preserve"> to demonstrate</w:t>
      </w:r>
      <w:r w:rsidR="0031491C" w:rsidRPr="0002192F">
        <w:t xml:space="preserve"> a percentage of the market in the European time-zone, rather than the liquidity available. </w:t>
      </w:r>
    </w:p>
    <w:p w:rsidR="000A2480" w:rsidRPr="0002192F" w:rsidRDefault="000A2480" w:rsidP="0002192F">
      <w:pPr>
        <w:pStyle w:val="NoSpacing"/>
      </w:pPr>
    </w:p>
    <w:p w:rsidR="00256FD4" w:rsidRDefault="0031491C" w:rsidP="0002192F">
      <w:pPr>
        <w:pStyle w:val="NoSpacing"/>
        <w:rPr>
          <w:rFonts w:ascii="Calibri" w:hAnsi="Calibri" w:cs="Calibri"/>
        </w:rPr>
      </w:pPr>
      <w:r w:rsidRPr="0002192F">
        <w:rPr>
          <w:rFonts w:ascii="Calibri" w:hAnsi="Calibri" w:cs="Calibri"/>
        </w:rPr>
        <w:t>Furthe</w:t>
      </w:r>
      <w:r w:rsidR="005E1308" w:rsidRPr="0002192F">
        <w:rPr>
          <w:rFonts w:ascii="Calibri" w:hAnsi="Calibri" w:cs="Calibri"/>
        </w:rPr>
        <w:t>rmore, according to the Bank of International Settlements (BIS) 2013 Triennial</w:t>
      </w:r>
      <w:r w:rsidRPr="0002192F">
        <w:rPr>
          <w:rFonts w:ascii="Calibri" w:hAnsi="Calibri" w:cs="Calibri"/>
        </w:rPr>
        <w:t xml:space="preserve"> Central Bank Survey, NDFs constitute only a fifth of the global foreign exchange market in outright forwards and a tiny fraction of overall foreign exchange trading. In fact, NDF volumes at just $127bn/day, represent about 2.7% of the $5.3tn total global FX volumes based on </w:t>
      </w:r>
      <w:hyperlink r:id="rId11" w:tgtFrame="_blank" w:history="1">
        <w:r w:rsidRPr="0002192F">
          <w:rPr>
            <w:rFonts w:ascii="Calibri" w:hAnsi="Calibri" w:cs="Calibri"/>
          </w:rPr>
          <w:t>BIS 2013 Triennial FX Survey data</w:t>
        </w:r>
      </w:hyperlink>
      <w:r w:rsidRPr="0002192F">
        <w:rPr>
          <w:rFonts w:ascii="Calibri" w:hAnsi="Calibri" w:cs="Calibri"/>
        </w:rPr>
        <w:t xml:space="preserve">, with London accounting for some $43bn/day which is about 34% of NDF trading. </w:t>
      </w:r>
      <w:r w:rsidR="00E8223A" w:rsidRPr="0002192F">
        <w:rPr>
          <w:rFonts w:ascii="Calibri" w:hAnsi="Calibri" w:cs="Calibri"/>
        </w:rPr>
        <w:t>The Bank of England Survey 2014 indicat</w:t>
      </w:r>
      <w:r w:rsidR="004345A4" w:rsidRPr="0002192F">
        <w:rPr>
          <w:rFonts w:ascii="Calibri" w:hAnsi="Calibri" w:cs="Calibri"/>
        </w:rPr>
        <w:t xml:space="preserve">ed that </w:t>
      </w:r>
      <w:r w:rsidR="00FD36D0" w:rsidRPr="0002192F">
        <w:rPr>
          <w:rFonts w:ascii="Calibri" w:hAnsi="Calibri" w:cs="Calibri"/>
        </w:rPr>
        <w:t>NDF</w:t>
      </w:r>
      <w:r w:rsidR="00E8223A" w:rsidRPr="0002192F">
        <w:rPr>
          <w:rFonts w:ascii="Calibri" w:hAnsi="Calibri" w:cs="Calibri"/>
        </w:rPr>
        <w:t xml:space="preserve"> volumes amounted $55bn/day vers</w:t>
      </w:r>
      <w:r w:rsidR="00652C20" w:rsidRPr="0002192F">
        <w:rPr>
          <w:rFonts w:ascii="Calibri" w:hAnsi="Calibri" w:cs="Calibri"/>
        </w:rPr>
        <w:t>us $1398bn/day of DFs (swaps+ outright forwards</w:t>
      </w:r>
      <w:r w:rsidR="00E8223A" w:rsidRPr="0002192F">
        <w:rPr>
          <w:rFonts w:ascii="Calibri" w:hAnsi="Calibri" w:cs="Calibri"/>
        </w:rPr>
        <w:t>)</w:t>
      </w:r>
      <w:r w:rsidR="00981529" w:rsidRPr="0002192F">
        <w:rPr>
          <w:rFonts w:ascii="Calibri" w:hAnsi="Calibri" w:cs="Calibri"/>
        </w:rPr>
        <w:t>. It should be noted that ESMA referenced the BIS data in the November, 2014 Consultation on Mandatory Clearing for NDFs.</w:t>
      </w:r>
    </w:p>
    <w:p w:rsidR="003064BF" w:rsidRPr="0002192F" w:rsidRDefault="003064BF" w:rsidP="0002192F">
      <w:pPr>
        <w:pStyle w:val="NoSpacing"/>
        <w:rPr>
          <w:rFonts w:ascii="Calibri" w:hAnsi="Calibri" w:cs="Calibri"/>
          <w:b/>
        </w:rPr>
      </w:pPr>
    </w:p>
    <w:p w:rsidR="004345A4" w:rsidRDefault="00F404B5" w:rsidP="0002192F">
      <w:pPr>
        <w:pStyle w:val="NoSpacing"/>
        <w:rPr>
          <w:i/>
        </w:rPr>
      </w:pPr>
      <w:r w:rsidRPr="0002192F">
        <w:rPr>
          <w:rFonts w:ascii="Calibri" w:hAnsi="Calibri" w:cs="Calibri"/>
        </w:rPr>
        <w:t>The ACI FMA</w:t>
      </w:r>
      <w:r w:rsidR="005426C4" w:rsidRPr="0002192F">
        <w:rPr>
          <w:rFonts w:ascii="Calibri" w:hAnsi="Calibri" w:cs="Calibri"/>
        </w:rPr>
        <w:t xml:space="preserve"> </w:t>
      </w:r>
      <w:r w:rsidR="004F7081" w:rsidRPr="0002192F">
        <w:rPr>
          <w:rFonts w:ascii="Calibri" w:hAnsi="Calibri" w:cs="Calibri"/>
        </w:rPr>
        <w:t xml:space="preserve">further </w:t>
      </w:r>
      <w:r w:rsidR="001E704C" w:rsidRPr="0002192F">
        <w:rPr>
          <w:rFonts w:ascii="Calibri" w:hAnsi="Calibri" w:cs="Calibri"/>
        </w:rPr>
        <w:t xml:space="preserve">notes that </w:t>
      </w:r>
      <w:r w:rsidR="004345A4" w:rsidRPr="0002192F">
        <w:rPr>
          <w:rFonts w:ascii="Calibri" w:hAnsi="Calibri" w:cs="Calibri"/>
        </w:rPr>
        <w:t>in the i</w:t>
      </w:r>
      <w:r w:rsidR="001E704C" w:rsidRPr="0002192F">
        <w:rPr>
          <w:rFonts w:ascii="Calibri" w:hAnsi="Calibri" w:cs="Calibri"/>
        </w:rPr>
        <w:t>ntroduction on pages 15/16 the percentage of trades deemed a</w:t>
      </w:r>
      <w:r w:rsidR="0085270C" w:rsidRPr="0002192F">
        <w:rPr>
          <w:rFonts w:ascii="Calibri" w:hAnsi="Calibri" w:cs="Calibri"/>
        </w:rPr>
        <w:t>s </w:t>
      </w:r>
      <w:r w:rsidR="001E704C" w:rsidRPr="0002192F">
        <w:rPr>
          <w:rFonts w:ascii="Calibri" w:hAnsi="Calibri" w:cs="Calibri"/>
        </w:rPr>
        <w:t>forwards and swaps in deliverable currencies looks much too low against the NDF data.</w:t>
      </w:r>
      <w:r w:rsidR="009D4A5A" w:rsidRPr="0002192F">
        <w:rPr>
          <w:rFonts w:ascii="Calibri" w:hAnsi="Calibri" w:cs="Calibri"/>
        </w:rPr>
        <w:t xml:space="preserve"> Also, we </w:t>
      </w:r>
      <w:r w:rsidR="00A37C23" w:rsidRPr="0002192F">
        <w:rPr>
          <w:rFonts w:ascii="Calibri" w:hAnsi="Calibri" w:cs="Calibri"/>
        </w:rPr>
        <w:t>see no evidence that the analysi</w:t>
      </w:r>
      <w:r w:rsidR="009D4A5A" w:rsidRPr="0002192F">
        <w:rPr>
          <w:rFonts w:ascii="Calibri" w:hAnsi="Calibri" w:cs="Calibri"/>
        </w:rPr>
        <w:t>s</w:t>
      </w:r>
      <w:r w:rsidR="00ED4A62" w:rsidRPr="0002192F">
        <w:rPr>
          <w:rFonts w:ascii="Calibri" w:hAnsi="Calibri" w:cs="Calibri"/>
        </w:rPr>
        <w:t xml:space="preserve"> </w:t>
      </w:r>
      <w:r w:rsidR="009D4A5A" w:rsidRPr="0002192F">
        <w:rPr>
          <w:rFonts w:ascii="Calibri" w:hAnsi="Calibri" w:cs="Calibri"/>
        </w:rPr>
        <w:t>has taken</w:t>
      </w:r>
      <w:r w:rsidR="009D4A5A" w:rsidRPr="0002192F">
        <w:t xml:space="preserve"> data such as the number and type of market participants, as well as the average size of spreads into consideration</w:t>
      </w:r>
      <w:r w:rsidR="00A37C23" w:rsidRPr="0002192F">
        <w:t xml:space="preserve"> when discerning liquidity</w:t>
      </w:r>
      <w:r w:rsidR="009D4A5A" w:rsidRPr="0002192F">
        <w:t xml:space="preserve">. </w:t>
      </w:r>
      <w:r w:rsidR="009D4A5A" w:rsidRPr="0002192F">
        <w:rPr>
          <w:rFonts w:ascii="Calibri" w:hAnsi="Calibri" w:cs="Calibri"/>
        </w:rPr>
        <w:t xml:space="preserve"> In comparison, the CP data</w:t>
      </w:r>
      <w:r w:rsidR="0085270C" w:rsidRPr="0002192F">
        <w:rPr>
          <w:rFonts w:ascii="Calibri" w:hAnsi="Calibri" w:cs="Calibri"/>
        </w:rPr>
        <w:t xml:space="preserve"> differs radically from the data illustrated in both the BIS and Bank of England surveys</w:t>
      </w:r>
      <w:r w:rsidR="005E1308" w:rsidRPr="0002192F">
        <w:rPr>
          <w:rFonts w:ascii="Calibri" w:hAnsi="Calibri" w:cs="Calibri"/>
        </w:rPr>
        <w:t xml:space="preserve"> of 2014 mentioned above</w:t>
      </w:r>
      <w:r w:rsidR="003064BF">
        <w:rPr>
          <w:rFonts w:ascii="Calibri" w:hAnsi="Calibri" w:cs="Calibri"/>
        </w:rPr>
        <w:t>.</w:t>
      </w:r>
      <w:r w:rsidR="00055943">
        <w:rPr>
          <w:rFonts w:ascii="Calibri" w:hAnsi="Calibri" w:cs="Calibri"/>
        </w:rPr>
        <w:t xml:space="preserve"> </w:t>
      </w:r>
      <w:r w:rsidR="00A67523" w:rsidRPr="0002192F">
        <w:rPr>
          <w:i/>
        </w:rPr>
        <w:t>The inference from the ESMA Consultation data is that the Non-Deliverable-Forwards (NDFs) market is significant in size, where</w:t>
      </w:r>
      <w:r w:rsidR="00683C1F" w:rsidRPr="0002192F">
        <w:rPr>
          <w:i/>
        </w:rPr>
        <w:t>as</w:t>
      </w:r>
      <w:r w:rsidR="00A67523" w:rsidRPr="0002192F">
        <w:rPr>
          <w:i/>
        </w:rPr>
        <w:t xml:space="preserve"> it actually represents appro</w:t>
      </w:r>
      <w:r w:rsidR="00683C1F" w:rsidRPr="0002192F">
        <w:rPr>
          <w:i/>
        </w:rPr>
        <w:t>ximately 4% of non-spot marke</w:t>
      </w:r>
      <w:r w:rsidR="00CA49A0" w:rsidRPr="0002192F">
        <w:rPr>
          <w:i/>
        </w:rPr>
        <w:t xml:space="preserve">ts </w:t>
      </w:r>
      <w:r w:rsidR="00B27251" w:rsidRPr="0002192F">
        <w:rPr>
          <w:i/>
        </w:rPr>
        <w:t xml:space="preserve">(Bank of England </w:t>
      </w:r>
      <w:r w:rsidR="00B27251" w:rsidRPr="0002192F">
        <w:rPr>
          <w:bCs/>
          <w:i/>
        </w:rPr>
        <w:t>Oct 2014 Semi-Annual FX Survey)</w:t>
      </w:r>
      <w:r w:rsidR="000C0FF0" w:rsidRPr="0002192F">
        <w:rPr>
          <w:i/>
        </w:rPr>
        <w:t>. Therefore t</w:t>
      </w:r>
      <w:r w:rsidR="00CA49A0" w:rsidRPr="0002192F">
        <w:rPr>
          <w:i/>
        </w:rPr>
        <w:t>he ACI FMA would advocate</w:t>
      </w:r>
      <w:r w:rsidR="00683C1F" w:rsidRPr="0002192F">
        <w:rPr>
          <w:i/>
        </w:rPr>
        <w:t xml:space="preserve"> that NDFs</w:t>
      </w:r>
      <w:r w:rsidR="00165C10" w:rsidRPr="0002192F">
        <w:rPr>
          <w:i/>
        </w:rPr>
        <w:t>, per se, be categorised as</w:t>
      </w:r>
      <w:r w:rsidR="00683C1F" w:rsidRPr="0002192F">
        <w:rPr>
          <w:i/>
        </w:rPr>
        <w:t xml:space="preserve"> illiquid</w:t>
      </w:r>
      <w:r w:rsidR="00165C10" w:rsidRPr="0002192F">
        <w:rPr>
          <w:i/>
        </w:rPr>
        <w:t>.</w:t>
      </w:r>
    </w:p>
    <w:p w:rsidR="003064BF" w:rsidRPr="0002192F" w:rsidRDefault="003064BF" w:rsidP="0002192F">
      <w:pPr>
        <w:pStyle w:val="NoSpacing"/>
        <w:rPr>
          <w:i/>
        </w:rPr>
      </w:pPr>
    </w:p>
    <w:p w:rsidR="00981529" w:rsidRPr="0002192F" w:rsidRDefault="00981529" w:rsidP="0002192F">
      <w:pPr>
        <w:pStyle w:val="NoSpacing"/>
        <w:rPr>
          <w:rFonts w:ascii="Calibri" w:hAnsi="Calibri" w:cs="Calibri"/>
          <w:b/>
        </w:rPr>
      </w:pPr>
      <w:r w:rsidRPr="0002192F">
        <w:rPr>
          <w:rFonts w:ascii="Calibri" w:hAnsi="Calibri" w:cs="Calibri"/>
        </w:rPr>
        <w:t xml:space="preserve">Further consideration of the </w:t>
      </w:r>
      <w:r w:rsidR="00AE73E0" w:rsidRPr="0002192F">
        <w:rPr>
          <w:rFonts w:ascii="Calibri" w:hAnsi="Calibri" w:cs="Calibri"/>
        </w:rPr>
        <w:t xml:space="preserve">FX </w:t>
      </w:r>
      <w:r w:rsidRPr="0002192F">
        <w:rPr>
          <w:rFonts w:ascii="Calibri" w:hAnsi="Calibri" w:cs="Calibri"/>
        </w:rPr>
        <w:t xml:space="preserve">data tables presented </w:t>
      </w:r>
      <w:r w:rsidR="00AE73E0" w:rsidRPr="0002192F">
        <w:rPr>
          <w:rFonts w:ascii="Calibri" w:hAnsi="Calibri" w:cs="Calibri"/>
        </w:rPr>
        <w:t>in the Consultation paper, revealed a number of anomalies, which are of concern to the ACI FMA:</w:t>
      </w:r>
    </w:p>
    <w:p w:rsidR="005C0EA9" w:rsidRPr="0002192F" w:rsidRDefault="00AE73E0" w:rsidP="003064BF">
      <w:pPr>
        <w:pStyle w:val="NoSpacing"/>
        <w:numPr>
          <w:ilvl w:val="0"/>
          <w:numId w:val="24"/>
        </w:numPr>
      </w:pPr>
      <w:r w:rsidRPr="0002192F">
        <w:t xml:space="preserve">Inclusion of non-deliverable currency crosses within the DF bucket e.g. </w:t>
      </w:r>
      <w:r w:rsidR="00E33B12" w:rsidRPr="0002192F">
        <w:t>CNH</w:t>
      </w:r>
      <w:r w:rsidRPr="0002192F">
        <w:t>/USD, EUR/RUB, INR/USD</w:t>
      </w:r>
      <w:r w:rsidR="005C0EA9" w:rsidRPr="0002192F">
        <w:t xml:space="preserve"> as well as a large proportion of instruments that typically are not deemed liquid (e.g. non-USD crosses) in the normal course of trading have been categorized as liquid by ESMA.  </w:t>
      </w:r>
    </w:p>
    <w:p w:rsidR="00AE73E0" w:rsidRPr="0002192F" w:rsidRDefault="00AE73E0" w:rsidP="0002192F">
      <w:pPr>
        <w:pStyle w:val="NoSpacing"/>
      </w:pPr>
    </w:p>
    <w:p w:rsidR="00A67523" w:rsidRPr="0002192F" w:rsidRDefault="00A67523" w:rsidP="0002192F">
      <w:pPr>
        <w:pStyle w:val="NoSpacing"/>
      </w:pPr>
      <w:r w:rsidRPr="0002192F">
        <w:t>In particular, we note that</w:t>
      </w:r>
      <w:r w:rsidRPr="0002192F">
        <w:rPr>
          <w:rFonts w:eastAsiaTheme="minorEastAsia"/>
          <w:szCs w:val="20"/>
        </w:rPr>
        <w:t xml:space="preserve">, </w:t>
      </w:r>
      <w:r w:rsidRPr="0002192F">
        <w:t>under Table 48 of draft RTS 9 (FX NDF Liquid Classes), COP-USD pair with a tenor from 4 days to 7 days is considered liquid and the Large-In-Scale (LIS) threshold</w:t>
      </w:r>
      <w:r w:rsidR="00683C1F" w:rsidRPr="0002192F">
        <w:t xml:space="preserve">s are set at a </w:t>
      </w:r>
      <w:r w:rsidRPr="0002192F">
        <w:t xml:space="preserve"> €700 million, which is greater than the average daily volume for that market.  </w:t>
      </w:r>
      <w:r w:rsidR="00CA49A0" w:rsidRPr="0002192F">
        <w:rPr>
          <w:i/>
        </w:rPr>
        <w:t>The ACI FMA would propose that some LIS thresholds need re-calibrating/re-consideration</w:t>
      </w:r>
      <w:r w:rsidR="00B27251" w:rsidRPr="0002192F">
        <w:rPr>
          <w:i/>
        </w:rPr>
        <w:t xml:space="preserve"> </w:t>
      </w:r>
      <w:r w:rsidR="00CA49A0" w:rsidRPr="0002192F">
        <w:rPr>
          <w:i/>
        </w:rPr>
        <w:t>as they appear unrealistic</w:t>
      </w:r>
      <w:r w:rsidR="00CA49A0" w:rsidRPr="0002192F">
        <w:t>. (see below</w:t>
      </w:r>
      <w:r w:rsidR="00CA49A0" w:rsidRPr="0002192F">
        <w:rPr>
          <w:i/>
        </w:rPr>
        <w:t>)</w:t>
      </w:r>
      <w:r w:rsidR="00B27251" w:rsidRPr="0002192F">
        <w:rPr>
          <w:i/>
        </w:rPr>
        <w:t>. Alternatively the calibration methodology needs revision?</w:t>
      </w:r>
    </w:p>
    <w:p w:rsidR="00A67523" w:rsidRPr="0002192F" w:rsidRDefault="00A67523" w:rsidP="0002192F">
      <w:pPr>
        <w:pStyle w:val="NoSpacing"/>
      </w:pPr>
    </w:p>
    <w:p w:rsidR="00A67523" w:rsidRPr="007F3A67" w:rsidRDefault="00AE73E0" w:rsidP="00621179">
      <w:pPr>
        <w:pStyle w:val="NoSpacing"/>
        <w:numPr>
          <w:ilvl w:val="0"/>
          <w:numId w:val="24"/>
        </w:numPr>
        <w:rPr>
          <w:b/>
          <w:bCs/>
        </w:rPr>
      </w:pPr>
      <w:r w:rsidRPr="0002192F">
        <w:rPr>
          <w:bCs/>
        </w:rPr>
        <w:t>Inclusion o</w:t>
      </w:r>
      <w:r w:rsidR="00A67523" w:rsidRPr="0002192F">
        <w:rPr>
          <w:bCs/>
        </w:rPr>
        <w:t>f precious metals in the analysi</w:t>
      </w:r>
      <w:r w:rsidRPr="0002192F">
        <w:rPr>
          <w:bCs/>
        </w:rPr>
        <w:t xml:space="preserve">s, particularly for Foreign Exchange (FX) derivatives. </w:t>
      </w:r>
    </w:p>
    <w:p w:rsidR="007F3A67" w:rsidRPr="0002192F" w:rsidRDefault="007F3A67" w:rsidP="007F3A67">
      <w:pPr>
        <w:pStyle w:val="NoSpacing"/>
        <w:ind w:left="720"/>
        <w:rPr>
          <w:b/>
          <w:bCs/>
        </w:rPr>
      </w:pPr>
    </w:p>
    <w:p w:rsidR="00652C20" w:rsidRDefault="00AE73E0" w:rsidP="0002192F">
      <w:pPr>
        <w:pStyle w:val="NoSpacing"/>
        <w:rPr>
          <w:bCs/>
          <w:i/>
        </w:rPr>
      </w:pPr>
      <w:r w:rsidRPr="0002192F">
        <w:rPr>
          <w:bCs/>
        </w:rPr>
        <w:t>For example, under Table 48 of draft RTS 9 (FX NDF Liquid Classes) USD-XAU is included as a liquid class of NDFs. The XAU symbol is representative of Gold, which is not a currency</w:t>
      </w:r>
      <w:r w:rsidR="00652C20" w:rsidRPr="0002192F">
        <w:rPr>
          <w:bCs/>
        </w:rPr>
        <w:t>, rather a commodity</w:t>
      </w:r>
      <w:r w:rsidR="00A67523" w:rsidRPr="0002192F">
        <w:rPr>
          <w:bCs/>
        </w:rPr>
        <w:t xml:space="preserve">. </w:t>
      </w:r>
      <w:r w:rsidR="00A67523" w:rsidRPr="0002192F">
        <w:rPr>
          <w:bCs/>
          <w:i/>
        </w:rPr>
        <w:t>Therefore, we would suggest that</w:t>
      </w:r>
      <w:r w:rsidR="00A67523" w:rsidRPr="0002192F">
        <w:rPr>
          <w:rFonts w:eastAsiaTheme="minorEastAsia"/>
          <w:i/>
          <w:szCs w:val="20"/>
        </w:rPr>
        <w:t xml:space="preserve"> </w:t>
      </w:r>
      <w:r w:rsidR="00A67523" w:rsidRPr="0002192F">
        <w:rPr>
          <w:bCs/>
          <w:i/>
        </w:rPr>
        <w:t>contracts relating to precious metals should, for good order’s sake and in order to avoid any duplication of regulatory treatment, be included in the ESMA assessment of Commodity Derivatives.</w:t>
      </w:r>
    </w:p>
    <w:p w:rsidR="00621179" w:rsidRPr="0002192F" w:rsidRDefault="00621179" w:rsidP="0002192F">
      <w:pPr>
        <w:pStyle w:val="NoSpacing"/>
        <w:rPr>
          <w:b/>
          <w:bCs/>
          <w:i/>
        </w:rPr>
      </w:pPr>
    </w:p>
    <w:p w:rsidR="00590714" w:rsidRPr="0002192F" w:rsidRDefault="005C0EA9" w:rsidP="00621179">
      <w:pPr>
        <w:pStyle w:val="NoSpacing"/>
        <w:numPr>
          <w:ilvl w:val="0"/>
          <w:numId w:val="24"/>
        </w:numPr>
        <w:rPr>
          <w:bCs/>
        </w:rPr>
      </w:pPr>
      <w:r w:rsidRPr="0002192F">
        <w:rPr>
          <w:bCs/>
        </w:rPr>
        <w:t>Inclusion of deliverable currency crosses within the NDF category</w:t>
      </w:r>
      <w:r w:rsidR="00590714" w:rsidRPr="0002192F">
        <w:rPr>
          <w:bCs/>
        </w:rPr>
        <w:t>,</w:t>
      </w:r>
      <w:r w:rsidR="00590714" w:rsidRPr="0002192F">
        <w:rPr>
          <w:rFonts w:eastAsia="Times New Roman" w:cs="Times New Roman"/>
          <w:bCs/>
          <w:lang w:eastAsia="en-GB"/>
        </w:rPr>
        <w:t xml:space="preserve"> which rarely or  never trade as non-deliverable forwards – therefore categorising them as illiquid</w:t>
      </w:r>
    </w:p>
    <w:p w:rsidR="00673914" w:rsidRPr="0002192F" w:rsidRDefault="00673914" w:rsidP="0002192F">
      <w:pPr>
        <w:pStyle w:val="NoSpacing"/>
        <w:rPr>
          <w:rFonts w:eastAsia="Times New Roman" w:cs="Times New Roman"/>
          <w:bCs/>
          <w:lang w:eastAsia="en-GB"/>
        </w:rPr>
      </w:pPr>
    </w:p>
    <w:p w:rsidR="00673914" w:rsidRPr="0002192F" w:rsidRDefault="00673914" w:rsidP="0002192F">
      <w:pPr>
        <w:pStyle w:val="NoSpacing"/>
        <w:rPr>
          <w:lang w:eastAsia="en-GB"/>
        </w:rPr>
      </w:pPr>
      <w:r w:rsidRPr="0002192F">
        <w:rPr>
          <w:lang w:eastAsia="en-GB"/>
        </w:rPr>
        <w:t xml:space="preserve">A consideration for the </w:t>
      </w:r>
      <w:r w:rsidRPr="0002192F">
        <w:rPr>
          <w:bCs/>
        </w:rPr>
        <w:t>inclusion of deliverable currency crosses within the NDF category</w:t>
      </w:r>
      <w:r w:rsidRPr="0002192F">
        <w:rPr>
          <w:lang w:eastAsia="en-GB"/>
        </w:rPr>
        <w:t xml:space="preserve"> is the potential for regulatory arbitrage.  Regulatory reform is rendered moot where market rules can be easily avoided by the substitution of economically identical unregulated transactions.  Multiple possibilities are demonstrated in the data presented.  Some of these are of a ‘plug and play’ nature, such as the substitution of spot or deliverable forward currency pair transactions for NDFs.  This is a simple adjustment for the many contracts in underlying deliverable major currencies, such as AUD/JPY, which counterparties elect to trade on an NDF basis. The ESMA report data on NDFs reveal that a substantial percentage of contracts that are categorized as liquid NDFs fall within this category, and the majority of those in the 1 to 3 month maturity range.  Not only could NDF clearing requirements be easily avoided by reliance on the much more liquid existing spot or deliverable forward market for such pairs, but the inclusion of these contracts in the data introduces considerable distortion in the calculation of threshold volumes.  This is especially of concern because the users of such ‘elective ‘NDFs tend to </w:t>
      </w:r>
      <w:r w:rsidR="00621179">
        <w:rPr>
          <w:lang w:eastAsia="en-GB"/>
        </w:rPr>
        <w:t xml:space="preserve">be non-financial counterparties, </w:t>
      </w:r>
      <w:r w:rsidRPr="0002192F">
        <w:rPr>
          <w:lang w:eastAsia="en-GB"/>
        </w:rPr>
        <w:t xml:space="preserve">who are doing so for hedging purposes.  </w:t>
      </w:r>
    </w:p>
    <w:p w:rsidR="00970972" w:rsidRPr="0002192F" w:rsidRDefault="00970972" w:rsidP="0002192F">
      <w:pPr>
        <w:pStyle w:val="NoSpacing"/>
        <w:rPr>
          <w:lang w:eastAsia="en-GB"/>
        </w:rPr>
      </w:pPr>
    </w:p>
    <w:p w:rsidR="00970972" w:rsidRPr="0002192F" w:rsidRDefault="00970972" w:rsidP="0002192F">
      <w:pPr>
        <w:pStyle w:val="NoSpacing"/>
        <w:rPr>
          <w:u w:val="single"/>
        </w:rPr>
      </w:pPr>
      <w:r w:rsidRPr="0002192F">
        <w:rPr>
          <w:u w:val="single"/>
        </w:rPr>
        <w:t>ACI FMA comment on FXO</w:t>
      </w:r>
      <w:r w:rsidR="00356933">
        <w:rPr>
          <w:u w:val="single"/>
        </w:rPr>
        <w:t xml:space="preserve"> (With reference to Q1 of the Consultation Paper)</w:t>
      </w:r>
    </w:p>
    <w:p w:rsidR="00970972" w:rsidRPr="0002192F" w:rsidRDefault="00970972" w:rsidP="0002192F">
      <w:pPr>
        <w:pStyle w:val="NoSpacing"/>
        <w:rPr>
          <w:i/>
        </w:rPr>
      </w:pPr>
      <w:r w:rsidRPr="0002192F">
        <w:t>From the BIS</w:t>
      </w:r>
      <w:r w:rsidR="000C0FF0" w:rsidRPr="0002192F">
        <w:t xml:space="preserve"> </w:t>
      </w:r>
      <w:r w:rsidRPr="0002192F">
        <w:t>2013 Triennial Central Bank Survey, it is proposed that FX options represent 9% of the total market volume and 13% of the UK FX Market (</w:t>
      </w:r>
      <w:r w:rsidRPr="0002192F">
        <w:rPr>
          <w:bCs/>
        </w:rPr>
        <w:t>BoE Oct 2014 Semi-Annual FX Survey)</w:t>
      </w:r>
      <w:r w:rsidRPr="0002192F">
        <w:t xml:space="preserve">, of which, according to market intelligence, FX complex exotic options, represent approximately 2% of the FX market.  </w:t>
      </w:r>
      <w:r w:rsidRPr="0002192F">
        <w:rPr>
          <w:i/>
        </w:rPr>
        <w:t>The ACI FMA’s observation is that FX Options, whether exotic or generic, should be regarded as illiquid.</w:t>
      </w:r>
    </w:p>
    <w:p w:rsidR="00673914" w:rsidRPr="0002192F" w:rsidRDefault="00673914" w:rsidP="0002192F">
      <w:pPr>
        <w:pStyle w:val="NoSpacing"/>
        <w:rPr>
          <w:rFonts w:ascii="Cambria" w:eastAsia="Cambria" w:hAnsi="Cambria" w:cs="Times New Roman"/>
          <w:sz w:val="24"/>
          <w:szCs w:val="24"/>
        </w:rPr>
      </w:pPr>
    </w:p>
    <w:p w:rsidR="00590714" w:rsidRPr="0002192F" w:rsidRDefault="003F444A" w:rsidP="0002192F">
      <w:pPr>
        <w:pStyle w:val="NoSpacing"/>
        <w:rPr>
          <w:bCs/>
          <w:u w:val="single"/>
        </w:rPr>
      </w:pPr>
      <w:r w:rsidRPr="0002192F">
        <w:rPr>
          <w:bCs/>
          <w:u w:val="single"/>
        </w:rPr>
        <w:t>Concentration of Liquidity by Maturity</w:t>
      </w:r>
    </w:p>
    <w:p w:rsidR="005C0EA9" w:rsidRPr="0002192F" w:rsidRDefault="00590714" w:rsidP="0002192F">
      <w:pPr>
        <w:pStyle w:val="NoSpacing"/>
      </w:pPr>
      <w:r w:rsidRPr="0002192F">
        <w:t>With regard to the tenors and transaction maturities, analysis of the BIS Data, as contained within the ESMA Consultation document on Clearing of NDFs of November,2014, confirmed that for all currencies, deliverable or otherwise, the turnover was concentrated for contracts with a maturity below 1 year. The average turnover across currencies of FX forward contracts with a maturity above 1 year was 4.7%. Additionally, the November 2014 Consultation documentation referenced analysis of DTCC data (NDF only). This dataset revealed that the liquidity was concentrated on the shortest maturities. For all currencies except CNY, 90% of the contracts in the sample had a maturity below 3 months, 98% of the contracts in the sample had a maturity below 6 months. The share of contracts with a maturity above one year was around 1%, again with the exception of CNY where it reached 2.8%.</w:t>
      </w:r>
    </w:p>
    <w:p w:rsidR="000C0FF0" w:rsidRPr="0002192F" w:rsidRDefault="000C0FF0" w:rsidP="0002192F">
      <w:pPr>
        <w:pStyle w:val="NoSpacing"/>
        <w:rPr>
          <w:b/>
        </w:rPr>
      </w:pPr>
    </w:p>
    <w:p w:rsidR="00970972" w:rsidRPr="00CB5A2A" w:rsidRDefault="00446F97" w:rsidP="0002192F">
      <w:pPr>
        <w:pStyle w:val="NoSpacing"/>
        <w:rPr>
          <w:i/>
        </w:rPr>
      </w:pPr>
      <w:r w:rsidRPr="0002192F">
        <w:t>Using the BoE October 2014 data, the liquidity concentration is focussed in the 1-6 month bucket</w:t>
      </w:r>
      <w:r w:rsidR="003F444A" w:rsidRPr="0002192F">
        <w:t>, whereby the BIS data presents a maturity bucket of &gt;7 days &lt; 1 year.</w:t>
      </w:r>
      <w:r w:rsidRPr="0002192F">
        <w:t xml:space="preserve"> </w:t>
      </w:r>
      <w:r w:rsidR="003F444A" w:rsidRPr="0002192F">
        <w:t>H</w:t>
      </w:r>
      <w:r w:rsidRPr="0002192F">
        <w:t xml:space="preserve">owever, </w:t>
      </w:r>
      <w:r w:rsidR="000C0FF0" w:rsidRPr="0002192F">
        <w:t xml:space="preserve">whilst difficult, and subject to considerable debate, a more simple criteria of what is or is not a liquid currency is a recommendation </w:t>
      </w:r>
      <w:r w:rsidR="003F444A" w:rsidRPr="0002192F">
        <w:t xml:space="preserve">based on </w:t>
      </w:r>
      <w:r w:rsidR="006F4A27" w:rsidRPr="0002192F">
        <w:t>market intelligence from</w:t>
      </w:r>
      <w:r w:rsidR="00970972" w:rsidRPr="0002192F">
        <w:t xml:space="preserve"> and discussion with</w:t>
      </w:r>
      <w:r w:rsidR="006F4A27" w:rsidRPr="0002192F">
        <w:t xml:space="preserve"> the ACI membe</w:t>
      </w:r>
      <w:r w:rsidR="000C0FF0" w:rsidRPr="0002192F">
        <w:t xml:space="preserve">rs. </w:t>
      </w:r>
      <w:r w:rsidR="000C0FF0" w:rsidRPr="0002192F">
        <w:rPr>
          <w:i/>
        </w:rPr>
        <w:t>W</w:t>
      </w:r>
      <w:r w:rsidR="006F4A27" w:rsidRPr="0002192F">
        <w:rPr>
          <w:i/>
        </w:rPr>
        <w:t xml:space="preserve">e </w:t>
      </w:r>
      <w:r w:rsidR="00970972" w:rsidRPr="0002192F">
        <w:rPr>
          <w:i/>
        </w:rPr>
        <w:t xml:space="preserve">would propose the following for the determination </w:t>
      </w:r>
      <w:r w:rsidR="000C0FF0" w:rsidRPr="0002192F">
        <w:rPr>
          <w:i/>
        </w:rPr>
        <w:t xml:space="preserve">of maturity vs liquidity - </w:t>
      </w:r>
      <w:r w:rsidR="00970972" w:rsidRPr="0002192F">
        <w:rPr>
          <w:i/>
        </w:rPr>
        <w:t>all major currencies against the US$ and Euro up to one year and all minor currencies against the US$ up to 6 months (with minor Europeans against the Euro also) would appear to encapsulate what is trying</w:t>
      </w:r>
      <w:r w:rsidR="000C0FF0" w:rsidRPr="0002192F">
        <w:rPr>
          <w:i/>
        </w:rPr>
        <w:t xml:space="preserve"> to be achieved by this CP</w:t>
      </w:r>
      <w:r w:rsidR="00970972" w:rsidRPr="0002192F">
        <w:rPr>
          <w:i/>
        </w:rPr>
        <w:t xml:space="preserve">. </w:t>
      </w:r>
      <w:r w:rsidR="009D4A5A" w:rsidRPr="0002192F">
        <w:rPr>
          <w:i/>
        </w:rPr>
        <w:t xml:space="preserve">Additionally, </w:t>
      </w:r>
      <w:r w:rsidR="00970972" w:rsidRPr="0002192F">
        <w:rPr>
          <w:i/>
        </w:rPr>
        <w:t>The only other definition is that for minor currencies and/or NDFs the definition of liquidity would only encompass the times those centres are open</w:t>
      </w:r>
      <w:r w:rsidR="00621179" w:rsidRPr="006D28A2">
        <w:rPr>
          <w:i/>
        </w:rPr>
        <w:t>.</w:t>
      </w:r>
      <w:r w:rsidR="006D28A2" w:rsidRPr="006D28A2">
        <w:rPr>
          <w:i/>
        </w:rPr>
        <w:t xml:space="preserve"> Additionally, we would propose that notional amount per day should be increased significantly from 500 million EUR to circa 5 billon EUR. </w:t>
      </w:r>
      <w:r w:rsidR="006D28A2">
        <w:rPr>
          <w:i/>
        </w:rPr>
        <w:t xml:space="preserve">It should be noted that </w:t>
      </w:r>
      <w:r w:rsidR="006D28A2" w:rsidRPr="006D28A2">
        <w:rPr>
          <w:i/>
        </w:rPr>
        <w:t>Table 1 on page 17 of the CP confirms that the notional amount per day well exceeds the suggested 500 million EUR and therefore there is the potential of</w:t>
      </w:r>
      <w:r w:rsidR="006D28A2">
        <w:rPr>
          <w:i/>
        </w:rPr>
        <w:t xml:space="preserve"> categorising some instruments as liquid, which are actually not liquid</w:t>
      </w:r>
      <w:r w:rsidR="006D28A2" w:rsidRPr="006D28A2">
        <w:rPr>
          <w:i/>
        </w:rPr>
        <w:t>. M</w:t>
      </w:r>
      <w:r w:rsidR="006D28A2" w:rsidRPr="00CB5A2A">
        <w:rPr>
          <w:i/>
        </w:rPr>
        <w:t xml:space="preserve">oreover, </w:t>
      </w:r>
      <w:r w:rsidR="00CB5A2A">
        <w:rPr>
          <w:i/>
        </w:rPr>
        <w:t xml:space="preserve">as mentioned previously, </w:t>
      </w:r>
      <w:r w:rsidR="006D28A2" w:rsidRPr="00CB5A2A">
        <w:rPr>
          <w:i/>
        </w:rPr>
        <w:t>FX OTC (derivative)</w:t>
      </w:r>
      <w:r w:rsidR="00CB5A2A" w:rsidRPr="00CB5A2A">
        <w:rPr>
          <w:i/>
        </w:rPr>
        <w:t xml:space="preserve"> trades can be executed (24/6) </w:t>
      </w:r>
      <w:r w:rsidR="006D28A2" w:rsidRPr="00CB5A2A">
        <w:rPr>
          <w:i/>
        </w:rPr>
        <w:t>at any time and are thereby not restricted to certain trading hours or days.</w:t>
      </w:r>
    </w:p>
    <w:p w:rsidR="00621179" w:rsidRPr="0002192F" w:rsidRDefault="00621179" w:rsidP="0002192F">
      <w:pPr>
        <w:pStyle w:val="NoSpacing"/>
        <w:rPr>
          <w:rFonts w:ascii="Calibri" w:eastAsia="Times New Roman" w:hAnsi="Calibri" w:cs="Times New Roman"/>
          <w:i/>
          <w:lang w:eastAsia="en-GB"/>
        </w:rPr>
      </w:pPr>
    </w:p>
    <w:p w:rsidR="00B06EBE" w:rsidRDefault="00B06EBE" w:rsidP="0002192F">
      <w:pPr>
        <w:pStyle w:val="NoSpacing"/>
        <w:rPr>
          <w:u w:val="single"/>
        </w:rPr>
      </w:pPr>
    </w:p>
    <w:p w:rsidR="0087796F" w:rsidRPr="0002192F" w:rsidRDefault="0087796F" w:rsidP="0002192F">
      <w:pPr>
        <w:pStyle w:val="NoSpacing"/>
        <w:rPr>
          <w:b/>
          <w:bCs/>
          <w:u w:val="single"/>
        </w:rPr>
      </w:pPr>
      <w:r w:rsidRPr="0002192F">
        <w:rPr>
          <w:u w:val="single"/>
        </w:rPr>
        <w:t>ACI</w:t>
      </w:r>
      <w:r w:rsidRPr="0002192F">
        <w:rPr>
          <w:rFonts w:ascii="Calibri" w:hAnsi="Calibri" w:cs="Calibri"/>
          <w:u w:val="single"/>
        </w:rPr>
        <w:t xml:space="preserve"> </w:t>
      </w:r>
      <w:r w:rsidR="00356933">
        <w:rPr>
          <w:rFonts w:ascii="Calibri" w:hAnsi="Calibri" w:cs="Calibri"/>
          <w:u w:val="single"/>
        </w:rPr>
        <w:t xml:space="preserve">FMA </w:t>
      </w:r>
      <w:r w:rsidRPr="0002192F">
        <w:rPr>
          <w:rFonts w:ascii="Calibri" w:hAnsi="Calibri" w:cs="Calibri"/>
          <w:u w:val="single"/>
        </w:rPr>
        <w:t xml:space="preserve">Comment on </w:t>
      </w:r>
      <w:r w:rsidRPr="0002192F">
        <w:rPr>
          <w:bCs/>
          <w:u w:val="single"/>
        </w:rPr>
        <w:t xml:space="preserve">– LIS/SSTI </w:t>
      </w:r>
      <w:r w:rsidR="002F708D">
        <w:rPr>
          <w:bCs/>
          <w:u w:val="single"/>
        </w:rPr>
        <w:t xml:space="preserve"> (With reference to Q 2  &amp; 5</w:t>
      </w:r>
      <w:r w:rsidR="00356933">
        <w:rPr>
          <w:bCs/>
          <w:u w:val="single"/>
        </w:rPr>
        <w:t xml:space="preserve"> of the Consultation Paper</w:t>
      </w:r>
      <w:r w:rsidR="002F708D">
        <w:rPr>
          <w:bCs/>
          <w:u w:val="single"/>
        </w:rPr>
        <w:t>)</w:t>
      </w:r>
    </w:p>
    <w:p w:rsidR="00E11C10" w:rsidRPr="0002192F" w:rsidRDefault="00C70BA5" w:rsidP="0002192F">
      <w:pPr>
        <w:pStyle w:val="NoSpacing"/>
      </w:pPr>
      <w:r w:rsidRPr="0002192F">
        <w:t>With reference to the CP data, the ACI FMA notes that there are significant differences in LIS thresholds between currency pairs</w:t>
      </w:r>
      <w:r w:rsidR="00031F7A" w:rsidRPr="0002192F">
        <w:t xml:space="preserve"> and tenor buc</w:t>
      </w:r>
      <w:r w:rsidR="002048FE" w:rsidRPr="0002192F">
        <w:t xml:space="preserve">kets, </w:t>
      </w:r>
      <w:r w:rsidR="00031F7A" w:rsidRPr="0002192F">
        <w:t xml:space="preserve">which </w:t>
      </w:r>
      <w:r w:rsidR="00E11C10" w:rsidRPr="0002192F">
        <w:t xml:space="preserve">is </w:t>
      </w:r>
      <w:r w:rsidR="002048FE" w:rsidRPr="0002192F">
        <w:t xml:space="preserve">attributable to </w:t>
      </w:r>
      <w:r w:rsidR="00031F7A" w:rsidRPr="0002192F">
        <w:t>the complications ESMA has experienced in calibrating the</w:t>
      </w:r>
      <w:r w:rsidRPr="0002192F">
        <w:t xml:space="preserve"> data.</w:t>
      </w:r>
      <w:r w:rsidR="00031F7A" w:rsidRPr="0002192F">
        <w:t xml:space="preserve"> For example, as mentioned previously, </w:t>
      </w:r>
      <w:r w:rsidR="002048FE" w:rsidRPr="0002192F">
        <w:t xml:space="preserve">regarding NDFs the </w:t>
      </w:r>
      <w:r w:rsidR="00031F7A" w:rsidRPr="0002192F">
        <w:t xml:space="preserve">COP-USD pair with a tenor from 4 days to 7 days is considered liquid and the Large-In-Scale (LIS) thresholds </w:t>
      </w:r>
      <w:r w:rsidR="002048FE" w:rsidRPr="0002192F">
        <w:t>are set at</w:t>
      </w:r>
      <w:r w:rsidR="00031F7A" w:rsidRPr="0002192F">
        <w:t xml:space="preserve"> €700 million, which is greater than the average </w:t>
      </w:r>
      <w:r w:rsidR="002048FE" w:rsidRPr="0002192F">
        <w:t xml:space="preserve">daily volume for that market, which is, therefore, </w:t>
      </w:r>
      <w:r w:rsidR="00B211E5" w:rsidRPr="0002192F">
        <w:t xml:space="preserve">obviously </w:t>
      </w:r>
      <w:r w:rsidR="00E11C10" w:rsidRPr="0002192F">
        <w:t>erroneous and requires amendment.</w:t>
      </w:r>
    </w:p>
    <w:p w:rsidR="00A37C23" w:rsidRPr="0002192F" w:rsidRDefault="00A37C23" w:rsidP="0002192F">
      <w:pPr>
        <w:pStyle w:val="NoSpacing"/>
        <w:rPr>
          <w:rFonts w:eastAsia="Calibri" w:cs="Times New Roman"/>
        </w:rPr>
      </w:pPr>
    </w:p>
    <w:p w:rsidR="00031F7A" w:rsidRPr="0002192F" w:rsidRDefault="00031F7A" w:rsidP="0002192F">
      <w:pPr>
        <w:pStyle w:val="NoSpacing"/>
        <w:rPr>
          <w:rFonts w:ascii="Calibri" w:eastAsia="Times New Roman" w:hAnsi="Calibri" w:cs="Times New Roman"/>
          <w:bCs/>
          <w:i/>
          <w:lang w:eastAsia="en-GB"/>
        </w:rPr>
      </w:pPr>
      <w:r w:rsidRPr="0002192F">
        <w:t xml:space="preserve">It is also of concern to the ACI FMA that the </w:t>
      </w:r>
      <w:r w:rsidR="00283940" w:rsidRPr="0002192F">
        <w:t>SSTI threshold</w:t>
      </w:r>
      <w:r w:rsidRPr="0002192F">
        <w:t xml:space="preserve"> </w:t>
      </w:r>
      <w:r w:rsidR="002048FE" w:rsidRPr="0002192F">
        <w:t xml:space="preserve"> </w:t>
      </w:r>
      <w:r w:rsidRPr="0002192F">
        <w:t xml:space="preserve">has been set </w:t>
      </w:r>
      <w:r w:rsidR="00283940" w:rsidRPr="0002192F">
        <w:t>at 50% of the LIS threshold</w:t>
      </w:r>
      <w:r w:rsidRPr="0002192F">
        <w:t xml:space="preserve"> as opposed to any other percentage, which </w:t>
      </w:r>
      <w:r w:rsidR="002048FE" w:rsidRPr="0002192F">
        <w:t xml:space="preserve">appears </w:t>
      </w:r>
      <w:r w:rsidRPr="0002192F">
        <w:t xml:space="preserve"> </w:t>
      </w:r>
      <w:r w:rsidR="002048FE" w:rsidRPr="0002192F">
        <w:t xml:space="preserve">to be </w:t>
      </w:r>
      <w:r w:rsidRPr="0002192F">
        <w:t>quite</w:t>
      </w:r>
      <w:r w:rsidR="002048FE" w:rsidRPr="0002192F">
        <w:t xml:space="preserve"> an </w:t>
      </w:r>
      <w:r w:rsidR="00283940" w:rsidRPr="0002192F">
        <w:t>arbitrary</w:t>
      </w:r>
      <w:r w:rsidRPr="0002192F">
        <w:t xml:space="preserve"> level </w:t>
      </w:r>
      <w:r w:rsidRPr="0002192F">
        <w:rPr>
          <w:i/>
        </w:rPr>
        <w:t xml:space="preserve">. </w:t>
      </w:r>
      <w:r w:rsidR="00350AF3" w:rsidRPr="0002192F">
        <w:t xml:space="preserve">The SSTI and LIS are different thresholds with different intended </w:t>
      </w:r>
      <w:r w:rsidR="003A7B07" w:rsidRPr="0002192F">
        <w:t>objectives</w:t>
      </w:r>
      <w:r w:rsidR="00350AF3" w:rsidRPr="0002192F">
        <w:t xml:space="preserve">. The SSTI </w:t>
      </w:r>
      <w:r w:rsidR="003A7B07" w:rsidRPr="0002192F">
        <w:t xml:space="preserve">threshold is to </w:t>
      </w:r>
      <w:r w:rsidR="00350AF3" w:rsidRPr="0002192F">
        <w:t>protect liquidity pro</w:t>
      </w:r>
      <w:r w:rsidR="003A7B07" w:rsidRPr="0002192F">
        <w:t>viders and S</w:t>
      </w:r>
      <w:r w:rsidR="00621179" w:rsidRPr="0002192F">
        <w:t>i</w:t>
      </w:r>
      <w:r w:rsidR="003A7B07" w:rsidRPr="0002192F">
        <w:t>s</w:t>
      </w:r>
      <w:r w:rsidR="00621179">
        <w:t>’ from ‘</w:t>
      </w:r>
      <w:r w:rsidR="003A7B07" w:rsidRPr="0002192F">
        <w:t>undue risk</w:t>
      </w:r>
      <w:r w:rsidR="00621179">
        <w:t>’</w:t>
      </w:r>
      <w:r w:rsidR="003A7B07" w:rsidRPr="0002192F">
        <w:t xml:space="preserve">. </w:t>
      </w:r>
      <w:r w:rsidR="002048FE" w:rsidRPr="0002192F">
        <w:rPr>
          <w:i/>
        </w:rPr>
        <w:t xml:space="preserve">After </w:t>
      </w:r>
      <w:r w:rsidR="00621179">
        <w:rPr>
          <w:i/>
        </w:rPr>
        <w:t xml:space="preserve">much </w:t>
      </w:r>
      <w:r w:rsidR="002048FE" w:rsidRPr="0002192F">
        <w:rPr>
          <w:i/>
        </w:rPr>
        <w:t>consideration, we believe that it would be more appropriate if</w:t>
      </w:r>
      <w:r w:rsidR="002048FE" w:rsidRPr="0002192F">
        <w:rPr>
          <w:rFonts w:ascii="Calibri" w:eastAsia="Times New Roman" w:hAnsi="Calibri" w:cs="Times New Roman"/>
          <w:bCs/>
          <w:i/>
          <w:lang w:eastAsia="en-GB"/>
        </w:rPr>
        <w:t xml:space="preserve"> </w:t>
      </w:r>
      <w:r w:rsidR="002048FE" w:rsidRPr="0002192F">
        <w:rPr>
          <w:rFonts w:eastAsia="Times New Roman" w:cs="Times New Roman"/>
          <w:bCs/>
          <w:i/>
          <w:lang w:eastAsia="en-GB"/>
        </w:rPr>
        <w:t xml:space="preserve">LIS/SSTI thresholds were </w:t>
      </w:r>
      <w:r w:rsidRPr="0002192F">
        <w:rPr>
          <w:rFonts w:eastAsia="Times New Roman" w:cs="Times New Roman"/>
          <w:bCs/>
          <w:i/>
          <w:lang w:eastAsia="en-GB"/>
        </w:rPr>
        <w:t xml:space="preserve">set at a level appropriate to the </w:t>
      </w:r>
      <w:r w:rsidR="002048FE" w:rsidRPr="0002192F">
        <w:rPr>
          <w:rFonts w:eastAsia="Times New Roman" w:cs="Times New Roman"/>
          <w:bCs/>
          <w:i/>
          <w:lang w:eastAsia="en-GB"/>
        </w:rPr>
        <w:t>liquidity (or illiquidity) of each</w:t>
      </w:r>
      <w:r w:rsidRPr="0002192F">
        <w:rPr>
          <w:rFonts w:eastAsia="Times New Roman" w:cs="Times New Roman"/>
          <w:bCs/>
          <w:i/>
          <w:lang w:eastAsia="en-GB"/>
        </w:rPr>
        <w:t xml:space="preserve"> instrument</w:t>
      </w:r>
      <w:r w:rsidR="00B211E5" w:rsidRPr="0002192F">
        <w:rPr>
          <w:rFonts w:eastAsia="Times New Roman" w:cs="Times New Roman"/>
          <w:bCs/>
          <w:i/>
          <w:lang w:eastAsia="en-GB"/>
        </w:rPr>
        <w:t xml:space="preserve">  </w:t>
      </w:r>
      <w:r w:rsidR="002048FE" w:rsidRPr="0002192F">
        <w:rPr>
          <w:rFonts w:eastAsia="Times New Roman" w:cs="Times New Roman"/>
          <w:i/>
          <w:lang w:eastAsia="de-DE"/>
        </w:rPr>
        <w:t xml:space="preserve"> i.e. LIS/SSTI threshold should</w:t>
      </w:r>
      <w:r w:rsidR="00B211E5" w:rsidRPr="0002192F">
        <w:rPr>
          <w:rFonts w:eastAsia="Times New Roman" w:cs="Times New Roman"/>
          <w:i/>
          <w:lang w:eastAsia="de-DE"/>
        </w:rPr>
        <w:t xml:space="preserve"> be adjusted to reflect local</w:t>
      </w:r>
      <w:r w:rsidR="002048FE" w:rsidRPr="0002192F">
        <w:rPr>
          <w:rFonts w:eastAsia="Times New Roman" w:cs="Times New Roman"/>
          <w:i/>
          <w:lang w:eastAsia="de-DE"/>
        </w:rPr>
        <w:t xml:space="preserve"> market conditions</w:t>
      </w:r>
      <w:r w:rsidR="00E11C10" w:rsidRPr="0002192F">
        <w:rPr>
          <w:rFonts w:eastAsia="Times New Roman" w:cs="Times New Roman"/>
          <w:i/>
          <w:lang w:eastAsia="de-DE"/>
        </w:rPr>
        <w:t xml:space="preserve"> (</w:t>
      </w:r>
      <w:r w:rsidR="00B211E5" w:rsidRPr="0002192F">
        <w:rPr>
          <w:rFonts w:eastAsia="Times New Roman" w:cs="Times New Roman"/>
          <w:i/>
          <w:lang w:eastAsia="de-DE"/>
        </w:rPr>
        <w:t>SSTI</w:t>
      </w:r>
      <w:r w:rsidR="00E11C10" w:rsidRPr="0002192F">
        <w:rPr>
          <w:rFonts w:eastAsia="Times New Roman" w:cs="Times New Roman"/>
          <w:i/>
          <w:lang w:eastAsia="de-DE"/>
        </w:rPr>
        <w:t>= median trade size or as lower percentage to LIS)</w:t>
      </w:r>
      <w:r w:rsidR="002048FE" w:rsidRPr="0002192F">
        <w:rPr>
          <w:rFonts w:eastAsia="Times New Roman" w:cs="Times New Roman"/>
          <w:i/>
          <w:lang w:eastAsia="de-DE"/>
        </w:rPr>
        <w:t>, rather than a ‘one size fits all fixed threshold</w:t>
      </w:r>
      <w:r w:rsidR="00B211E5" w:rsidRPr="0002192F">
        <w:rPr>
          <w:rFonts w:eastAsia="Times New Roman" w:cs="Times New Roman"/>
          <w:i/>
          <w:lang w:eastAsia="de-DE"/>
        </w:rPr>
        <w:t>’</w:t>
      </w:r>
      <w:r w:rsidR="002048FE" w:rsidRPr="0002192F">
        <w:rPr>
          <w:rFonts w:eastAsia="Times New Roman" w:cs="Times New Roman"/>
          <w:i/>
          <w:lang w:eastAsia="de-DE"/>
        </w:rPr>
        <w:t xml:space="preserve"> within the EU. </w:t>
      </w:r>
      <w:r w:rsidR="00B211E5" w:rsidRPr="0002192F">
        <w:rPr>
          <w:rFonts w:eastAsia="Times New Roman" w:cs="Times New Roman"/>
          <w:i/>
          <w:lang w:eastAsia="de-DE"/>
        </w:rPr>
        <w:t xml:space="preserve">Failure to rectify this could </w:t>
      </w:r>
      <w:r w:rsidR="00B211E5" w:rsidRPr="0002192F">
        <w:rPr>
          <w:rFonts w:ascii="Calibri" w:hAnsi="Calibri" w:cs="Calibri"/>
          <w:i/>
        </w:rPr>
        <w:t>potentially impose costly and onerous burdens of additional transparency and Systemic Internaliser (SI) complian</w:t>
      </w:r>
      <w:r w:rsidR="00621179">
        <w:rPr>
          <w:rFonts w:ascii="Calibri" w:hAnsi="Calibri" w:cs="Calibri"/>
          <w:i/>
        </w:rPr>
        <w:t>ce requirements under MIfir on ‘</w:t>
      </w:r>
      <w:r w:rsidR="00B211E5" w:rsidRPr="0002192F">
        <w:rPr>
          <w:rFonts w:ascii="Calibri" w:hAnsi="Calibri" w:cs="Calibri"/>
          <w:i/>
        </w:rPr>
        <w:t>sell-si</w:t>
      </w:r>
      <w:r w:rsidR="00621179">
        <w:rPr>
          <w:rFonts w:ascii="Calibri" w:hAnsi="Calibri" w:cs="Calibri"/>
          <w:i/>
        </w:rPr>
        <w:t>de market participants’, which c</w:t>
      </w:r>
      <w:r w:rsidR="00B211E5" w:rsidRPr="0002192F">
        <w:rPr>
          <w:rFonts w:ascii="Calibri" w:hAnsi="Calibri" w:cs="Calibri"/>
          <w:i/>
        </w:rPr>
        <w:t>ould</w:t>
      </w:r>
      <w:r w:rsidR="00621179">
        <w:rPr>
          <w:rFonts w:ascii="Calibri" w:hAnsi="Calibri" w:cs="Calibri"/>
          <w:i/>
        </w:rPr>
        <w:t xml:space="preserve"> then </w:t>
      </w:r>
      <w:r w:rsidR="00B211E5" w:rsidRPr="0002192F">
        <w:rPr>
          <w:rFonts w:ascii="Calibri" w:hAnsi="Calibri" w:cs="Calibri"/>
          <w:i/>
        </w:rPr>
        <w:t xml:space="preserve"> have a detrimental impact on liquidity/instigate a reluctance to quote. This could cause shortages in particular currencies, securities or instruments or increase product cost for customers.</w:t>
      </w:r>
      <w:r w:rsidR="00B211E5" w:rsidRPr="0002192F">
        <w:rPr>
          <w:rFonts w:ascii="Calibri" w:eastAsia="Times New Roman" w:hAnsi="Calibri" w:cs="Times New Roman"/>
          <w:bCs/>
          <w:i/>
          <w:lang w:eastAsia="en-GB"/>
        </w:rPr>
        <w:t xml:space="preserve"> </w:t>
      </w:r>
    </w:p>
    <w:p w:rsidR="00885C89" w:rsidRPr="0002192F" w:rsidRDefault="00885C89" w:rsidP="0002192F">
      <w:pPr>
        <w:pStyle w:val="NoSpacing"/>
        <w:rPr>
          <w:rFonts w:ascii="Calibri" w:eastAsia="Times New Roman" w:hAnsi="Calibri" w:cs="Times New Roman"/>
          <w:bCs/>
          <w:i/>
          <w:lang w:eastAsia="en-GB"/>
        </w:rPr>
      </w:pPr>
    </w:p>
    <w:p w:rsidR="002F708D" w:rsidRDefault="00885C89" w:rsidP="002F708D">
      <w:pPr>
        <w:pStyle w:val="NoSpacing"/>
        <w:rPr>
          <w:u w:val="single"/>
        </w:rPr>
      </w:pPr>
      <w:r w:rsidRPr="0002192F">
        <w:rPr>
          <w:u w:val="single"/>
        </w:rPr>
        <w:t xml:space="preserve">LIS/SSTI </w:t>
      </w:r>
      <w:r w:rsidR="002F708D">
        <w:rPr>
          <w:u w:val="single"/>
        </w:rPr>
        <w:t>deferral period set to 48 hours</w:t>
      </w:r>
      <w:r w:rsidR="002F708D">
        <w:rPr>
          <w:bCs/>
          <w:u w:val="single"/>
        </w:rPr>
        <w:t xml:space="preserve"> (With reference to Q 2  &amp; 5)</w:t>
      </w:r>
    </w:p>
    <w:p w:rsidR="00515810" w:rsidRDefault="00885C89" w:rsidP="0002192F">
      <w:pPr>
        <w:pStyle w:val="NoSpacing"/>
        <w:rPr>
          <w:i/>
        </w:rPr>
      </w:pPr>
      <w:r w:rsidRPr="0002192F">
        <w:rPr>
          <w:i/>
        </w:rPr>
        <w:t xml:space="preserve">The ACI FMA </w:t>
      </w:r>
      <w:r w:rsidR="006C1285" w:rsidRPr="0002192F">
        <w:rPr>
          <w:i/>
        </w:rPr>
        <w:t xml:space="preserve">would express </w:t>
      </w:r>
      <w:r w:rsidR="00ED4A62" w:rsidRPr="0002192F">
        <w:rPr>
          <w:i/>
        </w:rPr>
        <w:t xml:space="preserve">agreement regarding </w:t>
      </w:r>
      <w:r w:rsidRPr="0002192F">
        <w:rPr>
          <w:i/>
        </w:rPr>
        <w:t xml:space="preserve">a </w:t>
      </w:r>
      <w:r w:rsidR="006C1285" w:rsidRPr="0002192F">
        <w:rPr>
          <w:i/>
        </w:rPr>
        <w:t xml:space="preserve">minimum </w:t>
      </w:r>
      <w:r w:rsidRPr="0002192F">
        <w:rPr>
          <w:i/>
        </w:rPr>
        <w:t>deferral period of 48 hours for</w:t>
      </w:r>
      <w:r w:rsidR="00A37C23" w:rsidRPr="0002192F">
        <w:rPr>
          <w:i/>
        </w:rPr>
        <w:t xml:space="preserve"> transactions that are </w:t>
      </w:r>
      <w:r w:rsidR="006C1285" w:rsidRPr="0002192F">
        <w:rPr>
          <w:i/>
        </w:rPr>
        <w:t xml:space="preserve">equal to or exceed </w:t>
      </w:r>
      <w:r w:rsidR="00A37C23" w:rsidRPr="0002192F">
        <w:rPr>
          <w:i/>
        </w:rPr>
        <w:t xml:space="preserve">LIS or </w:t>
      </w:r>
      <w:r w:rsidRPr="0002192F">
        <w:rPr>
          <w:i/>
        </w:rPr>
        <w:t xml:space="preserve">transactions </w:t>
      </w:r>
      <w:r w:rsidR="006C1285" w:rsidRPr="0002192F">
        <w:rPr>
          <w:i/>
        </w:rPr>
        <w:t xml:space="preserve">equal to or </w:t>
      </w:r>
      <w:r w:rsidRPr="0002192F">
        <w:rPr>
          <w:i/>
        </w:rPr>
        <w:t>above the SSTI</w:t>
      </w:r>
      <w:r w:rsidR="006C1285" w:rsidRPr="0002192F">
        <w:rPr>
          <w:i/>
        </w:rPr>
        <w:t xml:space="preserve"> threshold</w:t>
      </w:r>
      <w:r w:rsidRPr="0002192F">
        <w:rPr>
          <w:i/>
        </w:rPr>
        <w:t xml:space="preserve">. However, </w:t>
      </w:r>
      <w:r w:rsidR="00515810" w:rsidRPr="0002192F">
        <w:rPr>
          <w:i/>
        </w:rPr>
        <w:t>we would propose that this should actually be expressed as T+2</w:t>
      </w:r>
      <w:r w:rsidR="006C1285" w:rsidRPr="0002192F">
        <w:rPr>
          <w:i/>
        </w:rPr>
        <w:t xml:space="preserve"> (business days)</w:t>
      </w:r>
      <w:r w:rsidR="00515810" w:rsidRPr="0002192F">
        <w:rPr>
          <w:i/>
        </w:rPr>
        <w:t xml:space="preserve"> </w:t>
      </w:r>
      <w:r w:rsidR="006C1285" w:rsidRPr="0002192F">
        <w:rPr>
          <w:i/>
        </w:rPr>
        <w:t xml:space="preserve"> to accommodate transactions done with  counterparties </w:t>
      </w:r>
      <w:r w:rsidR="00980980" w:rsidRPr="0002192F">
        <w:rPr>
          <w:i/>
        </w:rPr>
        <w:t>at close of business</w:t>
      </w:r>
      <w:r w:rsidR="006C1285" w:rsidRPr="0002192F">
        <w:rPr>
          <w:i/>
        </w:rPr>
        <w:t xml:space="preserve"> before the weekend or  </w:t>
      </w:r>
      <w:r w:rsidR="004C120C" w:rsidRPr="0002192F">
        <w:rPr>
          <w:i/>
        </w:rPr>
        <w:t xml:space="preserve">before </w:t>
      </w:r>
      <w:r w:rsidR="006C1285" w:rsidRPr="0002192F">
        <w:rPr>
          <w:i/>
        </w:rPr>
        <w:t>national holiday</w:t>
      </w:r>
      <w:r w:rsidR="004C120C" w:rsidRPr="0002192F">
        <w:rPr>
          <w:i/>
        </w:rPr>
        <w:t>s</w:t>
      </w:r>
      <w:r w:rsidR="006C1285" w:rsidRPr="0002192F">
        <w:rPr>
          <w:i/>
        </w:rPr>
        <w:t xml:space="preserve"> to ensure adequate time for market risk mitigation</w:t>
      </w:r>
      <w:r w:rsidR="0017533E" w:rsidRPr="0002192F">
        <w:rPr>
          <w:i/>
        </w:rPr>
        <w:t xml:space="preserve"> </w:t>
      </w:r>
      <w:r w:rsidR="006C1285" w:rsidRPr="0002192F">
        <w:rPr>
          <w:i/>
        </w:rPr>
        <w:t xml:space="preserve">of large or </w:t>
      </w:r>
      <w:r w:rsidR="0017533E" w:rsidRPr="0002192F">
        <w:rPr>
          <w:i/>
        </w:rPr>
        <w:t>il</w:t>
      </w:r>
      <w:r w:rsidR="006C1285" w:rsidRPr="0002192F">
        <w:rPr>
          <w:i/>
        </w:rPr>
        <w:t>liquid transactions on the part of the market makers.</w:t>
      </w:r>
      <w:r w:rsidR="00860749" w:rsidRPr="0002192F">
        <w:rPr>
          <w:i/>
        </w:rPr>
        <w:t xml:space="preserve"> </w:t>
      </w:r>
      <w:r w:rsidR="00CC098C" w:rsidRPr="0002192F">
        <w:rPr>
          <w:i/>
        </w:rPr>
        <w:t>However, w</w:t>
      </w:r>
      <w:r w:rsidR="00860749" w:rsidRPr="0002192F">
        <w:rPr>
          <w:i/>
        </w:rPr>
        <w:t>ith regard to transactions that are both</w:t>
      </w:r>
      <w:r w:rsidR="00CC098C" w:rsidRPr="0002192F">
        <w:rPr>
          <w:i/>
        </w:rPr>
        <w:t xml:space="preserve"> LIS and illiquid, this ti</w:t>
      </w:r>
      <w:r w:rsidR="0017533E" w:rsidRPr="0002192F">
        <w:rPr>
          <w:i/>
        </w:rPr>
        <w:t>me deferral may not be adequate. T</w:t>
      </w:r>
      <w:r w:rsidR="00CC098C" w:rsidRPr="0002192F">
        <w:rPr>
          <w:i/>
        </w:rPr>
        <w:t>herefore, the ACI FMA would urge prudence and caution and counsel that a longer deferral period may be considered.</w:t>
      </w:r>
      <w:r w:rsidR="00980980" w:rsidRPr="0002192F">
        <w:rPr>
          <w:i/>
        </w:rPr>
        <w:t xml:space="preserve"> A further point of consideration, which the ACI FMA would advocate and </w:t>
      </w:r>
      <w:r w:rsidR="00417E2F" w:rsidRPr="0002192F">
        <w:rPr>
          <w:i/>
        </w:rPr>
        <w:t>encourage,</w:t>
      </w:r>
      <w:r w:rsidR="00980980" w:rsidRPr="0002192F">
        <w:rPr>
          <w:i/>
        </w:rPr>
        <w:t xml:space="preserve"> is that there should be a pan-EU adoption/harmonisation by National Competent Authorities (NCAs) of the supplemental volume omission deferral regime.</w:t>
      </w:r>
    </w:p>
    <w:p w:rsidR="0002192F" w:rsidRPr="0002192F" w:rsidRDefault="0002192F" w:rsidP="0002192F">
      <w:pPr>
        <w:pStyle w:val="NoSpacing"/>
        <w:rPr>
          <w:i/>
        </w:rPr>
      </w:pPr>
    </w:p>
    <w:p w:rsidR="005114D4" w:rsidRPr="00106929" w:rsidRDefault="005114D4" w:rsidP="0002192F">
      <w:pPr>
        <w:pStyle w:val="NoSpacing"/>
        <w:rPr>
          <w:rFonts w:ascii="Calibri" w:hAnsi="Calibri" w:cs="Calibri"/>
          <w:b/>
          <w:i/>
          <w:u w:val="single"/>
        </w:rPr>
      </w:pPr>
      <w:r w:rsidRPr="00106929">
        <w:rPr>
          <w:rFonts w:ascii="Calibri" w:hAnsi="Calibri" w:cs="Calibri"/>
          <w:i/>
          <w:u w:val="single"/>
        </w:rPr>
        <w:t>Summary</w:t>
      </w:r>
    </w:p>
    <w:p w:rsidR="0002192F" w:rsidRDefault="005114D4" w:rsidP="0002192F">
      <w:pPr>
        <w:pStyle w:val="NoSpacing"/>
        <w:rPr>
          <w:rFonts w:ascii="Calibri" w:hAnsi="Calibri" w:cs="Calibri"/>
          <w:i/>
        </w:rPr>
      </w:pPr>
      <w:r w:rsidRPr="0002192F">
        <w:rPr>
          <w:rFonts w:ascii="Calibri" w:hAnsi="Calibri" w:cs="Calibri"/>
          <w:i/>
        </w:rPr>
        <w:t xml:space="preserve">In summary, </w:t>
      </w:r>
      <w:r w:rsidR="00E11C10" w:rsidRPr="0002192F">
        <w:rPr>
          <w:rFonts w:ascii="Calibri" w:hAnsi="Calibri" w:cs="Calibri"/>
          <w:i/>
        </w:rPr>
        <w:t>t</w:t>
      </w:r>
      <w:r w:rsidR="00D75F52" w:rsidRPr="0002192F">
        <w:rPr>
          <w:rFonts w:ascii="Calibri" w:hAnsi="Calibri" w:cs="Calibri"/>
          <w:i/>
        </w:rPr>
        <w:t xml:space="preserve">he ACI FMA would counsel cross-reference to and co-operation on the part of ESMA with the Bank of International Settlements (BIS) or Bank of England (BoE) (Survey data) in order to verify and underpin the integrity of the data collated and to facilitate a more accurate representation of </w:t>
      </w:r>
      <w:r w:rsidR="00E11C10" w:rsidRPr="0002192F">
        <w:rPr>
          <w:rFonts w:ascii="Calibri" w:hAnsi="Calibri" w:cs="Calibri"/>
          <w:i/>
        </w:rPr>
        <w:t xml:space="preserve">the </w:t>
      </w:r>
      <w:r w:rsidR="00D75F52" w:rsidRPr="0002192F">
        <w:rPr>
          <w:rFonts w:ascii="Calibri" w:hAnsi="Calibri" w:cs="Calibri"/>
          <w:i/>
        </w:rPr>
        <w:t xml:space="preserve">FX Derivative market distribution with regard to instrument and currency pairs. </w:t>
      </w:r>
    </w:p>
    <w:p w:rsidR="0002192F" w:rsidRDefault="0002192F" w:rsidP="0002192F">
      <w:pPr>
        <w:pStyle w:val="NoSpacing"/>
        <w:rPr>
          <w:rFonts w:ascii="Calibri" w:hAnsi="Calibri" w:cs="Calibri"/>
          <w:i/>
        </w:rPr>
      </w:pPr>
    </w:p>
    <w:p w:rsidR="00D75F52" w:rsidRDefault="00D75F52" w:rsidP="0002192F">
      <w:pPr>
        <w:pStyle w:val="NoSpacing"/>
        <w:rPr>
          <w:rFonts w:ascii="Calibri" w:hAnsi="Calibri" w:cs="Calibri"/>
          <w:i/>
        </w:rPr>
      </w:pPr>
      <w:r w:rsidRPr="0002192F">
        <w:rPr>
          <w:rFonts w:ascii="Calibri" w:hAnsi="Calibri" w:cs="Calibri"/>
          <w:i/>
        </w:rPr>
        <w:t>Additionally, we would suggest that ESMA enlist the involvement of Regulatory and trade organisation expert panel</w:t>
      </w:r>
      <w:r w:rsidR="00E11C10" w:rsidRPr="0002192F">
        <w:rPr>
          <w:rFonts w:ascii="Calibri" w:hAnsi="Calibri" w:cs="Calibri"/>
          <w:i/>
        </w:rPr>
        <w:t>s</w:t>
      </w:r>
      <w:r w:rsidRPr="0002192F">
        <w:rPr>
          <w:rFonts w:ascii="Calibri" w:hAnsi="Calibri" w:cs="Calibri"/>
          <w:i/>
        </w:rPr>
        <w:t xml:space="preserve"> to ensure a robust outcome regarding the evaluation of FICC market liquidity.</w:t>
      </w:r>
      <w:r w:rsidR="00E11C10" w:rsidRPr="0002192F">
        <w:rPr>
          <w:rFonts w:ascii="Calibri" w:hAnsi="Calibri" w:cs="Calibri"/>
          <w:i/>
        </w:rPr>
        <w:t xml:space="preserve"> The ACI FMA would be happy to assist ESMA in this respect as a number of our members sit on such panels.</w:t>
      </w:r>
    </w:p>
    <w:p w:rsidR="007F3A67" w:rsidRDefault="007F3A67" w:rsidP="0002192F">
      <w:pPr>
        <w:pStyle w:val="NoSpacing"/>
        <w:rPr>
          <w:u w:val="single"/>
        </w:rPr>
      </w:pPr>
    </w:p>
    <w:p w:rsidR="0087796F" w:rsidRPr="0002192F" w:rsidRDefault="0087796F" w:rsidP="0002192F">
      <w:pPr>
        <w:pStyle w:val="NoSpacing"/>
        <w:rPr>
          <w:u w:val="single"/>
        </w:rPr>
      </w:pPr>
      <w:r w:rsidRPr="0002192F">
        <w:rPr>
          <w:u w:val="single"/>
        </w:rPr>
        <w:t>Spread Betting</w:t>
      </w:r>
      <w:r w:rsidR="00350AF3" w:rsidRPr="0002192F">
        <w:rPr>
          <w:u w:val="single"/>
        </w:rPr>
        <w:t xml:space="preserve"> and </w:t>
      </w:r>
      <w:r w:rsidR="00350AF3" w:rsidRPr="0002192F">
        <w:rPr>
          <w:u w:val="single"/>
          <w:lang w:eastAsia="en-GB"/>
        </w:rPr>
        <w:t>Contracts For Difference</w:t>
      </w:r>
      <w:r w:rsidR="006B192B">
        <w:rPr>
          <w:u w:val="single"/>
          <w:lang w:eastAsia="en-GB"/>
        </w:rPr>
        <w:t xml:space="preserve"> (With reference to Q9 of the Consultation Paper)</w:t>
      </w:r>
    </w:p>
    <w:p w:rsidR="00165C10" w:rsidRPr="0002192F" w:rsidRDefault="00165C10" w:rsidP="0002192F">
      <w:pPr>
        <w:pStyle w:val="NoSpacing"/>
        <w:rPr>
          <w:bCs/>
          <w:i/>
        </w:rPr>
      </w:pPr>
      <w:r w:rsidRPr="0002192F">
        <w:rPr>
          <w:bCs/>
        </w:rPr>
        <w:t>The ACI notes that this has been included as an asset class; h</w:t>
      </w:r>
      <w:r w:rsidR="00FD3BCD" w:rsidRPr="0002192F">
        <w:rPr>
          <w:bCs/>
        </w:rPr>
        <w:t>owever, we would propose that</w:t>
      </w:r>
      <w:r w:rsidRPr="0002192F">
        <w:rPr>
          <w:bCs/>
        </w:rPr>
        <w:t xml:space="preserve"> </w:t>
      </w:r>
      <w:r w:rsidR="00FD3BCD" w:rsidRPr="0002192F">
        <w:rPr>
          <w:bCs/>
        </w:rPr>
        <w:t xml:space="preserve">spread betting should neither be categorised as an </w:t>
      </w:r>
      <w:r w:rsidRPr="0002192F">
        <w:rPr>
          <w:bCs/>
        </w:rPr>
        <w:t>asset class nor an</w:t>
      </w:r>
      <w:r w:rsidR="00FD3BCD" w:rsidRPr="0002192F">
        <w:rPr>
          <w:bCs/>
        </w:rPr>
        <w:t xml:space="preserve"> instrument, rather a transaction type or method. To this effect we would reference </w:t>
      </w:r>
      <w:r w:rsidRPr="0002192F">
        <w:rPr>
          <w:bCs/>
        </w:rPr>
        <w:t>footnote 25 on page 210</w:t>
      </w:r>
      <w:r w:rsidR="00FD3BCD" w:rsidRPr="0002192F">
        <w:rPr>
          <w:bCs/>
        </w:rPr>
        <w:t xml:space="preserve"> of the CP</w:t>
      </w:r>
      <w:r w:rsidRPr="0002192F">
        <w:rPr>
          <w:bCs/>
        </w:rPr>
        <w:t xml:space="preserve">, which states </w:t>
      </w:r>
      <w:r w:rsidR="009F65A3" w:rsidRPr="0002192F">
        <w:rPr>
          <w:bCs/>
        </w:rPr>
        <w:t>‘</w:t>
      </w:r>
      <w:r w:rsidRPr="0002192F">
        <w:rPr>
          <w:bCs/>
        </w:rPr>
        <w:t>this code is not provided for by the legislation</w:t>
      </w:r>
      <w:r w:rsidR="009F65A3" w:rsidRPr="0002192F">
        <w:rPr>
          <w:bCs/>
        </w:rPr>
        <w:t>’</w:t>
      </w:r>
      <w:r w:rsidRPr="0002192F">
        <w:rPr>
          <w:bCs/>
        </w:rPr>
        <w:t xml:space="preserve">.  </w:t>
      </w:r>
      <w:r w:rsidR="00FD3BCD" w:rsidRPr="0002192F">
        <w:rPr>
          <w:bCs/>
        </w:rPr>
        <w:t xml:space="preserve">Therefore, this category </w:t>
      </w:r>
      <w:r w:rsidRPr="0002192F">
        <w:rPr>
          <w:bCs/>
        </w:rPr>
        <w:t xml:space="preserve">should </w:t>
      </w:r>
      <w:r w:rsidR="00FD3BCD" w:rsidRPr="0002192F">
        <w:rPr>
          <w:bCs/>
        </w:rPr>
        <w:t xml:space="preserve">not </w:t>
      </w:r>
      <w:r w:rsidRPr="0002192F">
        <w:rPr>
          <w:bCs/>
        </w:rPr>
        <w:t>be included within this FX section</w:t>
      </w:r>
      <w:r w:rsidR="009F65A3" w:rsidRPr="0002192F">
        <w:rPr>
          <w:bCs/>
        </w:rPr>
        <w:t xml:space="preserve">. However, an appropriate treatment and categorisation of spread betting is to be encouraged. </w:t>
      </w:r>
      <w:r w:rsidR="00B27251" w:rsidRPr="0002192F">
        <w:rPr>
          <w:bCs/>
          <w:i/>
        </w:rPr>
        <w:t xml:space="preserve">Therefore, the ACI FMA </w:t>
      </w:r>
      <w:r w:rsidR="009F65A3" w:rsidRPr="0002192F">
        <w:rPr>
          <w:bCs/>
          <w:i/>
        </w:rPr>
        <w:t>would suggest that</w:t>
      </w:r>
      <w:r w:rsidR="00E12C78" w:rsidRPr="0002192F">
        <w:rPr>
          <w:bCs/>
          <w:i/>
        </w:rPr>
        <w:t xml:space="preserve"> transaction of this nature should be categorised according to the nature of the underlying instrument.</w:t>
      </w:r>
    </w:p>
    <w:p w:rsidR="00165C10" w:rsidRPr="0002192F" w:rsidRDefault="00165C10" w:rsidP="0002192F">
      <w:pPr>
        <w:pStyle w:val="NoSpacing"/>
        <w:rPr>
          <w:bCs/>
          <w:i/>
        </w:rPr>
      </w:pPr>
    </w:p>
    <w:p w:rsidR="00673914" w:rsidRPr="0002192F" w:rsidRDefault="00350AF3" w:rsidP="0002192F">
      <w:pPr>
        <w:pStyle w:val="NoSpacing"/>
        <w:rPr>
          <w:lang w:eastAsia="en-GB"/>
        </w:rPr>
      </w:pPr>
      <w:r w:rsidRPr="0002192F">
        <w:rPr>
          <w:lang w:eastAsia="en-GB"/>
        </w:rPr>
        <w:t>The same concerns regarding</w:t>
      </w:r>
      <w:r w:rsidR="00673914" w:rsidRPr="0002192F">
        <w:rPr>
          <w:lang w:eastAsia="en-GB"/>
        </w:rPr>
        <w:t xml:space="preserve"> data distortion</w:t>
      </w:r>
      <w:r w:rsidR="00885C89" w:rsidRPr="0002192F">
        <w:rPr>
          <w:lang w:eastAsia="en-GB"/>
        </w:rPr>
        <w:t>/confusion</w:t>
      </w:r>
      <w:r w:rsidR="00673914" w:rsidRPr="0002192F">
        <w:rPr>
          <w:lang w:eastAsia="en-GB"/>
        </w:rPr>
        <w:t xml:space="preserve"> exist with respect to spread bets and Contracts For Difference</w:t>
      </w:r>
      <w:r w:rsidR="00621179">
        <w:rPr>
          <w:lang w:eastAsia="en-GB"/>
        </w:rPr>
        <w:t xml:space="preserve"> (CFD’</w:t>
      </w:r>
      <w:r w:rsidR="00673914" w:rsidRPr="0002192F">
        <w:rPr>
          <w:lang w:eastAsia="en-GB"/>
        </w:rPr>
        <w:t>s) on currency pairs, which ironically themselves came into existence as a regulatory arbitrage to avoid stamp and/or capital gains taxes in some jurisdictions.  While it is not clear how CFDs have been cate</w:t>
      </w:r>
      <w:r w:rsidR="003A7B07" w:rsidRPr="0002192F">
        <w:rPr>
          <w:lang w:eastAsia="en-GB"/>
        </w:rPr>
        <w:t xml:space="preserve">gorized in the data, </w:t>
      </w:r>
      <w:r w:rsidR="00673914" w:rsidRPr="0002192F">
        <w:rPr>
          <w:lang w:eastAsia="en-GB"/>
        </w:rPr>
        <w:t>this largely retail version of the Total Return Swap constitutes one of the fastest growing market instruments on a volume basis ex-U.S.  Both currency pair CFDs and currency spread bets could a</w:t>
      </w:r>
      <w:r w:rsidR="00621179">
        <w:rPr>
          <w:lang w:eastAsia="en-GB"/>
        </w:rPr>
        <w:t>lso be easily substituted with S</w:t>
      </w:r>
      <w:r w:rsidR="00673914" w:rsidRPr="0002192F">
        <w:rPr>
          <w:lang w:eastAsia="en-GB"/>
        </w:rPr>
        <w:t xml:space="preserve">pot contracts, in many cases with a simple mouse click on the same ECN platform. </w:t>
      </w:r>
    </w:p>
    <w:p w:rsidR="003A7B07" w:rsidRPr="0002192F" w:rsidRDefault="003A7B07" w:rsidP="0002192F">
      <w:pPr>
        <w:pStyle w:val="NoSpacing"/>
        <w:rPr>
          <w:lang w:eastAsia="en-GB"/>
        </w:rPr>
      </w:pPr>
    </w:p>
    <w:p w:rsidR="00673914" w:rsidRPr="0002192F" w:rsidRDefault="00673914" w:rsidP="0002192F">
      <w:pPr>
        <w:pStyle w:val="NoSpacing"/>
        <w:rPr>
          <w:lang w:eastAsia="en-GB"/>
        </w:rPr>
      </w:pPr>
      <w:r w:rsidRPr="0002192F">
        <w:rPr>
          <w:lang w:eastAsia="en-GB"/>
        </w:rPr>
        <w:t>Similar issues have already been demonstrated in other classes of clearable derivatives.  The most liquid IRDs can be easily replaced by bank</w:t>
      </w:r>
      <w:r w:rsidR="003A7B07" w:rsidRPr="0002192F">
        <w:rPr>
          <w:lang w:eastAsia="en-GB"/>
        </w:rPr>
        <w:t xml:space="preserve">s with matched loan agreements. From market intelligence we know, that </w:t>
      </w:r>
      <w:r w:rsidRPr="0002192F">
        <w:rPr>
          <w:lang w:eastAsia="en-GB"/>
        </w:rPr>
        <w:t>CFD issuers are already looking hard at major insurers to provide default policies or other forms of contractual guaranty that fall outside of banking and derivatives regulation in many jurisdictions.  While regulatory arbitrage will always be a feature of any rules based regu</w:t>
      </w:r>
      <w:r w:rsidR="00FB7A7E">
        <w:rPr>
          <w:lang w:eastAsia="en-GB"/>
        </w:rPr>
        <w:t xml:space="preserve">latory system, where clear </w:t>
      </w:r>
      <w:r w:rsidR="00FB7A7E" w:rsidRPr="005F2342">
        <w:rPr>
          <w:lang w:eastAsia="en-GB"/>
        </w:rPr>
        <w:t>work</w:t>
      </w:r>
      <w:r w:rsidRPr="005F2342">
        <w:rPr>
          <w:lang w:eastAsia="en-GB"/>
        </w:rPr>
        <w:t>arounds</w:t>
      </w:r>
      <w:r w:rsidRPr="0002192F">
        <w:rPr>
          <w:lang w:eastAsia="en-GB"/>
        </w:rPr>
        <w:t xml:space="preserve"> to the Level 1 legislation already suggest themselves </w:t>
      </w:r>
      <w:r w:rsidR="00350AF3" w:rsidRPr="0002192F">
        <w:rPr>
          <w:lang w:eastAsia="en-GB"/>
        </w:rPr>
        <w:t>at the public comment stage</w:t>
      </w:r>
      <w:r w:rsidR="00350AF3" w:rsidRPr="0002192F">
        <w:rPr>
          <w:i/>
          <w:lang w:eastAsia="en-GB"/>
        </w:rPr>
        <w:t>, this</w:t>
      </w:r>
      <w:r w:rsidRPr="0002192F">
        <w:rPr>
          <w:i/>
          <w:lang w:eastAsia="en-GB"/>
        </w:rPr>
        <w:t xml:space="preserve"> issue must be considered</w:t>
      </w:r>
      <w:r w:rsidRPr="0002192F">
        <w:rPr>
          <w:lang w:eastAsia="en-GB"/>
        </w:rPr>
        <w:t>.</w:t>
      </w:r>
    </w:p>
    <w:p w:rsidR="003A7B07" w:rsidRPr="0002192F" w:rsidRDefault="003A7B07" w:rsidP="0002192F">
      <w:pPr>
        <w:pStyle w:val="NoSpacing"/>
        <w:rPr>
          <w:lang w:eastAsia="en-GB"/>
        </w:rPr>
      </w:pPr>
    </w:p>
    <w:p w:rsidR="003A7B07" w:rsidRPr="0002192F" w:rsidRDefault="003A7B07" w:rsidP="0002192F">
      <w:pPr>
        <w:pStyle w:val="NoSpacing"/>
        <w:rPr>
          <w:i/>
          <w:lang w:eastAsia="en-GB"/>
        </w:rPr>
      </w:pPr>
      <w:r w:rsidRPr="0002192F">
        <w:rPr>
          <w:i/>
          <w:lang w:eastAsia="en-GB"/>
        </w:rPr>
        <w:t>In the context of the CP, the term CFD is very expansive and may actually capture a broad number of other derivat</w:t>
      </w:r>
      <w:r w:rsidR="00885C89" w:rsidRPr="0002192F">
        <w:rPr>
          <w:i/>
          <w:lang w:eastAsia="en-GB"/>
        </w:rPr>
        <w:t xml:space="preserve">ive contracts. Therefore, for good order’s sake, it would be appropriate that the </w:t>
      </w:r>
      <w:r w:rsidRPr="0002192F">
        <w:rPr>
          <w:i/>
          <w:lang w:eastAsia="en-GB"/>
        </w:rPr>
        <w:t>definition be amended to exclude other derivative contracts and reflect that a CFD would be labelled as such</w:t>
      </w:r>
      <w:r w:rsidR="00885C89" w:rsidRPr="0002192F">
        <w:rPr>
          <w:i/>
          <w:lang w:eastAsia="en-GB"/>
        </w:rPr>
        <w:t xml:space="preserve"> to avoid </w:t>
      </w:r>
      <w:r w:rsidR="006C1285" w:rsidRPr="0002192F">
        <w:rPr>
          <w:i/>
          <w:lang w:eastAsia="en-GB"/>
        </w:rPr>
        <w:t>duplication of regulatory categorisation.</w:t>
      </w:r>
      <w:r w:rsidRPr="0002192F">
        <w:rPr>
          <w:i/>
          <w:lang w:eastAsia="en-GB"/>
        </w:rPr>
        <w:t xml:space="preserve">  </w:t>
      </w:r>
    </w:p>
    <w:p w:rsidR="003A7B07" w:rsidRPr="0002192F" w:rsidRDefault="003A7B07" w:rsidP="0002192F">
      <w:pPr>
        <w:pStyle w:val="NoSpacing"/>
        <w:rPr>
          <w:lang w:eastAsia="en-GB"/>
        </w:rPr>
      </w:pPr>
    </w:p>
    <w:p w:rsidR="00E11C10" w:rsidRPr="00674D41" w:rsidRDefault="00E11C10" w:rsidP="00674D41">
      <w:pPr>
        <w:pStyle w:val="NoSpacing"/>
        <w:rPr>
          <w:u w:val="single"/>
        </w:rPr>
      </w:pPr>
      <w:r w:rsidRPr="00674D41">
        <w:rPr>
          <w:u w:val="single"/>
        </w:rPr>
        <w:t>Credit Derivatives</w:t>
      </w:r>
      <w:r w:rsidR="000F2EC8" w:rsidRPr="00674D41">
        <w:rPr>
          <w:u w:val="single"/>
        </w:rPr>
        <w:t xml:space="preserve"> (CDS)</w:t>
      </w:r>
      <w:r w:rsidR="00674D41" w:rsidRPr="00674D41">
        <w:rPr>
          <w:u w:val="single"/>
        </w:rPr>
        <w:t xml:space="preserve"> – Single Name, </w:t>
      </w:r>
      <w:r w:rsidR="00A76DB9">
        <w:rPr>
          <w:u w:val="single"/>
        </w:rPr>
        <w:t xml:space="preserve">CDS Index, </w:t>
      </w:r>
      <w:r w:rsidR="00674D41" w:rsidRPr="00674D41">
        <w:rPr>
          <w:u w:val="single"/>
        </w:rPr>
        <w:t>CDS index opt</w:t>
      </w:r>
      <w:r w:rsidR="005A73B0">
        <w:rPr>
          <w:u w:val="single"/>
        </w:rPr>
        <w:t>ions</w:t>
      </w:r>
      <w:r w:rsidR="007F3A67">
        <w:rPr>
          <w:u w:val="single"/>
        </w:rPr>
        <w:t xml:space="preserve"> (Q3 &amp; Q4</w:t>
      </w:r>
      <w:r w:rsidR="00BA4AA2">
        <w:rPr>
          <w:u w:val="single"/>
        </w:rPr>
        <w:t>)</w:t>
      </w:r>
    </w:p>
    <w:p w:rsidR="00234D2F" w:rsidRDefault="003538C8" w:rsidP="0002192F">
      <w:pPr>
        <w:pStyle w:val="NoSpacing"/>
      </w:pPr>
      <w:r w:rsidRPr="00055943">
        <w:t xml:space="preserve">With regard to the </w:t>
      </w:r>
      <w:r w:rsidR="00417E2F" w:rsidRPr="00055943">
        <w:t>data presented in the CP for</w:t>
      </w:r>
      <w:r w:rsidRPr="00055943">
        <w:t xml:space="preserve"> the Credit Derivatives category and while appreciating the</w:t>
      </w:r>
      <w:r w:rsidR="000F2EC8">
        <w:t xml:space="preserve"> variety of and differences between the various derivative asset classes covered under the CP</w:t>
      </w:r>
      <w:r w:rsidR="00417E2F" w:rsidRPr="00055943">
        <w:t xml:space="preserve">, the ACI FMA is of the opinion that </w:t>
      </w:r>
      <w:r w:rsidRPr="00055943">
        <w:t>the</w:t>
      </w:r>
      <w:r w:rsidR="000F2EC8">
        <w:t xml:space="preserve"> CDS</w:t>
      </w:r>
      <w:r w:rsidRPr="00055943">
        <w:t xml:space="preserve"> </w:t>
      </w:r>
      <w:r w:rsidR="00A76DB9">
        <w:t>data, per se,</w:t>
      </w:r>
      <w:r w:rsidRPr="00055943">
        <w:t xml:space="preserve"> is bes</w:t>
      </w:r>
      <w:r w:rsidR="000F2EC8">
        <w:t>e</w:t>
      </w:r>
      <w:r w:rsidRPr="00055943">
        <w:t xml:space="preserve">t with </w:t>
      </w:r>
      <w:r w:rsidR="00A15356">
        <w:t>similar problems to the FX data</w:t>
      </w:r>
      <w:r w:rsidR="000F2EC8">
        <w:t xml:space="preserve"> with regard to definition/categorisation of (il)liquidity, </w:t>
      </w:r>
      <w:r w:rsidR="000F2EC8" w:rsidRPr="0038341D">
        <w:rPr>
          <w:rFonts w:eastAsia="Times New Roman" w:cs="Times New Roman"/>
          <w:lang w:eastAsia="de-DE"/>
        </w:rPr>
        <w:t>Large In Scale (LIS) and Size Specific to The Instrument (SSTI)</w:t>
      </w:r>
      <w:r w:rsidR="000F2EC8" w:rsidRPr="0038341D">
        <w:rPr>
          <w:lang w:eastAsia="de-DE"/>
        </w:rPr>
        <w:t xml:space="preserve"> </w:t>
      </w:r>
      <w:r w:rsidR="000F2EC8">
        <w:rPr>
          <w:lang w:eastAsia="de-DE"/>
        </w:rPr>
        <w:t xml:space="preserve">calculation </w:t>
      </w:r>
      <w:r w:rsidR="000F2EC8" w:rsidRPr="0038341D">
        <w:rPr>
          <w:lang w:eastAsia="de-DE"/>
        </w:rPr>
        <w:t>thresholds</w:t>
      </w:r>
      <w:r w:rsidR="000F2EC8">
        <w:t>, by virtue of the ESMA data gathering methodology .</w:t>
      </w:r>
      <w:r w:rsidR="00A76DB9">
        <w:t xml:space="preserve"> </w:t>
      </w:r>
      <w:r w:rsidR="00520AEA" w:rsidRPr="00520AEA">
        <w:t>As noted previously</w:t>
      </w:r>
      <w:r w:rsidR="000F2EC8" w:rsidRPr="00520AEA">
        <w:t xml:space="preserve"> </w:t>
      </w:r>
      <w:r w:rsidR="00520AEA" w:rsidRPr="00520AEA">
        <w:t xml:space="preserve">there is no evidence that instrument </w:t>
      </w:r>
      <w:r w:rsidR="00520AEA" w:rsidRPr="00520AEA">
        <w:rPr>
          <w:lang w:val="en-US"/>
        </w:rPr>
        <w:t xml:space="preserve">maturity, cash flow and </w:t>
      </w:r>
      <w:r w:rsidR="00520AEA" w:rsidRPr="00520AEA">
        <w:t xml:space="preserve">volumes traded have been taken into account, </w:t>
      </w:r>
      <w:r w:rsidR="00520AEA" w:rsidRPr="00520AEA">
        <w:rPr>
          <w:lang w:val="en-US"/>
        </w:rPr>
        <w:t xml:space="preserve">much less market </w:t>
      </w:r>
      <w:r w:rsidR="00520AEA">
        <w:rPr>
          <w:lang w:val="en-US"/>
        </w:rPr>
        <w:t xml:space="preserve">participant and product spread </w:t>
      </w:r>
      <w:r w:rsidR="00520AEA" w:rsidRPr="00520AEA">
        <w:rPr>
          <w:lang w:val="en-US"/>
        </w:rPr>
        <w:t>have to be considered</w:t>
      </w:r>
      <w:r w:rsidR="00520AEA">
        <w:rPr>
          <w:lang w:val="en-US"/>
        </w:rPr>
        <w:t xml:space="preserve"> when conducting the ESMA analysis.</w:t>
      </w:r>
      <w:r w:rsidR="00520AEA" w:rsidRPr="00520AEA">
        <w:rPr>
          <w:lang w:val="en-US"/>
        </w:rPr>
        <w:t xml:space="preserve"> </w:t>
      </w:r>
      <w:r w:rsidR="000F2EC8" w:rsidRPr="00520AEA">
        <w:t xml:space="preserve">We </w:t>
      </w:r>
      <w:r w:rsidR="00A15356" w:rsidRPr="00520AEA">
        <w:t>would refer</w:t>
      </w:r>
      <w:r w:rsidR="000F2EC8" w:rsidRPr="00520AEA">
        <w:t xml:space="preserve"> ESMA </w:t>
      </w:r>
      <w:r w:rsidR="00A15356" w:rsidRPr="00520AEA">
        <w:t>to our comments on page 6, paragraphs</w:t>
      </w:r>
      <w:r w:rsidR="00A15356">
        <w:t xml:space="preserve"> 2-3.</w:t>
      </w:r>
      <w:r w:rsidR="00B06EBE">
        <w:t xml:space="preserve"> </w:t>
      </w:r>
      <w:r w:rsidR="00234D2F">
        <w:t>Additionally, we would comment that, based on feedback from our members, liquidity thresholds</w:t>
      </w:r>
      <w:r w:rsidR="00234D2F" w:rsidRPr="00234D2F">
        <w:t xml:space="preserve"> across the credit derivative classes </w:t>
      </w:r>
      <w:r w:rsidR="00234D2F">
        <w:t xml:space="preserve">should not necessarily </w:t>
      </w:r>
      <w:r w:rsidR="00234D2F" w:rsidRPr="00234D2F">
        <w:t>be the same</w:t>
      </w:r>
      <w:r w:rsidR="00234D2F">
        <w:t>.</w:t>
      </w:r>
    </w:p>
    <w:p w:rsidR="00234D2F" w:rsidRDefault="00234D2F" w:rsidP="0002192F">
      <w:pPr>
        <w:pStyle w:val="NoSpacing"/>
      </w:pPr>
    </w:p>
    <w:p w:rsidR="003538C8" w:rsidRDefault="00A15356" w:rsidP="0002192F">
      <w:pPr>
        <w:pStyle w:val="NoSpacing"/>
      </w:pPr>
      <w:r>
        <w:t>Nevertheless,</w:t>
      </w:r>
      <w:r w:rsidR="000F2EC8">
        <w:t xml:space="preserve"> we would make specific mention of the following concerns in addition to those expressed earlier in this consultation response.</w:t>
      </w:r>
    </w:p>
    <w:p w:rsidR="00234D2F" w:rsidRDefault="00234D2F" w:rsidP="00FC58BC">
      <w:pPr>
        <w:pStyle w:val="NoSpacing"/>
        <w:rPr>
          <w:u w:val="single"/>
        </w:rPr>
      </w:pPr>
    </w:p>
    <w:p w:rsidR="00FC58BC" w:rsidRPr="007F3A67" w:rsidRDefault="00FC58BC" w:rsidP="00FC58BC">
      <w:pPr>
        <w:pStyle w:val="NoSpacing"/>
        <w:rPr>
          <w:u w:val="single"/>
        </w:rPr>
      </w:pPr>
      <w:r w:rsidRPr="007F3A67">
        <w:rPr>
          <w:u w:val="single"/>
        </w:rPr>
        <w:t>Single Name CDS</w:t>
      </w:r>
    </w:p>
    <w:p w:rsidR="00674D41" w:rsidRDefault="00FC58BC" w:rsidP="00FC58BC">
      <w:pPr>
        <w:pStyle w:val="NoSpacing"/>
      </w:pPr>
      <w:r>
        <w:t xml:space="preserve">ESMA has undertaken an extensive </w:t>
      </w:r>
      <w:r w:rsidRPr="00FC58BC">
        <w:t>liquidity analysis of derivatives classes. Multiple sub-</w:t>
      </w:r>
      <w:r w:rsidR="00A76DB9">
        <w:t xml:space="preserve">classes have </w:t>
      </w:r>
      <w:r w:rsidRPr="00FC58BC">
        <w:t>been analys</w:t>
      </w:r>
      <w:r w:rsidR="00BA4AA2">
        <w:t>ed and categorised</w:t>
      </w:r>
      <w:r w:rsidRPr="00FC58BC">
        <w:t xml:space="preserve"> as liquid or illiquid. Nevertheless, </w:t>
      </w:r>
      <w:r w:rsidR="007F3A67">
        <w:t xml:space="preserve">the </w:t>
      </w:r>
      <w:r w:rsidRPr="00FC58BC">
        <w:t>sub-divi</w:t>
      </w:r>
      <w:r w:rsidR="007F3A67">
        <w:t>si</w:t>
      </w:r>
      <w:r w:rsidRPr="00FC58BC">
        <w:t>ons of</w:t>
      </w:r>
      <w:r w:rsidR="00BA4AA2">
        <w:t xml:space="preserve"> the asset class</w:t>
      </w:r>
      <w:r w:rsidRPr="00FC58BC">
        <w:t xml:space="preserve"> does not </w:t>
      </w:r>
      <w:r w:rsidR="007F3A67">
        <w:t xml:space="preserve">appear to </w:t>
      </w:r>
      <w:r w:rsidRPr="00FC58BC">
        <w:t>offer sufficient granul</w:t>
      </w:r>
      <w:r w:rsidR="00BA4AA2">
        <w:t xml:space="preserve">arity e.g. </w:t>
      </w:r>
      <w:r w:rsidRPr="00FC58BC">
        <w:t xml:space="preserve"> single-name CDSs are defined by ‘underlying issu</w:t>
      </w:r>
      <w:r w:rsidR="00BA4AA2">
        <w:t xml:space="preserve">er type’ and as per this analysis </w:t>
      </w:r>
      <w:r w:rsidRPr="00FC58BC">
        <w:t>single-name CDSs denominated in Euro and US Dollar up to 5-6 y</w:t>
      </w:r>
      <w:r w:rsidR="00BA4AA2">
        <w:t>ears are considered as liquid</w:t>
      </w:r>
      <w:r w:rsidR="00A76DB9">
        <w:t>. H</w:t>
      </w:r>
      <w:r w:rsidR="00BA4AA2">
        <w:t xml:space="preserve">owever, this is somewhat misleading as </w:t>
      </w:r>
      <w:r w:rsidR="00BA4AA2" w:rsidRPr="00BA4AA2">
        <w:t>corporates or s</w:t>
      </w:r>
      <w:r w:rsidR="00BA4AA2">
        <w:t xml:space="preserve">overeign entities have differing </w:t>
      </w:r>
      <w:r w:rsidR="00BA4AA2" w:rsidRPr="00BA4AA2">
        <w:t>liquidit</w:t>
      </w:r>
      <w:r w:rsidR="00BA4AA2">
        <w:t>y characteristics. Therefore, further clarification and classification is desirable to identify the correct issuer of the underlying bond or loan</w:t>
      </w:r>
      <w:r w:rsidR="00AE15BE">
        <w:t xml:space="preserve"> as well as a taxonomy, which should include at a minimum </w:t>
      </w:r>
      <w:r w:rsidR="0019408B">
        <w:t xml:space="preserve">of details of </w:t>
      </w:r>
      <w:r w:rsidR="00AE15BE">
        <w:t>region, currency, tenor and coupon</w:t>
      </w:r>
      <w:r w:rsidR="00BA4AA2">
        <w:t>. Furthermore, distinction regarding ‘tranched’ and ‘untranched’ would be desirable.</w:t>
      </w:r>
    </w:p>
    <w:p w:rsidR="0005717F" w:rsidRDefault="0005717F" w:rsidP="00FC58BC">
      <w:pPr>
        <w:pStyle w:val="NoSpacing"/>
      </w:pPr>
    </w:p>
    <w:p w:rsidR="0005717F" w:rsidRPr="0005717F" w:rsidRDefault="0005717F" w:rsidP="00FC58BC">
      <w:pPr>
        <w:pStyle w:val="NoSpacing"/>
      </w:pPr>
      <w:r w:rsidRPr="0005717F">
        <w:rPr>
          <w:rFonts w:eastAsia="Times New Roman" w:cs="Times New Roman"/>
          <w:lang w:eastAsia="de-DE"/>
        </w:rPr>
        <w:t>Another measure of liquidity under ESMA, which is of concern to the ACI FMA is the determination that in order to be liquid an instrument must trade mor</w:t>
      </w:r>
      <w:r>
        <w:rPr>
          <w:rFonts w:eastAsia="Times New Roman" w:cs="Times New Roman"/>
          <w:lang w:eastAsia="de-DE"/>
        </w:rPr>
        <w:t xml:space="preserve">e than once or twice per day </w:t>
      </w:r>
      <w:r w:rsidRPr="0005717F">
        <w:rPr>
          <w:rFonts w:eastAsia="Times New Roman" w:cs="Times New Roman"/>
          <w:lang w:eastAsia="de-DE"/>
        </w:rPr>
        <w:t xml:space="preserve">for CDS Single Name </w:t>
      </w:r>
      <w:r>
        <w:rPr>
          <w:rFonts w:eastAsia="Times New Roman" w:cs="Times New Roman"/>
          <w:lang w:eastAsia="de-DE"/>
        </w:rPr>
        <w:t>this equated to</w:t>
      </w:r>
      <w:r w:rsidRPr="0005717F">
        <w:rPr>
          <w:rFonts w:eastAsia="Times New Roman" w:cs="Times New Roman"/>
          <w:lang w:eastAsia="de-DE"/>
        </w:rPr>
        <w:t xml:space="preserve"> </w:t>
      </w:r>
      <w:r>
        <w:rPr>
          <w:rFonts w:eastAsia="Times New Roman" w:cs="Times New Roman"/>
          <w:lang w:eastAsia="de-DE"/>
        </w:rPr>
        <w:t>two trades/day</w:t>
      </w:r>
      <w:r w:rsidRPr="0005717F">
        <w:rPr>
          <w:rFonts w:eastAsia="Times New Roman" w:cs="Times New Roman"/>
          <w:lang w:eastAsia="de-DE"/>
        </w:rPr>
        <w:t>. However, in our opinion this threshold is too low and</w:t>
      </w:r>
      <w:r w:rsidR="000C2762">
        <w:rPr>
          <w:rFonts w:eastAsia="Times New Roman" w:cs="Times New Roman"/>
          <w:lang w:eastAsia="de-DE"/>
        </w:rPr>
        <w:t xml:space="preserve"> a minimum of</w:t>
      </w:r>
      <w:r w:rsidRPr="0005717F">
        <w:rPr>
          <w:rFonts w:eastAsia="Times New Roman" w:cs="Times New Roman"/>
          <w:lang w:eastAsia="de-DE"/>
        </w:rPr>
        <w:t xml:space="preserve"> 10 times per day</w:t>
      </w:r>
      <w:r w:rsidR="00234D2F">
        <w:rPr>
          <w:rFonts w:eastAsia="Times New Roman" w:cs="Times New Roman"/>
          <w:lang w:eastAsia="de-DE"/>
        </w:rPr>
        <w:t xml:space="preserve"> with a notional threshold </w:t>
      </w:r>
      <w:r w:rsidR="00234D2F">
        <w:t>EUR 5</w:t>
      </w:r>
      <w:r w:rsidR="00234D2F" w:rsidRPr="00234D2F">
        <w:t>00 million</w:t>
      </w:r>
      <w:r w:rsidR="00234D2F">
        <w:rPr>
          <w:rFonts w:eastAsia="Times New Roman" w:cs="Times New Roman"/>
          <w:lang w:eastAsia="de-DE"/>
        </w:rPr>
        <w:t xml:space="preserve"> of </w:t>
      </w:r>
      <w:r>
        <w:rPr>
          <w:rFonts w:eastAsia="Times New Roman" w:cs="Times New Roman"/>
          <w:lang w:eastAsia="de-DE"/>
        </w:rPr>
        <w:t>would be more appropriate to determine liquidity in combination with the previous proposal regarding enhanced granularity.</w:t>
      </w:r>
    </w:p>
    <w:p w:rsidR="00BA4AA2" w:rsidRDefault="00BA4AA2" w:rsidP="00FC58BC">
      <w:pPr>
        <w:pStyle w:val="NoSpacing"/>
      </w:pPr>
    </w:p>
    <w:p w:rsidR="00AE15BE" w:rsidRPr="005A73B0" w:rsidRDefault="00BA4AA2" w:rsidP="00AE15BE">
      <w:pPr>
        <w:pStyle w:val="NoSpacing"/>
        <w:rPr>
          <w:u w:val="single"/>
        </w:rPr>
      </w:pPr>
      <w:r w:rsidRPr="005A73B0">
        <w:rPr>
          <w:u w:val="single"/>
        </w:rPr>
        <w:t>CDS Index</w:t>
      </w:r>
      <w:r w:rsidR="00AE15BE" w:rsidRPr="005A73B0">
        <w:rPr>
          <w:u w:val="single"/>
        </w:rPr>
        <w:t xml:space="preserve"> and CDS Index Options </w:t>
      </w:r>
    </w:p>
    <w:p w:rsidR="00FD0F53" w:rsidRDefault="001575B6" w:rsidP="003B0339">
      <w:pPr>
        <w:pStyle w:val="NoSpacing"/>
      </w:pPr>
      <w:r w:rsidRPr="00AE15BE">
        <w:t xml:space="preserve">Our </w:t>
      </w:r>
      <w:r w:rsidR="00A76DB9" w:rsidRPr="00AE15BE">
        <w:t xml:space="preserve">liquidity </w:t>
      </w:r>
      <w:r w:rsidRPr="00AE15BE">
        <w:t>concern with regard to CDS indices</w:t>
      </w:r>
      <w:r w:rsidR="00AE15BE" w:rsidRPr="00AE15BE">
        <w:t xml:space="preserve"> and CDS index options</w:t>
      </w:r>
      <w:r w:rsidRPr="00AE15BE">
        <w:t xml:space="preserve"> is </w:t>
      </w:r>
      <w:r w:rsidR="00A76DB9" w:rsidRPr="00AE15BE">
        <w:t>that a liquidity classification</w:t>
      </w:r>
      <w:r w:rsidR="0005717F">
        <w:t>, similar to the previous concern regarding CDS single names,</w:t>
      </w:r>
      <w:r w:rsidR="00A76DB9" w:rsidRPr="00AE15BE">
        <w:t xml:space="preserve"> appears to have been made based on a low absolute trade turnover with regard to the notional amount and frequency of trade i.e. trades once or twice per day. (Proposal is once per day for CDS Index and twice per day for CDS Index Options).</w:t>
      </w:r>
      <w:r w:rsidR="00AE15BE" w:rsidRPr="00AE15BE">
        <w:t xml:space="preserve"> </w:t>
      </w:r>
      <w:r w:rsidR="003B0339">
        <w:t>Based on feedback from ACI FMA members, t</w:t>
      </w:r>
      <w:r w:rsidR="00AE15BE" w:rsidRPr="00AE15BE">
        <w:t>he ACI FMA regards that a minimum 2400 trades a</w:t>
      </w:r>
      <w:r w:rsidR="00AE15BE">
        <w:t xml:space="preserve"> year or 10 trades per </w:t>
      </w:r>
      <w:r w:rsidR="00FB7A7E" w:rsidRPr="005F2342">
        <w:t>day and</w:t>
      </w:r>
      <w:r w:rsidR="00D304E9">
        <w:t xml:space="preserve"> a notional threshold of </w:t>
      </w:r>
      <w:r w:rsidR="00D304E9" w:rsidRPr="003519EF">
        <w:t xml:space="preserve">EUR </w:t>
      </w:r>
      <w:r w:rsidR="003519EF" w:rsidRPr="003519EF">
        <w:t>10 million for CDS index and 200 million for CDS single names</w:t>
      </w:r>
      <w:r w:rsidR="00D304E9" w:rsidRPr="00D304E9">
        <w:t xml:space="preserve"> </w:t>
      </w:r>
      <w:r w:rsidR="00AE15BE">
        <w:t>would be a measure more reflective of a liquid market</w:t>
      </w:r>
      <w:r w:rsidR="005A73B0">
        <w:t xml:space="preserve"> in these</w:t>
      </w:r>
      <w:r w:rsidR="00AE15BE">
        <w:t xml:space="preserve"> particular instrument</w:t>
      </w:r>
      <w:r w:rsidR="005A73B0">
        <w:t>s</w:t>
      </w:r>
      <w:r w:rsidR="00AE15BE">
        <w:t>. Therefore, would advise that this</w:t>
      </w:r>
      <w:r w:rsidR="005A73B0">
        <w:t xml:space="preserve"> liq</w:t>
      </w:r>
      <w:r w:rsidR="003B0339">
        <w:t>uidity measurement should be re</w:t>
      </w:r>
      <w:r w:rsidR="005A73B0">
        <w:t>-visited to avoid classifying illiquid instruments as liquid.</w:t>
      </w:r>
      <w:r w:rsidR="00FD0F53" w:rsidRPr="003B0339">
        <w:t xml:space="preserve"> </w:t>
      </w:r>
    </w:p>
    <w:p w:rsidR="00234D2F" w:rsidRDefault="00234D2F" w:rsidP="003B0339">
      <w:pPr>
        <w:pStyle w:val="NoSpacing"/>
      </w:pPr>
    </w:p>
    <w:p w:rsidR="00234D2F" w:rsidRDefault="00234D2F" w:rsidP="00234D2F">
      <w:pPr>
        <w:pStyle w:val="NoSpacing"/>
      </w:pPr>
      <w:r w:rsidRPr="00234D2F">
        <w:t xml:space="preserve">The ACI FMA would agree with </w:t>
      </w:r>
      <w:r w:rsidR="001A13C3">
        <w:t xml:space="preserve">the </w:t>
      </w:r>
      <w:r w:rsidRPr="00234D2F">
        <w:t>ESMA categorisation of bespoke basket CDS and single name CDS options as illiquid.</w:t>
      </w:r>
    </w:p>
    <w:p w:rsidR="00665E8D" w:rsidRDefault="00665E8D" w:rsidP="0002192F">
      <w:pPr>
        <w:pStyle w:val="NoSpacing"/>
        <w:rPr>
          <w:rFonts w:ascii="Calibri" w:eastAsia="Times New Roman" w:hAnsi="Calibri" w:cs="Times New Roman"/>
          <w:u w:val="single"/>
          <w:lang w:eastAsia="en-GB"/>
        </w:rPr>
      </w:pPr>
    </w:p>
    <w:p w:rsidR="0087796F" w:rsidRPr="0002192F" w:rsidRDefault="002D5476" w:rsidP="0002192F">
      <w:pPr>
        <w:pStyle w:val="NoSpacing"/>
        <w:rPr>
          <w:rFonts w:ascii="Calibri" w:eastAsia="Times New Roman" w:hAnsi="Calibri" w:cs="Times New Roman"/>
          <w:u w:val="single"/>
          <w:lang w:eastAsia="en-GB"/>
        </w:rPr>
      </w:pPr>
      <w:r w:rsidRPr="0002192F">
        <w:rPr>
          <w:rFonts w:ascii="Calibri" w:eastAsia="Times New Roman" w:hAnsi="Calibri" w:cs="Times New Roman"/>
          <w:u w:val="single"/>
          <w:lang w:eastAsia="en-GB"/>
        </w:rPr>
        <w:t>Summary</w:t>
      </w:r>
    </w:p>
    <w:p w:rsidR="0002192F" w:rsidRPr="0002192F" w:rsidRDefault="0002192F" w:rsidP="0002192F">
      <w:pPr>
        <w:pStyle w:val="NoSpacing"/>
      </w:pPr>
      <w:r w:rsidRPr="0002192F">
        <w:t xml:space="preserve">The ACI believes that the Consultation document, and the responses from the various market participants to the document will help the regulators, industry participants and the public to be </w:t>
      </w:r>
      <w:r w:rsidR="00621179">
        <w:t>better informed regarding the</w:t>
      </w:r>
      <w:r w:rsidR="00621179" w:rsidRPr="00621179">
        <w:rPr>
          <w:b/>
          <w:sz w:val="26"/>
          <w:szCs w:val="26"/>
          <w:u w:val="single"/>
          <w:shd w:val="clear" w:color="auto" w:fill="FFFFFF"/>
        </w:rPr>
        <w:t xml:space="preserve"> </w:t>
      </w:r>
      <w:r w:rsidR="00621179" w:rsidRPr="00621179">
        <w:rPr>
          <w:shd w:val="clear" w:color="auto" w:fill="FFFFFF"/>
        </w:rPr>
        <w:t>MiFID/R - ESMA LEVEL 2 Consultation - Addendum Consultation Document on Transparency Requirements</w:t>
      </w:r>
      <w:r w:rsidRPr="0002192F">
        <w:t>.  The greater awareness that comes from this knowledge will assist the industry in assuring that best practices are implemented and followed.</w:t>
      </w:r>
    </w:p>
    <w:p w:rsidR="0087796F" w:rsidRDefault="0087796F" w:rsidP="0002192F">
      <w:pPr>
        <w:pStyle w:val="NoSpacing"/>
        <w:rPr>
          <w:rFonts w:ascii="Calibri" w:eastAsia="Times New Roman" w:hAnsi="Calibri" w:cs="Times New Roman"/>
          <w:lang w:eastAsia="en-GB"/>
        </w:rPr>
      </w:pPr>
    </w:p>
    <w:p w:rsidR="00621179" w:rsidRPr="0002192F" w:rsidRDefault="00621179" w:rsidP="00621179">
      <w:pPr>
        <w:autoSpaceDE w:val="0"/>
        <w:autoSpaceDN w:val="0"/>
        <w:adjustRightInd w:val="0"/>
        <w:spacing w:after="0" w:line="240" w:lineRule="auto"/>
        <w:rPr>
          <w:rFonts w:ascii="Calibri" w:eastAsia="Times New Roman" w:hAnsi="Calibri" w:cs="Times New Roman"/>
          <w:lang w:eastAsia="en-GB"/>
        </w:rPr>
      </w:pPr>
      <w:r>
        <w:rPr>
          <w:rFonts w:ascii="Calibri" w:hAnsi="Calibri" w:cs="Calibri"/>
        </w:rPr>
        <w:t>The ACI thanks ESMA in advance for its consideration of the views we have expressed in this Consultation response. We look forward to working with ESMA.</w:t>
      </w:r>
    </w:p>
    <w:sectPr w:rsidR="00621179" w:rsidRPr="0002192F" w:rsidSect="007C76F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40A" w:rsidRDefault="00E4540A" w:rsidP="00641682">
      <w:pPr>
        <w:spacing w:after="0" w:line="240" w:lineRule="auto"/>
      </w:pPr>
      <w:r>
        <w:separator/>
      </w:r>
    </w:p>
  </w:endnote>
  <w:endnote w:type="continuationSeparator" w:id="0">
    <w:p w:rsidR="00E4540A" w:rsidRDefault="00E4540A" w:rsidP="0064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018850"/>
      <w:docPartObj>
        <w:docPartGallery w:val="Page Numbers (Bottom of Page)"/>
        <w:docPartUnique/>
      </w:docPartObj>
    </w:sdtPr>
    <w:sdtEndPr>
      <w:rPr>
        <w:noProof/>
      </w:rPr>
    </w:sdtEndPr>
    <w:sdtContent>
      <w:p w:rsidR="002048FE" w:rsidRDefault="00E17241">
        <w:pPr>
          <w:pStyle w:val="Footer"/>
          <w:jc w:val="center"/>
        </w:pPr>
        <w:r>
          <w:fldChar w:fldCharType="begin"/>
        </w:r>
        <w:r>
          <w:instrText xml:space="preserve"> PAGE   \* MERGEFORMAT </w:instrText>
        </w:r>
        <w:r>
          <w:fldChar w:fldCharType="separate"/>
        </w:r>
        <w:r w:rsidR="00582F13">
          <w:rPr>
            <w:noProof/>
          </w:rPr>
          <w:t>2</w:t>
        </w:r>
        <w:r>
          <w:rPr>
            <w:noProof/>
          </w:rPr>
          <w:fldChar w:fldCharType="end"/>
        </w:r>
      </w:p>
    </w:sdtContent>
  </w:sdt>
  <w:p w:rsidR="002048FE" w:rsidRDefault="00204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40A" w:rsidRDefault="00E4540A" w:rsidP="00641682">
      <w:pPr>
        <w:spacing w:after="0" w:line="240" w:lineRule="auto"/>
      </w:pPr>
      <w:r>
        <w:separator/>
      </w:r>
    </w:p>
  </w:footnote>
  <w:footnote w:type="continuationSeparator" w:id="0">
    <w:p w:rsidR="00E4540A" w:rsidRDefault="00E4540A" w:rsidP="00641682">
      <w:pPr>
        <w:spacing w:after="0" w:line="240" w:lineRule="auto"/>
      </w:pPr>
      <w:r>
        <w:continuationSeparator/>
      </w:r>
    </w:p>
  </w:footnote>
  <w:footnote w:id="1">
    <w:p w:rsidR="002048FE" w:rsidRDefault="002048FE" w:rsidP="00A45A9D">
      <w:pPr>
        <w:pStyle w:val="FootnoteText"/>
        <w:rPr>
          <w:lang w:val="en-US"/>
        </w:rPr>
      </w:pPr>
    </w:p>
    <w:p w:rsidR="002048FE" w:rsidRDefault="002048FE" w:rsidP="00A45A9D">
      <w:pPr>
        <w:pStyle w:val="FootnoteText"/>
        <w:rPr>
          <w:lang w:val="en-US"/>
        </w:rPr>
      </w:pPr>
    </w:p>
    <w:p w:rsidR="002048FE" w:rsidRDefault="002048FE" w:rsidP="00A45A9D">
      <w:pPr>
        <w:pStyle w:val="FootnoteText"/>
        <w:rPr>
          <w:lang w:val="en-US"/>
        </w:rPr>
      </w:pPr>
    </w:p>
    <w:p w:rsidR="002048FE" w:rsidRDefault="002048FE" w:rsidP="00A45A9D">
      <w:pPr>
        <w:pStyle w:val="FootnoteText"/>
        <w:rPr>
          <w:lang w:val="en-US"/>
        </w:rPr>
      </w:pPr>
    </w:p>
    <w:p w:rsidR="002048FE" w:rsidRDefault="002048FE" w:rsidP="00A45A9D">
      <w:pPr>
        <w:pStyle w:val="FootnoteText"/>
        <w:rPr>
          <w:lang w:val="en-US"/>
        </w:rPr>
      </w:pPr>
    </w:p>
    <w:p w:rsidR="002048FE" w:rsidRDefault="002048FE" w:rsidP="00A45A9D">
      <w:pPr>
        <w:pStyle w:val="FootnoteText"/>
        <w:rPr>
          <w:lang w:val="en-US"/>
        </w:rPr>
      </w:pPr>
    </w:p>
    <w:p w:rsidR="002048FE" w:rsidRPr="00C7618B" w:rsidRDefault="002048FE" w:rsidP="00A45A9D">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8277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CE01DE0"/>
    <w:multiLevelType w:val="hybridMultilevel"/>
    <w:tmpl w:val="C4904D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8C3064"/>
    <w:multiLevelType w:val="hybridMultilevel"/>
    <w:tmpl w:val="DCCC3E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B16E34"/>
    <w:multiLevelType w:val="hybridMultilevel"/>
    <w:tmpl w:val="6100933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2D090E"/>
    <w:multiLevelType w:val="hybridMultilevel"/>
    <w:tmpl w:val="21A07872"/>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800BD2"/>
    <w:multiLevelType w:val="hybridMultilevel"/>
    <w:tmpl w:val="481A75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E357C9"/>
    <w:multiLevelType w:val="hybridMultilevel"/>
    <w:tmpl w:val="42BECB1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EB766B8"/>
    <w:multiLevelType w:val="hybridMultilevel"/>
    <w:tmpl w:val="CF1AD5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DB148C"/>
    <w:multiLevelType w:val="hybridMultilevel"/>
    <w:tmpl w:val="EA7E7E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2163EB"/>
    <w:multiLevelType w:val="hybridMultilevel"/>
    <w:tmpl w:val="12607248"/>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6F74CD"/>
    <w:multiLevelType w:val="hybridMultilevel"/>
    <w:tmpl w:val="D1DEDE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1146B1"/>
    <w:multiLevelType w:val="hybridMultilevel"/>
    <w:tmpl w:val="61FC91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ED63A2"/>
    <w:multiLevelType w:val="hybridMultilevel"/>
    <w:tmpl w:val="FE92BC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DB1D4E"/>
    <w:multiLevelType w:val="hybridMultilevel"/>
    <w:tmpl w:val="D73A4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2276A6"/>
    <w:multiLevelType w:val="hybridMultilevel"/>
    <w:tmpl w:val="0E46EC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423273"/>
    <w:multiLevelType w:val="hybridMultilevel"/>
    <w:tmpl w:val="4D40FB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E84B32"/>
    <w:multiLevelType w:val="multilevel"/>
    <w:tmpl w:val="E0A8217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4A8501C1"/>
    <w:multiLevelType w:val="multilevel"/>
    <w:tmpl w:val="08286688"/>
    <w:lvl w:ilvl="0">
      <w:start w:val="61"/>
      <w:numFmt w:val="decimal"/>
      <w:pStyle w:val="CPQuestions"/>
      <w:suff w:val="space"/>
      <w:lvlText w:val="Q%1."/>
      <w:lvlJc w:val="left"/>
      <w:pPr>
        <w:ind w:left="284" w:firstLine="0"/>
      </w:pPr>
      <w:rPr>
        <w:rFonts w:cs="Times New Roman" w:hint="default"/>
      </w:rPr>
    </w:lvl>
    <w:lvl w:ilvl="1">
      <w:start w:val="1"/>
      <w:numFmt w:val="decimal"/>
      <w:pStyle w:val="CPQuest2"/>
      <w:suff w:val="space"/>
      <w:lvlText w:val="(%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FDC4E03"/>
    <w:multiLevelType w:val="hybridMultilevel"/>
    <w:tmpl w:val="066A9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8623931"/>
    <w:multiLevelType w:val="hybridMultilevel"/>
    <w:tmpl w:val="1C94CA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87C0778"/>
    <w:multiLevelType w:val="hybridMultilevel"/>
    <w:tmpl w:val="6DB065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0E6B90"/>
    <w:multiLevelType w:val="hybridMultilevel"/>
    <w:tmpl w:val="6AB04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29381D"/>
    <w:multiLevelType w:val="hybridMultilevel"/>
    <w:tmpl w:val="129C28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8"/>
  </w:num>
  <w:num w:numId="5">
    <w:abstractNumId w:val="7"/>
  </w:num>
  <w:num w:numId="6">
    <w:abstractNumId w:val="22"/>
  </w:num>
  <w:num w:numId="7">
    <w:abstractNumId w:val="19"/>
  </w:num>
  <w:num w:numId="8">
    <w:abstractNumId w:val="9"/>
  </w:num>
  <w:num w:numId="9">
    <w:abstractNumId w:val="2"/>
  </w:num>
  <w:num w:numId="10">
    <w:abstractNumId w:val="3"/>
  </w:num>
  <w:num w:numId="11">
    <w:abstractNumId w:val="5"/>
  </w:num>
  <w:num w:numId="12">
    <w:abstractNumId w:val="20"/>
  </w:num>
  <w:num w:numId="13">
    <w:abstractNumId w:val="16"/>
  </w:num>
  <w:num w:numId="14">
    <w:abstractNumId w:val="11"/>
  </w:num>
  <w:num w:numId="15">
    <w:abstractNumId w:val="10"/>
  </w:num>
  <w:num w:numId="16">
    <w:abstractNumId w:val="21"/>
  </w:num>
  <w:num w:numId="17">
    <w:abstractNumId w:val="4"/>
  </w:num>
  <w:num w:numId="18">
    <w:abstractNumId w:val="13"/>
  </w:num>
  <w:num w:numId="19">
    <w:abstractNumId w:val="15"/>
  </w:num>
  <w:num w:numId="20">
    <w:abstractNumId w:val="23"/>
  </w:num>
  <w:num w:numId="21">
    <w:abstractNumId w:val="18"/>
  </w:num>
  <w:num w:numId="22">
    <w:abstractNumId w:val="12"/>
  </w:num>
  <w:num w:numId="23">
    <w:abstractNumId w:val="17"/>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682"/>
    <w:rsid w:val="0000300D"/>
    <w:rsid w:val="0002192F"/>
    <w:rsid w:val="000304C0"/>
    <w:rsid w:val="00031F7A"/>
    <w:rsid w:val="00044C57"/>
    <w:rsid w:val="00055943"/>
    <w:rsid w:val="0005717F"/>
    <w:rsid w:val="0006235C"/>
    <w:rsid w:val="00062600"/>
    <w:rsid w:val="000A2480"/>
    <w:rsid w:val="000C0FF0"/>
    <w:rsid w:val="000C2762"/>
    <w:rsid w:val="000F2EC8"/>
    <w:rsid w:val="00106929"/>
    <w:rsid w:val="00116F01"/>
    <w:rsid w:val="0015285E"/>
    <w:rsid w:val="001534DB"/>
    <w:rsid w:val="001575B6"/>
    <w:rsid w:val="00160F60"/>
    <w:rsid w:val="00165C10"/>
    <w:rsid w:val="0017533E"/>
    <w:rsid w:val="00180723"/>
    <w:rsid w:val="0019408B"/>
    <w:rsid w:val="001A13C3"/>
    <w:rsid w:val="001A1CA8"/>
    <w:rsid w:val="001D04D8"/>
    <w:rsid w:val="001E704C"/>
    <w:rsid w:val="002048FE"/>
    <w:rsid w:val="00234D2F"/>
    <w:rsid w:val="00256FD4"/>
    <w:rsid w:val="00283940"/>
    <w:rsid w:val="0028773D"/>
    <w:rsid w:val="002B5C26"/>
    <w:rsid w:val="002B700A"/>
    <w:rsid w:val="002D5476"/>
    <w:rsid w:val="002F708D"/>
    <w:rsid w:val="002F7783"/>
    <w:rsid w:val="00300467"/>
    <w:rsid w:val="003064BF"/>
    <w:rsid w:val="0031491C"/>
    <w:rsid w:val="003247B5"/>
    <w:rsid w:val="00342C71"/>
    <w:rsid w:val="00350AF3"/>
    <w:rsid w:val="003519EF"/>
    <w:rsid w:val="003538C8"/>
    <w:rsid w:val="00356933"/>
    <w:rsid w:val="003614C6"/>
    <w:rsid w:val="0036260D"/>
    <w:rsid w:val="003717F1"/>
    <w:rsid w:val="0038341D"/>
    <w:rsid w:val="00391F93"/>
    <w:rsid w:val="003A7B07"/>
    <w:rsid w:val="003B0339"/>
    <w:rsid w:val="003D51C2"/>
    <w:rsid w:val="003F444A"/>
    <w:rsid w:val="00417E2F"/>
    <w:rsid w:val="004345A4"/>
    <w:rsid w:val="00446F97"/>
    <w:rsid w:val="00477DB8"/>
    <w:rsid w:val="004C120C"/>
    <w:rsid w:val="004F7081"/>
    <w:rsid w:val="005114D4"/>
    <w:rsid w:val="00512441"/>
    <w:rsid w:val="00515810"/>
    <w:rsid w:val="00520AEA"/>
    <w:rsid w:val="005426C4"/>
    <w:rsid w:val="00581522"/>
    <w:rsid w:val="00582F13"/>
    <w:rsid w:val="00590714"/>
    <w:rsid w:val="00594C3C"/>
    <w:rsid w:val="005A73B0"/>
    <w:rsid w:val="005B10D6"/>
    <w:rsid w:val="005B7CB0"/>
    <w:rsid w:val="005C0EA9"/>
    <w:rsid w:val="005E1308"/>
    <w:rsid w:val="005F2342"/>
    <w:rsid w:val="00621179"/>
    <w:rsid w:val="0062636F"/>
    <w:rsid w:val="00641682"/>
    <w:rsid w:val="00645049"/>
    <w:rsid w:val="00652C20"/>
    <w:rsid w:val="00665E8D"/>
    <w:rsid w:val="00673914"/>
    <w:rsid w:val="00674D41"/>
    <w:rsid w:val="00683C1F"/>
    <w:rsid w:val="006B192B"/>
    <w:rsid w:val="006B47A6"/>
    <w:rsid w:val="006C1285"/>
    <w:rsid w:val="006C54F1"/>
    <w:rsid w:val="006D1D45"/>
    <w:rsid w:val="006D28A2"/>
    <w:rsid w:val="006F4A27"/>
    <w:rsid w:val="006F4C58"/>
    <w:rsid w:val="00710AB3"/>
    <w:rsid w:val="00782647"/>
    <w:rsid w:val="007876B4"/>
    <w:rsid w:val="007C76FC"/>
    <w:rsid w:val="007F0893"/>
    <w:rsid w:val="007F3A67"/>
    <w:rsid w:val="0085270C"/>
    <w:rsid w:val="00860749"/>
    <w:rsid w:val="0087796F"/>
    <w:rsid w:val="00885C89"/>
    <w:rsid w:val="008C74CE"/>
    <w:rsid w:val="008F4C61"/>
    <w:rsid w:val="00930009"/>
    <w:rsid w:val="00970972"/>
    <w:rsid w:val="00980980"/>
    <w:rsid w:val="00981529"/>
    <w:rsid w:val="00983D77"/>
    <w:rsid w:val="00991CC9"/>
    <w:rsid w:val="009B6366"/>
    <w:rsid w:val="009C15D6"/>
    <w:rsid w:val="009C2412"/>
    <w:rsid w:val="009C4D54"/>
    <w:rsid w:val="009C6867"/>
    <w:rsid w:val="009D4A5A"/>
    <w:rsid w:val="009E6F61"/>
    <w:rsid w:val="009F65A3"/>
    <w:rsid w:val="00A15356"/>
    <w:rsid w:val="00A37C23"/>
    <w:rsid w:val="00A45A9D"/>
    <w:rsid w:val="00A67523"/>
    <w:rsid w:val="00A76DB9"/>
    <w:rsid w:val="00A770A0"/>
    <w:rsid w:val="00A80AFD"/>
    <w:rsid w:val="00A82A6B"/>
    <w:rsid w:val="00AC5B1D"/>
    <w:rsid w:val="00AE15BE"/>
    <w:rsid w:val="00AE73E0"/>
    <w:rsid w:val="00AF06C4"/>
    <w:rsid w:val="00AF7818"/>
    <w:rsid w:val="00B06EBE"/>
    <w:rsid w:val="00B211E5"/>
    <w:rsid w:val="00B27251"/>
    <w:rsid w:val="00B70BBF"/>
    <w:rsid w:val="00BA4AA2"/>
    <w:rsid w:val="00C008DB"/>
    <w:rsid w:val="00C70BA5"/>
    <w:rsid w:val="00C7618B"/>
    <w:rsid w:val="00C82887"/>
    <w:rsid w:val="00CA49A0"/>
    <w:rsid w:val="00CB5A2A"/>
    <w:rsid w:val="00CC098C"/>
    <w:rsid w:val="00CC590F"/>
    <w:rsid w:val="00CE4292"/>
    <w:rsid w:val="00CE5043"/>
    <w:rsid w:val="00CE6301"/>
    <w:rsid w:val="00D106E8"/>
    <w:rsid w:val="00D304E9"/>
    <w:rsid w:val="00D543D5"/>
    <w:rsid w:val="00D5501F"/>
    <w:rsid w:val="00D75F52"/>
    <w:rsid w:val="00D95426"/>
    <w:rsid w:val="00DA0DB5"/>
    <w:rsid w:val="00E0211B"/>
    <w:rsid w:val="00E11C10"/>
    <w:rsid w:val="00E12C78"/>
    <w:rsid w:val="00E17241"/>
    <w:rsid w:val="00E33B12"/>
    <w:rsid w:val="00E4540A"/>
    <w:rsid w:val="00E63983"/>
    <w:rsid w:val="00E8223A"/>
    <w:rsid w:val="00E837BB"/>
    <w:rsid w:val="00EB45D9"/>
    <w:rsid w:val="00ED4A62"/>
    <w:rsid w:val="00EF600A"/>
    <w:rsid w:val="00F06B65"/>
    <w:rsid w:val="00F268EF"/>
    <w:rsid w:val="00F404B5"/>
    <w:rsid w:val="00F7704F"/>
    <w:rsid w:val="00FA7579"/>
    <w:rsid w:val="00FB39CF"/>
    <w:rsid w:val="00FB7A7E"/>
    <w:rsid w:val="00FC58BC"/>
    <w:rsid w:val="00FD0F53"/>
    <w:rsid w:val="00FD36D0"/>
    <w:rsid w:val="00FD3B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16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682"/>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641682"/>
    <w:rPr>
      <w:vertAlign w:val="superscript"/>
    </w:rPr>
  </w:style>
  <w:style w:type="paragraph" w:styleId="BalloonText">
    <w:name w:val="Balloon Text"/>
    <w:basedOn w:val="Normal"/>
    <w:link w:val="BalloonTextChar"/>
    <w:uiPriority w:val="99"/>
    <w:semiHidden/>
    <w:unhideWhenUsed/>
    <w:rsid w:val="00641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682"/>
    <w:rPr>
      <w:rFonts w:ascii="Tahoma" w:hAnsi="Tahoma" w:cs="Tahoma"/>
      <w:sz w:val="16"/>
      <w:szCs w:val="16"/>
    </w:rPr>
  </w:style>
  <w:style w:type="paragraph" w:styleId="Header">
    <w:name w:val="header"/>
    <w:basedOn w:val="Normal"/>
    <w:link w:val="HeaderChar"/>
    <w:uiPriority w:val="99"/>
    <w:unhideWhenUsed/>
    <w:rsid w:val="00A45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A9D"/>
  </w:style>
  <w:style w:type="paragraph" w:styleId="Footer">
    <w:name w:val="footer"/>
    <w:basedOn w:val="Normal"/>
    <w:link w:val="FooterChar"/>
    <w:uiPriority w:val="99"/>
    <w:unhideWhenUsed/>
    <w:rsid w:val="00A45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A9D"/>
  </w:style>
  <w:style w:type="paragraph" w:customStyle="1" w:styleId="Default">
    <w:name w:val="Default"/>
    <w:rsid w:val="00CC590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81522"/>
    <w:pPr>
      <w:spacing w:after="0" w:line="240" w:lineRule="auto"/>
    </w:pPr>
  </w:style>
  <w:style w:type="paragraph" w:styleId="ListParagraph">
    <w:name w:val="List Paragraph"/>
    <w:basedOn w:val="Normal"/>
    <w:uiPriority w:val="34"/>
    <w:qFormat/>
    <w:rsid w:val="006F4C58"/>
    <w:pPr>
      <w:ind w:left="720"/>
      <w:contextualSpacing/>
    </w:pPr>
  </w:style>
  <w:style w:type="character" w:customStyle="1" w:styleId="apple-converted-space">
    <w:name w:val="apple-converted-space"/>
    <w:basedOn w:val="DefaultParagraphFont"/>
    <w:rsid w:val="001A1CA8"/>
  </w:style>
  <w:style w:type="character" w:styleId="Hyperlink">
    <w:name w:val="Hyperlink"/>
    <w:basedOn w:val="DefaultParagraphFont"/>
    <w:uiPriority w:val="99"/>
    <w:semiHidden/>
    <w:unhideWhenUsed/>
    <w:rsid w:val="001A1CA8"/>
    <w:rPr>
      <w:color w:val="0000FF"/>
      <w:u w:val="single"/>
    </w:rPr>
  </w:style>
  <w:style w:type="paragraph" w:customStyle="1" w:styleId="CPQuestions">
    <w:name w:val="CP_Questions"/>
    <w:basedOn w:val="Normal"/>
    <w:link w:val="CPQuestionsChar"/>
    <w:uiPriority w:val="49"/>
    <w:qFormat/>
    <w:rsid w:val="003D51C2"/>
    <w:pPr>
      <w:numPr>
        <w:numId w:val="7"/>
      </w:numPr>
      <w:spacing w:before="120" w:after="120" w:line="240" w:lineRule="auto"/>
      <w:jc w:val="both"/>
      <w:outlineLvl w:val="1"/>
    </w:pPr>
    <w:rPr>
      <w:rFonts w:cs="Times New Roman"/>
      <w:b/>
    </w:rPr>
  </w:style>
  <w:style w:type="paragraph" w:customStyle="1" w:styleId="CPQuest2">
    <w:name w:val="CP_Quest2"/>
    <w:basedOn w:val="CPQuestions"/>
    <w:qFormat/>
    <w:rsid w:val="003D51C2"/>
    <w:pPr>
      <w:numPr>
        <w:ilvl w:val="1"/>
      </w:numPr>
      <w:tabs>
        <w:tab w:val="num" w:pos="360"/>
      </w:tabs>
      <w:ind w:left="1440" w:hanging="360"/>
      <w:outlineLvl w:val="9"/>
    </w:pPr>
    <w:rPr>
      <w:rFonts w:eastAsia="Calibri"/>
    </w:rPr>
  </w:style>
  <w:style w:type="character" w:customStyle="1" w:styleId="CPQuestionsChar">
    <w:name w:val="CP_Questions Char"/>
    <w:basedOn w:val="DefaultParagraphFont"/>
    <w:link w:val="CPQuestions"/>
    <w:uiPriority w:val="49"/>
    <w:locked/>
    <w:rsid w:val="003D51C2"/>
    <w:rPr>
      <w:rFonts w:cs="Times New Roman"/>
      <w:b/>
    </w:rPr>
  </w:style>
  <w:style w:type="character" w:styleId="CommentReference">
    <w:name w:val="annotation reference"/>
    <w:basedOn w:val="DefaultParagraphFont"/>
    <w:uiPriority w:val="99"/>
    <w:unhideWhenUsed/>
    <w:rsid w:val="00165C10"/>
    <w:rPr>
      <w:sz w:val="16"/>
      <w:szCs w:val="16"/>
    </w:rPr>
  </w:style>
  <w:style w:type="paragraph" w:styleId="CommentText">
    <w:name w:val="annotation text"/>
    <w:basedOn w:val="Normal"/>
    <w:link w:val="CommentTextChar"/>
    <w:uiPriority w:val="99"/>
    <w:semiHidden/>
    <w:unhideWhenUsed/>
    <w:rsid w:val="00165C10"/>
    <w:pPr>
      <w:spacing w:line="240" w:lineRule="auto"/>
    </w:pPr>
    <w:rPr>
      <w:sz w:val="20"/>
      <w:szCs w:val="20"/>
    </w:rPr>
  </w:style>
  <w:style w:type="character" w:customStyle="1" w:styleId="CommentTextChar">
    <w:name w:val="Comment Text Char"/>
    <w:basedOn w:val="DefaultParagraphFont"/>
    <w:link w:val="CommentText"/>
    <w:uiPriority w:val="99"/>
    <w:semiHidden/>
    <w:rsid w:val="00165C10"/>
    <w:rPr>
      <w:sz w:val="20"/>
      <w:szCs w:val="20"/>
    </w:rPr>
  </w:style>
  <w:style w:type="paragraph" w:styleId="CommentSubject">
    <w:name w:val="annotation subject"/>
    <w:basedOn w:val="CommentText"/>
    <w:next w:val="CommentText"/>
    <w:link w:val="CommentSubjectChar"/>
    <w:uiPriority w:val="99"/>
    <w:semiHidden/>
    <w:unhideWhenUsed/>
    <w:rsid w:val="003717F1"/>
    <w:rPr>
      <w:b/>
      <w:bCs/>
    </w:rPr>
  </w:style>
  <w:style w:type="character" w:customStyle="1" w:styleId="CommentSubjectChar">
    <w:name w:val="Comment Subject Char"/>
    <w:basedOn w:val="CommentTextChar"/>
    <w:link w:val="CommentSubject"/>
    <w:uiPriority w:val="99"/>
    <w:semiHidden/>
    <w:rsid w:val="003717F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16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682"/>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641682"/>
    <w:rPr>
      <w:vertAlign w:val="superscript"/>
    </w:rPr>
  </w:style>
  <w:style w:type="paragraph" w:styleId="BalloonText">
    <w:name w:val="Balloon Text"/>
    <w:basedOn w:val="Normal"/>
    <w:link w:val="BalloonTextChar"/>
    <w:uiPriority w:val="99"/>
    <w:semiHidden/>
    <w:unhideWhenUsed/>
    <w:rsid w:val="00641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682"/>
    <w:rPr>
      <w:rFonts w:ascii="Tahoma" w:hAnsi="Tahoma" w:cs="Tahoma"/>
      <w:sz w:val="16"/>
      <w:szCs w:val="16"/>
    </w:rPr>
  </w:style>
  <w:style w:type="paragraph" w:styleId="Header">
    <w:name w:val="header"/>
    <w:basedOn w:val="Normal"/>
    <w:link w:val="HeaderChar"/>
    <w:uiPriority w:val="99"/>
    <w:unhideWhenUsed/>
    <w:rsid w:val="00A45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A9D"/>
  </w:style>
  <w:style w:type="paragraph" w:styleId="Footer">
    <w:name w:val="footer"/>
    <w:basedOn w:val="Normal"/>
    <w:link w:val="FooterChar"/>
    <w:uiPriority w:val="99"/>
    <w:unhideWhenUsed/>
    <w:rsid w:val="00A45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A9D"/>
  </w:style>
  <w:style w:type="paragraph" w:customStyle="1" w:styleId="Default">
    <w:name w:val="Default"/>
    <w:rsid w:val="00CC590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81522"/>
    <w:pPr>
      <w:spacing w:after="0" w:line="240" w:lineRule="auto"/>
    </w:pPr>
  </w:style>
  <w:style w:type="paragraph" w:styleId="ListParagraph">
    <w:name w:val="List Paragraph"/>
    <w:basedOn w:val="Normal"/>
    <w:uiPriority w:val="34"/>
    <w:qFormat/>
    <w:rsid w:val="006F4C58"/>
    <w:pPr>
      <w:ind w:left="720"/>
      <w:contextualSpacing/>
    </w:pPr>
  </w:style>
  <w:style w:type="character" w:customStyle="1" w:styleId="apple-converted-space">
    <w:name w:val="apple-converted-space"/>
    <w:basedOn w:val="DefaultParagraphFont"/>
    <w:rsid w:val="001A1CA8"/>
  </w:style>
  <w:style w:type="character" w:styleId="Hyperlink">
    <w:name w:val="Hyperlink"/>
    <w:basedOn w:val="DefaultParagraphFont"/>
    <w:uiPriority w:val="99"/>
    <w:semiHidden/>
    <w:unhideWhenUsed/>
    <w:rsid w:val="001A1CA8"/>
    <w:rPr>
      <w:color w:val="0000FF"/>
      <w:u w:val="single"/>
    </w:rPr>
  </w:style>
  <w:style w:type="paragraph" w:customStyle="1" w:styleId="CPQuestions">
    <w:name w:val="CP_Questions"/>
    <w:basedOn w:val="Normal"/>
    <w:link w:val="CPQuestionsChar"/>
    <w:uiPriority w:val="49"/>
    <w:qFormat/>
    <w:rsid w:val="003D51C2"/>
    <w:pPr>
      <w:numPr>
        <w:numId w:val="7"/>
      </w:numPr>
      <w:spacing w:before="120" w:after="120" w:line="240" w:lineRule="auto"/>
      <w:jc w:val="both"/>
      <w:outlineLvl w:val="1"/>
    </w:pPr>
    <w:rPr>
      <w:rFonts w:cs="Times New Roman"/>
      <w:b/>
    </w:rPr>
  </w:style>
  <w:style w:type="paragraph" w:customStyle="1" w:styleId="CPQuest2">
    <w:name w:val="CP_Quest2"/>
    <w:basedOn w:val="CPQuestions"/>
    <w:qFormat/>
    <w:rsid w:val="003D51C2"/>
    <w:pPr>
      <w:numPr>
        <w:ilvl w:val="1"/>
      </w:numPr>
      <w:tabs>
        <w:tab w:val="num" w:pos="360"/>
      </w:tabs>
      <w:ind w:left="1440" w:hanging="360"/>
      <w:outlineLvl w:val="9"/>
    </w:pPr>
    <w:rPr>
      <w:rFonts w:eastAsia="Calibri"/>
    </w:rPr>
  </w:style>
  <w:style w:type="character" w:customStyle="1" w:styleId="CPQuestionsChar">
    <w:name w:val="CP_Questions Char"/>
    <w:basedOn w:val="DefaultParagraphFont"/>
    <w:link w:val="CPQuestions"/>
    <w:uiPriority w:val="49"/>
    <w:locked/>
    <w:rsid w:val="003D51C2"/>
    <w:rPr>
      <w:rFonts w:cs="Times New Roman"/>
      <w:b/>
    </w:rPr>
  </w:style>
  <w:style w:type="character" w:styleId="CommentReference">
    <w:name w:val="annotation reference"/>
    <w:basedOn w:val="DefaultParagraphFont"/>
    <w:uiPriority w:val="99"/>
    <w:unhideWhenUsed/>
    <w:rsid w:val="00165C10"/>
    <w:rPr>
      <w:sz w:val="16"/>
      <w:szCs w:val="16"/>
    </w:rPr>
  </w:style>
  <w:style w:type="paragraph" w:styleId="CommentText">
    <w:name w:val="annotation text"/>
    <w:basedOn w:val="Normal"/>
    <w:link w:val="CommentTextChar"/>
    <w:uiPriority w:val="99"/>
    <w:semiHidden/>
    <w:unhideWhenUsed/>
    <w:rsid w:val="00165C10"/>
    <w:pPr>
      <w:spacing w:line="240" w:lineRule="auto"/>
    </w:pPr>
    <w:rPr>
      <w:sz w:val="20"/>
      <w:szCs w:val="20"/>
    </w:rPr>
  </w:style>
  <w:style w:type="character" w:customStyle="1" w:styleId="CommentTextChar">
    <w:name w:val="Comment Text Char"/>
    <w:basedOn w:val="DefaultParagraphFont"/>
    <w:link w:val="CommentText"/>
    <w:uiPriority w:val="99"/>
    <w:semiHidden/>
    <w:rsid w:val="00165C10"/>
    <w:rPr>
      <w:sz w:val="20"/>
      <w:szCs w:val="20"/>
    </w:rPr>
  </w:style>
  <w:style w:type="paragraph" w:styleId="CommentSubject">
    <w:name w:val="annotation subject"/>
    <w:basedOn w:val="CommentText"/>
    <w:next w:val="CommentText"/>
    <w:link w:val="CommentSubjectChar"/>
    <w:uiPriority w:val="99"/>
    <w:semiHidden/>
    <w:unhideWhenUsed/>
    <w:rsid w:val="003717F1"/>
    <w:rPr>
      <w:b/>
      <w:bCs/>
    </w:rPr>
  </w:style>
  <w:style w:type="character" w:customStyle="1" w:styleId="CommentSubjectChar">
    <w:name w:val="Comment Subject Char"/>
    <w:basedOn w:val="CommentTextChar"/>
    <w:link w:val="CommentSubject"/>
    <w:uiPriority w:val="99"/>
    <w:semiHidden/>
    <w:rsid w:val="003717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gledealerplatforms.org/2013/09/08/global-fx-daily-turnover-reaches-5-345-trillion-up-34-according-to-2013-bis-triennial-survey/" TargetMode="External"/><Relationship Id="rId5" Type="http://schemas.openxmlformats.org/officeDocument/2006/relationships/settings" Target="settings.xml"/><Relationship Id="rId10" Type="http://schemas.openxmlformats.org/officeDocument/2006/relationships/hyperlink" Target="http://www.esma.europa.eu" TargetMode="External"/><Relationship Id="rId4" Type="http://schemas.microsoft.com/office/2007/relationships/stylesWithEffects" Target="stylesWithEffects.xml"/><Relationship Id="rId9" Type="http://schemas.openxmlformats.org/officeDocument/2006/relationships/hyperlink" Target="http://www.es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30002-2170-4266-9968-118DD51C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5183</Words>
  <Characters>29548</Characters>
  <Application>Microsoft Office Word</Application>
  <DocSecurity>4</DocSecurity>
  <Lines>246</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Anne-Maria</dc:creator>
  <cp:lastModifiedBy>Severine Mitchell</cp:lastModifiedBy>
  <cp:revision>2</cp:revision>
  <dcterms:created xsi:type="dcterms:W3CDTF">2015-03-30T13:41:00Z</dcterms:created>
  <dcterms:modified xsi:type="dcterms:W3CDTF">2015-03-30T13:41:00Z</dcterms:modified>
</cp:coreProperties>
</file>