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406D10"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0"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1" w:edGrp="everyone" w:displacedByCustomXml="prev"/>
            <w:tc>
              <w:tcPr>
                <w:tcW w:w="5595" w:type="dxa"/>
                <w:shd w:val="clear" w:color="auto" w:fill="auto"/>
              </w:tcPr>
              <w:p w:rsidR="000632C2" w:rsidRPr="00AB6D88" w:rsidRDefault="002E0F9E" w:rsidP="002E0F9E">
                <w:pPr>
                  <w:rPr>
                    <w:rStyle w:val="PlaceholderText"/>
                    <w:rFonts w:ascii="Arial" w:hAnsi="Arial" w:cs="Arial"/>
                  </w:rPr>
                </w:pPr>
                <w:r>
                  <w:rPr>
                    <w:rStyle w:val="PlaceholderText"/>
                    <w:rFonts w:ascii="Arial" w:hAnsi="Arial" w:cs="Arial"/>
                  </w:rPr>
                  <w:t>Thomson Reuters</w:t>
                </w:r>
              </w:p>
            </w:tc>
            <w:permEnd w:id="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 w:edGrp="everyone" w:colFirst="1" w:colLast="1"/>
            <w:permEnd w:id="0"/>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 w:edGrp="everyone" w:colFirst="1" w:colLast="1"/>
            <w:permEnd w:id="2"/>
            <w:r w:rsidRPr="00AB6D88">
              <w:rPr>
                <w:rFonts w:ascii="Arial" w:hAnsi="Arial" w:cs="Arial"/>
              </w:rPr>
              <w:t>Activity:</w:t>
            </w:r>
          </w:p>
        </w:tc>
        <w:tc>
          <w:tcPr>
            <w:tcW w:w="5595" w:type="dxa"/>
            <w:shd w:val="clear" w:color="auto" w:fill="auto"/>
          </w:tcPr>
          <w:p w:rsidR="000632C2" w:rsidRPr="00AB6D88" w:rsidRDefault="00406D10"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4" w:edGrp="everyone"/>
                <w:r w:rsidR="002E0F9E">
                  <w:rPr>
                    <w:rFonts w:ascii="Arial" w:hAnsi="Arial" w:cs="Arial"/>
                  </w:rPr>
                  <w:t>Other Financial service providers</w:t>
                </w:r>
                <w:permEnd w:id="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 w:edGrp="everyone" w:colFirst="1" w:colLast="1"/>
            <w:permEnd w:id="3"/>
            <w:r w:rsidRPr="00AB6D88">
              <w:rPr>
                <w:rFonts w:ascii="Arial" w:hAnsi="Arial" w:cs="Arial"/>
              </w:rPr>
              <w:t>Are you representing an association?</w:t>
            </w:r>
          </w:p>
        </w:tc>
        <w:sdt>
          <w:sdtPr>
            <w:rPr>
              <w:rFonts w:ascii="Arial" w:hAnsi="Arial" w:cs="Arial"/>
            </w:rPr>
            <w:id w:val="-242871467"/>
          </w:sdt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 w:edGrp="everyone" w:colFirst="1" w:colLast="1"/>
            <w:permEnd w:id="5"/>
            <w:r w:rsidRPr="00AB6D88">
              <w:rPr>
                <w:rFonts w:ascii="Arial" w:hAnsi="Arial" w:cs="Arial"/>
              </w:rPr>
              <w:t>Country/Region</w:t>
            </w:r>
          </w:p>
        </w:tc>
        <w:permStart w:id="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8" w:edGrp="everyone" w:displacedByCustomXml="prev"/>
            <w:tc>
              <w:tcPr>
                <w:tcW w:w="5595" w:type="dxa"/>
                <w:shd w:val="clear" w:color="auto" w:fill="auto"/>
              </w:tcPr>
              <w:p w:rsidR="000632C2" w:rsidRPr="00AB6D88" w:rsidRDefault="002E0F9E" w:rsidP="009E5107">
                <w:pPr>
                  <w:rPr>
                    <w:rFonts w:ascii="Arial" w:hAnsi="Arial" w:cs="Arial"/>
                  </w:rPr>
                </w:pPr>
                <w:r>
                  <w:rPr>
                    <w:rFonts w:ascii="Arial" w:hAnsi="Arial" w:cs="Arial"/>
                  </w:rPr>
                  <w:t>UK</w:t>
                </w:r>
              </w:p>
            </w:tc>
            <w:permEnd w:id="8" w:displacedByCustomXml="next"/>
          </w:sdtContent>
        </w:sdt>
        <w:permEnd w:id="7" w:displacedByCustomXml="prev"/>
      </w:tr>
      <w:permEnd w:id="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9" w:edGrp="everyone"/>
      <w:r>
        <w:t>TYPE YOUR TEXT HERE</w:t>
      </w:r>
    </w:p>
    <w:permEnd w:id="9"/>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A34EAE" w:rsidRDefault="00A34EAE" w:rsidP="00A34EAE">
      <w:permStart w:id="10" w:edGrp="everyone"/>
      <w:r>
        <w:t xml:space="preserve">We broadly agree with the list of information set out in the draft RTS to be provided to the competent authority of the home Member State, however, we wish to highlight that with respect to the statement in point 3 of Article 3 of RTS1, the provision of the organisational chart indicating the main activities of each firm within the group should only relate to firms that are </w:t>
      </w:r>
      <w:r>
        <w:rPr>
          <w:u w:val="single"/>
        </w:rPr>
        <w:t>relevant</w:t>
      </w:r>
      <w:r>
        <w:t xml:space="preserve"> to the applicant entity. In the case of complex organisations, it would be disproportionate and over-burdensome to expect firms to provide this information relating to all firms within the group.  In this respect we request an amendment to point 3 of Article 3 of RTS1 as follows:</w:t>
      </w:r>
    </w:p>
    <w:p w:rsidR="00A34EAE" w:rsidRDefault="00A34EAE" w:rsidP="00A34EAE"/>
    <w:p w:rsidR="00A34EAE" w:rsidRDefault="00A34EAE" w:rsidP="00A34EAE">
      <w:pPr>
        <w:jc w:val="center"/>
        <w:rPr>
          <w:b/>
          <w:bCs/>
          <w:i/>
          <w:iCs/>
        </w:rPr>
      </w:pPr>
      <w:r>
        <w:rPr>
          <w:b/>
          <w:bCs/>
          <w:i/>
          <w:iCs/>
        </w:rPr>
        <w:t>Article 3</w:t>
      </w:r>
    </w:p>
    <w:p w:rsidR="00A34EAE" w:rsidRDefault="00A34EAE" w:rsidP="00A34EAE">
      <w:pPr>
        <w:jc w:val="center"/>
        <w:rPr>
          <w:b/>
          <w:bCs/>
          <w:i/>
          <w:iCs/>
        </w:rPr>
      </w:pPr>
      <w:r>
        <w:rPr>
          <w:b/>
          <w:bCs/>
          <w:i/>
          <w:iCs/>
        </w:rPr>
        <w:t>Information on shareholders to be provided as part of the authorisation process</w:t>
      </w:r>
    </w:p>
    <w:p w:rsidR="00A34EAE" w:rsidRDefault="00A34EAE" w:rsidP="00A34EAE">
      <w:pPr>
        <w:rPr>
          <w:b/>
          <w:bCs/>
        </w:rPr>
      </w:pPr>
      <w:r>
        <w:rPr>
          <w:b/>
          <w:bCs/>
        </w:rPr>
        <w:t>[…]</w:t>
      </w:r>
    </w:p>
    <w:p w:rsidR="00A34EAE" w:rsidRDefault="00A34EAE" w:rsidP="00A34EAE"/>
    <w:p w:rsidR="00A34EAE" w:rsidRDefault="00A34EAE" w:rsidP="00EC2C93">
      <w:pPr>
        <w:keepNext/>
      </w:pPr>
      <w:r>
        <w:t xml:space="preserve">3. For corporate shareholders that are members of a group, an organisational chart of the group indicating the main activities of each </w:t>
      </w:r>
      <w:r>
        <w:rPr>
          <w:b/>
          <w:bCs/>
        </w:rPr>
        <w:t xml:space="preserve">relevant </w:t>
      </w:r>
      <w:r>
        <w:t xml:space="preserve">firm within the group, identification of any regulated entities within the group and the names of the relevant supervisory authorities as well as the relationship between the financial entities of the group and other non-financial group entities. </w:t>
      </w:r>
    </w:p>
    <w:permEnd w:id="10"/>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1" w:edGrp="everyone"/>
      <w:r>
        <w:t>TYPE YOUR TEXT HERE</w:t>
      </w:r>
    </w:p>
    <w:permEnd w:id="1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2" w:edGrp="everyone"/>
      <w:r>
        <w:t>TYPE YOUR TEXT HERE</w:t>
      </w:r>
    </w:p>
    <w:permEnd w:id="1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lastRenderedPageBreak/>
        <w:t>&lt;ESMA_QUESTION_CP_MIFID_4&gt;</w:t>
      </w:r>
    </w:p>
    <w:p w:rsidR="00577C33" w:rsidRDefault="00577C33" w:rsidP="00EC2C93">
      <w:pPr>
        <w:keepNext/>
      </w:pPr>
      <w:permStart w:id="13" w:edGrp="everyone"/>
      <w:r>
        <w:t>TYPE YOUR TEXT HERE</w:t>
      </w:r>
    </w:p>
    <w:permEnd w:id="13"/>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4" w:edGrp="everyone"/>
      <w:r>
        <w:t>TYPE YOUR TEXT HERE</w:t>
      </w:r>
    </w:p>
    <w:permEnd w:id="1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3F190A" w:rsidP="00EC2C93">
      <w:pPr>
        <w:keepNext/>
      </w:pPr>
      <w:permStart w:id="15" w:edGrp="everyone"/>
      <w:r>
        <w:t>Yes, we agree that the sending of an acknowledgement of receipt is useful and that it should include the contact details of the department or section or person within the competent authority.</w:t>
      </w:r>
    </w:p>
    <w:permEnd w:id="15"/>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t>&lt;ESMA_QUESTION_CP_MIFID_7&gt;</w:t>
      </w:r>
    </w:p>
    <w:p w:rsidR="00577C33" w:rsidRDefault="00577C33" w:rsidP="00EC2C93">
      <w:pPr>
        <w:keepNext/>
      </w:pPr>
      <w:permStart w:id="16" w:edGrp="everyone"/>
      <w:r>
        <w:t>TYPE YOUR TEXT HERE</w:t>
      </w:r>
    </w:p>
    <w:permEnd w:id="1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7" w:edGrp="everyone"/>
      <w:r>
        <w:t>TYPE YOUR TEXT HERE</w:t>
      </w:r>
    </w:p>
    <w:permEnd w:id="17"/>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8" w:edGrp="everyone"/>
      <w:r>
        <w:t>TYPE YOUR TEXT HERE</w:t>
      </w:r>
    </w:p>
    <w:permEnd w:id="1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011B5F" w:rsidP="00EC2C93">
      <w:pPr>
        <w:keepNext/>
      </w:pPr>
      <w:permStart w:id="19" w:edGrp="everyone"/>
      <w:r w:rsidRPr="00844234">
        <w:t>We support</w:t>
      </w:r>
      <w:r>
        <w:t xml:space="preserve"> the requirement to notify additional information to include a short description of the appropriate arrangements that the MTF or OTF will have in place in order to facilitate the access (e.g. data centre, HUB, connectivity cables), a short description of the business </w:t>
      </w:r>
      <w:r>
        <w:lastRenderedPageBreak/>
        <w:t>model of the MTF or OTF, including details on the type of traded financial instruments and type of participants, and the marketing approach of the MTF or OTF to potential members or participants, and we urge ESMA to be mindful that this information should be brief, i.e. a high-level overview.</w:t>
      </w:r>
    </w:p>
    <w:permEnd w:id="19"/>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0" w:edGrp="everyone"/>
      <w:r>
        <w:t>TYPE YOUR TEXT HERE</w:t>
      </w:r>
    </w:p>
    <w:permEnd w:id="20"/>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21" w:edGrp="everyone"/>
      <w:r>
        <w:t>TYPE YOUR TEXT HERE</w:t>
      </w:r>
    </w:p>
    <w:permEnd w:id="21"/>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2" w:edGrp="everyone"/>
      <w:r>
        <w:t>TYPE YOUR TEXT HERE</w:t>
      </w:r>
    </w:p>
    <w:permEnd w:id="2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t>&lt;ESMA_QUESTION_CP_MIFID_14&gt;</w:t>
      </w:r>
    </w:p>
    <w:p w:rsidR="00577C33" w:rsidRDefault="00577C33" w:rsidP="00EC2C93">
      <w:pPr>
        <w:keepNext/>
      </w:pPr>
      <w:permStart w:id="23" w:edGrp="everyone"/>
      <w:r>
        <w:t>TYPE YOUR TEXT HERE</w:t>
      </w:r>
    </w:p>
    <w:permEnd w:id="2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4" w:edGrp="everyone"/>
      <w:r>
        <w:t>TYPE YOUR TEXT HERE</w:t>
      </w:r>
    </w:p>
    <w:permEnd w:id="2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5" w:edGrp="everyone"/>
      <w:r>
        <w:t>TYPE YOUR TEXT HERE</w:t>
      </w:r>
    </w:p>
    <w:permEnd w:id="2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lastRenderedPageBreak/>
        <w:t>&lt;ESMA_QUESTION_CP_MIFID_17&gt;</w:t>
      </w:r>
    </w:p>
    <w:p w:rsidR="00577C33" w:rsidRDefault="00577C33" w:rsidP="00EC2C93">
      <w:pPr>
        <w:keepNext/>
      </w:pPr>
      <w:permStart w:id="26" w:edGrp="everyone"/>
      <w:r>
        <w:t>TYPE YOUR TEXT HERE</w:t>
      </w:r>
    </w:p>
    <w:permEnd w:id="2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7" w:edGrp="everyone"/>
      <w:r>
        <w:t>TYPE YOUR TEXT HERE</w:t>
      </w:r>
    </w:p>
    <w:permEnd w:id="2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28" w:edGrp="everyone"/>
      <w:r>
        <w:t>TYPE YOUR TEXT HERE</w:t>
      </w:r>
    </w:p>
    <w:permEnd w:id="2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9" w:edGrp="everyone"/>
      <w:r>
        <w:t>TYPE YOUR TEXT HERE</w:t>
      </w:r>
    </w:p>
    <w:permEnd w:id="2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t>&lt;ESMA_QUESTION_CP_MIFID_21&gt;</w:t>
      </w:r>
    </w:p>
    <w:p w:rsidR="00577C33" w:rsidRDefault="00011B5F" w:rsidP="00EC2C93">
      <w:pPr>
        <w:keepNext/>
      </w:pPr>
      <w:permStart w:id="30" w:edGrp="everyone"/>
      <w:r>
        <w:t xml:space="preserve">Yes, we agree that </w:t>
      </w:r>
      <w:r w:rsidR="00177E7C">
        <w:t xml:space="preserve">the </w:t>
      </w:r>
      <w:r>
        <w:t xml:space="preserve">competent authority of the host </w:t>
      </w:r>
      <w:r w:rsidRPr="00476D86">
        <w:t>Member State</w:t>
      </w:r>
      <w:r>
        <w:t xml:space="preserve"> should </w:t>
      </w:r>
      <w:r w:rsidRPr="00476D86">
        <w:t xml:space="preserve">acknowledge receipt of the branch passport notification and the tied agent passport notification under the right of establishment both to the </w:t>
      </w:r>
      <w:r>
        <w:t xml:space="preserve">applicant’s home </w:t>
      </w:r>
      <w:r w:rsidRPr="00476D86">
        <w:t xml:space="preserve">competent authority and </w:t>
      </w:r>
      <w:r>
        <w:t xml:space="preserve">to </w:t>
      </w:r>
      <w:r w:rsidRPr="00476D86">
        <w:t>the investment firm</w:t>
      </w:r>
      <w:r>
        <w:t xml:space="preserve"> making the application.</w:t>
      </w:r>
    </w:p>
    <w:permEnd w:id="3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31" w:edGrp="everyone"/>
      <w:r>
        <w:t>TYPE YOUR TEXT HERE</w:t>
      </w:r>
    </w:p>
    <w:permEnd w:id="3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32" w:edGrp="everyone"/>
      <w:r>
        <w:t>TYPE YOUR TEXT HERE</w:t>
      </w:r>
    </w:p>
    <w:permEnd w:id="32"/>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lastRenderedPageBreak/>
        <w:t>&lt;ESMA_QUESTION_CP_MIFID_24&gt;</w:t>
      </w:r>
    </w:p>
    <w:p w:rsidR="00577C33" w:rsidRDefault="00577C33" w:rsidP="00EC2C93">
      <w:pPr>
        <w:keepNext/>
      </w:pPr>
      <w:permStart w:id="33" w:edGrp="everyone"/>
      <w:r>
        <w:t>TYPE YOUR TEXT HERE</w:t>
      </w:r>
    </w:p>
    <w:permEnd w:id="3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34" w:edGrp="everyone"/>
      <w:r>
        <w:t>TYPE YOUR TEXT HERE</w:t>
      </w:r>
    </w:p>
    <w:permEnd w:id="34"/>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35" w:edGrp="everyone"/>
      <w:r>
        <w:t>TYPE YOUR TEXT HERE</w:t>
      </w:r>
    </w:p>
    <w:permEnd w:id="35"/>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36" w:edGrp="everyone"/>
      <w:r>
        <w:t>TYPE YOUR TEXT HERE</w:t>
      </w:r>
    </w:p>
    <w:permEnd w:id="3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577C33" w:rsidRDefault="00577C33" w:rsidP="00EC2C93">
      <w:pPr>
        <w:keepNext/>
      </w:pPr>
      <w:permStart w:id="37" w:edGrp="everyone"/>
      <w:r>
        <w:t>TYPE YOUR TEXT HERE</w:t>
      </w:r>
    </w:p>
    <w:permEnd w:id="37"/>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38" w:edGrp="everyone"/>
      <w:r>
        <w:t>TYPE YOUR TEXT HERE</w:t>
      </w:r>
    </w:p>
    <w:permEnd w:id="38"/>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lastRenderedPageBreak/>
        <w:t>&lt;ESMA_QUESTION_CP_MIFID_30&gt;</w:t>
      </w:r>
    </w:p>
    <w:p w:rsidR="00011B5F" w:rsidRDefault="00011B5F" w:rsidP="00011B5F">
      <w:pPr>
        <w:keepNext/>
      </w:pPr>
      <w:permStart w:id="39" w:edGrp="everyone"/>
      <w:r>
        <w:t>We welcome the intent within MiFID to ensure that trades are executed on terms favourable to an investment firm’s client. We recognise that the new requirements within Article 27(3) of MiFID are designed to enhance the conditions under which investment firms comply with their obligation.</w:t>
      </w:r>
    </w:p>
    <w:p w:rsidR="00011B5F" w:rsidRDefault="00011B5F" w:rsidP="00011B5F">
      <w:pPr>
        <w:keepNext/>
      </w:pPr>
    </w:p>
    <w:p w:rsidR="00011B5F" w:rsidRDefault="00011B5F" w:rsidP="00011B5F">
      <w:pPr>
        <w:keepNext/>
      </w:pPr>
      <w:r>
        <w:t>In practice, we believe that the requirements in Article 27(3) are designed to facilitate venue selection on the part of the buy-side and the sell side. In reality, it is our understanding that firms choose execution on venues in real-time using available market data to determine whether they received a good price, what the market impact was and how effectively their orders have been filled.</w:t>
      </w:r>
    </w:p>
    <w:p w:rsidR="00011B5F" w:rsidRDefault="00011B5F" w:rsidP="00011B5F">
      <w:pPr>
        <w:keepNext/>
      </w:pPr>
    </w:p>
    <w:p w:rsidR="00011B5F" w:rsidRDefault="00011B5F" w:rsidP="00011B5F">
      <w:pPr>
        <w:keepNext/>
      </w:pPr>
      <w:r>
        <w:t xml:space="preserve">Given this, we believe that many of the proposed requirements in RTS 6 are disproportionate, and would be of limited value to market participants in evaluating the quality of their execution on a trading venue. We also believe that many of the requirements in Article 6 run counter to Recital 96 of MiFID, and Recital 2 of RTS 6. </w:t>
      </w:r>
    </w:p>
    <w:p w:rsidR="00011B5F" w:rsidRDefault="00011B5F" w:rsidP="00011B5F">
      <w:pPr>
        <w:keepNext/>
      </w:pPr>
    </w:p>
    <w:p w:rsidR="00011B5F" w:rsidRDefault="00011B5F" w:rsidP="00011B5F">
      <w:pPr>
        <w:keepNext/>
      </w:pPr>
      <w:r>
        <w:t>Specifically we believe:</w:t>
      </w:r>
    </w:p>
    <w:p w:rsidR="00011B5F" w:rsidRDefault="00011B5F" w:rsidP="00011B5F">
      <w:pPr>
        <w:keepNext/>
      </w:pPr>
    </w:p>
    <w:p w:rsidR="00011B5F" w:rsidRDefault="00011B5F" w:rsidP="00A34EAE">
      <w:pPr>
        <w:pStyle w:val="ListParagraph"/>
      </w:pPr>
      <w:r>
        <w:t>That data should be aggregated on a quarterly basis and reported annually. Daily averages will be of limited use for many non-equity markets given that many of those instruments do not trade on a daily basis.</w:t>
      </w:r>
    </w:p>
    <w:p w:rsidR="00011B5F" w:rsidRDefault="00011B5F" w:rsidP="00A34EAE">
      <w:pPr>
        <w:pStyle w:val="ListParagraph"/>
      </w:pPr>
      <w:r>
        <w:t>Data on the number of cancelled or modified orders would not be of meaningful use to market participants. Article 3 (3) (c) and (d) in RTS 6 should be deleted.</w:t>
      </w:r>
    </w:p>
    <w:p w:rsidR="00011B5F" w:rsidRDefault="00011B5F" w:rsidP="00A34EAE">
      <w:pPr>
        <w:pStyle w:val="ListParagraph"/>
      </w:pPr>
      <w:r>
        <w:t>Given that we believe data should be averaged over a quarterly basis, we see limited value to Article 3 (3) (e) (f) and (g). These sub articles should also be deleted from RTS 6.</w:t>
      </w:r>
    </w:p>
    <w:p w:rsidR="00011B5F" w:rsidRDefault="00011B5F" w:rsidP="00A34EAE">
      <w:pPr>
        <w:pStyle w:val="ListParagraph"/>
      </w:pPr>
      <w:r>
        <w:t>Article 4 should be deleted in its entirety or only apply to equity financial instruments or to markets with a continuous liquidity profile. Intra-day, point-in-time data will be of limited use for the majority of non-equity financial instruments, many of which do not trade on a daily basis.</w:t>
      </w:r>
    </w:p>
    <w:p w:rsidR="00011B5F" w:rsidRDefault="00011B5F" w:rsidP="00A34EAE">
      <w:pPr>
        <w:pStyle w:val="ListParagraph"/>
      </w:pPr>
      <w:r>
        <w:t>We would clarify that the information to be submitted under Article 5 would be satisfied by the publication of the venue’s commercial policy and tariffs, as opposed to information on each execution.</w:t>
      </w:r>
    </w:p>
    <w:p w:rsidR="00011B5F" w:rsidRDefault="00011B5F" w:rsidP="00A34EAE">
      <w:pPr>
        <w:pStyle w:val="ListParagraph"/>
      </w:pPr>
      <w:r>
        <w:t xml:space="preserve">More generally, it is important that trading venues have the flexibility to choose what metrics they publish so long as they meet the high level requirements laid down in Article 27(3). This is important to ensure that the metrics are relevant to the market in question, and is consistent with Recital 2 of RTS 6. </w:t>
      </w:r>
    </w:p>
    <w:p w:rsidR="00011B5F" w:rsidRDefault="00011B5F" w:rsidP="00011B5F">
      <w:pPr>
        <w:keepNext/>
      </w:pPr>
    </w:p>
    <w:p w:rsidR="00011B5F" w:rsidRDefault="00011B5F" w:rsidP="00011B5F">
      <w:pPr>
        <w:keepNext/>
      </w:pPr>
      <w:r>
        <w:t>In light of our views above, we suggest that the following amendments to RTS 6 are made:</w:t>
      </w:r>
    </w:p>
    <w:p w:rsidR="00011B5F" w:rsidRDefault="00011B5F" w:rsidP="00011B5F">
      <w:pPr>
        <w:keepNext/>
      </w:pPr>
    </w:p>
    <w:p w:rsidR="00011B5F" w:rsidRPr="002E5836" w:rsidRDefault="00011B5F" w:rsidP="00011B5F">
      <w:pPr>
        <w:pStyle w:val="Default"/>
        <w:jc w:val="center"/>
        <w:rPr>
          <w:b/>
          <w:i/>
          <w:sz w:val="22"/>
          <w:szCs w:val="22"/>
        </w:rPr>
      </w:pPr>
      <w:r w:rsidRPr="002E5836">
        <w:rPr>
          <w:b/>
          <w:i/>
          <w:sz w:val="22"/>
          <w:szCs w:val="22"/>
        </w:rPr>
        <w:t>Recital 4</w:t>
      </w:r>
    </w:p>
    <w:p w:rsidR="00011B5F" w:rsidRDefault="00011B5F" w:rsidP="00011B5F">
      <w:pPr>
        <w:pStyle w:val="Default"/>
        <w:rPr>
          <w:sz w:val="22"/>
          <w:szCs w:val="22"/>
        </w:rPr>
      </w:pPr>
      <w:r>
        <w:rPr>
          <w:sz w:val="22"/>
          <w:szCs w:val="22"/>
        </w:rPr>
        <w:t>(4) In determining appropriate information for measuring price</w:t>
      </w:r>
      <w:r>
        <w:rPr>
          <w:b/>
          <w:sz w:val="22"/>
          <w:szCs w:val="22"/>
        </w:rPr>
        <w:t>,</w:t>
      </w:r>
      <w:r>
        <w:rPr>
          <w:sz w:val="22"/>
          <w:szCs w:val="22"/>
        </w:rPr>
        <w:t xml:space="preserve"> </w:t>
      </w:r>
      <w:r>
        <w:rPr>
          <w:b/>
          <w:sz w:val="22"/>
          <w:szCs w:val="22"/>
        </w:rPr>
        <w:t xml:space="preserve">an </w:t>
      </w:r>
      <w:r>
        <w:rPr>
          <w:sz w:val="22"/>
          <w:szCs w:val="22"/>
        </w:rPr>
        <w:t xml:space="preserve">assessment of </w:t>
      </w:r>
      <w:r w:rsidRPr="0073788F">
        <w:rPr>
          <w:strike/>
          <w:sz w:val="22"/>
          <w:szCs w:val="22"/>
        </w:rPr>
        <w:t>both</w:t>
      </w:r>
      <w:r>
        <w:rPr>
          <w:sz w:val="22"/>
          <w:szCs w:val="22"/>
        </w:rPr>
        <w:t xml:space="preserve"> average levels throughout a period </w:t>
      </w:r>
      <w:r>
        <w:rPr>
          <w:b/>
          <w:sz w:val="22"/>
          <w:szCs w:val="22"/>
        </w:rPr>
        <w:t>is required.</w:t>
      </w:r>
      <w:r>
        <w:rPr>
          <w:sz w:val="22"/>
          <w:szCs w:val="22"/>
        </w:rPr>
        <w:t xml:space="preserve"> </w:t>
      </w:r>
      <w:r w:rsidRPr="0073788F">
        <w:rPr>
          <w:strike/>
          <w:sz w:val="22"/>
          <w:szCs w:val="22"/>
        </w:rPr>
        <w:t>And</w:t>
      </w:r>
      <w:r>
        <w:rPr>
          <w:b/>
          <w:strike/>
          <w:sz w:val="22"/>
          <w:szCs w:val="22"/>
        </w:rPr>
        <w:t xml:space="preserve"> </w:t>
      </w:r>
      <w:r w:rsidRPr="0073788F">
        <w:rPr>
          <w:b/>
          <w:sz w:val="22"/>
          <w:szCs w:val="22"/>
        </w:rPr>
        <w:t>An assessment</w:t>
      </w:r>
      <w:r>
        <w:rPr>
          <w:sz w:val="22"/>
          <w:szCs w:val="22"/>
        </w:rPr>
        <w:t xml:space="preserve"> of point-in-time levels </w:t>
      </w:r>
      <w:r w:rsidRPr="0073788F">
        <w:rPr>
          <w:strike/>
          <w:sz w:val="22"/>
          <w:szCs w:val="22"/>
        </w:rPr>
        <w:t>is required</w:t>
      </w:r>
      <w:r>
        <w:rPr>
          <w:strike/>
          <w:sz w:val="22"/>
          <w:szCs w:val="22"/>
        </w:rPr>
        <w:t xml:space="preserve"> </w:t>
      </w:r>
      <w:r w:rsidRPr="0073788F">
        <w:rPr>
          <w:b/>
          <w:sz w:val="22"/>
          <w:szCs w:val="22"/>
        </w:rPr>
        <w:t>may also be relevant</w:t>
      </w:r>
      <w:r w:rsidRPr="0073788F">
        <w:rPr>
          <w:sz w:val="22"/>
          <w:szCs w:val="22"/>
        </w:rPr>
        <w:t xml:space="preserve"> </w:t>
      </w:r>
      <w:r>
        <w:rPr>
          <w:b/>
          <w:sz w:val="22"/>
          <w:szCs w:val="22"/>
        </w:rPr>
        <w:t>where the liquidity profile of the market would make this assessment meaningful</w:t>
      </w:r>
      <w:r>
        <w:rPr>
          <w:sz w:val="22"/>
          <w:szCs w:val="22"/>
        </w:rPr>
        <w:t xml:space="preserve">. Execution venues should publish data average </w:t>
      </w:r>
      <w:r w:rsidRPr="0073788F">
        <w:rPr>
          <w:strike/>
          <w:sz w:val="22"/>
          <w:szCs w:val="22"/>
        </w:rPr>
        <w:t>daily</w:t>
      </w:r>
      <w:r>
        <w:rPr>
          <w:sz w:val="22"/>
          <w:szCs w:val="22"/>
        </w:rPr>
        <w:t xml:space="preserve"> </w:t>
      </w:r>
      <w:r w:rsidRPr="0073788F">
        <w:rPr>
          <w:b/>
          <w:sz w:val="22"/>
          <w:szCs w:val="22"/>
        </w:rPr>
        <w:t>quarterly</w:t>
      </w:r>
      <w:r>
        <w:rPr>
          <w:sz w:val="22"/>
          <w:szCs w:val="22"/>
        </w:rPr>
        <w:t xml:space="preserve"> prices and on specific points in time </w:t>
      </w:r>
      <w:r>
        <w:rPr>
          <w:b/>
          <w:sz w:val="22"/>
          <w:szCs w:val="22"/>
        </w:rPr>
        <w:t>where applicable</w:t>
      </w:r>
      <w:r>
        <w:rPr>
          <w:sz w:val="22"/>
          <w:szCs w:val="22"/>
        </w:rPr>
        <w:t xml:space="preserve"> in order to provide a more complete picture of price quality. </w:t>
      </w:r>
    </w:p>
    <w:p w:rsidR="00011B5F" w:rsidRDefault="00011B5F" w:rsidP="00011B5F">
      <w:pPr>
        <w:keepNext/>
      </w:pPr>
    </w:p>
    <w:p w:rsidR="00011B5F" w:rsidRPr="00CE7F5A" w:rsidRDefault="00011B5F" w:rsidP="00011B5F">
      <w:pPr>
        <w:pStyle w:val="Default"/>
        <w:jc w:val="center"/>
        <w:rPr>
          <w:b/>
          <w:i/>
          <w:sz w:val="22"/>
          <w:szCs w:val="22"/>
        </w:rPr>
      </w:pPr>
      <w:r w:rsidRPr="00CE7F5A">
        <w:rPr>
          <w:b/>
          <w:i/>
          <w:sz w:val="22"/>
          <w:szCs w:val="22"/>
        </w:rPr>
        <w:t>Recital 8</w:t>
      </w:r>
    </w:p>
    <w:p w:rsidR="00011B5F" w:rsidRDefault="00011B5F" w:rsidP="00011B5F">
      <w:pPr>
        <w:pStyle w:val="Default"/>
        <w:rPr>
          <w:sz w:val="22"/>
          <w:szCs w:val="22"/>
        </w:rPr>
      </w:pPr>
      <w:r>
        <w:rPr>
          <w:sz w:val="22"/>
          <w:szCs w:val="22"/>
        </w:rPr>
        <w:lastRenderedPageBreak/>
        <w:t>(8) Likelihood means measurements related to the probability of execution of a particular type of order. It is supported by details on trading volumes in a particular instrument, the order size</w:t>
      </w:r>
      <w:r w:rsidRPr="005A03B8">
        <w:rPr>
          <w:strike/>
          <w:sz w:val="22"/>
          <w:szCs w:val="22"/>
        </w:rPr>
        <w:t>, cancellation</w:t>
      </w:r>
      <w:r>
        <w:rPr>
          <w:sz w:val="22"/>
          <w:szCs w:val="22"/>
        </w:rPr>
        <w:t xml:space="preserve"> and fill ratios. Likelihood of execution shall also be assessed with data on transaction volumes and values</w:t>
      </w:r>
      <w:r w:rsidRPr="005A03B8">
        <w:rPr>
          <w:strike/>
          <w:sz w:val="22"/>
          <w:szCs w:val="22"/>
        </w:rPr>
        <w:t>,</w:t>
      </w:r>
      <w:r>
        <w:rPr>
          <w:sz w:val="22"/>
          <w:szCs w:val="22"/>
        </w:rPr>
        <w:t xml:space="preserve"> </w:t>
      </w:r>
      <w:r w:rsidRPr="005A03B8">
        <w:rPr>
          <w:sz w:val="22"/>
          <w:szCs w:val="22"/>
        </w:rPr>
        <w:t>and</w:t>
      </w:r>
      <w:r>
        <w:rPr>
          <w:sz w:val="22"/>
          <w:szCs w:val="22"/>
        </w:rPr>
        <w:t xml:space="preserve"> average trade sizes.</w:t>
      </w:r>
      <w:r w:rsidRPr="005A03B8">
        <w:rPr>
          <w:strike/>
          <w:sz w:val="22"/>
          <w:szCs w:val="22"/>
        </w:rPr>
        <w:t>, the volume of order cancellations and the number of failed trades when relevant.</w:t>
      </w:r>
      <w:r>
        <w:rPr>
          <w:sz w:val="22"/>
          <w:szCs w:val="22"/>
        </w:rPr>
        <w:t xml:space="preserve"> This data will allow for the calculation of metrics such as the market share held by any one execution venue in a particular financial instrument or class of financial instruments, </w:t>
      </w:r>
      <w:r w:rsidRPr="005A03B8">
        <w:rPr>
          <w:strike/>
          <w:sz w:val="22"/>
          <w:szCs w:val="22"/>
        </w:rPr>
        <w:t>and cancellation</w:t>
      </w:r>
      <w:r>
        <w:rPr>
          <w:sz w:val="22"/>
          <w:szCs w:val="22"/>
        </w:rPr>
        <w:t xml:space="preserve"> and fill ratios. </w:t>
      </w:r>
    </w:p>
    <w:p w:rsidR="00011B5F" w:rsidRDefault="00011B5F" w:rsidP="00011B5F">
      <w:pPr>
        <w:keepNext/>
      </w:pPr>
    </w:p>
    <w:p w:rsidR="00011B5F" w:rsidRDefault="00011B5F" w:rsidP="00011B5F">
      <w:pPr>
        <w:pStyle w:val="Default"/>
      </w:pPr>
    </w:p>
    <w:p w:rsidR="00011B5F" w:rsidRPr="008350A3" w:rsidRDefault="00011B5F" w:rsidP="00011B5F">
      <w:pPr>
        <w:pStyle w:val="Default"/>
        <w:jc w:val="center"/>
        <w:rPr>
          <w:b/>
          <w:i/>
          <w:sz w:val="22"/>
          <w:szCs w:val="22"/>
        </w:rPr>
      </w:pPr>
      <w:r w:rsidRPr="008350A3">
        <w:rPr>
          <w:b/>
          <w:i/>
          <w:sz w:val="22"/>
          <w:szCs w:val="22"/>
        </w:rPr>
        <w:t>Article 3</w:t>
      </w:r>
      <w:r>
        <w:rPr>
          <w:b/>
          <w:i/>
          <w:sz w:val="22"/>
          <w:szCs w:val="22"/>
        </w:rPr>
        <w:t xml:space="preserve"> (3)</w:t>
      </w:r>
    </w:p>
    <w:p w:rsidR="00011B5F" w:rsidRPr="008350A3" w:rsidRDefault="00011B5F" w:rsidP="00011B5F">
      <w:pPr>
        <w:pStyle w:val="Default"/>
        <w:jc w:val="center"/>
        <w:rPr>
          <w:b/>
          <w:i/>
          <w:sz w:val="22"/>
          <w:szCs w:val="22"/>
        </w:rPr>
      </w:pPr>
      <w:r w:rsidRPr="008350A3">
        <w:rPr>
          <w:b/>
          <w:i/>
          <w:sz w:val="22"/>
          <w:szCs w:val="22"/>
        </w:rPr>
        <w:t>Content of information to be published by all execution venues</w:t>
      </w:r>
    </w:p>
    <w:p w:rsidR="00011B5F" w:rsidRDefault="00011B5F" w:rsidP="00011B5F">
      <w:pPr>
        <w:pStyle w:val="Default"/>
        <w:rPr>
          <w:sz w:val="22"/>
          <w:szCs w:val="22"/>
        </w:rPr>
      </w:pPr>
      <w:r>
        <w:rPr>
          <w:sz w:val="22"/>
          <w:szCs w:val="22"/>
        </w:rPr>
        <w:t xml:space="preserve">3. The information to be published shall include for each financial instrument available to trade on each execution venue the following information relevant to the likelihood of execution, when applicable: </w:t>
      </w:r>
    </w:p>
    <w:p w:rsidR="00011B5F" w:rsidRDefault="00011B5F" w:rsidP="00011B5F">
      <w:pPr>
        <w:pStyle w:val="Default"/>
        <w:rPr>
          <w:sz w:val="22"/>
          <w:szCs w:val="22"/>
        </w:rPr>
      </w:pPr>
    </w:p>
    <w:p w:rsidR="00011B5F" w:rsidRDefault="00011B5F" w:rsidP="00011B5F">
      <w:pPr>
        <w:pStyle w:val="Default"/>
        <w:spacing w:after="305"/>
        <w:rPr>
          <w:sz w:val="22"/>
          <w:szCs w:val="22"/>
        </w:rPr>
      </w:pPr>
      <w:r>
        <w:rPr>
          <w:sz w:val="22"/>
          <w:szCs w:val="22"/>
        </w:rPr>
        <w:t xml:space="preserve">(a) the number of orders or requests for quotes, both in terms of volume and value, that were received on that day; </w:t>
      </w:r>
    </w:p>
    <w:p w:rsidR="00011B5F" w:rsidRDefault="00011B5F" w:rsidP="00011B5F">
      <w:pPr>
        <w:pStyle w:val="Default"/>
        <w:rPr>
          <w:sz w:val="22"/>
          <w:szCs w:val="22"/>
        </w:rPr>
      </w:pPr>
      <w:r>
        <w:rPr>
          <w:sz w:val="22"/>
          <w:szCs w:val="22"/>
        </w:rPr>
        <w:t xml:space="preserve">(b) the number of transactions, both in terms of volume and value, that were executed on that day; </w:t>
      </w:r>
    </w:p>
    <w:p w:rsidR="00011B5F" w:rsidRDefault="00011B5F" w:rsidP="00011B5F">
      <w:pPr>
        <w:pStyle w:val="Default"/>
      </w:pPr>
    </w:p>
    <w:p w:rsidR="00011B5F" w:rsidRPr="008350A3" w:rsidRDefault="00011B5F" w:rsidP="00011B5F">
      <w:pPr>
        <w:pStyle w:val="Default"/>
        <w:spacing w:after="305"/>
        <w:rPr>
          <w:strike/>
          <w:sz w:val="22"/>
          <w:szCs w:val="22"/>
        </w:rPr>
      </w:pPr>
      <w:r w:rsidRPr="008350A3">
        <w:rPr>
          <w:strike/>
          <w:sz w:val="22"/>
          <w:szCs w:val="22"/>
        </w:rPr>
        <w:t xml:space="preserve">(c) the number of orders or accepted/released quotes, both in terms of volume and value, that were cancelled on that day; </w:t>
      </w:r>
    </w:p>
    <w:p w:rsidR="00011B5F" w:rsidRPr="008350A3" w:rsidRDefault="00011B5F" w:rsidP="00011B5F">
      <w:pPr>
        <w:pStyle w:val="Default"/>
        <w:spacing w:after="305"/>
        <w:rPr>
          <w:strike/>
          <w:sz w:val="22"/>
          <w:szCs w:val="22"/>
        </w:rPr>
      </w:pPr>
      <w:r w:rsidRPr="008350A3">
        <w:rPr>
          <w:strike/>
          <w:sz w:val="22"/>
          <w:szCs w:val="22"/>
        </w:rPr>
        <w:t xml:space="preserve">(d) the number of orders, both in terms of volume and value, that were modified on that day; </w:t>
      </w:r>
    </w:p>
    <w:p w:rsidR="00011B5F" w:rsidRPr="008350A3" w:rsidRDefault="00011B5F" w:rsidP="00011B5F">
      <w:pPr>
        <w:pStyle w:val="Default"/>
        <w:spacing w:after="305"/>
        <w:rPr>
          <w:strike/>
          <w:sz w:val="22"/>
          <w:szCs w:val="22"/>
        </w:rPr>
      </w:pPr>
      <w:r w:rsidRPr="008350A3">
        <w:rPr>
          <w:strike/>
          <w:sz w:val="22"/>
          <w:szCs w:val="22"/>
        </w:rPr>
        <w:t xml:space="preserve">(e) the mean and median transaction size on that day; </w:t>
      </w:r>
    </w:p>
    <w:p w:rsidR="00011B5F" w:rsidRPr="008350A3" w:rsidRDefault="00011B5F" w:rsidP="00011B5F">
      <w:pPr>
        <w:pStyle w:val="Default"/>
        <w:spacing w:after="305"/>
        <w:rPr>
          <w:strike/>
          <w:sz w:val="22"/>
          <w:szCs w:val="22"/>
        </w:rPr>
      </w:pPr>
      <w:r w:rsidRPr="008350A3">
        <w:rPr>
          <w:strike/>
          <w:sz w:val="22"/>
          <w:szCs w:val="22"/>
        </w:rPr>
        <w:t xml:space="preserve">(f) the mean and median transaction price on that day; </w:t>
      </w:r>
    </w:p>
    <w:p w:rsidR="00011B5F" w:rsidRPr="008350A3" w:rsidRDefault="00011B5F" w:rsidP="00011B5F">
      <w:pPr>
        <w:pStyle w:val="Default"/>
        <w:spacing w:after="305"/>
        <w:rPr>
          <w:strike/>
          <w:sz w:val="22"/>
          <w:szCs w:val="22"/>
        </w:rPr>
      </w:pPr>
      <w:r w:rsidRPr="008350A3">
        <w:rPr>
          <w:strike/>
          <w:sz w:val="22"/>
          <w:szCs w:val="22"/>
        </w:rPr>
        <w:t xml:space="preserve">(g) Volume weighted average price on that day; and </w:t>
      </w:r>
    </w:p>
    <w:p w:rsidR="00011B5F" w:rsidRDefault="00011B5F" w:rsidP="00011B5F">
      <w:pPr>
        <w:pStyle w:val="Default"/>
        <w:rPr>
          <w:sz w:val="22"/>
          <w:szCs w:val="22"/>
        </w:rPr>
      </w:pPr>
      <w:r>
        <w:rPr>
          <w:sz w:val="22"/>
          <w:szCs w:val="22"/>
        </w:rPr>
        <w:t>(</w:t>
      </w:r>
      <w:r w:rsidRPr="00F85CE2">
        <w:rPr>
          <w:strike/>
          <w:sz w:val="22"/>
          <w:szCs w:val="22"/>
        </w:rPr>
        <w:t>h</w:t>
      </w:r>
      <w:r>
        <w:rPr>
          <w:b/>
          <w:sz w:val="22"/>
          <w:szCs w:val="22"/>
        </w:rPr>
        <w:t>c</w:t>
      </w:r>
      <w:r>
        <w:rPr>
          <w:sz w:val="22"/>
          <w:szCs w:val="22"/>
        </w:rPr>
        <w:t xml:space="preserve">) Market makers shall also indicate the daily total value of exchange-traded product units created and redeemed at their request. </w:t>
      </w:r>
    </w:p>
    <w:p w:rsidR="00011B5F" w:rsidRDefault="00011B5F" w:rsidP="00011B5F">
      <w:pPr>
        <w:keepNext/>
      </w:pPr>
    </w:p>
    <w:p w:rsidR="00011B5F" w:rsidRPr="008350A3" w:rsidRDefault="00011B5F" w:rsidP="00011B5F">
      <w:pPr>
        <w:pStyle w:val="Default"/>
        <w:jc w:val="center"/>
        <w:rPr>
          <w:b/>
          <w:i/>
          <w:sz w:val="22"/>
          <w:szCs w:val="22"/>
        </w:rPr>
      </w:pPr>
      <w:r w:rsidRPr="008350A3">
        <w:rPr>
          <w:b/>
          <w:i/>
          <w:sz w:val="22"/>
          <w:szCs w:val="22"/>
        </w:rPr>
        <w:t>Article 3</w:t>
      </w:r>
      <w:r>
        <w:rPr>
          <w:b/>
          <w:i/>
          <w:sz w:val="22"/>
          <w:szCs w:val="22"/>
        </w:rPr>
        <w:t xml:space="preserve"> (4)</w:t>
      </w:r>
    </w:p>
    <w:p w:rsidR="00011B5F" w:rsidRPr="008350A3" w:rsidRDefault="00011B5F" w:rsidP="00011B5F">
      <w:pPr>
        <w:pStyle w:val="Default"/>
        <w:jc w:val="center"/>
        <w:rPr>
          <w:b/>
          <w:i/>
          <w:sz w:val="22"/>
          <w:szCs w:val="22"/>
        </w:rPr>
      </w:pPr>
      <w:r w:rsidRPr="008350A3">
        <w:rPr>
          <w:b/>
          <w:i/>
          <w:sz w:val="22"/>
          <w:szCs w:val="22"/>
        </w:rPr>
        <w:t>Content of information to be published by all execution venues</w:t>
      </w:r>
    </w:p>
    <w:p w:rsidR="00011B5F" w:rsidRDefault="00011B5F" w:rsidP="00011B5F">
      <w:pPr>
        <w:pStyle w:val="Default"/>
        <w:rPr>
          <w:b/>
          <w:sz w:val="22"/>
          <w:szCs w:val="22"/>
        </w:rPr>
      </w:pPr>
      <w:r>
        <w:rPr>
          <w:sz w:val="22"/>
          <w:szCs w:val="22"/>
        </w:rPr>
        <w:t xml:space="preserve">4. The information to be published shall include for each financial instrument available to trade on each execution venue the following information relevant to the execution price </w:t>
      </w:r>
      <w:r>
        <w:rPr>
          <w:b/>
          <w:sz w:val="22"/>
          <w:szCs w:val="22"/>
        </w:rPr>
        <w:t>where the liquidity profile of the financial instrument allows for this data to be meaningful. Data shall be considered meaningful where the market is a central limit order book and price data is readily available during trading hours</w:t>
      </w:r>
    </w:p>
    <w:p w:rsidR="00011B5F" w:rsidRDefault="00011B5F" w:rsidP="00011B5F">
      <w:pPr>
        <w:pStyle w:val="Default"/>
        <w:rPr>
          <w:sz w:val="22"/>
          <w:szCs w:val="22"/>
        </w:rPr>
      </w:pPr>
      <w:r>
        <w:rPr>
          <w:sz w:val="22"/>
          <w:szCs w:val="22"/>
        </w:rPr>
        <w:t xml:space="preserve">: </w:t>
      </w:r>
    </w:p>
    <w:p w:rsidR="00011B5F" w:rsidRDefault="00011B5F" w:rsidP="00011B5F">
      <w:pPr>
        <w:pStyle w:val="Default"/>
        <w:spacing w:after="305"/>
        <w:rPr>
          <w:sz w:val="22"/>
          <w:szCs w:val="22"/>
        </w:rPr>
      </w:pPr>
      <w:r>
        <w:rPr>
          <w:sz w:val="22"/>
          <w:szCs w:val="22"/>
        </w:rPr>
        <w:t xml:space="preserve">(a) the price excluding commission and where relevant accrued interest executed for a purchase immediately after each of 9.00.00, 11.00.00, 13.00.00 and 15.00.00 UTC each day for order sizes in the ranges set out in Article 6 for each financial instrument; </w:t>
      </w:r>
    </w:p>
    <w:p w:rsidR="00011B5F" w:rsidRDefault="00011B5F" w:rsidP="00011B5F">
      <w:pPr>
        <w:pStyle w:val="Default"/>
        <w:spacing w:after="305"/>
        <w:rPr>
          <w:sz w:val="22"/>
          <w:szCs w:val="22"/>
        </w:rPr>
      </w:pPr>
      <w:r>
        <w:rPr>
          <w:sz w:val="22"/>
          <w:szCs w:val="22"/>
        </w:rPr>
        <w:t xml:space="preserve">(b) the price excluding commission and where relevant accrued interest executed for a sale immediately after each of the reference times in (a) for order sizes in the ranges set out in Article 6 for each financial instrument; </w:t>
      </w:r>
    </w:p>
    <w:p w:rsidR="00011B5F" w:rsidRDefault="00011B5F" w:rsidP="00011B5F">
      <w:pPr>
        <w:pStyle w:val="Default"/>
        <w:spacing w:after="305"/>
        <w:rPr>
          <w:sz w:val="22"/>
          <w:szCs w:val="22"/>
        </w:rPr>
      </w:pPr>
      <w:r>
        <w:rPr>
          <w:sz w:val="22"/>
          <w:szCs w:val="22"/>
        </w:rPr>
        <w:t xml:space="preserve">(c) the execution time for each executed transaction referred to in (a) and (b); </w:t>
      </w:r>
    </w:p>
    <w:p w:rsidR="00011B5F" w:rsidRDefault="00011B5F" w:rsidP="00011B5F">
      <w:pPr>
        <w:pStyle w:val="Default"/>
        <w:spacing w:after="305"/>
        <w:rPr>
          <w:sz w:val="22"/>
          <w:szCs w:val="22"/>
        </w:rPr>
      </w:pPr>
      <w:r>
        <w:rPr>
          <w:sz w:val="22"/>
          <w:szCs w:val="22"/>
        </w:rPr>
        <w:lastRenderedPageBreak/>
        <w:t xml:space="preserve">(d) the transaction size for each executed transaction referred to in (a) and (b); </w:t>
      </w:r>
    </w:p>
    <w:p w:rsidR="00011B5F" w:rsidRDefault="00011B5F" w:rsidP="00011B5F">
      <w:pPr>
        <w:pStyle w:val="Default"/>
        <w:spacing w:after="305"/>
        <w:rPr>
          <w:sz w:val="22"/>
          <w:szCs w:val="22"/>
        </w:rPr>
      </w:pPr>
      <w:r>
        <w:rPr>
          <w:sz w:val="22"/>
          <w:szCs w:val="22"/>
        </w:rPr>
        <w:t xml:space="preserve">(e) whether the order was a market or a limit order for each executed transaction referred to in (a) and (b); </w:t>
      </w:r>
    </w:p>
    <w:p w:rsidR="00011B5F" w:rsidRDefault="00011B5F" w:rsidP="00011B5F">
      <w:pPr>
        <w:pStyle w:val="Default"/>
        <w:spacing w:after="305"/>
        <w:rPr>
          <w:sz w:val="22"/>
          <w:szCs w:val="22"/>
        </w:rPr>
      </w:pPr>
      <w:r>
        <w:rPr>
          <w:sz w:val="22"/>
          <w:szCs w:val="22"/>
        </w:rPr>
        <w:t xml:space="preserve">(f) the time the order was received or quote released by the execution venue for each executed transaction referred to in (a) and (b); </w:t>
      </w:r>
    </w:p>
    <w:p w:rsidR="00011B5F" w:rsidRDefault="00011B5F" w:rsidP="00011B5F">
      <w:pPr>
        <w:pStyle w:val="Default"/>
        <w:spacing w:after="305"/>
        <w:rPr>
          <w:sz w:val="22"/>
          <w:szCs w:val="22"/>
        </w:rPr>
      </w:pPr>
      <w:r>
        <w:rPr>
          <w:sz w:val="22"/>
          <w:szCs w:val="22"/>
        </w:rPr>
        <w:t xml:space="preserve">(g) the time elapsed (to the mili-second) between a market order being received by the execution venue and the subsequent execution for an order driven execution venue for each executed transaction referred to in (a) and (b); </w:t>
      </w:r>
    </w:p>
    <w:p w:rsidR="00011B5F" w:rsidRPr="003E0AC2" w:rsidRDefault="00011B5F" w:rsidP="00011B5F">
      <w:pPr>
        <w:pStyle w:val="Default"/>
        <w:rPr>
          <w:sz w:val="22"/>
          <w:szCs w:val="22"/>
        </w:rPr>
      </w:pPr>
      <w:r>
        <w:rPr>
          <w:sz w:val="22"/>
          <w:szCs w:val="22"/>
        </w:rPr>
        <w:t xml:space="preserve">(h) the time elapsed between the acceptance/release of a quote and the subsequent execution when applicable for a quote driven execution venue for each executed transaction referred to in (a) and (b); </w:t>
      </w:r>
    </w:p>
    <w:p w:rsidR="00011B5F" w:rsidRDefault="00011B5F" w:rsidP="00011B5F">
      <w:pPr>
        <w:pStyle w:val="Default"/>
      </w:pPr>
    </w:p>
    <w:p w:rsidR="00011B5F" w:rsidRDefault="00011B5F" w:rsidP="00011B5F">
      <w:pPr>
        <w:pStyle w:val="Default"/>
        <w:spacing w:after="305"/>
        <w:rPr>
          <w:sz w:val="22"/>
          <w:szCs w:val="22"/>
        </w:rPr>
      </w:pPr>
      <w:r>
        <w:rPr>
          <w:sz w:val="22"/>
          <w:szCs w:val="22"/>
        </w:rPr>
        <w:t xml:space="preserve">(i) the market mechanism and, where applicable, the trading mode under which the transactions were executed; </w:t>
      </w:r>
    </w:p>
    <w:p w:rsidR="00011B5F" w:rsidRDefault="00011B5F" w:rsidP="00011B5F">
      <w:pPr>
        <w:pStyle w:val="Default"/>
        <w:spacing w:after="305"/>
        <w:rPr>
          <w:sz w:val="22"/>
          <w:szCs w:val="22"/>
        </w:rPr>
      </w:pPr>
      <w:r>
        <w:rPr>
          <w:sz w:val="22"/>
          <w:szCs w:val="22"/>
        </w:rPr>
        <w:t xml:space="preserve">(j) the trading system under which the transactions were executed; </w:t>
      </w:r>
    </w:p>
    <w:p w:rsidR="00011B5F" w:rsidRDefault="00011B5F" w:rsidP="00011B5F">
      <w:pPr>
        <w:pStyle w:val="Default"/>
        <w:spacing w:after="305"/>
        <w:rPr>
          <w:sz w:val="22"/>
          <w:szCs w:val="22"/>
        </w:rPr>
      </w:pPr>
      <w:r>
        <w:rPr>
          <w:sz w:val="22"/>
          <w:szCs w:val="22"/>
        </w:rPr>
        <w:t xml:space="preserve">(k) the transaction type; and </w:t>
      </w:r>
    </w:p>
    <w:p w:rsidR="00011B5F" w:rsidRDefault="00011B5F" w:rsidP="00011B5F">
      <w:pPr>
        <w:pStyle w:val="Default"/>
        <w:rPr>
          <w:sz w:val="22"/>
          <w:szCs w:val="22"/>
        </w:rPr>
      </w:pPr>
      <w:r>
        <w:rPr>
          <w:sz w:val="22"/>
          <w:szCs w:val="22"/>
        </w:rPr>
        <w:t xml:space="preserve">(l) the benchmark price applicable for each executed transaction referred to in (a) and (b). </w:t>
      </w:r>
    </w:p>
    <w:p w:rsidR="00011B5F" w:rsidRDefault="00011B5F" w:rsidP="00011B5F">
      <w:pPr>
        <w:pStyle w:val="Default"/>
      </w:pPr>
    </w:p>
    <w:p w:rsidR="00011B5F" w:rsidRPr="00AB6BDE" w:rsidRDefault="00011B5F" w:rsidP="00011B5F">
      <w:pPr>
        <w:pStyle w:val="Default"/>
        <w:jc w:val="center"/>
        <w:rPr>
          <w:b/>
          <w:i/>
          <w:sz w:val="22"/>
          <w:szCs w:val="22"/>
        </w:rPr>
      </w:pPr>
      <w:r w:rsidRPr="00AB6BDE">
        <w:rPr>
          <w:b/>
          <w:i/>
          <w:sz w:val="22"/>
          <w:szCs w:val="22"/>
        </w:rPr>
        <w:t>Article 8</w:t>
      </w:r>
    </w:p>
    <w:p w:rsidR="00011B5F" w:rsidRPr="00AB6BDE" w:rsidRDefault="00011B5F" w:rsidP="00011B5F">
      <w:pPr>
        <w:pStyle w:val="Default"/>
        <w:jc w:val="center"/>
        <w:rPr>
          <w:b/>
          <w:i/>
          <w:sz w:val="22"/>
          <w:szCs w:val="22"/>
        </w:rPr>
      </w:pPr>
      <w:r w:rsidRPr="00AB6BDE">
        <w:rPr>
          <w:b/>
          <w:i/>
          <w:sz w:val="22"/>
          <w:szCs w:val="22"/>
        </w:rPr>
        <w:t>Frequency of the information to be published</w:t>
      </w:r>
    </w:p>
    <w:p w:rsidR="00577C33" w:rsidRDefault="00011B5F" w:rsidP="00EC2C93">
      <w:pPr>
        <w:keepNext/>
      </w:pPr>
      <w:r>
        <w:rPr>
          <w:szCs w:val="22"/>
        </w:rPr>
        <w:t xml:space="preserve">The reporting period shall </w:t>
      </w:r>
      <w:r w:rsidRPr="00AB6BDE">
        <w:rPr>
          <w:strike/>
          <w:szCs w:val="22"/>
        </w:rPr>
        <w:t>commence on the first of each calendar month to the last day of that month for each month of the year</w:t>
      </w:r>
      <w:r>
        <w:rPr>
          <w:szCs w:val="22"/>
        </w:rPr>
        <w:t xml:space="preserve"> </w:t>
      </w:r>
      <w:r>
        <w:rPr>
          <w:b/>
          <w:szCs w:val="22"/>
        </w:rPr>
        <w:t>be each calendar quarter of the year</w:t>
      </w:r>
      <w:r>
        <w:rPr>
          <w:szCs w:val="22"/>
        </w:rPr>
        <w:t xml:space="preserve">. This data shall be published without charge within one month at each </w:t>
      </w:r>
      <w:r w:rsidRPr="00AB6BDE">
        <w:rPr>
          <w:strike/>
          <w:szCs w:val="22"/>
        </w:rPr>
        <w:t>quarter end</w:t>
      </w:r>
      <w:r>
        <w:rPr>
          <w:szCs w:val="22"/>
        </w:rPr>
        <w:t xml:space="preserve"> </w:t>
      </w:r>
      <w:r w:rsidRPr="00875450">
        <w:rPr>
          <w:b/>
          <w:szCs w:val="22"/>
        </w:rPr>
        <w:t xml:space="preserve">calendar </w:t>
      </w:r>
      <w:r>
        <w:rPr>
          <w:b/>
          <w:szCs w:val="22"/>
        </w:rPr>
        <w:t>year end</w:t>
      </w:r>
      <w:r>
        <w:rPr>
          <w:szCs w:val="22"/>
        </w:rPr>
        <w:t>.</w:t>
      </w:r>
    </w:p>
    <w:permEnd w:id="3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551A8" w:rsidP="00EC2C93">
      <w:pPr>
        <w:keepNext/>
      </w:pPr>
      <w:permStart w:id="40" w:edGrp="everyone"/>
      <w:r>
        <w:t>We generally agree with the proposed approach.</w:t>
      </w:r>
    </w:p>
    <w:permEnd w:id="4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551A8" w:rsidP="00EC2C93">
      <w:pPr>
        <w:keepNext/>
      </w:pPr>
      <w:permStart w:id="41" w:edGrp="everyone"/>
      <w:r>
        <w:t>We do not believe that there are any other metrics that would be useful for calculating the likelihood of execution.</w:t>
      </w:r>
    </w:p>
    <w:permEnd w:id="4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lastRenderedPageBreak/>
        <w:t>&lt;ESMA_QUESTION_CP_MIFID_33&gt;</w:t>
      </w:r>
    </w:p>
    <w:p w:rsidR="00577C33" w:rsidRDefault="005551A8" w:rsidP="00EC2C93">
      <w:pPr>
        <w:keepNext/>
      </w:pPr>
      <w:permStart w:id="42" w:edGrp="everyone"/>
      <w:r>
        <w:t>We do not believe that additional metrics such as average and realised spreads, best bid and offer or depth weighted spreads would be useful, and the provision of this data would place a disproportionate burden of trading venues to produce.</w:t>
      </w:r>
    </w:p>
    <w:permEnd w:id="4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551A8" w:rsidRDefault="005551A8" w:rsidP="005551A8">
      <w:pPr>
        <w:keepNext/>
      </w:pPr>
      <w:permStart w:id="43" w:edGrp="everyone"/>
      <w:r>
        <w:t xml:space="preserve">While data formats should be standard, we believe that trading venues should have the flexibility to produce metrics that are relevant to their markets. </w:t>
      </w:r>
    </w:p>
    <w:p w:rsidR="005551A8" w:rsidRDefault="005551A8" w:rsidP="005551A8">
      <w:pPr>
        <w:keepNext/>
      </w:pPr>
    </w:p>
    <w:p w:rsidR="005551A8" w:rsidRDefault="005551A8" w:rsidP="005551A8">
      <w:pPr>
        <w:keepNext/>
      </w:pPr>
      <w:r>
        <w:t>We do not believe that reporting should be based on daily averages and produced quarterly, nor do we believe that point-in-time analytics would be meaningful for many non-equity markets.</w:t>
      </w:r>
    </w:p>
    <w:p w:rsidR="005551A8" w:rsidRDefault="005551A8" w:rsidP="005551A8">
      <w:pPr>
        <w:keepNext/>
      </w:pPr>
    </w:p>
    <w:p w:rsidR="005551A8" w:rsidRDefault="005551A8" w:rsidP="005551A8">
      <w:pPr>
        <w:keepNext/>
      </w:pPr>
      <w:r>
        <w:t>Please note the following suggested redrafts for RTS 6:</w:t>
      </w:r>
    </w:p>
    <w:p w:rsidR="005551A8" w:rsidRDefault="005551A8" w:rsidP="005551A8">
      <w:pPr>
        <w:keepNext/>
      </w:pPr>
    </w:p>
    <w:p w:rsidR="005551A8" w:rsidRPr="002E5836" w:rsidRDefault="005551A8" w:rsidP="005551A8">
      <w:pPr>
        <w:pStyle w:val="Default"/>
        <w:jc w:val="center"/>
        <w:rPr>
          <w:b/>
          <w:i/>
          <w:sz w:val="22"/>
          <w:szCs w:val="22"/>
        </w:rPr>
      </w:pPr>
      <w:r w:rsidRPr="002E5836">
        <w:rPr>
          <w:b/>
          <w:i/>
          <w:sz w:val="22"/>
          <w:szCs w:val="22"/>
        </w:rPr>
        <w:t>Recital 4</w:t>
      </w:r>
    </w:p>
    <w:p w:rsidR="005551A8" w:rsidRDefault="005551A8" w:rsidP="005551A8">
      <w:pPr>
        <w:pStyle w:val="Default"/>
        <w:rPr>
          <w:sz w:val="22"/>
          <w:szCs w:val="22"/>
        </w:rPr>
      </w:pPr>
      <w:r>
        <w:rPr>
          <w:sz w:val="22"/>
          <w:szCs w:val="22"/>
        </w:rPr>
        <w:t>(4) In determining appropriate information for measuring price</w:t>
      </w:r>
      <w:r>
        <w:rPr>
          <w:b/>
          <w:sz w:val="22"/>
          <w:szCs w:val="22"/>
        </w:rPr>
        <w:t>,</w:t>
      </w:r>
      <w:r>
        <w:rPr>
          <w:sz w:val="22"/>
          <w:szCs w:val="22"/>
        </w:rPr>
        <w:t xml:space="preserve"> </w:t>
      </w:r>
      <w:r>
        <w:rPr>
          <w:b/>
          <w:sz w:val="22"/>
          <w:szCs w:val="22"/>
        </w:rPr>
        <w:t xml:space="preserve">an </w:t>
      </w:r>
      <w:r>
        <w:rPr>
          <w:sz w:val="22"/>
          <w:szCs w:val="22"/>
        </w:rPr>
        <w:t xml:space="preserve">assessment of </w:t>
      </w:r>
      <w:r w:rsidRPr="0073788F">
        <w:rPr>
          <w:strike/>
          <w:sz w:val="22"/>
          <w:szCs w:val="22"/>
        </w:rPr>
        <w:t>both</w:t>
      </w:r>
      <w:r>
        <w:rPr>
          <w:sz w:val="22"/>
          <w:szCs w:val="22"/>
        </w:rPr>
        <w:t xml:space="preserve"> average levels throughout a period </w:t>
      </w:r>
      <w:r>
        <w:rPr>
          <w:b/>
          <w:sz w:val="22"/>
          <w:szCs w:val="22"/>
        </w:rPr>
        <w:t>is required.</w:t>
      </w:r>
      <w:r>
        <w:rPr>
          <w:sz w:val="22"/>
          <w:szCs w:val="22"/>
        </w:rPr>
        <w:t xml:space="preserve"> </w:t>
      </w:r>
      <w:r w:rsidRPr="0073788F">
        <w:rPr>
          <w:strike/>
          <w:sz w:val="22"/>
          <w:szCs w:val="22"/>
        </w:rPr>
        <w:t>And</w:t>
      </w:r>
      <w:r>
        <w:rPr>
          <w:b/>
          <w:strike/>
          <w:sz w:val="22"/>
          <w:szCs w:val="22"/>
        </w:rPr>
        <w:t xml:space="preserve"> </w:t>
      </w:r>
      <w:r w:rsidRPr="0073788F">
        <w:rPr>
          <w:b/>
          <w:sz w:val="22"/>
          <w:szCs w:val="22"/>
        </w:rPr>
        <w:t>An assessment</w:t>
      </w:r>
      <w:r>
        <w:rPr>
          <w:sz w:val="22"/>
          <w:szCs w:val="22"/>
        </w:rPr>
        <w:t xml:space="preserve"> of point-in-time levels </w:t>
      </w:r>
      <w:r w:rsidRPr="0073788F">
        <w:rPr>
          <w:strike/>
          <w:sz w:val="22"/>
          <w:szCs w:val="22"/>
        </w:rPr>
        <w:t>is required</w:t>
      </w:r>
      <w:r>
        <w:rPr>
          <w:strike/>
          <w:sz w:val="22"/>
          <w:szCs w:val="22"/>
        </w:rPr>
        <w:t xml:space="preserve"> </w:t>
      </w:r>
      <w:r w:rsidRPr="0073788F">
        <w:rPr>
          <w:b/>
          <w:sz w:val="22"/>
          <w:szCs w:val="22"/>
        </w:rPr>
        <w:t>may also be relevant</w:t>
      </w:r>
      <w:r w:rsidRPr="0073788F">
        <w:rPr>
          <w:sz w:val="22"/>
          <w:szCs w:val="22"/>
        </w:rPr>
        <w:t xml:space="preserve"> </w:t>
      </w:r>
      <w:r>
        <w:rPr>
          <w:b/>
          <w:sz w:val="22"/>
          <w:szCs w:val="22"/>
        </w:rPr>
        <w:t>where the liquidity profile of the market would make this assessment meaningful</w:t>
      </w:r>
      <w:r>
        <w:rPr>
          <w:sz w:val="22"/>
          <w:szCs w:val="22"/>
        </w:rPr>
        <w:t xml:space="preserve">. Execution venues should publish data average </w:t>
      </w:r>
      <w:r w:rsidRPr="0073788F">
        <w:rPr>
          <w:strike/>
          <w:sz w:val="22"/>
          <w:szCs w:val="22"/>
        </w:rPr>
        <w:t>daily</w:t>
      </w:r>
      <w:r>
        <w:rPr>
          <w:sz w:val="22"/>
          <w:szCs w:val="22"/>
        </w:rPr>
        <w:t xml:space="preserve"> </w:t>
      </w:r>
      <w:r w:rsidRPr="0073788F">
        <w:rPr>
          <w:b/>
          <w:sz w:val="22"/>
          <w:szCs w:val="22"/>
        </w:rPr>
        <w:t>quarterly</w:t>
      </w:r>
      <w:r>
        <w:rPr>
          <w:sz w:val="22"/>
          <w:szCs w:val="22"/>
        </w:rPr>
        <w:t xml:space="preserve"> prices and on specific points in time </w:t>
      </w:r>
      <w:r>
        <w:rPr>
          <w:b/>
          <w:sz w:val="22"/>
          <w:szCs w:val="22"/>
        </w:rPr>
        <w:t>where applicable</w:t>
      </w:r>
      <w:r>
        <w:rPr>
          <w:sz w:val="22"/>
          <w:szCs w:val="22"/>
        </w:rPr>
        <w:t xml:space="preserve"> in order to provide a more complete picture of price quality. </w:t>
      </w:r>
    </w:p>
    <w:p w:rsidR="005551A8" w:rsidRDefault="005551A8" w:rsidP="005551A8">
      <w:pPr>
        <w:pStyle w:val="Default"/>
        <w:rPr>
          <w:sz w:val="22"/>
          <w:szCs w:val="22"/>
        </w:rPr>
      </w:pPr>
    </w:p>
    <w:p w:rsidR="005551A8" w:rsidRDefault="005551A8" w:rsidP="005551A8">
      <w:pPr>
        <w:keepNext/>
      </w:pPr>
    </w:p>
    <w:p w:rsidR="005551A8" w:rsidRPr="008350A3" w:rsidRDefault="005551A8" w:rsidP="005551A8">
      <w:pPr>
        <w:pStyle w:val="Default"/>
        <w:jc w:val="center"/>
        <w:rPr>
          <w:b/>
          <w:i/>
          <w:sz w:val="22"/>
          <w:szCs w:val="22"/>
        </w:rPr>
      </w:pPr>
      <w:r w:rsidRPr="008350A3">
        <w:rPr>
          <w:b/>
          <w:i/>
          <w:sz w:val="22"/>
          <w:szCs w:val="22"/>
        </w:rPr>
        <w:t>Article 3</w:t>
      </w:r>
      <w:r>
        <w:rPr>
          <w:b/>
          <w:i/>
          <w:sz w:val="22"/>
          <w:szCs w:val="22"/>
        </w:rPr>
        <w:t xml:space="preserve"> (4)</w:t>
      </w:r>
    </w:p>
    <w:p w:rsidR="005551A8" w:rsidRPr="008350A3" w:rsidRDefault="005551A8" w:rsidP="005551A8">
      <w:pPr>
        <w:pStyle w:val="Default"/>
        <w:jc w:val="center"/>
        <w:rPr>
          <w:b/>
          <w:i/>
          <w:sz w:val="22"/>
          <w:szCs w:val="22"/>
        </w:rPr>
      </w:pPr>
      <w:r w:rsidRPr="008350A3">
        <w:rPr>
          <w:b/>
          <w:i/>
          <w:sz w:val="22"/>
          <w:szCs w:val="22"/>
        </w:rPr>
        <w:t>Content of information to be published by all execution venues</w:t>
      </w:r>
    </w:p>
    <w:p w:rsidR="005551A8" w:rsidRDefault="005551A8" w:rsidP="005551A8">
      <w:pPr>
        <w:pStyle w:val="Default"/>
        <w:rPr>
          <w:b/>
          <w:sz w:val="22"/>
          <w:szCs w:val="22"/>
        </w:rPr>
      </w:pPr>
      <w:r>
        <w:rPr>
          <w:sz w:val="22"/>
          <w:szCs w:val="22"/>
        </w:rPr>
        <w:t xml:space="preserve">4. The information to be published shall include for each financial instrument available to trade on each execution venue the following information relevant to the execution price </w:t>
      </w:r>
      <w:r>
        <w:rPr>
          <w:b/>
          <w:sz w:val="22"/>
          <w:szCs w:val="22"/>
        </w:rPr>
        <w:t>where the liquidity profile of the financial instrument allows for this data to be meaningful. Data shall be considered meaningful where the market is a central limit order book and price data is readily available during trading hours</w:t>
      </w:r>
    </w:p>
    <w:p w:rsidR="005551A8" w:rsidRDefault="005551A8" w:rsidP="005551A8">
      <w:pPr>
        <w:pStyle w:val="Default"/>
        <w:rPr>
          <w:sz w:val="22"/>
          <w:szCs w:val="22"/>
        </w:rPr>
      </w:pPr>
      <w:r>
        <w:rPr>
          <w:sz w:val="22"/>
          <w:szCs w:val="22"/>
        </w:rPr>
        <w:t xml:space="preserve">: </w:t>
      </w:r>
    </w:p>
    <w:p w:rsidR="005551A8" w:rsidRDefault="005551A8" w:rsidP="005551A8">
      <w:pPr>
        <w:pStyle w:val="Default"/>
        <w:spacing w:after="305"/>
        <w:rPr>
          <w:sz w:val="22"/>
          <w:szCs w:val="22"/>
        </w:rPr>
      </w:pPr>
      <w:r>
        <w:rPr>
          <w:sz w:val="22"/>
          <w:szCs w:val="22"/>
        </w:rPr>
        <w:t xml:space="preserve">(a) the price excluding commission and where relevant accrued interest executed for a purchase immediately after each of 9.00.00, 11.00.00, 13.00.00 and 15.00.00 UTC each day for order sizes in the ranges set out in Article 6 for each financial instrument; </w:t>
      </w:r>
    </w:p>
    <w:p w:rsidR="005551A8" w:rsidRDefault="005551A8" w:rsidP="005551A8">
      <w:pPr>
        <w:pStyle w:val="Default"/>
        <w:spacing w:after="305"/>
        <w:rPr>
          <w:sz w:val="22"/>
          <w:szCs w:val="22"/>
        </w:rPr>
      </w:pPr>
      <w:r>
        <w:rPr>
          <w:sz w:val="22"/>
          <w:szCs w:val="22"/>
        </w:rPr>
        <w:t xml:space="preserve">(b) the price excluding commission and where relevant accrued interest executed for a sale immediately after each of the reference times in (a) for order sizes in the ranges set out in Article 6 for each financial instrument; </w:t>
      </w:r>
    </w:p>
    <w:p w:rsidR="005551A8" w:rsidRDefault="005551A8" w:rsidP="005551A8">
      <w:pPr>
        <w:pStyle w:val="Default"/>
        <w:spacing w:after="305"/>
        <w:rPr>
          <w:sz w:val="22"/>
          <w:szCs w:val="22"/>
        </w:rPr>
      </w:pPr>
      <w:r>
        <w:rPr>
          <w:sz w:val="22"/>
          <w:szCs w:val="22"/>
        </w:rPr>
        <w:t xml:space="preserve">(c) the execution time for each executed transaction referred to in (a) and (b); </w:t>
      </w:r>
    </w:p>
    <w:p w:rsidR="005551A8" w:rsidRDefault="005551A8" w:rsidP="005551A8">
      <w:pPr>
        <w:pStyle w:val="Default"/>
        <w:spacing w:after="305"/>
        <w:rPr>
          <w:sz w:val="22"/>
          <w:szCs w:val="22"/>
        </w:rPr>
      </w:pPr>
      <w:r>
        <w:rPr>
          <w:sz w:val="22"/>
          <w:szCs w:val="22"/>
        </w:rPr>
        <w:t xml:space="preserve">(d) the transaction size for each executed transaction referred to in (a) and (b); </w:t>
      </w:r>
    </w:p>
    <w:p w:rsidR="005551A8" w:rsidRDefault="005551A8" w:rsidP="005551A8">
      <w:pPr>
        <w:pStyle w:val="Default"/>
        <w:spacing w:after="305"/>
        <w:rPr>
          <w:sz w:val="22"/>
          <w:szCs w:val="22"/>
        </w:rPr>
      </w:pPr>
      <w:r>
        <w:rPr>
          <w:sz w:val="22"/>
          <w:szCs w:val="22"/>
        </w:rPr>
        <w:t xml:space="preserve">(e) whether the order was a market or a limit order for each executed transaction referred to in (a) and (b); </w:t>
      </w:r>
    </w:p>
    <w:p w:rsidR="005551A8" w:rsidRDefault="005551A8" w:rsidP="005551A8">
      <w:pPr>
        <w:pStyle w:val="Default"/>
        <w:spacing w:after="305"/>
        <w:rPr>
          <w:sz w:val="22"/>
          <w:szCs w:val="22"/>
        </w:rPr>
      </w:pPr>
      <w:r>
        <w:rPr>
          <w:sz w:val="22"/>
          <w:szCs w:val="22"/>
        </w:rPr>
        <w:lastRenderedPageBreak/>
        <w:t xml:space="preserve">(f) the time the order was received or quote released by the execution venue for each executed transaction referred to in (a) and (b); </w:t>
      </w:r>
    </w:p>
    <w:p w:rsidR="005551A8" w:rsidRDefault="005551A8" w:rsidP="005551A8">
      <w:pPr>
        <w:pStyle w:val="Default"/>
        <w:spacing w:after="305"/>
        <w:rPr>
          <w:sz w:val="22"/>
          <w:szCs w:val="22"/>
        </w:rPr>
      </w:pPr>
      <w:r>
        <w:rPr>
          <w:sz w:val="22"/>
          <w:szCs w:val="22"/>
        </w:rPr>
        <w:t xml:space="preserve">(g) the time elapsed (to the mili-second) between a market order being received by the execution venue and the subsequent execution for an order driven execution venue for each executed transaction referred to in (a) and (b); </w:t>
      </w:r>
    </w:p>
    <w:p w:rsidR="005551A8" w:rsidRPr="003E0AC2" w:rsidRDefault="005551A8" w:rsidP="005551A8">
      <w:pPr>
        <w:pStyle w:val="Default"/>
        <w:rPr>
          <w:sz w:val="22"/>
          <w:szCs w:val="22"/>
        </w:rPr>
      </w:pPr>
      <w:r>
        <w:rPr>
          <w:sz w:val="22"/>
          <w:szCs w:val="22"/>
        </w:rPr>
        <w:t xml:space="preserve">(h) the time elapsed between the acceptance/release of a quote and the subsequent execution when applicable for a quote driven execution venue for each executed transaction referred to in (a) and (b); </w:t>
      </w:r>
    </w:p>
    <w:p w:rsidR="005551A8" w:rsidRDefault="005551A8" w:rsidP="005551A8">
      <w:pPr>
        <w:pStyle w:val="Default"/>
      </w:pPr>
    </w:p>
    <w:p w:rsidR="005551A8" w:rsidRDefault="005551A8" w:rsidP="005551A8">
      <w:pPr>
        <w:pStyle w:val="Default"/>
        <w:spacing w:after="305"/>
        <w:rPr>
          <w:sz w:val="22"/>
          <w:szCs w:val="22"/>
        </w:rPr>
      </w:pPr>
      <w:r>
        <w:rPr>
          <w:sz w:val="22"/>
          <w:szCs w:val="22"/>
        </w:rPr>
        <w:t xml:space="preserve">(i) the market mechanism and, where applicable, the trading mode under which the transactions were executed; </w:t>
      </w:r>
    </w:p>
    <w:p w:rsidR="005551A8" w:rsidRDefault="005551A8" w:rsidP="005551A8">
      <w:pPr>
        <w:pStyle w:val="Default"/>
        <w:spacing w:after="305"/>
        <w:rPr>
          <w:sz w:val="22"/>
          <w:szCs w:val="22"/>
        </w:rPr>
      </w:pPr>
      <w:r>
        <w:rPr>
          <w:sz w:val="22"/>
          <w:szCs w:val="22"/>
        </w:rPr>
        <w:t xml:space="preserve">(j) the trading system under which the transactions were executed; </w:t>
      </w:r>
    </w:p>
    <w:p w:rsidR="005551A8" w:rsidRDefault="005551A8" w:rsidP="005551A8">
      <w:pPr>
        <w:pStyle w:val="Default"/>
        <w:spacing w:after="305"/>
        <w:rPr>
          <w:sz w:val="22"/>
          <w:szCs w:val="22"/>
        </w:rPr>
      </w:pPr>
      <w:r>
        <w:rPr>
          <w:sz w:val="22"/>
          <w:szCs w:val="22"/>
        </w:rPr>
        <w:t xml:space="preserve">(k) the transaction type; and </w:t>
      </w:r>
    </w:p>
    <w:p w:rsidR="005551A8" w:rsidRDefault="005551A8" w:rsidP="005551A8">
      <w:pPr>
        <w:pStyle w:val="Default"/>
        <w:rPr>
          <w:sz w:val="22"/>
          <w:szCs w:val="22"/>
        </w:rPr>
      </w:pPr>
      <w:r>
        <w:rPr>
          <w:sz w:val="22"/>
          <w:szCs w:val="22"/>
        </w:rPr>
        <w:t xml:space="preserve">(l) the benchmark price applicable for each executed transaction referred to in (a) and (b). </w:t>
      </w:r>
    </w:p>
    <w:p w:rsidR="005551A8" w:rsidRDefault="005551A8" w:rsidP="005551A8">
      <w:pPr>
        <w:keepNext/>
      </w:pPr>
    </w:p>
    <w:p w:rsidR="005551A8" w:rsidRDefault="005551A8" w:rsidP="005551A8">
      <w:pPr>
        <w:keepNext/>
      </w:pPr>
    </w:p>
    <w:p w:rsidR="005551A8" w:rsidRPr="00AB6BDE" w:rsidRDefault="005551A8" w:rsidP="005551A8">
      <w:pPr>
        <w:pStyle w:val="Default"/>
        <w:jc w:val="center"/>
        <w:rPr>
          <w:b/>
          <w:i/>
          <w:sz w:val="22"/>
          <w:szCs w:val="22"/>
        </w:rPr>
      </w:pPr>
      <w:r w:rsidRPr="00AB6BDE">
        <w:rPr>
          <w:b/>
          <w:i/>
          <w:sz w:val="22"/>
          <w:szCs w:val="22"/>
        </w:rPr>
        <w:t>Article 8</w:t>
      </w:r>
    </w:p>
    <w:p w:rsidR="005551A8" w:rsidRPr="00AB6BDE" w:rsidRDefault="005551A8" w:rsidP="005551A8">
      <w:pPr>
        <w:pStyle w:val="Default"/>
        <w:jc w:val="center"/>
        <w:rPr>
          <w:b/>
          <w:i/>
          <w:sz w:val="22"/>
          <w:szCs w:val="22"/>
        </w:rPr>
      </w:pPr>
      <w:r w:rsidRPr="00AB6BDE">
        <w:rPr>
          <w:b/>
          <w:i/>
          <w:sz w:val="22"/>
          <w:szCs w:val="22"/>
        </w:rPr>
        <w:t>Frequency of the information to be published</w:t>
      </w:r>
    </w:p>
    <w:p w:rsidR="00577C33" w:rsidRDefault="005551A8" w:rsidP="00EC2C93">
      <w:pPr>
        <w:keepNext/>
      </w:pPr>
      <w:r>
        <w:rPr>
          <w:szCs w:val="22"/>
        </w:rPr>
        <w:t xml:space="preserve">The reporting period shall </w:t>
      </w:r>
      <w:r w:rsidRPr="00AB6BDE">
        <w:rPr>
          <w:strike/>
          <w:szCs w:val="22"/>
        </w:rPr>
        <w:t>commence on the first of each calendar month to the last day of that month for each month of the year</w:t>
      </w:r>
      <w:r>
        <w:rPr>
          <w:szCs w:val="22"/>
        </w:rPr>
        <w:t xml:space="preserve"> </w:t>
      </w:r>
      <w:r>
        <w:rPr>
          <w:b/>
          <w:szCs w:val="22"/>
        </w:rPr>
        <w:t>be each calendar quarter of the year</w:t>
      </w:r>
      <w:r>
        <w:rPr>
          <w:szCs w:val="22"/>
        </w:rPr>
        <w:t xml:space="preserve">. This data shall be published without charge within one month at each </w:t>
      </w:r>
      <w:r w:rsidRPr="00AB6BDE">
        <w:rPr>
          <w:strike/>
          <w:szCs w:val="22"/>
        </w:rPr>
        <w:t>quarter end</w:t>
      </w:r>
      <w:r>
        <w:rPr>
          <w:szCs w:val="22"/>
        </w:rPr>
        <w:t xml:space="preserve"> </w:t>
      </w:r>
      <w:r w:rsidRPr="00875450">
        <w:rPr>
          <w:b/>
          <w:szCs w:val="22"/>
        </w:rPr>
        <w:t xml:space="preserve">calendar </w:t>
      </w:r>
      <w:r>
        <w:rPr>
          <w:b/>
          <w:szCs w:val="22"/>
        </w:rPr>
        <w:t>year end</w:t>
      </w:r>
      <w:r>
        <w:rPr>
          <w:szCs w:val="22"/>
        </w:rPr>
        <w:t>.</w:t>
      </w:r>
    </w:p>
    <w:permEnd w:id="4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44" w:edGrp="everyone"/>
      <w:r>
        <w:t>TYPE YOUR TEXT HERE</w:t>
      </w:r>
    </w:p>
    <w:permEnd w:id="4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45" w:edGrp="everyone"/>
      <w:r>
        <w:t>TYPE YOUR TEXT HERE</w:t>
      </w:r>
    </w:p>
    <w:permEnd w:id="4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46" w:edGrp="everyone"/>
      <w:r>
        <w:t>TYPE YOUR TEXT HERE</w:t>
      </w:r>
    </w:p>
    <w:permEnd w:id="4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47" w:edGrp="everyone"/>
      <w:r>
        <w:t>TYPE YOUR TEXT HERE</w:t>
      </w:r>
    </w:p>
    <w:permEnd w:id="4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48" w:edGrp="everyone"/>
      <w:r>
        <w:t>TYPE YOUR TEXT HERE</w:t>
      </w:r>
    </w:p>
    <w:permEnd w:id="48"/>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49" w:edGrp="everyone"/>
      <w:r>
        <w:t>TYPE YOUR TEXT HERE</w:t>
      </w:r>
    </w:p>
    <w:permEnd w:id="49"/>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50" w:edGrp="everyone"/>
      <w:r>
        <w:t>TYPE YOUR TEXT HERE</w:t>
      </w:r>
    </w:p>
    <w:permEnd w:id="50"/>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51" w:edGrp="everyone"/>
      <w:r>
        <w:t>TYPE YOUR TEXT HERE</w:t>
      </w:r>
    </w:p>
    <w:permEnd w:id="5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52" w:edGrp="everyone"/>
      <w:r>
        <w:t>TYPE YOUR TEXT HERE</w:t>
      </w:r>
    </w:p>
    <w:permEnd w:id="5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53" w:edGrp="everyone"/>
      <w:r>
        <w:t>TYPE YOUR TEXT HERE</w:t>
      </w:r>
    </w:p>
    <w:permEnd w:id="5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551A8" w:rsidP="00EC2C93">
      <w:pPr>
        <w:keepNext/>
      </w:pPr>
      <w:permStart w:id="54" w:edGrp="everyone"/>
      <w:r w:rsidRPr="0010614F">
        <w:rPr>
          <w:rFonts w:ascii="Arial" w:eastAsia="Times New Roman" w:hAnsi="Arial" w:cs="Times New Roman"/>
        </w:rPr>
        <w:t>We generally agree with the proposed conditions and standards that SIs should comply with</w:t>
      </w:r>
      <w:r>
        <w:rPr>
          <w:rFonts w:ascii="Arial" w:eastAsia="Times New Roman" w:hAnsi="Arial" w:cs="Times New Roman"/>
        </w:rPr>
        <w:t xml:space="preserve"> and do not anticipate any issues </w:t>
      </w:r>
      <w:r w:rsidRPr="0010614F">
        <w:rPr>
          <w:rFonts w:ascii="Arial" w:eastAsia="Times New Roman" w:hAnsi="Arial" w:cs="Times New Roman"/>
        </w:rPr>
        <w:t>with SIs publishing a timestamp</w:t>
      </w:r>
      <w:r>
        <w:rPr>
          <w:rFonts w:ascii="Arial" w:eastAsia="Times New Roman" w:hAnsi="Arial" w:cs="Times New Roman"/>
        </w:rPr>
        <w:t xml:space="preserve">, provided that </w:t>
      </w:r>
      <w:r w:rsidRPr="0010614F">
        <w:rPr>
          <w:rFonts w:ascii="Arial" w:eastAsia="Times New Roman" w:hAnsi="Arial" w:cs="Times New Roman"/>
        </w:rPr>
        <w:t>does not restrict the SI’s ability to provide prices in illiquid markets</w:t>
      </w:r>
      <w:r>
        <w:rPr>
          <w:rFonts w:ascii="Arial" w:eastAsia="Times New Roman" w:hAnsi="Arial" w:cs="Times New Roman"/>
        </w:rPr>
        <w:t>.</w:t>
      </w:r>
    </w:p>
    <w:permEnd w:id="54"/>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Pr="005551A8" w:rsidRDefault="005551A8" w:rsidP="00EC2C93">
      <w:pPr>
        <w:keepNext/>
        <w:rPr>
          <w:rFonts w:ascii="Arial" w:eastAsia="Times New Roman" w:hAnsi="Arial" w:cs="Times New Roman"/>
          <w:color w:val="00B050"/>
        </w:rPr>
      </w:pPr>
      <w:permStart w:id="55" w:edGrp="everyone"/>
      <w:r w:rsidRPr="000B2F0E">
        <w:rPr>
          <w:rFonts w:ascii="Arial" w:eastAsia="Times New Roman" w:hAnsi="Arial" w:cs="Times New Roman"/>
          <w:bCs/>
        </w:rPr>
        <w:t>Yes we agree with the proposed definition</w:t>
      </w:r>
      <w:r>
        <w:rPr>
          <w:rFonts w:ascii="Arial" w:eastAsia="Times New Roman" w:hAnsi="Arial" w:cs="Times New Roman"/>
          <w:color w:val="00B050"/>
        </w:rPr>
        <w:t>.</w:t>
      </w:r>
    </w:p>
    <w:permEnd w:id="55"/>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551A8" w:rsidP="00EC2C93">
      <w:pPr>
        <w:keepNext/>
      </w:pPr>
      <w:permStart w:id="56" w:edGrp="everyone"/>
      <w:r>
        <w:t>Yes we agree with the proposed classes by average value of transactions and applicable standard market size.</w:t>
      </w:r>
    </w:p>
    <w:permEnd w:id="5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57" w:edGrp="everyone"/>
      <w:r>
        <w:t>TYPE YOUR TEXT HERE</w:t>
      </w:r>
    </w:p>
    <w:permEnd w:id="57"/>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58" w:edGrp="everyone"/>
      <w:r>
        <w:t>TYPE YOUR TEXT HERE</w:t>
      </w:r>
    </w:p>
    <w:permEnd w:id="5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59" w:edGrp="everyone"/>
      <w:r>
        <w:t>TYPE YOUR TEXT HERE</w:t>
      </w:r>
    </w:p>
    <w:permEnd w:id="5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60" w:edGrp="everyone"/>
      <w:r>
        <w:t>TYPE YOUR TEXT HERE</w:t>
      </w:r>
    </w:p>
    <w:permEnd w:id="6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61" w:edGrp="everyone"/>
      <w:r>
        <w:t>TYPE YOUR TEXT HERE</w:t>
      </w:r>
    </w:p>
    <w:permEnd w:id="61"/>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62" w:edGrp="everyone"/>
      <w:r>
        <w:t>TYPE YOUR TEXT HERE</w:t>
      </w:r>
    </w:p>
    <w:permEnd w:id="6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63" w:edGrp="everyone"/>
      <w:r>
        <w:t>TYPE YOUR TEXT HERE</w:t>
      </w:r>
    </w:p>
    <w:permEnd w:id="6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64" w:edGrp="everyone"/>
      <w:r>
        <w:t>TYPE YOUR TEXT HERE</w:t>
      </w:r>
    </w:p>
    <w:permEnd w:id="64"/>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65" w:edGrp="everyone"/>
      <w:r>
        <w:t>TYPE YOUR TEXT HERE</w:t>
      </w:r>
    </w:p>
    <w:permEnd w:id="6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551A8" w:rsidRDefault="005551A8" w:rsidP="005551A8">
      <w:pPr>
        <w:pStyle w:val="Default"/>
        <w:spacing w:after="303"/>
        <w:rPr>
          <w:b/>
          <w:bCs/>
          <w:sz w:val="22"/>
          <w:szCs w:val="22"/>
        </w:rPr>
      </w:pPr>
      <w:permStart w:id="66" w:edGrp="everyone"/>
      <w:r>
        <w:rPr>
          <w:b/>
          <w:bCs/>
          <w:sz w:val="22"/>
          <w:szCs w:val="22"/>
        </w:rPr>
        <w:t xml:space="preserve">(1)Would you use different qualitative criteria to define the sub-classes with respect to those selected (i.e. bond type, debt seniority, issuer sub-type and issuance size)? </w:t>
      </w:r>
    </w:p>
    <w:p w:rsidR="005551A8" w:rsidRPr="00190DE3" w:rsidRDefault="005551A8" w:rsidP="005551A8">
      <w:pPr>
        <w:pStyle w:val="Default"/>
        <w:spacing w:after="303"/>
        <w:ind w:left="360"/>
        <w:rPr>
          <w:sz w:val="22"/>
          <w:szCs w:val="22"/>
        </w:rPr>
      </w:pPr>
      <w:r w:rsidRPr="00190DE3">
        <w:rPr>
          <w:sz w:val="22"/>
          <w:szCs w:val="22"/>
        </w:rPr>
        <w:t xml:space="preserve">We have some concerns over the COFIA approach being used for Fixed Income and see some merit in the use of an IBIA approach as there is a risk that some financial instruments will be wrongly classified as liquid. We believe the following would be helpful </w:t>
      </w:r>
    </w:p>
    <w:p w:rsidR="005551A8" w:rsidRPr="00190DE3" w:rsidRDefault="005551A8" w:rsidP="005551A8">
      <w:pPr>
        <w:pStyle w:val="Default"/>
        <w:numPr>
          <w:ilvl w:val="0"/>
          <w:numId w:val="30"/>
        </w:numPr>
        <w:spacing w:after="303"/>
        <w:rPr>
          <w:sz w:val="22"/>
          <w:szCs w:val="22"/>
        </w:rPr>
      </w:pPr>
      <w:r w:rsidRPr="00190DE3">
        <w:rPr>
          <w:sz w:val="22"/>
          <w:szCs w:val="22"/>
        </w:rPr>
        <w:t>an increase in the number of asset classes pro</w:t>
      </w:r>
      <w:r>
        <w:rPr>
          <w:sz w:val="22"/>
          <w:szCs w:val="22"/>
        </w:rPr>
        <w:t>posed under the COFIA approach</w:t>
      </w:r>
      <w:r w:rsidRPr="00190DE3">
        <w:rPr>
          <w:sz w:val="22"/>
          <w:szCs w:val="22"/>
        </w:rPr>
        <w:t xml:space="preserve">   </w:t>
      </w:r>
    </w:p>
    <w:p w:rsidR="005551A8" w:rsidRPr="00190DE3" w:rsidRDefault="005551A8" w:rsidP="005551A8">
      <w:pPr>
        <w:pStyle w:val="Default"/>
        <w:numPr>
          <w:ilvl w:val="0"/>
          <w:numId w:val="30"/>
        </w:numPr>
        <w:spacing w:after="303"/>
        <w:rPr>
          <w:sz w:val="22"/>
          <w:szCs w:val="22"/>
        </w:rPr>
      </w:pPr>
      <w:r w:rsidRPr="00190DE3">
        <w:rPr>
          <w:sz w:val="22"/>
          <w:szCs w:val="22"/>
        </w:rPr>
        <w:t xml:space="preserve">an increase in issue size definition of liquid  </w:t>
      </w:r>
    </w:p>
    <w:p w:rsidR="005551A8" w:rsidRPr="00190DE3" w:rsidRDefault="005551A8" w:rsidP="005551A8">
      <w:pPr>
        <w:pStyle w:val="Default"/>
        <w:numPr>
          <w:ilvl w:val="0"/>
          <w:numId w:val="30"/>
        </w:numPr>
        <w:spacing w:after="303"/>
        <w:rPr>
          <w:sz w:val="22"/>
          <w:szCs w:val="22"/>
        </w:rPr>
      </w:pPr>
      <w:r w:rsidRPr="00190DE3">
        <w:rPr>
          <w:sz w:val="22"/>
          <w:szCs w:val="22"/>
        </w:rPr>
        <w:t xml:space="preserve">the addition of a New Issue asset class perhaps defined as all trading in a bond within one month </w:t>
      </w:r>
    </w:p>
    <w:p w:rsidR="005551A8" w:rsidRPr="00190DE3" w:rsidRDefault="005551A8" w:rsidP="005551A8">
      <w:pPr>
        <w:pStyle w:val="Default"/>
        <w:numPr>
          <w:ilvl w:val="0"/>
          <w:numId w:val="30"/>
        </w:numPr>
        <w:spacing w:after="303"/>
        <w:rPr>
          <w:sz w:val="22"/>
          <w:szCs w:val="22"/>
        </w:rPr>
      </w:pPr>
      <w:r w:rsidRPr="00190DE3">
        <w:rPr>
          <w:sz w:val="22"/>
          <w:szCs w:val="22"/>
        </w:rPr>
        <w:t>outstanding amount of bond issues should be in threshold definitions rather than issue sizes.</w:t>
      </w:r>
    </w:p>
    <w:p w:rsidR="005551A8" w:rsidRDefault="005551A8" w:rsidP="005551A8">
      <w:pPr>
        <w:pStyle w:val="Default"/>
        <w:rPr>
          <w:b/>
          <w:bCs/>
          <w:sz w:val="22"/>
          <w:szCs w:val="22"/>
        </w:rPr>
      </w:pPr>
      <w:r>
        <w:rPr>
          <w:b/>
          <w:bCs/>
          <w:sz w:val="22"/>
          <w:szCs w:val="22"/>
        </w:rPr>
        <w:t xml:space="preserve">(2)Would you use different parameters (different from average number of trades per day, average nominal amount per day and number of days traded) or the same parameters but different thresholds in order to define a bond or a SFP as liquid? </w:t>
      </w:r>
    </w:p>
    <w:p w:rsidR="005551A8" w:rsidRPr="0074311C" w:rsidRDefault="005551A8" w:rsidP="005551A8">
      <w:pPr>
        <w:pStyle w:val="Default"/>
        <w:rPr>
          <w:i/>
          <w:sz w:val="22"/>
          <w:szCs w:val="22"/>
        </w:rPr>
      </w:pPr>
    </w:p>
    <w:p w:rsidR="005551A8" w:rsidRPr="00190DE3" w:rsidRDefault="005551A8" w:rsidP="005551A8">
      <w:pPr>
        <w:pStyle w:val="Default"/>
        <w:rPr>
          <w:sz w:val="22"/>
          <w:szCs w:val="22"/>
        </w:rPr>
      </w:pPr>
      <w:r w:rsidRPr="00190DE3">
        <w:rPr>
          <w:sz w:val="22"/>
          <w:szCs w:val="22"/>
        </w:rPr>
        <w:t xml:space="preserve">We believe the parameters are appropriate and offer an attractively simplistic approach however believe the thresholds need to significantly increase in order to accurately represent true liquidity. </w:t>
      </w:r>
    </w:p>
    <w:p w:rsidR="005551A8" w:rsidRDefault="005551A8" w:rsidP="005551A8">
      <w:pPr>
        <w:pStyle w:val="Default"/>
        <w:rPr>
          <w:sz w:val="22"/>
          <w:szCs w:val="22"/>
        </w:rPr>
      </w:pPr>
    </w:p>
    <w:p w:rsidR="005551A8" w:rsidRDefault="005551A8" w:rsidP="005551A8">
      <w:pPr>
        <w:pStyle w:val="Default"/>
        <w:rPr>
          <w:b/>
          <w:bCs/>
          <w:color w:val="auto"/>
          <w:sz w:val="22"/>
          <w:szCs w:val="22"/>
        </w:rPr>
      </w:pPr>
      <w:r>
        <w:rPr>
          <w:b/>
          <w:bCs/>
          <w:color w:val="auto"/>
          <w:sz w:val="22"/>
          <w:szCs w:val="22"/>
        </w:rPr>
        <w:t xml:space="preserve">(3)Would you define classes declared as liquid in ESMA’s proposal as illiquid (or vice versa)? Please provide reasons for your answer. </w:t>
      </w:r>
    </w:p>
    <w:p w:rsidR="005551A8" w:rsidRDefault="005551A8" w:rsidP="005551A8">
      <w:pPr>
        <w:pStyle w:val="Default"/>
        <w:rPr>
          <w:b/>
          <w:bCs/>
          <w:color w:val="auto"/>
          <w:sz w:val="22"/>
          <w:szCs w:val="22"/>
        </w:rPr>
      </w:pPr>
    </w:p>
    <w:p w:rsidR="00577C33" w:rsidRDefault="005551A8" w:rsidP="005551A8">
      <w:pPr>
        <w:keepNext/>
      </w:pPr>
      <w:r w:rsidRPr="00190DE3">
        <w:rPr>
          <w:szCs w:val="22"/>
        </w:rPr>
        <w:t>Liquid with the exception of the Covered Bond market</w:t>
      </w:r>
      <w:r>
        <w:rPr>
          <w:szCs w:val="22"/>
        </w:rPr>
        <w:t>.</w:t>
      </w:r>
    </w:p>
    <w:permEnd w:id="6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lastRenderedPageBreak/>
        <w:t>&lt;ESMA_QUESTION_CP_MIFID_58&gt;</w:t>
      </w:r>
    </w:p>
    <w:p w:rsidR="00577C33" w:rsidRPr="001B7637" w:rsidRDefault="001B7637" w:rsidP="001B7637">
      <w:pPr>
        <w:pStyle w:val="Default"/>
        <w:rPr>
          <w:bCs/>
          <w:sz w:val="22"/>
          <w:szCs w:val="22"/>
        </w:rPr>
      </w:pPr>
      <w:permStart w:id="67" w:edGrp="everyone"/>
      <w:r w:rsidRPr="00190DE3">
        <w:rPr>
          <w:bCs/>
          <w:sz w:val="22"/>
          <w:szCs w:val="22"/>
        </w:rPr>
        <w:t xml:space="preserve">We believe a more granular approach for bonds i.e. increasing the number of asset classes from 12 would be appropriate as there is a danger of such broad definition classifying illiquid bonds as liquid. A suggestion would be to also add a non-European public bond category. </w:t>
      </w:r>
    </w:p>
    <w:permEnd w:id="67"/>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68" w:edGrp="everyone"/>
      <w:r>
        <w:t>TYPE YOUR TEXT HERE</w:t>
      </w:r>
    </w:p>
    <w:permEnd w:id="6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69" w:edGrp="everyone"/>
      <w:r>
        <w:t>TYPE YOUR TEXT HERE</w:t>
      </w:r>
    </w:p>
    <w:permEnd w:id="6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lastRenderedPageBreak/>
        <w:t>&lt;ESMA_QUESTION_CP_MIFID_61&gt;</w:t>
      </w:r>
    </w:p>
    <w:p w:rsidR="00577C33" w:rsidRDefault="00577C33" w:rsidP="00EC2C93">
      <w:pPr>
        <w:keepNext/>
      </w:pPr>
      <w:permStart w:id="70" w:edGrp="everyone"/>
      <w:r>
        <w:t>TYPE YOUR TEXT HERE</w:t>
      </w:r>
    </w:p>
    <w:permEnd w:id="7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71" w:edGrp="everyone"/>
      <w:r>
        <w:t>TYPE YOUR TEXT HERE</w:t>
      </w:r>
    </w:p>
    <w:permEnd w:id="7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72" w:edGrp="everyone"/>
      <w:r>
        <w:t>TYPE YOUR TEXT HERE</w:t>
      </w:r>
    </w:p>
    <w:permEnd w:id="7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73" w:edGrp="everyone"/>
      <w:r>
        <w:t>TYPE YOUR TEXT HERE</w:t>
      </w:r>
    </w:p>
    <w:permEnd w:id="7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74" w:edGrp="everyone"/>
      <w:r>
        <w:t>TYPE YOUR TEXT HERE</w:t>
      </w:r>
    </w:p>
    <w:permEnd w:id="7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lastRenderedPageBreak/>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75" w:edGrp="everyone"/>
      <w:r>
        <w:t>TYPE YOUR TEXT HERE</w:t>
      </w:r>
    </w:p>
    <w:permEnd w:id="7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76" w:edGrp="everyone"/>
      <w:r>
        <w:t>TYPE YOUR TEXT HERE</w:t>
      </w:r>
    </w:p>
    <w:permEnd w:id="76"/>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77" w:edGrp="everyone"/>
      <w:r>
        <w:t>TYPE YOUR TEXT HERE</w:t>
      </w:r>
    </w:p>
    <w:permEnd w:id="7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lastRenderedPageBreak/>
        <w:t>&lt;ESMA_QUESTION_CP_MIFID_69&gt;</w:t>
      </w:r>
    </w:p>
    <w:p w:rsidR="00577C33" w:rsidRDefault="00577C33" w:rsidP="00EC2C93">
      <w:pPr>
        <w:keepNext/>
      </w:pPr>
      <w:permStart w:id="78" w:edGrp="everyone"/>
      <w:r>
        <w:t>TYPE YOUR TEXT HERE</w:t>
      </w:r>
    </w:p>
    <w:permEnd w:id="7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6B7B86" w:rsidRPr="00854014" w:rsidRDefault="006B7B86" w:rsidP="006B7B86">
      <w:pPr>
        <w:pStyle w:val="CPQuest2"/>
        <w:numPr>
          <w:ilvl w:val="0"/>
          <w:numId w:val="0"/>
        </w:numPr>
      </w:pPr>
      <w:permStart w:id="79" w:edGrp="everyone"/>
      <w:r w:rsidRPr="001B7637">
        <w:t>(1)</w:t>
      </w:r>
      <w:r>
        <w:t xml:space="preserve"> Definition of an RFQ</w:t>
      </w:r>
    </w:p>
    <w:p w:rsidR="006B7B86" w:rsidRDefault="006B7B86" w:rsidP="006B7B86"/>
    <w:p w:rsidR="006B7B86" w:rsidRDefault="006B7B86" w:rsidP="006B7B86">
      <w:r>
        <w:t xml:space="preserve">We believe that part of the definition provided by ESMA of an RFQ system is inappropriate. ESMA have stated that an RFQ system is a trading system where a quote or quotes are </w:t>
      </w:r>
      <w:r>
        <w:rPr>
          <w:i/>
        </w:rPr>
        <w:t xml:space="preserve">published </w:t>
      </w:r>
      <w:r>
        <w:t xml:space="preserve">(our emphasis) in response to a request for quote. </w:t>
      </w:r>
    </w:p>
    <w:p w:rsidR="006B7B86" w:rsidRDefault="006B7B86" w:rsidP="006B7B86"/>
    <w:p w:rsidR="006B7B86" w:rsidRPr="00544C39" w:rsidRDefault="006B7B86" w:rsidP="006B7B86">
      <w:r>
        <w:t xml:space="preserve">We believe that this new definition implies that quotes are published in a way that would infer full pre-trade transparency. This is not the case. A response to an RFQ is made exclusively to the person who made the request, and not made visible to any other client of the liquidity provider. </w:t>
      </w:r>
    </w:p>
    <w:p w:rsidR="006B7B86" w:rsidRDefault="006B7B86" w:rsidP="006B7B86"/>
    <w:p w:rsidR="006B7B86" w:rsidRDefault="006B7B86" w:rsidP="006B7B86">
      <w:r>
        <w:t>We are aware that pre-trade transparency will apply to RFQ systems where:</w:t>
      </w:r>
    </w:p>
    <w:p w:rsidR="006B7B86" w:rsidRDefault="006B7B86" w:rsidP="006B7B86"/>
    <w:p w:rsidR="006B7B86" w:rsidRDefault="006B7B86" w:rsidP="006B7B86">
      <w:pPr>
        <w:pStyle w:val="ListParagraph"/>
      </w:pPr>
      <w:r>
        <w:t>The RFQ is of a size below the SSTI; and</w:t>
      </w:r>
    </w:p>
    <w:p w:rsidR="006B7B86" w:rsidRDefault="006B7B86" w:rsidP="006B7B86">
      <w:pPr>
        <w:pStyle w:val="ListParagraph"/>
      </w:pPr>
      <w:r>
        <w:t>The trade is not conducted by a non-financial counterparty for the purposes of hedging; and</w:t>
      </w:r>
    </w:p>
    <w:p w:rsidR="006B7B86" w:rsidRDefault="006B7B86" w:rsidP="006B7B86">
      <w:pPr>
        <w:pStyle w:val="ListParagraph"/>
      </w:pPr>
      <w:r>
        <w:t>The financial instrument is not subject to the trading obligation or is deemed liquid.</w:t>
      </w:r>
    </w:p>
    <w:p w:rsidR="006B7B86" w:rsidRDefault="006B7B86" w:rsidP="006B7B86"/>
    <w:p w:rsidR="006B7B86" w:rsidRDefault="006B7B86" w:rsidP="006B7B86">
      <w:r>
        <w:t>These three points infer that a number of RFQs will not be pre-trade transparent, meaning that in the future, the word published will continue to be inappropriate. We therefore believe that the word “published” should be replaced with the word “provided” in Article 1(6) of RTS 9.</w:t>
      </w:r>
    </w:p>
    <w:p w:rsidR="006B7B86" w:rsidRDefault="006B7B86" w:rsidP="006B7B86"/>
    <w:p w:rsidR="006B7B86" w:rsidRDefault="006B7B86" w:rsidP="006B7B86">
      <w:r>
        <w:t>We also note that the definition does not include the full process by which an RFQ is accepted. Ordinarily the liquidity provider will conclude the transaction after the client accepts the price.</w:t>
      </w:r>
    </w:p>
    <w:p w:rsidR="006B7B86" w:rsidRDefault="006B7B86" w:rsidP="006B7B86"/>
    <w:p w:rsidR="006B7B86" w:rsidRDefault="006B7B86" w:rsidP="006B7B86">
      <w:r>
        <w:t>We therefore suggest the following redraft to Article 1(6) of RTS 9:</w:t>
      </w:r>
    </w:p>
    <w:p w:rsidR="006B7B86" w:rsidRDefault="006B7B86" w:rsidP="006B7B86"/>
    <w:p w:rsidR="006B7B86" w:rsidRDefault="006B7B86" w:rsidP="006B7B86">
      <w:pPr>
        <w:pStyle w:val="Default"/>
      </w:pPr>
    </w:p>
    <w:p w:rsidR="006B7B86" w:rsidRPr="00C901AB" w:rsidRDefault="006B7B86" w:rsidP="006B7B86">
      <w:pPr>
        <w:pStyle w:val="Default"/>
        <w:jc w:val="center"/>
        <w:rPr>
          <w:b/>
          <w:i/>
          <w:sz w:val="22"/>
          <w:szCs w:val="22"/>
        </w:rPr>
      </w:pPr>
      <w:r>
        <w:rPr>
          <w:b/>
          <w:i/>
          <w:sz w:val="22"/>
          <w:szCs w:val="22"/>
        </w:rPr>
        <w:t>Article 1(6)</w:t>
      </w:r>
    </w:p>
    <w:p w:rsidR="006B7B86" w:rsidRPr="00C901AB" w:rsidRDefault="006B7B86" w:rsidP="006B7B86">
      <w:pPr>
        <w:pStyle w:val="Default"/>
        <w:jc w:val="center"/>
        <w:rPr>
          <w:b/>
          <w:i/>
          <w:sz w:val="22"/>
          <w:szCs w:val="22"/>
        </w:rPr>
      </w:pPr>
      <w:r w:rsidRPr="00C901AB">
        <w:rPr>
          <w:b/>
          <w:i/>
          <w:sz w:val="22"/>
          <w:szCs w:val="22"/>
        </w:rPr>
        <w:t xml:space="preserve">Definitions </w:t>
      </w:r>
    </w:p>
    <w:p w:rsidR="006B7B86" w:rsidRDefault="006B7B86" w:rsidP="006B7B86">
      <w:pPr>
        <w:pStyle w:val="Default"/>
      </w:pPr>
    </w:p>
    <w:p w:rsidR="006B7B86" w:rsidRPr="005B5AED" w:rsidRDefault="006B7B86" w:rsidP="006B7B86">
      <w:pPr>
        <w:pStyle w:val="Default"/>
        <w:rPr>
          <w:b/>
          <w:color w:val="auto"/>
          <w:sz w:val="22"/>
          <w:szCs w:val="22"/>
        </w:rPr>
      </w:pPr>
      <w:r>
        <w:rPr>
          <w:sz w:val="22"/>
          <w:szCs w:val="22"/>
        </w:rPr>
        <w:t xml:space="preserve">(6) ‘request-for-quote system’ means a trading system where a quote or quotes are </w:t>
      </w:r>
      <w:r w:rsidRPr="00C901AB">
        <w:rPr>
          <w:strike/>
          <w:sz w:val="22"/>
          <w:szCs w:val="22"/>
        </w:rPr>
        <w:t>published</w:t>
      </w:r>
      <w:r>
        <w:rPr>
          <w:sz w:val="22"/>
          <w:szCs w:val="22"/>
        </w:rPr>
        <w:t xml:space="preserve"> </w:t>
      </w:r>
      <w:r>
        <w:rPr>
          <w:b/>
          <w:sz w:val="22"/>
          <w:szCs w:val="22"/>
        </w:rPr>
        <w:t>provided</w:t>
      </w:r>
      <w:r>
        <w:rPr>
          <w:sz w:val="22"/>
          <w:szCs w:val="22"/>
        </w:rPr>
        <w:t xml:space="preserve"> in response to a request for a quote submitted by one or more other members or participants; the quote is executable exclusively by the requesting member or market participant; the requesting member or participant may conclude a transaction by accepting the quote or quotes provided to it on request </w:t>
      </w:r>
      <w:r w:rsidRPr="002944E1">
        <w:rPr>
          <w:b/>
          <w:color w:val="auto"/>
          <w:sz w:val="22"/>
          <w:szCs w:val="22"/>
        </w:rPr>
        <w:t>and the liquidity provider may then conclude the transaction</w:t>
      </w:r>
      <w:r>
        <w:rPr>
          <w:sz w:val="22"/>
          <w:szCs w:val="22"/>
        </w:rPr>
        <w:t xml:space="preserve">; </w:t>
      </w:r>
    </w:p>
    <w:p w:rsidR="006B7B86" w:rsidRDefault="006B7B86" w:rsidP="006B7B86"/>
    <w:p w:rsidR="006B7B86" w:rsidRDefault="006B7B86" w:rsidP="006B7B86">
      <w:r>
        <w:t>We agree that the quote will executable exclusively by the person who requested the price.</w:t>
      </w:r>
    </w:p>
    <w:p w:rsidR="006B7B86" w:rsidRDefault="006B7B86" w:rsidP="006B7B86"/>
    <w:p w:rsidR="006B7B86" w:rsidRPr="00854014" w:rsidRDefault="006B7B86" w:rsidP="006B7B86">
      <w:pPr>
        <w:rPr>
          <w:b/>
        </w:rPr>
      </w:pPr>
      <w:r>
        <w:rPr>
          <w:b/>
        </w:rPr>
        <w:t>(2) Pre-trade information to be made public by an RFQ trading system</w:t>
      </w:r>
    </w:p>
    <w:p w:rsidR="006B7B86" w:rsidRDefault="006B7B86" w:rsidP="006B7B86"/>
    <w:p w:rsidR="006B7B86" w:rsidRDefault="006B7B86" w:rsidP="006B7B86">
      <w:r>
        <w:t>We do not believe that individual prices and attaching volumes of each response to an RFQ should be made public when below the SSTI. We believe that this would have the effect of significantly reducing liquidity in the non-equity markets, which would have a direct and negative impact on the cost of capital for firms participating in the wholesale markets to finance their business operations and manage their treasury risk.</w:t>
      </w:r>
    </w:p>
    <w:p w:rsidR="006B7B86" w:rsidRDefault="006B7B86" w:rsidP="006B7B86">
      <w:r>
        <w:t>Many if not most non-equity markets do not have continuous buying and selling interests to support an order driven model. These markets tend to be non-standard with heterogeneous pricing models. These markets therefore rely on liquidity providers to provide prices in response to specific requests; the RFQ model has evolved over time as a highly effective way of providing liquidity to those who need it.</w:t>
      </w:r>
    </w:p>
    <w:p w:rsidR="006B7B86" w:rsidRDefault="006B7B86" w:rsidP="006B7B86"/>
    <w:p w:rsidR="006B7B86" w:rsidRDefault="006B7B86" w:rsidP="006B7B86">
      <w:r>
        <w:t xml:space="preserve">Making each RFQ response pre-trade transparent would significantly reduce liquidity. This is because liquidity providers face a great amount of risk when attempting to hedge out a particular position they have priced. Were it known in the market that a particular dealer held a certain position, the market impact would be such that dealers would find it difficult to unwind that position. There are two consequences of this: </w:t>
      </w:r>
      <w:proofErr w:type="spellStart"/>
      <w:r>
        <w:t>i</w:t>
      </w:r>
      <w:proofErr w:type="spellEnd"/>
      <w:r>
        <w:t xml:space="preserve">) a risk to financial stability and; ii) a disincentive for dealers to provide prices, resulting in a reduction in liquidity. </w:t>
      </w:r>
    </w:p>
    <w:p w:rsidR="006B7B86" w:rsidRDefault="006B7B86" w:rsidP="006B7B86"/>
    <w:p w:rsidR="006B7B86" w:rsidRDefault="006B7B86" w:rsidP="006B7B86">
      <w:r>
        <w:t xml:space="preserve">We recognise that ESMA is required by Article 8 of MiFIR to provide for pre-trade transparency for non-equity markets, and to calibrate the requirements by market type. We do not believe it would be inconsistent with the level 1 for pre-trade transparency to be defined as the average price of an RFQ within certain volume bands for each class of instrument (or indeed for each instrument in the case of bonds). </w:t>
      </w:r>
    </w:p>
    <w:p w:rsidR="006B7B86" w:rsidRDefault="006B7B86" w:rsidP="006B7B86"/>
    <w:p w:rsidR="00577C33" w:rsidRDefault="006B7B86" w:rsidP="006B7B86">
      <w:r>
        <w:t>We believe that adopting this approach would provide a richer set of information to the market in order to facilitate the price discovery process while helping to ensure that liquidity providers continue to be able to hedge their risk effectively. We are aware that this point is inextricably linked with the level of the SSTI threshold, which we believe should be set at 10% of LIS.</w:t>
      </w:r>
    </w:p>
    <w:permEnd w:id="7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D307FE" w:rsidP="00D307FE">
      <w:permStart w:id="80" w:edGrp="everyone"/>
      <w:r>
        <w:t>We generally support ESMA’s proposal on the order management waiver.</w:t>
      </w:r>
    </w:p>
    <w:permEnd w:id="80"/>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lastRenderedPageBreak/>
        <w:t>&lt;ESMA_QUESTION_CP_MIFID_72&gt;</w:t>
      </w:r>
    </w:p>
    <w:p w:rsidR="00C246F7" w:rsidRDefault="00C246F7" w:rsidP="00C246F7">
      <w:pPr>
        <w:keepNext/>
      </w:pPr>
      <w:permStart w:id="81" w:edGrp="everyone"/>
      <w:r>
        <w:t xml:space="preserve">We fully support ESMA’s proposal that the methodology for calculating indicative prices when an RFQ is above the SSTI should be at the discretion of the trading venue. </w:t>
      </w:r>
    </w:p>
    <w:p w:rsidR="00C246F7" w:rsidRDefault="00C246F7" w:rsidP="00C246F7">
      <w:pPr>
        <w:keepNext/>
      </w:pPr>
    </w:p>
    <w:p w:rsidR="00C246F7" w:rsidRDefault="00C246F7" w:rsidP="00C246F7">
      <w:pPr>
        <w:keepNext/>
      </w:pPr>
      <w:r>
        <w:t>While we generally support the SSTI being the same pre-and post-trade, we do not agree with the way that ESMA has calculated the SSTI levels in Annex III of RTS 9. It is inappropriate for the SSTI to be set at 50% of the LIS because this is at a level significantly higher than that at which market participants may reasonably be expected to manage risk.</w:t>
      </w:r>
    </w:p>
    <w:p w:rsidR="00C246F7" w:rsidRDefault="00C246F7" w:rsidP="00C246F7">
      <w:pPr>
        <w:keepNext/>
      </w:pPr>
    </w:p>
    <w:p w:rsidR="00C246F7" w:rsidRDefault="00C246F7" w:rsidP="00C246F7">
      <w:pPr>
        <w:keepNext/>
      </w:pPr>
      <w:r>
        <w:t>We believe that SIs and market makers can only effectively manage risk up to 10% of LIS, and that they face the greatest risk pre-trade. For this reason and to ensure that markets remain appropriately liquid, we believe that the SSTI should be set at 10% of LIS pre-trade. We believe that this would be consistent with Article 9(5)(d)(i) of MiFIR. We believe that Article 11(6) of RTS 9 should be redrafted as follows and the associated tables in Annex III updated accordingly:</w:t>
      </w:r>
    </w:p>
    <w:p w:rsidR="00C246F7" w:rsidRDefault="00C246F7" w:rsidP="00C246F7">
      <w:pPr>
        <w:keepNext/>
      </w:pPr>
    </w:p>
    <w:p w:rsidR="00C246F7" w:rsidRDefault="00C246F7" w:rsidP="00C246F7">
      <w:pPr>
        <w:pStyle w:val="Default"/>
      </w:pPr>
    </w:p>
    <w:p w:rsidR="00C246F7" w:rsidRPr="00685213" w:rsidRDefault="00C246F7" w:rsidP="00C246F7">
      <w:pPr>
        <w:pStyle w:val="Default"/>
        <w:jc w:val="center"/>
        <w:rPr>
          <w:b/>
          <w:i/>
          <w:sz w:val="22"/>
          <w:szCs w:val="22"/>
        </w:rPr>
      </w:pPr>
      <w:r w:rsidRPr="00685213">
        <w:rPr>
          <w:b/>
          <w:i/>
          <w:sz w:val="22"/>
          <w:szCs w:val="22"/>
        </w:rPr>
        <w:t xml:space="preserve">Article 11 </w:t>
      </w:r>
      <w:r>
        <w:rPr>
          <w:b/>
          <w:i/>
          <w:sz w:val="22"/>
          <w:szCs w:val="22"/>
        </w:rPr>
        <w:t>(6)</w:t>
      </w:r>
    </w:p>
    <w:p w:rsidR="00C246F7" w:rsidRPr="00685213" w:rsidRDefault="00C246F7" w:rsidP="00C246F7">
      <w:pPr>
        <w:pStyle w:val="Default"/>
        <w:jc w:val="center"/>
        <w:rPr>
          <w:b/>
          <w:i/>
          <w:sz w:val="22"/>
          <w:szCs w:val="22"/>
        </w:rPr>
      </w:pPr>
      <w:r w:rsidRPr="00685213">
        <w:rPr>
          <w:b/>
          <w:i/>
          <w:sz w:val="22"/>
          <w:szCs w:val="22"/>
        </w:rPr>
        <w:t xml:space="preserve">Size of orders that are large in scale compared with the normal market size, orders that are above the size specific to a financial instrument, relevant minimum large in scale size of transactions and size of the transactions that are above the size specific to a financial instrument </w:t>
      </w:r>
    </w:p>
    <w:p w:rsidR="00C246F7" w:rsidRDefault="00C246F7" w:rsidP="00C246F7">
      <w:pPr>
        <w:pStyle w:val="Default"/>
        <w:jc w:val="center"/>
        <w:rPr>
          <w:i/>
          <w:sz w:val="22"/>
          <w:szCs w:val="22"/>
        </w:rPr>
      </w:pPr>
    </w:p>
    <w:p w:rsidR="00C246F7" w:rsidRPr="00D50004" w:rsidRDefault="00C246F7" w:rsidP="00C246F7">
      <w:pPr>
        <w:pStyle w:val="Default"/>
        <w:jc w:val="center"/>
        <w:rPr>
          <w:i/>
          <w:sz w:val="22"/>
          <w:szCs w:val="22"/>
        </w:rPr>
      </w:pPr>
      <w:r w:rsidRPr="00D50004">
        <w:rPr>
          <w:i/>
          <w:sz w:val="22"/>
          <w:szCs w:val="22"/>
        </w:rPr>
        <w:t xml:space="preserve">6. The size specific to the financial instrument referred to in paragraph 1(b), shall be calculated as </w:t>
      </w:r>
      <w:r w:rsidRPr="00D50004">
        <w:rPr>
          <w:i/>
          <w:strike/>
          <w:sz w:val="22"/>
          <w:szCs w:val="22"/>
        </w:rPr>
        <w:t>50%</w:t>
      </w:r>
      <w:r w:rsidRPr="00D50004">
        <w:rPr>
          <w:i/>
          <w:sz w:val="22"/>
          <w:szCs w:val="22"/>
        </w:rPr>
        <w:t xml:space="preserve"> </w:t>
      </w:r>
      <w:r w:rsidRPr="00D50004">
        <w:rPr>
          <w:b/>
          <w:i/>
          <w:sz w:val="22"/>
          <w:szCs w:val="22"/>
        </w:rPr>
        <w:t>10%</w:t>
      </w:r>
      <w:r w:rsidRPr="00D50004">
        <w:rPr>
          <w:i/>
          <w:sz w:val="22"/>
          <w:szCs w:val="22"/>
        </w:rPr>
        <w:t xml:space="preserve"> of the corresponding large in scale size as determined in accordance with paragraphs 2, 3, 4 and 5</w:t>
      </w:r>
      <w:r>
        <w:rPr>
          <w:i/>
          <w:sz w:val="22"/>
          <w:szCs w:val="22"/>
        </w:rPr>
        <w:t>.</w:t>
      </w:r>
      <w:r w:rsidRPr="00D50004">
        <w:rPr>
          <w:i/>
          <w:sz w:val="22"/>
          <w:szCs w:val="22"/>
        </w:rPr>
        <w:t xml:space="preserve"> </w:t>
      </w:r>
    </w:p>
    <w:p w:rsidR="00C246F7" w:rsidRDefault="00C246F7" w:rsidP="00C246F7">
      <w:pPr>
        <w:keepNext/>
      </w:pPr>
    </w:p>
    <w:p w:rsidR="00C246F7" w:rsidRDefault="00C246F7" w:rsidP="00C246F7">
      <w:pPr>
        <w:keepNext/>
      </w:pPr>
      <w:r>
        <w:t>Alternatively, we would recommend that pre-trade, the SSTI is set at 10% and 50% for post-trade, thereby separating out the thresholds pre- and post-trade.</w:t>
      </w:r>
    </w:p>
    <w:p w:rsidR="00C246F7" w:rsidRDefault="00C246F7" w:rsidP="00C246F7">
      <w:pPr>
        <w:keepNext/>
      </w:pPr>
    </w:p>
    <w:p w:rsidR="00C246F7" w:rsidRDefault="00C246F7" w:rsidP="00C246F7">
      <w:pPr>
        <w:keepNext/>
      </w:pPr>
      <w:r>
        <w:t xml:space="preserve">Regarding ESMA’s proposal in paragraph 38 of the CP, we do not agree that this clarification is required. Article 2(1)(c) of MiFIR is quite clear that waivers are available for derivatives which are not subject to the trading obligation and for other instruments which are deemed illiquid. Further, we are not aware of any empowerment provided for in Article 9(5) of MiFIR for ESMA to provide guidance on this Level 1 requirement. </w:t>
      </w:r>
      <w:r w:rsidRPr="00AC47E2">
        <w:t xml:space="preserve">We believe that Recital 4 of RTS 9 </w:t>
      </w:r>
      <w:r>
        <w:t>should be redrafted as follows:</w:t>
      </w:r>
    </w:p>
    <w:p w:rsidR="00C246F7" w:rsidRDefault="00C246F7" w:rsidP="00C246F7">
      <w:pPr>
        <w:keepNext/>
      </w:pPr>
    </w:p>
    <w:p w:rsidR="00577C33" w:rsidRPr="00C246F7" w:rsidRDefault="00C246F7" w:rsidP="00C246F7">
      <w:pPr>
        <w:pStyle w:val="Default"/>
        <w:jc w:val="center"/>
        <w:rPr>
          <w:i/>
          <w:sz w:val="22"/>
          <w:szCs w:val="22"/>
        </w:rPr>
      </w:pPr>
      <w:r>
        <w:rPr>
          <w:i/>
          <w:sz w:val="22"/>
          <w:szCs w:val="22"/>
        </w:rPr>
        <w:t xml:space="preserve">(4) </w:t>
      </w:r>
      <w:r w:rsidRPr="00503F51">
        <w:rPr>
          <w:i/>
          <w:sz w:val="22"/>
          <w:szCs w:val="22"/>
        </w:rPr>
        <w:t xml:space="preserve">Regulation (EU) No 600/2014 provides in Article 9(1)(c) for a pre-trade transparency waiver for “derivatives which are not subject to the trading obligation specified in Article 28 and other financial instruments for which there is not a liquid market”. This means that the following instruments are eligible under this waiver: (i) derivatives </w:t>
      </w:r>
      <w:r w:rsidRPr="00503F51">
        <w:rPr>
          <w:i/>
          <w:strike/>
          <w:sz w:val="22"/>
          <w:szCs w:val="22"/>
        </w:rPr>
        <w:t>subject to the clearing obligation but for which ESMA has determined</w:t>
      </w:r>
      <w:r w:rsidRPr="00503F51">
        <w:rPr>
          <w:i/>
          <w:sz w:val="22"/>
          <w:szCs w:val="22"/>
        </w:rPr>
        <w:t xml:space="preserve"> that </w:t>
      </w:r>
      <w:r w:rsidRPr="00503F51">
        <w:rPr>
          <w:i/>
          <w:strike/>
          <w:sz w:val="22"/>
          <w:szCs w:val="22"/>
        </w:rPr>
        <w:t>they sha</w:t>
      </w:r>
      <w:r>
        <w:rPr>
          <w:i/>
          <w:strike/>
          <w:sz w:val="22"/>
          <w:szCs w:val="22"/>
        </w:rPr>
        <w:t>l</w:t>
      </w:r>
      <w:r w:rsidRPr="00503F51">
        <w:rPr>
          <w:i/>
          <w:strike/>
          <w:sz w:val="22"/>
          <w:szCs w:val="22"/>
        </w:rPr>
        <w:t>l</w:t>
      </w:r>
      <w:r w:rsidRPr="00503F51">
        <w:rPr>
          <w:i/>
          <w:sz w:val="22"/>
          <w:szCs w:val="22"/>
        </w:rPr>
        <w:t xml:space="preserve"> </w:t>
      </w:r>
      <w:r>
        <w:rPr>
          <w:b/>
          <w:i/>
          <w:sz w:val="22"/>
          <w:szCs w:val="22"/>
        </w:rPr>
        <w:t xml:space="preserve"> are </w:t>
      </w:r>
      <w:r w:rsidRPr="00503F51">
        <w:rPr>
          <w:i/>
          <w:sz w:val="22"/>
          <w:szCs w:val="22"/>
        </w:rPr>
        <w:t xml:space="preserve">not </w:t>
      </w:r>
      <w:r w:rsidRPr="00503F51">
        <w:rPr>
          <w:i/>
          <w:strike/>
          <w:sz w:val="22"/>
          <w:szCs w:val="22"/>
        </w:rPr>
        <w:t>be</w:t>
      </w:r>
      <w:r w:rsidRPr="00503F51">
        <w:rPr>
          <w:i/>
          <w:sz w:val="22"/>
          <w:szCs w:val="22"/>
        </w:rPr>
        <w:t xml:space="preserve"> subject to the trading obligation; and (ii) bonds, derivatives, structured finance products and emission allowances deemed illiquid as per Annex III.</w:t>
      </w:r>
    </w:p>
    <w:permEnd w:id="81"/>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C246F7" w:rsidP="00EC2C93">
      <w:pPr>
        <w:keepNext/>
      </w:pPr>
      <w:permStart w:id="82" w:edGrp="everyone"/>
      <w:r>
        <w:t>Yes we believe that the date and time of publication should be included because this would provide greater clarity on whether a deferral was applied to the report and provides greater certainty that the deferrals have been correctly applied.</w:t>
      </w:r>
    </w:p>
    <w:permEnd w:id="82"/>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2134DE" w:rsidRDefault="002134DE" w:rsidP="002134DE">
      <w:pPr>
        <w:keepNext/>
      </w:pPr>
      <w:permStart w:id="83" w:edGrp="everyone"/>
      <w:r>
        <w:t>We do not believe that the inclusion of a cancellation flag will be useful. The use of these flags will vary by participant, and therefore the application of this flag is likely to be inconsistent.</w:t>
      </w:r>
    </w:p>
    <w:p w:rsidR="002134DE" w:rsidRDefault="002134DE" w:rsidP="002134DE">
      <w:pPr>
        <w:keepNext/>
      </w:pPr>
    </w:p>
    <w:p w:rsidR="002134DE" w:rsidRDefault="002134DE" w:rsidP="002134DE">
      <w:pPr>
        <w:keepNext/>
      </w:pPr>
      <w:r>
        <w:t>We believe that intra-group transactions should be included in Article 9 as non price forming and therefore included under Flag G.</w:t>
      </w:r>
    </w:p>
    <w:p w:rsidR="002134DE" w:rsidRDefault="002134DE" w:rsidP="002134DE">
      <w:pPr>
        <w:keepNext/>
      </w:pPr>
    </w:p>
    <w:p w:rsidR="00577C33" w:rsidRDefault="002134DE" w:rsidP="002134DE">
      <w:pPr>
        <w:keepNext/>
      </w:pPr>
      <w:r>
        <w:t>We note that there are two flag Gs Table 2 and that this needs to be addressed by ESMA.</w:t>
      </w:r>
    </w:p>
    <w:permEnd w:id="8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744B5C" w:rsidRDefault="00744B5C" w:rsidP="00744B5C">
      <w:pPr>
        <w:keepNext/>
      </w:pPr>
      <w:permStart w:id="84" w:edGrp="everyone"/>
      <w:r>
        <w:t>We fully support ESMA’s proposal for a three year implementation period, during which time the maximum delay for publication of trades that do not qualify for a deferral will be 15 minutes.</w:t>
      </w:r>
    </w:p>
    <w:p w:rsidR="00744B5C" w:rsidRDefault="00744B5C" w:rsidP="00744B5C">
      <w:pPr>
        <w:keepNext/>
      </w:pPr>
    </w:p>
    <w:p w:rsidR="00577C33" w:rsidRDefault="00744B5C" w:rsidP="00EC2C93">
      <w:pPr>
        <w:keepNext/>
      </w:pPr>
      <w:r>
        <w:t>However, we believe that once this period has expired, ESMA should be required to conduct a review into the readiness and ability for the market to operationally handle the reduction to 5 minutes, instead of the period being shortened automatically.</w:t>
      </w:r>
    </w:p>
    <w:permEnd w:id="8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85" w:edGrp="everyone"/>
      <w:r>
        <w:t>TYPE YOUR TEXT HERE</w:t>
      </w:r>
    </w:p>
    <w:permEnd w:id="8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lastRenderedPageBreak/>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FC59F2" w:rsidRDefault="00FC59F2" w:rsidP="00FC59F2">
      <w:pPr>
        <w:keepNext/>
        <w:rPr>
          <w:b/>
        </w:rPr>
      </w:pPr>
      <w:permStart w:id="86" w:edGrp="everyone"/>
      <w:r>
        <w:rPr>
          <w:b/>
        </w:rPr>
        <w:t>Point 1</w:t>
      </w:r>
    </w:p>
    <w:p w:rsidR="00FC59F2" w:rsidRPr="009C4E43" w:rsidRDefault="00FC59F2" w:rsidP="00FC59F2">
      <w:pPr>
        <w:keepNext/>
      </w:pPr>
      <w:r>
        <w:t>We support a deferral period of 48 hours, and would like to clarify that this means 48 hours and not up to 48 hours.</w:t>
      </w:r>
    </w:p>
    <w:p w:rsidR="00FC59F2" w:rsidRDefault="00FC59F2" w:rsidP="00FC59F2">
      <w:pPr>
        <w:keepNext/>
        <w:rPr>
          <w:b/>
        </w:rPr>
      </w:pPr>
    </w:p>
    <w:p w:rsidR="00FC59F2" w:rsidRDefault="00FC59F2" w:rsidP="00FC59F2">
      <w:pPr>
        <w:keepNext/>
        <w:rPr>
          <w:b/>
        </w:rPr>
      </w:pPr>
      <w:r w:rsidRPr="00FD2EBB">
        <w:rPr>
          <w:b/>
        </w:rPr>
        <w:t>Points 2 and 4</w:t>
      </w:r>
    </w:p>
    <w:p w:rsidR="00FC59F2" w:rsidRPr="00FD2EBB" w:rsidRDefault="00FC59F2" w:rsidP="00FC59F2">
      <w:pPr>
        <w:keepNext/>
        <w:rPr>
          <w:b/>
        </w:rPr>
      </w:pPr>
    </w:p>
    <w:p w:rsidR="00FC59F2" w:rsidRDefault="00FC59F2" w:rsidP="00FC59F2">
      <w:pPr>
        <w:keepNext/>
      </w:pPr>
      <w:r>
        <w:t xml:space="preserve">We fully support ESMA’s proposal that the methodology for calculating indicative prices when an RFQ is above the SSTI should be at the discretion of the trading venue. </w:t>
      </w:r>
    </w:p>
    <w:p w:rsidR="00FC59F2" w:rsidRDefault="00FC59F2" w:rsidP="00FC59F2">
      <w:pPr>
        <w:keepNext/>
      </w:pPr>
    </w:p>
    <w:p w:rsidR="00FC59F2" w:rsidRDefault="00FC59F2" w:rsidP="00FC59F2">
      <w:pPr>
        <w:keepNext/>
      </w:pPr>
      <w:r>
        <w:t>While we generally support the SSTI being the same pre-and post-trade, we do not agree with the way that ESMA has calculated the SSTI levels in Annex III of RTS 9. It is inappropriate for the SSTI to be set at 50% of the LIS because this is at a level significantly higher than that at which market participants may reasonably be expected to manage risk.</w:t>
      </w:r>
    </w:p>
    <w:p w:rsidR="00FC59F2" w:rsidRDefault="00FC59F2" w:rsidP="00FC59F2">
      <w:pPr>
        <w:keepNext/>
      </w:pPr>
    </w:p>
    <w:p w:rsidR="00FC59F2" w:rsidRDefault="00FC59F2" w:rsidP="00FC59F2">
      <w:pPr>
        <w:keepNext/>
      </w:pPr>
      <w:r>
        <w:t>We believe that SIs and market makers can only effectively manage risk up to 10% of LIS, and that they face the greatest risk pre-trade. For this reason and to ensure that markets remain appropriately liquid, we believe that the SSTI should be set at 10% of LIS pre-trade. We believe that this would be consistent with Article 9(5)(d)(i) of MiFIR. We believe that Article 11(6) of RTS 9 should be redrafted as follows and the associated tables in Annex III updated accordingly:</w:t>
      </w:r>
    </w:p>
    <w:p w:rsidR="00FC59F2" w:rsidRDefault="00FC59F2" w:rsidP="00FC59F2">
      <w:pPr>
        <w:keepNext/>
      </w:pPr>
    </w:p>
    <w:p w:rsidR="00FC59F2" w:rsidRDefault="00FC59F2" w:rsidP="00FC59F2">
      <w:pPr>
        <w:pStyle w:val="Default"/>
      </w:pPr>
    </w:p>
    <w:p w:rsidR="00FC59F2" w:rsidRPr="00D50004" w:rsidRDefault="00FC59F2" w:rsidP="00FC59F2">
      <w:pPr>
        <w:pStyle w:val="Default"/>
        <w:jc w:val="center"/>
        <w:rPr>
          <w:i/>
          <w:sz w:val="22"/>
          <w:szCs w:val="22"/>
        </w:rPr>
      </w:pPr>
      <w:r w:rsidRPr="00D50004">
        <w:rPr>
          <w:i/>
          <w:sz w:val="22"/>
          <w:szCs w:val="22"/>
        </w:rPr>
        <w:t xml:space="preserve">6. The size specific to the financial instrument referred to in paragraph 1(b), shall be calculated as </w:t>
      </w:r>
      <w:r w:rsidRPr="00D50004">
        <w:rPr>
          <w:i/>
          <w:strike/>
          <w:sz w:val="22"/>
          <w:szCs w:val="22"/>
        </w:rPr>
        <w:t>50%</w:t>
      </w:r>
      <w:r w:rsidRPr="00D50004">
        <w:rPr>
          <w:i/>
          <w:sz w:val="22"/>
          <w:szCs w:val="22"/>
        </w:rPr>
        <w:t xml:space="preserve"> </w:t>
      </w:r>
      <w:r w:rsidRPr="00D50004">
        <w:rPr>
          <w:b/>
          <w:i/>
          <w:sz w:val="22"/>
          <w:szCs w:val="22"/>
        </w:rPr>
        <w:t>10%</w:t>
      </w:r>
      <w:r w:rsidRPr="00D50004">
        <w:rPr>
          <w:i/>
          <w:sz w:val="22"/>
          <w:szCs w:val="22"/>
        </w:rPr>
        <w:t xml:space="preserve"> of the corresponding large in scale size as determined in accordance with paragraphs 2, 3, 4 and 5</w:t>
      </w:r>
      <w:r>
        <w:rPr>
          <w:i/>
          <w:sz w:val="22"/>
          <w:szCs w:val="22"/>
        </w:rPr>
        <w:t>.</w:t>
      </w:r>
      <w:r w:rsidRPr="00D50004">
        <w:rPr>
          <w:i/>
          <w:sz w:val="22"/>
          <w:szCs w:val="22"/>
        </w:rPr>
        <w:t xml:space="preserve"> </w:t>
      </w:r>
    </w:p>
    <w:p w:rsidR="00FC59F2" w:rsidRDefault="00FC59F2" w:rsidP="00FC59F2">
      <w:pPr>
        <w:keepNext/>
      </w:pPr>
    </w:p>
    <w:p w:rsidR="00577C33" w:rsidRDefault="00FC59F2" w:rsidP="00EC2C93">
      <w:pPr>
        <w:keepNext/>
      </w:pPr>
      <w:r>
        <w:t>Alternatively, we would recommend that pre-trade, the SSTI is set at 10% and 50% for post-trade, thereby separating out the thresholds pre- and post-trade.</w:t>
      </w:r>
    </w:p>
    <w:permEnd w:id="8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w:t>
      </w:r>
      <w:r>
        <w:lastRenderedPageBreak/>
        <w:t xml:space="preserve">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87" w:edGrp="everyone"/>
      <w:r>
        <w:t>TYPE YOUR TEXT HERE</w:t>
      </w:r>
    </w:p>
    <w:permEnd w:id="8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&lt;ESMA_QUESTION_CP_MIFID_79&gt;</w:t>
      </w:r>
    </w:p>
    <w:p w:rsidR="00577C33" w:rsidRDefault="00577C33" w:rsidP="00EC2C93">
      <w:pPr>
        <w:keepNext/>
      </w:pPr>
      <w:permStart w:id="88" w:edGrp="everyone"/>
      <w:r>
        <w:t>TYPE YOUR TEXT HERE</w:t>
      </w:r>
    </w:p>
    <w:permEnd w:id="8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89" w:edGrp="everyone"/>
      <w:r>
        <w:t>TYPE YOUR TEXT HERE</w:t>
      </w:r>
    </w:p>
    <w:permEnd w:id="8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&lt;ESMA_QUESTION_CP_MIFID_81&gt;</w:t>
      </w:r>
    </w:p>
    <w:p w:rsidR="00577C33" w:rsidRDefault="00577C33" w:rsidP="00EC2C93">
      <w:pPr>
        <w:keepNext/>
      </w:pPr>
      <w:permStart w:id="90" w:edGrp="everyone"/>
      <w:r>
        <w:t>TYPE YOUR TEXT HERE</w:t>
      </w:r>
    </w:p>
    <w:permEnd w:id="9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91" w:edGrp="everyone"/>
      <w:r>
        <w:t>TYPE YOUR TEXT HERE</w:t>
      </w:r>
    </w:p>
    <w:permEnd w:id="9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92" w:edGrp="everyone"/>
      <w:r>
        <w:t>TYPE YOUR TEXT HERE</w:t>
      </w:r>
    </w:p>
    <w:permEnd w:id="92"/>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93" w:edGrp="everyone"/>
      <w:r>
        <w:t>TYPE YOUR TEXT HERE</w:t>
      </w:r>
    </w:p>
    <w:permEnd w:id="93"/>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lastRenderedPageBreak/>
        <w:t>&lt;ESMA_QUESTION_CP_MIFID_85&gt;</w:t>
      </w:r>
    </w:p>
    <w:p w:rsidR="00577C33" w:rsidRDefault="00577C33" w:rsidP="00EC2C93">
      <w:pPr>
        <w:keepNext/>
      </w:pPr>
      <w:permStart w:id="94" w:edGrp="everyone"/>
      <w:r>
        <w:t>TYPE YOUR TEXT HERE</w:t>
      </w:r>
    </w:p>
    <w:permEnd w:id="94"/>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95" w:edGrp="everyone"/>
      <w:r>
        <w:t>TYPE YOUR TEXT HERE</w:t>
      </w:r>
    </w:p>
    <w:permEnd w:id="9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96" w:edGrp="everyone"/>
      <w:r>
        <w:t>TYPE YOUR TEXT HERE</w:t>
      </w:r>
    </w:p>
    <w:permEnd w:id="96"/>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764248" w:rsidRDefault="00764248" w:rsidP="00764248">
      <w:pPr>
        <w:keepNext/>
      </w:pPr>
      <w:permStart w:id="97" w:edGrp="everyone"/>
      <w:r>
        <w:t>We support ESMA’s proposal to adopt a flexible approach when applying the liquidity criteria. We believe that this is essential because of the heterogeneous nature of the markets and asset classes that may become subject to the obligation. We fully endorse Recital (2) of RTS 11 on this point and would make the point that the average frequency and size of trades should ordinarily receive a greater weight to the number and type of participants and the average size of spreads.</w:t>
      </w:r>
      <w:r w:rsidRPr="00A42BB1">
        <w:t xml:space="preserve"> </w:t>
      </w:r>
    </w:p>
    <w:p w:rsidR="00764248" w:rsidRDefault="00764248" w:rsidP="00764248">
      <w:pPr>
        <w:keepNext/>
      </w:pPr>
    </w:p>
    <w:p w:rsidR="00764248" w:rsidRDefault="00764248" w:rsidP="00764248">
      <w:pPr>
        <w:keepNext/>
      </w:pPr>
      <w:r>
        <w:t>Regarding the average size of transactions, we welcome ESMA’s approach in using both notional divided by trading days and notional divided by trades. We believe that dividing the notional by the number of trades is a more accurate method of calculating the average size. We therefore believe that Article 3(b) of RTS 11 should be weighted more heavily over 3(a).</w:t>
      </w:r>
    </w:p>
    <w:p w:rsidR="00764248" w:rsidRDefault="00764248" w:rsidP="00764248">
      <w:pPr>
        <w:keepNext/>
      </w:pPr>
    </w:p>
    <w:p w:rsidR="00764248" w:rsidRDefault="00764248" w:rsidP="00764248">
      <w:pPr>
        <w:keepNext/>
      </w:pPr>
      <w:r>
        <w:t xml:space="preserve">With regard to spreads, we believe that paragraph 15 of section 3.11 is not fully reflected in Article 5 (2) of RTS 11. In paragraph 15, ESMA alludes to not applying the spread criterion where this data is not available. Article 5(2) states that where this data is not available, a proxy for this assessment may be used. We believe that where spreads data is not available; as will often be the case in an RFQ market, this criterion should not be applied at all in determining whether the class of derivative is sufficiently liquid. </w:t>
      </w:r>
    </w:p>
    <w:p w:rsidR="00764248" w:rsidRDefault="00764248" w:rsidP="00764248">
      <w:pPr>
        <w:keepNext/>
      </w:pPr>
    </w:p>
    <w:p w:rsidR="00577C33" w:rsidRDefault="00764248" w:rsidP="00764248">
      <w:pPr>
        <w:keepNext/>
      </w:pPr>
      <w:r>
        <w:t>Finally we believe that it is essential that ESMA clearly and publicly state their methodology for when determining whether a class of derivative is sufficiently liquid. For example, it is unclear in what circumstances ESMA would use a different method for calculating average frequency of transactions and average size of transactions. We would welcome additional clarity on that.</w:t>
      </w:r>
    </w:p>
    <w:permEnd w:id="9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lastRenderedPageBreak/>
        <w:t>&lt;ESMA_QUESTION_CP_MIFID_89&gt;</w:t>
      </w:r>
    </w:p>
    <w:p w:rsidR="008C297C" w:rsidRDefault="008C297C" w:rsidP="008C297C">
      <w:pPr>
        <w:keepNext/>
      </w:pPr>
      <w:permStart w:id="98" w:edGrp="everyone"/>
      <w:r>
        <w:t>We support ESMA’s proposal to adopt a flexible approach when applying the liquidity criteria. We believe that this is essential because of the heterogeneous nature of the markets and asset classes that may become subject to the obligation. We fully endorse Recital (2) of RTS 11 on this point and would make the point that the average frequency and size of trades should ordinarily receive a greater weight to the number and type of participants and the average size of spreads.</w:t>
      </w:r>
      <w:r w:rsidRPr="00A42BB1">
        <w:t xml:space="preserve"> </w:t>
      </w:r>
    </w:p>
    <w:p w:rsidR="008C297C" w:rsidRDefault="008C297C" w:rsidP="008C297C">
      <w:pPr>
        <w:keepNext/>
      </w:pPr>
    </w:p>
    <w:p w:rsidR="008C297C" w:rsidRDefault="008C297C" w:rsidP="008C297C">
      <w:pPr>
        <w:keepNext/>
      </w:pPr>
      <w:r>
        <w:t>Regarding the average size of transactions, we welcome ESMA’s approach in using both notional divided by trading days and notional divided by trades. We believe that dividing the notional by the number of trades is a more accurate method of calculating the average size. We therefore believe that Article 3(b) of RTS 11 should be weighted more heavily over 3(a).</w:t>
      </w:r>
    </w:p>
    <w:p w:rsidR="008C297C" w:rsidRDefault="008C297C" w:rsidP="008C297C">
      <w:pPr>
        <w:keepNext/>
      </w:pPr>
    </w:p>
    <w:p w:rsidR="008C297C" w:rsidRDefault="008C297C" w:rsidP="008C297C">
      <w:pPr>
        <w:keepNext/>
      </w:pPr>
      <w:r>
        <w:t xml:space="preserve">With regard to spreads, we believe that paragraph 15 of section 3.11 is not fully reflected in Article 5 (2) of RTS 11. In paragraph 15, ESMA alludes to not applying the spread criterion where this data is not available. Article 5(2) states that where this data is not available, a proxy for this assessment may be used. We believe that where spreads data is not available; as will often be the case in an RFQ market, this criterion should not be applied at all in determining whether the class of derivative is sufficiently liquid. </w:t>
      </w:r>
    </w:p>
    <w:p w:rsidR="008C297C" w:rsidRDefault="008C297C" w:rsidP="008C297C">
      <w:pPr>
        <w:keepNext/>
      </w:pPr>
    </w:p>
    <w:p w:rsidR="00577C33" w:rsidRDefault="008C297C" w:rsidP="00EC2C93">
      <w:pPr>
        <w:keepNext/>
      </w:pPr>
      <w:r>
        <w:t>Finally we believe that it is essential that ESMA clearly and publicly state their methodology for when determining whether a class of derivative is sufficiently liquid. For example, it is unclear in what circumstances ESMA would use a different method for calculating average frequency of transactions and average size of transactions. We would welcome additional clarity on that.</w:t>
      </w:r>
    </w:p>
    <w:permEnd w:id="9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99" w:edGrp="everyone"/>
      <w:r>
        <w:t>TYPE YOUR TEXT HERE</w:t>
      </w:r>
    </w:p>
    <w:permEnd w:id="99"/>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00" w:edGrp="everyone"/>
      <w:r>
        <w:t>TYPE YOUR TEXT HERE</w:t>
      </w:r>
    </w:p>
    <w:permEnd w:id="10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01" w:edGrp="everyone"/>
      <w:r>
        <w:t>TYPE YOUR TEXT HERE</w:t>
      </w:r>
    </w:p>
    <w:permEnd w:id="101"/>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02" w:edGrp="everyone"/>
      <w:r>
        <w:t>TYPE YOUR TEXT HERE</w:t>
      </w:r>
    </w:p>
    <w:permEnd w:id="10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03" w:edGrp="everyone"/>
      <w:r>
        <w:t>TYPE YOUR TEXT HERE</w:t>
      </w:r>
    </w:p>
    <w:permEnd w:id="10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4" w:edGrp="everyone"/>
      <w:r>
        <w:t>TYPE YOUR TEXT HERE</w:t>
      </w:r>
    </w:p>
    <w:permEnd w:id="10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05" w:edGrp="everyone"/>
      <w:r>
        <w:t>TYPE YOUR TEXT HERE</w:t>
      </w:r>
    </w:p>
    <w:permEnd w:id="105"/>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6" w:edGrp="everyone"/>
      <w:r>
        <w:t>TYPE YOUR TEXT HERE</w:t>
      </w:r>
    </w:p>
    <w:permEnd w:id="10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07" w:edGrp="everyone"/>
      <w:r>
        <w:t>TYPE YOUR TEXT HERE</w:t>
      </w:r>
    </w:p>
    <w:permEnd w:id="10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08" w:edGrp="everyone"/>
      <w:r>
        <w:t>TYPE YOUR TEXT HERE</w:t>
      </w:r>
    </w:p>
    <w:permEnd w:id="10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DE6671" w:rsidRDefault="00DE6671" w:rsidP="00DE6671">
      <w:pPr>
        <w:rPr>
          <w:lang w:val="en-US"/>
        </w:rPr>
      </w:pPr>
      <w:permStart w:id="109" w:edGrp="everyone"/>
      <w:r>
        <w:rPr>
          <w:lang w:val="en-US"/>
        </w:rPr>
        <w:t>Thomson Reuters is supportive of the rationale for maintaining adequate controls in an automated trading environment; however, we make the following points in respect of RTS14:</w:t>
      </w:r>
    </w:p>
    <w:p w:rsidR="00DE6671" w:rsidRDefault="00DE6671" w:rsidP="00DE6671">
      <w:pPr>
        <w:rPr>
          <w:lang w:val="en-US"/>
        </w:rPr>
      </w:pPr>
    </w:p>
    <w:p w:rsidR="00DE6671" w:rsidRDefault="00DE6671" w:rsidP="00DE6671">
      <w:pPr>
        <w:pStyle w:val="ListParagraph"/>
        <w:numPr>
          <w:ilvl w:val="0"/>
          <w:numId w:val="43"/>
        </w:numPr>
        <w:rPr>
          <w:lang w:val="en-US"/>
        </w:rPr>
      </w:pPr>
      <w:r>
        <w:rPr>
          <w:b/>
          <w:bCs/>
          <w:lang w:val="en-US"/>
        </w:rPr>
        <w:t>Overall comment in respect of RTS14</w:t>
      </w:r>
      <w:r>
        <w:rPr>
          <w:lang w:val="en-US"/>
        </w:rPr>
        <w:t xml:space="preserve">: we ask ESMA to clarify in RTS 14 that the term “order” </w:t>
      </w:r>
      <w:r>
        <w:rPr>
          <w:u w:val="single"/>
          <w:lang w:val="en-US"/>
        </w:rPr>
        <w:t>excludes</w:t>
      </w:r>
      <w:r>
        <w:rPr>
          <w:lang w:val="en-US"/>
        </w:rPr>
        <w:t xml:space="preserve"> firm quotes and actionable IOIs, and believe that Recital 1 would be an appropriate place for this clarification.</w:t>
      </w:r>
    </w:p>
    <w:p w:rsidR="00DE6671" w:rsidRDefault="00DE6671" w:rsidP="00DE6671">
      <w:pPr>
        <w:pStyle w:val="ListParagraph"/>
        <w:numPr>
          <w:ilvl w:val="0"/>
          <w:numId w:val="43"/>
        </w:numPr>
        <w:rPr>
          <w:b/>
          <w:bCs/>
          <w:i/>
          <w:iCs/>
          <w:lang w:val="en-US"/>
        </w:rPr>
      </w:pPr>
      <w:r>
        <w:rPr>
          <w:b/>
          <w:bCs/>
          <w:lang w:val="en-US"/>
        </w:rPr>
        <w:t xml:space="preserve">Article 1 – Subject Matter and Scope (2): </w:t>
      </w:r>
      <w:r>
        <w:rPr>
          <w:lang w:val="en-US"/>
        </w:rPr>
        <w:t xml:space="preserve">Thomson Reuters strongly disagrees with the definition of “allowing algorithmic trading” as set out in the RTS; this definition is too broad and will bring a variety of trading activities that are not exposed to genuine algorithmic trading into the scope of Article 48 of Directive 2014/65/EU.  This will have multiple unintended consequences and will be unworkable for models such as trading venues operating an RFQ system where a quote is requested and an order is then submitted electronically.  In addition, this is inconsistent with the definition of “algorithmic trading” set out in Article 4 of Directive 2014/65/EU in paragraph 1 (39).  We therefore propose amending the definition to read: </w:t>
      </w:r>
      <w:r>
        <w:rPr>
          <w:b/>
          <w:bCs/>
          <w:i/>
          <w:iCs/>
          <w:lang w:val="en-US"/>
        </w:rPr>
        <w:t>“(2) For the purposes of this regulation, it is considered that a trading venue allows or enables algorithmic trading where orders placed by electronic means are derived from members using computers to automate their trading activity on the basis of pre-defined programming on a central limit order book model in accordance with the definition stated in Article 4 of Directive 2014/65/EU</w:t>
      </w:r>
      <w:r>
        <w:rPr>
          <w:b/>
          <w:bCs/>
          <w:lang w:val="en-US"/>
        </w:rPr>
        <w:t xml:space="preserve"> in</w:t>
      </w:r>
      <w:r>
        <w:rPr>
          <w:b/>
          <w:bCs/>
          <w:i/>
          <w:iCs/>
          <w:lang w:val="en-US"/>
        </w:rPr>
        <w:t xml:space="preserve"> paragraph 1 (39); this definition of algorithmic trading does not capture activity carried out on voice, hybrid, quote-driven or request for quote activity models”.  </w:t>
      </w:r>
    </w:p>
    <w:p w:rsidR="00DE6671" w:rsidRDefault="00DE6671" w:rsidP="00DE6671">
      <w:pPr>
        <w:ind w:left="709"/>
        <w:rPr>
          <w:b/>
          <w:bCs/>
          <w:i/>
          <w:iCs/>
          <w:lang w:val="en-US"/>
        </w:rPr>
      </w:pPr>
    </w:p>
    <w:p w:rsidR="00DE6671" w:rsidRDefault="00DE6671" w:rsidP="00DE6671">
      <w:pPr>
        <w:ind w:left="720"/>
        <w:rPr>
          <w:lang w:val="en-US"/>
        </w:rPr>
      </w:pPr>
      <w:r>
        <w:rPr>
          <w:lang w:val="en-US"/>
        </w:rPr>
        <w:t xml:space="preserve">In this respect, we also propose that Recital 2 of RTS 14 is amended as follows:  </w:t>
      </w:r>
      <w:r>
        <w:rPr>
          <w:i/>
          <w:iCs/>
          <w:lang w:val="en-US"/>
        </w:rPr>
        <w:t xml:space="preserve">the potential impact of technological developments is one of the main drivers to determine the capacity and arrangements to manage the potential risks of a trading venue.  The risks arising from algorithmic trading can be present in any trading model </w:t>
      </w:r>
      <w:r>
        <w:rPr>
          <w:i/>
          <w:iCs/>
          <w:strike/>
          <w:lang w:val="en-US"/>
        </w:rPr>
        <w:t xml:space="preserve">that is supported by electronic </w:t>
      </w:r>
      <w:proofErr w:type="spellStart"/>
      <w:r>
        <w:rPr>
          <w:i/>
          <w:iCs/>
          <w:strike/>
          <w:lang w:val="en-US"/>
        </w:rPr>
        <w:t>means</w:t>
      </w:r>
      <w:r>
        <w:rPr>
          <w:b/>
          <w:bCs/>
          <w:i/>
          <w:iCs/>
          <w:lang w:val="en-US"/>
        </w:rPr>
        <w:t>where</w:t>
      </w:r>
      <w:proofErr w:type="spellEnd"/>
      <w:r>
        <w:rPr>
          <w:b/>
          <w:bCs/>
          <w:i/>
          <w:iCs/>
          <w:lang w:val="en-US"/>
        </w:rPr>
        <w:t xml:space="preserve"> orders placed by electronic means are derived from members using computers to automate their trading activity on the basis of pre-defined programming on a central limit order book model.</w:t>
      </w:r>
      <w:r>
        <w:rPr>
          <w:i/>
          <w:iCs/>
          <w:lang w:val="en-US"/>
        </w:rPr>
        <w:t xml:space="preserve">  Therefore, these Standards apply </w:t>
      </w:r>
      <w:r>
        <w:rPr>
          <w:b/>
          <w:bCs/>
          <w:i/>
          <w:iCs/>
          <w:lang w:val="en-US"/>
        </w:rPr>
        <w:t>to</w:t>
      </w:r>
      <w:r>
        <w:rPr>
          <w:i/>
          <w:iCs/>
          <w:lang w:val="en-US"/>
        </w:rPr>
        <w:t xml:space="preserve"> regulated markets, multilateral trading facilities and </w:t>
      </w:r>
      <w:proofErr w:type="spellStart"/>
      <w:r>
        <w:rPr>
          <w:i/>
          <w:iCs/>
          <w:lang w:val="en-US"/>
        </w:rPr>
        <w:t>organised</w:t>
      </w:r>
      <w:proofErr w:type="spellEnd"/>
      <w:r>
        <w:rPr>
          <w:i/>
          <w:iCs/>
          <w:lang w:val="en-US"/>
        </w:rPr>
        <w:t xml:space="preserve"> trading facilities allowing for or enabling algorithmic trading </w:t>
      </w:r>
      <w:r>
        <w:rPr>
          <w:b/>
          <w:bCs/>
          <w:i/>
          <w:iCs/>
          <w:lang w:val="en-US"/>
        </w:rPr>
        <w:t>as per this description</w:t>
      </w:r>
      <w:r>
        <w:rPr>
          <w:i/>
          <w:iCs/>
          <w:lang w:val="en-US"/>
        </w:rPr>
        <w:t xml:space="preserve"> through their systems considering as such those where algorithmic trading may take place as opposed to trading venues which do not permit algorithmic trading </w:t>
      </w:r>
      <w:r>
        <w:rPr>
          <w:b/>
          <w:bCs/>
          <w:i/>
          <w:iCs/>
          <w:lang w:val="en-US"/>
        </w:rPr>
        <w:t>or which operate voice, hybrid, quote-driven or request for quote activity models</w:t>
      </w:r>
      <w:r>
        <w:rPr>
          <w:i/>
          <w:iCs/>
          <w:lang w:val="en-US"/>
        </w:rPr>
        <w:t xml:space="preserve">. </w:t>
      </w:r>
    </w:p>
    <w:p w:rsidR="00DE6671" w:rsidRDefault="00DE6671" w:rsidP="00DE6671">
      <w:pPr>
        <w:pStyle w:val="ListParagraph"/>
        <w:numPr>
          <w:ilvl w:val="0"/>
          <w:numId w:val="43"/>
        </w:numPr>
        <w:rPr>
          <w:lang w:val="en-US"/>
        </w:rPr>
      </w:pPr>
      <w:r>
        <w:rPr>
          <w:b/>
          <w:bCs/>
          <w:lang w:val="en-US"/>
        </w:rPr>
        <w:t xml:space="preserve">Article 3 – </w:t>
      </w:r>
      <w:proofErr w:type="spellStart"/>
      <w:r>
        <w:rPr>
          <w:b/>
          <w:bCs/>
          <w:lang w:val="en-US"/>
        </w:rPr>
        <w:t>Organisational</w:t>
      </w:r>
      <w:proofErr w:type="spellEnd"/>
      <w:r>
        <w:rPr>
          <w:b/>
          <w:bCs/>
          <w:lang w:val="en-US"/>
        </w:rPr>
        <w:t xml:space="preserve"> Requirements for Trading Venues and the Proportionality Principle 1.: </w:t>
      </w:r>
      <w:r>
        <w:rPr>
          <w:lang w:val="en-US"/>
        </w:rPr>
        <w:t xml:space="preserve">We believe it would be appropriate to include a point in this section to the effect that the extent to which Article 48 of Directive 2014/65/EU and RTS 14 is applied by trading venues may take into account the nature, scale and complexity of their business.  The RTS as drafted refers to the proportionality principle as a factor in self-assessment, however, our view is that venues should be able to apply a proportionality rule in their implementation of the requirements of Article 48 of Directive 2014/65/EU and RTS 14 overall.  </w:t>
      </w:r>
    </w:p>
    <w:p w:rsidR="00DE6671" w:rsidRDefault="00DE6671" w:rsidP="00DE6671">
      <w:pPr>
        <w:pStyle w:val="ListParagraph"/>
        <w:numPr>
          <w:ilvl w:val="0"/>
          <w:numId w:val="43"/>
        </w:numPr>
        <w:rPr>
          <w:lang w:val="en-US"/>
        </w:rPr>
      </w:pPr>
      <w:r>
        <w:rPr>
          <w:b/>
          <w:bCs/>
          <w:lang w:val="en-US"/>
        </w:rPr>
        <w:t>Article 7 – Outsourcing 1. (a)</w:t>
      </w:r>
      <w:r>
        <w:rPr>
          <w:lang w:val="en-US"/>
        </w:rPr>
        <w:t xml:space="preserve">: In many markets the trading venue itself is operated and governed by a different legal entity than that of the legal owner of the system and its associated intellectual property </w:t>
      </w:r>
      <w:proofErr w:type="gramStart"/>
      <w:r>
        <w:rPr>
          <w:lang w:val="en-US"/>
        </w:rPr>
        <w:t>itself</w:t>
      </w:r>
      <w:proofErr w:type="gramEnd"/>
      <w:r>
        <w:rPr>
          <w:lang w:val="en-US"/>
        </w:rPr>
        <w:t xml:space="preserve">.  Set-ups such as these are already considered acceptable evidenced by existing regulatory permissions granted by a national competent authority to the operating/governing entity, rather than to the legal entity owning the system itself.   Further clarification within RTS 14 that this provision </w:t>
      </w:r>
      <w:r>
        <w:rPr>
          <w:lang w:val="en-US"/>
        </w:rPr>
        <w:lastRenderedPageBreak/>
        <w:t xml:space="preserve">does </w:t>
      </w:r>
      <w:r>
        <w:rPr>
          <w:u w:val="single"/>
          <w:lang w:val="en-US"/>
        </w:rPr>
        <w:t>not</w:t>
      </w:r>
      <w:r>
        <w:rPr>
          <w:lang w:val="en-US"/>
        </w:rPr>
        <w:t xml:space="preserve"> refer to such internal arrangements within the same corporate group is necessary to avoid any confusion in this respect.</w:t>
      </w:r>
    </w:p>
    <w:p w:rsidR="00DE6671" w:rsidRDefault="00DE6671" w:rsidP="00DE6671">
      <w:pPr>
        <w:pStyle w:val="ListParagraph"/>
        <w:numPr>
          <w:ilvl w:val="0"/>
          <w:numId w:val="43"/>
        </w:numPr>
        <w:rPr>
          <w:lang w:val="en-US"/>
        </w:rPr>
      </w:pPr>
      <w:r>
        <w:rPr>
          <w:b/>
          <w:bCs/>
          <w:lang w:val="en-US"/>
        </w:rPr>
        <w:t xml:space="preserve">Article 8 </w:t>
      </w:r>
      <w:r>
        <w:rPr>
          <w:lang w:val="en-US"/>
        </w:rPr>
        <w:t xml:space="preserve">– </w:t>
      </w:r>
      <w:r>
        <w:rPr>
          <w:b/>
          <w:bCs/>
          <w:lang w:val="en-US"/>
        </w:rPr>
        <w:t xml:space="preserve">Due Diligence for Members or Participants of Trading Venues </w:t>
      </w:r>
      <w:proofErr w:type="gramStart"/>
      <w:r>
        <w:rPr>
          <w:b/>
          <w:bCs/>
          <w:lang w:val="en-US"/>
        </w:rPr>
        <w:t>1.:</w:t>
      </w:r>
      <w:proofErr w:type="gramEnd"/>
      <w:r>
        <w:rPr>
          <w:b/>
          <w:bCs/>
          <w:lang w:val="en-US"/>
        </w:rPr>
        <w:t xml:space="preserve"> </w:t>
      </w:r>
      <w:r>
        <w:rPr>
          <w:lang w:val="en-US"/>
        </w:rPr>
        <w:t xml:space="preserve">We believe the term “publicly available” should be defined as meaning “available to the Members or Participants of the Trading Venue”.  </w:t>
      </w:r>
    </w:p>
    <w:p w:rsidR="00DE6671" w:rsidRDefault="00DE6671" w:rsidP="00DE6671">
      <w:pPr>
        <w:pStyle w:val="ListParagraph"/>
        <w:numPr>
          <w:ilvl w:val="0"/>
          <w:numId w:val="43"/>
        </w:numPr>
        <w:rPr>
          <w:lang w:val="en-US"/>
        </w:rPr>
      </w:pPr>
      <w:r>
        <w:rPr>
          <w:b/>
          <w:bCs/>
          <w:lang w:val="en-US"/>
        </w:rPr>
        <w:t xml:space="preserve">Article 8 </w:t>
      </w:r>
      <w:r>
        <w:rPr>
          <w:lang w:val="en-US"/>
        </w:rPr>
        <w:t xml:space="preserve">– </w:t>
      </w:r>
      <w:r>
        <w:rPr>
          <w:b/>
          <w:bCs/>
          <w:lang w:val="en-US"/>
        </w:rPr>
        <w:t xml:space="preserve">Due Diligence for Members or Participants of Trading Venues </w:t>
      </w:r>
      <w:proofErr w:type="gramStart"/>
      <w:r>
        <w:rPr>
          <w:b/>
          <w:bCs/>
          <w:lang w:val="en-US"/>
        </w:rPr>
        <w:t>3.:</w:t>
      </w:r>
      <w:proofErr w:type="gramEnd"/>
      <w:r>
        <w:rPr>
          <w:b/>
          <w:bCs/>
          <w:lang w:val="en-US"/>
        </w:rPr>
        <w:t xml:space="preserve"> </w:t>
      </w:r>
      <w:r>
        <w:rPr>
          <w:lang w:val="en-US"/>
        </w:rPr>
        <w:t>It would be appropriate for this requirement to be applied using a risk-based approach.</w:t>
      </w:r>
    </w:p>
    <w:p w:rsidR="00DE6671" w:rsidRDefault="00DE6671" w:rsidP="00DE6671">
      <w:pPr>
        <w:pStyle w:val="ListParagraph"/>
        <w:numPr>
          <w:ilvl w:val="0"/>
          <w:numId w:val="43"/>
        </w:numPr>
        <w:rPr>
          <w:lang w:val="en-US"/>
        </w:rPr>
      </w:pPr>
      <w:r>
        <w:rPr>
          <w:b/>
          <w:bCs/>
          <w:lang w:val="en-US"/>
        </w:rPr>
        <w:t xml:space="preserve">Article 8 </w:t>
      </w:r>
      <w:r>
        <w:rPr>
          <w:lang w:val="en-US"/>
        </w:rPr>
        <w:t xml:space="preserve">– </w:t>
      </w:r>
      <w:r>
        <w:rPr>
          <w:b/>
          <w:bCs/>
          <w:lang w:val="en-US"/>
        </w:rPr>
        <w:t xml:space="preserve">Due Diligence for Members or Participants of Trading Venues </w:t>
      </w:r>
      <w:proofErr w:type="gramStart"/>
      <w:r>
        <w:rPr>
          <w:b/>
          <w:bCs/>
          <w:lang w:val="en-US"/>
        </w:rPr>
        <w:t>5.:</w:t>
      </w:r>
      <w:proofErr w:type="gramEnd"/>
      <w:r>
        <w:rPr>
          <w:b/>
          <w:bCs/>
          <w:lang w:val="en-US"/>
        </w:rPr>
        <w:t xml:space="preserve"> </w:t>
      </w:r>
      <w:r>
        <w:rPr>
          <w:lang w:val="en-US"/>
        </w:rPr>
        <w:t>Consistent with record-keeping requirements, this proposal should be for a minimum of five years.</w:t>
      </w:r>
    </w:p>
    <w:p w:rsidR="00DE6671" w:rsidRDefault="00DE6671" w:rsidP="00DE6671">
      <w:pPr>
        <w:pStyle w:val="ListParagraph"/>
        <w:numPr>
          <w:ilvl w:val="0"/>
          <w:numId w:val="43"/>
        </w:numPr>
        <w:rPr>
          <w:lang w:val="en-US"/>
        </w:rPr>
      </w:pPr>
      <w:r>
        <w:rPr>
          <w:b/>
          <w:bCs/>
          <w:lang w:val="en-US"/>
        </w:rPr>
        <w:t xml:space="preserve">Article 10 </w:t>
      </w:r>
      <w:r>
        <w:rPr>
          <w:lang w:val="en-US"/>
        </w:rPr>
        <w:t xml:space="preserve">– </w:t>
      </w:r>
      <w:r>
        <w:rPr>
          <w:b/>
          <w:bCs/>
          <w:lang w:val="en-US"/>
        </w:rPr>
        <w:t xml:space="preserve">Testing the member’s capacity to access trading systems: </w:t>
      </w:r>
      <w:r>
        <w:rPr>
          <w:lang w:val="en-US"/>
        </w:rPr>
        <w:t>It is not appropriate that this requirement extends to algorithms used in other trading venues; each trading venue can only require testing in respect of algorithms to be used in their own venue.</w:t>
      </w:r>
    </w:p>
    <w:p w:rsidR="00DE6671" w:rsidRDefault="00DE6671" w:rsidP="00DE6671">
      <w:pPr>
        <w:pStyle w:val="ListParagraph"/>
        <w:numPr>
          <w:ilvl w:val="0"/>
          <w:numId w:val="43"/>
        </w:numPr>
        <w:rPr>
          <w:lang w:val="en-US"/>
        </w:rPr>
      </w:pPr>
      <w:r>
        <w:rPr>
          <w:b/>
          <w:bCs/>
          <w:lang w:val="en-US"/>
        </w:rPr>
        <w:t xml:space="preserve">Article 12 – Trading Venues’ capacity </w:t>
      </w:r>
      <w:proofErr w:type="gramStart"/>
      <w:r>
        <w:rPr>
          <w:b/>
          <w:bCs/>
          <w:lang w:val="en-US"/>
        </w:rPr>
        <w:t>1.</w:t>
      </w:r>
      <w:r>
        <w:rPr>
          <w:lang w:val="en-US"/>
        </w:rPr>
        <w:t>:</w:t>
      </w:r>
      <w:proofErr w:type="gramEnd"/>
      <w:r>
        <w:rPr>
          <w:lang w:val="en-US"/>
        </w:rPr>
        <w:t xml:space="preserve"> We believe that the infrastructure of trading venues should be robust and resilient.  However, we do not agree with the proposal to require trading venues to be able to accommodate at least twice the historical peak of messages; this is inconsistent with the minimum record-keeping requirements.  A more appropriate measure would be to require trading venues to be able to accommodate at least twice the peak reached during the previous 5 years.  The cross-references in Articles 4 and 15 should also be amended accordingly.</w:t>
      </w:r>
    </w:p>
    <w:p w:rsidR="00DE6671" w:rsidRDefault="00DE6671" w:rsidP="00DE6671">
      <w:pPr>
        <w:pStyle w:val="ListParagraph"/>
        <w:numPr>
          <w:ilvl w:val="0"/>
          <w:numId w:val="43"/>
        </w:numPr>
        <w:rPr>
          <w:b/>
          <w:bCs/>
          <w:lang w:val="en-US"/>
        </w:rPr>
      </w:pPr>
      <w:r>
        <w:rPr>
          <w:b/>
          <w:bCs/>
          <w:lang w:val="en-US"/>
        </w:rPr>
        <w:t xml:space="preserve">Article 16 – Business Continuity Arrangements </w:t>
      </w:r>
      <w:proofErr w:type="gramStart"/>
      <w:r>
        <w:rPr>
          <w:b/>
          <w:bCs/>
          <w:lang w:val="en-US"/>
        </w:rPr>
        <w:t>2.:</w:t>
      </w:r>
      <w:proofErr w:type="gramEnd"/>
      <w:r>
        <w:rPr>
          <w:b/>
          <w:bCs/>
          <w:lang w:val="en-US"/>
        </w:rPr>
        <w:t xml:space="preserve"> </w:t>
      </w:r>
      <w:r>
        <w:rPr>
          <w:lang w:val="en-US"/>
        </w:rPr>
        <w:t xml:space="preserve">Trading venues already have a significant commercial incentive to ensure a timely resumption of trading.  We do not consider it appropriate to mandate a specific recovery time of no later than 2 hours in the RTS; this is because reasons for a system shut-down will vary, and may well be dependent on externalities beyond the venue operator’s control.  Two hours may not be sufficient time to ensure a robust recovery; putting operators under pressure to reach this target may result in unwanted consequences or rapid decisions being made ahead of all the facts being known.  We propose amending point 2 of Article 16 to read as follows: </w:t>
      </w:r>
      <w:r>
        <w:rPr>
          <w:b/>
          <w:bCs/>
          <w:lang w:val="en-US"/>
        </w:rPr>
        <w:t>The business continuity arrangements shall ensure the best possible timely resumption of trading appropriate to the circumstances causing the shut-down.</w:t>
      </w:r>
    </w:p>
    <w:p w:rsidR="00DE6671" w:rsidRDefault="00DE6671" w:rsidP="00DE6671">
      <w:pPr>
        <w:pStyle w:val="ListParagraph"/>
        <w:numPr>
          <w:ilvl w:val="0"/>
          <w:numId w:val="43"/>
        </w:numPr>
        <w:rPr>
          <w:b/>
          <w:bCs/>
          <w:lang w:val="en-US"/>
        </w:rPr>
      </w:pPr>
      <w:r>
        <w:rPr>
          <w:b/>
          <w:bCs/>
          <w:lang w:val="en-US"/>
        </w:rPr>
        <w:t xml:space="preserve">Article 19 – Prevention of Disorderly Trading Conditions </w:t>
      </w:r>
      <w:proofErr w:type="gramStart"/>
      <w:r>
        <w:rPr>
          <w:b/>
          <w:bCs/>
          <w:lang w:val="en-US"/>
        </w:rPr>
        <w:t>1.:</w:t>
      </w:r>
      <w:proofErr w:type="gramEnd"/>
      <w:r>
        <w:rPr>
          <w:lang w:val="en-US"/>
        </w:rPr>
        <w:t xml:space="preserve"> These requirements should be determined by the trading venue according to the extent to which algorithmic activity takes place on that venue.</w:t>
      </w:r>
    </w:p>
    <w:p w:rsidR="00DE6671" w:rsidRDefault="00DE6671" w:rsidP="00DE6671">
      <w:pPr>
        <w:pStyle w:val="ListParagraph"/>
        <w:numPr>
          <w:ilvl w:val="0"/>
          <w:numId w:val="43"/>
        </w:numPr>
        <w:rPr>
          <w:b/>
          <w:bCs/>
          <w:lang w:val="en-US"/>
        </w:rPr>
      </w:pPr>
      <w:r>
        <w:rPr>
          <w:b/>
          <w:bCs/>
          <w:lang w:val="en-US"/>
        </w:rPr>
        <w:t xml:space="preserve">Article 19 – Prevention of Disorderly Trading Conditions 1. (c): </w:t>
      </w:r>
      <w:r>
        <w:rPr>
          <w:lang w:val="en-US"/>
        </w:rPr>
        <w:t>ESMA should clarify in the RTS whether the reference to pre- and post-trade controls refers to the items listed in point 2, or if this refers to another section.</w:t>
      </w:r>
    </w:p>
    <w:p w:rsidR="00DE6671" w:rsidRDefault="00DE6671" w:rsidP="00DE6671">
      <w:pPr>
        <w:pStyle w:val="ListParagraph"/>
        <w:numPr>
          <w:ilvl w:val="0"/>
          <w:numId w:val="43"/>
        </w:numPr>
        <w:rPr>
          <w:b/>
          <w:bCs/>
          <w:lang w:val="en-US"/>
        </w:rPr>
      </w:pPr>
      <w:r>
        <w:rPr>
          <w:b/>
          <w:bCs/>
          <w:lang w:val="en-US"/>
        </w:rPr>
        <w:t xml:space="preserve">Article 19 – Prevention of Disorderly Trading Conditions 2. (d): </w:t>
      </w:r>
      <w:r>
        <w:rPr>
          <w:lang w:val="en-US"/>
        </w:rPr>
        <w:t xml:space="preserve">Trading venues which operate markets that settle bi-laterally are not technically or legally able to cancel or correct transactions.  In these circumstances it is dependent on the parties to the trade to make the correction.  The best that a trading venue could do would be to request a </w:t>
      </w:r>
      <w:proofErr w:type="gramStart"/>
      <w:r>
        <w:rPr>
          <w:lang w:val="en-US"/>
        </w:rPr>
        <w:t>correction,</w:t>
      </w:r>
      <w:proofErr w:type="gramEnd"/>
      <w:r>
        <w:rPr>
          <w:lang w:val="en-US"/>
        </w:rPr>
        <w:t xml:space="preserve"> however it would have no oversight of the contractual changes to the transaction.  We consider that this requirement would not be workable for many venues and suggest that ESMA delete this requirement from the RTS.</w:t>
      </w:r>
    </w:p>
    <w:p w:rsidR="00DE6671" w:rsidRDefault="00DE6671" w:rsidP="00DE6671">
      <w:pPr>
        <w:pStyle w:val="ListParagraph"/>
        <w:numPr>
          <w:ilvl w:val="0"/>
          <w:numId w:val="43"/>
        </w:numPr>
        <w:rPr>
          <w:b/>
          <w:bCs/>
          <w:lang w:val="en-US"/>
        </w:rPr>
      </w:pPr>
      <w:r>
        <w:rPr>
          <w:b/>
          <w:bCs/>
          <w:lang w:val="en-US"/>
        </w:rPr>
        <w:t xml:space="preserve">Article 19 – Prevention of Disorderly Trading Conditions </w:t>
      </w:r>
      <w:proofErr w:type="gramStart"/>
      <w:r>
        <w:rPr>
          <w:b/>
          <w:bCs/>
          <w:lang w:val="en-US"/>
        </w:rPr>
        <w:t>4.:</w:t>
      </w:r>
      <w:proofErr w:type="gramEnd"/>
      <w:r>
        <w:rPr>
          <w:b/>
          <w:bCs/>
          <w:lang w:val="en-US"/>
        </w:rPr>
        <w:t xml:space="preserve"> </w:t>
      </w:r>
      <w:r>
        <w:rPr>
          <w:lang w:val="en-US"/>
        </w:rPr>
        <w:t>The requirement to make these items public should be limited to members / participants using the trading venue.</w:t>
      </w:r>
    </w:p>
    <w:p w:rsidR="00DE6671" w:rsidRDefault="00DE6671" w:rsidP="00DE6671">
      <w:pPr>
        <w:pStyle w:val="ListParagraph"/>
        <w:numPr>
          <w:ilvl w:val="0"/>
          <w:numId w:val="43"/>
        </w:numPr>
        <w:rPr>
          <w:b/>
          <w:bCs/>
          <w:lang w:val="en-US"/>
        </w:rPr>
      </w:pPr>
      <w:r>
        <w:rPr>
          <w:b/>
          <w:bCs/>
          <w:lang w:val="en-US"/>
        </w:rPr>
        <w:t xml:space="preserve">Article 20 – Mechanisms to Manage Volatility 1.: </w:t>
      </w:r>
      <w:r>
        <w:rPr>
          <w:lang w:val="en-US"/>
        </w:rPr>
        <w:t xml:space="preserve">We propose that ESMA introduces a specific proportionality rule to the effect that venues which have a low proportion of algorithmic activity implement volatility halting mechanisms (circuit breakers) using a risk-based approach to determine the extent to which such </w:t>
      </w:r>
      <w:r>
        <w:rPr>
          <w:lang w:val="en-US"/>
        </w:rPr>
        <w:lastRenderedPageBreak/>
        <w:t>mechanisms are required taking into account the factors cited in point 3 of Article 20.  Implementing volatility mechanisms as a mandatory requirement would prove very costly to venues with a low proportion of algorithmic activity.</w:t>
      </w:r>
      <w:r>
        <w:rPr>
          <w:b/>
          <w:bCs/>
          <w:lang w:val="en-US"/>
        </w:rPr>
        <w:t xml:space="preserve">  </w:t>
      </w:r>
      <w:r>
        <w:rPr>
          <w:lang w:val="en-US"/>
        </w:rPr>
        <w:t>In addition, the requirement to be informed where there is a significant price movement in a financial instrument traded on another venue where the same instrument is traded is unworkable.  In markets that do not have a defined primary listing, or where instruments may have variable attributes, e.g. currency swaps, or which are traded across multiple jurisdictions, it is not possible to take a price feed from all the other venues.  The requirement to halt volatility must be both proportionate and also relevant to the each venue in question; venues must be responsible for determining their own volatility mechanisms appropriate to their markets.</w:t>
      </w:r>
    </w:p>
    <w:p w:rsidR="00DE6671" w:rsidRDefault="00DE6671" w:rsidP="00DE6671">
      <w:pPr>
        <w:pStyle w:val="ListParagraph"/>
        <w:numPr>
          <w:ilvl w:val="0"/>
          <w:numId w:val="43"/>
        </w:numPr>
        <w:rPr>
          <w:b/>
          <w:bCs/>
          <w:lang w:val="en-US"/>
        </w:rPr>
      </w:pPr>
      <w:r>
        <w:rPr>
          <w:b/>
          <w:bCs/>
          <w:lang w:val="en-US"/>
        </w:rPr>
        <w:t xml:space="preserve">Article 20 – Mechanisms to Manage Volatility </w:t>
      </w:r>
      <w:proofErr w:type="gramStart"/>
      <w:r>
        <w:rPr>
          <w:b/>
          <w:bCs/>
          <w:lang w:val="en-US"/>
        </w:rPr>
        <w:t>8.:</w:t>
      </w:r>
      <w:proofErr w:type="gramEnd"/>
      <w:r>
        <w:rPr>
          <w:b/>
          <w:bCs/>
          <w:lang w:val="en-US"/>
        </w:rPr>
        <w:t xml:space="preserve"> </w:t>
      </w:r>
      <w:r>
        <w:rPr>
          <w:lang w:val="en-US"/>
        </w:rPr>
        <w:t>We request ESMA to confirm that “website” may be limited to a member-only accessible site.</w:t>
      </w:r>
    </w:p>
    <w:p w:rsidR="00DE6671" w:rsidRDefault="00DE6671" w:rsidP="00DE6671">
      <w:pPr>
        <w:pStyle w:val="ListParagraph"/>
        <w:numPr>
          <w:ilvl w:val="0"/>
          <w:numId w:val="43"/>
        </w:numPr>
        <w:rPr>
          <w:b/>
          <w:bCs/>
          <w:lang w:val="en-US"/>
        </w:rPr>
      </w:pPr>
      <w:r>
        <w:rPr>
          <w:b/>
          <w:bCs/>
          <w:lang w:val="en-US"/>
        </w:rPr>
        <w:t xml:space="preserve">Article 21 – Pre-trade controls </w:t>
      </w:r>
      <w:proofErr w:type="gramStart"/>
      <w:r>
        <w:rPr>
          <w:b/>
          <w:bCs/>
          <w:lang w:val="en-US"/>
        </w:rPr>
        <w:t>1.</w:t>
      </w:r>
      <w:r>
        <w:rPr>
          <w:lang w:val="en-US"/>
        </w:rPr>
        <w:t>:</w:t>
      </w:r>
      <w:proofErr w:type="gramEnd"/>
      <w:r>
        <w:rPr>
          <w:lang w:val="en-US"/>
        </w:rPr>
        <w:t xml:space="preserve"> We propose that the requirement for venues to operate the pre-trade controls specified in Article 21 of RTS 14 is not mandated by ESMA, but rather left to the discretion of venues according to their risk assessment and the extent to which algorithmic activity takes place on the venue.  The controls proposed may not be relevant to all markets.  The imposition of price collars may also have adverse effects on Members that wish to leave “stop-loss” or resting orders; a more appropriate control would take into account both price limit and size, but this should be a matter for individual venues to determine.  In addition, the reference in </w:t>
      </w:r>
      <w:proofErr w:type="gramStart"/>
      <w:r>
        <w:rPr>
          <w:lang w:val="en-US"/>
        </w:rPr>
        <w:t>( c</w:t>
      </w:r>
      <w:proofErr w:type="gramEnd"/>
      <w:r>
        <w:rPr>
          <w:lang w:val="en-US"/>
        </w:rPr>
        <w:t xml:space="preserve"> ) to shares or lots is not appropriate to all markets and should be struck.  </w:t>
      </w:r>
    </w:p>
    <w:p w:rsidR="00DE6671" w:rsidRDefault="00DE6671" w:rsidP="00DE6671">
      <w:pPr>
        <w:pStyle w:val="ListParagraph"/>
        <w:numPr>
          <w:ilvl w:val="0"/>
          <w:numId w:val="43"/>
        </w:numPr>
        <w:rPr>
          <w:b/>
          <w:bCs/>
          <w:lang w:val="en-US"/>
        </w:rPr>
      </w:pPr>
      <w:r>
        <w:rPr>
          <w:b/>
          <w:bCs/>
          <w:lang w:val="en-US"/>
        </w:rPr>
        <w:t xml:space="preserve">Article 23 – Pre-determination of the conditions to provide direct electronic access </w:t>
      </w:r>
      <w:proofErr w:type="gramStart"/>
      <w:r>
        <w:rPr>
          <w:b/>
          <w:bCs/>
          <w:lang w:val="en-US"/>
        </w:rPr>
        <w:t>1.:</w:t>
      </w:r>
      <w:proofErr w:type="gramEnd"/>
      <w:r>
        <w:rPr>
          <w:lang w:val="en-US"/>
        </w:rPr>
        <w:t xml:space="preserve"> The requirement to “make public” should be limited to members / participants accessing the system.</w:t>
      </w:r>
    </w:p>
    <w:p w:rsidR="00DE6671" w:rsidRDefault="00DE6671" w:rsidP="00DE6671">
      <w:pPr>
        <w:rPr>
          <w:lang w:val="en-US"/>
        </w:rPr>
      </w:pPr>
    </w:p>
    <w:p w:rsidR="00DE6671" w:rsidRDefault="00DE6671" w:rsidP="00DE6671">
      <w:r>
        <w:rPr>
          <w:lang w:val="en-US"/>
        </w:rPr>
        <w:t>We therefore propose a redraft of the relevant points commented on above in RTS 14 as follows:</w:t>
      </w:r>
    </w:p>
    <w:p w:rsidR="00DE6671" w:rsidRDefault="00DE6671" w:rsidP="00DE6671">
      <w:pPr>
        <w:rPr>
          <w:lang w:val="en-US"/>
        </w:rPr>
      </w:pPr>
    </w:p>
    <w:p w:rsidR="00DE6671" w:rsidRDefault="00DE6671" w:rsidP="00DE6671">
      <w:pPr>
        <w:jc w:val="center"/>
        <w:rPr>
          <w:b/>
          <w:bCs/>
          <w:i/>
          <w:iCs/>
          <w:lang w:val="en-US"/>
        </w:rPr>
      </w:pPr>
      <w:r>
        <w:rPr>
          <w:b/>
          <w:bCs/>
          <w:i/>
          <w:iCs/>
          <w:lang w:val="en-US"/>
        </w:rPr>
        <w:t>Recital 1</w:t>
      </w:r>
    </w:p>
    <w:p w:rsidR="00DE6671" w:rsidRDefault="00DE6671" w:rsidP="00DE6671">
      <w:pPr>
        <w:rPr>
          <w:b/>
          <w:bCs/>
          <w:lang w:val="en-US"/>
        </w:rPr>
      </w:pPr>
      <w:r>
        <w:rPr>
          <w:lang w:val="en-US"/>
        </w:rPr>
        <w:t xml:space="preserve">Articles 18(5) and 48 of Directive 2014/65/EU determine the obligation of trading venues (regulated markets, multilateral trading facilities and </w:t>
      </w:r>
      <w:proofErr w:type="spellStart"/>
      <w:r>
        <w:rPr>
          <w:lang w:val="en-US"/>
        </w:rPr>
        <w:t>organised</w:t>
      </w:r>
      <w:proofErr w:type="spellEnd"/>
      <w:r>
        <w:rPr>
          <w:lang w:val="en-US"/>
        </w:rPr>
        <w:t xml:space="preserve"> trading venues) to have adequate arrangements and capacity so as to undertake their business appropriately.  In this context, recitals (59) to (68) of Directive 2014/65/EU frame the obligations of trading venues permitting algorithmic trading through their systems under Article 48. Article 17 of Directive 2014/65/EU determines the </w:t>
      </w:r>
      <w:proofErr w:type="spellStart"/>
      <w:r>
        <w:rPr>
          <w:lang w:val="en-US"/>
        </w:rPr>
        <w:t>organisational</w:t>
      </w:r>
      <w:proofErr w:type="spellEnd"/>
      <w:r>
        <w:rPr>
          <w:lang w:val="en-US"/>
        </w:rPr>
        <w:t xml:space="preserve"> requirements for investment firms engaging in algorithmic trading.  </w:t>
      </w:r>
      <w:r>
        <w:rPr>
          <w:b/>
          <w:bCs/>
          <w:lang w:val="en-US"/>
        </w:rPr>
        <w:t xml:space="preserve">For clarity, the expression “order” does </w:t>
      </w:r>
      <w:r>
        <w:rPr>
          <w:b/>
          <w:bCs/>
          <w:u w:val="single"/>
          <w:lang w:val="en-US"/>
        </w:rPr>
        <w:t>not</w:t>
      </w:r>
      <w:r>
        <w:rPr>
          <w:b/>
          <w:bCs/>
          <w:lang w:val="en-US"/>
        </w:rPr>
        <w:t xml:space="preserve"> refer to firm quotes or actionable IOIs.</w:t>
      </w:r>
    </w:p>
    <w:p w:rsidR="00DE6671" w:rsidRDefault="00DE6671" w:rsidP="00DE6671">
      <w:pPr>
        <w:rPr>
          <w:b/>
          <w:bCs/>
          <w:lang w:val="en-US"/>
        </w:rPr>
      </w:pPr>
    </w:p>
    <w:p w:rsidR="00DE6671" w:rsidRDefault="00DE6671" w:rsidP="00DE6671">
      <w:pPr>
        <w:jc w:val="center"/>
        <w:rPr>
          <w:b/>
          <w:bCs/>
          <w:i/>
          <w:iCs/>
          <w:lang w:val="en-US"/>
        </w:rPr>
      </w:pPr>
      <w:r>
        <w:rPr>
          <w:b/>
          <w:bCs/>
          <w:i/>
          <w:iCs/>
          <w:lang w:val="en-US"/>
        </w:rPr>
        <w:t>Recital 2</w:t>
      </w:r>
    </w:p>
    <w:p w:rsidR="00DE6671" w:rsidRDefault="00DE6671" w:rsidP="00DE6671">
      <w:pPr>
        <w:rPr>
          <w:lang w:val="en-US"/>
        </w:rPr>
      </w:pPr>
      <w:r>
        <w:rPr>
          <w:lang w:val="en-US"/>
        </w:rPr>
        <w:t xml:space="preserve">The potential impact of technological developments is one of the main drivers to determine the capacity and arrangements to manage the potential risks of a trading venue.  The risks arising from algorithmic trading can be present in any trading model </w:t>
      </w:r>
      <w:r>
        <w:rPr>
          <w:strike/>
          <w:lang w:val="en-US"/>
        </w:rPr>
        <w:t xml:space="preserve">that is supported by electronic </w:t>
      </w:r>
      <w:proofErr w:type="spellStart"/>
      <w:r>
        <w:rPr>
          <w:strike/>
          <w:lang w:val="en-US"/>
        </w:rPr>
        <w:t>means</w:t>
      </w:r>
      <w:r>
        <w:rPr>
          <w:b/>
          <w:bCs/>
          <w:lang w:val="en-US"/>
        </w:rPr>
        <w:t>where</w:t>
      </w:r>
      <w:proofErr w:type="spellEnd"/>
      <w:r>
        <w:rPr>
          <w:b/>
          <w:bCs/>
          <w:lang w:val="en-US"/>
        </w:rPr>
        <w:t xml:space="preserve"> orders placed by electronic means are derived from members using computers to automate their trading activity on the basis of pre-defined programming on a central limit order book model in accordance with the definition stated in Article 4 of Directive 2014/65/EU in paragraph 1 (39).</w:t>
      </w:r>
      <w:r>
        <w:rPr>
          <w:lang w:val="en-US"/>
        </w:rPr>
        <w:t xml:space="preserve">  Therefore, these Standards apply </w:t>
      </w:r>
      <w:r>
        <w:rPr>
          <w:b/>
          <w:bCs/>
          <w:lang w:val="en-US"/>
        </w:rPr>
        <w:t>to</w:t>
      </w:r>
      <w:r>
        <w:rPr>
          <w:lang w:val="en-US"/>
        </w:rPr>
        <w:t xml:space="preserve"> regulated markets, multilateral trading facilities and </w:t>
      </w:r>
      <w:proofErr w:type="spellStart"/>
      <w:r>
        <w:rPr>
          <w:lang w:val="en-US"/>
        </w:rPr>
        <w:t>organised</w:t>
      </w:r>
      <w:proofErr w:type="spellEnd"/>
      <w:r>
        <w:rPr>
          <w:lang w:val="en-US"/>
        </w:rPr>
        <w:t xml:space="preserve"> trading facilities allowing for or enabling algorithmic trading </w:t>
      </w:r>
      <w:r>
        <w:rPr>
          <w:b/>
          <w:bCs/>
          <w:lang w:val="en-US"/>
        </w:rPr>
        <w:t>as per this description</w:t>
      </w:r>
      <w:r>
        <w:rPr>
          <w:lang w:val="en-US"/>
        </w:rPr>
        <w:t xml:space="preserve"> through their systems considering as such those where algorithmic trading may take place as opposed to </w:t>
      </w:r>
      <w:r>
        <w:rPr>
          <w:lang w:val="en-US"/>
        </w:rPr>
        <w:lastRenderedPageBreak/>
        <w:t xml:space="preserve">trading venues which do not permit algorithmic trading </w:t>
      </w:r>
      <w:r>
        <w:rPr>
          <w:b/>
          <w:bCs/>
          <w:lang w:val="en-US"/>
        </w:rPr>
        <w:t>or which operate voice, hybrid, quote-driven or request for quote activity models</w:t>
      </w:r>
      <w:r>
        <w:rPr>
          <w:lang w:val="en-US"/>
        </w:rPr>
        <w:t xml:space="preserve">. </w:t>
      </w:r>
    </w:p>
    <w:p w:rsidR="00DE6671" w:rsidRDefault="00DE6671" w:rsidP="00DE6671">
      <w:pPr>
        <w:rPr>
          <w:b/>
          <w:bCs/>
          <w:lang w:val="en-US"/>
        </w:rPr>
      </w:pPr>
    </w:p>
    <w:p w:rsidR="00DE6671" w:rsidRDefault="00DE6671" w:rsidP="00DE6671">
      <w:pPr>
        <w:jc w:val="center"/>
        <w:rPr>
          <w:b/>
          <w:bCs/>
          <w:i/>
          <w:iCs/>
          <w:lang w:val="en-US"/>
        </w:rPr>
      </w:pPr>
      <w:r>
        <w:rPr>
          <w:b/>
          <w:bCs/>
          <w:i/>
          <w:iCs/>
          <w:lang w:val="en-US"/>
        </w:rPr>
        <w:t>Article 1</w:t>
      </w:r>
    </w:p>
    <w:p w:rsidR="00DE6671" w:rsidRDefault="00DE6671" w:rsidP="00DE6671">
      <w:pPr>
        <w:jc w:val="center"/>
        <w:rPr>
          <w:b/>
          <w:bCs/>
          <w:i/>
          <w:iCs/>
          <w:lang w:val="en-US"/>
        </w:rPr>
      </w:pPr>
      <w:r>
        <w:rPr>
          <w:b/>
          <w:bCs/>
          <w:i/>
          <w:iCs/>
          <w:lang w:val="en-US"/>
        </w:rPr>
        <w:t>Subject matter and scope</w:t>
      </w:r>
    </w:p>
    <w:p w:rsidR="00DE6671" w:rsidRDefault="00DE6671" w:rsidP="00DE6671">
      <w:pPr>
        <w:rPr>
          <w:lang w:val="en-US"/>
        </w:rPr>
      </w:pPr>
      <w:r>
        <w:rPr>
          <w:lang w:val="en-US"/>
        </w:rPr>
        <w:t xml:space="preserve">(2) For the purposes of this regulation, it is considered that a trading venue allows or enables algorithmic trading where </w:t>
      </w:r>
      <w:r>
        <w:rPr>
          <w:strike/>
          <w:lang w:val="en-US"/>
        </w:rPr>
        <w:t xml:space="preserve">order submission and order matching is facilitated by electronic means </w:t>
      </w:r>
      <w:r>
        <w:rPr>
          <w:b/>
          <w:bCs/>
          <w:lang w:val="en-US"/>
        </w:rPr>
        <w:t>orders placed by electronic means are derived from members using computers to automate their trading activity on the basis of pre-defined programming on a central limit order book model in accordance with the definition stated in Article 4 of Directive 2014/65/EU in paragraph 1 (39); this definition of algorithmic trading does not capture activity carried out on voice, hybrid, quote-driven or request for quote activity models</w:t>
      </w:r>
      <w:r>
        <w:rPr>
          <w:lang w:val="en-US"/>
        </w:rPr>
        <w:t>.</w:t>
      </w:r>
    </w:p>
    <w:p w:rsidR="00DE6671" w:rsidRDefault="00DE6671" w:rsidP="00DE6671">
      <w:pPr>
        <w:jc w:val="center"/>
        <w:rPr>
          <w:b/>
          <w:bCs/>
          <w:i/>
          <w:iCs/>
          <w:lang w:val="en-US"/>
        </w:rPr>
      </w:pPr>
    </w:p>
    <w:p w:rsidR="00DE6671" w:rsidRDefault="00DE6671" w:rsidP="00DE6671">
      <w:pPr>
        <w:jc w:val="center"/>
        <w:rPr>
          <w:b/>
          <w:bCs/>
          <w:i/>
          <w:iCs/>
          <w:lang w:val="en-US"/>
        </w:rPr>
      </w:pPr>
      <w:r>
        <w:rPr>
          <w:b/>
          <w:bCs/>
          <w:i/>
          <w:iCs/>
          <w:lang w:val="en-US"/>
        </w:rPr>
        <w:t>Article 3</w:t>
      </w:r>
    </w:p>
    <w:p w:rsidR="00DE6671" w:rsidRDefault="00DE6671" w:rsidP="00DE6671">
      <w:pPr>
        <w:jc w:val="center"/>
        <w:rPr>
          <w:b/>
          <w:bCs/>
          <w:i/>
          <w:iCs/>
          <w:lang w:val="en-US"/>
        </w:rPr>
      </w:pPr>
      <w:proofErr w:type="spellStart"/>
      <w:r>
        <w:rPr>
          <w:b/>
          <w:bCs/>
          <w:i/>
          <w:iCs/>
          <w:lang w:val="en-US"/>
        </w:rPr>
        <w:t>Organisational</w:t>
      </w:r>
      <w:proofErr w:type="spellEnd"/>
      <w:r>
        <w:rPr>
          <w:b/>
          <w:bCs/>
          <w:i/>
          <w:iCs/>
          <w:lang w:val="en-US"/>
        </w:rPr>
        <w:t xml:space="preserve"> requirements for trading venues and the proportionality principle</w:t>
      </w:r>
    </w:p>
    <w:p w:rsidR="00DE6671" w:rsidRDefault="00DE6671" w:rsidP="00DE6671">
      <w:pPr>
        <w:rPr>
          <w:b/>
          <w:bCs/>
          <w:lang w:val="en-US"/>
        </w:rPr>
      </w:pPr>
      <w:r>
        <w:rPr>
          <w:lang w:val="en-US"/>
        </w:rPr>
        <w:t xml:space="preserve">1. Before the deployment of a trading system and at least once a year, trading venues shall elaborate a report to assess their degree of compliance with Article 48 of Directive 2014/65/EU, taking into </w:t>
      </w:r>
      <w:proofErr w:type="gramStart"/>
      <w:r>
        <w:rPr>
          <w:lang w:val="en-US"/>
        </w:rPr>
        <w:t>account</w:t>
      </w:r>
      <w:proofErr w:type="gramEnd"/>
      <w:r>
        <w:rPr>
          <w:lang w:val="en-US"/>
        </w:rPr>
        <w:t xml:space="preserve"> the nature, scale and complexity of their business.  </w:t>
      </w:r>
      <w:r>
        <w:rPr>
          <w:b/>
          <w:bCs/>
          <w:lang w:val="en-US"/>
        </w:rPr>
        <w:t>The degree to which trading venues should apply Article 48 of Directive 2014/65/EU and RTS 14 should also take account of the elements listed in Annex 1.</w:t>
      </w:r>
    </w:p>
    <w:p w:rsidR="00DE6671" w:rsidRDefault="00DE6671" w:rsidP="00DE6671">
      <w:pPr>
        <w:jc w:val="center"/>
        <w:rPr>
          <w:b/>
          <w:bCs/>
          <w:lang w:val="en-US"/>
        </w:rPr>
      </w:pPr>
    </w:p>
    <w:p w:rsidR="00DE6671" w:rsidRDefault="00DE6671" w:rsidP="00DE6671">
      <w:pPr>
        <w:jc w:val="center"/>
        <w:rPr>
          <w:b/>
          <w:bCs/>
          <w:i/>
          <w:iCs/>
          <w:lang w:val="en-US"/>
        </w:rPr>
      </w:pPr>
      <w:r>
        <w:rPr>
          <w:b/>
          <w:bCs/>
          <w:i/>
          <w:iCs/>
          <w:lang w:val="en-US"/>
        </w:rPr>
        <w:t>Article 4</w:t>
      </w:r>
    </w:p>
    <w:p w:rsidR="00DE6671" w:rsidRDefault="00DE6671" w:rsidP="00DE6671">
      <w:pPr>
        <w:jc w:val="center"/>
        <w:rPr>
          <w:b/>
          <w:bCs/>
          <w:i/>
          <w:iCs/>
          <w:lang w:val="en-US"/>
        </w:rPr>
      </w:pPr>
      <w:r>
        <w:rPr>
          <w:b/>
          <w:bCs/>
          <w:i/>
          <w:iCs/>
          <w:lang w:val="en-US"/>
        </w:rPr>
        <w:t>Governance</w:t>
      </w:r>
    </w:p>
    <w:p w:rsidR="00DE6671" w:rsidRDefault="00DE6671" w:rsidP="00DE6671">
      <w:pPr>
        <w:rPr>
          <w:lang w:val="en-US"/>
        </w:rPr>
      </w:pPr>
      <w:r>
        <w:rPr>
          <w:lang w:val="en-US"/>
        </w:rPr>
        <w:t xml:space="preserve">2.            The senior management of the trading venue shall at least approve: </w:t>
      </w:r>
    </w:p>
    <w:p w:rsidR="00DE6671" w:rsidRDefault="00DE6671" w:rsidP="00DE6671">
      <w:pPr>
        <w:rPr>
          <w:lang w:val="en-US"/>
        </w:rPr>
      </w:pPr>
      <w:r>
        <w:rPr>
          <w:lang w:val="en-US"/>
        </w:rPr>
        <w:t>[…]</w:t>
      </w:r>
    </w:p>
    <w:p w:rsidR="00DE6671" w:rsidRDefault="00DE6671" w:rsidP="00DE6671">
      <w:pPr>
        <w:rPr>
          <w:lang w:val="en-US"/>
        </w:rPr>
      </w:pPr>
      <w:r>
        <w:rPr>
          <w:lang w:val="en-US"/>
        </w:rPr>
        <w:t xml:space="preserve">(b)          </w:t>
      </w:r>
      <w:proofErr w:type="gramStart"/>
      <w:r>
        <w:rPr>
          <w:lang w:val="en-US"/>
        </w:rPr>
        <w:t>the</w:t>
      </w:r>
      <w:proofErr w:type="gramEnd"/>
      <w:r>
        <w:rPr>
          <w:lang w:val="en-US"/>
        </w:rPr>
        <w:t xml:space="preserve"> measures planned to expand the capacity of the trading venue following a </w:t>
      </w:r>
      <w:r>
        <w:rPr>
          <w:b/>
          <w:bCs/>
          <w:lang w:val="en-US"/>
        </w:rPr>
        <w:t xml:space="preserve">five-year </w:t>
      </w:r>
      <w:r>
        <w:rPr>
          <w:lang w:val="en-US"/>
        </w:rPr>
        <w:t>historical peak of messages;</w:t>
      </w:r>
    </w:p>
    <w:p w:rsidR="00DE6671" w:rsidRDefault="00DE6671" w:rsidP="00DE6671">
      <w:pPr>
        <w:rPr>
          <w:lang w:val="en-US"/>
        </w:rPr>
      </w:pPr>
      <w:r>
        <w:rPr>
          <w:lang w:val="en-US"/>
        </w:rPr>
        <w:t>[…]</w:t>
      </w:r>
    </w:p>
    <w:p w:rsidR="00DE6671" w:rsidRDefault="00DE6671" w:rsidP="00DE6671">
      <w:pPr>
        <w:jc w:val="center"/>
        <w:rPr>
          <w:b/>
          <w:bCs/>
          <w:i/>
          <w:iCs/>
          <w:lang w:val="en-US"/>
        </w:rPr>
      </w:pPr>
    </w:p>
    <w:p w:rsidR="00DE6671" w:rsidRDefault="00DE6671" w:rsidP="00DE6671">
      <w:pPr>
        <w:jc w:val="center"/>
        <w:rPr>
          <w:b/>
          <w:bCs/>
          <w:i/>
          <w:iCs/>
          <w:lang w:val="en-US"/>
        </w:rPr>
      </w:pPr>
      <w:r>
        <w:rPr>
          <w:b/>
          <w:bCs/>
          <w:i/>
          <w:iCs/>
          <w:lang w:val="en-US"/>
        </w:rPr>
        <w:t>Article 7</w:t>
      </w:r>
    </w:p>
    <w:p w:rsidR="00DE6671" w:rsidRDefault="00DE6671" w:rsidP="00DE6671">
      <w:pPr>
        <w:jc w:val="center"/>
        <w:rPr>
          <w:b/>
          <w:bCs/>
          <w:i/>
          <w:iCs/>
          <w:lang w:val="en-US"/>
        </w:rPr>
      </w:pPr>
      <w:r>
        <w:rPr>
          <w:b/>
          <w:bCs/>
          <w:i/>
          <w:iCs/>
          <w:lang w:val="en-US"/>
        </w:rPr>
        <w:t>Outsourcing</w:t>
      </w:r>
    </w:p>
    <w:p w:rsidR="00DE6671" w:rsidRDefault="00DE6671" w:rsidP="00DE6671">
      <w:pPr>
        <w:rPr>
          <w:lang w:val="en-US"/>
        </w:rPr>
      </w:pPr>
      <w:r>
        <w:rPr>
          <w:lang w:val="en-US"/>
        </w:rPr>
        <w:t xml:space="preserve">1. If a trading venue outsources all or part of its operational functions, it shall ensure that: </w:t>
      </w:r>
    </w:p>
    <w:p w:rsidR="00DE6671" w:rsidRDefault="00DE6671" w:rsidP="00DE6671">
      <w:pPr>
        <w:rPr>
          <w:lang w:val="en-US"/>
        </w:rPr>
      </w:pPr>
      <w:r>
        <w:rPr>
          <w:lang w:val="en-US"/>
        </w:rPr>
        <w:t>(a) the outsourcing exclusively relate</w:t>
      </w:r>
      <w:r>
        <w:rPr>
          <w:b/>
          <w:bCs/>
          <w:lang w:val="en-US"/>
        </w:rPr>
        <w:t>s</w:t>
      </w:r>
      <w:r>
        <w:rPr>
          <w:lang w:val="en-US"/>
        </w:rPr>
        <w:t xml:space="preserve"> to operational functions and does not encompass the responsibilities of the senior management and the management body of their responsibilities </w:t>
      </w:r>
      <w:r>
        <w:rPr>
          <w:b/>
          <w:bCs/>
          <w:lang w:val="en-US"/>
        </w:rPr>
        <w:t>except for internal intercompany outsourcing arrangements where the legal owner of the system and the operating/managing entity are within the same corporate group</w:t>
      </w:r>
      <w:r>
        <w:rPr>
          <w:lang w:val="en-US"/>
        </w:rPr>
        <w:t xml:space="preserve">; </w:t>
      </w:r>
    </w:p>
    <w:p w:rsidR="00DE6671" w:rsidRDefault="00DE6671" w:rsidP="00DE6671">
      <w:pPr>
        <w:rPr>
          <w:lang w:val="en-US"/>
        </w:rPr>
      </w:pPr>
      <w:r>
        <w:rPr>
          <w:lang w:val="en-US"/>
        </w:rPr>
        <w:t>[…]</w:t>
      </w:r>
    </w:p>
    <w:p w:rsidR="00DE6671" w:rsidRDefault="00DE6671" w:rsidP="00DE6671">
      <w:pPr>
        <w:rPr>
          <w:lang w:val="en-US"/>
        </w:rPr>
      </w:pPr>
    </w:p>
    <w:p w:rsidR="00DE6671" w:rsidRDefault="00DE6671" w:rsidP="00DE6671">
      <w:pPr>
        <w:rPr>
          <w:lang w:val="en-US"/>
        </w:rPr>
      </w:pPr>
    </w:p>
    <w:p w:rsidR="00DE6671" w:rsidRDefault="00DE6671" w:rsidP="00DE6671">
      <w:pPr>
        <w:jc w:val="center"/>
        <w:rPr>
          <w:b/>
          <w:bCs/>
          <w:i/>
          <w:iCs/>
          <w:lang w:val="en-US"/>
        </w:rPr>
      </w:pPr>
      <w:r>
        <w:rPr>
          <w:b/>
          <w:bCs/>
          <w:i/>
          <w:iCs/>
          <w:lang w:val="en-US"/>
        </w:rPr>
        <w:t>Article 8</w:t>
      </w:r>
    </w:p>
    <w:p w:rsidR="00DE6671" w:rsidRDefault="00DE6671" w:rsidP="00DE6671">
      <w:pPr>
        <w:jc w:val="center"/>
        <w:rPr>
          <w:b/>
          <w:bCs/>
          <w:i/>
          <w:iCs/>
          <w:lang w:val="en-US"/>
        </w:rPr>
      </w:pPr>
      <w:r>
        <w:rPr>
          <w:b/>
          <w:bCs/>
          <w:i/>
          <w:iCs/>
          <w:lang w:val="en-US"/>
        </w:rPr>
        <w:t>Due diligence for members or participants of trading venues</w:t>
      </w:r>
    </w:p>
    <w:p w:rsidR="00DE6671" w:rsidRDefault="00DE6671" w:rsidP="00DE6671">
      <w:pPr>
        <w:rPr>
          <w:lang w:val="en-US"/>
        </w:rPr>
      </w:pPr>
      <w:r>
        <w:rPr>
          <w:lang w:val="en-US"/>
        </w:rPr>
        <w:t>1. A trading venue shall have pre-defined</w:t>
      </w:r>
      <w:r>
        <w:rPr>
          <w:strike/>
          <w:lang w:val="en-US"/>
        </w:rPr>
        <w:t>, publicly available</w:t>
      </w:r>
      <w:r>
        <w:rPr>
          <w:lang w:val="en-US"/>
        </w:rPr>
        <w:t xml:space="preserve"> standards </w:t>
      </w:r>
      <w:r>
        <w:rPr>
          <w:b/>
          <w:bCs/>
          <w:lang w:val="en-US"/>
        </w:rPr>
        <w:t>available to the members or participants of the trading venue and</w:t>
      </w:r>
      <w:r>
        <w:rPr>
          <w:lang w:val="en-US"/>
        </w:rPr>
        <w:t xml:space="preserve"> specifically relevant to its trading model which cover the knowledge and technical arrangements of the staff of the members for using the order submission systems of the trading venue. The standards shall cover, at least:</w:t>
      </w:r>
    </w:p>
    <w:p w:rsidR="00DE6671" w:rsidRDefault="00DE6671" w:rsidP="00DE6671">
      <w:pPr>
        <w:rPr>
          <w:lang w:val="en-US"/>
        </w:rPr>
      </w:pPr>
      <w:r>
        <w:rPr>
          <w:lang w:val="en-US"/>
        </w:rPr>
        <w:t>[…]</w:t>
      </w:r>
    </w:p>
    <w:p w:rsidR="00DE6671" w:rsidRDefault="00DE6671" w:rsidP="00DE6671">
      <w:pPr>
        <w:rPr>
          <w:lang w:val="en-US"/>
        </w:rPr>
      </w:pPr>
    </w:p>
    <w:p w:rsidR="00DE6671" w:rsidRDefault="00DE6671" w:rsidP="00DE6671">
      <w:pPr>
        <w:rPr>
          <w:lang w:val="en-US"/>
        </w:rPr>
      </w:pPr>
      <w:r>
        <w:rPr>
          <w:lang w:val="en-US"/>
        </w:rPr>
        <w:lastRenderedPageBreak/>
        <w:t xml:space="preserve">3.  At least once a year, a trading venue shall </w:t>
      </w:r>
      <w:r>
        <w:rPr>
          <w:strike/>
          <w:lang w:val="en-US"/>
        </w:rPr>
        <w:t xml:space="preserve">assess </w:t>
      </w:r>
      <w:r>
        <w:rPr>
          <w:b/>
          <w:bCs/>
          <w:lang w:val="en-US"/>
        </w:rPr>
        <w:t>conduct an assessment using a risk-based approach of the</w:t>
      </w:r>
      <w:r>
        <w:rPr>
          <w:lang w:val="en-US"/>
        </w:rPr>
        <w:t xml:space="preserve"> compliance of its members with the standards in paragraph 1 and check whether its members remain registered as investment firms.</w:t>
      </w:r>
    </w:p>
    <w:p w:rsidR="00DE6671" w:rsidRDefault="00DE6671" w:rsidP="00DE6671">
      <w:pPr>
        <w:rPr>
          <w:lang w:val="en-US"/>
        </w:rPr>
      </w:pPr>
    </w:p>
    <w:p w:rsidR="00DE6671" w:rsidRDefault="00DE6671" w:rsidP="00DE6671">
      <w:pPr>
        <w:rPr>
          <w:lang w:val="en-US"/>
        </w:rPr>
      </w:pPr>
      <w:r>
        <w:rPr>
          <w:lang w:val="en-US"/>
        </w:rPr>
        <w:t xml:space="preserve">5. </w:t>
      </w:r>
      <w:r>
        <w:rPr>
          <w:strike/>
          <w:lang w:val="en-US"/>
        </w:rPr>
        <w:t xml:space="preserve">A </w:t>
      </w:r>
      <w:proofErr w:type="spellStart"/>
      <w:r>
        <w:rPr>
          <w:strike/>
          <w:lang w:val="en-US"/>
        </w:rPr>
        <w:t>t</w:t>
      </w:r>
      <w:r>
        <w:rPr>
          <w:b/>
          <w:bCs/>
          <w:lang w:val="en-US"/>
        </w:rPr>
        <w:t>T</w:t>
      </w:r>
      <w:r>
        <w:rPr>
          <w:lang w:val="en-US"/>
        </w:rPr>
        <w:t>rading</w:t>
      </w:r>
      <w:proofErr w:type="spellEnd"/>
      <w:r>
        <w:rPr>
          <w:lang w:val="en-US"/>
        </w:rPr>
        <w:t xml:space="preserve"> venues shall maintain </w:t>
      </w:r>
      <w:r>
        <w:rPr>
          <w:b/>
          <w:bCs/>
          <w:lang w:val="en-US"/>
        </w:rPr>
        <w:t>for at least five years</w:t>
      </w:r>
      <w:r>
        <w:rPr>
          <w:lang w:val="en-US"/>
        </w:rPr>
        <w:t xml:space="preserve"> records of:</w:t>
      </w:r>
    </w:p>
    <w:p w:rsidR="00DE6671" w:rsidRDefault="00DE6671" w:rsidP="00DE6671">
      <w:pPr>
        <w:rPr>
          <w:lang w:val="en-US"/>
        </w:rPr>
      </w:pPr>
      <w:r>
        <w:rPr>
          <w:lang w:val="en-US"/>
        </w:rPr>
        <w:t>[…]</w:t>
      </w:r>
    </w:p>
    <w:p w:rsidR="00DE6671" w:rsidRDefault="00DE6671" w:rsidP="00DE6671">
      <w:pPr>
        <w:jc w:val="center"/>
        <w:rPr>
          <w:b/>
          <w:bCs/>
          <w:i/>
          <w:iCs/>
          <w:lang w:val="en-US"/>
        </w:rPr>
      </w:pPr>
    </w:p>
    <w:p w:rsidR="00DE6671" w:rsidRDefault="00DE6671" w:rsidP="00DE6671">
      <w:pPr>
        <w:jc w:val="center"/>
        <w:rPr>
          <w:lang w:val="en-US"/>
        </w:rPr>
      </w:pPr>
      <w:r>
        <w:rPr>
          <w:b/>
          <w:bCs/>
          <w:i/>
          <w:iCs/>
          <w:lang w:val="en-US"/>
        </w:rPr>
        <w:t>Article 10</w:t>
      </w:r>
    </w:p>
    <w:p w:rsidR="00DE6671" w:rsidRDefault="00DE6671" w:rsidP="00DE6671">
      <w:pPr>
        <w:jc w:val="center"/>
        <w:rPr>
          <w:b/>
          <w:bCs/>
          <w:i/>
          <w:iCs/>
          <w:lang w:val="en-US"/>
        </w:rPr>
      </w:pPr>
      <w:r>
        <w:rPr>
          <w:b/>
          <w:bCs/>
          <w:i/>
          <w:iCs/>
          <w:lang w:val="en-US"/>
        </w:rPr>
        <w:t>Testing the member’s capacity to assess trading systems</w:t>
      </w:r>
    </w:p>
    <w:p w:rsidR="00DE6671" w:rsidRDefault="00DE6671" w:rsidP="00DE6671">
      <w:pPr>
        <w:rPr>
          <w:lang w:val="en-US"/>
        </w:rPr>
      </w:pPr>
      <w:r>
        <w:rPr>
          <w:lang w:val="en-US"/>
        </w:rPr>
        <w:t>1. Trading venues shall pre-determine and require their members to undertake conformance testing:</w:t>
      </w:r>
    </w:p>
    <w:p w:rsidR="00DE6671" w:rsidRDefault="00DE6671" w:rsidP="00DE6671">
      <w:pPr>
        <w:rPr>
          <w:lang w:val="en-US"/>
        </w:rPr>
      </w:pPr>
      <w:r>
        <w:rPr>
          <w:lang w:val="en-US"/>
        </w:rPr>
        <w:t>[…]</w:t>
      </w:r>
    </w:p>
    <w:p w:rsidR="00DE6671" w:rsidRDefault="00DE6671" w:rsidP="00DE6671">
      <w:pPr>
        <w:rPr>
          <w:lang w:val="en-US"/>
        </w:rPr>
      </w:pPr>
      <w:r>
        <w:rPr>
          <w:lang w:val="en-US"/>
        </w:rPr>
        <w:t xml:space="preserve">(b) </w:t>
      </w:r>
      <w:proofErr w:type="gramStart"/>
      <w:r>
        <w:rPr>
          <w:lang w:val="en-US"/>
        </w:rPr>
        <w:t>before</w:t>
      </w:r>
      <w:proofErr w:type="gramEnd"/>
      <w:r>
        <w:rPr>
          <w:lang w:val="en-US"/>
        </w:rPr>
        <w:t xml:space="preserve"> deploying new algorithms </w:t>
      </w:r>
      <w:r>
        <w:rPr>
          <w:strike/>
          <w:lang w:val="en-US"/>
        </w:rPr>
        <w:t>or, algorithms used in other trading venues</w:t>
      </w:r>
      <w:r>
        <w:rPr>
          <w:lang w:val="en-US"/>
        </w:rPr>
        <w:t>; and</w:t>
      </w:r>
    </w:p>
    <w:p w:rsidR="00DE6671" w:rsidRDefault="00DE6671" w:rsidP="00DE6671">
      <w:pPr>
        <w:rPr>
          <w:lang w:val="en-US"/>
        </w:rPr>
      </w:pPr>
      <w:r>
        <w:rPr>
          <w:lang w:val="en-US"/>
        </w:rPr>
        <w:t>[…]</w:t>
      </w:r>
    </w:p>
    <w:p w:rsidR="00DE6671" w:rsidRDefault="00DE6671" w:rsidP="00DE6671">
      <w:pPr>
        <w:jc w:val="center"/>
        <w:rPr>
          <w:b/>
          <w:bCs/>
          <w:i/>
          <w:iCs/>
          <w:lang w:val="en-US"/>
        </w:rPr>
      </w:pPr>
      <w:r>
        <w:rPr>
          <w:b/>
          <w:bCs/>
          <w:i/>
          <w:iCs/>
          <w:lang w:val="en-US"/>
        </w:rPr>
        <w:t>Article 12</w:t>
      </w:r>
    </w:p>
    <w:p w:rsidR="00DE6671" w:rsidRDefault="00DE6671" w:rsidP="00DE6671">
      <w:pPr>
        <w:jc w:val="center"/>
        <w:rPr>
          <w:b/>
          <w:bCs/>
          <w:i/>
          <w:iCs/>
          <w:lang w:val="en-US"/>
        </w:rPr>
      </w:pPr>
      <w:r>
        <w:rPr>
          <w:b/>
          <w:bCs/>
          <w:i/>
          <w:iCs/>
          <w:lang w:val="en-US"/>
        </w:rPr>
        <w:t>Trading venues’ capacity</w:t>
      </w:r>
    </w:p>
    <w:p w:rsidR="00DE6671" w:rsidRDefault="00DE6671" w:rsidP="00DE6671">
      <w:pPr>
        <w:rPr>
          <w:lang w:val="en-US"/>
        </w:rPr>
      </w:pPr>
      <w:r>
        <w:rPr>
          <w:lang w:val="en-US"/>
        </w:rPr>
        <w:t xml:space="preserve">1. Trading venues shall ensure that their trading systems have sufficient capacity to accommodate at least twice the highest number of messages per second and per value as the maximum recorded on that system in one day </w:t>
      </w:r>
      <w:r>
        <w:rPr>
          <w:b/>
          <w:bCs/>
          <w:lang w:val="en-US"/>
        </w:rPr>
        <w:t xml:space="preserve">as recorded during the previous five years </w:t>
      </w:r>
      <w:r>
        <w:rPr>
          <w:lang w:val="en-US"/>
        </w:rPr>
        <w:t>(</w:t>
      </w:r>
      <w:r>
        <w:rPr>
          <w:b/>
          <w:bCs/>
          <w:lang w:val="en-US"/>
        </w:rPr>
        <w:t xml:space="preserve">five-year </w:t>
      </w:r>
      <w:r>
        <w:rPr>
          <w:lang w:val="en-US"/>
        </w:rPr>
        <w:t xml:space="preserve">historical peak). </w:t>
      </w:r>
    </w:p>
    <w:p w:rsidR="00DE6671" w:rsidRDefault="00DE6671" w:rsidP="00DE6671">
      <w:pPr>
        <w:rPr>
          <w:lang w:val="en-US"/>
        </w:rPr>
      </w:pPr>
    </w:p>
    <w:p w:rsidR="00DE6671" w:rsidRDefault="00DE6671" w:rsidP="00DE6671">
      <w:pPr>
        <w:jc w:val="center"/>
        <w:rPr>
          <w:b/>
          <w:bCs/>
          <w:i/>
          <w:iCs/>
          <w:lang w:val="en-US"/>
        </w:rPr>
      </w:pPr>
      <w:r>
        <w:rPr>
          <w:b/>
          <w:bCs/>
          <w:i/>
          <w:iCs/>
          <w:lang w:val="en-US"/>
        </w:rPr>
        <w:t>Article 15</w:t>
      </w:r>
    </w:p>
    <w:p w:rsidR="00DE6671" w:rsidRDefault="00DE6671" w:rsidP="00DE6671">
      <w:pPr>
        <w:jc w:val="center"/>
        <w:rPr>
          <w:b/>
          <w:bCs/>
          <w:i/>
          <w:iCs/>
          <w:lang w:val="en-US"/>
        </w:rPr>
      </w:pPr>
      <w:r>
        <w:rPr>
          <w:b/>
          <w:bCs/>
          <w:i/>
          <w:iCs/>
          <w:lang w:val="en-US"/>
        </w:rPr>
        <w:t>Periodic review of the performance and capacity of the trading systems</w:t>
      </w:r>
    </w:p>
    <w:p w:rsidR="00DE6671" w:rsidRDefault="00DE6671" w:rsidP="00DE6671">
      <w:pPr>
        <w:rPr>
          <w:lang w:val="en-US"/>
        </w:rPr>
      </w:pPr>
      <w:r>
        <w:rPr>
          <w:lang w:val="en-US"/>
        </w:rPr>
        <w:t>1. (</w:t>
      </w:r>
      <w:proofErr w:type="gramStart"/>
      <w:r>
        <w:rPr>
          <w:lang w:val="en-US"/>
        </w:rPr>
        <w:t>a</w:t>
      </w:r>
      <w:proofErr w:type="gramEnd"/>
      <w:r>
        <w:rPr>
          <w:lang w:val="en-US"/>
        </w:rPr>
        <w:t xml:space="preserve">) the </w:t>
      </w:r>
      <w:r>
        <w:rPr>
          <w:b/>
          <w:bCs/>
          <w:lang w:val="en-US"/>
        </w:rPr>
        <w:t xml:space="preserve">five-year </w:t>
      </w:r>
      <w:r>
        <w:rPr>
          <w:lang w:val="en-US"/>
        </w:rPr>
        <w:t>historical peak of messages managed by the system and successive multipliers beyond that level;</w:t>
      </w:r>
    </w:p>
    <w:p w:rsidR="00DE6671" w:rsidRDefault="00DE6671" w:rsidP="00DE6671">
      <w:pPr>
        <w:rPr>
          <w:lang w:val="en-US"/>
        </w:rPr>
      </w:pPr>
      <w:r>
        <w:rPr>
          <w:lang w:val="en-US"/>
        </w:rPr>
        <w:t>[…]</w:t>
      </w:r>
    </w:p>
    <w:p w:rsidR="00DE6671" w:rsidRDefault="00DE6671" w:rsidP="00DE6671">
      <w:pPr>
        <w:rPr>
          <w:lang w:val="en-US"/>
        </w:rPr>
      </w:pPr>
    </w:p>
    <w:p w:rsidR="00DE6671" w:rsidRDefault="00DE6671" w:rsidP="00DE6671">
      <w:pPr>
        <w:jc w:val="center"/>
        <w:rPr>
          <w:b/>
          <w:bCs/>
          <w:i/>
          <w:iCs/>
          <w:lang w:val="en-US"/>
        </w:rPr>
      </w:pPr>
      <w:r>
        <w:rPr>
          <w:b/>
          <w:bCs/>
          <w:i/>
          <w:iCs/>
          <w:lang w:val="en-US"/>
        </w:rPr>
        <w:t>Article 16</w:t>
      </w:r>
    </w:p>
    <w:p w:rsidR="00DE6671" w:rsidRDefault="00DE6671" w:rsidP="00DE6671">
      <w:pPr>
        <w:jc w:val="center"/>
        <w:rPr>
          <w:b/>
          <w:bCs/>
          <w:i/>
          <w:iCs/>
          <w:lang w:val="en-US"/>
        </w:rPr>
      </w:pPr>
      <w:r>
        <w:rPr>
          <w:b/>
          <w:bCs/>
          <w:i/>
          <w:iCs/>
          <w:lang w:val="en-US"/>
        </w:rPr>
        <w:t>Business continuity arrangements</w:t>
      </w:r>
    </w:p>
    <w:p w:rsidR="00DE6671" w:rsidRDefault="00DE6671" w:rsidP="00DE6671">
      <w:pPr>
        <w:rPr>
          <w:lang w:val="en-US"/>
        </w:rPr>
      </w:pPr>
      <w:r>
        <w:rPr>
          <w:lang w:val="en-US"/>
        </w:rPr>
        <w:t>2. The business continuity arrangements shall ensure a timely resumption of trading</w:t>
      </w:r>
      <w:r>
        <w:rPr>
          <w:strike/>
          <w:lang w:val="en-US"/>
        </w:rPr>
        <w:t>, targeting a recovery time no later than 2 hours and a recovery point objective close to zero</w:t>
      </w:r>
      <w:r>
        <w:rPr>
          <w:lang w:val="en-US"/>
        </w:rPr>
        <w:t xml:space="preserve"> appropriate to the circumstances causing the shut-down. </w:t>
      </w:r>
    </w:p>
    <w:p w:rsidR="00DE6671" w:rsidRDefault="00DE6671" w:rsidP="00DE6671">
      <w:pPr>
        <w:rPr>
          <w:lang w:val="en-US"/>
        </w:rPr>
      </w:pPr>
    </w:p>
    <w:p w:rsidR="00DE6671" w:rsidRDefault="00DE6671" w:rsidP="00DE6671">
      <w:pPr>
        <w:jc w:val="center"/>
        <w:rPr>
          <w:b/>
          <w:bCs/>
          <w:i/>
          <w:iCs/>
          <w:lang w:val="en-US"/>
        </w:rPr>
      </w:pPr>
      <w:r>
        <w:rPr>
          <w:b/>
          <w:bCs/>
          <w:i/>
          <w:iCs/>
          <w:lang w:val="en-US"/>
        </w:rPr>
        <w:t>Article 19</w:t>
      </w:r>
    </w:p>
    <w:p w:rsidR="00DE6671" w:rsidRDefault="00DE6671" w:rsidP="00DE6671">
      <w:pPr>
        <w:jc w:val="center"/>
        <w:rPr>
          <w:b/>
          <w:bCs/>
          <w:i/>
          <w:iCs/>
          <w:lang w:val="en-US"/>
        </w:rPr>
      </w:pPr>
      <w:r>
        <w:rPr>
          <w:b/>
          <w:bCs/>
          <w:i/>
          <w:iCs/>
          <w:lang w:val="en-US"/>
        </w:rPr>
        <w:t>Prevention of disorderly trading conditions</w:t>
      </w:r>
    </w:p>
    <w:p w:rsidR="00DE6671" w:rsidRDefault="00DE6671" w:rsidP="00DE6671">
      <w:pPr>
        <w:rPr>
          <w:lang w:val="en-US"/>
        </w:rPr>
      </w:pPr>
      <w:r>
        <w:rPr>
          <w:lang w:val="en-US"/>
        </w:rPr>
        <w:t xml:space="preserve">1. Trading venues shall have at least the following arrangements to prevent disorderly trading and breaches of capacity limits </w:t>
      </w:r>
      <w:r>
        <w:rPr>
          <w:b/>
          <w:bCs/>
          <w:lang w:val="en-US"/>
        </w:rPr>
        <w:t>appropriate to the nature, scale and complexity of the algorithmic activity prevalent on that venue as determined and applied using a risk-based approach</w:t>
      </w:r>
      <w:r>
        <w:rPr>
          <w:lang w:val="en-US"/>
        </w:rPr>
        <w:t>:</w:t>
      </w:r>
    </w:p>
    <w:p w:rsidR="00DE6671" w:rsidRDefault="00DE6671" w:rsidP="00DE6671">
      <w:pPr>
        <w:rPr>
          <w:lang w:val="en-US"/>
        </w:rPr>
      </w:pPr>
      <w:r>
        <w:rPr>
          <w:lang w:val="en-US"/>
        </w:rPr>
        <w:t xml:space="preserve">(a) </w:t>
      </w:r>
      <w:proofErr w:type="gramStart"/>
      <w:r>
        <w:rPr>
          <w:lang w:val="en-US"/>
        </w:rPr>
        <w:t>limits</w:t>
      </w:r>
      <w:proofErr w:type="gramEnd"/>
      <w:r>
        <w:rPr>
          <w:lang w:val="en-US"/>
        </w:rPr>
        <w:t xml:space="preserve"> per member on the number of orders sent (throttle limits) per second to prevent flooding of the order book;</w:t>
      </w:r>
    </w:p>
    <w:p w:rsidR="00DE6671" w:rsidRDefault="00DE6671" w:rsidP="00DE6671">
      <w:pPr>
        <w:rPr>
          <w:lang w:val="en-US"/>
        </w:rPr>
      </w:pPr>
      <w:r>
        <w:rPr>
          <w:lang w:val="en-US"/>
        </w:rPr>
        <w:t xml:space="preserve">(b) </w:t>
      </w:r>
      <w:proofErr w:type="gramStart"/>
      <w:r>
        <w:rPr>
          <w:lang w:val="en-US"/>
        </w:rPr>
        <w:t>mechanisms</w:t>
      </w:r>
      <w:proofErr w:type="gramEnd"/>
      <w:r>
        <w:rPr>
          <w:lang w:val="en-US"/>
        </w:rPr>
        <w:t xml:space="preserve"> to manage volatility;</w:t>
      </w:r>
    </w:p>
    <w:p w:rsidR="00DE6671" w:rsidRDefault="00DE6671" w:rsidP="00DE6671">
      <w:pPr>
        <w:rPr>
          <w:lang w:val="en-US"/>
        </w:rPr>
      </w:pPr>
      <w:r>
        <w:rPr>
          <w:lang w:val="en-US"/>
        </w:rPr>
        <w:t xml:space="preserve">(c) </w:t>
      </w:r>
      <w:proofErr w:type="gramStart"/>
      <w:r>
        <w:rPr>
          <w:lang w:val="en-US"/>
        </w:rPr>
        <w:t>pre-</w:t>
      </w:r>
      <w:proofErr w:type="gramEnd"/>
      <w:r>
        <w:rPr>
          <w:lang w:val="en-US"/>
        </w:rPr>
        <w:t xml:space="preserve"> and post-trade controls </w:t>
      </w:r>
      <w:r>
        <w:rPr>
          <w:b/>
          <w:bCs/>
          <w:lang w:val="en-US"/>
        </w:rPr>
        <w:t>as detailed in point 2 below</w:t>
      </w:r>
      <w:r>
        <w:rPr>
          <w:lang w:val="en-US"/>
        </w:rPr>
        <w:t>;</w:t>
      </w:r>
    </w:p>
    <w:p w:rsidR="00DE6671" w:rsidRDefault="00DE6671" w:rsidP="00DE6671">
      <w:pPr>
        <w:rPr>
          <w:lang w:val="en-US"/>
        </w:rPr>
      </w:pPr>
      <w:r>
        <w:rPr>
          <w:lang w:val="en-US"/>
        </w:rPr>
        <w:t xml:space="preserve">(d) </w:t>
      </w:r>
      <w:proofErr w:type="gramStart"/>
      <w:r>
        <w:rPr>
          <w:lang w:val="en-US"/>
        </w:rPr>
        <w:t>requirements</w:t>
      </w:r>
      <w:proofErr w:type="gramEnd"/>
      <w:r>
        <w:rPr>
          <w:lang w:val="en-US"/>
        </w:rPr>
        <w:t xml:space="preserve"> on their members to have pre- and post-trade controls;</w:t>
      </w:r>
    </w:p>
    <w:p w:rsidR="00DE6671" w:rsidRDefault="00DE6671" w:rsidP="00DE6671">
      <w:pPr>
        <w:rPr>
          <w:lang w:val="en-US"/>
        </w:rPr>
      </w:pPr>
    </w:p>
    <w:p w:rsidR="00DE6671" w:rsidRDefault="00DE6671" w:rsidP="00DE6671">
      <w:pPr>
        <w:rPr>
          <w:lang w:val="en-US"/>
        </w:rPr>
      </w:pPr>
      <w:r>
        <w:rPr>
          <w:lang w:val="en-US"/>
        </w:rPr>
        <w:t xml:space="preserve">2. Trading venues shall be able to: </w:t>
      </w:r>
    </w:p>
    <w:p w:rsidR="00DE6671" w:rsidRDefault="00DE6671" w:rsidP="00DE6671">
      <w:pPr>
        <w:rPr>
          <w:lang w:val="en-US"/>
        </w:rPr>
      </w:pPr>
    </w:p>
    <w:p w:rsidR="00DE6671" w:rsidRDefault="00DE6671" w:rsidP="00DE6671">
      <w:pPr>
        <w:rPr>
          <w:lang w:val="en-US"/>
        </w:rPr>
      </w:pPr>
      <w:r>
        <w:rPr>
          <w:lang w:val="en-US"/>
        </w:rPr>
        <w:lastRenderedPageBreak/>
        <w:t xml:space="preserve">(a) </w:t>
      </w:r>
      <w:proofErr w:type="gramStart"/>
      <w:r>
        <w:rPr>
          <w:lang w:val="en-US"/>
        </w:rPr>
        <w:t>obtain</w:t>
      </w:r>
      <w:proofErr w:type="gramEnd"/>
      <w:r>
        <w:rPr>
          <w:lang w:val="en-US"/>
        </w:rPr>
        <w:t xml:space="preserve"> information from any member/participant or user to monitor compliance with the rules and procedures of the trading venue relating in particular to </w:t>
      </w:r>
      <w:proofErr w:type="spellStart"/>
      <w:r>
        <w:rPr>
          <w:lang w:val="en-US"/>
        </w:rPr>
        <w:t>organisational</w:t>
      </w:r>
      <w:proofErr w:type="spellEnd"/>
      <w:r>
        <w:rPr>
          <w:lang w:val="en-US"/>
        </w:rPr>
        <w:t xml:space="preserve"> requirements and trading controls; </w:t>
      </w:r>
    </w:p>
    <w:p w:rsidR="00DE6671" w:rsidRDefault="00DE6671" w:rsidP="00DE6671">
      <w:pPr>
        <w:rPr>
          <w:lang w:val="en-US"/>
        </w:rPr>
      </w:pPr>
      <w:r>
        <w:rPr>
          <w:lang w:val="en-US"/>
        </w:rPr>
        <w:t xml:space="preserve">(b) suspend the access of a member or a trader’s ID to the trading system at the trading venue’s own initiative or at the request of that member, a clearing member, the CCP (in the pre-defined cases by the CCP’s governing rules) or the competent authority; </w:t>
      </w:r>
    </w:p>
    <w:p w:rsidR="00DE6671" w:rsidRDefault="00DE6671" w:rsidP="00DE6671">
      <w:pPr>
        <w:rPr>
          <w:lang w:val="en-US"/>
        </w:rPr>
      </w:pPr>
      <w:r>
        <w:rPr>
          <w:lang w:val="en-US"/>
        </w:rPr>
        <w:t xml:space="preserve">(c) </w:t>
      </w:r>
      <w:proofErr w:type="gramStart"/>
      <w:r>
        <w:rPr>
          <w:lang w:val="en-US"/>
        </w:rPr>
        <w:t>cancel</w:t>
      </w:r>
      <w:proofErr w:type="gramEnd"/>
      <w:r>
        <w:rPr>
          <w:lang w:val="en-US"/>
        </w:rPr>
        <w:t xml:space="preserve"> orders at least under the following circumstances: </w:t>
      </w:r>
    </w:p>
    <w:p w:rsidR="00DE6671" w:rsidRDefault="00DE6671" w:rsidP="00DE6671">
      <w:pPr>
        <w:rPr>
          <w:lang w:val="en-US"/>
        </w:rPr>
      </w:pPr>
      <w:r>
        <w:rPr>
          <w:lang w:val="en-US"/>
        </w:rPr>
        <w:t>(</w:t>
      </w:r>
      <w:proofErr w:type="spellStart"/>
      <w:r>
        <w:rPr>
          <w:lang w:val="en-US"/>
        </w:rPr>
        <w:t>i</w:t>
      </w:r>
      <w:proofErr w:type="spellEnd"/>
      <w:r>
        <w:rPr>
          <w:lang w:val="en-US"/>
        </w:rPr>
        <w:t xml:space="preserve">) </w:t>
      </w:r>
      <w:proofErr w:type="gramStart"/>
      <w:r>
        <w:rPr>
          <w:lang w:val="en-US"/>
        </w:rPr>
        <w:t>on</w:t>
      </w:r>
      <w:proofErr w:type="gramEnd"/>
      <w:r>
        <w:rPr>
          <w:lang w:val="en-US"/>
        </w:rPr>
        <w:t xml:space="preserve"> request of a member that is technically unable to delete its own orders; </w:t>
      </w:r>
    </w:p>
    <w:p w:rsidR="00DE6671" w:rsidRDefault="00DE6671" w:rsidP="00DE6671">
      <w:pPr>
        <w:rPr>
          <w:lang w:val="en-US"/>
        </w:rPr>
      </w:pPr>
      <w:r>
        <w:rPr>
          <w:lang w:val="en-US"/>
        </w:rPr>
        <w:t xml:space="preserve">(ii) </w:t>
      </w:r>
      <w:proofErr w:type="gramStart"/>
      <w:r>
        <w:rPr>
          <w:lang w:val="en-US"/>
        </w:rPr>
        <w:t>when</w:t>
      </w:r>
      <w:proofErr w:type="gramEnd"/>
      <w:r>
        <w:rPr>
          <w:lang w:val="en-US"/>
        </w:rPr>
        <w:t xml:space="preserve"> the order book is corrupted by erroneous duplicated orders; </w:t>
      </w:r>
    </w:p>
    <w:p w:rsidR="00DE6671" w:rsidRDefault="00DE6671" w:rsidP="00DE6671">
      <w:pPr>
        <w:rPr>
          <w:lang w:val="en-US"/>
        </w:rPr>
      </w:pPr>
      <w:r>
        <w:rPr>
          <w:lang w:val="en-US"/>
        </w:rPr>
        <w:t xml:space="preserve">(iii) </w:t>
      </w:r>
      <w:proofErr w:type="gramStart"/>
      <w:r>
        <w:rPr>
          <w:lang w:val="en-US"/>
        </w:rPr>
        <w:t>in</w:t>
      </w:r>
      <w:proofErr w:type="gramEnd"/>
      <w:r>
        <w:rPr>
          <w:lang w:val="en-US"/>
        </w:rPr>
        <w:t xml:space="preserve"> cases of a suspension initiated either by the market operator or the regulator; and </w:t>
      </w:r>
    </w:p>
    <w:p w:rsidR="00DE6671" w:rsidRDefault="00DE6671" w:rsidP="00DE6671">
      <w:pPr>
        <w:rPr>
          <w:lang w:val="en-US"/>
        </w:rPr>
      </w:pPr>
      <w:r>
        <w:rPr>
          <w:lang w:val="en-US"/>
        </w:rPr>
        <w:t xml:space="preserve">(iv) </w:t>
      </w:r>
      <w:proofErr w:type="gramStart"/>
      <w:r>
        <w:rPr>
          <w:lang w:val="en-US"/>
        </w:rPr>
        <w:t>in</w:t>
      </w:r>
      <w:proofErr w:type="gramEnd"/>
      <w:r>
        <w:rPr>
          <w:lang w:val="en-US"/>
        </w:rPr>
        <w:t xml:space="preserve"> cases of a request from the CCP in the pre-defined cases of the CCP’s governing rules</w:t>
      </w:r>
      <w:r>
        <w:rPr>
          <w:strike/>
          <w:lang w:val="en-US"/>
        </w:rPr>
        <w:t>.</w:t>
      </w:r>
      <w:r>
        <w:rPr>
          <w:b/>
          <w:bCs/>
          <w:lang w:val="en-US"/>
        </w:rPr>
        <w:t>; and</w:t>
      </w:r>
    </w:p>
    <w:p w:rsidR="00DE6671" w:rsidRDefault="00DE6671" w:rsidP="00DE6671">
      <w:pPr>
        <w:rPr>
          <w:strike/>
          <w:lang w:val="en-US"/>
        </w:rPr>
      </w:pPr>
      <w:r>
        <w:rPr>
          <w:strike/>
          <w:lang w:val="en-US"/>
        </w:rPr>
        <w:t xml:space="preserve">(d) </w:t>
      </w:r>
      <w:proofErr w:type="gramStart"/>
      <w:r>
        <w:rPr>
          <w:strike/>
          <w:lang w:val="en-US"/>
        </w:rPr>
        <w:t>cancel</w:t>
      </w:r>
      <w:proofErr w:type="gramEnd"/>
      <w:r>
        <w:rPr>
          <w:strike/>
          <w:lang w:val="en-US"/>
        </w:rPr>
        <w:t xml:space="preserve"> or correct transactions; and </w:t>
      </w:r>
    </w:p>
    <w:p w:rsidR="00DE6671" w:rsidRDefault="00DE6671" w:rsidP="00DE6671">
      <w:pPr>
        <w:rPr>
          <w:lang w:val="en-US"/>
        </w:rPr>
      </w:pPr>
      <w:r>
        <w:rPr>
          <w:lang w:val="en-US"/>
        </w:rPr>
        <w:t>(</w:t>
      </w:r>
      <w:proofErr w:type="spellStart"/>
      <w:proofErr w:type="gramStart"/>
      <w:r>
        <w:rPr>
          <w:strike/>
          <w:lang w:val="en-US"/>
        </w:rPr>
        <w:t>e</w:t>
      </w:r>
      <w:r>
        <w:rPr>
          <w:b/>
          <w:bCs/>
          <w:lang w:val="en-US"/>
        </w:rPr>
        <w:t>d</w:t>
      </w:r>
      <w:proofErr w:type="spellEnd"/>
      <w:proofErr w:type="gramEnd"/>
      <w:r>
        <w:rPr>
          <w:lang w:val="en-US"/>
        </w:rPr>
        <w:t xml:space="preserve">) balance order entrance between their different gateways to avoid collapses. </w:t>
      </w:r>
    </w:p>
    <w:p w:rsidR="00DE6671" w:rsidRDefault="00DE6671" w:rsidP="00DE6671">
      <w:pPr>
        <w:rPr>
          <w:lang w:val="en-US"/>
        </w:rPr>
      </w:pPr>
    </w:p>
    <w:p w:rsidR="00DE6671" w:rsidRDefault="00DE6671" w:rsidP="00DE6671">
      <w:pPr>
        <w:rPr>
          <w:lang w:val="en-US"/>
        </w:rPr>
      </w:pPr>
      <w:r>
        <w:rPr>
          <w:lang w:val="en-US"/>
        </w:rPr>
        <w:t xml:space="preserve">4.  Trading venues shall make </w:t>
      </w:r>
      <w:r>
        <w:rPr>
          <w:strike/>
          <w:lang w:val="en-US"/>
        </w:rPr>
        <w:t>public</w:t>
      </w:r>
      <w:r>
        <w:rPr>
          <w:lang w:val="en-US"/>
        </w:rPr>
        <w:t xml:space="preserve"> </w:t>
      </w:r>
      <w:r>
        <w:rPr>
          <w:b/>
          <w:bCs/>
          <w:lang w:val="en-US"/>
        </w:rPr>
        <w:t xml:space="preserve">available to its members / participants </w:t>
      </w:r>
      <w:r>
        <w:rPr>
          <w:lang w:val="en-US"/>
        </w:rPr>
        <w:t>the policies and procedures listed in paragraph 3.</w:t>
      </w:r>
    </w:p>
    <w:p w:rsidR="00DE6671" w:rsidRDefault="00DE6671" w:rsidP="00DE6671">
      <w:pPr>
        <w:rPr>
          <w:lang w:val="en-US"/>
        </w:rPr>
      </w:pPr>
    </w:p>
    <w:p w:rsidR="00DE6671" w:rsidRDefault="00DE6671" w:rsidP="00DE6671">
      <w:pPr>
        <w:jc w:val="center"/>
        <w:rPr>
          <w:b/>
          <w:bCs/>
          <w:i/>
          <w:iCs/>
          <w:lang w:val="en-US"/>
        </w:rPr>
      </w:pPr>
      <w:r>
        <w:rPr>
          <w:b/>
          <w:bCs/>
          <w:i/>
          <w:iCs/>
          <w:lang w:val="en-US"/>
        </w:rPr>
        <w:t>Article 20</w:t>
      </w:r>
    </w:p>
    <w:p w:rsidR="00DE6671" w:rsidRDefault="00DE6671" w:rsidP="00DE6671">
      <w:pPr>
        <w:jc w:val="center"/>
        <w:rPr>
          <w:b/>
          <w:bCs/>
          <w:i/>
          <w:iCs/>
          <w:lang w:val="en-US"/>
        </w:rPr>
      </w:pPr>
      <w:r>
        <w:rPr>
          <w:b/>
          <w:bCs/>
          <w:i/>
          <w:iCs/>
          <w:lang w:val="en-US"/>
        </w:rPr>
        <w:t>Mechanisms to manage volatility</w:t>
      </w:r>
    </w:p>
    <w:p w:rsidR="00DE6671" w:rsidRDefault="00DE6671" w:rsidP="00DE6671">
      <w:pPr>
        <w:rPr>
          <w:lang w:val="en-US"/>
        </w:rPr>
      </w:pPr>
      <w:r>
        <w:rPr>
          <w:lang w:val="en-US"/>
        </w:rPr>
        <w:t xml:space="preserve">1. Trading venues shall ensure that </w:t>
      </w:r>
      <w:r>
        <w:rPr>
          <w:strike/>
          <w:lang w:val="en-US"/>
        </w:rPr>
        <w:t xml:space="preserve">appropriate </w:t>
      </w:r>
      <w:r>
        <w:rPr>
          <w:lang w:val="en-US"/>
        </w:rPr>
        <w:t xml:space="preserve">mechanisms </w:t>
      </w:r>
      <w:r>
        <w:rPr>
          <w:b/>
          <w:bCs/>
          <w:lang w:val="en-US"/>
        </w:rPr>
        <w:t>that are appropriate to the nature, scale and complexity of the algorithmic activity prevalent on that venue as determined using a risk-based approach</w:t>
      </w:r>
      <w:r>
        <w:rPr>
          <w:lang w:val="en-US"/>
        </w:rPr>
        <w:t xml:space="preserve"> to automatically halt or constrain trading are operational at all times in all phases of trading (from opening to close of trading) </w:t>
      </w:r>
      <w:r>
        <w:rPr>
          <w:b/>
          <w:bCs/>
          <w:lang w:val="en-US"/>
        </w:rPr>
        <w:t xml:space="preserve">taking into account the factors cited in point 3 of Article 20. </w:t>
      </w:r>
      <w:proofErr w:type="gramStart"/>
      <w:r>
        <w:rPr>
          <w:strike/>
          <w:lang w:val="en-US"/>
        </w:rPr>
        <w:t>and</w:t>
      </w:r>
      <w:proofErr w:type="gramEnd"/>
      <w:r>
        <w:rPr>
          <w:strike/>
          <w:lang w:val="en-US"/>
        </w:rPr>
        <w:t>, to be informed where there is a significant price movement in a financial instrument traded on another trading venue where the same instrument is traded.</w:t>
      </w:r>
      <w:r>
        <w:rPr>
          <w:lang w:val="en-US"/>
        </w:rPr>
        <w:t xml:space="preserve"> </w:t>
      </w:r>
    </w:p>
    <w:p w:rsidR="00DE6671" w:rsidRDefault="00DE6671" w:rsidP="00DE6671">
      <w:pPr>
        <w:rPr>
          <w:color w:val="1F497D"/>
          <w:lang w:val="en-US"/>
        </w:rPr>
      </w:pPr>
    </w:p>
    <w:p w:rsidR="00DE6671" w:rsidRDefault="00DE6671" w:rsidP="00DE6671">
      <w:pPr>
        <w:rPr>
          <w:lang w:val="en-US"/>
        </w:rPr>
      </w:pPr>
      <w:r>
        <w:rPr>
          <w:lang w:val="en-US"/>
        </w:rPr>
        <w:t xml:space="preserve">8. Trading venues shall disclose on their </w:t>
      </w:r>
      <w:r>
        <w:rPr>
          <w:b/>
          <w:bCs/>
          <w:lang w:val="en-US"/>
        </w:rPr>
        <w:t>member/participant accessible</w:t>
      </w:r>
      <w:r>
        <w:rPr>
          <w:lang w:val="en-US"/>
        </w:rPr>
        <w:t xml:space="preserve"> websites the rules, policies and procedures relating to the operating conditions of the mechanisms to manage volatility. This obligation does not include the specific parameters of dynamic mechanisms to manage volatility.</w:t>
      </w:r>
    </w:p>
    <w:p w:rsidR="00DE6671" w:rsidRDefault="00DE6671" w:rsidP="00DE6671">
      <w:pPr>
        <w:rPr>
          <w:lang w:val="en-US"/>
        </w:rPr>
      </w:pPr>
    </w:p>
    <w:p w:rsidR="00DE6671" w:rsidRDefault="00DE6671" w:rsidP="00DE6671">
      <w:pPr>
        <w:jc w:val="center"/>
        <w:rPr>
          <w:b/>
          <w:bCs/>
          <w:i/>
          <w:iCs/>
          <w:lang w:val="en-US"/>
        </w:rPr>
      </w:pPr>
      <w:r>
        <w:rPr>
          <w:b/>
          <w:bCs/>
          <w:i/>
          <w:iCs/>
          <w:lang w:val="en-US"/>
        </w:rPr>
        <w:t>Article 21</w:t>
      </w:r>
    </w:p>
    <w:p w:rsidR="00DE6671" w:rsidRDefault="00DE6671" w:rsidP="00DE6671">
      <w:pPr>
        <w:jc w:val="center"/>
        <w:rPr>
          <w:b/>
          <w:bCs/>
          <w:i/>
          <w:iCs/>
          <w:lang w:val="en-US"/>
        </w:rPr>
      </w:pPr>
      <w:r>
        <w:rPr>
          <w:b/>
          <w:bCs/>
          <w:i/>
          <w:iCs/>
          <w:lang w:val="en-US"/>
        </w:rPr>
        <w:t>Pre-trade controls</w:t>
      </w:r>
    </w:p>
    <w:p w:rsidR="00DE6671" w:rsidRDefault="00DE6671" w:rsidP="00DE6671">
      <w:pPr>
        <w:rPr>
          <w:b/>
          <w:bCs/>
          <w:lang w:val="en-US"/>
        </w:rPr>
      </w:pPr>
      <w:r>
        <w:rPr>
          <w:lang w:val="en-US"/>
        </w:rPr>
        <w:t xml:space="preserve">1. Trading venues shall ensure that their members operate the pre-trade risk limits and controls described in the Regulation on the </w:t>
      </w:r>
      <w:proofErr w:type="spellStart"/>
      <w:r>
        <w:rPr>
          <w:lang w:val="en-US"/>
        </w:rPr>
        <w:t>organisational</w:t>
      </w:r>
      <w:proofErr w:type="spellEnd"/>
      <w:r>
        <w:rPr>
          <w:lang w:val="en-US"/>
        </w:rPr>
        <w:t xml:space="preserve"> requirements for investment firms engaged in algorithmic trading. Additionally, trading venues </w:t>
      </w:r>
      <w:proofErr w:type="spellStart"/>
      <w:r>
        <w:rPr>
          <w:strike/>
          <w:lang w:val="en-US"/>
        </w:rPr>
        <w:t>shall</w:t>
      </w:r>
      <w:r>
        <w:rPr>
          <w:b/>
          <w:bCs/>
          <w:lang w:val="en-US"/>
        </w:rPr>
        <w:t>should</w:t>
      </w:r>
      <w:proofErr w:type="spellEnd"/>
      <w:r>
        <w:rPr>
          <w:b/>
          <w:bCs/>
          <w:lang w:val="en-US"/>
        </w:rPr>
        <w:t xml:space="preserve"> determine using a risk-based approach and depending on the nature, scale and complexity of algorithmic activity prevalent on the venue whether any pre-trade controls appropriate to their market should be implemented.  </w:t>
      </w:r>
    </w:p>
    <w:p w:rsidR="00DE6671" w:rsidRDefault="00DE6671" w:rsidP="00DE6671">
      <w:pPr>
        <w:rPr>
          <w:strike/>
          <w:lang w:val="en-US"/>
        </w:rPr>
      </w:pPr>
      <w:r>
        <w:rPr>
          <w:lang w:val="en-US"/>
        </w:rPr>
        <w:t>(</w:t>
      </w:r>
      <w:r>
        <w:rPr>
          <w:strike/>
          <w:lang w:val="en-US"/>
        </w:rPr>
        <w:t xml:space="preserve">a) </w:t>
      </w:r>
      <w:proofErr w:type="gramStart"/>
      <w:r>
        <w:rPr>
          <w:strike/>
          <w:lang w:val="en-US"/>
        </w:rPr>
        <w:t>price</w:t>
      </w:r>
      <w:proofErr w:type="gramEnd"/>
      <w:r>
        <w:rPr>
          <w:strike/>
          <w:lang w:val="en-US"/>
        </w:rPr>
        <w:t xml:space="preserve"> collars which automatically block or cancel orders that do not meet set price parameters with respect to different financial instruments, both on an order-by-order basis and over a specified period of time</w:t>
      </w:r>
    </w:p>
    <w:p w:rsidR="00DE6671" w:rsidRDefault="00DE6671" w:rsidP="00DE6671">
      <w:pPr>
        <w:rPr>
          <w:strike/>
          <w:lang w:val="en-US"/>
        </w:rPr>
      </w:pPr>
      <w:r>
        <w:rPr>
          <w:strike/>
          <w:lang w:val="en-US"/>
        </w:rPr>
        <w:t>(b) maximum order value (fat-finger notional limits) which prevent orders with uncommonly large order values from entering order books by reference to notional values per financial instrument; and</w:t>
      </w:r>
    </w:p>
    <w:p w:rsidR="00DE6671" w:rsidRDefault="00DE6671" w:rsidP="00DE6671">
      <w:pPr>
        <w:rPr>
          <w:strike/>
          <w:lang w:val="en-US"/>
        </w:rPr>
      </w:pPr>
      <w:r>
        <w:rPr>
          <w:strike/>
          <w:lang w:val="en-US"/>
        </w:rPr>
        <w:lastRenderedPageBreak/>
        <w:t xml:space="preserve">(c) </w:t>
      </w:r>
      <w:proofErr w:type="gramStart"/>
      <w:r>
        <w:rPr>
          <w:strike/>
          <w:lang w:val="en-US"/>
        </w:rPr>
        <w:t>maximum</w:t>
      </w:r>
      <w:proofErr w:type="gramEnd"/>
      <w:r>
        <w:rPr>
          <w:strike/>
          <w:lang w:val="en-US"/>
        </w:rPr>
        <w:t xml:space="preserve"> order volume which prevent orders with an uncommonly large order size from entering order books by reference to limits set in shares or lots.</w:t>
      </w:r>
    </w:p>
    <w:p w:rsidR="00DE6671" w:rsidRDefault="00DE6671" w:rsidP="00DE6671">
      <w:pPr>
        <w:rPr>
          <w:color w:val="1F497D"/>
          <w:lang w:val="en-US"/>
        </w:rPr>
      </w:pPr>
    </w:p>
    <w:p w:rsidR="00DE6671" w:rsidRDefault="00DE6671" w:rsidP="00DE6671">
      <w:pPr>
        <w:jc w:val="center"/>
        <w:rPr>
          <w:b/>
          <w:bCs/>
          <w:i/>
          <w:iCs/>
          <w:lang w:val="en-US"/>
        </w:rPr>
      </w:pPr>
      <w:r>
        <w:rPr>
          <w:b/>
          <w:bCs/>
          <w:i/>
          <w:iCs/>
          <w:lang w:val="en-US"/>
        </w:rPr>
        <w:t>Article 23</w:t>
      </w:r>
    </w:p>
    <w:p w:rsidR="00DE6671" w:rsidRDefault="00DE6671" w:rsidP="00DE6671">
      <w:pPr>
        <w:jc w:val="center"/>
        <w:rPr>
          <w:b/>
          <w:bCs/>
          <w:i/>
          <w:iCs/>
          <w:lang w:val="en-US"/>
        </w:rPr>
      </w:pPr>
      <w:r>
        <w:rPr>
          <w:b/>
          <w:bCs/>
          <w:i/>
          <w:iCs/>
          <w:lang w:val="en-US"/>
        </w:rPr>
        <w:t>Pre-determination of the conditions to provide direct electronic access</w:t>
      </w:r>
    </w:p>
    <w:p w:rsidR="00FE1680" w:rsidRPr="0083191D" w:rsidRDefault="00DE6671" w:rsidP="00971408">
      <w:pPr>
        <w:rPr>
          <w:lang w:val="en-US"/>
        </w:rPr>
      </w:pPr>
      <w:r>
        <w:rPr>
          <w:lang w:val="en-US"/>
        </w:rPr>
        <w:t xml:space="preserve">1. Trading venues permitting direct electronic access (DEA) through their systems shall set out and make </w:t>
      </w:r>
      <w:r>
        <w:rPr>
          <w:strike/>
          <w:lang w:val="en-US"/>
        </w:rPr>
        <w:t>public</w:t>
      </w:r>
      <w:r>
        <w:rPr>
          <w:lang w:val="en-US"/>
        </w:rPr>
        <w:t xml:space="preserve"> </w:t>
      </w:r>
      <w:r>
        <w:rPr>
          <w:b/>
          <w:bCs/>
          <w:lang w:val="en-US"/>
        </w:rPr>
        <w:t>available to members and participants</w:t>
      </w:r>
      <w:r>
        <w:rPr>
          <w:lang w:val="en-US"/>
        </w:rPr>
        <w:t xml:space="preserve"> the rules and conditions pursuant to which their members may provide DEA to their own clients [DEA users]. These rules and conditions shall at least cover: […]</w:t>
      </w:r>
    </w:p>
    <w:permEnd w:id="10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67A59" w:rsidRDefault="00567A59" w:rsidP="00567A59">
      <w:permStart w:id="110" w:edGrp="everyone"/>
      <w:r>
        <w:rPr>
          <w:b/>
          <w:bCs/>
        </w:rPr>
        <w:t xml:space="preserve">Article 7 – </w:t>
      </w:r>
      <w:r>
        <w:t>Thomson Reuters is supportive of the rationale for maintaining adequate controls in an automated trading environment; however, we make the following points in respect of RTS14:</w:t>
      </w:r>
    </w:p>
    <w:p w:rsidR="00567A59" w:rsidRDefault="00567A59" w:rsidP="00567A59"/>
    <w:p w:rsidR="00567A59" w:rsidRDefault="00567A59" w:rsidP="00567A59">
      <w:r>
        <w:rPr>
          <w:b/>
          <w:bCs/>
        </w:rPr>
        <w:t>Outsourcing 1. (a)</w:t>
      </w:r>
      <w:r>
        <w:t xml:space="preserve">: In many markets the trading venue itself is operated and governed by a different legal entity than that of the legal owner of the system and its associated intellectual property itself.  Set-ups such as these are already considered acceptable evidenced by existing regulatory permissions granted by a national competent authority to the operating/governing entity, rather than to the entity owning the system itself.   Further clarification within the RTS that this provision does </w:t>
      </w:r>
      <w:r>
        <w:rPr>
          <w:u w:val="single"/>
        </w:rPr>
        <w:t>not</w:t>
      </w:r>
      <w:r>
        <w:t xml:space="preserve"> refer to such internal arrangements within the same corporate group is necessary to avoid any confusion in this respect.  We propose amending the RTS as follows:</w:t>
      </w:r>
    </w:p>
    <w:p w:rsidR="00567A59" w:rsidRDefault="00567A59" w:rsidP="00567A59">
      <w:pPr>
        <w:rPr>
          <w:color w:val="FF0000"/>
        </w:rPr>
      </w:pPr>
    </w:p>
    <w:p w:rsidR="00567A59" w:rsidRDefault="00567A59" w:rsidP="00567A59">
      <w:pPr>
        <w:jc w:val="center"/>
        <w:rPr>
          <w:b/>
          <w:bCs/>
          <w:i/>
          <w:iCs/>
        </w:rPr>
      </w:pPr>
      <w:r>
        <w:rPr>
          <w:b/>
          <w:bCs/>
          <w:i/>
          <w:iCs/>
        </w:rPr>
        <w:t>Article 7</w:t>
      </w:r>
    </w:p>
    <w:p w:rsidR="00567A59" w:rsidRDefault="00567A59" w:rsidP="00567A59">
      <w:pPr>
        <w:jc w:val="center"/>
        <w:rPr>
          <w:b/>
          <w:bCs/>
          <w:i/>
          <w:iCs/>
        </w:rPr>
      </w:pPr>
      <w:r>
        <w:rPr>
          <w:b/>
          <w:bCs/>
          <w:i/>
          <w:iCs/>
        </w:rPr>
        <w:t>Outsourcing</w:t>
      </w:r>
    </w:p>
    <w:p w:rsidR="00567A59" w:rsidRDefault="00567A59" w:rsidP="00567A59">
      <w:r>
        <w:t xml:space="preserve">1. If a trading venue outsources all or part of its operational functions, it shall ensure that: </w:t>
      </w:r>
    </w:p>
    <w:p w:rsidR="00577C33" w:rsidRPr="00E93415" w:rsidRDefault="00567A59" w:rsidP="00E93415">
      <w:pPr>
        <w:ind w:left="360"/>
        <w:rPr>
          <w:b/>
          <w:bCs/>
        </w:rPr>
      </w:pPr>
      <w:r>
        <w:t>(a) the outsourcing exclusively relate</w:t>
      </w:r>
      <w:r w:rsidRPr="00E93415">
        <w:rPr>
          <w:b/>
          <w:bCs/>
        </w:rPr>
        <w:t>s</w:t>
      </w:r>
      <w:r>
        <w:t xml:space="preserve"> to operational functions and does not encompass the responsibilities of the senior management and the management body of their responsibilities </w:t>
      </w:r>
      <w:r w:rsidRPr="00E93415">
        <w:rPr>
          <w:b/>
          <w:bCs/>
        </w:rPr>
        <w:t>except for internal intercompany outsourcing arrangements where the legal owner of the system and the operating</w:t>
      </w:r>
      <w:r w:rsidR="00296A93">
        <w:rPr>
          <w:b/>
          <w:bCs/>
        </w:rPr>
        <w:t>/managing</w:t>
      </w:r>
      <w:r w:rsidRPr="00E93415">
        <w:rPr>
          <w:b/>
          <w:bCs/>
        </w:rPr>
        <w:t xml:space="preserve"> entity are within the same corporate group</w:t>
      </w:r>
      <w:r>
        <w:t>;</w:t>
      </w:r>
    </w:p>
    <w:permEnd w:id="11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Pr="00567A59" w:rsidRDefault="00567A59" w:rsidP="00567A59">
      <w:pPr>
        <w:keepNext/>
        <w:ind w:left="360"/>
      </w:pPr>
      <w:permStart w:id="111" w:edGrp="everyone"/>
      <w:r>
        <w:t>TYPE YOUR TEXT HERE</w:t>
      </w:r>
    </w:p>
    <w:permEnd w:id="111"/>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lastRenderedPageBreak/>
        <w:t>&lt;ESMA_QUESTION_CP_MIFID_103&gt;</w:t>
      </w:r>
    </w:p>
    <w:p w:rsidR="00577C33" w:rsidRPr="00567A59" w:rsidRDefault="00567A59" w:rsidP="00567A59">
      <w:pPr>
        <w:keepNext/>
        <w:ind w:left="360"/>
      </w:pPr>
      <w:permStart w:id="112" w:edGrp="everyone"/>
      <w:r>
        <w:t>TYPE YOUR TEXT HERE</w:t>
      </w:r>
    </w:p>
    <w:permEnd w:id="112"/>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065729" w:rsidRDefault="00065729" w:rsidP="00065729">
      <w:pPr>
        <w:keepNext/>
        <w:rPr>
          <w:lang w:val="en-US"/>
        </w:rPr>
      </w:pPr>
      <w:permStart w:id="113" w:edGrp="everyone"/>
      <w:r>
        <w:t xml:space="preserve"> </w:t>
      </w:r>
      <w:r>
        <w:rPr>
          <w:lang w:val="en-US"/>
        </w:rPr>
        <w:t>We generally agree with the RTS but make the following observations:</w:t>
      </w:r>
    </w:p>
    <w:p w:rsidR="00065729" w:rsidRDefault="00065729" w:rsidP="00065729">
      <w:pPr>
        <w:pStyle w:val="CPQuestions"/>
        <w:numPr>
          <w:ilvl w:val="0"/>
          <w:numId w:val="35"/>
        </w:numPr>
        <w:outlineLvl w:val="9"/>
        <w:rPr>
          <w:b w:val="0"/>
          <w:lang w:val="en-US"/>
        </w:rPr>
      </w:pPr>
      <w:r>
        <w:rPr>
          <w:b w:val="0"/>
          <w:bCs/>
          <w:lang w:val="en-US"/>
        </w:rPr>
        <w:t>It is absolutely essential that the trading venue, and not the market maker, has the power to waive the market making obligation in exceptional circumstances. A trading venue has a responsibility to ensure fair and orderly markets, and this simply cannot be achieved if market makers have the ability to waive their obligations as they see fit.</w:t>
      </w:r>
    </w:p>
    <w:p w:rsidR="00065729" w:rsidRDefault="00065729" w:rsidP="00065729">
      <w:pPr>
        <w:pStyle w:val="CPQuestions"/>
        <w:numPr>
          <w:ilvl w:val="0"/>
          <w:numId w:val="35"/>
        </w:numPr>
        <w:outlineLvl w:val="9"/>
        <w:rPr>
          <w:b w:val="0"/>
          <w:bCs/>
          <w:lang w:val="en-US"/>
        </w:rPr>
      </w:pPr>
      <w:r>
        <w:rPr>
          <w:b w:val="0"/>
          <w:bCs/>
          <w:lang w:val="en-US"/>
        </w:rPr>
        <w:t>Trading venues should be able to retain the flexibility to determine the length of time that market makers are required to provide prices, and also to decide on what “competitive” means. This is especially important in a 24 hour market where the term competitive may differ (i.e. the spread) at different points of the day.</w:t>
      </w:r>
    </w:p>
    <w:p w:rsidR="00065729" w:rsidRDefault="00065729" w:rsidP="00065729">
      <w:pPr>
        <w:pStyle w:val="CPQuestions"/>
        <w:numPr>
          <w:ilvl w:val="0"/>
          <w:numId w:val="35"/>
        </w:numPr>
        <w:outlineLvl w:val="9"/>
        <w:rPr>
          <w:b w:val="0"/>
          <w:bCs/>
          <w:lang w:val="en-US"/>
        </w:rPr>
      </w:pPr>
      <w:r>
        <w:rPr>
          <w:b w:val="0"/>
          <w:bCs/>
          <w:lang w:val="en-US"/>
        </w:rPr>
        <w:t>Market making agreements should apply to a class of derivatives and not to individual instrument. Applying an agreement to individual instruments would not be appropriate for many non-equity markets, and would also rapidly become unworkable for other markets which have a large number of instruments, such as the bond market.</w:t>
      </w:r>
    </w:p>
    <w:permEnd w:id="11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Pr="007E38CA" w:rsidRDefault="007E38CA" w:rsidP="00EC2C93">
      <w:pPr>
        <w:keepNext/>
        <w:rPr>
          <w:lang w:val="en-US"/>
        </w:rPr>
      </w:pPr>
      <w:permStart w:id="114" w:edGrp="everyone"/>
      <w:r>
        <w:rPr>
          <w:lang w:val="en-US"/>
        </w:rPr>
        <w:t>We generally agree with this proposal but believe that clarity is required on what constitutes “daily trading hours”. We believe that this term should be defined by the trading venue in consideration of the characteristics of the market.</w:t>
      </w:r>
    </w:p>
    <w:permEnd w:id="11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Pr="00C554F5" w:rsidRDefault="00C554F5" w:rsidP="00EC2C93">
      <w:pPr>
        <w:keepNext/>
        <w:rPr>
          <w:lang w:val="en-US"/>
        </w:rPr>
      </w:pPr>
      <w:permStart w:id="115" w:edGrp="everyone"/>
      <w:r>
        <w:rPr>
          <w:lang w:val="en-US"/>
        </w:rPr>
        <w:t>We generally agree with this proposal but believe that clarity is required on what constitutes “daily trading hours”. We believe that this term should be defined by the trading venue in consideration of the characteristics of the market. We also believe that the trading venue should retain the ability to stipulate the period in which a market maker should provide liquidity, with 50% acting as a minimum requirement.</w:t>
      </w:r>
    </w:p>
    <w:permEnd w:id="11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lastRenderedPageBreak/>
        <w:t>&lt;ESMA_QUESTION_CP_MIFID_107&gt;</w:t>
      </w:r>
    </w:p>
    <w:p w:rsidR="00577C33" w:rsidRDefault="00577C33" w:rsidP="00EC2C93">
      <w:pPr>
        <w:keepNext/>
      </w:pPr>
      <w:permStart w:id="116" w:edGrp="everyone"/>
      <w:r>
        <w:t>TYPE YOUR TEXT HERE</w:t>
      </w:r>
    </w:p>
    <w:permEnd w:id="11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117" w:edGrp="everyone"/>
      <w:r>
        <w:t>TYPE YOUR TEXT HERE</w:t>
      </w:r>
    </w:p>
    <w:permEnd w:id="11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C554F5" w:rsidRDefault="00C554F5" w:rsidP="00A34EAE">
      <w:pPr>
        <w:pStyle w:val="ListParagraph"/>
      </w:pPr>
      <w:permStart w:id="118" w:edGrp="everyone"/>
      <w:r>
        <w:t>We strongly believe that the resilience and robustness of trading venues systems should be managed by the trading venue. We do not believe that the OTR should be used automatically to reduce a participant’s order flow.</w:t>
      </w:r>
    </w:p>
    <w:p w:rsidR="00C554F5" w:rsidRDefault="00C554F5" w:rsidP="00A34EAE">
      <w:pPr>
        <w:pStyle w:val="ListParagraph"/>
      </w:pPr>
      <w:r>
        <w:t>Trading venues are obligated, in Article 48, to ensure the capacity of their systems. Indeed they are required to ensure that the system’s capacity can handle twice the maximum historic values recorded within the system.</w:t>
      </w:r>
      <w:r w:rsidR="00760B3C">
        <w:t xml:space="preserve"> However, in our response to Q100 we proposed that a five year historic peak would be more appropriate.</w:t>
      </w:r>
    </w:p>
    <w:p w:rsidR="00577C33" w:rsidRDefault="00C554F5" w:rsidP="00A34EAE">
      <w:pPr>
        <w:pStyle w:val="ListParagraph"/>
      </w:pPr>
      <w:r>
        <w:t>We therefore believe that trading venues should have the ability to impose an OTR where they believe that a participant is submitting significant message flows inappropriately, but that the OTR should not be used as a blanket measure to control message flows.</w:t>
      </w:r>
    </w:p>
    <w:permEnd w:id="11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19" w:edGrp="everyone"/>
      <w:r>
        <w:t>TYPE YOUR TEXT HERE</w:t>
      </w:r>
    </w:p>
    <w:permEnd w:id="11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20" w:edGrp="everyone"/>
      <w:r>
        <w:t>TYPE YOUR TEXT HERE</w:t>
      </w:r>
    </w:p>
    <w:permEnd w:id="12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21" w:edGrp="everyone"/>
      <w:r>
        <w:t>TYPE YOUR TEXT HERE</w:t>
      </w:r>
    </w:p>
    <w:permEnd w:id="12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lastRenderedPageBreak/>
        <w:t>&lt;ESMA_QUESTION_CP_MIFID_113&gt;</w:t>
      </w:r>
    </w:p>
    <w:p w:rsidR="00577C33" w:rsidRDefault="00577C33" w:rsidP="00EC2C93">
      <w:pPr>
        <w:keepNext/>
      </w:pPr>
      <w:permStart w:id="122" w:edGrp="everyone"/>
      <w:r>
        <w:t>TYPE YOUR TEXT HERE</w:t>
      </w:r>
    </w:p>
    <w:permEnd w:id="12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23" w:edGrp="everyone"/>
      <w:r>
        <w:t>TYPE YOUR TEXT HERE</w:t>
      </w:r>
    </w:p>
    <w:permEnd w:id="12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24" w:edGrp="everyone"/>
      <w:r>
        <w:t>TYPE YOUR TEXT HERE</w:t>
      </w:r>
    </w:p>
    <w:permEnd w:id="12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230F50" w:rsidRDefault="00230F50" w:rsidP="00230F50">
      <w:pPr>
        <w:keepNext/>
        <w:rPr>
          <w:lang w:val="en-US"/>
        </w:rPr>
      </w:pPr>
      <w:permStart w:id="125" w:edGrp="everyone"/>
      <w:r>
        <w:rPr>
          <w:lang w:val="en-US"/>
        </w:rPr>
        <w:t>We generally agree with the proposals in RTS 17 on the requirements for co-location.</w:t>
      </w:r>
    </w:p>
    <w:p w:rsidR="00230F50" w:rsidRDefault="00230F50" w:rsidP="00230F50">
      <w:pPr>
        <w:keepNext/>
        <w:rPr>
          <w:lang w:val="en-US"/>
        </w:rPr>
      </w:pPr>
    </w:p>
    <w:p w:rsidR="00230F50" w:rsidRDefault="00230F50" w:rsidP="00230F50">
      <w:pPr>
        <w:keepNext/>
        <w:rPr>
          <w:lang w:val="en-US"/>
        </w:rPr>
      </w:pPr>
      <w:r>
        <w:rPr>
          <w:lang w:val="en-US"/>
        </w:rPr>
        <w:t>However, we do not believe that Article 2(5) will always be feasible. This is because, in order to monitor all connections and latency measurements, the trading venue would need to install proprietary software into a client’s server – which the client will often be resistant to because they will need to give up a measure of control over the operations of that box.</w:t>
      </w:r>
    </w:p>
    <w:p w:rsidR="00230F50" w:rsidRDefault="00230F50" w:rsidP="00230F50">
      <w:pPr>
        <w:keepNext/>
        <w:rPr>
          <w:lang w:val="en-US"/>
        </w:rPr>
      </w:pPr>
    </w:p>
    <w:p w:rsidR="00230F50" w:rsidRDefault="00230F50" w:rsidP="00230F50">
      <w:pPr>
        <w:keepNext/>
        <w:rPr>
          <w:lang w:val="en-US"/>
        </w:rPr>
      </w:pPr>
      <w:r>
        <w:rPr>
          <w:lang w:val="en-US"/>
        </w:rPr>
        <w:t>We therefore believe that Article 2(5) of RTS 17 should be redrafted as follows:</w:t>
      </w:r>
    </w:p>
    <w:p w:rsidR="00230F50" w:rsidRDefault="00230F50" w:rsidP="00230F50">
      <w:pPr>
        <w:keepNext/>
        <w:rPr>
          <w:lang w:val="en-US"/>
        </w:rPr>
      </w:pPr>
    </w:p>
    <w:p w:rsidR="00230F50" w:rsidRDefault="00230F50" w:rsidP="00230F50">
      <w:pPr>
        <w:pStyle w:val="Default"/>
        <w:jc w:val="center"/>
        <w:rPr>
          <w:i/>
          <w:iCs/>
          <w:sz w:val="22"/>
          <w:szCs w:val="22"/>
        </w:rPr>
      </w:pPr>
      <w:r>
        <w:rPr>
          <w:i/>
          <w:iCs/>
          <w:sz w:val="22"/>
          <w:szCs w:val="22"/>
        </w:rPr>
        <w:t>CHAPTER II</w:t>
      </w:r>
    </w:p>
    <w:p w:rsidR="00230F50" w:rsidRDefault="00230F50" w:rsidP="00230F50">
      <w:pPr>
        <w:pStyle w:val="Default"/>
        <w:jc w:val="center"/>
        <w:rPr>
          <w:i/>
          <w:iCs/>
          <w:sz w:val="22"/>
          <w:szCs w:val="22"/>
        </w:rPr>
      </w:pPr>
      <w:r>
        <w:rPr>
          <w:b/>
          <w:bCs/>
          <w:i/>
          <w:iCs/>
          <w:sz w:val="22"/>
          <w:szCs w:val="22"/>
        </w:rPr>
        <w:t>Co-location services</w:t>
      </w:r>
    </w:p>
    <w:p w:rsidR="00230F50" w:rsidRDefault="00230F50" w:rsidP="00230F50">
      <w:pPr>
        <w:pStyle w:val="Default"/>
        <w:jc w:val="center"/>
        <w:rPr>
          <w:i/>
          <w:iCs/>
          <w:sz w:val="22"/>
          <w:szCs w:val="22"/>
        </w:rPr>
      </w:pPr>
      <w:r>
        <w:rPr>
          <w:i/>
          <w:iCs/>
          <w:sz w:val="22"/>
          <w:szCs w:val="22"/>
        </w:rPr>
        <w:t>Article 2</w:t>
      </w:r>
    </w:p>
    <w:p w:rsidR="00230F50" w:rsidRDefault="00230F50" w:rsidP="00230F50">
      <w:pPr>
        <w:pStyle w:val="Default"/>
        <w:jc w:val="center"/>
        <w:rPr>
          <w:i/>
          <w:iCs/>
          <w:sz w:val="22"/>
          <w:szCs w:val="22"/>
        </w:rPr>
      </w:pPr>
      <w:r>
        <w:rPr>
          <w:b/>
          <w:bCs/>
          <w:i/>
          <w:iCs/>
          <w:sz w:val="22"/>
          <w:szCs w:val="22"/>
        </w:rPr>
        <w:t>Fair and non-discriminatory co-location services</w:t>
      </w:r>
    </w:p>
    <w:p w:rsidR="00230F50" w:rsidRDefault="00230F50" w:rsidP="00230F50">
      <w:pPr>
        <w:pStyle w:val="Default"/>
      </w:pPr>
    </w:p>
    <w:p w:rsidR="00577C33" w:rsidRDefault="00230F50" w:rsidP="00EC2C93">
      <w:pPr>
        <w:keepNext/>
      </w:pPr>
      <w:r>
        <w:rPr>
          <w:i/>
          <w:iCs/>
          <w:szCs w:val="22"/>
        </w:rPr>
        <w:t xml:space="preserve">5. A trading venue shall </w:t>
      </w:r>
      <w:r>
        <w:rPr>
          <w:b/>
          <w:bCs/>
          <w:i/>
          <w:iCs/>
          <w:szCs w:val="22"/>
        </w:rPr>
        <w:t xml:space="preserve">make all reasonable efforts to </w:t>
      </w:r>
      <w:r>
        <w:rPr>
          <w:i/>
          <w:iCs/>
          <w:szCs w:val="22"/>
        </w:rPr>
        <w:t>monitor all connections and latency measurements to ensure the non-discriminatory treatment of any of the users according to the different types of latency provided.</w:t>
      </w:r>
    </w:p>
    <w:permEnd w:id="12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230F50" w:rsidRDefault="00230F50" w:rsidP="00230F50">
      <w:pPr>
        <w:keepNext/>
        <w:rPr>
          <w:lang w:val="en-US"/>
        </w:rPr>
      </w:pPr>
      <w:permStart w:id="126" w:edGrp="everyone"/>
      <w:r>
        <w:rPr>
          <w:lang w:val="en-US"/>
        </w:rPr>
        <w:t>We agree with most of the provisions in RTS 17 regarding fee structures. However, we do not believe that cliff edge pricing should be banned.</w:t>
      </w:r>
    </w:p>
    <w:p w:rsidR="00230F50" w:rsidRDefault="00230F50" w:rsidP="00230F50">
      <w:pPr>
        <w:keepNext/>
        <w:rPr>
          <w:lang w:val="en-US"/>
        </w:rPr>
      </w:pPr>
    </w:p>
    <w:p w:rsidR="00230F50" w:rsidRDefault="00230F50" w:rsidP="00230F50">
      <w:pPr>
        <w:keepNext/>
        <w:rPr>
          <w:lang w:val="en-US"/>
        </w:rPr>
      </w:pPr>
      <w:r>
        <w:rPr>
          <w:lang w:val="en-US"/>
        </w:rPr>
        <w:t xml:space="preserve">It is the responsibility of the trading venue to ensure that its systems are appropriately resilient to deal with spikes in message flows and to ensure that the system’s capacity can </w:t>
      </w:r>
      <w:r>
        <w:rPr>
          <w:lang w:val="en-US"/>
        </w:rPr>
        <w:lastRenderedPageBreak/>
        <w:t>handle twice historic maximum flows. We therefore believe that banning cliff edge pricing in an effort to protect market infrastructure from spike in volumes that may occur where a participant attempts to breach a size threshold is unnecessary.</w:t>
      </w:r>
    </w:p>
    <w:p w:rsidR="00230F50" w:rsidRDefault="00230F50" w:rsidP="00230F50">
      <w:pPr>
        <w:keepNext/>
        <w:rPr>
          <w:lang w:val="en-US"/>
        </w:rPr>
      </w:pPr>
    </w:p>
    <w:p w:rsidR="00230F50" w:rsidRDefault="00230F50" w:rsidP="00230F50">
      <w:pPr>
        <w:keepNext/>
        <w:rPr>
          <w:lang w:val="en-US"/>
        </w:rPr>
      </w:pPr>
      <w:r>
        <w:rPr>
          <w:lang w:val="en-US"/>
        </w:rPr>
        <w:t>We also believe that banning cliff edge pricing is inappropriate. Trading venues should be free to design their own commercial polices so long as they are based on objective, transparent and non-discriminatory criteria. Removing the ability for a trading venue to choose to apply cliff edge pricing fundamentally runs counter to this principle.</w:t>
      </w:r>
    </w:p>
    <w:p w:rsidR="00230F50" w:rsidRDefault="00230F50" w:rsidP="00230F50">
      <w:pPr>
        <w:keepNext/>
        <w:rPr>
          <w:lang w:val="en-US"/>
        </w:rPr>
      </w:pPr>
    </w:p>
    <w:p w:rsidR="00230F50" w:rsidRDefault="00230F50" w:rsidP="00230F50">
      <w:pPr>
        <w:keepNext/>
        <w:rPr>
          <w:lang w:val="en-US"/>
        </w:rPr>
      </w:pPr>
      <w:r>
        <w:rPr>
          <w:lang w:val="en-US"/>
        </w:rPr>
        <w:t xml:space="preserve">We therefore believe that Recital 7 and Article 5 of RTS 17 should be deleted in their entirety. </w:t>
      </w:r>
    </w:p>
    <w:p w:rsidR="00230F50" w:rsidRDefault="00230F50" w:rsidP="00230F50">
      <w:pPr>
        <w:keepNext/>
        <w:rPr>
          <w:lang w:val="en-US"/>
        </w:rPr>
      </w:pPr>
    </w:p>
    <w:p w:rsidR="00230F50" w:rsidRDefault="00230F50" w:rsidP="00230F50">
      <w:pPr>
        <w:pStyle w:val="Default"/>
        <w:jc w:val="center"/>
        <w:rPr>
          <w:b/>
          <w:bCs/>
          <w:i/>
          <w:iCs/>
          <w:sz w:val="22"/>
          <w:szCs w:val="22"/>
        </w:rPr>
      </w:pPr>
      <w:r>
        <w:rPr>
          <w:b/>
          <w:bCs/>
          <w:i/>
          <w:iCs/>
          <w:sz w:val="22"/>
          <w:szCs w:val="22"/>
        </w:rPr>
        <w:t>Recital 7</w:t>
      </w:r>
    </w:p>
    <w:p w:rsidR="00230F50" w:rsidRDefault="00230F50" w:rsidP="00230F50">
      <w:pPr>
        <w:pStyle w:val="Default"/>
        <w:rPr>
          <w:i/>
          <w:iCs/>
          <w:strike/>
          <w:sz w:val="22"/>
          <w:szCs w:val="22"/>
        </w:rPr>
      </w:pPr>
      <w:r>
        <w:rPr>
          <w:i/>
          <w:iCs/>
          <w:strike/>
          <w:sz w:val="22"/>
          <w:szCs w:val="22"/>
        </w:rPr>
        <w:t xml:space="preserve">(7) The practice of 'cliff edge' pricing is to be explicitly banned as it may encourage intensive trading before a certain time limit to reach a threshold or to obtain a higher market share, leading to a potential stress of market infrastructures. </w:t>
      </w:r>
    </w:p>
    <w:p w:rsidR="00230F50" w:rsidRDefault="00230F50" w:rsidP="00230F50">
      <w:pPr>
        <w:keepNext/>
        <w:rPr>
          <w:szCs w:val="22"/>
          <w:lang w:val="en-US"/>
        </w:rPr>
      </w:pPr>
    </w:p>
    <w:p w:rsidR="00230F50" w:rsidRDefault="00230F50" w:rsidP="00230F50">
      <w:pPr>
        <w:pStyle w:val="Default"/>
      </w:pPr>
    </w:p>
    <w:p w:rsidR="00230F50" w:rsidRDefault="00230F50" w:rsidP="00230F50">
      <w:pPr>
        <w:pStyle w:val="Default"/>
        <w:jc w:val="center"/>
        <w:rPr>
          <w:i/>
          <w:iCs/>
          <w:sz w:val="22"/>
          <w:szCs w:val="22"/>
        </w:rPr>
      </w:pPr>
      <w:r>
        <w:rPr>
          <w:i/>
          <w:iCs/>
          <w:sz w:val="22"/>
          <w:szCs w:val="22"/>
        </w:rPr>
        <w:t xml:space="preserve">CHAPTER IV </w:t>
      </w:r>
    </w:p>
    <w:p w:rsidR="00230F50" w:rsidRDefault="00230F50" w:rsidP="00230F50">
      <w:pPr>
        <w:pStyle w:val="Default"/>
        <w:jc w:val="center"/>
        <w:rPr>
          <w:b/>
          <w:bCs/>
          <w:i/>
          <w:iCs/>
          <w:sz w:val="22"/>
          <w:szCs w:val="22"/>
        </w:rPr>
      </w:pPr>
      <w:r>
        <w:rPr>
          <w:b/>
          <w:bCs/>
          <w:i/>
          <w:iCs/>
          <w:sz w:val="22"/>
          <w:szCs w:val="22"/>
        </w:rPr>
        <w:t xml:space="preserve">Fee structures that may create incentives for disorderly trading </w:t>
      </w:r>
    </w:p>
    <w:p w:rsidR="00230F50" w:rsidRDefault="00230F50" w:rsidP="00230F50">
      <w:pPr>
        <w:pStyle w:val="Default"/>
        <w:jc w:val="center"/>
        <w:rPr>
          <w:i/>
          <w:iCs/>
          <w:strike/>
          <w:sz w:val="22"/>
          <w:szCs w:val="22"/>
        </w:rPr>
      </w:pPr>
      <w:r>
        <w:rPr>
          <w:i/>
          <w:iCs/>
          <w:strike/>
          <w:sz w:val="22"/>
          <w:szCs w:val="22"/>
        </w:rPr>
        <w:t xml:space="preserve">Article 5 </w:t>
      </w:r>
    </w:p>
    <w:p w:rsidR="00230F50" w:rsidRDefault="00230F50" w:rsidP="00230F50">
      <w:pPr>
        <w:pStyle w:val="Default"/>
        <w:jc w:val="center"/>
        <w:rPr>
          <w:b/>
          <w:bCs/>
          <w:i/>
          <w:iCs/>
          <w:strike/>
          <w:sz w:val="22"/>
          <w:szCs w:val="22"/>
        </w:rPr>
      </w:pPr>
      <w:r>
        <w:rPr>
          <w:b/>
          <w:bCs/>
          <w:i/>
          <w:iCs/>
          <w:strike/>
          <w:sz w:val="22"/>
          <w:szCs w:val="22"/>
        </w:rPr>
        <w:t xml:space="preserve">General </w:t>
      </w:r>
    </w:p>
    <w:p w:rsidR="00230F50" w:rsidRDefault="00230F50" w:rsidP="00230F50">
      <w:pPr>
        <w:keepNext/>
        <w:rPr>
          <w:strike/>
          <w:szCs w:val="22"/>
          <w:lang w:val="en-US"/>
        </w:rPr>
      </w:pPr>
    </w:p>
    <w:p w:rsidR="00577C33" w:rsidRPr="00230F50" w:rsidRDefault="00230F50" w:rsidP="00EC2C93">
      <w:pPr>
        <w:keepNext/>
        <w:rPr>
          <w:rFonts w:ascii="Arial" w:hAnsi="Arial" w:cs="Arial"/>
          <w:i/>
          <w:iCs/>
          <w:strike/>
          <w:color w:val="000000"/>
          <w:lang w:val="en-US"/>
        </w:rPr>
      </w:pPr>
      <w:r>
        <w:rPr>
          <w:rFonts w:ascii="Arial" w:hAnsi="Arial" w:cs="Arial"/>
          <w:i/>
          <w:iCs/>
          <w:strike/>
          <w:color w:val="000000"/>
          <w:lang w:val="en-US"/>
        </w:rPr>
        <w:t>A trading venue shall not use a fee structure where, upon reaching a certain threshold of total trading volume, the total number of trades or the cumulated trading fees generated by a trader benefit from a discount including those trades already executed.</w:t>
      </w:r>
    </w:p>
    <w:permEnd w:id="12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27" w:edGrp="everyone"/>
      <w:r>
        <w:t>TYPE YOUR TEXT HERE</w:t>
      </w:r>
    </w:p>
    <w:permEnd w:id="12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28" w:edGrp="everyone"/>
      <w:r>
        <w:t>TYPE YOUR TEXT HERE</w:t>
      </w:r>
    </w:p>
    <w:permEnd w:id="12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29" w:edGrp="everyone"/>
      <w:r>
        <w:t>TYPE YOUR TEXT HERE</w:t>
      </w:r>
    </w:p>
    <w:permEnd w:id="12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lastRenderedPageBreak/>
        <w:t>&lt;ESMA_QUESTION_CP_MIFID_121&gt;</w:t>
      </w:r>
    </w:p>
    <w:p w:rsidR="00577C33" w:rsidRDefault="00577C33" w:rsidP="00EC2C93">
      <w:pPr>
        <w:keepNext/>
      </w:pPr>
      <w:permStart w:id="130" w:edGrp="everyone"/>
      <w:r>
        <w:t>TYPE YOUR TEXT HERE</w:t>
      </w:r>
    </w:p>
    <w:permEnd w:id="13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065729" w:rsidRDefault="00065729" w:rsidP="00065729">
      <w:pPr>
        <w:keepNext/>
        <w:rPr>
          <w:lang w:val="en-US"/>
        </w:rPr>
      </w:pPr>
      <w:permStart w:id="131" w:edGrp="everyone"/>
      <w:r>
        <w:rPr>
          <w:lang w:val="en-US"/>
        </w:rPr>
        <w:t>We believe that the distinction between volume discounts and cliff edge pricing in RTS 17 are sufficiently clear.</w:t>
      </w:r>
    </w:p>
    <w:p w:rsidR="00065729" w:rsidRDefault="00065729" w:rsidP="00065729">
      <w:pPr>
        <w:keepNext/>
        <w:rPr>
          <w:lang w:val="en-US"/>
        </w:rPr>
      </w:pPr>
    </w:p>
    <w:p w:rsidR="00065729" w:rsidRDefault="00065729" w:rsidP="00065729">
      <w:pPr>
        <w:keepNext/>
        <w:rPr>
          <w:lang w:val="en-US"/>
        </w:rPr>
      </w:pPr>
      <w:r>
        <w:rPr>
          <w:lang w:val="en-US"/>
        </w:rPr>
        <w:t>However we do not believe that cliff edge pricing should be banned.</w:t>
      </w:r>
    </w:p>
    <w:p w:rsidR="00065729" w:rsidRDefault="00065729" w:rsidP="00065729">
      <w:pPr>
        <w:keepNext/>
        <w:rPr>
          <w:lang w:val="en-US"/>
        </w:rPr>
      </w:pPr>
    </w:p>
    <w:p w:rsidR="00065729" w:rsidRDefault="00065729" w:rsidP="00065729">
      <w:pPr>
        <w:keepNext/>
        <w:rPr>
          <w:lang w:val="en-US"/>
        </w:rPr>
      </w:pPr>
      <w:r>
        <w:rPr>
          <w:lang w:val="en-US"/>
        </w:rPr>
        <w:t>It is the responsibility of the trading venue to ensure that its systems are appropriately resilient to deal with spikes in message flows and to ensure that the system’s capacity can handle twice historic maximum flows. We therefore believe that banning cliff edge pricing in an effort to protect market infrastructure from spike in volumes that may occur where a participant attempts to breach a size threshold is unnecessary.</w:t>
      </w:r>
    </w:p>
    <w:p w:rsidR="00065729" w:rsidRDefault="00065729" w:rsidP="00065729">
      <w:pPr>
        <w:keepNext/>
        <w:rPr>
          <w:lang w:val="en-US"/>
        </w:rPr>
      </w:pPr>
    </w:p>
    <w:p w:rsidR="00065729" w:rsidRDefault="00065729" w:rsidP="00065729">
      <w:pPr>
        <w:keepNext/>
        <w:rPr>
          <w:lang w:val="en-US"/>
        </w:rPr>
      </w:pPr>
      <w:r>
        <w:rPr>
          <w:lang w:val="en-US"/>
        </w:rPr>
        <w:t>We also believe that banning cliff edge pricing is inappropriate. Trading venues should be free to design their own commercial polices so long as they are based on objective, transparent and non-discriminatory criteria. Removing the ability for a trading venue to choose to apply cliff edge pricing fundamentally runs counter to this principle.</w:t>
      </w:r>
    </w:p>
    <w:p w:rsidR="00065729" w:rsidRDefault="00065729" w:rsidP="00065729">
      <w:pPr>
        <w:keepNext/>
        <w:rPr>
          <w:lang w:val="en-US"/>
        </w:rPr>
      </w:pPr>
    </w:p>
    <w:p w:rsidR="00065729" w:rsidRDefault="00065729" w:rsidP="00065729">
      <w:pPr>
        <w:keepNext/>
        <w:rPr>
          <w:lang w:val="en-US"/>
        </w:rPr>
      </w:pPr>
      <w:r>
        <w:rPr>
          <w:lang w:val="en-US"/>
        </w:rPr>
        <w:t xml:space="preserve">We therefore believe that Recital 7 and Article 5 of RTS 17 should be deleted in their entirety. </w:t>
      </w:r>
    </w:p>
    <w:p w:rsidR="00065729" w:rsidRDefault="00065729" w:rsidP="00065729">
      <w:pPr>
        <w:keepNext/>
        <w:rPr>
          <w:lang w:val="en-US"/>
        </w:rPr>
      </w:pPr>
    </w:p>
    <w:p w:rsidR="00065729" w:rsidRDefault="00065729" w:rsidP="00065729">
      <w:pPr>
        <w:pStyle w:val="Default"/>
        <w:jc w:val="center"/>
        <w:rPr>
          <w:b/>
          <w:bCs/>
          <w:i/>
          <w:iCs/>
          <w:sz w:val="22"/>
          <w:szCs w:val="22"/>
        </w:rPr>
      </w:pPr>
      <w:r>
        <w:rPr>
          <w:b/>
          <w:bCs/>
          <w:i/>
          <w:iCs/>
          <w:sz w:val="22"/>
          <w:szCs w:val="22"/>
        </w:rPr>
        <w:t>Recital 7</w:t>
      </w:r>
    </w:p>
    <w:p w:rsidR="00065729" w:rsidRDefault="00065729" w:rsidP="00065729">
      <w:pPr>
        <w:pStyle w:val="Default"/>
        <w:rPr>
          <w:i/>
          <w:iCs/>
          <w:strike/>
          <w:sz w:val="22"/>
          <w:szCs w:val="22"/>
        </w:rPr>
      </w:pPr>
      <w:r>
        <w:rPr>
          <w:i/>
          <w:iCs/>
          <w:strike/>
          <w:sz w:val="22"/>
          <w:szCs w:val="22"/>
        </w:rPr>
        <w:t xml:space="preserve">(7) The practice of 'cliff edge' pricing is to be explicitly banned as it may encourage intensive trading before a certain time limit to reach a threshold or to obtain a higher market share, leading to a potential stress of market infrastructures. </w:t>
      </w:r>
    </w:p>
    <w:p w:rsidR="00065729" w:rsidRDefault="00065729" w:rsidP="00065729">
      <w:pPr>
        <w:keepNext/>
        <w:rPr>
          <w:szCs w:val="22"/>
          <w:lang w:val="en-US"/>
        </w:rPr>
      </w:pPr>
    </w:p>
    <w:p w:rsidR="00065729" w:rsidRDefault="00065729" w:rsidP="00065729">
      <w:pPr>
        <w:pStyle w:val="Default"/>
      </w:pPr>
    </w:p>
    <w:p w:rsidR="00065729" w:rsidRDefault="00065729" w:rsidP="00065729">
      <w:pPr>
        <w:pStyle w:val="Default"/>
        <w:jc w:val="center"/>
        <w:rPr>
          <w:i/>
          <w:iCs/>
          <w:sz w:val="22"/>
          <w:szCs w:val="22"/>
        </w:rPr>
      </w:pPr>
      <w:r>
        <w:rPr>
          <w:i/>
          <w:iCs/>
          <w:sz w:val="22"/>
          <w:szCs w:val="22"/>
        </w:rPr>
        <w:t xml:space="preserve">CHAPTER IV </w:t>
      </w:r>
    </w:p>
    <w:p w:rsidR="00065729" w:rsidRDefault="00065729" w:rsidP="00065729">
      <w:pPr>
        <w:pStyle w:val="Default"/>
        <w:jc w:val="center"/>
        <w:rPr>
          <w:b/>
          <w:bCs/>
          <w:i/>
          <w:iCs/>
          <w:sz w:val="22"/>
          <w:szCs w:val="22"/>
        </w:rPr>
      </w:pPr>
      <w:r>
        <w:rPr>
          <w:b/>
          <w:bCs/>
          <w:i/>
          <w:iCs/>
          <w:sz w:val="22"/>
          <w:szCs w:val="22"/>
        </w:rPr>
        <w:t xml:space="preserve">Fee structures that may create incentives for disorderly trading </w:t>
      </w:r>
    </w:p>
    <w:p w:rsidR="00065729" w:rsidRDefault="00065729" w:rsidP="00065729">
      <w:pPr>
        <w:pStyle w:val="Default"/>
        <w:jc w:val="center"/>
        <w:rPr>
          <w:i/>
          <w:iCs/>
          <w:strike/>
          <w:sz w:val="22"/>
          <w:szCs w:val="22"/>
        </w:rPr>
      </w:pPr>
      <w:r>
        <w:rPr>
          <w:i/>
          <w:iCs/>
          <w:strike/>
          <w:sz w:val="22"/>
          <w:szCs w:val="22"/>
        </w:rPr>
        <w:t xml:space="preserve">Article 5 </w:t>
      </w:r>
    </w:p>
    <w:p w:rsidR="00065729" w:rsidRDefault="00065729" w:rsidP="00065729">
      <w:pPr>
        <w:pStyle w:val="Default"/>
        <w:jc w:val="center"/>
        <w:rPr>
          <w:b/>
          <w:bCs/>
          <w:i/>
          <w:iCs/>
          <w:strike/>
          <w:sz w:val="22"/>
          <w:szCs w:val="22"/>
        </w:rPr>
      </w:pPr>
      <w:r>
        <w:rPr>
          <w:b/>
          <w:bCs/>
          <w:i/>
          <w:iCs/>
          <w:strike/>
          <w:sz w:val="22"/>
          <w:szCs w:val="22"/>
        </w:rPr>
        <w:t xml:space="preserve">General </w:t>
      </w:r>
    </w:p>
    <w:p w:rsidR="00065729" w:rsidRDefault="00065729" w:rsidP="00065729">
      <w:pPr>
        <w:keepNext/>
        <w:rPr>
          <w:strike/>
          <w:szCs w:val="22"/>
          <w:lang w:val="en-US"/>
        </w:rPr>
      </w:pPr>
    </w:p>
    <w:p w:rsidR="00577C33" w:rsidRPr="00065729" w:rsidRDefault="00065729" w:rsidP="00EC2C93">
      <w:pPr>
        <w:keepNext/>
        <w:rPr>
          <w:rFonts w:ascii="Arial" w:hAnsi="Arial" w:cs="Arial"/>
          <w:i/>
          <w:iCs/>
          <w:strike/>
          <w:color w:val="000000"/>
          <w:lang w:val="en-US"/>
        </w:rPr>
      </w:pPr>
      <w:r>
        <w:rPr>
          <w:rFonts w:ascii="Arial" w:hAnsi="Arial" w:cs="Arial"/>
          <w:i/>
          <w:iCs/>
          <w:strike/>
          <w:color w:val="000000"/>
          <w:lang w:val="en-US"/>
        </w:rPr>
        <w:t>A trading venue shall not use a fee structure where, upon reaching a certain threshold of total trading volume, the total number of trades or the cumulated trading fees generated by a trader benefit from a discount including those trades already executed.</w:t>
      </w:r>
    </w:p>
    <w:permEnd w:id="131"/>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32" w:edGrp="everyone"/>
      <w:r>
        <w:t>TYPE YOUR TEXT HERE</w:t>
      </w:r>
    </w:p>
    <w:permEnd w:id="13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33" w:edGrp="everyone"/>
      <w:r>
        <w:t>TYPE YOUR TEXT HERE</w:t>
      </w:r>
    </w:p>
    <w:permEnd w:id="133"/>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34" w:edGrp="everyone"/>
      <w:r>
        <w:t>TYPE YOUR TEXT HERE</w:t>
      </w:r>
    </w:p>
    <w:permEnd w:id="13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35" w:edGrp="everyone"/>
      <w:r>
        <w:t>TYPE YOUR TEXT HERE</w:t>
      </w:r>
    </w:p>
    <w:permEnd w:id="13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36" w:edGrp="everyone"/>
      <w:r>
        <w:t>TYPE YOUR TEXT HERE</w:t>
      </w:r>
    </w:p>
    <w:permEnd w:id="13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37" w:edGrp="everyone"/>
      <w:r>
        <w:t>TYPE YOUR TEXT HERE</w:t>
      </w:r>
    </w:p>
    <w:permEnd w:id="13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38" w:edGrp="everyone"/>
      <w:r>
        <w:t>TYPE YOUR TEXT HERE</w:t>
      </w:r>
    </w:p>
    <w:permEnd w:id="13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39" w:edGrp="everyone"/>
      <w:r>
        <w:t>TYPE YOUR TEXT HERE</w:t>
      </w:r>
    </w:p>
    <w:permEnd w:id="13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40" w:edGrp="everyone"/>
      <w:r>
        <w:t>TYPE YOUR TEXT HERE</w:t>
      </w:r>
    </w:p>
    <w:permEnd w:id="140"/>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41" w:edGrp="everyone"/>
      <w:r>
        <w:t>TYPE YOUR TEXT HERE</w:t>
      </w:r>
    </w:p>
    <w:permEnd w:id="14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42" w:edGrp="everyone"/>
      <w:r>
        <w:t>TYPE YOUR TEXT HERE</w:t>
      </w:r>
    </w:p>
    <w:permEnd w:id="14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811DF" w:rsidP="00EC2C93">
      <w:pPr>
        <w:keepNext/>
      </w:pPr>
      <w:permStart w:id="143" w:edGrp="everyone"/>
      <w:r>
        <w:t>We agree that this proposal seems reasonable and in line with the remit and responsibilities of the relevant competent authority. However, there should be some guidelines as to periodicity of any such reconciliation to avoid unreasonable overhead and administrative burden, and in addition, guidance on whether this would be a systematic review of ARMs on a periodic basis or a random event. We also urge ESMA to consider the consequences of unearthing high level of errors and the process for addressing and monitoring improvement in reporting errors.</w:t>
      </w:r>
    </w:p>
    <w:permEnd w:id="14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811DF" w:rsidP="00EC2C93">
      <w:pPr>
        <w:keepNext/>
      </w:pPr>
      <w:permStart w:id="144" w:edGrp="everyone"/>
      <w:r>
        <w:t>We agree that rapid resumption of trade and transaction reporting following any outage or break in service is key to maintaining market transparency; however, further consideration needs to be made and agreement reached on the consequences of breaching the proposed recovery times and what would be considered extenuating circumstances when even a robust disaster recovery plan would be compromised</w:t>
      </w:r>
      <w:r w:rsidR="00961401">
        <w:t>.</w:t>
      </w:r>
    </w:p>
    <w:permEnd w:id="14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811DF" w:rsidP="00EC2C93">
      <w:pPr>
        <w:keepNext/>
      </w:pPr>
      <w:permStart w:id="145" w:edGrp="everyone"/>
      <w:r>
        <w:t>We agree with ESMAs revised proposal in that mandating 24x7 for 7 days a week is unnecessarily onerous on the DRSPs and that market forces will determine appropriate hours that are relevant to different financial instruments.</w:t>
      </w:r>
    </w:p>
    <w:permEnd w:id="14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A72492" w:rsidRPr="00A72492" w:rsidRDefault="00A72492" w:rsidP="00A72492">
      <w:pPr>
        <w:rPr>
          <w:lang w:val="en-US"/>
        </w:rPr>
      </w:pPr>
      <w:permStart w:id="146" w:edGrp="everyone"/>
      <w:r w:rsidRPr="00A72492">
        <w:rPr>
          <w:lang w:val="en-US"/>
        </w:rPr>
        <w:t>We generally agree with the draft technical standards in relation to data reporting services providers; however, we believe there is potentially scope for misinterpretation in point 1 of Article 10: Shared Resources.  We therefore request that RTS 20 relating to this point is amended as follows:</w:t>
      </w:r>
    </w:p>
    <w:p w:rsidR="00A72492" w:rsidRPr="00A72492" w:rsidRDefault="00A72492" w:rsidP="00A72492">
      <w:pPr>
        <w:rPr>
          <w:lang w:val="en-US"/>
        </w:rPr>
      </w:pPr>
    </w:p>
    <w:p w:rsidR="00A72492" w:rsidRPr="00A72492" w:rsidRDefault="00A72492" w:rsidP="00A72492">
      <w:pPr>
        <w:jc w:val="center"/>
        <w:rPr>
          <w:b/>
          <w:bCs/>
          <w:i/>
          <w:iCs/>
          <w:lang w:val="en-US"/>
        </w:rPr>
      </w:pPr>
      <w:r w:rsidRPr="00A72492">
        <w:rPr>
          <w:b/>
          <w:bCs/>
          <w:i/>
          <w:iCs/>
          <w:lang w:val="en-US"/>
        </w:rPr>
        <w:t>Article 10</w:t>
      </w:r>
    </w:p>
    <w:p w:rsidR="00A72492" w:rsidRPr="00A72492" w:rsidRDefault="00A72492" w:rsidP="00A72492">
      <w:pPr>
        <w:jc w:val="center"/>
        <w:rPr>
          <w:b/>
          <w:bCs/>
          <w:i/>
          <w:iCs/>
          <w:lang w:val="en-US"/>
        </w:rPr>
      </w:pPr>
      <w:r w:rsidRPr="00A72492">
        <w:rPr>
          <w:b/>
          <w:bCs/>
          <w:i/>
          <w:iCs/>
          <w:lang w:val="en-US"/>
        </w:rPr>
        <w:t>Shared Resources</w:t>
      </w:r>
    </w:p>
    <w:p w:rsidR="00A72492" w:rsidRPr="00A72492" w:rsidRDefault="00A72492" w:rsidP="00A72492">
      <w:pPr>
        <w:rPr>
          <w:lang w:val="en-US"/>
        </w:rPr>
      </w:pPr>
    </w:p>
    <w:p w:rsidR="00577C33" w:rsidRPr="00A72492" w:rsidRDefault="00A72492" w:rsidP="00A72492">
      <w:pPr>
        <w:pStyle w:val="ListParagraph"/>
        <w:numPr>
          <w:ilvl w:val="0"/>
          <w:numId w:val="36"/>
        </w:numPr>
        <w:spacing w:line="276" w:lineRule="auto"/>
        <w:jc w:val="both"/>
        <w:rPr>
          <w:b/>
          <w:bCs/>
        </w:rPr>
      </w:pPr>
      <w:r w:rsidRPr="00A72492">
        <w:rPr>
          <w:lang w:val="en-US"/>
        </w:rPr>
        <w:lastRenderedPageBreak/>
        <w:t>A data reporting services provider shall provide the competent authority of its home Member State with a description of the resources, both human and technical, shared by the data reporting services provider and the group of undertakings to which it belongs.  </w:t>
      </w:r>
      <w:r w:rsidRPr="00A72492">
        <w:rPr>
          <w:b/>
          <w:bCs/>
          <w:lang w:val="en-US"/>
        </w:rPr>
        <w:t xml:space="preserve">This description should include a summary </w:t>
      </w:r>
      <w:r w:rsidRPr="00A72492">
        <w:rPr>
          <w:b/>
          <w:bCs/>
        </w:rPr>
        <w:t>of headcount type associated to the project e.g.  </w:t>
      </w:r>
      <w:proofErr w:type="gramStart"/>
      <w:r w:rsidRPr="00A72492">
        <w:rPr>
          <w:b/>
          <w:bCs/>
        </w:rPr>
        <w:t>technology</w:t>
      </w:r>
      <w:proofErr w:type="gramEnd"/>
      <w:r w:rsidRPr="00A72492">
        <w:rPr>
          <w:b/>
          <w:bCs/>
        </w:rPr>
        <w:t xml:space="preserve"> developers, business analysts, product managers, business managers and should also set out the tasks they are assigned to that as specific to being a DRSP.</w:t>
      </w:r>
    </w:p>
    <w:permEnd w:id="146"/>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811DF" w:rsidRDefault="005811DF" w:rsidP="005811DF">
      <w:pPr>
        <w:rPr>
          <w:lang w:val="en-US"/>
        </w:rPr>
      </w:pPr>
      <w:permStart w:id="147" w:edGrp="everyone"/>
      <w:r>
        <w:rPr>
          <w:lang w:val="en-US"/>
        </w:rPr>
        <w:t>Thomson Reuters supports the concept that data from a new trading venue should be added to the consolidated tape as soon as is reasonably possible to provide the market with a holistic view of trading activity; however, we strongly believe the proposed time scale is too short given the complexities of on-boarding new sources.  The proposal sets a timeframe that is potentially unachievable for the CTP and could act as a deterrent to potential CTP candidates (depending on the consequences of missing this target).  </w:t>
      </w:r>
    </w:p>
    <w:p w:rsidR="005811DF" w:rsidRDefault="005811DF" w:rsidP="005811DF">
      <w:pPr>
        <w:rPr>
          <w:lang w:val="en-US"/>
        </w:rPr>
      </w:pPr>
    </w:p>
    <w:p w:rsidR="005811DF" w:rsidRDefault="005811DF" w:rsidP="005811DF">
      <w:pPr>
        <w:rPr>
          <w:lang w:val="en-US"/>
        </w:rPr>
      </w:pPr>
      <w:r>
        <w:rPr>
          <w:lang w:val="en-US"/>
        </w:rPr>
        <w:t xml:space="preserve">Issues, such as time to negotiate contracts and commercial terms, building feed handlers to the trading venue/APA’s feed specifications, budgeting, and ordering and installing infrastructure and telecommunications lines could all contribute to extended on-boarding times.  Our experience as a data provider is that a realistic timeframe for end-to-end on-boarding of a venue to a data service is approximately 12 months from the time that the venue goes live.  </w:t>
      </w:r>
    </w:p>
    <w:p w:rsidR="005811DF" w:rsidRDefault="005811DF" w:rsidP="005811DF">
      <w:pPr>
        <w:rPr>
          <w:lang w:val="en-US"/>
        </w:rPr>
      </w:pPr>
    </w:p>
    <w:p w:rsidR="00577C33" w:rsidRDefault="005811DF" w:rsidP="005811DF">
      <w:pPr>
        <w:keepNext/>
      </w:pPr>
      <w:r>
        <w:rPr>
          <w:lang w:val="en-US"/>
        </w:rPr>
        <w:t xml:space="preserve">Nevertheless, we agree that the market should have full transparency of data services, but in order to allow venues the opportunity to meet deadlines in an achievable and non-disruptive manner, we request that the requirement detailed in point 5 of section 5.2 of the consultation paper is expanded to confirm that a CTP should collect data from a new trading venue or a new APA as soon as possible and in any case no later than 3 months after the start of the APA’s or trading venue’s operations, </w:t>
      </w:r>
      <w:r>
        <w:rPr>
          <w:b/>
          <w:bCs/>
          <w:u w:val="single"/>
          <w:lang w:val="en-US"/>
        </w:rPr>
        <w:t>and</w:t>
      </w:r>
      <w:r>
        <w:rPr>
          <w:b/>
          <w:bCs/>
          <w:lang w:val="en-US"/>
        </w:rPr>
        <w:t xml:space="preserve"> </w:t>
      </w:r>
      <w:r>
        <w:rPr>
          <w:lang w:val="en-US"/>
        </w:rPr>
        <w:t xml:space="preserve">that the APA or trading venue must formally engage with the CTP provider </w:t>
      </w:r>
      <w:r>
        <w:rPr>
          <w:b/>
          <w:bCs/>
          <w:u w:val="single"/>
          <w:lang w:val="en-US"/>
        </w:rPr>
        <w:t>at least</w:t>
      </w:r>
      <w:r>
        <w:rPr>
          <w:lang w:val="en-US"/>
        </w:rPr>
        <w:t xml:space="preserve"> 9 months prior to launch and provide full and finalised data and technical specifications and agreements.</w:t>
      </w:r>
    </w:p>
    <w:permEnd w:id="14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811DF" w:rsidRDefault="005811DF" w:rsidP="00A34EAE">
      <w:permStart w:id="148" w:edGrp="everyone"/>
      <w:r>
        <w:t xml:space="preserve">We do not agree with this proposal in two areas. Firstly, mandating the use of free of charge open source software is inappropriate as there are many potential issues regarding the robustness, compatibility, performance and support of relevant solutions that may not be addressed through available open source software. It would be better to define as broadly available software that is widely adopted across the financial services industry, whether commercially available or open source. Examples might include Microsoft Excel (generically used across the industry). While we understand ESMA’s objective is to ensure wide distribution of the data to support market transparency, stipulation of free, open source software does not necessarily support this goal. </w:t>
      </w:r>
    </w:p>
    <w:p w:rsidR="005811DF" w:rsidRDefault="005811DF" w:rsidP="00A34EAE"/>
    <w:p w:rsidR="00961401" w:rsidRDefault="005811DF" w:rsidP="00EC2C93">
      <w:pPr>
        <w:keepNext/>
      </w:pPr>
      <w:r>
        <w:t>Secondly, the proposed one month’s notification period for changes to the instructions (effectively the feed specifications) creates a likelihood that consumers would not be able to keep their systems up to date with sufficient time to adopt changes in the feeds, resulting in loss of access to content and potential impact to business critical systems. Depending on the nature of the change it may create significant work for the consumers in adapting their systems and applications to any new format or additional fields. We would strongly recommend a minimum of a three-month notification period for major changes and a one-month notification period for minor changes (these two categories would require definition).</w:t>
      </w:r>
    </w:p>
    <w:permEnd w:id="148"/>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A21B6" w:rsidP="00EC2C93">
      <w:pPr>
        <w:keepNext/>
      </w:pPr>
      <w:permStart w:id="149" w:edGrp="everyone"/>
      <w:r>
        <w:t>We agree that a provision is required to ensure that where multiple APAs are publishing the same trade reports there is a mechanism for consumers to view consolidated data in a way that addresses the issue of multiple reports of an individual trade. While the proposal seems reasonable, the mechanism for investment firms identifying the primary APA at any given time needs to be established. And while nominating a single APA might seem a simpler solution, is consolidation of the reporting service providers to single entities helpful to the industry (it could result in highly consolidated reporting, but could also result in highly fragmented reporting if each investment firm nominated a single, but different APA).</w:t>
      </w:r>
    </w:p>
    <w:permEnd w:id="14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Default="00577C33" w:rsidP="00EC2C93">
      <w:pPr>
        <w:keepNext/>
      </w:pPr>
      <w:permStart w:id="150" w:edGrp="everyone"/>
      <w:r>
        <w:t>TYPE YOUR TEXT HERE</w:t>
      </w:r>
    </w:p>
    <w:permEnd w:id="15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A21B6" w:rsidP="00EC2C93">
      <w:pPr>
        <w:keepNext/>
      </w:pPr>
      <w:permStart w:id="151" w:edGrp="everyone"/>
      <w:r>
        <w:t>We agree with the proposal that the time stamp should be applied by the trading venue at the time the data is released. This would be closer to and more representative of the actual time of trade as it avoids any latency in the CTP collecting and aggregating the data and applying a timestamp. It has the additional benefit of ensuring a time stamp is applied to the data should a connection issue ever occur between the APA and CTP.</w:t>
      </w:r>
    </w:p>
    <w:permEnd w:id="15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52" w:edGrp="everyone"/>
      <w:r>
        <w:t>TYPE YOUR TEXT HERE</w:t>
      </w:r>
    </w:p>
    <w:permEnd w:id="152"/>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lastRenderedPageBreak/>
        <w:t>&lt;ESMA_QUESTION_CP_MIFID_144&gt;</w:t>
      </w:r>
    </w:p>
    <w:p w:rsidR="00577C33" w:rsidRDefault="00577C33" w:rsidP="00EC2C93">
      <w:pPr>
        <w:keepNext/>
      </w:pPr>
      <w:permStart w:id="153" w:edGrp="everyone"/>
      <w:r>
        <w:t>TYPE YOUR TEXT HERE</w:t>
      </w:r>
    </w:p>
    <w:permEnd w:id="15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A21B6" w:rsidRDefault="005A21B6" w:rsidP="005A21B6">
      <w:permStart w:id="154" w:edGrp="everyone"/>
      <w:r>
        <w:t xml:space="preserve">We are generally in support of disaggregating data to an appropriate level, so consumers are able to subscribe to only the content they actually require. This not only reduces the cost of data fees, but also the cost of infrastructure that only needs to be scaled to the subset of content needed. </w:t>
      </w:r>
    </w:p>
    <w:p w:rsidR="00760B3C" w:rsidRDefault="00760B3C" w:rsidP="005A21B6"/>
    <w:p w:rsidR="005A21B6" w:rsidRDefault="005A21B6" w:rsidP="005A21B6">
      <w:r>
        <w:t xml:space="preserve">However, we do agree with the feedback that at a certain level disaggregation becomes overly onerous and drives up cost and complexity, so point ii) which refers to ‘further criteria’ needs to be reviewed to understand its implications and point iii) regarding ‘sufficient demand’ is an important caveat. </w:t>
      </w:r>
    </w:p>
    <w:p w:rsidR="005A21B6" w:rsidRDefault="005A21B6" w:rsidP="005A21B6"/>
    <w:p w:rsidR="005A21B6" w:rsidRDefault="005A21B6" w:rsidP="005A21B6">
      <w:r>
        <w:t>From a market data vendor’s perspective, creating data packages that map to the disaggregated content from the venues does have a significant impact on costs and effort. It also has an impact on the customer in terms of the overhead from managing more granular invoicing and trying to map individual user needs to complex menus of content choices – a challenge that already exists today.</w:t>
      </w:r>
    </w:p>
    <w:p w:rsidR="005A21B6" w:rsidRDefault="005A21B6" w:rsidP="005A21B6"/>
    <w:p w:rsidR="00577C33" w:rsidRDefault="005A21B6" w:rsidP="005A21B6">
      <w:pPr>
        <w:keepNext/>
      </w:pPr>
      <w:r>
        <w:t>So while we broadly support disaggregation where meaningful, i.e. by asset class or pre and post-trade data, we are also of the opinion that too much disaggregation drives up cost and complexity for the industry.</w:t>
      </w:r>
    </w:p>
    <w:permEnd w:id="154"/>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55" w:edGrp="everyone"/>
      <w:r>
        <w:t>TYPE YOUR TEXT HERE</w:t>
      </w:r>
    </w:p>
    <w:permEnd w:id="15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56" w:edGrp="everyone"/>
      <w:r>
        <w:t>TYPE YOUR TEXT HERE</w:t>
      </w:r>
    </w:p>
    <w:permEnd w:id="156"/>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624201" w:rsidRDefault="00624201" w:rsidP="00624201">
      <w:pPr>
        <w:keepNext/>
        <w:rPr>
          <w:lang w:val="en-US"/>
        </w:rPr>
      </w:pPr>
      <w:permStart w:id="157" w:edGrp="everyone"/>
      <w:r>
        <w:rPr>
          <w:lang w:val="en-US"/>
        </w:rPr>
        <w:t xml:space="preserve">We believe that the ability of the CCP to deny access on grounds of the anticipated volumes of transactions may only be used where a clearing obligation has not been applied to a class of derivatives. Denying access to a trading venue where a clearing obligation exists could place FCs and NFC+s in non-compliance with their obligations in EMIR. A CCP, as part of its </w:t>
      </w:r>
      <w:r>
        <w:rPr>
          <w:lang w:val="en-US"/>
        </w:rPr>
        <w:lastRenderedPageBreak/>
        <w:t>authorisation under EMIR, is required to make an assessment of potential volumes in the market, and scale its capacity accordingly. We would view the use of Article 2 in RTS 24 by a CCP where a clearing obligation applies as a breach of the CCP’s authorisation.</w:t>
      </w:r>
    </w:p>
    <w:p w:rsidR="00624201" w:rsidRDefault="00624201" w:rsidP="00624201">
      <w:pPr>
        <w:keepNext/>
        <w:rPr>
          <w:lang w:val="en-US"/>
        </w:rPr>
      </w:pPr>
    </w:p>
    <w:p w:rsidR="00624201" w:rsidRDefault="00624201" w:rsidP="00624201">
      <w:pPr>
        <w:keepNext/>
        <w:rPr>
          <w:lang w:val="en-US"/>
        </w:rPr>
      </w:pPr>
      <w:r>
        <w:rPr>
          <w:lang w:val="en-US"/>
        </w:rPr>
        <w:t>We recommend the following drafting changes for Article 2 of RTS 24:</w:t>
      </w:r>
    </w:p>
    <w:p w:rsidR="00624201" w:rsidRDefault="00624201" w:rsidP="00624201">
      <w:pPr>
        <w:pStyle w:val="Default"/>
      </w:pPr>
    </w:p>
    <w:p w:rsidR="00624201" w:rsidRDefault="00624201" w:rsidP="00624201">
      <w:pPr>
        <w:pStyle w:val="Default"/>
        <w:jc w:val="center"/>
        <w:rPr>
          <w:b/>
          <w:bCs/>
          <w:i/>
          <w:iCs/>
          <w:sz w:val="22"/>
          <w:szCs w:val="22"/>
        </w:rPr>
      </w:pPr>
      <w:r>
        <w:rPr>
          <w:b/>
          <w:bCs/>
          <w:i/>
          <w:iCs/>
          <w:sz w:val="22"/>
          <w:szCs w:val="22"/>
        </w:rPr>
        <w:t>Article 2</w:t>
      </w:r>
    </w:p>
    <w:p w:rsidR="00624201" w:rsidRDefault="00624201" w:rsidP="00624201">
      <w:pPr>
        <w:pStyle w:val="Default"/>
        <w:jc w:val="center"/>
        <w:rPr>
          <w:b/>
          <w:bCs/>
          <w:i/>
          <w:iCs/>
          <w:sz w:val="22"/>
          <w:szCs w:val="22"/>
        </w:rPr>
      </w:pPr>
      <w:r>
        <w:rPr>
          <w:b/>
          <w:bCs/>
          <w:i/>
          <w:iCs/>
          <w:sz w:val="22"/>
          <w:szCs w:val="22"/>
        </w:rPr>
        <w:t>Denial of access based on the anticipated volume of transactions</w:t>
      </w:r>
    </w:p>
    <w:p w:rsidR="00624201" w:rsidRDefault="00624201" w:rsidP="00624201">
      <w:pPr>
        <w:keepNext/>
        <w:rPr>
          <w:szCs w:val="22"/>
          <w:lang w:val="en-US"/>
        </w:rPr>
      </w:pPr>
    </w:p>
    <w:p w:rsidR="00624201" w:rsidRDefault="00624201" w:rsidP="00624201">
      <w:pPr>
        <w:pStyle w:val="Default"/>
        <w:rPr>
          <w:i/>
          <w:iCs/>
          <w:sz w:val="22"/>
          <w:szCs w:val="22"/>
        </w:rPr>
      </w:pPr>
      <w:r>
        <w:rPr>
          <w:i/>
          <w:iCs/>
          <w:sz w:val="22"/>
          <w:szCs w:val="22"/>
        </w:rPr>
        <w:t xml:space="preserve">A CCP may deny an access request on grounds of the anticipated volume of transactions </w:t>
      </w:r>
      <w:r>
        <w:rPr>
          <w:b/>
          <w:bCs/>
          <w:i/>
          <w:iCs/>
          <w:sz w:val="22"/>
          <w:szCs w:val="22"/>
        </w:rPr>
        <w:t xml:space="preserve">in a class of derivatives not subject to the clearing obligation in accordance with Article 5 of REGULATION (EU) No 648/2012 </w:t>
      </w:r>
      <w:r>
        <w:rPr>
          <w:i/>
          <w:iCs/>
          <w:sz w:val="22"/>
          <w:szCs w:val="22"/>
        </w:rPr>
        <w:t xml:space="preserve">only when the reasonably anticipated volume of transactions arising from such access would create significant undue risks by: </w:t>
      </w:r>
    </w:p>
    <w:p w:rsidR="00624201" w:rsidRDefault="00624201" w:rsidP="00624201">
      <w:pPr>
        <w:pStyle w:val="Default"/>
        <w:rPr>
          <w:i/>
          <w:iCs/>
          <w:sz w:val="22"/>
          <w:szCs w:val="22"/>
        </w:rPr>
      </w:pPr>
    </w:p>
    <w:p w:rsidR="00624201" w:rsidRDefault="00624201" w:rsidP="00624201">
      <w:pPr>
        <w:pStyle w:val="Default"/>
        <w:spacing w:after="305"/>
        <w:rPr>
          <w:i/>
          <w:iCs/>
          <w:sz w:val="22"/>
          <w:szCs w:val="22"/>
        </w:rPr>
      </w:pPr>
      <w:r>
        <w:rPr>
          <w:i/>
          <w:iCs/>
          <w:sz w:val="22"/>
          <w:szCs w:val="22"/>
        </w:rPr>
        <w:t xml:space="preserve">(a) exceeding the scalable design of the CCP to such an extent that the CCP cannot adapt its systems so as to deal with the anticipated volume; or </w:t>
      </w:r>
    </w:p>
    <w:p w:rsidR="00624201" w:rsidRDefault="00624201" w:rsidP="00624201">
      <w:pPr>
        <w:pStyle w:val="Default"/>
        <w:rPr>
          <w:i/>
          <w:iCs/>
          <w:sz w:val="22"/>
          <w:szCs w:val="22"/>
        </w:rPr>
      </w:pPr>
      <w:r>
        <w:rPr>
          <w:i/>
          <w:iCs/>
          <w:sz w:val="22"/>
          <w:szCs w:val="22"/>
        </w:rPr>
        <w:t xml:space="preserve">(b) exceeding the planned capacity of the CCP in a way that the CCP would not be able to acquire the required extra capacity in due time. </w:t>
      </w:r>
    </w:p>
    <w:p w:rsidR="00624201" w:rsidRDefault="00624201" w:rsidP="00624201">
      <w:pPr>
        <w:keepNext/>
        <w:rPr>
          <w:szCs w:val="22"/>
          <w:lang w:val="en-US"/>
        </w:rPr>
      </w:pPr>
    </w:p>
    <w:p w:rsidR="00624201" w:rsidRDefault="00624201" w:rsidP="00624201">
      <w:pPr>
        <w:keepNext/>
        <w:rPr>
          <w:lang w:val="en-US"/>
        </w:rPr>
      </w:pPr>
      <w:r>
        <w:rPr>
          <w:lang w:val="en-US"/>
        </w:rPr>
        <w:t>We do not agree that the incompatibility of IT systems between a trading venue and a CCP provides valid grounds for a CCP to deny access to a trading venue. We can not envisage a scenario in which this would be an issue, and believe that such technical issues should be rectifiable at the point when a trading system arranges access to the CCP.</w:t>
      </w:r>
    </w:p>
    <w:p w:rsidR="00624201" w:rsidRDefault="00624201" w:rsidP="00624201">
      <w:pPr>
        <w:keepNext/>
        <w:rPr>
          <w:lang w:val="en-US"/>
        </w:rPr>
      </w:pPr>
    </w:p>
    <w:p w:rsidR="00624201" w:rsidRDefault="00624201" w:rsidP="00624201">
      <w:pPr>
        <w:keepNext/>
        <w:rPr>
          <w:lang w:val="en-US"/>
        </w:rPr>
      </w:pPr>
      <w:r>
        <w:rPr>
          <w:lang w:val="en-US"/>
        </w:rPr>
        <w:t>We recommend the following drafting changes to Article 3 of RTS 24</w:t>
      </w:r>
    </w:p>
    <w:p w:rsidR="00624201" w:rsidRDefault="00624201" w:rsidP="00624201">
      <w:pPr>
        <w:keepNext/>
        <w:rPr>
          <w:lang w:val="en-US"/>
        </w:rPr>
      </w:pPr>
    </w:p>
    <w:p w:rsidR="00624201" w:rsidRDefault="00624201" w:rsidP="00624201">
      <w:pPr>
        <w:pStyle w:val="Default"/>
        <w:jc w:val="center"/>
        <w:rPr>
          <w:b/>
          <w:bCs/>
          <w:i/>
          <w:iCs/>
          <w:sz w:val="22"/>
          <w:szCs w:val="22"/>
        </w:rPr>
      </w:pPr>
      <w:r>
        <w:rPr>
          <w:b/>
          <w:bCs/>
          <w:i/>
          <w:iCs/>
          <w:sz w:val="22"/>
          <w:szCs w:val="22"/>
        </w:rPr>
        <w:t xml:space="preserve">Article 3 </w:t>
      </w:r>
    </w:p>
    <w:p w:rsidR="00624201" w:rsidRDefault="00624201" w:rsidP="00624201">
      <w:pPr>
        <w:pStyle w:val="Default"/>
        <w:jc w:val="center"/>
        <w:rPr>
          <w:b/>
          <w:bCs/>
          <w:i/>
          <w:iCs/>
          <w:sz w:val="22"/>
          <w:szCs w:val="22"/>
        </w:rPr>
      </w:pPr>
      <w:r>
        <w:rPr>
          <w:b/>
          <w:bCs/>
          <w:i/>
          <w:iCs/>
          <w:sz w:val="22"/>
          <w:szCs w:val="22"/>
        </w:rPr>
        <w:t xml:space="preserve">Denial of access based on operational risk and complexity </w:t>
      </w:r>
    </w:p>
    <w:p w:rsidR="00624201" w:rsidRDefault="00624201" w:rsidP="00624201">
      <w:pPr>
        <w:pStyle w:val="Default"/>
        <w:jc w:val="center"/>
        <w:rPr>
          <w:b/>
          <w:bCs/>
          <w:i/>
          <w:iCs/>
          <w:sz w:val="22"/>
          <w:szCs w:val="22"/>
        </w:rPr>
      </w:pPr>
    </w:p>
    <w:p w:rsidR="00624201" w:rsidRDefault="00624201" w:rsidP="00624201">
      <w:pPr>
        <w:pStyle w:val="Default"/>
        <w:rPr>
          <w:i/>
          <w:iCs/>
        </w:rPr>
      </w:pPr>
    </w:p>
    <w:p w:rsidR="00624201" w:rsidRDefault="00624201" w:rsidP="00624201">
      <w:pPr>
        <w:pStyle w:val="Default"/>
        <w:spacing w:after="305"/>
        <w:rPr>
          <w:i/>
          <w:iCs/>
          <w:sz w:val="22"/>
          <w:szCs w:val="22"/>
        </w:rPr>
      </w:pPr>
      <w:r>
        <w:rPr>
          <w:i/>
          <w:iCs/>
          <w:sz w:val="22"/>
          <w:szCs w:val="22"/>
        </w:rPr>
        <w:t xml:space="preserve">1. A CCP may deny an access request on grounds of operational risk and complexity arising from such access only when it cannot adopt arrangements to adequately manage those risks such that there would be significant undue risk remaining. </w:t>
      </w:r>
    </w:p>
    <w:p w:rsidR="00624201" w:rsidRDefault="00624201" w:rsidP="00624201">
      <w:pPr>
        <w:pStyle w:val="Default"/>
        <w:rPr>
          <w:i/>
          <w:iCs/>
          <w:sz w:val="22"/>
          <w:szCs w:val="22"/>
        </w:rPr>
      </w:pPr>
      <w:r>
        <w:rPr>
          <w:i/>
          <w:iCs/>
          <w:sz w:val="22"/>
          <w:szCs w:val="22"/>
        </w:rPr>
        <w:t xml:space="preserve">2. For the purposes of the previous paragraph, </w:t>
      </w:r>
      <w:r>
        <w:rPr>
          <w:b/>
          <w:bCs/>
          <w:i/>
          <w:iCs/>
          <w:sz w:val="22"/>
          <w:szCs w:val="22"/>
        </w:rPr>
        <w:t xml:space="preserve">the </w:t>
      </w:r>
      <w:r>
        <w:rPr>
          <w:i/>
          <w:iCs/>
          <w:sz w:val="22"/>
          <w:szCs w:val="22"/>
        </w:rPr>
        <w:t xml:space="preserve">relevant </w:t>
      </w:r>
      <w:r>
        <w:rPr>
          <w:i/>
          <w:iCs/>
          <w:strike/>
          <w:sz w:val="22"/>
          <w:szCs w:val="22"/>
        </w:rPr>
        <w:t>types of</w:t>
      </w:r>
      <w:r>
        <w:rPr>
          <w:i/>
          <w:iCs/>
          <w:sz w:val="22"/>
          <w:szCs w:val="22"/>
        </w:rPr>
        <w:t xml:space="preserve"> risk</w:t>
      </w:r>
      <w:r>
        <w:rPr>
          <w:i/>
          <w:iCs/>
          <w:strike/>
          <w:sz w:val="22"/>
          <w:szCs w:val="22"/>
        </w:rPr>
        <w:t>s</w:t>
      </w:r>
      <w:r>
        <w:rPr>
          <w:i/>
          <w:iCs/>
          <w:sz w:val="22"/>
          <w:szCs w:val="22"/>
        </w:rPr>
        <w:t xml:space="preserve"> </w:t>
      </w:r>
      <w:r>
        <w:rPr>
          <w:i/>
          <w:iCs/>
          <w:strike/>
          <w:sz w:val="22"/>
          <w:szCs w:val="22"/>
        </w:rPr>
        <w:t>are</w:t>
      </w:r>
      <w:r>
        <w:rPr>
          <w:i/>
          <w:iCs/>
          <w:sz w:val="22"/>
          <w:szCs w:val="22"/>
        </w:rPr>
        <w:t xml:space="preserve"> </w:t>
      </w:r>
      <w:r>
        <w:rPr>
          <w:b/>
          <w:bCs/>
          <w:i/>
          <w:iCs/>
          <w:sz w:val="22"/>
          <w:szCs w:val="22"/>
        </w:rPr>
        <w:t>is</w:t>
      </w:r>
      <w:r>
        <w:rPr>
          <w:i/>
          <w:iCs/>
          <w:strike/>
          <w:sz w:val="22"/>
          <w:szCs w:val="22"/>
        </w:rPr>
        <w:t>, among others</w:t>
      </w:r>
      <w:r>
        <w:rPr>
          <w:i/>
          <w:iCs/>
          <w:sz w:val="22"/>
          <w:szCs w:val="22"/>
        </w:rPr>
        <w:t xml:space="preserve">: </w:t>
      </w:r>
    </w:p>
    <w:p w:rsidR="00624201" w:rsidRDefault="00624201" w:rsidP="00624201">
      <w:pPr>
        <w:pStyle w:val="Default"/>
        <w:spacing w:after="305"/>
        <w:rPr>
          <w:i/>
          <w:iCs/>
          <w:strike/>
          <w:sz w:val="22"/>
          <w:szCs w:val="22"/>
        </w:rPr>
      </w:pPr>
      <w:r>
        <w:rPr>
          <w:i/>
          <w:iCs/>
          <w:strike/>
          <w:sz w:val="22"/>
          <w:szCs w:val="22"/>
        </w:rPr>
        <w:t xml:space="preserve">(a) Incompatibility of CCP and trading venue IT systems such that the CCP cannot provide for connectivity between the systems; </w:t>
      </w:r>
    </w:p>
    <w:p w:rsidR="00624201" w:rsidRDefault="00624201" w:rsidP="00624201">
      <w:pPr>
        <w:pStyle w:val="Default"/>
        <w:rPr>
          <w:i/>
          <w:iCs/>
          <w:sz w:val="22"/>
          <w:szCs w:val="22"/>
        </w:rPr>
      </w:pPr>
      <w:r>
        <w:rPr>
          <w:i/>
          <w:iCs/>
          <w:sz w:val="22"/>
          <w:szCs w:val="22"/>
        </w:rPr>
        <w:t>(</w:t>
      </w:r>
      <w:r>
        <w:rPr>
          <w:i/>
          <w:iCs/>
          <w:strike/>
          <w:sz w:val="22"/>
          <w:szCs w:val="22"/>
        </w:rPr>
        <w:t>b</w:t>
      </w:r>
      <w:r>
        <w:rPr>
          <w:i/>
          <w:iCs/>
          <w:sz w:val="22"/>
          <w:szCs w:val="22"/>
        </w:rPr>
        <w:t xml:space="preserve"> a) the CCP does not have, nor is it able to get in due time, the necessary human resources with the necessary knowledge, skills and experience to perform its functions regarding the risk stemming from additional financial instruments where these differ from financial instruments already cleared by the CCP. </w:t>
      </w:r>
    </w:p>
    <w:p w:rsidR="00624201" w:rsidRDefault="00624201" w:rsidP="00624201">
      <w:pPr>
        <w:pStyle w:val="Default"/>
        <w:jc w:val="center"/>
        <w:rPr>
          <w:b/>
          <w:bCs/>
          <w:i/>
          <w:iCs/>
          <w:sz w:val="22"/>
          <w:szCs w:val="22"/>
        </w:rPr>
      </w:pPr>
    </w:p>
    <w:p w:rsidR="00624201" w:rsidRDefault="00624201" w:rsidP="00624201">
      <w:pPr>
        <w:keepNext/>
        <w:rPr>
          <w:szCs w:val="22"/>
          <w:lang w:val="en-US"/>
        </w:rPr>
      </w:pPr>
      <w:r>
        <w:rPr>
          <w:lang w:val="en-US"/>
        </w:rPr>
        <w:lastRenderedPageBreak/>
        <w:t>We do not believe that an incompatibility in the rules between the CCP and the trading venue would be valid grounds to deny access because the rules of a CCP and a trading venue are, for the most part, based upon the requirements of MiFID and EMIR and, secondly, this issue appears to be mitigated by Article 4(c) where access may be denied because of legal risk. We therefore recommend the following drafting changes to Article 4 of RTS 24:</w:t>
      </w:r>
    </w:p>
    <w:p w:rsidR="00624201" w:rsidRDefault="00624201" w:rsidP="00624201">
      <w:pPr>
        <w:keepNext/>
        <w:rPr>
          <w:lang w:val="en-US"/>
        </w:rPr>
      </w:pPr>
    </w:p>
    <w:p w:rsidR="00624201" w:rsidRDefault="00624201" w:rsidP="00624201">
      <w:pPr>
        <w:pStyle w:val="Default"/>
      </w:pPr>
    </w:p>
    <w:p w:rsidR="00624201" w:rsidRDefault="00624201" w:rsidP="00624201">
      <w:pPr>
        <w:pStyle w:val="Default"/>
        <w:jc w:val="center"/>
        <w:rPr>
          <w:b/>
          <w:bCs/>
          <w:i/>
          <w:iCs/>
          <w:sz w:val="22"/>
          <w:szCs w:val="22"/>
        </w:rPr>
      </w:pPr>
      <w:r>
        <w:rPr>
          <w:b/>
          <w:bCs/>
          <w:i/>
          <w:iCs/>
          <w:sz w:val="22"/>
          <w:szCs w:val="22"/>
        </w:rPr>
        <w:t xml:space="preserve">Article 4 </w:t>
      </w:r>
    </w:p>
    <w:p w:rsidR="00624201" w:rsidRDefault="00624201" w:rsidP="00624201">
      <w:pPr>
        <w:pStyle w:val="Default"/>
        <w:jc w:val="center"/>
        <w:rPr>
          <w:b/>
          <w:bCs/>
          <w:i/>
          <w:iCs/>
          <w:sz w:val="22"/>
          <w:szCs w:val="22"/>
        </w:rPr>
      </w:pPr>
      <w:r>
        <w:rPr>
          <w:b/>
          <w:bCs/>
          <w:i/>
          <w:iCs/>
          <w:sz w:val="22"/>
          <w:szCs w:val="22"/>
        </w:rPr>
        <w:t xml:space="preserve">Denial of access based on other factors creating significant undue risks </w:t>
      </w:r>
    </w:p>
    <w:p w:rsidR="00624201" w:rsidRDefault="00624201" w:rsidP="00624201">
      <w:pPr>
        <w:pStyle w:val="Default"/>
        <w:jc w:val="center"/>
        <w:rPr>
          <w:b/>
          <w:bCs/>
          <w:i/>
          <w:iCs/>
          <w:sz w:val="22"/>
          <w:szCs w:val="22"/>
        </w:rPr>
      </w:pPr>
    </w:p>
    <w:p w:rsidR="00624201" w:rsidRDefault="00624201" w:rsidP="00624201">
      <w:pPr>
        <w:pStyle w:val="Default"/>
        <w:rPr>
          <w:i/>
          <w:iCs/>
          <w:sz w:val="22"/>
          <w:szCs w:val="22"/>
        </w:rPr>
      </w:pPr>
      <w:r>
        <w:rPr>
          <w:i/>
          <w:iCs/>
          <w:sz w:val="22"/>
          <w:szCs w:val="22"/>
        </w:rPr>
        <w:t xml:space="preserve">1. In addition to the circumstances identified in Articles 2 and 3 of this Regulation, a CCP may deny an access request, only when it cannot adopt arrangements to adequately manage any of the following risks arising from granting access such that there would be significant undue risk remaining: </w:t>
      </w:r>
    </w:p>
    <w:p w:rsidR="00624201" w:rsidRDefault="00624201" w:rsidP="00624201">
      <w:pPr>
        <w:pStyle w:val="Default"/>
        <w:rPr>
          <w:i/>
          <w:iCs/>
          <w:sz w:val="22"/>
          <w:szCs w:val="22"/>
        </w:rPr>
      </w:pPr>
    </w:p>
    <w:p w:rsidR="00624201" w:rsidRDefault="00624201" w:rsidP="00624201">
      <w:pPr>
        <w:pStyle w:val="Default"/>
        <w:spacing w:after="302"/>
        <w:rPr>
          <w:i/>
          <w:iCs/>
          <w:sz w:val="22"/>
          <w:szCs w:val="22"/>
        </w:rPr>
      </w:pPr>
      <w:r>
        <w:rPr>
          <w:i/>
          <w:iCs/>
          <w:sz w:val="22"/>
          <w:szCs w:val="22"/>
        </w:rPr>
        <w:t xml:space="preserve">(a) the CCP does not have, nor is it able to get in due time, the necessary authorisations consistent with meeting the relevant requirements set out in Title IV of Regulation (EU) No 648/2012 regarding the financial instruments in question; </w:t>
      </w:r>
    </w:p>
    <w:p w:rsidR="00624201" w:rsidRDefault="00624201" w:rsidP="00624201">
      <w:pPr>
        <w:pStyle w:val="Default"/>
        <w:spacing w:after="302"/>
        <w:rPr>
          <w:i/>
          <w:iCs/>
          <w:sz w:val="22"/>
          <w:szCs w:val="22"/>
        </w:rPr>
      </w:pPr>
      <w:r>
        <w:rPr>
          <w:i/>
          <w:iCs/>
          <w:sz w:val="22"/>
          <w:szCs w:val="22"/>
        </w:rPr>
        <w:t xml:space="preserve">(b) granting access would threaten the economic viability of the CCP or its ability to meet minimum capital requirements under Article 16 of Regulation (EU) No 648/2012; </w:t>
      </w:r>
    </w:p>
    <w:p w:rsidR="00624201" w:rsidRDefault="00624201" w:rsidP="00624201">
      <w:pPr>
        <w:pStyle w:val="Default"/>
        <w:rPr>
          <w:i/>
          <w:iCs/>
          <w:sz w:val="22"/>
          <w:szCs w:val="22"/>
        </w:rPr>
      </w:pPr>
      <w:r>
        <w:rPr>
          <w:i/>
          <w:iCs/>
          <w:sz w:val="22"/>
          <w:szCs w:val="22"/>
        </w:rPr>
        <w:t xml:space="preserve">(c) legal risks; or </w:t>
      </w:r>
    </w:p>
    <w:p w:rsidR="00624201" w:rsidRDefault="00624201" w:rsidP="00624201">
      <w:pPr>
        <w:pStyle w:val="Default"/>
        <w:rPr>
          <w:i/>
          <w:iCs/>
          <w:color w:val="auto"/>
        </w:rPr>
      </w:pPr>
    </w:p>
    <w:p w:rsidR="00624201" w:rsidRDefault="00624201" w:rsidP="00624201">
      <w:pPr>
        <w:pStyle w:val="Default"/>
        <w:rPr>
          <w:i/>
          <w:iCs/>
          <w:strike/>
          <w:color w:val="auto"/>
          <w:sz w:val="22"/>
          <w:szCs w:val="22"/>
        </w:rPr>
      </w:pPr>
      <w:r>
        <w:rPr>
          <w:i/>
          <w:iCs/>
          <w:strike/>
          <w:color w:val="auto"/>
          <w:sz w:val="22"/>
          <w:szCs w:val="22"/>
        </w:rPr>
        <w:t xml:space="preserve">(d) there is an incompatibility of CCP and trading venue rules that the CCP cannot remedy in cooperation with the trading venue. </w:t>
      </w:r>
    </w:p>
    <w:p w:rsidR="00624201" w:rsidRDefault="00624201" w:rsidP="00624201">
      <w:pPr>
        <w:keepNext/>
        <w:rPr>
          <w:szCs w:val="22"/>
          <w:lang w:val="en-US"/>
        </w:rPr>
      </w:pPr>
    </w:p>
    <w:p w:rsidR="00577C33" w:rsidRPr="00624201" w:rsidRDefault="00624201" w:rsidP="00EC2C93">
      <w:pPr>
        <w:keepNext/>
        <w:rPr>
          <w:lang w:val="en-US"/>
        </w:rPr>
      </w:pPr>
      <w:r>
        <w:rPr>
          <w:lang w:val="en-US"/>
        </w:rPr>
        <w:t>We agree that the types of users of a trading venue should not be valid grounds on which a CCP may deny access to a trading venue.</w:t>
      </w:r>
    </w:p>
    <w:permEnd w:id="157"/>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58" w:edGrp="everyone"/>
      <w:r>
        <w:t>TYPE YOUR TEXT HERE</w:t>
      </w:r>
    </w:p>
    <w:permEnd w:id="15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lastRenderedPageBreak/>
        <w:t>&lt;ESMA_QUESTION_CP_MIFID_150&gt;</w:t>
      </w:r>
    </w:p>
    <w:p w:rsidR="00577C33" w:rsidRPr="003566E8" w:rsidRDefault="003566E8" w:rsidP="00EC2C93">
      <w:pPr>
        <w:keepNext/>
        <w:rPr>
          <w:lang w:val="en-US"/>
        </w:rPr>
      </w:pPr>
      <w:permStart w:id="159" w:edGrp="everyone"/>
      <w:r>
        <w:rPr>
          <w:lang w:val="en-US"/>
        </w:rPr>
        <w:t>No, we do not agree with the assessment. We believe that trading venues face similar issues to CCPs, and that similar consideration is required. Trading venues will need to require adequate and appropriately skilled human resources for the provision of feeds to multiple CCPs. This is particularly relevant if the product category in the access request is new, i.e. the venue does not provide for trading in that product (but the CCP provides for clearing).</w:t>
      </w:r>
    </w:p>
    <w:permEnd w:id="15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60" w:edGrp="everyone"/>
      <w:r>
        <w:t>TYPE YOUR TEXT HERE</w:t>
      </w:r>
    </w:p>
    <w:permEnd w:id="16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61" w:edGrp="everyone"/>
      <w:r>
        <w:t>TYPE YOUR TEXT HERE</w:t>
      </w:r>
    </w:p>
    <w:permEnd w:id="161"/>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2" w:edGrp="everyone"/>
      <w:r>
        <w:t>TYPE YOUR TEXT HERE</w:t>
      </w:r>
    </w:p>
    <w:permEnd w:id="162"/>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63" w:edGrp="everyone"/>
      <w:r>
        <w:t>TYPE YOUR TEXT HERE</w:t>
      </w:r>
    </w:p>
    <w:permEnd w:id="163"/>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164" w:edGrp="everyone"/>
      <w:r>
        <w:t>TYPE YOUR TEXT HERE</w:t>
      </w:r>
    </w:p>
    <w:permEnd w:id="16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65" w:edGrp="everyone"/>
      <w:r>
        <w:t>TYPE YOUR TEXT HERE</w:t>
      </w:r>
    </w:p>
    <w:permEnd w:id="165"/>
    <w:p w:rsidR="00577C33" w:rsidRDefault="00577C33" w:rsidP="00EC2C93">
      <w:pPr>
        <w:keepNext/>
      </w:pPr>
      <w:r>
        <w:t>&lt;ESMA_QUESTION_CP_MIFID_156&gt;</w:t>
      </w:r>
    </w:p>
    <w:p w:rsidR="00577C33" w:rsidRDefault="00577C33" w:rsidP="0006528D">
      <w:pPr>
        <w:pStyle w:val="CPQuestions"/>
      </w:pPr>
      <w:r>
        <w:t xml:space="preserve">Do you agree with the elements of the draft RTS that cover relevant benchmark information? If not, please explain why and, where possible, propose an alternative </w:t>
      </w:r>
      <w:r>
        <w:lastRenderedPageBreak/>
        <w:t>approach. In particular, how could information requirements reflect the different nature and characteristics of benchmarks?</w:t>
      </w:r>
    </w:p>
    <w:p w:rsidR="00577C33" w:rsidRDefault="00577C33" w:rsidP="00EC2C93">
      <w:pPr>
        <w:keepNext/>
      </w:pPr>
      <w:r>
        <w:t>&lt;ESMA_QUESTION_CP_MIFID_157&gt;</w:t>
      </w:r>
    </w:p>
    <w:p w:rsidR="0083191D" w:rsidRDefault="0083191D" w:rsidP="0083191D">
      <w:pPr>
        <w:rPr>
          <w:color w:val="000000"/>
          <w:lang w:val="en-US"/>
        </w:rPr>
      </w:pPr>
      <w:permStart w:id="166" w:edGrp="everyone"/>
      <w:r>
        <w:rPr>
          <w:color w:val="000000"/>
          <w:lang w:val="en-US"/>
        </w:rPr>
        <w:t>We broadly agree with the elements of the draft RTS that cover relevant benchmark information; however, we believe there should be explicit acknowledgement that persons with proprietary rights to a benchmark should be able to decline requests from trading venues or CCPS, if there are valid grounds for so doing.  Valid grounds might include:</w:t>
      </w:r>
    </w:p>
    <w:p w:rsidR="0083191D" w:rsidRDefault="0083191D" w:rsidP="0083191D">
      <w:pPr>
        <w:pStyle w:val="ListParagraph"/>
        <w:rPr>
          <w:color w:val="000000"/>
          <w:lang w:val="en-US"/>
        </w:rPr>
      </w:pPr>
      <w:r>
        <w:rPr>
          <w:rFonts w:ascii="Symbol" w:hAnsi="Symbol"/>
          <w:color w:val="000000"/>
        </w:rPr>
        <w:t></w:t>
      </w:r>
      <w:r>
        <w:rPr>
          <w:rFonts w:ascii="Times New Roman" w:hAnsi="Times New Roman"/>
          <w:color w:val="000000"/>
          <w:sz w:val="14"/>
          <w:szCs w:val="14"/>
        </w:rPr>
        <w:t xml:space="preserve">         </w:t>
      </w:r>
      <w:r>
        <w:rPr>
          <w:color w:val="000000"/>
        </w:rPr>
        <w:t>Having a reasonable belief that the trading venue or CCP does not in fact need access to the benchmark or information underpinning the benchmark</w:t>
      </w:r>
    </w:p>
    <w:p w:rsidR="0083191D" w:rsidRDefault="0083191D" w:rsidP="0083191D">
      <w:pPr>
        <w:pStyle w:val="ListParagraph"/>
        <w:rPr>
          <w:color w:val="000000"/>
          <w:lang w:val="en-US"/>
        </w:rPr>
      </w:pPr>
      <w:r>
        <w:rPr>
          <w:rFonts w:ascii="Symbol" w:hAnsi="Symbol"/>
          <w:color w:val="000000"/>
        </w:rPr>
        <w:t></w:t>
      </w:r>
      <w:r>
        <w:rPr>
          <w:rFonts w:ascii="Times New Roman" w:hAnsi="Times New Roman"/>
          <w:color w:val="000000"/>
          <w:sz w:val="14"/>
          <w:szCs w:val="14"/>
        </w:rPr>
        <w:t xml:space="preserve">         </w:t>
      </w:r>
      <w:r>
        <w:rPr>
          <w:color w:val="000000"/>
        </w:rPr>
        <w:t>The request includes proprietary commercially sensitive information such as proprietary algorithms, or technical details of systems</w:t>
      </w:r>
    </w:p>
    <w:p w:rsidR="0083191D" w:rsidRDefault="0083191D" w:rsidP="0083191D">
      <w:pPr>
        <w:pStyle w:val="ListParagraph"/>
        <w:rPr>
          <w:color w:val="000000"/>
          <w:lang w:val="en-US"/>
        </w:rPr>
      </w:pPr>
      <w:r>
        <w:rPr>
          <w:rFonts w:ascii="Symbol" w:hAnsi="Symbol"/>
          <w:color w:val="000000"/>
        </w:rPr>
        <w:t></w:t>
      </w:r>
      <w:r>
        <w:rPr>
          <w:rFonts w:ascii="Times New Roman" w:hAnsi="Times New Roman"/>
          <w:color w:val="000000"/>
          <w:sz w:val="14"/>
          <w:szCs w:val="14"/>
        </w:rPr>
        <w:t xml:space="preserve">         </w:t>
      </w:r>
      <w:r>
        <w:rPr>
          <w:color w:val="000000"/>
        </w:rPr>
        <w:t>Bulk or indiscriminate requests for data.</w:t>
      </w:r>
    </w:p>
    <w:p w:rsidR="0083191D" w:rsidRDefault="0083191D" w:rsidP="0083191D">
      <w:pPr>
        <w:rPr>
          <w:color w:val="000000"/>
          <w:lang w:val="en-US"/>
        </w:rPr>
      </w:pPr>
      <w:r>
        <w:rPr>
          <w:color w:val="000000"/>
          <w:lang w:val="en-US"/>
        </w:rPr>
        <w:t> </w:t>
      </w:r>
    </w:p>
    <w:p w:rsidR="0083191D" w:rsidRDefault="0083191D" w:rsidP="0083191D">
      <w:pPr>
        <w:rPr>
          <w:color w:val="000000"/>
          <w:lang w:val="en-US"/>
        </w:rPr>
      </w:pPr>
      <w:r>
        <w:rPr>
          <w:color w:val="000000"/>
          <w:lang w:val="en-US"/>
        </w:rPr>
        <w:t>We therefore propose an amendment to recital 25 of RTS 24 as follows:</w:t>
      </w:r>
    </w:p>
    <w:p w:rsidR="0083191D" w:rsidRDefault="0083191D" w:rsidP="0083191D">
      <w:pPr>
        <w:rPr>
          <w:color w:val="000000"/>
          <w:lang w:val="en-US"/>
        </w:rPr>
      </w:pPr>
      <w:r>
        <w:rPr>
          <w:color w:val="000000"/>
          <w:lang w:val="en-US"/>
        </w:rPr>
        <w:t> </w:t>
      </w:r>
    </w:p>
    <w:p w:rsidR="0083191D" w:rsidRDefault="0083191D" w:rsidP="0083191D">
      <w:pPr>
        <w:rPr>
          <w:color w:val="000000"/>
          <w:lang w:val="en-US"/>
        </w:rPr>
      </w:pPr>
      <w:r>
        <w:rPr>
          <w:color w:val="000000"/>
          <w:lang w:val="en-US"/>
        </w:rPr>
        <w:t xml:space="preserve">(25) Nonetheless, persons with proprietary rights to a benchmark should set conditions for trading venues and CCPs to access their benchmark. Persons with proprietary rights to a benchmark may set different conditions for different categories of trading venues and CCPs to access their benchmarks only if justified by objective criteria, such as quantity, scope or field of use demanded, and these conditions should be applied on a non-discriminatory basis and in a proportionate manner. The criteria defining the different categories of trading venues and CCPs should be made publicly available. The trading venues and CCPs before requesting access should assess to what category </w:t>
      </w:r>
      <w:proofErr w:type="spellStart"/>
      <w:proofErr w:type="gramStart"/>
      <w:r>
        <w:rPr>
          <w:strike/>
          <w:color w:val="000000"/>
          <w:lang w:val="en-US"/>
        </w:rPr>
        <w:t>its</w:t>
      </w:r>
      <w:proofErr w:type="spellEnd"/>
      <w:proofErr w:type="gramEnd"/>
      <w:r>
        <w:rPr>
          <w:color w:val="000000"/>
          <w:lang w:val="en-US"/>
        </w:rPr>
        <w:t xml:space="preserve"> their activity correspond</w:t>
      </w:r>
      <w:r>
        <w:rPr>
          <w:b/>
          <w:bCs/>
          <w:color w:val="000000"/>
          <w:lang w:val="en-US"/>
        </w:rPr>
        <w:t>s</w:t>
      </w:r>
      <w:r>
        <w:rPr>
          <w:color w:val="000000"/>
          <w:lang w:val="en-US"/>
        </w:rPr>
        <w:t xml:space="preserve"> and subsequently request to see the conditions applicable to that category. </w:t>
      </w:r>
      <w:r>
        <w:rPr>
          <w:b/>
          <w:bCs/>
          <w:color w:val="000000"/>
          <w:lang w:val="en-US"/>
        </w:rPr>
        <w:t>Persons with proprietary rights to a benchmark should also be able to decline requests from trading venues or CCPS, if there are valid grounds for so doing.  Valid grounds might include:</w:t>
      </w:r>
    </w:p>
    <w:p w:rsidR="0083191D" w:rsidRDefault="0083191D" w:rsidP="0083191D">
      <w:pPr>
        <w:pStyle w:val="ListParagraph"/>
        <w:rPr>
          <w:color w:val="000000"/>
          <w:lang w:val="en-US"/>
        </w:rPr>
      </w:pPr>
      <w:r>
        <w:rPr>
          <w:rFonts w:ascii="Times New Roman" w:hAnsi="Times New Roman"/>
          <w:color w:val="000000"/>
          <w:sz w:val="14"/>
          <w:szCs w:val="14"/>
        </w:rPr>
        <w:t xml:space="preserve"> </w:t>
      </w:r>
      <w:r>
        <w:rPr>
          <w:b/>
          <w:bCs/>
          <w:color w:val="000000"/>
        </w:rPr>
        <w:t>Having a reasonable belief that the trading venue or CCP does not in fact need access to the benchmark or information underpinning the benchmark</w:t>
      </w:r>
    </w:p>
    <w:p w:rsidR="0083191D" w:rsidRDefault="0083191D" w:rsidP="0083191D">
      <w:pPr>
        <w:pStyle w:val="ListParagraph"/>
        <w:rPr>
          <w:color w:val="000000"/>
          <w:lang w:val="en-US"/>
        </w:rPr>
      </w:pPr>
      <w:r>
        <w:rPr>
          <w:b/>
          <w:bCs/>
          <w:color w:val="000000"/>
        </w:rPr>
        <w:t>The request includes proprietary commercially sensitive information such as proprietary algorithms, or technical details of systems</w:t>
      </w:r>
    </w:p>
    <w:p w:rsidR="00577C33" w:rsidRPr="0083191D" w:rsidRDefault="0083191D" w:rsidP="0083191D">
      <w:pPr>
        <w:pStyle w:val="ListParagraph"/>
        <w:rPr>
          <w:color w:val="000000"/>
          <w:lang w:val="en-US"/>
        </w:rPr>
      </w:pPr>
      <w:r>
        <w:rPr>
          <w:b/>
          <w:bCs/>
          <w:color w:val="000000"/>
        </w:rPr>
        <w:t>Bulk or indiscriminate requests for data.</w:t>
      </w:r>
    </w:p>
    <w:permEnd w:id="16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7C2ED5" w:rsidRDefault="007C2ED5" w:rsidP="007C2ED5">
      <w:pPr>
        <w:rPr>
          <w:color w:val="000000"/>
          <w:lang w:val="en-US"/>
        </w:rPr>
      </w:pPr>
      <w:permStart w:id="167" w:edGrp="everyone"/>
      <w:r>
        <w:rPr>
          <w:color w:val="000000"/>
        </w:rPr>
        <w:t xml:space="preserve">Yes, we agree with the elements of the draft RTS that cover licensing conditions.  It is appropriate that </w:t>
      </w:r>
      <w:proofErr w:type="gramStart"/>
      <w:r>
        <w:rPr>
          <w:color w:val="000000"/>
        </w:rPr>
        <w:t>that persons</w:t>
      </w:r>
      <w:proofErr w:type="gramEnd"/>
      <w:r>
        <w:rPr>
          <w:color w:val="000000"/>
        </w:rPr>
        <w:t xml:space="preserve"> with proprietary rights to a benchmark should be able to differentiate between their clients and the ways in which these different clients will use the benchmark information, and apply appropriate licensing conditions.   These will of course have to fit into an overarching framework designed to ensure that there is fair and non-discriminatory access to benchmark data, as well as meeting the concerns relating to valid grounds for declining requests from a CCP or trading venue to access a benchmark.  We propose that this concern is addressed by amending recital 25 of RTS 24 as follows:</w:t>
      </w:r>
    </w:p>
    <w:p w:rsidR="007C2ED5" w:rsidRDefault="007C2ED5" w:rsidP="007C2ED5">
      <w:pPr>
        <w:rPr>
          <w:color w:val="000000"/>
          <w:lang w:val="en-US"/>
        </w:rPr>
      </w:pPr>
      <w:r>
        <w:rPr>
          <w:color w:val="000000"/>
        </w:rPr>
        <w:t> </w:t>
      </w:r>
    </w:p>
    <w:p w:rsidR="007C2ED5" w:rsidRDefault="007C2ED5" w:rsidP="007C2ED5">
      <w:pPr>
        <w:rPr>
          <w:color w:val="000000"/>
          <w:lang w:val="en-US"/>
        </w:rPr>
      </w:pPr>
      <w:r>
        <w:rPr>
          <w:color w:val="000000"/>
          <w:lang w:val="en-US"/>
        </w:rPr>
        <w:t xml:space="preserve">(25) Nonetheless, persons with proprietary rights to a benchmark should set conditions for trading venues and CCPs to access their benchmark. Persons with proprietary rights to a </w:t>
      </w:r>
      <w:r>
        <w:rPr>
          <w:color w:val="000000"/>
          <w:lang w:val="en-US"/>
        </w:rPr>
        <w:lastRenderedPageBreak/>
        <w:t xml:space="preserve">benchmark may set different conditions for different categories of trading venues and CCPs to access their benchmarks only if justified by objective criteria, such as quantity, scope or field of use demanded, and these conditions should be applied on a non-discriminatory basis and in a proportionate manner. The criteria defining the different categories of trading venues and CCPs should be made publicly available. The trading venues and CCPs before requesting access should assess to what category </w:t>
      </w:r>
      <w:proofErr w:type="spellStart"/>
      <w:proofErr w:type="gramStart"/>
      <w:r>
        <w:rPr>
          <w:strike/>
          <w:color w:val="000000"/>
          <w:lang w:val="en-US"/>
        </w:rPr>
        <w:t>its</w:t>
      </w:r>
      <w:proofErr w:type="spellEnd"/>
      <w:proofErr w:type="gramEnd"/>
      <w:r>
        <w:rPr>
          <w:color w:val="000000"/>
          <w:lang w:val="en-US"/>
        </w:rPr>
        <w:t xml:space="preserve"> their activity correspond</w:t>
      </w:r>
      <w:r>
        <w:rPr>
          <w:b/>
          <w:bCs/>
          <w:color w:val="000000"/>
          <w:lang w:val="en-US"/>
        </w:rPr>
        <w:t>s</w:t>
      </w:r>
      <w:r>
        <w:rPr>
          <w:color w:val="000000"/>
          <w:lang w:val="en-US"/>
        </w:rPr>
        <w:t xml:space="preserve"> and subsequently request to see the conditions applicable to that category. </w:t>
      </w:r>
      <w:r>
        <w:rPr>
          <w:b/>
          <w:bCs/>
          <w:color w:val="000000"/>
          <w:lang w:val="en-US"/>
        </w:rPr>
        <w:t>Persons with proprietary rights to a benchmark should also be able to decline requests from trading venues or CCPS, if there are valid grounds for so doing.  Valid grounds might include:</w:t>
      </w:r>
    </w:p>
    <w:p w:rsidR="007C2ED5" w:rsidRDefault="007C2ED5" w:rsidP="007C2ED5">
      <w:pPr>
        <w:pStyle w:val="ListParagraph"/>
        <w:rPr>
          <w:color w:val="000000"/>
          <w:lang w:val="en-US"/>
        </w:rPr>
      </w:pPr>
      <w:r>
        <w:rPr>
          <w:b/>
          <w:bCs/>
          <w:color w:val="000000"/>
        </w:rPr>
        <w:t>Having a reasonable belief that the trading venue or CCP does not in fact need access to the benchmark or information underpinning the benchmark</w:t>
      </w:r>
    </w:p>
    <w:p w:rsidR="007C2ED5" w:rsidRDefault="007C2ED5" w:rsidP="007C2ED5">
      <w:pPr>
        <w:pStyle w:val="ListParagraph"/>
        <w:rPr>
          <w:color w:val="000000"/>
          <w:lang w:val="en-US"/>
        </w:rPr>
      </w:pPr>
      <w:r>
        <w:rPr>
          <w:b/>
          <w:bCs/>
          <w:color w:val="000000"/>
        </w:rPr>
        <w:t>The request includes proprietary commercially sensitive information such as proprietary algorithms, or technical details of systems</w:t>
      </w:r>
    </w:p>
    <w:p w:rsidR="00577C33" w:rsidRPr="007C2ED5" w:rsidRDefault="007C2ED5" w:rsidP="007C2ED5">
      <w:pPr>
        <w:pStyle w:val="ListParagraph"/>
        <w:rPr>
          <w:color w:val="000000"/>
          <w:lang w:val="en-US"/>
        </w:rPr>
      </w:pPr>
      <w:r>
        <w:rPr>
          <w:b/>
          <w:bCs/>
          <w:color w:val="000000"/>
        </w:rPr>
        <w:t>Bulk or indiscriminate requests for data.</w:t>
      </w:r>
    </w:p>
    <w:permEnd w:id="167"/>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3317D" w:rsidP="00EC2C93">
      <w:pPr>
        <w:keepNext/>
      </w:pPr>
      <w:permStart w:id="168" w:edGrp="everyone"/>
      <w:r>
        <w:t>Yes, we believe that the only workable approach is to assess a benchmark’s “newness” on a case by case approach, and so we welcome the proposal to adopt this.</w:t>
      </w:r>
    </w:p>
    <w:permEnd w:id="168"/>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69" w:edGrp="everyone"/>
      <w:r>
        <w:t>TYPE YOUR TEXT HERE</w:t>
      </w:r>
    </w:p>
    <w:permEnd w:id="16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70" w:edGrp="everyone"/>
      <w:r>
        <w:t>TYPE YOUR TEXT HERE</w:t>
      </w:r>
    </w:p>
    <w:permEnd w:id="170"/>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71" w:edGrp="everyone"/>
      <w:r>
        <w:t>TYPE YOUR TEXT HERE</w:t>
      </w:r>
    </w:p>
    <w:permEnd w:id="17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72" w:edGrp="everyone"/>
      <w:r>
        <w:t>TYPE YOUR TEXT HERE</w:t>
      </w:r>
    </w:p>
    <w:permEnd w:id="17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85250D" w:rsidP="00EC2C93">
      <w:pPr>
        <w:keepNext/>
      </w:pPr>
      <w:permStart w:id="173" w:edGrp="everyone"/>
      <w:r>
        <w:t>We agree with the approach of providing an exhaustive list of details that the MTF/OTF should fulfil.</w:t>
      </w:r>
    </w:p>
    <w:permEnd w:id="17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1D3D61" w:rsidP="00EC2C93">
      <w:pPr>
        <w:keepNext/>
      </w:pPr>
      <w:permStart w:id="174" w:edGrp="everyone"/>
      <w:r>
        <w:t>We agree with the proposed list and have no further suggestions to make.</w:t>
      </w:r>
    </w:p>
    <w:permEnd w:id="17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lastRenderedPageBreak/>
        <w:t>&lt;ESMA_QUESTION_CP_MIFID_166&gt;</w:t>
      </w:r>
    </w:p>
    <w:p w:rsidR="00577C33" w:rsidRDefault="00FC48DE" w:rsidP="00EC2C93">
      <w:pPr>
        <w:keepNext/>
      </w:pPr>
      <w:permStart w:id="175" w:edGrp="everyone"/>
      <w:r>
        <w:t>We agree with the proposal that the information should be provided by the proposed standard format.</w:t>
      </w:r>
    </w:p>
    <w:permEnd w:id="17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t>&lt;ESMA_QUESTION_CP_MIFID_167&gt;</w:t>
      </w:r>
    </w:p>
    <w:p w:rsidR="00577C33" w:rsidRDefault="004B4878" w:rsidP="00EC2C93">
      <w:pPr>
        <w:keepNext/>
      </w:pPr>
      <w:permStart w:id="176" w:edGrp="everyone"/>
      <w:r>
        <w:t>We agree with the proposed format to notify ESMA of the authorisation of an investment firm or market operator as an MTF or OTF.</w:t>
      </w:r>
    </w:p>
    <w:permEnd w:id="176"/>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77" w:edGrp="everyone"/>
      <w:r>
        <w:t>TYPE YOUR TEXT HERE</w:t>
      </w:r>
    </w:p>
    <w:permEnd w:id="17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78" w:edGrp="everyone"/>
      <w:r>
        <w:t>TYPE YOUR TEXT HERE</w:t>
      </w:r>
    </w:p>
    <w:permEnd w:id="178"/>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79" w:edGrp="everyone"/>
      <w:r>
        <w:t>TYPE YOUR TEXT HERE</w:t>
      </w:r>
    </w:p>
    <w:permEnd w:id="17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80" w:edGrp="everyone"/>
      <w:r>
        <w:t>TYPE YOUR TEXT HERE</w:t>
      </w:r>
    </w:p>
    <w:permEnd w:id="180"/>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81" w:edGrp="everyone"/>
      <w:r>
        <w:t>TYPE YOUR TEXT HERE</w:t>
      </w:r>
    </w:p>
    <w:permEnd w:id="181"/>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82" w:edGrp="everyone"/>
      <w:r>
        <w:t>TYPE YOUR TEXT HERE</w:t>
      </w:r>
    </w:p>
    <w:permEnd w:id="18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83" w:edGrp="everyone"/>
      <w:r>
        <w:t>TYPE YOUR TEXT HERE</w:t>
      </w:r>
    </w:p>
    <w:permEnd w:id="183"/>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84" w:edGrp="everyone"/>
      <w:r>
        <w:t>TYPE YOUR TEXT HERE</w:t>
      </w:r>
    </w:p>
    <w:permEnd w:id="184"/>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85" w:edGrp="everyone"/>
      <w:r>
        <w:t>TYPE YOUR TEXT HERE</w:t>
      </w:r>
    </w:p>
    <w:permEnd w:id="185"/>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86" w:edGrp="everyone"/>
      <w:r>
        <w:t>TYPE YOUR TEXT HERE</w:t>
      </w:r>
    </w:p>
    <w:permEnd w:id="186"/>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87" w:edGrp="everyone"/>
      <w:r>
        <w:t>TYPE YOUR TEXT HERE</w:t>
      </w:r>
    </w:p>
    <w:permEnd w:id="18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88" w:edGrp="everyone"/>
      <w:r>
        <w:t>TYPE YOUR TEXT HERE</w:t>
      </w:r>
    </w:p>
    <w:permEnd w:id="188"/>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89" w:edGrp="everyone"/>
      <w:r>
        <w:t>TYPE YOUR TEXT HERE</w:t>
      </w:r>
    </w:p>
    <w:permEnd w:id="189"/>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90" w:edGrp="everyone"/>
      <w:r>
        <w:t>TYPE YOUR TEXT HERE</w:t>
      </w:r>
    </w:p>
    <w:permEnd w:id="19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91" w:edGrp="everyone"/>
      <w:r>
        <w:t>TYPE YOUR TEXT HERE</w:t>
      </w:r>
    </w:p>
    <w:permEnd w:id="191"/>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92" w:edGrp="everyone"/>
      <w:r>
        <w:t>TYPE YOUR TEXT HERE</w:t>
      </w:r>
    </w:p>
    <w:permEnd w:id="19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93" w:edGrp="everyone"/>
      <w:r>
        <w:t>TYPE YOUR TEXT HERE</w:t>
      </w:r>
    </w:p>
    <w:permEnd w:id="193"/>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94" w:edGrp="everyone"/>
      <w:r>
        <w:t>TYPE YOUR TEXT HERE</w:t>
      </w:r>
    </w:p>
    <w:permEnd w:id="19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95" w:edGrp="everyone"/>
      <w:r>
        <w:t>TYPE YOUR TEXT HERE</w:t>
      </w:r>
    </w:p>
    <w:permEnd w:id="195"/>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96" w:edGrp="everyone"/>
      <w:r>
        <w:t>TYPE YOUR TEXT HERE</w:t>
      </w:r>
    </w:p>
    <w:permEnd w:id="19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97" w:edGrp="everyone"/>
      <w:r>
        <w:t>TYPE YOUR TEXT HERE</w:t>
      </w:r>
    </w:p>
    <w:permEnd w:id="19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98" w:edGrp="everyone"/>
      <w:r>
        <w:t>TYPE YOUR TEXT HERE</w:t>
      </w:r>
    </w:p>
    <w:permEnd w:id="19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99" w:edGrp="everyone"/>
      <w:r>
        <w:t>TYPE YOUR TEXT HERE</w:t>
      </w:r>
    </w:p>
    <w:permEnd w:id="19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200" w:edGrp="everyone"/>
      <w:r>
        <w:t>TYPE YOUR TEXT HERE</w:t>
      </w:r>
    </w:p>
    <w:permEnd w:id="20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201" w:edGrp="everyone"/>
      <w:r>
        <w:t>TYPE YOUR TEXT HERE</w:t>
      </w:r>
    </w:p>
    <w:permEnd w:id="20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202" w:edGrp="everyone"/>
      <w:r>
        <w:t>TYPE YOUR TEXT HERE</w:t>
      </w:r>
    </w:p>
    <w:permEnd w:id="202"/>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203" w:edGrp="everyone"/>
      <w:r>
        <w:t>TYPE YOUR TEXT HERE</w:t>
      </w:r>
    </w:p>
    <w:permEnd w:id="203"/>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204" w:edGrp="everyone"/>
      <w:r>
        <w:t>TYPE YOUR TEXT HERE</w:t>
      </w:r>
    </w:p>
    <w:permEnd w:id="204"/>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205" w:edGrp="everyone"/>
      <w:r>
        <w:t>TYPE YOUR TEXT HERE</w:t>
      </w:r>
    </w:p>
    <w:permEnd w:id="20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206" w:edGrp="everyone"/>
      <w:r>
        <w:t>TYPE YOUR TEXT HERE</w:t>
      </w:r>
    </w:p>
    <w:permEnd w:id="206"/>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207" w:edGrp="everyone"/>
      <w:r>
        <w:t>TYPE YOUR TEXT HERE</w:t>
      </w:r>
    </w:p>
    <w:permEnd w:id="20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208" w:edGrp="everyone"/>
      <w:r>
        <w:t>TYPE YOUR TEXT HERE</w:t>
      </w:r>
    </w:p>
    <w:permEnd w:id="208"/>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209" w:edGrp="everyone"/>
      <w:r>
        <w:t>TYPE YOUR TEXT HERE</w:t>
      </w:r>
    </w:p>
    <w:permEnd w:id="20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210" w:edGrp="everyone"/>
      <w:r>
        <w:t>TYPE YOUR TEXT HERE</w:t>
      </w:r>
    </w:p>
    <w:permEnd w:id="21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211" w:edGrp="everyone"/>
      <w:r>
        <w:t>TYPE YOUR TEXT HERE</w:t>
      </w:r>
    </w:p>
    <w:permEnd w:id="21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212" w:edGrp="everyone"/>
      <w:r>
        <w:t>TYPE YOUR TEXT HERE</w:t>
      </w:r>
    </w:p>
    <w:permEnd w:id="21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213" w:edGrp="everyone"/>
      <w:r>
        <w:t>TYPE YOUR TEXT HERE</w:t>
      </w:r>
    </w:p>
    <w:permEnd w:id="21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214" w:edGrp="everyone"/>
      <w:r>
        <w:t>TYPE YOUR TEXT HERE</w:t>
      </w:r>
    </w:p>
    <w:permEnd w:id="214"/>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15" w:edGrp="everyone"/>
      <w:r>
        <w:t>TYPE YOUR TEXT HERE</w:t>
      </w:r>
    </w:p>
    <w:permEnd w:id="21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216" w:edGrp="everyone"/>
      <w:r>
        <w:t>TYPE YOUR TEXT HERE</w:t>
      </w:r>
    </w:p>
    <w:permEnd w:id="216"/>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217" w:edGrp="everyone"/>
      <w:r>
        <w:t>TYPE YOUR TEXT HERE</w:t>
      </w:r>
    </w:p>
    <w:permEnd w:id="21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18" w:edGrp="everyone"/>
      <w:r>
        <w:t>TYPE YOUR TEXT HERE</w:t>
      </w:r>
    </w:p>
    <w:permEnd w:id="21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19" w:edGrp="everyone"/>
      <w:r>
        <w:t>TYPE YOUR TEXT HERE</w:t>
      </w:r>
    </w:p>
    <w:permEnd w:id="21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220" w:edGrp="everyone"/>
      <w:r>
        <w:t>TYPE YOUR TEXT HERE</w:t>
      </w:r>
    </w:p>
    <w:permEnd w:id="220"/>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221" w:edGrp="everyone"/>
      <w:r>
        <w:t>TYPE YOUR TEXT HERE</w:t>
      </w:r>
    </w:p>
    <w:permEnd w:id="221"/>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Pr="00612592" w:rsidRDefault="00612592" w:rsidP="005A567B">
      <w:pPr>
        <w:keepNext/>
        <w:rPr>
          <w:lang w:val="en-US"/>
        </w:rPr>
      </w:pPr>
      <w:permStart w:id="222" w:edGrp="everyone"/>
      <w:r>
        <w:rPr>
          <w:lang w:val="en-US"/>
        </w:rPr>
        <w:t>Thomson Reuters proposes that ESMA keeps the format flexible, options open, and does not mandate a specific format.</w:t>
      </w:r>
    </w:p>
    <w:permEnd w:id="22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223" w:edGrp="everyone"/>
      <w:r>
        <w:t>TYPE YOUR TEXT HERE</w:t>
      </w:r>
    </w:p>
    <w:permEnd w:id="223"/>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24" w:edGrp="everyone"/>
      <w:r>
        <w:t>TYPE YOUR TEXT HERE</w:t>
      </w:r>
    </w:p>
    <w:permEnd w:id="22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25" w:edGrp="everyone"/>
      <w:r>
        <w:t>TYPE YOUR TEXT HERE</w:t>
      </w:r>
    </w:p>
    <w:permEnd w:id="225"/>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67A59" w:rsidRDefault="00567A59" w:rsidP="00567A59">
      <w:permStart w:id="226" w:edGrp="everyone"/>
      <w:r>
        <w:t>Thomson Reuters supports the concepts of transaction reporting and the efforts made to reduce complexity in this area, however, some of the proposed changes would not be workable in the case of Trading Venues reporting on behalf of non-MiFID firms, as follows:</w:t>
      </w:r>
    </w:p>
    <w:p w:rsidR="00567A59" w:rsidRDefault="00567A59" w:rsidP="00567A59">
      <w:pPr>
        <w:pStyle w:val="ListParagraph"/>
        <w:numPr>
          <w:ilvl w:val="0"/>
          <w:numId w:val="41"/>
        </w:numPr>
      </w:pPr>
      <w:r>
        <w:t>If a venue is the reporting firm, it will populate a member in the Buyer field and a member in the Seller field for each transaction and itself in the Reporting Firm field.  To which member therefore does the Trading Capacity field refer?  We propose that if Trading Capacity is a mandatory field for venues to report, that two new fields, rather than one single field for trading capacity, are introduced: buyer capacity and seller capacity.</w:t>
      </w:r>
    </w:p>
    <w:p w:rsidR="00567A59" w:rsidRDefault="00567A59" w:rsidP="00567A59">
      <w:pPr>
        <w:pStyle w:val="ListParagraph"/>
        <w:numPr>
          <w:ilvl w:val="0"/>
          <w:numId w:val="41"/>
        </w:numPr>
      </w:pPr>
      <w:r>
        <w:t>In the case of a currency swap, it is not clear who would be the Buyer and who would be the Seller.  We propose that ESMA clarifies this by stating that the Buyer would be the buyer of the spot leg of the swap.  This could be clarified in RTS 32 as follows:</w:t>
      </w:r>
    </w:p>
    <w:p w:rsidR="00F54C43" w:rsidRDefault="00F54C43" w:rsidP="00567A59">
      <w:pPr>
        <w:jc w:val="center"/>
        <w:rPr>
          <w:b/>
          <w:bCs/>
        </w:rPr>
      </w:pPr>
    </w:p>
    <w:p w:rsidR="00567A59" w:rsidRDefault="00567A59" w:rsidP="00567A59">
      <w:pPr>
        <w:jc w:val="center"/>
        <w:rPr>
          <w:b/>
          <w:bCs/>
          <w:lang w:val="en-US"/>
        </w:rPr>
      </w:pPr>
      <w:r>
        <w:rPr>
          <w:b/>
          <w:bCs/>
        </w:rPr>
        <w:t xml:space="preserve">Article 1 </w:t>
      </w:r>
    </w:p>
    <w:p w:rsidR="00567A59" w:rsidRDefault="00567A59" w:rsidP="00F54C43">
      <w:pPr>
        <w:jc w:val="center"/>
      </w:pPr>
      <w:r>
        <w:rPr>
          <w:b/>
          <w:bCs/>
        </w:rPr>
        <w:t>Definitions</w:t>
      </w:r>
      <w:r>
        <w:t>:</w:t>
      </w:r>
    </w:p>
    <w:p w:rsidR="00567A59" w:rsidRDefault="00567A59" w:rsidP="00567A59">
      <w:pPr>
        <w:rPr>
          <w:b/>
          <w:bCs/>
        </w:rPr>
      </w:pPr>
      <w:r>
        <w:rPr>
          <w:b/>
          <w:bCs/>
        </w:rPr>
        <w:t>(h)          For the purposes of transaction reporting in currency swaps, the buyer of the transaction is the buyer of the spot leg of the swap.</w:t>
      </w:r>
    </w:p>
    <w:p w:rsidR="00567A59" w:rsidRDefault="00567A59" w:rsidP="00567A59"/>
    <w:p w:rsidR="00567A59" w:rsidRDefault="00567A59" w:rsidP="00567A59">
      <w:r>
        <w:lastRenderedPageBreak/>
        <w:t>In addition we make a general comment about the ability of Trading Venues to have access to all the fields required; some jurisdictions have tighter data and privacy controls than others and many of the fields proposed in RTS 32 require information that is not normally provided to Trading Venues.   In some cases it may not be possible either practically or legally for trading venues to compel the information from non-MiFID firms.  If venues are forced to make this requirement a condition of membership, it may drive activity outside the EU, which we believe is not the intention of MiFID.  We propose that RTS 32 clarifies that Trading Venues should only be required to populate fields where they are able to provide this information by appending an additional Recital as follows:</w:t>
      </w:r>
    </w:p>
    <w:p w:rsidR="00567A59" w:rsidRDefault="00567A59" w:rsidP="00567A59"/>
    <w:p w:rsidR="00577C33" w:rsidRPr="00567A59" w:rsidRDefault="00567A59" w:rsidP="00567A59">
      <w:pPr>
        <w:rPr>
          <w:b/>
          <w:bCs/>
        </w:rPr>
      </w:pPr>
      <w:r>
        <w:rPr>
          <w:b/>
          <w:bCs/>
        </w:rPr>
        <w:t>(25)  Article 26 (5) of Regulation (EU) 600/2014 prescribes the operator of a trading venue to report details of transactions in financial instruments traded on its platform which are executed through its systems by a firm which is not subject to this Regulation in accordance with paragraphs 1 and 3.  ESMA recognises that that there may be legal, technical or operational impediments to fulfilling this requirement beyond the trading venue’s control meaning that it will not be able to provide all the information required.  Trading venues are therefore required to report as many of the required fields as they possibly can, or invite participants or clients that are not subject to MiFIR to report via an EU ARM.</w:t>
      </w:r>
    </w:p>
    <w:permEnd w:id="22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227" w:edGrp="everyone"/>
      <w:r>
        <w:t>TYPE YOUR TEXT HERE</w:t>
      </w:r>
    </w:p>
    <w:permEnd w:id="227"/>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28" w:edGrp="everyone"/>
      <w:r>
        <w:t>TYPE YOUR TEXT HERE</w:t>
      </w:r>
    </w:p>
    <w:permEnd w:id="22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577C33" w:rsidRDefault="00577C33" w:rsidP="00EC2C93">
      <w:pPr>
        <w:keepNext/>
      </w:pPr>
      <w:permStart w:id="229" w:edGrp="everyone"/>
      <w:r>
        <w:t>TYPE YOUR TEXT HERE</w:t>
      </w:r>
    </w:p>
    <w:permEnd w:id="22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230" w:edGrp="everyone"/>
      <w:r>
        <w:t>TYPE YOUR TEXT HERE</w:t>
      </w:r>
    </w:p>
    <w:permEnd w:id="23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lastRenderedPageBreak/>
        <w:t>&lt;ESMA_QUESTION_CP_MIFID_222&gt;</w:t>
      </w:r>
    </w:p>
    <w:p w:rsidR="00577C33" w:rsidRDefault="00577C33" w:rsidP="00EC2C93">
      <w:pPr>
        <w:keepNext/>
      </w:pPr>
      <w:permStart w:id="231" w:edGrp="everyone"/>
      <w:r>
        <w:t>TYPE YOUR TEXT HERE</w:t>
      </w:r>
    </w:p>
    <w:permEnd w:id="23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232" w:edGrp="everyone"/>
      <w:r>
        <w:t>TYPE YOUR TEXT HERE</w:t>
      </w:r>
    </w:p>
    <w:permEnd w:id="23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33" w:edGrp="everyone"/>
      <w:r>
        <w:t>TYPE YOUR TEXT HERE</w:t>
      </w:r>
    </w:p>
    <w:permEnd w:id="233"/>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34" w:edGrp="everyone"/>
      <w:r>
        <w:t>TYPE YOUR TEXT HERE</w:t>
      </w:r>
    </w:p>
    <w:permEnd w:id="23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35" w:edGrp="everyone"/>
      <w:r>
        <w:t>TYPE YOUR TEXT HERE</w:t>
      </w:r>
    </w:p>
    <w:permEnd w:id="23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236" w:edGrp="everyone"/>
      <w:r>
        <w:t>TYPE YOUR TEXT HERE</w:t>
      </w:r>
    </w:p>
    <w:permEnd w:id="23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237" w:edGrp="everyone"/>
      <w:r>
        <w:t>TYPE YOUR TEXT HERE</w:t>
      </w:r>
    </w:p>
    <w:permEnd w:id="23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238" w:edGrp="everyone"/>
      <w:r>
        <w:t>TYPE YOUR TEXT HERE</w:t>
      </w:r>
    </w:p>
    <w:permEnd w:id="238"/>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lastRenderedPageBreak/>
        <w:t>&lt;ESMA_QUESTION_CP_MIFID_230&gt;</w:t>
      </w:r>
    </w:p>
    <w:p w:rsidR="00577C33" w:rsidRDefault="00577C33" w:rsidP="00EC2C93">
      <w:pPr>
        <w:keepNext/>
      </w:pPr>
      <w:permStart w:id="239" w:edGrp="everyone"/>
      <w:r>
        <w:t>TYPE YOUR TEXT HERE</w:t>
      </w:r>
    </w:p>
    <w:permEnd w:id="23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40" w:edGrp="everyone"/>
      <w:r>
        <w:t>TYPE YOUR TEXT HERE</w:t>
      </w:r>
    </w:p>
    <w:permEnd w:id="240"/>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41" w:edGrp="everyone"/>
      <w:r>
        <w:t>TYPE YOUR TEXT HERE</w:t>
      </w:r>
    </w:p>
    <w:permEnd w:id="24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C020F1" w:rsidRDefault="00C020F1" w:rsidP="00C020F1">
      <w:pPr>
        <w:rPr>
          <w:lang w:val="en-US"/>
        </w:rPr>
      </w:pPr>
      <w:permStart w:id="242" w:edGrp="everyone"/>
      <w:r>
        <w:rPr>
          <w:lang w:val="en-US"/>
        </w:rPr>
        <w:t xml:space="preserve">We do </w:t>
      </w:r>
      <w:r>
        <w:rPr>
          <w:u w:val="single"/>
          <w:lang w:val="en-US"/>
        </w:rPr>
        <w:t>not</w:t>
      </w:r>
      <w:r>
        <w:rPr>
          <w:lang w:val="en-US"/>
        </w:rPr>
        <w:t xml:space="preserve"> agree with the proposed criteria for calibrating the level of accuracy required for the purpose of clock </w:t>
      </w:r>
      <w:proofErr w:type="spellStart"/>
      <w:r>
        <w:rPr>
          <w:lang w:val="en-US"/>
        </w:rPr>
        <w:t>synchronisation</w:t>
      </w:r>
      <w:proofErr w:type="spellEnd"/>
      <w:r>
        <w:rPr>
          <w:lang w:val="en-US"/>
        </w:rPr>
        <w:t xml:space="preserve">.  The proposals are not appropriate for negotiated or non-CLOB models for many reasons, including the inappropriate definition of gateway-to-gateway latency.  We therefore propose that this carve out described for voice trading systems in paragraph 3 of Article 3 in RTS 36 is extended to </w:t>
      </w:r>
      <w:proofErr w:type="gramStart"/>
      <w:r>
        <w:rPr>
          <w:lang w:val="en-US"/>
        </w:rPr>
        <w:t>negotiated</w:t>
      </w:r>
      <w:proofErr w:type="gramEnd"/>
      <w:r>
        <w:rPr>
          <w:lang w:val="en-US"/>
        </w:rPr>
        <w:t xml:space="preserve"> and non-CLOB models, as follows:</w:t>
      </w:r>
    </w:p>
    <w:p w:rsidR="00C020F1" w:rsidRDefault="00C020F1" w:rsidP="00C020F1">
      <w:pPr>
        <w:jc w:val="center"/>
        <w:rPr>
          <w:lang w:val="en-US"/>
        </w:rPr>
      </w:pPr>
    </w:p>
    <w:p w:rsidR="00C020F1" w:rsidRDefault="00C020F1" w:rsidP="00C020F1">
      <w:pPr>
        <w:jc w:val="center"/>
        <w:rPr>
          <w:b/>
          <w:bCs/>
          <w:i/>
          <w:iCs/>
          <w:lang w:val="en-US"/>
        </w:rPr>
      </w:pPr>
      <w:r>
        <w:rPr>
          <w:b/>
          <w:bCs/>
          <w:i/>
          <w:iCs/>
          <w:lang w:val="en-US"/>
        </w:rPr>
        <w:t>Article 3</w:t>
      </w:r>
    </w:p>
    <w:p w:rsidR="00C020F1" w:rsidRDefault="00C020F1" w:rsidP="00C020F1">
      <w:pPr>
        <w:jc w:val="center"/>
        <w:rPr>
          <w:b/>
          <w:bCs/>
          <w:i/>
          <w:iCs/>
          <w:lang w:val="en-US"/>
        </w:rPr>
      </w:pPr>
      <w:r>
        <w:rPr>
          <w:b/>
          <w:bCs/>
          <w:i/>
          <w:iCs/>
          <w:lang w:val="en-US"/>
        </w:rPr>
        <w:t>Level of accuracy and granularity</w:t>
      </w:r>
    </w:p>
    <w:p w:rsidR="00C020F1" w:rsidRDefault="00C020F1" w:rsidP="00C020F1">
      <w:pPr>
        <w:rPr>
          <w:lang w:val="en-US"/>
        </w:rPr>
      </w:pPr>
      <w:r>
        <w:rPr>
          <w:lang w:val="en-US"/>
        </w:rPr>
        <w:t xml:space="preserve">3.  A trading venue that </w:t>
      </w:r>
      <w:r>
        <w:rPr>
          <w:strike/>
          <w:lang w:val="en-US"/>
        </w:rPr>
        <w:t>only</w:t>
      </w:r>
      <w:r>
        <w:rPr>
          <w:lang w:val="en-US"/>
        </w:rPr>
        <w:t xml:space="preserve"> operates voice, </w:t>
      </w:r>
      <w:r>
        <w:rPr>
          <w:b/>
          <w:bCs/>
          <w:lang w:val="en-US"/>
        </w:rPr>
        <w:t>negotiated or non-CLOB</w:t>
      </w:r>
      <w:r>
        <w:rPr>
          <w:lang w:val="en-US"/>
        </w:rPr>
        <w:t xml:space="preserve"> trading systems shall ensure that its business clocks do not diverge more than one second from the reference time </w:t>
      </w:r>
      <w:r>
        <w:rPr>
          <w:b/>
          <w:bCs/>
          <w:lang w:val="en-US"/>
        </w:rPr>
        <w:t>in respect of those systems</w:t>
      </w:r>
      <w:r>
        <w:rPr>
          <w:lang w:val="en-US"/>
        </w:rPr>
        <w:t>.</w:t>
      </w:r>
    </w:p>
    <w:p w:rsidR="00C020F1" w:rsidRDefault="00C020F1" w:rsidP="00C020F1">
      <w:pPr>
        <w:rPr>
          <w:lang w:val="en-US"/>
        </w:rPr>
      </w:pPr>
    </w:p>
    <w:p w:rsidR="00945800" w:rsidRPr="00945800" w:rsidRDefault="00C020F1" w:rsidP="00C020F1">
      <w:pPr>
        <w:rPr>
          <w:lang w:val="en-US"/>
        </w:rPr>
      </w:pPr>
      <w:r>
        <w:rPr>
          <w:lang w:val="en-US"/>
        </w:rPr>
        <w:t xml:space="preserve">Secondly, we doubt whether CLOB trading venues will be able to meet the degrees of accuracy specified in Table 1.  Since many venue operators, including Thomson Reuters, have already expressed difficulty in achieving granularity greater than 1 millisecond, we doubt that the divergences relating to 1 microsecond and 1 nanosecond are technically achievable, and they would require significant and costly upgrades to the entire technology environment.  These costs would ultimately be passed on to end-users.  From our own experience with a CLOB system, the Network Time Protocol used to </w:t>
      </w:r>
      <w:proofErr w:type="spellStart"/>
      <w:r>
        <w:rPr>
          <w:lang w:val="en-US"/>
        </w:rPr>
        <w:t>synchronise</w:t>
      </w:r>
      <w:proofErr w:type="spellEnd"/>
      <w:r>
        <w:rPr>
          <w:lang w:val="en-US"/>
        </w:rPr>
        <w:t xml:space="preserve"> servers to a GPS time source can drift 2-3 milliseconds before correcting.  Making the necessary updates to Precision Time Protocol in order to achieve divergence of less than 1 millisecond would be very costly and would require an update of all servers.  We therefore urge ESMA to reconsider the framework and to propose a better solution including amending Table 1 in RTS 36 to allow sufficient flexibility of the time divergence allowed of several milliseconds.</w:t>
      </w:r>
    </w:p>
    <w:permEnd w:id="242"/>
    <w:p w:rsidR="00577C33" w:rsidRDefault="00577C33" w:rsidP="00EC2C93">
      <w:pPr>
        <w:keepNext/>
      </w:pPr>
      <w:r>
        <w:t>&lt;ESMA_QUESTION_CP_MIFID_233&gt;</w:t>
      </w:r>
    </w:p>
    <w:p w:rsidR="00577C33" w:rsidRDefault="00577C33" w:rsidP="0006528D">
      <w:pPr>
        <w:pStyle w:val="CPQuestions"/>
      </w:pPr>
      <w:r>
        <w:t xml:space="preserve">Do you foresee any difficulties related to the requirement for members or participants of trading venues to ensure that they synchronise their clocks in a timely </w:t>
      </w:r>
      <w:r>
        <w:lastRenderedPageBreak/>
        <w:t>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C020F1" w:rsidRDefault="00C020F1" w:rsidP="00C020F1">
      <w:pPr>
        <w:rPr>
          <w:lang w:val="en-US"/>
        </w:rPr>
      </w:pPr>
      <w:permStart w:id="243" w:edGrp="everyone"/>
      <w:r>
        <w:rPr>
          <w:lang w:val="en-US"/>
        </w:rPr>
        <w:t xml:space="preserve">Yes, we foresee many difficulties related to the requirement for members or participants of trading venues to ensure that they </w:t>
      </w:r>
      <w:proofErr w:type="spellStart"/>
      <w:r>
        <w:rPr>
          <w:lang w:val="en-US"/>
        </w:rPr>
        <w:t>synchronise</w:t>
      </w:r>
      <w:proofErr w:type="spellEnd"/>
      <w:r>
        <w:rPr>
          <w:lang w:val="en-US"/>
        </w:rPr>
        <w:t xml:space="preserve"> their clocks in a timely manner according to the same time accuracy applied by their trading venue, including:</w:t>
      </w:r>
    </w:p>
    <w:p w:rsidR="00C020F1" w:rsidRDefault="00C020F1" w:rsidP="00C020F1">
      <w:pPr>
        <w:pStyle w:val="ListParagraph"/>
        <w:numPr>
          <w:ilvl w:val="0"/>
          <w:numId w:val="44"/>
        </w:numPr>
        <w:rPr>
          <w:lang w:val="en-US"/>
        </w:rPr>
      </w:pPr>
      <w:r>
        <w:rPr>
          <w:lang w:val="en-US"/>
        </w:rPr>
        <w:t>The definition proposed by ESMA for gateway-to-gateway latency is meaningless in a non-CLOB market, and therefore impossible for members of these markets to implement</w:t>
      </w:r>
    </w:p>
    <w:p w:rsidR="00C020F1" w:rsidRDefault="00C020F1" w:rsidP="00C020F1">
      <w:pPr>
        <w:pStyle w:val="ListParagraph"/>
        <w:numPr>
          <w:ilvl w:val="0"/>
          <w:numId w:val="44"/>
        </w:numPr>
        <w:rPr>
          <w:lang w:val="en-US"/>
        </w:rPr>
      </w:pPr>
      <w:r>
        <w:rPr>
          <w:lang w:val="en-US"/>
        </w:rPr>
        <w:t xml:space="preserve">Due to the differences in the way servers are set up in different markets, mandating members to </w:t>
      </w:r>
      <w:proofErr w:type="spellStart"/>
      <w:r>
        <w:rPr>
          <w:lang w:val="en-US"/>
        </w:rPr>
        <w:t>synchronise</w:t>
      </w:r>
      <w:proofErr w:type="spellEnd"/>
      <w:r>
        <w:rPr>
          <w:lang w:val="en-US"/>
        </w:rPr>
        <w:t xml:space="preserve"> to a base-level accuracy based on one system would be likely to produce inaccurate results in identifying the sequence of events across different trading venues and would not achieve ESMA’s aims of detecting market abuse</w:t>
      </w:r>
    </w:p>
    <w:p w:rsidR="00C020F1" w:rsidRDefault="00C020F1" w:rsidP="00C020F1">
      <w:pPr>
        <w:pStyle w:val="ListParagraph"/>
        <w:numPr>
          <w:ilvl w:val="0"/>
          <w:numId w:val="44"/>
        </w:numPr>
        <w:rPr>
          <w:lang w:val="en-US"/>
        </w:rPr>
      </w:pPr>
      <w:r>
        <w:rPr>
          <w:lang w:val="en-US"/>
        </w:rPr>
        <w:t>Trades carried out on negotiated or non-CLOB systems, e.g. RFQ systems, may take several seconds or longer to complete.  Applying this degree of unnecessary accuracy to clients would impose significant and unnecessary costs (which would ultimately be passed on to end users).</w:t>
      </w:r>
    </w:p>
    <w:p w:rsidR="00C020F1" w:rsidRDefault="00C020F1" w:rsidP="00C020F1">
      <w:pPr>
        <w:rPr>
          <w:lang w:val="en-US"/>
        </w:rPr>
      </w:pPr>
    </w:p>
    <w:p w:rsidR="00C020F1" w:rsidRDefault="00C020F1" w:rsidP="00C020F1">
      <w:pPr>
        <w:rPr>
          <w:lang w:val="en-US"/>
        </w:rPr>
      </w:pPr>
      <w:r>
        <w:rPr>
          <w:lang w:val="en-US"/>
        </w:rPr>
        <w:t>We therefore propose that at a very minimum the amendment to RTS 36 as proposed in Q233 is implemented as follows:</w:t>
      </w:r>
    </w:p>
    <w:p w:rsidR="00C020F1" w:rsidRDefault="00C020F1" w:rsidP="00C020F1">
      <w:pPr>
        <w:rPr>
          <w:lang w:val="en-US"/>
        </w:rPr>
      </w:pPr>
    </w:p>
    <w:p w:rsidR="00C020F1" w:rsidRDefault="00C020F1" w:rsidP="00C020F1">
      <w:pPr>
        <w:jc w:val="center"/>
        <w:rPr>
          <w:b/>
          <w:bCs/>
          <w:i/>
          <w:iCs/>
          <w:lang w:val="en-US"/>
        </w:rPr>
      </w:pPr>
      <w:r>
        <w:rPr>
          <w:b/>
          <w:bCs/>
          <w:i/>
          <w:iCs/>
          <w:lang w:val="en-US"/>
        </w:rPr>
        <w:t>Article 3</w:t>
      </w:r>
    </w:p>
    <w:p w:rsidR="00C020F1" w:rsidRDefault="00C020F1" w:rsidP="00C020F1">
      <w:pPr>
        <w:jc w:val="center"/>
        <w:rPr>
          <w:b/>
          <w:bCs/>
          <w:i/>
          <w:iCs/>
          <w:lang w:val="en-US"/>
        </w:rPr>
      </w:pPr>
      <w:r>
        <w:rPr>
          <w:b/>
          <w:bCs/>
          <w:i/>
          <w:iCs/>
          <w:lang w:val="en-US"/>
        </w:rPr>
        <w:t>Level of accuracy and granularity</w:t>
      </w:r>
    </w:p>
    <w:p w:rsidR="00D531A0" w:rsidRPr="00D531A0" w:rsidRDefault="00C020F1" w:rsidP="00C020F1">
      <w:pPr>
        <w:rPr>
          <w:lang w:val="en-US"/>
        </w:rPr>
      </w:pPr>
      <w:r>
        <w:rPr>
          <w:lang w:val="en-US"/>
        </w:rPr>
        <w:t xml:space="preserve">3.  A trading venue that </w:t>
      </w:r>
      <w:r>
        <w:rPr>
          <w:strike/>
          <w:lang w:val="en-US"/>
        </w:rPr>
        <w:t>only</w:t>
      </w:r>
      <w:r>
        <w:rPr>
          <w:lang w:val="en-US"/>
        </w:rPr>
        <w:t xml:space="preserve"> operates voice, </w:t>
      </w:r>
      <w:r>
        <w:rPr>
          <w:b/>
          <w:bCs/>
          <w:lang w:val="en-US"/>
        </w:rPr>
        <w:t>negotiated or non-CLOB</w:t>
      </w:r>
      <w:r>
        <w:rPr>
          <w:lang w:val="en-US"/>
        </w:rPr>
        <w:t xml:space="preserve"> trading systems shall ensure that its business clocks do not diverge more than one second from the reference time </w:t>
      </w:r>
      <w:r>
        <w:rPr>
          <w:b/>
          <w:bCs/>
          <w:lang w:val="en-US"/>
        </w:rPr>
        <w:t>in respect of those systems</w:t>
      </w:r>
      <w:r>
        <w:rPr>
          <w:lang w:val="en-US"/>
        </w:rPr>
        <w:t>.</w:t>
      </w:r>
    </w:p>
    <w:permEnd w:id="243"/>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244" w:edGrp="everyone"/>
      <w:r>
        <w:t>TYPE YOUR TEXT HERE</w:t>
      </w:r>
    </w:p>
    <w:permEnd w:id="24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245" w:edGrp="everyone"/>
      <w:r>
        <w:t>TYPE YOUR TEXT HERE</w:t>
      </w:r>
    </w:p>
    <w:permEnd w:id="245"/>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lastRenderedPageBreak/>
        <w:t>&lt;ESMA_QUESTION_CP_MIFID_237&gt;</w:t>
      </w:r>
    </w:p>
    <w:p w:rsidR="00577C33" w:rsidRDefault="00577C33" w:rsidP="00EC2C93">
      <w:pPr>
        <w:keepNext/>
      </w:pPr>
      <w:permStart w:id="246" w:edGrp="everyone"/>
      <w:r>
        <w:t>TYPE YOUR TEXT HERE</w:t>
      </w:r>
    </w:p>
    <w:permEnd w:id="24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247" w:edGrp="everyone"/>
      <w:r>
        <w:t>TYPE YOUR TEXT HERE</w:t>
      </w:r>
    </w:p>
    <w:permEnd w:id="247"/>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957ED9" w:rsidP="00EC2C93">
      <w:pPr>
        <w:keepNext/>
      </w:pPr>
      <w:permStart w:id="248" w:edGrp="everyone"/>
      <w:r>
        <w:t>We believe that the 60 second check period from the receipt of an order is too focused on liquid markets, and is not appropriate for less liquid markets where an order may sit on the book for a significant period of time, during which the credit conditions may change. We believe that the requirements should be prior to execution, not on receipt.</w:t>
      </w:r>
    </w:p>
    <w:permEnd w:id="24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DC31A1" w:rsidP="00EC2C93">
      <w:pPr>
        <w:keepNext/>
      </w:pPr>
      <w:permStart w:id="249" w:edGrp="everyone"/>
      <w:r>
        <w:t>We believe that the 10 second window open to trading venues to transmit data to the CCP is reasonable.</w:t>
      </w:r>
    </w:p>
    <w:permEnd w:id="24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DC31A1" w:rsidP="00EC2C93">
      <w:pPr>
        <w:keepNext/>
      </w:pPr>
      <w:permStart w:id="250" w:edGrp="everyone"/>
      <w:r>
        <w:t>We believe that this is reasonable and that the clearing member should have the opportunity to reject a bilateral trade. This is because the counterparty may have inadvertently exceeded their credit limit in a bilateral trade. Theoretically this risk should not arise where the trade is executed on a trading venue because the trading venue is required to conduct pre-trade checks.</w:t>
      </w:r>
    </w:p>
    <w:permEnd w:id="25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51" w:edGrp="everyone"/>
      <w:r>
        <w:t>TYPE YOUR TEXT HERE</w:t>
      </w:r>
    </w:p>
    <w:permEnd w:id="251"/>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52" w:edGrp="everyone"/>
      <w:r>
        <w:t>TYPE YOUR TEXT HERE</w:t>
      </w:r>
    </w:p>
    <w:permEnd w:id="252"/>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lastRenderedPageBreak/>
        <w:t>&lt;ESMA_QUESTION_CP_MIFID_244&gt;</w:t>
      </w:r>
    </w:p>
    <w:p w:rsidR="00577C33" w:rsidRDefault="00577C33" w:rsidP="00EC2C93">
      <w:pPr>
        <w:keepNext/>
      </w:pPr>
      <w:permStart w:id="253" w:edGrp="everyone"/>
      <w:r>
        <w:t>TYPE YOUR TEXT HERE</w:t>
      </w:r>
    </w:p>
    <w:permEnd w:id="25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577C33" w:rsidRDefault="00577C33" w:rsidP="00EC2C93">
      <w:pPr>
        <w:keepNext/>
      </w:pPr>
      <w:permStart w:id="254" w:edGrp="everyone"/>
      <w:r>
        <w:t>TYPE YOUR TEXT HERE</w:t>
      </w:r>
    </w:p>
    <w:permEnd w:id="254"/>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1A0" w:rsidRDefault="00D531A0" w:rsidP="007E7997">
      <w:pPr>
        <w:spacing w:line="240" w:lineRule="auto"/>
      </w:pPr>
      <w:r>
        <w:separator/>
      </w:r>
    </w:p>
  </w:endnote>
  <w:endnote w:type="continuationSeparator" w:id="0">
    <w:p w:rsidR="00D531A0" w:rsidRDefault="00D531A0" w:rsidP="007E79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1A0" w:rsidRDefault="00D531A0">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814451"/>
      <w:docPartObj>
        <w:docPartGallery w:val="Page Numbers (Bottom of Page)"/>
        <w:docPartUnique/>
      </w:docPartObj>
    </w:sdtPr>
    <w:sdtEndPr>
      <w:rPr>
        <w:noProof/>
      </w:rPr>
    </w:sdtEndPr>
    <w:sdtContent>
      <w:p w:rsidR="00D531A0" w:rsidRDefault="00D531A0" w:rsidP="00375BA2">
        <w:pPr>
          <w:pStyle w:val="Footer"/>
          <w:jc w:val="right"/>
        </w:pPr>
        <w:fldSimple w:instr=" PAGE   \* MERGEFORMAT ">
          <w:r w:rsidR="00CF6A40">
            <w:rPr>
              <w:noProof/>
            </w:rPr>
            <w:t>53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1A0" w:rsidRDefault="00D531A0" w:rsidP="007E7997">
      <w:pPr>
        <w:spacing w:line="240" w:lineRule="auto"/>
      </w:pPr>
      <w:r>
        <w:separator/>
      </w:r>
    </w:p>
  </w:footnote>
  <w:footnote w:type="continuationSeparator" w:id="0">
    <w:p w:rsidR="00D531A0" w:rsidRDefault="00D531A0" w:rsidP="007E7997">
      <w:pPr>
        <w:spacing w:line="240" w:lineRule="auto"/>
      </w:pPr>
      <w:r>
        <w:continuationSeparator/>
      </w:r>
    </w:p>
  </w:footnote>
  <w:footnote w:id="1">
    <w:p w:rsidR="00D531A0" w:rsidRPr="00AA7A30" w:rsidRDefault="00D531A0"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1A0" w:rsidRDefault="00D531A0">
    <w:pPr>
      <w:pStyle w:val="Header"/>
    </w:pPr>
    <w:r>
      <w:rPr>
        <w:noProof/>
        <w:lang w:eastAsia="en-GB"/>
      </w:rPr>
      <w:drawing>
        <wp:anchor distT="0" distB="0" distL="114300" distR="114300" simplePos="0" relativeHeight="251661312"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1A0" w:rsidRDefault="00D531A0" w:rsidP="00B50534">
    <w:pPr>
      <w:pStyle w:val="Header"/>
      <w:jc w:val="right"/>
      <w:rPr>
        <w:b/>
        <w:color w:val="FF0000"/>
      </w:rPr>
    </w:pPr>
  </w:p>
  <w:p w:rsidR="00D531A0" w:rsidRDefault="00D531A0" w:rsidP="00B50534">
    <w:pPr>
      <w:pStyle w:val="Header"/>
      <w:jc w:val="right"/>
      <w:rPr>
        <w:b/>
        <w:color w:val="FF0000"/>
      </w:rPr>
    </w:pPr>
    <w:r w:rsidRPr="00406D10">
      <w:rPr>
        <w:rFonts w:ascii="Arial" w:hAnsi="Arial" w:cs="Arial"/>
        <w:noProof/>
        <w:lang w:eastAsia="en-GB"/>
      </w:rPr>
      <w:pict>
        <v:line id="Line 16" o:spid="_x0000_s4097" style="position:absolute;left:0;text-align:lef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w:r>
  </w:p>
  <w:p w:rsidR="00D531A0" w:rsidRPr="00B50534" w:rsidRDefault="00D531A0"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1714D03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D1F00"/>
    <w:multiLevelType w:val="hybridMultilevel"/>
    <w:tmpl w:val="E21CE2E0"/>
    <w:lvl w:ilvl="0" w:tplc="1714D03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08130001">
      <w:start w:val="1"/>
      <w:numFmt w:val="lowerLetter"/>
      <w:pStyle w:val="Heading5"/>
      <w:lvlText w:val="%1)"/>
      <w:lvlJc w:val="left"/>
      <w:pPr>
        <w:ind w:left="720" w:hanging="360"/>
      </w:pPr>
    </w:lvl>
    <w:lvl w:ilvl="1" w:tplc="08130003" w:tentative="1">
      <w:start w:val="1"/>
      <w:numFmt w:val="lowerLetter"/>
      <w:lvlText w:val="%2."/>
      <w:lvlJc w:val="left"/>
      <w:pPr>
        <w:ind w:left="1440" w:hanging="360"/>
      </w:pPr>
    </w:lvl>
    <w:lvl w:ilvl="2" w:tplc="08130005" w:tentative="1">
      <w:start w:val="1"/>
      <w:numFmt w:val="lowerRoman"/>
      <w:lvlText w:val="%3."/>
      <w:lvlJc w:val="right"/>
      <w:pPr>
        <w:ind w:left="2160" w:hanging="180"/>
      </w:pPr>
    </w:lvl>
    <w:lvl w:ilvl="3" w:tplc="08130001" w:tentative="1">
      <w:start w:val="1"/>
      <w:numFmt w:val="decimal"/>
      <w:lvlText w:val="%4."/>
      <w:lvlJc w:val="left"/>
      <w:pPr>
        <w:ind w:left="2880" w:hanging="360"/>
      </w:pPr>
    </w:lvl>
    <w:lvl w:ilvl="4" w:tplc="08130003" w:tentative="1">
      <w:start w:val="1"/>
      <w:numFmt w:val="lowerLetter"/>
      <w:lvlText w:val="%5."/>
      <w:lvlJc w:val="left"/>
      <w:pPr>
        <w:ind w:left="3600" w:hanging="360"/>
      </w:pPr>
    </w:lvl>
    <w:lvl w:ilvl="5" w:tplc="08130005" w:tentative="1">
      <w:start w:val="1"/>
      <w:numFmt w:val="lowerRoman"/>
      <w:lvlText w:val="%6."/>
      <w:lvlJc w:val="right"/>
      <w:pPr>
        <w:ind w:left="4320" w:hanging="180"/>
      </w:pPr>
    </w:lvl>
    <w:lvl w:ilvl="6" w:tplc="08130001" w:tentative="1">
      <w:start w:val="1"/>
      <w:numFmt w:val="decimal"/>
      <w:lvlText w:val="%7."/>
      <w:lvlJc w:val="left"/>
      <w:pPr>
        <w:ind w:left="5040" w:hanging="360"/>
      </w:pPr>
    </w:lvl>
    <w:lvl w:ilvl="7" w:tplc="08130003" w:tentative="1">
      <w:start w:val="1"/>
      <w:numFmt w:val="lowerLetter"/>
      <w:lvlText w:val="%8."/>
      <w:lvlJc w:val="left"/>
      <w:pPr>
        <w:ind w:left="5760" w:hanging="360"/>
      </w:pPr>
    </w:lvl>
    <w:lvl w:ilvl="8" w:tplc="08130005" w:tentative="1">
      <w:start w:val="1"/>
      <w:numFmt w:val="lowerRoman"/>
      <w:lvlText w:val="%9."/>
      <w:lvlJc w:val="right"/>
      <w:pPr>
        <w:ind w:left="6480" w:hanging="180"/>
      </w:pPr>
    </w:lvl>
  </w:abstractNum>
  <w:abstractNum w:abstractNumId="7">
    <w:nsid w:val="2F7B34B7"/>
    <w:multiLevelType w:val="hybridMultilevel"/>
    <w:tmpl w:val="F85A255C"/>
    <w:lvl w:ilvl="0" w:tplc="2CDC7774">
      <w:start w:val="1"/>
      <w:numFmt w:val="bullet"/>
      <w:lvlText w:val=""/>
      <w:lvlJc w:val="left"/>
      <w:pPr>
        <w:ind w:left="360" w:hanging="360"/>
      </w:pPr>
      <w:rPr>
        <w:rFonts w:ascii="Symbol" w:hAnsi="Symbol" w:hint="default"/>
      </w:rPr>
    </w:lvl>
    <w:lvl w:ilvl="1" w:tplc="16204DE0" w:tentative="1">
      <w:start w:val="1"/>
      <w:numFmt w:val="bullet"/>
      <w:lvlText w:val="o"/>
      <w:lvlJc w:val="left"/>
      <w:pPr>
        <w:ind w:left="1080" w:hanging="360"/>
      </w:pPr>
      <w:rPr>
        <w:rFonts w:ascii="Courier New" w:hAnsi="Courier New" w:cs="Courier New" w:hint="default"/>
      </w:rPr>
    </w:lvl>
    <w:lvl w:ilvl="2" w:tplc="E598ACA4" w:tentative="1">
      <w:start w:val="1"/>
      <w:numFmt w:val="bullet"/>
      <w:lvlText w:val=""/>
      <w:lvlJc w:val="left"/>
      <w:pPr>
        <w:ind w:left="1800" w:hanging="360"/>
      </w:pPr>
      <w:rPr>
        <w:rFonts w:ascii="Wingdings" w:hAnsi="Wingdings" w:hint="default"/>
      </w:rPr>
    </w:lvl>
    <w:lvl w:ilvl="3" w:tplc="A128E656" w:tentative="1">
      <w:start w:val="1"/>
      <w:numFmt w:val="bullet"/>
      <w:lvlText w:val=""/>
      <w:lvlJc w:val="left"/>
      <w:pPr>
        <w:ind w:left="2520" w:hanging="360"/>
      </w:pPr>
      <w:rPr>
        <w:rFonts w:ascii="Symbol" w:hAnsi="Symbol" w:hint="default"/>
      </w:rPr>
    </w:lvl>
    <w:lvl w:ilvl="4" w:tplc="F3E89D86" w:tentative="1">
      <w:start w:val="1"/>
      <w:numFmt w:val="bullet"/>
      <w:lvlText w:val="o"/>
      <w:lvlJc w:val="left"/>
      <w:pPr>
        <w:ind w:left="3240" w:hanging="360"/>
      </w:pPr>
      <w:rPr>
        <w:rFonts w:ascii="Courier New" w:hAnsi="Courier New" w:cs="Courier New" w:hint="default"/>
      </w:rPr>
    </w:lvl>
    <w:lvl w:ilvl="5" w:tplc="901887BC" w:tentative="1">
      <w:start w:val="1"/>
      <w:numFmt w:val="bullet"/>
      <w:lvlText w:val=""/>
      <w:lvlJc w:val="left"/>
      <w:pPr>
        <w:ind w:left="3960" w:hanging="360"/>
      </w:pPr>
      <w:rPr>
        <w:rFonts w:ascii="Wingdings" w:hAnsi="Wingdings" w:hint="default"/>
      </w:rPr>
    </w:lvl>
    <w:lvl w:ilvl="6" w:tplc="990A8D16" w:tentative="1">
      <w:start w:val="1"/>
      <w:numFmt w:val="bullet"/>
      <w:lvlText w:val=""/>
      <w:lvlJc w:val="left"/>
      <w:pPr>
        <w:ind w:left="4680" w:hanging="360"/>
      </w:pPr>
      <w:rPr>
        <w:rFonts w:ascii="Symbol" w:hAnsi="Symbol" w:hint="default"/>
      </w:rPr>
    </w:lvl>
    <w:lvl w:ilvl="7" w:tplc="2B20CDF0" w:tentative="1">
      <w:start w:val="1"/>
      <w:numFmt w:val="bullet"/>
      <w:lvlText w:val="o"/>
      <w:lvlJc w:val="left"/>
      <w:pPr>
        <w:ind w:left="5400" w:hanging="360"/>
      </w:pPr>
      <w:rPr>
        <w:rFonts w:ascii="Courier New" w:hAnsi="Courier New" w:cs="Courier New" w:hint="default"/>
      </w:rPr>
    </w:lvl>
    <w:lvl w:ilvl="8" w:tplc="0BC836F4"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4F30587E">
      <w:start w:val="1"/>
      <w:numFmt w:val="bullet"/>
      <w:lvlText w:val=""/>
      <w:lvlJc w:val="left"/>
      <w:pPr>
        <w:ind w:left="720" w:hanging="360"/>
      </w:pPr>
      <w:rPr>
        <w:rFonts w:ascii="Symbol" w:hAnsi="Symbol" w:hint="default"/>
      </w:rPr>
    </w:lvl>
    <w:lvl w:ilvl="1" w:tplc="08130019" w:tentative="1">
      <w:start w:val="1"/>
      <w:numFmt w:val="bullet"/>
      <w:lvlText w:val="o"/>
      <w:lvlJc w:val="left"/>
      <w:pPr>
        <w:ind w:left="1440" w:hanging="360"/>
      </w:pPr>
      <w:rPr>
        <w:rFonts w:ascii="Courier New" w:hAnsi="Courier New" w:cs="Courier New" w:hint="default"/>
      </w:rPr>
    </w:lvl>
    <w:lvl w:ilvl="2" w:tplc="0813001B" w:tentative="1">
      <w:start w:val="1"/>
      <w:numFmt w:val="bullet"/>
      <w:lvlText w:val=""/>
      <w:lvlJc w:val="left"/>
      <w:pPr>
        <w:ind w:left="2160" w:hanging="360"/>
      </w:pPr>
      <w:rPr>
        <w:rFonts w:ascii="Wingdings" w:hAnsi="Wingdings" w:hint="default"/>
      </w:rPr>
    </w:lvl>
    <w:lvl w:ilvl="3" w:tplc="0813000F" w:tentative="1">
      <w:start w:val="1"/>
      <w:numFmt w:val="bullet"/>
      <w:lvlText w:val=""/>
      <w:lvlJc w:val="left"/>
      <w:pPr>
        <w:ind w:left="2880" w:hanging="360"/>
      </w:pPr>
      <w:rPr>
        <w:rFonts w:ascii="Symbol" w:hAnsi="Symbol" w:hint="default"/>
      </w:rPr>
    </w:lvl>
    <w:lvl w:ilvl="4" w:tplc="08130019" w:tentative="1">
      <w:start w:val="1"/>
      <w:numFmt w:val="bullet"/>
      <w:lvlText w:val="o"/>
      <w:lvlJc w:val="left"/>
      <w:pPr>
        <w:ind w:left="3600" w:hanging="360"/>
      </w:pPr>
      <w:rPr>
        <w:rFonts w:ascii="Courier New" w:hAnsi="Courier New" w:cs="Courier New" w:hint="default"/>
      </w:rPr>
    </w:lvl>
    <w:lvl w:ilvl="5" w:tplc="0813001B" w:tentative="1">
      <w:start w:val="1"/>
      <w:numFmt w:val="bullet"/>
      <w:lvlText w:val=""/>
      <w:lvlJc w:val="left"/>
      <w:pPr>
        <w:ind w:left="4320" w:hanging="360"/>
      </w:pPr>
      <w:rPr>
        <w:rFonts w:ascii="Wingdings" w:hAnsi="Wingdings" w:hint="default"/>
      </w:rPr>
    </w:lvl>
    <w:lvl w:ilvl="6" w:tplc="0813000F" w:tentative="1">
      <w:start w:val="1"/>
      <w:numFmt w:val="bullet"/>
      <w:lvlText w:val=""/>
      <w:lvlJc w:val="left"/>
      <w:pPr>
        <w:ind w:left="5040" w:hanging="360"/>
      </w:pPr>
      <w:rPr>
        <w:rFonts w:ascii="Symbol" w:hAnsi="Symbol" w:hint="default"/>
      </w:rPr>
    </w:lvl>
    <w:lvl w:ilvl="7" w:tplc="08130019" w:tentative="1">
      <w:start w:val="1"/>
      <w:numFmt w:val="bullet"/>
      <w:lvlText w:val="o"/>
      <w:lvlJc w:val="left"/>
      <w:pPr>
        <w:ind w:left="5760" w:hanging="360"/>
      </w:pPr>
      <w:rPr>
        <w:rFonts w:ascii="Courier New" w:hAnsi="Courier New" w:cs="Courier New" w:hint="default"/>
      </w:rPr>
    </w:lvl>
    <w:lvl w:ilvl="8" w:tplc="0813001B" w:tentative="1">
      <w:start w:val="1"/>
      <w:numFmt w:val="bullet"/>
      <w:lvlText w:val=""/>
      <w:lvlJc w:val="left"/>
      <w:pPr>
        <w:ind w:left="6480" w:hanging="360"/>
      </w:pPr>
      <w:rPr>
        <w:rFonts w:ascii="Wingdings" w:hAnsi="Wingdings" w:hint="default"/>
      </w:rPr>
    </w:lvl>
  </w:abstractNum>
  <w:abstractNum w:abstractNumId="9">
    <w:nsid w:val="33952B7A"/>
    <w:multiLevelType w:val="hybridMultilevel"/>
    <w:tmpl w:val="6174F5A0"/>
    <w:lvl w:ilvl="0" w:tplc="8F007132">
      <w:start w:val="1"/>
      <w:numFmt w:val="bullet"/>
      <w:lvlText w:val=""/>
      <w:lvlJc w:val="left"/>
      <w:pPr>
        <w:ind w:left="720"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0">
    <w:nsid w:val="42324C50"/>
    <w:multiLevelType w:val="hybridMultilevel"/>
    <w:tmpl w:val="B67E6D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40663CB"/>
    <w:multiLevelType w:val="hybridMultilevel"/>
    <w:tmpl w:val="B3F40CA6"/>
    <w:lvl w:ilvl="0" w:tplc="B12C7362">
      <w:start w:val="1"/>
      <w:numFmt w:val="bullet"/>
      <w:lvlText w:val=""/>
      <w:lvlJc w:val="left"/>
      <w:pPr>
        <w:ind w:left="360" w:hanging="360"/>
      </w:pPr>
      <w:rPr>
        <w:rFonts w:ascii="Symbol" w:hAnsi="Symbol" w:hint="default"/>
      </w:rPr>
    </w:lvl>
    <w:lvl w:ilvl="1" w:tplc="08130003">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44261A85"/>
    <w:multiLevelType w:val="hybridMultilevel"/>
    <w:tmpl w:val="5A5CEE6E"/>
    <w:lvl w:ilvl="0" w:tplc="04090001">
      <w:start w:val="1"/>
      <w:numFmt w:val="decimal"/>
      <w:pStyle w:val="04aNumbering"/>
      <w:lvlText w:val="%1."/>
      <w:lvlJc w:val="left"/>
      <w:pPr>
        <w:tabs>
          <w:tab w:val="num" w:pos="284"/>
        </w:tabs>
        <w:ind w:left="284" w:hanging="284"/>
      </w:pPr>
      <w:rPr>
        <w:rFonts w:ascii="Georgia" w:hAnsi="Georgia" w:hint="default"/>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45A91E58"/>
    <w:multiLevelType w:val="hybridMultilevel"/>
    <w:tmpl w:val="BFE08AAC"/>
    <w:lvl w:ilvl="0" w:tplc="ACB06F0C">
      <w:start w:val="1"/>
      <w:numFmt w:val="bullet"/>
      <w:lvlText w:val=""/>
      <w:lvlJc w:val="left"/>
      <w:pPr>
        <w:ind w:left="720" w:hanging="360"/>
      </w:pPr>
      <w:rPr>
        <w:rFonts w:ascii="Symbol" w:hAnsi="Symbol" w:hint="default"/>
      </w:rPr>
    </w:lvl>
    <w:lvl w:ilvl="1" w:tplc="E7564B96">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4">
    <w:nsid w:val="461305C4"/>
    <w:multiLevelType w:val="hybridMultilevel"/>
    <w:tmpl w:val="FF481964"/>
    <w:lvl w:ilvl="0" w:tplc="0F768706">
      <w:start w:val="1"/>
      <w:numFmt w:val="bullet"/>
      <w:pStyle w:val="ListParagraph"/>
      <w:lvlText w:val=""/>
      <w:lvlJc w:val="left"/>
      <w:pPr>
        <w:ind w:left="720" w:hanging="360"/>
      </w:pPr>
      <w:rPr>
        <w:rFonts w:ascii="Symbol" w:hAnsi="Symbol" w:hint="default"/>
      </w:rPr>
    </w:lvl>
    <w:lvl w:ilvl="1" w:tplc="04070019">
      <w:start w:val="1"/>
      <w:numFmt w:val="bullet"/>
      <w:lvlText w:val="o"/>
      <w:lvlJc w:val="left"/>
      <w:pPr>
        <w:ind w:left="1440" w:hanging="360"/>
      </w:pPr>
      <w:rPr>
        <w:rFonts w:ascii="Courier New" w:hAnsi="Courier New" w:cs="Courier New"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5">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C5C3197"/>
    <w:multiLevelType w:val="hybridMultilevel"/>
    <w:tmpl w:val="475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512516"/>
    <w:multiLevelType w:val="hybridMultilevel"/>
    <w:tmpl w:val="DC265E86"/>
    <w:lvl w:ilvl="0" w:tplc="D478AFD4">
      <w:start w:val="1"/>
      <w:numFmt w:val="bullet"/>
      <w:lvlText w:val=""/>
      <w:lvlJc w:val="left"/>
      <w:pPr>
        <w:ind w:left="720" w:hanging="360"/>
      </w:pPr>
      <w:rPr>
        <w:rFonts w:ascii="Symbol" w:hAnsi="Symbol" w:hint="default"/>
      </w:rPr>
    </w:lvl>
    <w:lvl w:ilvl="1" w:tplc="EE46B6AE">
      <w:start w:val="1"/>
      <w:numFmt w:val="decimal"/>
      <w:lvlText w:val="%2."/>
      <w:lvlJc w:val="left"/>
      <w:pPr>
        <w:tabs>
          <w:tab w:val="num" w:pos="1440"/>
        </w:tabs>
        <w:ind w:left="1440" w:hanging="360"/>
      </w:pPr>
    </w:lvl>
    <w:lvl w:ilvl="2" w:tplc="AB601032">
      <w:start w:val="1"/>
      <w:numFmt w:val="decimal"/>
      <w:lvlText w:val="%3."/>
      <w:lvlJc w:val="left"/>
      <w:pPr>
        <w:tabs>
          <w:tab w:val="num" w:pos="2160"/>
        </w:tabs>
        <w:ind w:left="2160" w:hanging="360"/>
      </w:pPr>
    </w:lvl>
    <w:lvl w:ilvl="3" w:tplc="97FC3C9A">
      <w:start w:val="1"/>
      <w:numFmt w:val="decimal"/>
      <w:lvlText w:val="%4."/>
      <w:lvlJc w:val="left"/>
      <w:pPr>
        <w:tabs>
          <w:tab w:val="num" w:pos="2880"/>
        </w:tabs>
        <w:ind w:left="2880" w:hanging="360"/>
      </w:pPr>
    </w:lvl>
    <w:lvl w:ilvl="4" w:tplc="6B5E4FAC">
      <w:start w:val="1"/>
      <w:numFmt w:val="decimal"/>
      <w:lvlText w:val="%5."/>
      <w:lvlJc w:val="left"/>
      <w:pPr>
        <w:tabs>
          <w:tab w:val="num" w:pos="3600"/>
        </w:tabs>
        <w:ind w:left="3600" w:hanging="360"/>
      </w:pPr>
    </w:lvl>
    <w:lvl w:ilvl="5" w:tplc="0B8A0FAA">
      <w:start w:val="1"/>
      <w:numFmt w:val="decimal"/>
      <w:lvlText w:val="%6."/>
      <w:lvlJc w:val="left"/>
      <w:pPr>
        <w:tabs>
          <w:tab w:val="num" w:pos="4320"/>
        </w:tabs>
        <w:ind w:left="4320" w:hanging="360"/>
      </w:pPr>
    </w:lvl>
    <w:lvl w:ilvl="6" w:tplc="416E7A62">
      <w:start w:val="1"/>
      <w:numFmt w:val="decimal"/>
      <w:lvlText w:val="%7."/>
      <w:lvlJc w:val="left"/>
      <w:pPr>
        <w:tabs>
          <w:tab w:val="num" w:pos="5040"/>
        </w:tabs>
        <w:ind w:left="5040" w:hanging="360"/>
      </w:pPr>
    </w:lvl>
    <w:lvl w:ilvl="7" w:tplc="9CDC18CC">
      <w:start w:val="1"/>
      <w:numFmt w:val="decimal"/>
      <w:lvlText w:val="%8."/>
      <w:lvlJc w:val="left"/>
      <w:pPr>
        <w:tabs>
          <w:tab w:val="num" w:pos="5760"/>
        </w:tabs>
        <w:ind w:left="5760" w:hanging="360"/>
      </w:pPr>
    </w:lvl>
    <w:lvl w:ilvl="8" w:tplc="946A0F50">
      <w:start w:val="1"/>
      <w:numFmt w:val="decimal"/>
      <w:lvlText w:val="%9."/>
      <w:lvlJc w:val="left"/>
      <w:pPr>
        <w:tabs>
          <w:tab w:val="num" w:pos="6480"/>
        </w:tabs>
        <w:ind w:left="6480" w:hanging="360"/>
      </w:pPr>
    </w:lvl>
  </w:abstractNum>
  <w:abstractNum w:abstractNumId="18">
    <w:nsid w:val="603D54EF"/>
    <w:multiLevelType w:val="hybridMultilevel"/>
    <w:tmpl w:val="C1BA9B24"/>
    <w:lvl w:ilvl="0" w:tplc="682E3B26">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2FA5A6D"/>
    <w:multiLevelType w:val="hybridMultilevel"/>
    <w:tmpl w:val="8C784834"/>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
    <w:nsid w:val="6894475C"/>
    <w:multiLevelType w:val="hybridMultilevel"/>
    <w:tmpl w:val="BAD4FE22"/>
    <w:lvl w:ilvl="0" w:tplc="682E3B26">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1">
    <w:nsid w:val="698D152E"/>
    <w:multiLevelType w:val="hybridMultilevel"/>
    <w:tmpl w:val="65FE3BC8"/>
    <w:lvl w:ilvl="0" w:tplc="682E3B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6C216AED"/>
    <w:multiLevelType w:val="hybridMultilevel"/>
    <w:tmpl w:val="9BD02AA4"/>
    <w:lvl w:ilvl="0" w:tplc="682E3B26">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5">
    <w:nsid w:val="6E285623"/>
    <w:multiLevelType w:val="hybridMultilevel"/>
    <w:tmpl w:val="969C8580"/>
    <w:lvl w:ilvl="0" w:tplc="682E3B26">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6">
    <w:nsid w:val="726443DD"/>
    <w:multiLevelType w:val="hybridMultilevel"/>
    <w:tmpl w:val="4FCCBD64"/>
    <w:lvl w:ilvl="0" w:tplc="E2767946">
      <w:start w:val="1"/>
      <w:numFmt w:val="lowerRoman"/>
      <w:lvlText w:val="%1."/>
      <w:lvlJc w:val="right"/>
      <w:pPr>
        <w:ind w:left="720" w:hanging="360"/>
      </w:pPr>
    </w:lvl>
    <w:lvl w:ilvl="1" w:tplc="D81686FE" w:tentative="1">
      <w:start w:val="1"/>
      <w:numFmt w:val="lowerLetter"/>
      <w:lvlText w:val="%2."/>
      <w:lvlJc w:val="left"/>
      <w:pPr>
        <w:ind w:left="1440" w:hanging="360"/>
      </w:pPr>
    </w:lvl>
    <w:lvl w:ilvl="2" w:tplc="1F52D1F0" w:tentative="1">
      <w:start w:val="1"/>
      <w:numFmt w:val="lowerRoman"/>
      <w:lvlText w:val="%3."/>
      <w:lvlJc w:val="right"/>
      <w:pPr>
        <w:ind w:left="2160" w:hanging="180"/>
      </w:pPr>
    </w:lvl>
    <w:lvl w:ilvl="3" w:tplc="8BACE888" w:tentative="1">
      <w:start w:val="1"/>
      <w:numFmt w:val="decimal"/>
      <w:lvlText w:val="%4."/>
      <w:lvlJc w:val="left"/>
      <w:pPr>
        <w:ind w:left="2880" w:hanging="360"/>
      </w:pPr>
    </w:lvl>
    <w:lvl w:ilvl="4" w:tplc="55CC0EA4" w:tentative="1">
      <w:start w:val="1"/>
      <w:numFmt w:val="lowerLetter"/>
      <w:lvlText w:val="%5."/>
      <w:lvlJc w:val="left"/>
      <w:pPr>
        <w:ind w:left="3600" w:hanging="360"/>
      </w:pPr>
    </w:lvl>
    <w:lvl w:ilvl="5" w:tplc="08D4EA04" w:tentative="1">
      <w:start w:val="1"/>
      <w:numFmt w:val="lowerRoman"/>
      <w:lvlText w:val="%6."/>
      <w:lvlJc w:val="right"/>
      <w:pPr>
        <w:ind w:left="4320" w:hanging="180"/>
      </w:pPr>
    </w:lvl>
    <w:lvl w:ilvl="6" w:tplc="329E63D6" w:tentative="1">
      <w:start w:val="1"/>
      <w:numFmt w:val="decimal"/>
      <w:lvlText w:val="%7."/>
      <w:lvlJc w:val="left"/>
      <w:pPr>
        <w:ind w:left="5040" w:hanging="360"/>
      </w:pPr>
    </w:lvl>
    <w:lvl w:ilvl="7" w:tplc="A106E09E" w:tentative="1">
      <w:start w:val="1"/>
      <w:numFmt w:val="lowerLetter"/>
      <w:lvlText w:val="%8."/>
      <w:lvlJc w:val="left"/>
      <w:pPr>
        <w:ind w:left="5760" w:hanging="360"/>
      </w:pPr>
    </w:lvl>
    <w:lvl w:ilvl="8" w:tplc="BA666774" w:tentative="1">
      <w:start w:val="1"/>
      <w:numFmt w:val="lowerRoman"/>
      <w:lvlText w:val="%9."/>
      <w:lvlJc w:val="right"/>
      <w:pPr>
        <w:ind w:left="6480" w:hanging="180"/>
      </w:pPr>
    </w:lvl>
  </w:abstractNum>
  <w:abstractNum w:abstractNumId="27">
    <w:nsid w:val="76AC0950"/>
    <w:multiLevelType w:val="hybridMultilevel"/>
    <w:tmpl w:val="C47440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5"/>
  </w:num>
  <w:num w:numId="3">
    <w:abstractNumId w:val="22"/>
  </w:num>
  <w:num w:numId="4">
    <w:abstractNumId w:val="6"/>
  </w:num>
  <w:num w:numId="5">
    <w:abstractNumId w:val="19"/>
  </w:num>
  <w:num w:numId="6">
    <w:abstractNumId w:val="11"/>
  </w:num>
  <w:num w:numId="7">
    <w:abstractNumId w:val="0"/>
  </w:num>
  <w:num w:numId="8">
    <w:abstractNumId w:val="7"/>
  </w:num>
  <w:num w:numId="9">
    <w:abstractNumId w:val="4"/>
  </w:num>
  <w:num w:numId="10">
    <w:abstractNumId w:val="2"/>
  </w:num>
  <w:num w:numId="11">
    <w:abstractNumId w:val="20"/>
  </w:num>
  <w:num w:numId="12">
    <w:abstractNumId w:val="8"/>
  </w:num>
  <w:num w:numId="13">
    <w:abstractNumId w:val="23"/>
  </w:num>
  <w:num w:numId="14">
    <w:abstractNumId w:val="12"/>
  </w:num>
  <w:num w:numId="15">
    <w:abstractNumId w:val="16"/>
  </w:num>
  <w:num w:numId="16">
    <w:abstractNumId w:val="1"/>
  </w:num>
  <w:num w:numId="17">
    <w:abstractNumId w:val="26"/>
  </w:num>
  <w:num w:numId="18">
    <w:abstractNumId w:val="3"/>
  </w:num>
  <w:num w:numId="19">
    <w:abstractNumId w:val="24"/>
  </w:num>
  <w:num w:numId="2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num>
  <w:num w:numId="2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9"/>
    <w:lvlOverride w:ilvl="0">
      <w:startOverride w:val="1"/>
    </w:lvlOverride>
  </w:num>
  <w:num w:numId="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9"/>
    <w:lvlOverride w:ilvl="0">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
  <w:rsids>
    <w:rsidRoot w:val="00C212A5"/>
    <w:rsid w:val="00011B5F"/>
    <w:rsid w:val="00012D68"/>
    <w:rsid w:val="00020300"/>
    <w:rsid w:val="000372BF"/>
    <w:rsid w:val="00044C5A"/>
    <w:rsid w:val="00045C66"/>
    <w:rsid w:val="00052DCD"/>
    <w:rsid w:val="0005509E"/>
    <w:rsid w:val="00056F89"/>
    <w:rsid w:val="000632C2"/>
    <w:rsid w:val="0006528D"/>
    <w:rsid w:val="00065729"/>
    <w:rsid w:val="000848C5"/>
    <w:rsid w:val="000932BC"/>
    <w:rsid w:val="000A3D10"/>
    <w:rsid w:val="000B5D3D"/>
    <w:rsid w:val="000C0CE0"/>
    <w:rsid w:val="000D1038"/>
    <w:rsid w:val="00130EF9"/>
    <w:rsid w:val="001319C7"/>
    <w:rsid w:val="00133C8C"/>
    <w:rsid w:val="0013582E"/>
    <w:rsid w:val="00136584"/>
    <w:rsid w:val="00144AAD"/>
    <w:rsid w:val="00164F9C"/>
    <w:rsid w:val="00175C8D"/>
    <w:rsid w:val="0017613C"/>
    <w:rsid w:val="00177E7C"/>
    <w:rsid w:val="00192A12"/>
    <w:rsid w:val="001B0346"/>
    <w:rsid w:val="001B2151"/>
    <w:rsid w:val="001B3CFF"/>
    <w:rsid w:val="001B4996"/>
    <w:rsid w:val="001B7637"/>
    <w:rsid w:val="001C0786"/>
    <w:rsid w:val="001D3D61"/>
    <w:rsid w:val="001D47A5"/>
    <w:rsid w:val="001F3D9D"/>
    <w:rsid w:val="002134DE"/>
    <w:rsid w:val="00230F50"/>
    <w:rsid w:val="002574D1"/>
    <w:rsid w:val="00287C8F"/>
    <w:rsid w:val="00296A93"/>
    <w:rsid w:val="00296EA1"/>
    <w:rsid w:val="002E0F9E"/>
    <w:rsid w:val="002E1C11"/>
    <w:rsid w:val="00314117"/>
    <w:rsid w:val="00317EDF"/>
    <w:rsid w:val="003279E7"/>
    <w:rsid w:val="0033324D"/>
    <w:rsid w:val="003454ED"/>
    <w:rsid w:val="003566E8"/>
    <w:rsid w:val="00366D42"/>
    <w:rsid w:val="00375BA2"/>
    <w:rsid w:val="0038331A"/>
    <w:rsid w:val="003B72CF"/>
    <w:rsid w:val="003C4EB5"/>
    <w:rsid w:val="003F190A"/>
    <w:rsid w:val="003F39B1"/>
    <w:rsid w:val="00401964"/>
    <w:rsid w:val="00406D10"/>
    <w:rsid w:val="00435FE9"/>
    <w:rsid w:val="00445696"/>
    <w:rsid w:val="00455213"/>
    <w:rsid w:val="00484BC5"/>
    <w:rsid w:val="00486D05"/>
    <w:rsid w:val="00487944"/>
    <w:rsid w:val="004B4878"/>
    <w:rsid w:val="00526E5D"/>
    <w:rsid w:val="0053317D"/>
    <w:rsid w:val="005434F2"/>
    <w:rsid w:val="005551A8"/>
    <w:rsid w:val="00565193"/>
    <w:rsid w:val="00567A59"/>
    <w:rsid w:val="0057799E"/>
    <w:rsid w:val="00577C33"/>
    <w:rsid w:val="005811DF"/>
    <w:rsid w:val="0059703C"/>
    <w:rsid w:val="005A21B6"/>
    <w:rsid w:val="005A567B"/>
    <w:rsid w:val="005B6B12"/>
    <w:rsid w:val="005D2DE7"/>
    <w:rsid w:val="005E7969"/>
    <w:rsid w:val="0060250A"/>
    <w:rsid w:val="00606DB1"/>
    <w:rsid w:val="00612592"/>
    <w:rsid w:val="00624201"/>
    <w:rsid w:val="0063565E"/>
    <w:rsid w:val="00636E02"/>
    <w:rsid w:val="00642297"/>
    <w:rsid w:val="00644A34"/>
    <w:rsid w:val="00657060"/>
    <w:rsid w:val="00660CF5"/>
    <w:rsid w:val="00662882"/>
    <w:rsid w:val="00665A7C"/>
    <w:rsid w:val="00671363"/>
    <w:rsid w:val="00675752"/>
    <w:rsid w:val="00694E1F"/>
    <w:rsid w:val="006A7A10"/>
    <w:rsid w:val="006B0DA4"/>
    <w:rsid w:val="006B1B6B"/>
    <w:rsid w:val="006B3A90"/>
    <w:rsid w:val="006B7B86"/>
    <w:rsid w:val="006D48A6"/>
    <w:rsid w:val="006F53E8"/>
    <w:rsid w:val="00706072"/>
    <w:rsid w:val="00744B5C"/>
    <w:rsid w:val="00754B57"/>
    <w:rsid w:val="00760B3C"/>
    <w:rsid w:val="00764248"/>
    <w:rsid w:val="00797E0C"/>
    <w:rsid w:val="007B69B4"/>
    <w:rsid w:val="007C2ED5"/>
    <w:rsid w:val="007E38CA"/>
    <w:rsid w:val="007E7997"/>
    <w:rsid w:val="00830D00"/>
    <w:rsid w:val="0083191D"/>
    <w:rsid w:val="00846692"/>
    <w:rsid w:val="0085250D"/>
    <w:rsid w:val="00867DB2"/>
    <w:rsid w:val="0089075A"/>
    <w:rsid w:val="00893326"/>
    <w:rsid w:val="008C297C"/>
    <w:rsid w:val="008C58A2"/>
    <w:rsid w:val="008C767A"/>
    <w:rsid w:val="008D5C28"/>
    <w:rsid w:val="009243C8"/>
    <w:rsid w:val="00930210"/>
    <w:rsid w:val="00940EFD"/>
    <w:rsid w:val="00945800"/>
    <w:rsid w:val="0094692A"/>
    <w:rsid w:val="00957ED9"/>
    <w:rsid w:val="00961401"/>
    <w:rsid w:val="009663D9"/>
    <w:rsid w:val="00971408"/>
    <w:rsid w:val="0099526D"/>
    <w:rsid w:val="009C7694"/>
    <w:rsid w:val="009D7294"/>
    <w:rsid w:val="009E5107"/>
    <w:rsid w:val="00A026A4"/>
    <w:rsid w:val="00A34EAE"/>
    <w:rsid w:val="00A410CC"/>
    <w:rsid w:val="00A42B43"/>
    <w:rsid w:val="00A501F5"/>
    <w:rsid w:val="00A53AF0"/>
    <w:rsid w:val="00A72492"/>
    <w:rsid w:val="00A800EF"/>
    <w:rsid w:val="00A91D91"/>
    <w:rsid w:val="00AA054E"/>
    <w:rsid w:val="00AB7542"/>
    <w:rsid w:val="00AC51B9"/>
    <w:rsid w:val="00AC79E0"/>
    <w:rsid w:val="00AE4FC7"/>
    <w:rsid w:val="00AE6C93"/>
    <w:rsid w:val="00AF3B7F"/>
    <w:rsid w:val="00B04283"/>
    <w:rsid w:val="00B11730"/>
    <w:rsid w:val="00B15C0B"/>
    <w:rsid w:val="00B17AF3"/>
    <w:rsid w:val="00B27499"/>
    <w:rsid w:val="00B40D81"/>
    <w:rsid w:val="00B50534"/>
    <w:rsid w:val="00B52E10"/>
    <w:rsid w:val="00B655D1"/>
    <w:rsid w:val="00B87E17"/>
    <w:rsid w:val="00B91B6E"/>
    <w:rsid w:val="00B944A7"/>
    <w:rsid w:val="00BB449C"/>
    <w:rsid w:val="00BC2561"/>
    <w:rsid w:val="00BC422A"/>
    <w:rsid w:val="00BD03C5"/>
    <w:rsid w:val="00BE225E"/>
    <w:rsid w:val="00BF25CD"/>
    <w:rsid w:val="00C020F1"/>
    <w:rsid w:val="00C0358F"/>
    <w:rsid w:val="00C035F1"/>
    <w:rsid w:val="00C0696A"/>
    <w:rsid w:val="00C212A5"/>
    <w:rsid w:val="00C246F7"/>
    <w:rsid w:val="00C554F5"/>
    <w:rsid w:val="00C978C6"/>
    <w:rsid w:val="00CB50EF"/>
    <w:rsid w:val="00CB791A"/>
    <w:rsid w:val="00CD47B2"/>
    <w:rsid w:val="00CE49F8"/>
    <w:rsid w:val="00CF6A40"/>
    <w:rsid w:val="00D07274"/>
    <w:rsid w:val="00D14F6A"/>
    <w:rsid w:val="00D21DC8"/>
    <w:rsid w:val="00D22F2F"/>
    <w:rsid w:val="00D307FE"/>
    <w:rsid w:val="00D46275"/>
    <w:rsid w:val="00D531A0"/>
    <w:rsid w:val="00D73338"/>
    <w:rsid w:val="00D978C6"/>
    <w:rsid w:val="00DC31A1"/>
    <w:rsid w:val="00DE6671"/>
    <w:rsid w:val="00DF1ED8"/>
    <w:rsid w:val="00DF3785"/>
    <w:rsid w:val="00E128CD"/>
    <w:rsid w:val="00E24D42"/>
    <w:rsid w:val="00E3456B"/>
    <w:rsid w:val="00E36C4A"/>
    <w:rsid w:val="00E640E2"/>
    <w:rsid w:val="00E93415"/>
    <w:rsid w:val="00EA2103"/>
    <w:rsid w:val="00EC2C93"/>
    <w:rsid w:val="00EC6BD8"/>
    <w:rsid w:val="00ED74D7"/>
    <w:rsid w:val="00EE5E21"/>
    <w:rsid w:val="00EF667D"/>
    <w:rsid w:val="00F173B1"/>
    <w:rsid w:val="00F226E0"/>
    <w:rsid w:val="00F401BC"/>
    <w:rsid w:val="00F53CBE"/>
    <w:rsid w:val="00F5412D"/>
    <w:rsid w:val="00F54C43"/>
    <w:rsid w:val="00F67EBD"/>
    <w:rsid w:val="00F80FAB"/>
    <w:rsid w:val="00FB24ED"/>
    <w:rsid w:val="00FC48DE"/>
    <w:rsid w:val="00FC59F2"/>
    <w:rsid w:val="00FE0BD8"/>
    <w:rsid w:val="00FE168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A34EAE"/>
    <w:pPr>
      <w:numPr>
        <w:numId w:val="32"/>
      </w:numPr>
      <w:spacing w:line="240" w:lineRule="auto"/>
      <w:jc w:val="left"/>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230F50"/>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r="http://schemas.openxmlformats.org/officeDocument/2006/relationships" xmlns:w="http://schemas.openxmlformats.org/wordprocessingml/2006/main">
  <w:divs>
    <w:div w:id="167604540">
      <w:bodyDiv w:val="1"/>
      <w:marLeft w:val="0"/>
      <w:marRight w:val="0"/>
      <w:marTop w:val="0"/>
      <w:marBottom w:val="0"/>
      <w:divBdr>
        <w:top w:val="none" w:sz="0" w:space="0" w:color="auto"/>
        <w:left w:val="none" w:sz="0" w:space="0" w:color="auto"/>
        <w:bottom w:val="none" w:sz="0" w:space="0" w:color="auto"/>
        <w:right w:val="none" w:sz="0" w:space="0" w:color="auto"/>
      </w:divBdr>
    </w:div>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7087316">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498885094">
      <w:bodyDiv w:val="1"/>
      <w:marLeft w:val="0"/>
      <w:marRight w:val="0"/>
      <w:marTop w:val="0"/>
      <w:marBottom w:val="0"/>
      <w:divBdr>
        <w:top w:val="none" w:sz="0" w:space="0" w:color="auto"/>
        <w:left w:val="none" w:sz="0" w:space="0" w:color="auto"/>
        <w:bottom w:val="none" w:sz="0" w:space="0" w:color="auto"/>
        <w:right w:val="none" w:sz="0" w:space="0" w:color="auto"/>
      </w:divBdr>
    </w:div>
    <w:div w:id="779180922">
      <w:bodyDiv w:val="1"/>
      <w:marLeft w:val="0"/>
      <w:marRight w:val="0"/>
      <w:marTop w:val="0"/>
      <w:marBottom w:val="0"/>
      <w:divBdr>
        <w:top w:val="none" w:sz="0" w:space="0" w:color="auto"/>
        <w:left w:val="none" w:sz="0" w:space="0" w:color="auto"/>
        <w:bottom w:val="none" w:sz="0" w:space="0" w:color="auto"/>
        <w:right w:val="none" w:sz="0" w:space="0" w:color="auto"/>
      </w:divBdr>
    </w:div>
    <w:div w:id="784034883">
      <w:bodyDiv w:val="1"/>
      <w:marLeft w:val="0"/>
      <w:marRight w:val="0"/>
      <w:marTop w:val="0"/>
      <w:marBottom w:val="0"/>
      <w:divBdr>
        <w:top w:val="none" w:sz="0" w:space="0" w:color="auto"/>
        <w:left w:val="none" w:sz="0" w:space="0" w:color="auto"/>
        <w:bottom w:val="none" w:sz="0" w:space="0" w:color="auto"/>
        <w:right w:val="none" w:sz="0" w:space="0" w:color="auto"/>
      </w:divBdr>
    </w:div>
    <w:div w:id="805322217">
      <w:bodyDiv w:val="1"/>
      <w:marLeft w:val="0"/>
      <w:marRight w:val="0"/>
      <w:marTop w:val="0"/>
      <w:marBottom w:val="0"/>
      <w:divBdr>
        <w:top w:val="none" w:sz="0" w:space="0" w:color="auto"/>
        <w:left w:val="none" w:sz="0" w:space="0" w:color="auto"/>
        <w:bottom w:val="none" w:sz="0" w:space="0" w:color="auto"/>
        <w:right w:val="none" w:sz="0" w:space="0" w:color="auto"/>
      </w:divBdr>
    </w:div>
    <w:div w:id="950087952">
      <w:bodyDiv w:val="1"/>
      <w:marLeft w:val="0"/>
      <w:marRight w:val="0"/>
      <w:marTop w:val="0"/>
      <w:marBottom w:val="0"/>
      <w:divBdr>
        <w:top w:val="none" w:sz="0" w:space="0" w:color="auto"/>
        <w:left w:val="none" w:sz="0" w:space="0" w:color="auto"/>
        <w:bottom w:val="none" w:sz="0" w:space="0" w:color="auto"/>
        <w:right w:val="none" w:sz="0" w:space="0" w:color="auto"/>
      </w:divBdr>
    </w:div>
    <w:div w:id="960262786">
      <w:bodyDiv w:val="1"/>
      <w:marLeft w:val="0"/>
      <w:marRight w:val="0"/>
      <w:marTop w:val="0"/>
      <w:marBottom w:val="0"/>
      <w:divBdr>
        <w:top w:val="none" w:sz="0" w:space="0" w:color="auto"/>
        <w:left w:val="none" w:sz="0" w:space="0" w:color="auto"/>
        <w:bottom w:val="none" w:sz="0" w:space="0" w:color="auto"/>
        <w:right w:val="none" w:sz="0" w:space="0" w:color="auto"/>
      </w:divBdr>
    </w:div>
    <w:div w:id="1006441296">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34123584">
      <w:bodyDiv w:val="1"/>
      <w:marLeft w:val="0"/>
      <w:marRight w:val="0"/>
      <w:marTop w:val="0"/>
      <w:marBottom w:val="0"/>
      <w:divBdr>
        <w:top w:val="none" w:sz="0" w:space="0" w:color="auto"/>
        <w:left w:val="none" w:sz="0" w:space="0" w:color="auto"/>
        <w:bottom w:val="none" w:sz="0" w:space="0" w:color="auto"/>
        <w:right w:val="none" w:sz="0" w:space="0" w:color="auto"/>
      </w:divBdr>
    </w:div>
    <w:div w:id="1337996183">
      <w:bodyDiv w:val="1"/>
      <w:marLeft w:val="0"/>
      <w:marRight w:val="0"/>
      <w:marTop w:val="0"/>
      <w:marBottom w:val="0"/>
      <w:divBdr>
        <w:top w:val="none" w:sz="0" w:space="0" w:color="auto"/>
        <w:left w:val="none" w:sz="0" w:space="0" w:color="auto"/>
        <w:bottom w:val="none" w:sz="0" w:space="0" w:color="auto"/>
        <w:right w:val="none" w:sz="0" w:space="0" w:color="auto"/>
      </w:divBdr>
    </w:div>
    <w:div w:id="1362703965">
      <w:bodyDiv w:val="1"/>
      <w:marLeft w:val="0"/>
      <w:marRight w:val="0"/>
      <w:marTop w:val="0"/>
      <w:marBottom w:val="0"/>
      <w:divBdr>
        <w:top w:val="none" w:sz="0" w:space="0" w:color="auto"/>
        <w:left w:val="none" w:sz="0" w:space="0" w:color="auto"/>
        <w:bottom w:val="none" w:sz="0" w:space="0" w:color="auto"/>
        <w:right w:val="none" w:sz="0" w:space="0" w:color="auto"/>
      </w:divBdr>
    </w:div>
    <w:div w:id="1386414117">
      <w:bodyDiv w:val="1"/>
      <w:marLeft w:val="0"/>
      <w:marRight w:val="0"/>
      <w:marTop w:val="0"/>
      <w:marBottom w:val="0"/>
      <w:divBdr>
        <w:top w:val="none" w:sz="0" w:space="0" w:color="auto"/>
        <w:left w:val="none" w:sz="0" w:space="0" w:color="auto"/>
        <w:bottom w:val="none" w:sz="0" w:space="0" w:color="auto"/>
        <w:right w:val="none" w:sz="0" w:space="0" w:color="auto"/>
      </w:divBdr>
    </w:div>
    <w:div w:id="1479957266">
      <w:bodyDiv w:val="1"/>
      <w:marLeft w:val="0"/>
      <w:marRight w:val="0"/>
      <w:marTop w:val="0"/>
      <w:marBottom w:val="0"/>
      <w:divBdr>
        <w:top w:val="none" w:sz="0" w:space="0" w:color="auto"/>
        <w:left w:val="none" w:sz="0" w:space="0" w:color="auto"/>
        <w:bottom w:val="none" w:sz="0" w:space="0" w:color="auto"/>
        <w:right w:val="none" w:sz="0" w:space="0" w:color="auto"/>
      </w:divBdr>
    </w:div>
    <w:div w:id="1520042146">
      <w:bodyDiv w:val="1"/>
      <w:marLeft w:val="0"/>
      <w:marRight w:val="0"/>
      <w:marTop w:val="0"/>
      <w:marBottom w:val="0"/>
      <w:divBdr>
        <w:top w:val="none" w:sz="0" w:space="0" w:color="auto"/>
        <w:left w:val="none" w:sz="0" w:space="0" w:color="auto"/>
        <w:bottom w:val="none" w:sz="0" w:space="0" w:color="auto"/>
        <w:right w:val="none" w:sz="0" w:space="0" w:color="auto"/>
      </w:divBdr>
    </w:div>
    <w:div w:id="1568145874">
      <w:bodyDiv w:val="1"/>
      <w:marLeft w:val="0"/>
      <w:marRight w:val="0"/>
      <w:marTop w:val="0"/>
      <w:marBottom w:val="0"/>
      <w:divBdr>
        <w:top w:val="none" w:sz="0" w:space="0" w:color="auto"/>
        <w:left w:val="none" w:sz="0" w:space="0" w:color="auto"/>
        <w:bottom w:val="none" w:sz="0" w:space="0" w:color="auto"/>
        <w:right w:val="none" w:sz="0" w:space="0" w:color="auto"/>
      </w:divBdr>
    </w:div>
    <w:div w:id="1596282386">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49713998">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191747407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 w:id="213204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BC2C8-9303-4919-BFEE-79795B8E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1</TotalTime>
  <Pages>72</Pages>
  <Words>23125</Words>
  <Characters>131813</Characters>
  <Application>Microsoft Office Word</Application>
  <DocSecurity>8</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154629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Jan Frederic Eger</cp:lastModifiedBy>
  <cp:revision>3</cp:revision>
  <dcterms:created xsi:type="dcterms:W3CDTF">2015-03-02T13:58:00Z</dcterms:created>
  <dcterms:modified xsi:type="dcterms:W3CDTF">2015-03-02T13:59:00Z</dcterms:modified>
</cp:coreProperties>
</file>