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id w:val="-973058580"/>
        <w:docPartObj>
          <w:docPartGallery w:val="Cover Pages"/>
          <w:docPartUnique/>
        </w:docPartObj>
      </w:sdt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el"/>
                  <w:jc w:val="right"/>
                  <w:rPr>
                    <w:sz w:val="48"/>
                    <w:szCs w:val="48"/>
                  </w:rPr>
                </w:pPr>
                <w:r w:rsidRPr="00EA2103">
                  <w:rPr>
                    <w:sz w:val="48"/>
                    <w:szCs w:val="48"/>
                  </w:rPr>
                  <w:t xml:space="preserve">Reply form for the </w:t>
                </w:r>
              </w:p>
              <w:p w:rsidR="007E7997" w:rsidRPr="005B6B12" w:rsidRDefault="00EA2103" w:rsidP="00EA2103">
                <w:pPr>
                  <w:pStyle w:val="Titel"/>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8"/>
              <w:footerReference w:type="first" r:id="rId9"/>
              <w:pgSz w:w="11906" w:h="16838"/>
              <w:pgMar w:top="1417" w:right="1417" w:bottom="1417" w:left="1417" w:header="708" w:footer="708" w:gutter="0"/>
              <w:pgNumType w:start="0"/>
              <w:cols w:space="708"/>
              <w:titlePg/>
              <w:docGrid w:linePitch="360"/>
            </w:sectPr>
          </w:pPr>
        </w:p>
        <w:p w:rsidR="009663D9" w:rsidRDefault="00391F64" w:rsidP="009663D9">
          <w:pPr>
            <w:spacing w:after="120" w:line="264" w:lineRule="auto"/>
          </w:pPr>
        </w:p>
      </w:sdtContent>
    </w:sdt>
    <w:p w:rsidR="000632C2" w:rsidRDefault="000632C2" w:rsidP="009663D9">
      <w:pPr>
        <w:pStyle w:val="Untertitel"/>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enabsatz"/>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enabsatz"/>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enabsatz"/>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enabsatz"/>
        <w:numPr>
          <w:ilvl w:val="0"/>
          <w:numId w:val="18"/>
        </w:numPr>
        <w:spacing w:after="120" w:line="264" w:lineRule="auto"/>
      </w:pPr>
      <w:r>
        <w:t>if they respond to the question stated;</w:t>
      </w:r>
    </w:p>
    <w:p w:rsidR="000632C2" w:rsidRDefault="000632C2" w:rsidP="000632C2">
      <w:pPr>
        <w:pStyle w:val="Listenabsatz"/>
        <w:numPr>
          <w:ilvl w:val="0"/>
          <w:numId w:val="18"/>
        </w:numPr>
        <w:spacing w:after="120" w:line="264" w:lineRule="auto"/>
      </w:pPr>
      <w:r>
        <w:t>contain a clear rationale, and</w:t>
      </w:r>
    </w:p>
    <w:p w:rsidR="000632C2" w:rsidRDefault="000632C2" w:rsidP="000632C2">
      <w:pPr>
        <w:pStyle w:val="Listenabsatz"/>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iveHervorhebung"/>
        </w:rPr>
      </w:pPr>
      <w:r w:rsidRPr="00EA2103">
        <w:rPr>
          <w:rStyle w:val="IntensiveHervorhebung"/>
        </w:rPr>
        <w:t>Deadline</w:t>
      </w:r>
    </w:p>
    <w:p w:rsidR="000632C2" w:rsidRDefault="000632C2" w:rsidP="000632C2">
      <w:pPr>
        <w:spacing w:after="120" w:line="264" w:lineRule="auto"/>
      </w:pPr>
      <w:r>
        <w:t xml:space="preserve">Responses must reach us by </w:t>
      </w:r>
      <w:r w:rsidR="00EA2103">
        <w:rPr>
          <w:rStyle w:val="Fett"/>
        </w:rPr>
        <w:t>2</w:t>
      </w:r>
      <w:r w:rsidRPr="000632C2">
        <w:rPr>
          <w:rStyle w:val="Fett"/>
        </w:rPr>
        <w:t xml:space="preserve"> </w:t>
      </w:r>
      <w:r w:rsidR="00EA2103">
        <w:rPr>
          <w:rStyle w:val="Fett"/>
        </w:rPr>
        <w:t>March</w:t>
      </w:r>
      <w:r w:rsidRPr="000632C2">
        <w:rPr>
          <w:rStyle w:val="Fett"/>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Fett"/>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berschrift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0" w:edGrp="everyone" w:colFirst="1" w:colLast="1"/>
            <w:r w:rsidRPr="00AB6D88">
              <w:rPr>
                <w:rFonts w:ascii="Arial" w:hAnsi="Arial" w:cs="Arial"/>
              </w:rPr>
              <w:t>Name of the company / organisation</w:t>
            </w:r>
          </w:p>
        </w:tc>
        <w:sdt>
          <w:sdtPr>
            <w:rPr>
              <w:rStyle w:val="Platzhaltertext"/>
              <w:rFonts w:ascii="Arial" w:hAnsi="Arial" w:cs="Arial"/>
            </w:rPr>
            <w:id w:val="-1905066999"/>
            <w:showingPlcHdr/>
            <w:text/>
          </w:sdtPr>
          <w:sdtContent>
            <w:permStart w:id="1" w:edGrp="everyone" w:displacedByCustomXml="prev"/>
            <w:tc>
              <w:tcPr>
                <w:tcW w:w="5595" w:type="dxa"/>
                <w:shd w:val="clear" w:color="auto" w:fill="auto"/>
              </w:tcPr>
              <w:p w:rsidR="000632C2" w:rsidRPr="00AB6D88" w:rsidRDefault="000632C2" w:rsidP="009E5107">
                <w:pPr>
                  <w:rPr>
                    <w:rStyle w:val="Platzhaltertext"/>
                    <w:rFonts w:ascii="Arial" w:hAnsi="Arial" w:cs="Arial"/>
                  </w:rPr>
                </w:pPr>
                <w:r w:rsidRPr="00AB6D88">
                  <w:rPr>
                    <w:rStyle w:val="Platzhaltertext"/>
                    <w:rFonts w:ascii="Arial" w:hAnsi="Arial" w:cs="Arial"/>
                  </w:rPr>
                  <w:t>Click here to enter text.</w:t>
                </w:r>
              </w:p>
            </w:tc>
            <w:permEnd w:id="1"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 w:edGrp="everyone" w:colFirst="1" w:colLast="1"/>
            <w:permEnd w:id="0"/>
            <w:r w:rsidRPr="00AB6D88">
              <w:rPr>
                <w:rFonts w:ascii="Arial" w:hAnsi="Arial" w:cs="Arial"/>
              </w:rPr>
              <w:t>Confidential</w:t>
            </w:r>
            <w:r w:rsidRPr="00AB6D88">
              <w:rPr>
                <w:rStyle w:val="Funotenzeichen"/>
                <w:rFonts w:ascii="Arial" w:hAnsi="Arial" w:cs="Arial"/>
              </w:rPr>
              <w:footnoteReference w:id="1"/>
            </w:r>
          </w:p>
        </w:tc>
        <w:sdt>
          <w:sdtPr>
            <w:rPr>
              <w:rStyle w:val="Platzhaltertext"/>
              <w:rFonts w:ascii="Arial" w:hAnsi="Arial" w:cs="Arial"/>
            </w:rPr>
            <w:id w:val="-2035031634"/>
          </w:sdtPr>
          <w:sdtContent>
            <w:tc>
              <w:tcPr>
                <w:tcW w:w="5595" w:type="dxa"/>
                <w:shd w:val="clear" w:color="auto" w:fill="auto"/>
              </w:tcPr>
              <w:p w:rsidR="000632C2" w:rsidRPr="00AB6D88" w:rsidRDefault="000932BC" w:rsidP="009E5107">
                <w:pPr>
                  <w:rPr>
                    <w:rStyle w:val="Platzhaltertext"/>
                    <w:rFonts w:ascii="Arial" w:hAnsi="Arial" w:cs="Arial"/>
                  </w:rPr>
                </w:pPr>
                <w:r>
                  <w:rPr>
                    <w:rStyle w:val="Platzhalt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3" w:edGrp="everyone" w:colFirst="1" w:colLast="1"/>
            <w:permEnd w:id="2"/>
            <w:r w:rsidRPr="00AB6D88">
              <w:rPr>
                <w:rFonts w:ascii="Arial" w:hAnsi="Arial" w:cs="Arial"/>
              </w:rPr>
              <w:t>Activity:</w:t>
            </w:r>
          </w:p>
        </w:tc>
        <w:tc>
          <w:tcPr>
            <w:tcW w:w="5595" w:type="dxa"/>
            <w:shd w:val="clear" w:color="auto" w:fill="auto"/>
          </w:tcPr>
          <w:p w:rsidR="000632C2" w:rsidRPr="00AB6D88" w:rsidRDefault="00391F64" w:rsidP="009E5107">
            <w:pPr>
              <w:rPr>
                <w:rFonts w:ascii="Arial" w:hAnsi="Arial" w:cs="Arial"/>
              </w:rPr>
            </w:pPr>
            <w:sdt>
              <w:sdtPr>
                <w:rPr>
                  <w:rFonts w:ascii="Arial" w:hAnsi="Arial" w:cs="Arial"/>
                </w:rPr>
                <w:alias w:val="Activity"/>
                <w:tag w:val="Activity"/>
                <w:id w:val="1654095920"/>
                <w:showingPlcHd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4" w:edGrp="everyone"/>
                <w:r w:rsidR="000632C2" w:rsidRPr="00AB6D88">
                  <w:rPr>
                    <w:rStyle w:val="Platzhaltertext"/>
                    <w:rFonts w:ascii="Arial" w:hAnsi="Arial" w:cs="Arial"/>
                  </w:rPr>
                  <w:t>Choose an item.</w:t>
                </w:r>
                <w:permEnd w:id="4"/>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5" w:edGrp="everyone" w:colFirst="1" w:colLast="1"/>
            <w:permEnd w:id="3"/>
            <w:r w:rsidRPr="00AB6D88">
              <w:rPr>
                <w:rFonts w:ascii="Arial" w:hAnsi="Arial" w:cs="Arial"/>
              </w:rPr>
              <w:t>Are you representing an association?</w:t>
            </w:r>
          </w:p>
        </w:tc>
        <w:sdt>
          <w:sdtPr>
            <w:rPr>
              <w:rFonts w:ascii="Arial" w:hAnsi="Arial" w:cs="Arial"/>
            </w:rPr>
            <w:id w:val="-242871467"/>
          </w:sdtPr>
          <w:sdtContent>
            <w:tc>
              <w:tcPr>
                <w:tcW w:w="5595" w:type="dxa"/>
                <w:shd w:val="clear" w:color="auto" w:fill="auto"/>
              </w:tcPr>
              <w:p w:rsidR="000632C2" w:rsidRPr="00AB6D88" w:rsidRDefault="000632C2" w:rsidP="009E5107">
                <w:pPr>
                  <w:rPr>
                    <w:rFonts w:ascii="Arial" w:hAnsi="Arial" w:cs="Arial"/>
                  </w:rPr>
                </w:pPr>
                <w:r w:rsidRPr="00AB6D88">
                  <w:rPr>
                    <w:rFonts w:ascii="MS Gothic" w:eastAsia="MS Gothic" w:hAnsi="MS Gothic" w:cs="MS Gothic"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6" w:edGrp="everyone" w:colFirst="1" w:colLast="1"/>
            <w:permEnd w:id="5"/>
            <w:r w:rsidRPr="00AB6D88">
              <w:rPr>
                <w:rFonts w:ascii="Arial" w:hAnsi="Arial" w:cs="Arial"/>
              </w:rPr>
              <w:t>Country/Region</w:t>
            </w:r>
          </w:p>
        </w:tc>
        <w:permStart w:id="7" w:edGrp="everyone" w:displacedByCustomXml="next"/>
        <w:sdt>
          <w:sdtPr>
            <w:rPr>
              <w:rFonts w:ascii="Arial" w:hAnsi="Arial" w:cs="Arial"/>
            </w:rPr>
            <w:alias w:val="Country"/>
            <w:tag w:val="Country"/>
            <w:id w:val="-154913441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8" w:edGrp="everyone" w:displacedByCustomXml="prev"/>
            <w:tc>
              <w:tcPr>
                <w:tcW w:w="5595" w:type="dxa"/>
                <w:shd w:val="clear" w:color="auto" w:fill="auto"/>
              </w:tcPr>
              <w:p w:rsidR="000632C2" w:rsidRPr="00AB6D88" w:rsidRDefault="000632C2" w:rsidP="009E5107">
                <w:pPr>
                  <w:rPr>
                    <w:rFonts w:ascii="Arial" w:hAnsi="Arial" w:cs="Arial"/>
                  </w:rPr>
                </w:pPr>
                <w:r w:rsidRPr="00AB6D88">
                  <w:rPr>
                    <w:rStyle w:val="Platzhaltertext"/>
                    <w:rFonts w:ascii="Arial" w:hAnsi="Arial" w:cs="Arial"/>
                  </w:rPr>
                  <w:t>Choose an item.</w:t>
                </w:r>
              </w:p>
            </w:tc>
            <w:permEnd w:id="8" w:displacedByCustomXml="next"/>
          </w:sdtContent>
        </w:sdt>
        <w:permEnd w:id="7" w:displacedByCustomXml="prev"/>
      </w:tr>
      <w:permEnd w:id="6"/>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berschrift1"/>
        <w:numPr>
          <w:ilvl w:val="0"/>
          <w:numId w:val="0"/>
        </w:numPr>
        <w:ind w:left="431" w:hanging="431"/>
      </w:pPr>
      <w:r>
        <w:t>Introduction</w:t>
      </w:r>
    </w:p>
    <w:p w:rsidR="001D47A5" w:rsidRPr="001D47A5" w:rsidRDefault="001D47A5" w:rsidP="001D47A5">
      <w:pPr>
        <w:rPr>
          <w:rStyle w:val="IntensiveHervorhebung"/>
        </w:rPr>
      </w:pPr>
      <w:r w:rsidRPr="001D47A5">
        <w:rPr>
          <w:rStyle w:val="IntensiveHervorhebung"/>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1D47A5" w:rsidRDefault="001D47A5" w:rsidP="00E24D42">
      <w:permStart w:id="9" w:edGrp="everyone"/>
      <w:r>
        <w:t>TYPE YOUR TEXT HERE</w:t>
      </w:r>
    </w:p>
    <w:permEnd w:id="9"/>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1" w:name="_Toc406692468"/>
      <w:bookmarkStart w:id="2" w:name="_Toc406692311"/>
      <w:bookmarkStart w:id="3" w:name="_Toc406691701"/>
      <w:bookmarkStart w:id="4" w:name="_Toc405371754"/>
      <w:r>
        <w:t>Investor protection</w:t>
      </w:r>
      <w:bookmarkEnd w:id="1"/>
      <w:bookmarkEnd w:id="2"/>
      <w:bookmarkEnd w:id="3"/>
      <w:bookmarkEnd w:id="4"/>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10" w:edGrp="everyone"/>
      <w:r>
        <w:t>TYPE YOUR TEXT HERE</w:t>
      </w:r>
    </w:p>
    <w:permEnd w:id="10"/>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11" w:edGrp="everyone"/>
      <w:r>
        <w:t>TYPE YOUR TEXT HERE</w:t>
      </w:r>
    </w:p>
    <w:permEnd w:id="11"/>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2" w:edGrp="everyone"/>
      <w:r>
        <w:t>TYPE YOUR TEXT HERE</w:t>
      </w:r>
    </w:p>
    <w:permEnd w:id="12"/>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13" w:edGrp="everyone"/>
      <w:r>
        <w:t>TYPE YOUR TEXT HERE</w:t>
      </w:r>
    </w:p>
    <w:permEnd w:id="13"/>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14" w:edGrp="everyone"/>
      <w:r>
        <w:t>TYPE YOUR TEXT HERE</w:t>
      </w:r>
    </w:p>
    <w:permEnd w:id="14"/>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15" w:edGrp="everyone"/>
      <w:r>
        <w:t>TYPE YOUR TEXT HERE</w:t>
      </w:r>
    </w:p>
    <w:permEnd w:id="15"/>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16" w:edGrp="everyone"/>
      <w:r>
        <w:t>TYPE YOUR TEXT HERE</w:t>
      </w:r>
    </w:p>
    <w:permEnd w:id="16"/>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7" w:edGrp="everyone"/>
      <w:r>
        <w:t>TYPE YOUR TEXT HERE</w:t>
      </w:r>
    </w:p>
    <w:permEnd w:id="17"/>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8" w:edGrp="everyone"/>
      <w:r>
        <w:t>TYPE YOUR TEXT HERE</w:t>
      </w:r>
    </w:p>
    <w:permEnd w:id="18"/>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19" w:edGrp="everyone"/>
      <w:r>
        <w:t>TYPE YOUR TEXT HERE</w:t>
      </w:r>
    </w:p>
    <w:permEnd w:id="19"/>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20" w:edGrp="everyone"/>
      <w:r>
        <w:t>TYPE YOUR TEXT HERE</w:t>
      </w:r>
    </w:p>
    <w:permEnd w:id="20"/>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21" w:edGrp="everyone"/>
      <w:r>
        <w:t>TYPE YOUR TEXT HERE</w:t>
      </w:r>
    </w:p>
    <w:permEnd w:id="21"/>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22" w:edGrp="everyone"/>
      <w:r>
        <w:t>TYPE YOUR TEXT HERE</w:t>
      </w:r>
    </w:p>
    <w:permEnd w:id="22"/>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23" w:edGrp="everyone"/>
      <w:r>
        <w:t>TYPE YOUR TEXT HERE</w:t>
      </w:r>
    </w:p>
    <w:permEnd w:id="23"/>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24" w:edGrp="everyone"/>
      <w:r>
        <w:t>TYPE YOUR TEXT HERE</w:t>
      </w:r>
    </w:p>
    <w:permEnd w:id="24"/>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25" w:edGrp="everyone"/>
      <w:r>
        <w:t>TYPE YOUR TEXT HERE</w:t>
      </w:r>
    </w:p>
    <w:permEnd w:id="25"/>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26" w:edGrp="everyone"/>
      <w:r>
        <w:t>TYPE YOUR TEXT HERE</w:t>
      </w:r>
    </w:p>
    <w:permEnd w:id="26"/>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27" w:edGrp="everyone"/>
      <w:r>
        <w:t>TYPE YOUR TEXT HERE</w:t>
      </w:r>
    </w:p>
    <w:permEnd w:id="27"/>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28" w:edGrp="everyone"/>
      <w:r>
        <w:t>TYPE YOUR TEXT HERE</w:t>
      </w:r>
    </w:p>
    <w:permEnd w:id="28"/>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29" w:edGrp="everyone"/>
      <w:r>
        <w:t>TYPE YOUR TEXT HERE</w:t>
      </w:r>
    </w:p>
    <w:permEnd w:id="29"/>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30" w:edGrp="everyone"/>
      <w:r>
        <w:t>TYPE YOUR TEXT HERE</w:t>
      </w:r>
    </w:p>
    <w:permEnd w:id="30"/>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31" w:edGrp="everyone"/>
      <w:r>
        <w:t>TYPE YOUR TEXT HERE</w:t>
      </w:r>
    </w:p>
    <w:permEnd w:id="31"/>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32" w:edGrp="everyone"/>
      <w:r>
        <w:t>TYPE YOUR TEXT HERE</w:t>
      </w:r>
    </w:p>
    <w:permEnd w:id="32"/>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33" w:edGrp="everyone"/>
      <w:r>
        <w:t>TYPE YOUR TEXT HERE</w:t>
      </w:r>
    </w:p>
    <w:permEnd w:id="33"/>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34" w:edGrp="everyone"/>
      <w:r>
        <w:t>TYPE YOUR TEXT HERE</w:t>
      </w:r>
    </w:p>
    <w:permEnd w:id="34"/>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35" w:edGrp="everyone"/>
      <w:r>
        <w:t>TYPE YOUR TEXT HERE</w:t>
      </w:r>
    </w:p>
    <w:permEnd w:id="35"/>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36" w:edGrp="everyone"/>
      <w:r>
        <w:t>TYPE YOUR TEXT HERE</w:t>
      </w:r>
    </w:p>
    <w:permEnd w:id="36"/>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37" w:edGrp="everyone"/>
      <w:r>
        <w:t>TYPE YOUR TEXT HERE</w:t>
      </w:r>
    </w:p>
    <w:permEnd w:id="37"/>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38" w:edGrp="everyone"/>
      <w:r>
        <w:t>TYPE YOUR TEXT HERE</w:t>
      </w:r>
    </w:p>
    <w:permEnd w:id="38"/>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39" w:edGrp="everyone"/>
      <w:r>
        <w:t>TYPE YOUR TEXT HERE</w:t>
      </w:r>
    </w:p>
    <w:permEnd w:id="39"/>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40" w:edGrp="everyone"/>
      <w:r>
        <w:t>TYPE YOUR TEXT HERE</w:t>
      </w:r>
    </w:p>
    <w:permEnd w:id="40"/>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41" w:edGrp="everyone"/>
      <w:r>
        <w:t>TYPE YOUR TEXT HERE</w:t>
      </w:r>
    </w:p>
    <w:permEnd w:id="41"/>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42" w:edGrp="everyone"/>
      <w:r>
        <w:t>TYPE YOUR TEXT HERE</w:t>
      </w:r>
    </w:p>
    <w:permEnd w:id="42"/>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43" w:edGrp="everyone"/>
      <w:r>
        <w:t>TYPE YOUR TEXT HERE</w:t>
      </w:r>
    </w:p>
    <w:permEnd w:id="43"/>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44" w:edGrp="everyone"/>
      <w:r>
        <w:t>TYPE YOUR TEXT HERE</w:t>
      </w:r>
    </w:p>
    <w:permEnd w:id="44"/>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45" w:edGrp="everyone"/>
      <w:r>
        <w:t>TYPE YOUR TEXT HERE</w:t>
      </w:r>
    </w:p>
    <w:permEnd w:id="45"/>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5" w:name="_Toc406692477"/>
      <w:bookmarkStart w:id="6" w:name="_Toc406692320"/>
      <w:bookmarkStart w:id="7" w:name="_Toc406691710"/>
      <w:r>
        <w:lastRenderedPageBreak/>
        <w:t>Transparency</w:t>
      </w:r>
      <w:bookmarkEnd w:id="5"/>
      <w:bookmarkEnd w:id="6"/>
      <w:bookmarkEnd w:id="7"/>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46" w:edGrp="everyone"/>
      <w:r>
        <w:t>TYPE YOUR TEXT HERE</w:t>
      </w:r>
    </w:p>
    <w:permEnd w:id="46"/>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47" w:edGrp="everyone"/>
      <w:r>
        <w:t>TYPE YOUR TEXT HERE</w:t>
      </w:r>
    </w:p>
    <w:permEnd w:id="47"/>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48" w:edGrp="everyone"/>
      <w:r>
        <w:t>TYPE YOUR TEXT HERE</w:t>
      </w:r>
    </w:p>
    <w:permEnd w:id="48"/>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49" w:edGrp="everyone"/>
      <w:r>
        <w:t>TYPE YOUR TEXT HERE</w:t>
      </w:r>
    </w:p>
    <w:permEnd w:id="49"/>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50" w:edGrp="everyone"/>
      <w:r>
        <w:t>TYPE YOUR TEXT HERE</w:t>
      </w:r>
    </w:p>
    <w:permEnd w:id="50"/>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51" w:edGrp="everyone"/>
      <w:r>
        <w:t>TYPE YOUR TEXT HERE</w:t>
      </w:r>
    </w:p>
    <w:permEnd w:id="51"/>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52" w:edGrp="everyone"/>
      <w:r>
        <w:t>TYPE YOUR TEXT HERE</w:t>
      </w:r>
    </w:p>
    <w:permEnd w:id="52"/>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53" w:edGrp="everyone"/>
      <w:r>
        <w:t>TYPE YOUR TEXT HERE</w:t>
      </w:r>
    </w:p>
    <w:permEnd w:id="53"/>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54" w:edGrp="everyone"/>
      <w:r>
        <w:t>TYPE YOUR TEXT HERE</w:t>
      </w:r>
    </w:p>
    <w:permEnd w:id="54"/>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55" w:edGrp="everyone"/>
      <w:r>
        <w:t>TYPE YOUR TEXT HERE</w:t>
      </w:r>
    </w:p>
    <w:permEnd w:id="55"/>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56" w:edGrp="everyone"/>
      <w:r>
        <w:t>TYPE YOUR TEXT HERE</w:t>
      </w:r>
    </w:p>
    <w:permEnd w:id="56"/>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57" w:edGrp="everyone"/>
      <w:r>
        <w:t>TYPE YOUR TEXT HERE</w:t>
      </w:r>
    </w:p>
    <w:permEnd w:id="57"/>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58" w:edGrp="everyone"/>
      <w:r>
        <w:t>TYPE YOUR TEXT HERE</w:t>
      </w:r>
    </w:p>
    <w:permEnd w:id="58"/>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59" w:edGrp="everyone"/>
      <w:r>
        <w:t>TYPE YOUR TEXT HERE</w:t>
      </w:r>
    </w:p>
    <w:permEnd w:id="59"/>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60" w:edGrp="everyone"/>
      <w:r>
        <w:t>TYPE YOUR TEXT HERE</w:t>
      </w:r>
    </w:p>
    <w:permEnd w:id="60"/>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61" w:edGrp="everyone"/>
      <w:r>
        <w:t>TYPE YOUR TEXT HERE</w:t>
      </w:r>
    </w:p>
    <w:permEnd w:id="61"/>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62" w:edGrp="everyone"/>
      <w:r>
        <w:t>TYPE YOUR TEXT HERE</w:t>
      </w:r>
    </w:p>
    <w:permEnd w:id="62"/>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63" w:edGrp="everyone"/>
      <w:r>
        <w:t>TYPE YOUR TEXT HERE</w:t>
      </w:r>
    </w:p>
    <w:permEnd w:id="63"/>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64" w:edGrp="everyone"/>
      <w:r>
        <w:t>TYPE YOUR TEXT HERE</w:t>
      </w:r>
    </w:p>
    <w:permEnd w:id="64"/>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65" w:edGrp="everyone"/>
      <w:r>
        <w:t>TYPE YOUR TEXT HERE</w:t>
      </w:r>
    </w:p>
    <w:permEnd w:id="65"/>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66" w:edGrp="everyone"/>
      <w:r>
        <w:t>TYPE YOUR TEXT HERE</w:t>
      </w:r>
    </w:p>
    <w:permEnd w:id="66"/>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67" w:edGrp="everyone"/>
      <w:r>
        <w:t>TYPE YOUR TEXT HERE</w:t>
      </w:r>
    </w:p>
    <w:permEnd w:id="67"/>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68" w:edGrp="everyone"/>
      <w:r>
        <w:t>TYPE YOUR TEXT HERE</w:t>
      </w:r>
    </w:p>
    <w:permEnd w:id="68"/>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69" w:edGrp="everyone"/>
      <w:r>
        <w:t>TYPE YOUR TEXT HERE</w:t>
      </w:r>
    </w:p>
    <w:permEnd w:id="69"/>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w:t>
      </w:r>
      <w:r>
        <w:lastRenderedPageBreak/>
        <w:t xml:space="preserve">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70" w:edGrp="everyone"/>
      <w:r>
        <w:t>TYPE YOUR TEXT HERE</w:t>
      </w:r>
    </w:p>
    <w:permEnd w:id="70"/>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71" w:edGrp="everyone"/>
      <w:r>
        <w:t>TYPE YOUR TEXT HERE</w:t>
      </w:r>
    </w:p>
    <w:permEnd w:id="71"/>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72" w:edGrp="everyone"/>
      <w:r>
        <w:t>TYPE YOUR TEXT HERE</w:t>
      </w:r>
    </w:p>
    <w:permEnd w:id="72"/>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lastRenderedPageBreak/>
        <w:t>&lt;ESMA_QUESTION_CP_MIFID_64&gt;</w:t>
      </w:r>
    </w:p>
    <w:p w:rsidR="00577C33" w:rsidRDefault="00577C33" w:rsidP="00EC2C93">
      <w:pPr>
        <w:keepNext/>
      </w:pPr>
      <w:permStart w:id="73" w:edGrp="everyone"/>
      <w:r>
        <w:t>TYPE YOUR TEXT HERE</w:t>
      </w:r>
    </w:p>
    <w:permEnd w:id="73"/>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74" w:edGrp="everyone"/>
      <w:r>
        <w:t>TYPE YOUR TEXT HERE</w:t>
      </w:r>
    </w:p>
    <w:permEnd w:id="74"/>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75" w:edGrp="everyone"/>
      <w:r>
        <w:t>TYPE YOUR TEXT HERE</w:t>
      </w:r>
    </w:p>
    <w:permEnd w:id="75"/>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76" w:edGrp="everyone"/>
      <w:r>
        <w:t>TYPE YOUR TEXT HERE</w:t>
      </w:r>
    </w:p>
    <w:permEnd w:id="76"/>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77" w:edGrp="everyone"/>
      <w:r>
        <w:t>TYPE YOUR TEXT HERE</w:t>
      </w:r>
    </w:p>
    <w:permEnd w:id="77"/>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78" w:edGrp="everyone"/>
      <w:r>
        <w:t>TYPE YOUR TEXT HERE</w:t>
      </w:r>
    </w:p>
    <w:permEnd w:id="78"/>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79" w:edGrp="everyone"/>
      <w:r>
        <w:t>TYPE YOUR TEXT HERE</w:t>
      </w:r>
    </w:p>
    <w:permEnd w:id="79"/>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80" w:edGrp="everyone"/>
      <w:r>
        <w:t>TYPE YOUR TEXT HERE</w:t>
      </w:r>
    </w:p>
    <w:permEnd w:id="80"/>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81" w:edGrp="everyone"/>
      <w:r>
        <w:t>TYPE YOUR TEXT HERE</w:t>
      </w:r>
    </w:p>
    <w:permEnd w:id="81"/>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lastRenderedPageBreak/>
        <w:t>&lt;ESMA_QUESTION_CP_MIFID_73&gt;</w:t>
      </w:r>
    </w:p>
    <w:p w:rsidR="00577C33" w:rsidRDefault="00577C33" w:rsidP="00EC2C93">
      <w:pPr>
        <w:keepNext/>
      </w:pPr>
      <w:permStart w:id="82" w:edGrp="everyone"/>
      <w:r>
        <w:t>TYPE YOUR TEXT HERE</w:t>
      </w:r>
    </w:p>
    <w:permEnd w:id="82"/>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83" w:edGrp="everyone"/>
      <w:r>
        <w:t>TYPE YOUR TEXT HERE</w:t>
      </w:r>
    </w:p>
    <w:permEnd w:id="83"/>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84" w:edGrp="everyone"/>
      <w:r>
        <w:t>TYPE YOUR TEXT HERE</w:t>
      </w:r>
    </w:p>
    <w:permEnd w:id="84"/>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85" w:edGrp="everyone"/>
      <w:r>
        <w:t>TYPE YOUR TEXT HERE</w:t>
      </w:r>
    </w:p>
    <w:permEnd w:id="85"/>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&lt;ESMA_QUESTION_CP_MIFID_77&gt;</w:t>
      </w:r>
    </w:p>
    <w:p w:rsidR="00577C33" w:rsidRDefault="00577C33" w:rsidP="00EC2C93">
      <w:pPr>
        <w:keepNext/>
      </w:pPr>
      <w:permStart w:id="86" w:edGrp="everyone"/>
      <w:r>
        <w:t>TYPE YOUR TEXT HERE</w:t>
      </w:r>
    </w:p>
    <w:permEnd w:id="86"/>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87" w:edGrp="everyone"/>
      <w:r>
        <w:t>TYPE YOUR TEXT HERE</w:t>
      </w:r>
    </w:p>
    <w:permEnd w:id="87"/>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88" w:edGrp="everyone"/>
      <w:r>
        <w:t>TYPE YOUR TEXT HERE</w:t>
      </w:r>
    </w:p>
    <w:permEnd w:id="88"/>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89" w:edGrp="everyone"/>
      <w:r>
        <w:t>TYPE YOUR TEXT HERE</w:t>
      </w:r>
    </w:p>
    <w:permEnd w:id="89"/>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90" w:edGrp="everyone"/>
      <w:r>
        <w:t>TYPE YOUR TEXT HERE</w:t>
      </w:r>
    </w:p>
    <w:permEnd w:id="90"/>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91" w:edGrp="everyone"/>
      <w:r>
        <w:t>TYPE YOUR TEXT HERE</w:t>
      </w:r>
    </w:p>
    <w:permEnd w:id="91"/>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92" w:edGrp="everyone"/>
      <w:r>
        <w:t>TYPE YOUR TEXT HERE</w:t>
      </w:r>
    </w:p>
    <w:permEnd w:id="92"/>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lastRenderedPageBreak/>
        <w:t>&lt;ESMA_QUESTION_CP_MIFID_84&gt;</w:t>
      </w:r>
    </w:p>
    <w:p w:rsidR="00577C33" w:rsidRDefault="00577C33" w:rsidP="00EC2C93">
      <w:pPr>
        <w:keepNext/>
      </w:pPr>
      <w:permStart w:id="93" w:edGrp="everyone"/>
      <w:r>
        <w:t>TYPE YOUR TEXT HERE</w:t>
      </w:r>
    </w:p>
    <w:permEnd w:id="93"/>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94" w:edGrp="everyone"/>
      <w:r>
        <w:t>TYPE YOUR TEXT HERE</w:t>
      </w:r>
    </w:p>
    <w:permEnd w:id="94"/>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95" w:edGrp="everyone"/>
      <w:r>
        <w:t>TYPE YOUR TEXT HERE</w:t>
      </w:r>
    </w:p>
    <w:permEnd w:id="95"/>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96" w:edGrp="everyone"/>
      <w:r>
        <w:t>TYPE YOUR TEXT HERE</w:t>
      </w:r>
    </w:p>
    <w:permEnd w:id="96"/>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97" w:edGrp="everyone"/>
      <w:r>
        <w:t>TYPE YOUR TEXT HERE</w:t>
      </w:r>
    </w:p>
    <w:permEnd w:id="97"/>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98" w:edGrp="everyone"/>
      <w:r>
        <w:t>TYPE YOUR TEXT HERE</w:t>
      </w:r>
    </w:p>
    <w:permEnd w:id="98"/>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99" w:edGrp="everyone"/>
      <w:r>
        <w:t>TYPE YOUR TEXT HERE</w:t>
      </w:r>
    </w:p>
    <w:permEnd w:id="99"/>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100" w:edGrp="everyone"/>
      <w:r>
        <w:t>TYPE YOUR TEXT HERE</w:t>
      </w:r>
    </w:p>
    <w:permEnd w:id="100"/>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lastRenderedPageBreak/>
        <w:t>&lt;ESMA_QUESTION_CP_MIFID_92&gt;</w:t>
      </w:r>
    </w:p>
    <w:p w:rsidR="00577C33" w:rsidRDefault="00577C33" w:rsidP="00EC2C93">
      <w:pPr>
        <w:keepNext/>
      </w:pPr>
      <w:permStart w:id="101" w:edGrp="everyone"/>
      <w:r>
        <w:t>TYPE YOUR TEXT HERE</w:t>
      </w:r>
    </w:p>
    <w:permEnd w:id="101"/>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8" w:name="_Toc406692527"/>
      <w:bookmarkStart w:id="9" w:name="_Toc406692370"/>
      <w:bookmarkStart w:id="10" w:name="_Toc406691760"/>
      <w:r>
        <w:lastRenderedPageBreak/>
        <w:t>Microstructural issues</w:t>
      </w:r>
      <w:bookmarkEnd w:id="8"/>
      <w:bookmarkEnd w:id="9"/>
      <w:bookmarkEnd w:id="10"/>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102" w:edGrp="everyone"/>
      <w:r>
        <w:t>TYPE YOUR TEXT HERE</w:t>
      </w:r>
    </w:p>
    <w:permEnd w:id="102"/>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103" w:edGrp="everyone"/>
      <w:r>
        <w:t>TYPE YOUR TEXT HERE</w:t>
      </w:r>
    </w:p>
    <w:permEnd w:id="103"/>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04" w:edGrp="everyone"/>
      <w:r>
        <w:t>TYPE YOUR TEXT HERE</w:t>
      </w:r>
    </w:p>
    <w:permEnd w:id="104"/>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105" w:edGrp="everyone"/>
      <w:r>
        <w:t>TYPE YOUR TEXT HERE</w:t>
      </w:r>
    </w:p>
    <w:permEnd w:id="105"/>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106" w:edGrp="everyone"/>
      <w:r>
        <w:t>TYPE YOUR TEXT HERE</w:t>
      </w:r>
    </w:p>
    <w:permEnd w:id="106"/>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107" w:edGrp="everyone"/>
      <w:r>
        <w:t>TYPE YOUR TEXT HERE</w:t>
      </w:r>
    </w:p>
    <w:permEnd w:id="107"/>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108" w:edGrp="everyone"/>
      <w:r>
        <w:t>TYPE YOUR TEXT HERE</w:t>
      </w:r>
    </w:p>
    <w:permEnd w:id="108"/>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109" w:edGrp="everyone"/>
      <w:r>
        <w:t>TYPE YOUR TEXT HERE</w:t>
      </w:r>
    </w:p>
    <w:permEnd w:id="109"/>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110" w:edGrp="everyone"/>
      <w:r>
        <w:t>TYPE YOUR TEXT HERE</w:t>
      </w:r>
    </w:p>
    <w:permEnd w:id="110"/>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111" w:edGrp="everyone"/>
      <w:r>
        <w:t>TYPE YOUR TEXT HERE</w:t>
      </w:r>
    </w:p>
    <w:permEnd w:id="111"/>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112" w:edGrp="everyone"/>
      <w:r>
        <w:t>TYPE YOUR TEXT HERE</w:t>
      </w:r>
    </w:p>
    <w:permEnd w:id="112"/>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1F4C1C" w:rsidRPr="00957F71" w:rsidRDefault="001F4C1C" w:rsidP="00EC2C93">
      <w:pPr>
        <w:keepNext/>
        <w:rPr>
          <w:rFonts w:asciiTheme="majorHAnsi" w:hAnsiTheme="majorHAnsi" w:cstheme="majorHAnsi"/>
        </w:rPr>
      </w:pPr>
      <w:permStart w:id="113" w:edGrp="everyone"/>
      <w:proofErr w:type="spellStart"/>
      <w:proofErr w:type="gramStart"/>
      <w:r w:rsidRPr="00957F71">
        <w:rPr>
          <w:rFonts w:asciiTheme="majorHAnsi" w:hAnsiTheme="majorHAnsi" w:cstheme="majorHAnsi"/>
        </w:rPr>
        <w:t>bwf</w:t>
      </w:r>
      <w:proofErr w:type="spellEnd"/>
      <w:proofErr w:type="gramEnd"/>
      <w:r w:rsidRPr="00957F71">
        <w:rPr>
          <w:rFonts w:asciiTheme="majorHAnsi" w:hAnsiTheme="majorHAnsi" w:cstheme="majorHAnsi"/>
        </w:rPr>
        <w:t xml:space="preserve"> comment:</w:t>
      </w:r>
    </w:p>
    <w:p w:rsidR="001F4C1C" w:rsidRPr="00957F71" w:rsidRDefault="008005CD" w:rsidP="00EC2C93">
      <w:pPr>
        <w:keepNext/>
        <w:rPr>
          <w:rFonts w:asciiTheme="majorHAnsi" w:hAnsiTheme="majorHAnsi" w:cstheme="majorHAnsi"/>
        </w:rPr>
      </w:pPr>
      <w:r w:rsidRPr="00957F71">
        <w:rPr>
          <w:rFonts w:asciiTheme="majorHAnsi" w:hAnsiTheme="majorHAnsi" w:cstheme="majorHAnsi"/>
        </w:rPr>
        <w:t xml:space="preserve">In order to comply with ESMA’s formal consultation requirements, we paste below the joint petition of German exchanges together with </w:t>
      </w:r>
      <w:proofErr w:type="spellStart"/>
      <w:r w:rsidRPr="00957F71">
        <w:rPr>
          <w:rFonts w:asciiTheme="majorHAnsi" w:hAnsiTheme="majorHAnsi" w:cstheme="majorHAnsi"/>
        </w:rPr>
        <w:t>bwf</w:t>
      </w:r>
      <w:proofErr w:type="spellEnd"/>
      <w:r w:rsidRPr="00957F71">
        <w:rPr>
          <w:rFonts w:asciiTheme="majorHAnsi" w:hAnsiTheme="majorHAnsi" w:cstheme="majorHAnsi"/>
        </w:rPr>
        <w:t xml:space="preserve"> which was also uploaded on ESMA’s webpage as a separate document named:</w:t>
      </w:r>
    </w:p>
    <w:p w:rsidR="008005CD" w:rsidRPr="00957F71" w:rsidRDefault="008005CD" w:rsidP="00EC2C93">
      <w:pPr>
        <w:keepNext/>
        <w:rPr>
          <w:rFonts w:asciiTheme="majorHAnsi" w:hAnsiTheme="majorHAnsi" w:cstheme="majorHAnsi"/>
        </w:rPr>
      </w:pPr>
    </w:p>
    <w:p w:rsidR="008005CD" w:rsidRPr="00957F71" w:rsidRDefault="008005CD" w:rsidP="00EC2C93">
      <w:pPr>
        <w:keepNext/>
        <w:rPr>
          <w:rFonts w:asciiTheme="majorHAnsi" w:hAnsiTheme="majorHAnsi" w:cstheme="majorHAnsi"/>
        </w:rPr>
      </w:pPr>
      <w:r w:rsidRPr="00957F71">
        <w:rPr>
          <w:rFonts w:asciiTheme="majorHAnsi" w:hAnsiTheme="majorHAnsi" w:cstheme="majorHAnsi"/>
        </w:rPr>
        <w:t>“ESMA_MiFID2_CP_GERMAN-EXCHANGES-WITH-BWF_JOINT-PETITION-MARKET-MAKING-SCHEMES”</w:t>
      </w:r>
    </w:p>
    <w:p w:rsidR="001F4C1C" w:rsidRPr="00957F71" w:rsidRDefault="001F4C1C" w:rsidP="00EC2C93">
      <w:pPr>
        <w:keepNext/>
        <w:rPr>
          <w:rFonts w:asciiTheme="majorHAnsi" w:hAnsiTheme="majorHAnsi" w:cstheme="majorHAnsi"/>
        </w:rPr>
      </w:pPr>
    </w:p>
    <w:p w:rsidR="001F4C1C" w:rsidRPr="00957F71" w:rsidRDefault="001F4C1C" w:rsidP="00EC2C93">
      <w:pPr>
        <w:keepNext/>
        <w:rPr>
          <w:rFonts w:asciiTheme="majorHAnsi" w:hAnsiTheme="majorHAnsi" w:cstheme="majorHAnsi"/>
        </w:rPr>
      </w:pPr>
    </w:p>
    <w:p w:rsidR="001F4C1C" w:rsidRPr="00957F71" w:rsidRDefault="001F4C1C" w:rsidP="001F4C1C">
      <w:pPr>
        <w:spacing w:after="60" w:line="240" w:lineRule="auto"/>
        <w:jc w:val="right"/>
        <w:outlineLvl w:val="0"/>
        <w:rPr>
          <w:rFonts w:asciiTheme="majorHAnsi" w:hAnsiTheme="majorHAnsi" w:cstheme="majorHAnsi"/>
          <w:smallCaps/>
          <w:sz w:val="24"/>
          <w:szCs w:val="24"/>
          <w:lang w:val="de-DE"/>
        </w:rPr>
      </w:pPr>
      <w:r w:rsidRPr="00957F71">
        <w:rPr>
          <w:rFonts w:asciiTheme="majorHAnsi" w:hAnsiTheme="majorHAnsi" w:cstheme="majorHAnsi"/>
          <w:smallCaps/>
          <w:sz w:val="24"/>
          <w:szCs w:val="24"/>
          <w:lang w:val="de-DE"/>
        </w:rPr>
        <w:t>Joint Petition</w:t>
      </w:r>
    </w:p>
    <w:p w:rsidR="001F4C1C" w:rsidRPr="00957F71" w:rsidRDefault="001F4C1C" w:rsidP="001F4C1C">
      <w:pPr>
        <w:spacing w:line="240" w:lineRule="auto"/>
        <w:jc w:val="right"/>
        <w:rPr>
          <w:rFonts w:asciiTheme="majorHAnsi" w:hAnsiTheme="majorHAnsi" w:cstheme="majorHAnsi"/>
          <w:b/>
          <w:color w:val="000000"/>
          <w:sz w:val="18"/>
          <w:szCs w:val="18"/>
          <w:lang w:val="de-DE"/>
        </w:rPr>
      </w:pPr>
      <w:r w:rsidRPr="00957F71">
        <w:rPr>
          <w:rFonts w:asciiTheme="majorHAnsi" w:hAnsiTheme="majorHAnsi" w:cstheme="majorHAnsi"/>
          <w:b/>
          <w:color w:val="000000"/>
          <w:sz w:val="18"/>
          <w:szCs w:val="18"/>
          <w:lang w:val="de-DE"/>
        </w:rPr>
        <w:t>Börse Berlin</w:t>
      </w:r>
    </w:p>
    <w:p w:rsidR="001F4C1C" w:rsidRPr="00957F71" w:rsidRDefault="001F4C1C" w:rsidP="001F4C1C">
      <w:pPr>
        <w:tabs>
          <w:tab w:val="left" w:pos="3254"/>
          <w:tab w:val="center" w:pos="4251"/>
        </w:tabs>
        <w:spacing w:line="240" w:lineRule="auto"/>
        <w:jc w:val="right"/>
        <w:rPr>
          <w:rFonts w:asciiTheme="majorHAnsi" w:hAnsiTheme="majorHAnsi" w:cstheme="majorHAnsi"/>
          <w:b/>
          <w:color w:val="000000"/>
          <w:sz w:val="18"/>
          <w:szCs w:val="18"/>
          <w:lang w:val="de-DE"/>
        </w:rPr>
      </w:pPr>
      <w:r w:rsidRPr="00957F71">
        <w:rPr>
          <w:rFonts w:asciiTheme="majorHAnsi" w:hAnsiTheme="majorHAnsi" w:cstheme="majorHAnsi"/>
          <w:b/>
          <w:color w:val="000000"/>
          <w:sz w:val="18"/>
          <w:szCs w:val="18"/>
          <w:lang w:val="de-DE"/>
        </w:rPr>
        <w:t>Börse Düsseldorf</w:t>
      </w:r>
    </w:p>
    <w:p w:rsidR="001F4C1C" w:rsidRPr="00957F71" w:rsidRDefault="001F4C1C" w:rsidP="001F4C1C">
      <w:pPr>
        <w:spacing w:line="240" w:lineRule="auto"/>
        <w:jc w:val="right"/>
        <w:rPr>
          <w:rFonts w:asciiTheme="majorHAnsi" w:hAnsiTheme="majorHAnsi" w:cstheme="majorHAnsi"/>
          <w:b/>
          <w:color w:val="000000"/>
          <w:sz w:val="18"/>
          <w:szCs w:val="18"/>
          <w:lang w:val="de-DE"/>
        </w:rPr>
      </w:pPr>
      <w:r w:rsidRPr="00957F71">
        <w:rPr>
          <w:rFonts w:asciiTheme="majorHAnsi" w:hAnsiTheme="majorHAnsi" w:cstheme="majorHAnsi"/>
          <w:b/>
          <w:color w:val="000000"/>
          <w:sz w:val="18"/>
          <w:szCs w:val="18"/>
          <w:lang w:val="de-DE"/>
        </w:rPr>
        <w:t>Börse München</w:t>
      </w:r>
    </w:p>
    <w:p w:rsidR="001F4C1C" w:rsidRPr="00957F71" w:rsidRDefault="001F4C1C" w:rsidP="001F4C1C">
      <w:pPr>
        <w:spacing w:line="240" w:lineRule="auto"/>
        <w:jc w:val="right"/>
        <w:rPr>
          <w:rFonts w:asciiTheme="majorHAnsi" w:hAnsiTheme="majorHAnsi" w:cstheme="majorHAnsi"/>
          <w:b/>
          <w:color w:val="000000"/>
          <w:sz w:val="18"/>
          <w:szCs w:val="18"/>
          <w:lang w:val="de-DE"/>
        </w:rPr>
      </w:pPr>
      <w:r w:rsidRPr="00957F71">
        <w:rPr>
          <w:rFonts w:asciiTheme="majorHAnsi" w:hAnsiTheme="majorHAnsi" w:cstheme="majorHAnsi"/>
          <w:b/>
          <w:color w:val="000000"/>
          <w:sz w:val="18"/>
          <w:szCs w:val="18"/>
          <w:lang w:val="de-DE"/>
        </w:rPr>
        <w:t>Börse Hamburg</w:t>
      </w:r>
    </w:p>
    <w:p w:rsidR="001F4C1C" w:rsidRPr="00957F71" w:rsidRDefault="001F4C1C" w:rsidP="001F4C1C">
      <w:pPr>
        <w:spacing w:line="240" w:lineRule="auto"/>
        <w:jc w:val="right"/>
        <w:rPr>
          <w:rFonts w:asciiTheme="majorHAnsi" w:hAnsiTheme="majorHAnsi" w:cstheme="majorHAnsi"/>
          <w:b/>
          <w:color w:val="000000"/>
          <w:sz w:val="18"/>
          <w:szCs w:val="18"/>
          <w:lang w:val="de-DE"/>
        </w:rPr>
      </w:pPr>
      <w:r w:rsidRPr="00957F71">
        <w:rPr>
          <w:rFonts w:asciiTheme="majorHAnsi" w:hAnsiTheme="majorHAnsi" w:cstheme="majorHAnsi"/>
          <w:b/>
          <w:color w:val="000000"/>
          <w:sz w:val="18"/>
          <w:szCs w:val="18"/>
          <w:lang w:val="de-DE"/>
        </w:rPr>
        <w:t>Börse Hannover</w:t>
      </w:r>
    </w:p>
    <w:p w:rsidR="001F4C1C" w:rsidRPr="00957F71" w:rsidRDefault="001F4C1C" w:rsidP="001F4C1C">
      <w:pPr>
        <w:spacing w:line="240" w:lineRule="auto"/>
        <w:jc w:val="right"/>
        <w:rPr>
          <w:rFonts w:asciiTheme="majorHAnsi" w:hAnsiTheme="majorHAnsi" w:cstheme="majorHAnsi"/>
          <w:b/>
          <w:color w:val="000000"/>
          <w:sz w:val="18"/>
          <w:szCs w:val="18"/>
          <w:lang w:val="de-DE"/>
        </w:rPr>
      </w:pPr>
      <w:r w:rsidRPr="00957F71">
        <w:rPr>
          <w:rFonts w:asciiTheme="majorHAnsi" w:hAnsiTheme="majorHAnsi" w:cstheme="majorHAnsi"/>
          <w:b/>
          <w:color w:val="000000"/>
          <w:sz w:val="18"/>
          <w:szCs w:val="18"/>
          <w:lang w:val="de-DE"/>
        </w:rPr>
        <w:t>Börse Stuttgart</w:t>
      </w:r>
    </w:p>
    <w:p w:rsidR="001F4C1C" w:rsidRPr="00957F71" w:rsidRDefault="001F4C1C" w:rsidP="001F4C1C">
      <w:pPr>
        <w:spacing w:line="240" w:lineRule="auto"/>
        <w:jc w:val="right"/>
        <w:rPr>
          <w:rFonts w:asciiTheme="majorHAnsi" w:hAnsiTheme="majorHAnsi" w:cstheme="majorHAnsi"/>
          <w:b/>
          <w:color w:val="000000"/>
          <w:sz w:val="18"/>
          <w:szCs w:val="18"/>
          <w:lang w:val="de-DE"/>
        </w:rPr>
      </w:pPr>
      <w:r w:rsidRPr="00957F71">
        <w:rPr>
          <w:rFonts w:asciiTheme="majorHAnsi" w:hAnsiTheme="majorHAnsi" w:cstheme="majorHAnsi"/>
          <w:b/>
          <w:color w:val="000000"/>
          <w:sz w:val="18"/>
          <w:szCs w:val="18"/>
          <w:lang w:val="de-DE"/>
        </w:rPr>
        <w:t>Tradegate Exchange</w:t>
      </w:r>
    </w:p>
    <w:p w:rsidR="001F4C1C" w:rsidRPr="00957F71" w:rsidRDefault="001F4C1C" w:rsidP="001F4C1C">
      <w:pPr>
        <w:spacing w:line="240" w:lineRule="auto"/>
        <w:jc w:val="right"/>
        <w:outlineLvl w:val="0"/>
        <w:rPr>
          <w:rFonts w:asciiTheme="majorHAnsi" w:hAnsiTheme="majorHAnsi" w:cstheme="majorHAnsi"/>
          <w:b/>
          <w:sz w:val="16"/>
          <w:szCs w:val="16"/>
          <w:lang w:val="de-DE"/>
        </w:rPr>
      </w:pPr>
      <w:r w:rsidRPr="00957F71">
        <w:rPr>
          <w:rFonts w:asciiTheme="majorHAnsi" w:hAnsiTheme="majorHAnsi" w:cstheme="majorHAnsi"/>
          <w:b/>
          <w:sz w:val="18"/>
          <w:szCs w:val="18"/>
          <w:lang w:val="de-DE"/>
        </w:rPr>
        <w:t>Bundesverband der Wertpapierfirmen</w:t>
      </w:r>
    </w:p>
    <w:p w:rsidR="001F4C1C" w:rsidRPr="00957F71" w:rsidRDefault="001F4C1C" w:rsidP="001F4C1C">
      <w:pPr>
        <w:spacing w:line="240" w:lineRule="auto"/>
        <w:outlineLvl w:val="0"/>
        <w:rPr>
          <w:rFonts w:asciiTheme="majorHAnsi" w:hAnsiTheme="majorHAnsi" w:cstheme="majorHAnsi"/>
          <w:sz w:val="20"/>
          <w:lang w:val="de-DE"/>
        </w:rPr>
      </w:pPr>
    </w:p>
    <w:p w:rsidR="001F4C1C" w:rsidRPr="00957F71" w:rsidRDefault="001F4C1C" w:rsidP="001F4C1C">
      <w:pPr>
        <w:spacing w:line="240" w:lineRule="auto"/>
        <w:outlineLvl w:val="0"/>
        <w:rPr>
          <w:rFonts w:asciiTheme="majorHAnsi" w:hAnsiTheme="majorHAnsi" w:cstheme="majorHAnsi"/>
          <w:sz w:val="20"/>
          <w:lang w:val="de-DE"/>
        </w:rPr>
      </w:pPr>
    </w:p>
    <w:p w:rsidR="001F4C1C" w:rsidRPr="00957F71" w:rsidRDefault="001F4C1C" w:rsidP="001F4C1C">
      <w:pPr>
        <w:spacing w:line="240" w:lineRule="auto"/>
        <w:jc w:val="right"/>
        <w:outlineLvl w:val="0"/>
        <w:rPr>
          <w:rFonts w:asciiTheme="majorHAnsi" w:hAnsiTheme="majorHAnsi" w:cstheme="majorHAnsi"/>
          <w:sz w:val="20"/>
          <w:lang w:val="en-US"/>
        </w:rPr>
      </w:pPr>
      <w:r w:rsidRPr="00957F71">
        <w:rPr>
          <w:rFonts w:asciiTheme="majorHAnsi" w:hAnsiTheme="majorHAnsi" w:cstheme="majorHAnsi"/>
          <w:sz w:val="20"/>
          <w:lang w:val="en-US"/>
        </w:rPr>
        <w:t>27 February 2015</w:t>
      </w:r>
    </w:p>
    <w:p w:rsidR="001F4C1C" w:rsidRPr="00957F71" w:rsidRDefault="001F4C1C" w:rsidP="001F4C1C">
      <w:pPr>
        <w:spacing w:line="240" w:lineRule="auto"/>
        <w:ind w:left="708"/>
        <w:outlineLvl w:val="0"/>
        <w:rPr>
          <w:rFonts w:asciiTheme="majorHAnsi" w:hAnsiTheme="majorHAnsi" w:cstheme="majorHAnsi"/>
          <w:noProof/>
          <w:sz w:val="20"/>
          <w:lang w:val="en-US" w:eastAsia="de-DE"/>
        </w:rPr>
      </w:pPr>
    </w:p>
    <w:p w:rsidR="001F4C1C" w:rsidRPr="00957F71" w:rsidRDefault="001F4C1C" w:rsidP="001F4C1C">
      <w:pPr>
        <w:spacing w:line="240" w:lineRule="auto"/>
        <w:jc w:val="left"/>
        <w:outlineLvl w:val="0"/>
        <w:rPr>
          <w:rFonts w:asciiTheme="majorHAnsi" w:hAnsiTheme="majorHAnsi" w:cstheme="majorHAnsi"/>
          <w:bCs/>
          <w:sz w:val="20"/>
          <w:lang w:val="en-US"/>
        </w:rPr>
      </w:pPr>
      <w:r w:rsidRPr="00957F71">
        <w:rPr>
          <w:rFonts w:asciiTheme="majorHAnsi" w:hAnsiTheme="majorHAnsi" w:cstheme="majorHAnsi"/>
          <w:b/>
          <w:sz w:val="24"/>
          <w:szCs w:val="24"/>
          <w:lang w:val="en-US"/>
        </w:rPr>
        <w:t xml:space="preserve">MiFID II “Draft regulatory technical standards on </w:t>
      </w:r>
      <w:r w:rsidRPr="00957F71">
        <w:rPr>
          <w:rFonts w:asciiTheme="majorHAnsi" w:hAnsiTheme="majorHAnsi" w:cstheme="majorHAnsi"/>
          <w:b/>
          <w:bCs/>
          <w:sz w:val="24"/>
          <w:szCs w:val="24"/>
          <w:lang w:val="en-US"/>
        </w:rPr>
        <w:t>market making, market making agreements and marking making schemes”</w:t>
      </w:r>
      <w:r w:rsidRPr="00957F71">
        <w:rPr>
          <w:rFonts w:asciiTheme="majorHAnsi" w:hAnsiTheme="majorHAnsi" w:cstheme="majorHAnsi"/>
          <w:b/>
          <w:bCs/>
          <w:sz w:val="24"/>
          <w:szCs w:val="24"/>
          <w:lang w:val="en-US"/>
        </w:rPr>
        <w:br/>
      </w:r>
      <w:r w:rsidRPr="00957F71">
        <w:rPr>
          <w:rFonts w:asciiTheme="majorHAnsi" w:hAnsiTheme="majorHAnsi" w:cstheme="majorHAnsi"/>
          <w:bCs/>
          <w:sz w:val="20"/>
          <w:lang w:val="en-US"/>
        </w:rPr>
        <w:t>Consultation Paper ESMA/2014/1570, Chapter 4.3 &amp; Annex B, RTS 15 of December 19, 2014</w:t>
      </w:r>
    </w:p>
    <w:p w:rsidR="001F4C1C" w:rsidRPr="00957F71" w:rsidRDefault="001F4C1C" w:rsidP="001F4C1C">
      <w:pPr>
        <w:spacing w:line="240" w:lineRule="auto"/>
        <w:outlineLvl w:val="0"/>
        <w:rPr>
          <w:rFonts w:asciiTheme="majorHAnsi" w:hAnsiTheme="majorHAnsi" w:cstheme="majorHAnsi"/>
          <w:sz w:val="20"/>
          <w:lang w:val="en-US"/>
        </w:rPr>
      </w:pPr>
    </w:p>
    <w:p w:rsidR="001F4C1C" w:rsidRPr="00957F71" w:rsidRDefault="001F4C1C" w:rsidP="001F4C1C">
      <w:pPr>
        <w:spacing w:line="240" w:lineRule="auto"/>
        <w:outlineLvl w:val="0"/>
        <w:rPr>
          <w:rFonts w:asciiTheme="majorHAnsi" w:hAnsiTheme="majorHAnsi" w:cstheme="majorHAnsi"/>
          <w:sz w:val="20"/>
          <w:lang w:val="en-US"/>
        </w:rPr>
      </w:pPr>
      <w:r w:rsidRPr="00957F71">
        <w:rPr>
          <w:rFonts w:asciiTheme="majorHAnsi" w:hAnsiTheme="majorHAnsi" w:cstheme="majorHAnsi"/>
          <w:sz w:val="20"/>
          <w:lang w:val="en-US"/>
        </w:rPr>
        <w:t>Dear Sir or Madam,</w:t>
      </w:r>
    </w:p>
    <w:p w:rsidR="001F4C1C" w:rsidRPr="00957F71" w:rsidRDefault="001F4C1C" w:rsidP="001F4C1C">
      <w:pPr>
        <w:spacing w:line="240" w:lineRule="auto"/>
        <w:outlineLvl w:val="0"/>
        <w:rPr>
          <w:rFonts w:asciiTheme="majorHAnsi" w:hAnsiTheme="majorHAnsi" w:cstheme="majorHAnsi"/>
          <w:sz w:val="20"/>
          <w:lang w:val="en-US"/>
        </w:rPr>
      </w:pPr>
    </w:p>
    <w:p w:rsidR="001F4C1C" w:rsidRPr="00957F71" w:rsidRDefault="001F4C1C" w:rsidP="001F4C1C">
      <w:pPr>
        <w:spacing w:after="200" w:line="240" w:lineRule="auto"/>
        <w:rPr>
          <w:rFonts w:asciiTheme="majorHAnsi" w:hAnsiTheme="majorHAnsi" w:cstheme="majorHAnsi"/>
          <w:sz w:val="20"/>
          <w:lang w:val="en-US"/>
        </w:rPr>
      </w:pPr>
      <w:r w:rsidRPr="00957F71">
        <w:rPr>
          <w:rFonts w:asciiTheme="majorHAnsi" w:hAnsiTheme="majorHAnsi" w:cstheme="majorHAnsi"/>
          <w:sz w:val="20"/>
          <w:lang w:val="en-US"/>
        </w:rPr>
        <w:t>The petitioners who are securities exchanges throughout Germany</w:t>
      </w:r>
      <w:r w:rsidR="008005CD" w:rsidRPr="00957F71">
        <w:rPr>
          <w:rStyle w:val="Endnotenzeichen"/>
          <w:rFonts w:asciiTheme="majorHAnsi" w:hAnsiTheme="majorHAnsi" w:cstheme="majorHAnsi"/>
          <w:sz w:val="20"/>
          <w:lang w:val="en-US"/>
        </w:rPr>
        <w:t>[</w:t>
      </w:r>
      <w:r w:rsidR="008005CD" w:rsidRPr="00957F71">
        <w:rPr>
          <w:rFonts w:asciiTheme="majorHAnsi" w:hAnsiTheme="majorHAnsi" w:cstheme="majorHAnsi"/>
          <w:sz w:val="20"/>
          <w:vertAlign w:val="superscript"/>
          <w:lang w:val="en-US"/>
        </w:rPr>
        <w:t>1]</w:t>
      </w:r>
      <w:r w:rsidRPr="00957F71">
        <w:rPr>
          <w:rFonts w:asciiTheme="majorHAnsi" w:hAnsiTheme="majorHAnsi" w:cstheme="majorHAnsi"/>
          <w:sz w:val="20"/>
          <w:lang w:val="en-US"/>
        </w:rPr>
        <w:t xml:space="preserve"> together with </w:t>
      </w:r>
      <w:proofErr w:type="spellStart"/>
      <w:r w:rsidRPr="00957F71">
        <w:rPr>
          <w:rFonts w:asciiTheme="majorHAnsi" w:hAnsiTheme="majorHAnsi" w:cstheme="majorHAnsi"/>
          <w:sz w:val="20"/>
          <w:lang w:val="en-US"/>
        </w:rPr>
        <w:t>bwf</w:t>
      </w:r>
      <w:proofErr w:type="spellEnd"/>
      <w:r w:rsidRPr="00957F71">
        <w:rPr>
          <w:rFonts w:asciiTheme="majorHAnsi" w:hAnsiTheme="majorHAnsi" w:cstheme="majorHAnsi"/>
          <w:sz w:val="20"/>
          <w:lang w:val="en-US"/>
        </w:rPr>
        <w:t>, a trade associ</w:t>
      </w:r>
      <w:r w:rsidRPr="00957F71">
        <w:rPr>
          <w:rFonts w:asciiTheme="majorHAnsi" w:hAnsiTheme="majorHAnsi" w:cstheme="majorHAnsi"/>
          <w:sz w:val="20"/>
          <w:lang w:val="en-US"/>
        </w:rPr>
        <w:t>a</w:t>
      </w:r>
      <w:r w:rsidRPr="00957F71">
        <w:rPr>
          <w:rFonts w:asciiTheme="majorHAnsi" w:hAnsiTheme="majorHAnsi" w:cstheme="majorHAnsi"/>
          <w:sz w:val="20"/>
          <w:lang w:val="en-US"/>
        </w:rPr>
        <w:t xml:space="preserve">tion promoting the common professional interests of market makers and independent trading houses in Germany, welcome the opportunity to comment on ESMA’s Consultation Paper on MiFID II / </w:t>
      </w:r>
      <w:proofErr w:type="spellStart"/>
      <w:r w:rsidRPr="00957F71">
        <w:rPr>
          <w:rFonts w:asciiTheme="majorHAnsi" w:hAnsiTheme="majorHAnsi" w:cstheme="majorHAnsi"/>
          <w:sz w:val="20"/>
          <w:lang w:val="en-US"/>
        </w:rPr>
        <w:t>MiFIR</w:t>
      </w:r>
      <w:proofErr w:type="spellEnd"/>
      <w:r w:rsidRPr="00957F71">
        <w:rPr>
          <w:rFonts w:asciiTheme="majorHAnsi" w:hAnsiTheme="majorHAnsi" w:cstheme="majorHAnsi"/>
          <w:sz w:val="20"/>
          <w:lang w:val="en-US"/>
        </w:rPr>
        <w:t xml:space="preserve"> of 19 December 2014. As already stated in our last petition from July 31, 2014</w:t>
      </w:r>
      <w:r w:rsidR="008005CD" w:rsidRPr="00957F71">
        <w:rPr>
          <w:rStyle w:val="Endnotenzeichen"/>
          <w:rFonts w:asciiTheme="majorHAnsi" w:hAnsiTheme="majorHAnsi" w:cstheme="majorHAnsi"/>
          <w:sz w:val="20"/>
          <w:lang w:val="en-US"/>
        </w:rPr>
        <w:t>[</w:t>
      </w:r>
      <w:r w:rsidR="008005CD" w:rsidRPr="00957F71">
        <w:rPr>
          <w:rFonts w:asciiTheme="majorHAnsi" w:hAnsiTheme="majorHAnsi" w:cstheme="majorHAnsi"/>
          <w:sz w:val="20"/>
          <w:vertAlign w:val="superscript"/>
          <w:lang w:val="en-US"/>
        </w:rPr>
        <w:t>2]</w:t>
      </w:r>
      <w:r w:rsidRPr="00957F71">
        <w:rPr>
          <w:rFonts w:asciiTheme="majorHAnsi" w:hAnsiTheme="majorHAnsi" w:cstheme="majorHAnsi"/>
          <w:sz w:val="20"/>
          <w:lang w:val="en-US"/>
        </w:rPr>
        <w:t xml:space="preserve"> (on ESMA’s Discussion Paper on MiFID II/</w:t>
      </w:r>
      <w:proofErr w:type="spellStart"/>
      <w:r w:rsidRPr="00957F71">
        <w:rPr>
          <w:rFonts w:asciiTheme="majorHAnsi" w:hAnsiTheme="majorHAnsi" w:cstheme="majorHAnsi"/>
          <w:sz w:val="20"/>
          <w:lang w:val="en-US"/>
        </w:rPr>
        <w:t>MiFIR</w:t>
      </w:r>
      <w:proofErr w:type="spellEnd"/>
      <w:r w:rsidR="008A372B" w:rsidRPr="00957F71">
        <w:rPr>
          <w:rStyle w:val="Endnotenzeichen"/>
          <w:rFonts w:asciiTheme="majorHAnsi" w:hAnsiTheme="majorHAnsi" w:cstheme="majorHAnsi"/>
          <w:sz w:val="20"/>
          <w:lang w:val="en-US"/>
        </w:rPr>
        <w:t>[</w:t>
      </w:r>
      <w:r w:rsidR="008A372B" w:rsidRPr="00957F71">
        <w:rPr>
          <w:rFonts w:asciiTheme="majorHAnsi" w:hAnsiTheme="majorHAnsi" w:cstheme="majorHAnsi"/>
          <w:sz w:val="20"/>
          <w:vertAlign w:val="superscript"/>
          <w:lang w:val="en-US"/>
        </w:rPr>
        <w:t>3]</w:t>
      </w:r>
      <w:r w:rsidRPr="00957F71">
        <w:rPr>
          <w:rFonts w:asciiTheme="majorHAnsi" w:hAnsiTheme="majorHAnsi" w:cstheme="majorHAnsi"/>
          <w:sz w:val="20"/>
          <w:lang w:val="en-US"/>
        </w:rPr>
        <w:t>),</w:t>
      </w:r>
      <w:r w:rsidRPr="00957F71">
        <w:rPr>
          <w:rStyle w:val="Endnotenzeichen"/>
          <w:rFonts w:asciiTheme="majorHAnsi" w:hAnsiTheme="majorHAnsi" w:cstheme="majorHAnsi"/>
          <w:sz w:val="20"/>
          <w:lang w:val="en-US"/>
        </w:rPr>
        <w:t xml:space="preserve"> </w:t>
      </w:r>
      <w:r w:rsidRPr="00957F71">
        <w:rPr>
          <w:rFonts w:asciiTheme="majorHAnsi" w:hAnsiTheme="majorHAnsi" w:cstheme="majorHAnsi"/>
          <w:sz w:val="20"/>
          <w:lang w:val="en-US"/>
        </w:rPr>
        <w:t>we still have serious concerns regarding ESMA’s current proposal for “draft regulatory technical standards on market making, market making arrangements and market making schemes.”</w:t>
      </w:r>
      <w:r w:rsidR="008A372B" w:rsidRPr="00957F71">
        <w:rPr>
          <w:rStyle w:val="Endnotenzeichen"/>
          <w:rFonts w:asciiTheme="majorHAnsi" w:hAnsiTheme="majorHAnsi" w:cstheme="majorHAnsi"/>
          <w:sz w:val="20"/>
          <w:lang w:val="en-US"/>
        </w:rPr>
        <w:t xml:space="preserve"> [</w:t>
      </w:r>
      <w:r w:rsidR="008A372B" w:rsidRPr="00957F71">
        <w:rPr>
          <w:rFonts w:asciiTheme="majorHAnsi" w:hAnsiTheme="majorHAnsi" w:cstheme="majorHAnsi"/>
          <w:sz w:val="20"/>
          <w:vertAlign w:val="superscript"/>
          <w:lang w:val="en-US"/>
        </w:rPr>
        <w:t>4]</w:t>
      </w:r>
      <w:r w:rsidRPr="00957F71">
        <w:rPr>
          <w:rFonts w:asciiTheme="majorHAnsi" w:hAnsiTheme="majorHAnsi" w:cstheme="majorHAnsi"/>
          <w:sz w:val="20"/>
          <w:lang w:val="en-US"/>
        </w:rPr>
        <w:t xml:space="preserve"> If adop</w:t>
      </w:r>
      <w:r w:rsidRPr="00957F71">
        <w:rPr>
          <w:rFonts w:asciiTheme="majorHAnsi" w:hAnsiTheme="majorHAnsi" w:cstheme="majorHAnsi"/>
          <w:sz w:val="20"/>
          <w:lang w:val="en-US"/>
        </w:rPr>
        <w:t>t</w:t>
      </w:r>
      <w:r w:rsidRPr="00957F71">
        <w:rPr>
          <w:rFonts w:asciiTheme="majorHAnsi" w:hAnsiTheme="majorHAnsi" w:cstheme="majorHAnsi"/>
          <w:sz w:val="20"/>
          <w:lang w:val="en-US"/>
        </w:rPr>
        <w:t>ed in their present form, these standards have the potential to create severe and unjustifiable negative cons</w:t>
      </w:r>
      <w:r w:rsidRPr="00957F71">
        <w:rPr>
          <w:rFonts w:asciiTheme="majorHAnsi" w:hAnsiTheme="majorHAnsi" w:cstheme="majorHAnsi"/>
          <w:sz w:val="20"/>
          <w:lang w:val="en-US"/>
        </w:rPr>
        <w:t>e</w:t>
      </w:r>
      <w:r w:rsidRPr="00957F71">
        <w:rPr>
          <w:rFonts w:asciiTheme="majorHAnsi" w:hAnsiTheme="majorHAnsi" w:cstheme="majorHAnsi"/>
          <w:sz w:val="20"/>
          <w:lang w:val="en-US"/>
        </w:rPr>
        <w:t>quences for established and legally recognized “hybrid” market models with liquidity providing fun</w:t>
      </w:r>
      <w:r w:rsidRPr="00957F71">
        <w:rPr>
          <w:rFonts w:asciiTheme="majorHAnsi" w:hAnsiTheme="majorHAnsi" w:cstheme="majorHAnsi"/>
          <w:sz w:val="20"/>
          <w:lang w:val="en-US"/>
        </w:rPr>
        <w:t>c</w:t>
      </w:r>
      <w:r w:rsidRPr="00957F71">
        <w:rPr>
          <w:rFonts w:asciiTheme="majorHAnsi" w:hAnsiTheme="majorHAnsi" w:cstheme="majorHAnsi"/>
          <w:sz w:val="20"/>
          <w:lang w:val="en-US"/>
        </w:rPr>
        <w:t xml:space="preserve">tions. </w:t>
      </w:r>
    </w:p>
    <w:p w:rsidR="001F4C1C" w:rsidRPr="00957F71" w:rsidRDefault="001F4C1C" w:rsidP="001F4C1C">
      <w:pPr>
        <w:spacing w:line="240" w:lineRule="auto"/>
        <w:rPr>
          <w:rFonts w:asciiTheme="majorHAnsi" w:hAnsiTheme="majorHAnsi" w:cstheme="majorHAnsi"/>
          <w:sz w:val="20"/>
          <w:lang w:val="en-US"/>
        </w:rPr>
      </w:pPr>
      <w:r w:rsidRPr="00957F71">
        <w:rPr>
          <w:rFonts w:asciiTheme="majorHAnsi" w:hAnsiTheme="majorHAnsi" w:cstheme="majorHAnsi"/>
          <w:sz w:val="20"/>
          <w:lang w:val="en-US"/>
        </w:rPr>
        <w:t>The main reason for our concern is ESMA’s interpretation of the expression “fair and non-discriminatory” in RTS 15, Article 9 (as applied to access to market making schemes) and its insufficient consideration of situ</w:t>
      </w:r>
      <w:r w:rsidRPr="00957F71">
        <w:rPr>
          <w:rFonts w:asciiTheme="majorHAnsi" w:hAnsiTheme="majorHAnsi" w:cstheme="majorHAnsi"/>
          <w:sz w:val="20"/>
          <w:lang w:val="en-US"/>
        </w:rPr>
        <w:t>a</w:t>
      </w:r>
      <w:r w:rsidRPr="00957F71">
        <w:rPr>
          <w:rFonts w:asciiTheme="majorHAnsi" w:hAnsiTheme="majorHAnsi" w:cstheme="majorHAnsi"/>
          <w:sz w:val="20"/>
          <w:lang w:val="en-US"/>
        </w:rPr>
        <w:t>tions where it would be unreasonable to require an exchange to introduce a ma</w:t>
      </w:r>
      <w:r w:rsidRPr="00957F71">
        <w:rPr>
          <w:rFonts w:asciiTheme="majorHAnsi" w:hAnsiTheme="majorHAnsi" w:cstheme="majorHAnsi"/>
          <w:sz w:val="20"/>
          <w:lang w:val="en-US"/>
        </w:rPr>
        <w:t>r</w:t>
      </w:r>
      <w:r w:rsidRPr="00957F71">
        <w:rPr>
          <w:rFonts w:asciiTheme="majorHAnsi" w:hAnsiTheme="majorHAnsi" w:cstheme="majorHAnsi"/>
          <w:sz w:val="20"/>
          <w:lang w:val="en-US"/>
        </w:rPr>
        <w:t xml:space="preserve">ket making system. </w:t>
      </w:r>
    </w:p>
    <w:p w:rsidR="001F4C1C" w:rsidRPr="00957F71" w:rsidRDefault="001F4C1C" w:rsidP="001F4C1C">
      <w:pPr>
        <w:pStyle w:val="Default"/>
        <w:spacing w:before="400" w:after="200"/>
        <w:rPr>
          <w:rFonts w:asciiTheme="majorHAnsi" w:hAnsiTheme="majorHAnsi" w:cstheme="majorHAnsi"/>
          <w:b/>
        </w:rPr>
      </w:pPr>
      <w:r w:rsidRPr="00957F71">
        <w:rPr>
          <w:rFonts w:asciiTheme="majorHAnsi" w:hAnsiTheme="majorHAnsi" w:cstheme="majorHAnsi"/>
          <w:b/>
        </w:rPr>
        <w:t>Regulatory objective</w:t>
      </w:r>
    </w:p>
    <w:p w:rsidR="001F4C1C" w:rsidRPr="00957F71" w:rsidRDefault="001F4C1C" w:rsidP="001F4C1C">
      <w:pPr>
        <w:pStyle w:val="Default"/>
        <w:spacing w:after="200"/>
        <w:jc w:val="both"/>
        <w:rPr>
          <w:rFonts w:asciiTheme="majorHAnsi" w:hAnsiTheme="majorHAnsi" w:cstheme="majorHAnsi"/>
          <w:color w:val="auto"/>
          <w:sz w:val="20"/>
          <w:szCs w:val="20"/>
        </w:rPr>
      </w:pPr>
      <w:r w:rsidRPr="00957F71">
        <w:rPr>
          <w:rFonts w:asciiTheme="majorHAnsi" w:hAnsiTheme="majorHAnsi" w:cstheme="majorHAnsi"/>
          <w:sz w:val="20"/>
          <w:szCs w:val="20"/>
        </w:rPr>
        <w:t>ESMA notes in Recital 1 of RTS 15 that one of the main goals of MiFID II concerning the contractual obl</w:t>
      </w:r>
      <w:r w:rsidRPr="00957F71">
        <w:rPr>
          <w:rFonts w:asciiTheme="majorHAnsi" w:hAnsiTheme="majorHAnsi" w:cstheme="majorHAnsi"/>
          <w:sz w:val="20"/>
          <w:szCs w:val="20"/>
        </w:rPr>
        <w:t>i</w:t>
      </w:r>
      <w:r w:rsidRPr="00957F71">
        <w:rPr>
          <w:rFonts w:asciiTheme="majorHAnsi" w:hAnsiTheme="majorHAnsi" w:cstheme="majorHAnsi"/>
          <w:sz w:val="20"/>
          <w:szCs w:val="20"/>
        </w:rPr>
        <w:t xml:space="preserve">gations of firms with market making strategies based on algorithmic trading is to introduce “an element of predictability to the </w:t>
      </w:r>
      <w:r w:rsidRPr="00957F71">
        <w:rPr>
          <w:rFonts w:asciiTheme="majorHAnsi" w:hAnsiTheme="majorHAnsi" w:cstheme="majorHAnsi"/>
          <w:color w:val="auto"/>
          <w:sz w:val="20"/>
          <w:szCs w:val="20"/>
        </w:rPr>
        <w:t>apparent liquidity in the order book”</w:t>
      </w:r>
      <w:r w:rsidR="008A372B" w:rsidRPr="00957F71">
        <w:rPr>
          <w:rStyle w:val="Endnotenzeichen"/>
          <w:rFonts w:asciiTheme="majorHAnsi" w:hAnsiTheme="majorHAnsi" w:cstheme="majorHAnsi"/>
          <w:sz w:val="20"/>
        </w:rPr>
        <w:t xml:space="preserve"> [</w:t>
      </w:r>
      <w:r w:rsidR="008A372B" w:rsidRPr="00957F71">
        <w:rPr>
          <w:rFonts w:asciiTheme="majorHAnsi" w:hAnsiTheme="majorHAnsi" w:cstheme="majorHAnsi"/>
          <w:sz w:val="20"/>
          <w:vertAlign w:val="superscript"/>
        </w:rPr>
        <w:t>5]</w:t>
      </w:r>
      <w:r w:rsidRPr="00957F71">
        <w:rPr>
          <w:rFonts w:asciiTheme="majorHAnsi" w:hAnsiTheme="majorHAnsi" w:cstheme="majorHAnsi"/>
          <w:color w:val="auto"/>
          <w:sz w:val="20"/>
          <w:szCs w:val="20"/>
        </w:rPr>
        <w:t xml:space="preserve"> and to enable market participants </w:t>
      </w:r>
      <w:r w:rsidRPr="00957F71">
        <w:rPr>
          <w:rFonts w:asciiTheme="majorHAnsi" w:hAnsiTheme="majorHAnsi" w:cstheme="majorHAnsi"/>
          <w:i/>
          <w:color w:val="auto"/>
          <w:sz w:val="20"/>
          <w:szCs w:val="20"/>
        </w:rPr>
        <w:t>“</w:t>
      </w:r>
      <w:r w:rsidRPr="00957F71">
        <w:rPr>
          <w:rFonts w:asciiTheme="majorHAnsi" w:hAnsiTheme="majorHAnsi" w:cstheme="majorHAnsi"/>
          <w:color w:val="auto"/>
          <w:sz w:val="20"/>
          <w:szCs w:val="20"/>
        </w:rPr>
        <w:t>to transfer risks efficiently during stressed market conditions” thanks to the activity of market makers.</w:t>
      </w:r>
      <w:r w:rsidR="008A372B" w:rsidRPr="00957F71">
        <w:rPr>
          <w:rStyle w:val="Endnotenzeichen"/>
          <w:rFonts w:asciiTheme="majorHAnsi" w:hAnsiTheme="majorHAnsi" w:cstheme="majorHAnsi"/>
          <w:sz w:val="20"/>
        </w:rPr>
        <w:t xml:space="preserve"> [</w:t>
      </w:r>
      <w:r w:rsidR="008A372B" w:rsidRPr="00957F71">
        <w:rPr>
          <w:rFonts w:asciiTheme="majorHAnsi" w:hAnsiTheme="majorHAnsi" w:cstheme="majorHAnsi"/>
          <w:sz w:val="20"/>
          <w:vertAlign w:val="superscript"/>
        </w:rPr>
        <w:t>6]</w:t>
      </w:r>
    </w:p>
    <w:p w:rsidR="001F4C1C" w:rsidRPr="00957F71" w:rsidRDefault="001F4C1C" w:rsidP="001F4C1C">
      <w:pPr>
        <w:pStyle w:val="Default"/>
        <w:spacing w:after="200"/>
        <w:jc w:val="both"/>
        <w:rPr>
          <w:rFonts w:asciiTheme="majorHAnsi" w:hAnsiTheme="majorHAnsi" w:cstheme="majorHAnsi"/>
          <w:color w:val="auto"/>
          <w:sz w:val="20"/>
          <w:szCs w:val="20"/>
        </w:rPr>
      </w:pPr>
      <w:r w:rsidRPr="00957F71">
        <w:rPr>
          <w:rFonts w:asciiTheme="majorHAnsi" w:hAnsiTheme="majorHAnsi" w:cstheme="majorHAnsi"/>
          <w:color w:val="auto"/>
          <w:sz w:val="20"/>
          <w:szCs w:val="20"/>
        </w:rPr>
        <w:t>In the Level I text, Recital 59 clarifies that the obligations for algorithmic traders pursuing a market making strategy are to be understood in the context of a more general attempt to regulate “risks arising from alg</w:t>
      </w:r>
      <w:r w:rsidRPr="00957F71">
        <w:rPr>
          <w:rFonts w:asciiTheme="majorHAnsi" w:hAnsiTheme="majorHAnsi" w:cstheme="majorHAnsi"/>
          <w:color w:val="auto"/>
          <w:sz w:val="20"/>
          <w:szCs w:val="20"/>
        </w:rPr>
        <w:t>o</w:t>
      </w:r>
      <w:r w:rsidRPr="00957F71">
        <w:rPr>
          <w:rFonts w:asciiTheme="majorHAnsi" w:hAnsiTheme="majorHAnsi" w:cstheme="majorHAnsi"/>
          <w:color w:val="auto"/>
          <w:sz w:val="20"/>
          <w:szCs w:val="20"/>
        </w:rPr>
        <w:t xml:space="preserve">rithmic trading.” Further, Recital 60 emphasizes that the pursuit of a market making strategy “should be understood in a way specific to its context and purpose” and should </w:t>
      </w:r>
      <w:r w:rsidRPr="00957F71">
        <w:rPr>
          <w:rFonts w:asciiTheme="majorHAnsi" w:hAnsiTheme="majorHAnsi" w:cstheme="majorHAnsi"/>
          <w:i/>
          <w:color w:val="auto"/>
          <w:sz w:val="20"/>
          <w:szCs w:val="20"/>
        </w:rPr>
        <w:t>not</w:t>
      </w:r>
      <w:r w:rsidRPr="00957F71">
        <w:rPr>
          <w:rFonts w:asciiTheme="majorHAnsi" w:hAnsiTheme="majorHAnsi" w:cstheme="majorHAnsi"/>
          <w:color w:val="auto"/>
          <w:sz w:val="20"/>
          <w:szCs w:val="20"/>
        </w:rPr>
        <w:t xml:space="preserve"> be confused with a general definition of market making activities.</w:t>
      </w:r>
      <w:r w:rsidR="008A372B" w:rsidRPr="00957F71">
        <w:rPr>
          <w:rStyle w:val="Endnotenzeichen"/>
          <w:rFonts w:asciiTheme="majorHAnsi" w:hAnsiTheme="majorHAnsi" w:cstheme="majorHAnsi"/>
          <w:sz w:val="20"/>
        </w:rPr>
        <w:t xml:space="preserve"> [</w:t>
      </w:r>
      <w:r w:rsidR="008A372B" w:rsidRPr="00957F71">
        <w:rPr>
          <w:rFonts w:asciiTheme="majorHAnsi" w:hAnsiTheme="majorHAnsi" w:cstheme="majorHAnsi"/>
          <w:sz w:val="20"/>
          <w:vertAlign w:val="superscript"/>
        </w:rPr>
        <w:t>7]</w:t>
      </w:r>
    </w:p>
    <w:p w:rsidR="001F4C1C" w:rsidRPr="00957F71" w:rsidRDefault="001F4C1C" w:rsidP="001F4C1C">
      <w:pPr>
        <w:pStyle w:val="Default"/>
        <w:spacing w:after="200"/>
        <w:jc w:val="both"/>
        <w:rPr>
          <w:rFonts w:asciiTheme="majorHAnsi" w:hAnsiTheme="majorHAnsi" w:cstheme="majorHAnsi"/>
          <w:color w:val="auto"/>
          <w:sz w:val="20"/>
          <w:szCs w:val="20"/>
        </w:rPr>
      </w:pPr>
      <w:r w:rsidRPr="00957F71">
        <w:rPr>
          <w:rFonts w:asciiTheme="majorHAnsi" w:hAnsiTheme="majorHAnsi" w:cstheme="majorHAnsi"/>
          <w:color w:val="auto"/>
          <w:sz w:val="20"/>
          <w:szCs w:val="20"/>
        </w:rPr>
        <w:t>These Level I provisions and the practical consequences arising from them, as identified by ESMA, r</w:t>
      </w:r>
      <w:r w:rsidRPr="00957F71">
        <w:rPr>
          <w:rFonts w:asciiTheme="majorHAnsi" w:hAnsiTheme="majorHAnsi" w:cstheme="majorHAnsi"/>
          <w:color w:val="auto"/>
          <w:sz w:val="20"/>
          <w:szCs w:val="20"/>
        </w:rPr>
        <w:t>e</w:t>
      </w:r>
      <w:r w:rsidRPr="00957F71">
        <w:rPr>
          <w:rFonts w:asciiTheme="majorHAnsi" w:hAnsiTheme="majorHAnsi" w:cstheme="majorHAnsi"/>
          <w:color w:val="auto"/>
          <w:sz w:val="20"/>
          <w:szCs w:val="20"/>
        </w:rPr>
        <w:t xml:space="preserve">quire that </w:t>
      </w:r>
      <w:proofErr w:type="gramStart"/>
      <w:r w:rsidRPr="00957F71">
        <w:rPr>
          <w:rFonts w:asciiTheme="majorHAnsi" w:hAnsiTheme="majorHAnsi" w:cstheme="majorHAnsi"/>
          <w:color w:val="auto"/>
          <w:sz w:val="20"/>
          <w:szCs w:val="20"/>
        </w:rPr>
        <w:t>all</w:t>
      </w:r>
      <w:proofErr w:type="gramEnd"/>
      <w:r w:rsidRPr="00957F71">
        <w:rPr>
          <w:rFonts w:asciiTheme="majorHAnsi" w:hAnsiTheme="majorHAnsi" w:cstheme="majorHAnsi"/>
          <w:color w:val="auto"/>
          <w:sz w:val="20"/>
          <w:szCs w:val="20"/>
        </w:rPr>
        <w:t xml:space="preserve"> elements of the proposed technical regulatory standard 15 contribute to:</w:t>
      </w:r>
    </w:p>
    <w:p w:rsidR="001F4C1C" w:rsidRPr="00957F71" w:rsidRDefault="001F4C1C" w:rsidP="001F4C1C">
      <w:pPr>
        <w:pStyle w:val="Default"/>
        <w:numPr>
          <w:ilvl w:val="0"/>
          <w:numId w:val="30"/>
        </w:numPr>
        <w:spacing w:after="200"/>
        <w:jc w:val="both"/>
        <w:rPr>
          <w:rFonts w:asciiTheme="majorHAnsi" w:hAnsiTheme="majorHAnsi" w:cstheme="majorHAnsi"/>
          <w:color w:val="auto"/>
          <w:sz w:val="20"/>
          <w:szCs w:val="20"/>
        </w:rPr>
      </w:pPr>
      <w:r w:rsidRPr="00957F71">
        <w:rPr>
          <w:rFonts w:asciiTheme="majorHAnsi" w:hAnsiTheme="majorHAnsi" w:cstheme="majorHAnsi"/>
          <w:color w:val="auto"/>
          <w:sz w:val="20"/>
          <w:szCs w:val="20"/>
        </w:rPr>
        <w:t>Reducing the risks arising from algorithmic trading, and</w:t>
      </w:r>
    </w:p>
    <w:p w:rsidR="001F4C1C" w:rsidRPr="00957F71" w:rsidRDefault="001F4C1C" w:rsidP="001F4C1C">
      <w:pPr>
        <w:pStyle w:val="Default"/>
        <w:numPr>
          <w:ilvl w:val="0"/>
          <w:numId w:val="30"/>
        </w:numPr>
        <w:spacing w:after="200"/>
        <w:jc w:val="both"/>
        <w:rPr>
          <w:rFonts w:asciiTheme="majorHAnsi" w:hAnsiTheme="majorHAnsi" w:cstheme="majorHAnsi"/>
          <w:color w:val="auto"/>
          <w:sz w:val="20"/>
          <w:szCs w:val="20"/>
        </w:rPr>
      </w:pPr>
      <w:r w:rsidRPr="00957F71">
        <w:rPr>
          <w:rFonts w:asciiTheme="majorHAnsi" w:hAnsiTheme="majorHAnsi" w:cstheme="majorHAnsi"/>
          <w:color w:val="auto"/>
          <w:sz w:val="20"/>
          <w:szCs w:val="20"/>
        </w:rPr>
        <w:t>Promoting and ensuring the continuous and predictable provision of liquidity to the market.</w:t>
      </w:r>
    </w:p>
    <w:p w:rsidR="001F4C1C" w:rsidRPr="00957F71" w:rsidRDefault="001F4C1C" w:rsidP="006849C6">
      <w:pPr>
        <w:pStyle w:val="Default"/>
        <w:spacing w:after="200"/>
        <w:ind w:left="360"/>
        <w:jc w:val="both"/>
        <w:rPr>
          <w:rFonts w:asciiTheme="majorHAnsi" w:hAnsiTheme="majorHAnsi" w:cstheme="majorHAnsi"/>
          <w:color w:val="auto"/>
          <w:sz w:val="20"/>
          <w:szCs w:val="20"/>
        </w:rPr>
      </w:pPr>
    </w:p>
    <w:p w:rsidR="001F4C1C" w:rsidRPr="00957F71" w:rsidRDefault="001F4C1C" w:rsidP="001F4C1C">
      <w:pPr>
        <w:pStyle w:val="Default"/>
        <w:spacing w:after="200"/>
        <w:jc w:val="both"/>
        <w:rPr>
          <w:rFonts w:asciiTheme="majorHAnsi" w:hAnsiTheme="majorHAnsi" w:cstheme="majorHAnsi"/>
          <w:color w:val="auto"/>
          <w:sz w:val="20"/>
          <w:szCs w:val="20"/>
        </w:rPr>
      </w:pPr>
      <w:r w:rsidRPr="00957F71">
        <w:rPr>
          <w:rFonts w:asciiTheme="majorHAnsi" w:hAnsiTheme="majorHAnsi" w:cstheme="majorHAnsi"/>
          <w:color w:val="auto"/>
          <w:sz w:val="20"/>
          <w:szCs w:val="20"/>
        </w:rPr>
        <w:t>Between any two alternatives proposed, the regulatory framework that better serves these goals is clea</w:t>
      </w:r>
      <w:r w:rsidRPr="00957F71">
        <w:rPr>
          <w:rFonts w:asciiTheme="majorHAnsi" w:hAnsiTheme="majorHAnsi" w:cstheme="majorHAnsi"/>
          <w:color w:val="auto"/>
          <w:sz w:val="20"/>
          <w:szCs w:val="20"/>
        </w:rPr>
        <w:t>r</w:t>
      </w:r>
      <w:r w:rsidRPr="00957F71">
        <w:rPr>
          <w:rFonts w:asciiTheme="majorHAnsi" w:hAnsiTheme="majorHAnsi" w:cstheme="majorHAnsi"/>
          <w:color w:val="auto"/>
          <w:sz w:val="20"/>
          <w:szCs w:val="20"/>
        </w:rPr>
        <w:t>ly preferable. Equally important, an intervention in the current market structures is only justified if it contributes to at least one of these goals.</w:t>
      </w:r>
    </w:p>
    <w:p w:rsidR="001F4C1C" w:rsidRPr="00957F71" w:rsidRDefault="001F4C1C" w:rsidP="001F4C1C">
      <w:pPr>
        <w:pStyle w:val="Default"/>
        <w:spacing w:before="400" w:after="200"/>
        <w:rPr>
          <w:rFonts w:asciiTheme="majorHAnsi" w:hAnsiTheme="majorHAnsi" w:cstheme="majorHAnsi"/>
          <w:b/>
          <w:color w:val="auto"/>
        </w:rPr>
      </w:pPr>
      <w:r w:rsidRPr="00957F71">
        <w:rPr>
          <w:rFonts w:asciiTheme="majorHAnsi" w:hAnsiTheme="majorHAnsi" w:cstheme="majorHAnsi"/>
          <w:b/>
          <w:color w:val="auto"/>
        </w:rPr>
        <w:t>Fair and non-discriminatory market making schemes (RTS 15, Article 9)</w:t>
      </w:r>
    </w:p>
    <w:p w:rsidR="001F4C1C" w:rsidRPr="00957F71" w:rsidRDefault="001F4C1C" w:rsidP="001F4C1C">
      <w:pPr>
        <w:pStyle w:val="Default"/>
        <w:spacing w:after="200"/>
        <w:jc w:val="both"/>
        <w:rPr>
          <w:rFonts w:asciiTheme="majorHAnsi" w:hAnsiTheme="majorHAnsi" w:cstheme="majorHAnsi"/>
          <w:color w:val="auto"/>
          <w:sz w:val="20"/>
          <w:szCs w:val="20"/>
        </w:rPr>
      </w:pPr>
      <w:r w:rsidRPr="00957F71">
        <w:rPr>
          <w:rFonts w:asciiTheme="majorHAnsi" w:hAnsiTheme="majorHAnsi" w:cstheme="majorHAnsi"/>
          <w:color w:val="auto"/>
          <w:sz w:val="20"/>
          <w:szCs w:val="20"/>
        </w:rPr>
        <w:t xml:space="preserve">According to </w:t>
      </w:r>
      <w:r w:rsidRPr="00957F71">
        <w:rPr>
          <w:rFonts w:asciiTheme="majorHAnsi" w:hAnsiTheme="majorHAnsi" w:cstheme="majorHAnsi"/>
          <w:sz w:val="20"/>
          <w:szCs w:val="20"/>
        </w:rPr>
        <w:t>Article 48 Paragraph 12 (f) MiFID II, ESMA’s mandate is to identify “</w:t>
      </w:r>
      <w:r w:rsidRPr="00957F71">
        <w:rPr>
          <w:rFonts w:asciiTheme="majorHAnsi" w:hAnsiTheme="majorHAnsi" w:cstheme="majorHAnsi"/>
          <w:color w:val="auto"/>
          <w:sz w:val="20"/>
          <w:szCs w:val="20"/>
        </w:rPr>
        <w:t>requirements to e</w:t>
      </w:r>
      <w:r w:rsidRPr="00957F71">
        <w:rPr>
          <w:rFonts w:asciiTheme="majorHAnsi" w:hAnsiTheme="majorHAnsi" w:cstheme="majorHAnsi"/>
          <w:color w:val="auto"/>
          <w:sz w:val="20"/>
          <w:szCs w:val="20"/>
        </w:rPr>
        <w:t>n</w:t>
      </w:r>
      <w:r w:rsidRPr="00957F71">
        <w:rPr>
          <w:rFonts w:asciiTheme="majorHAnsi" w:hAnsiTheme="majorHAnsi" w:cstheme="majorHAnsi"/>
          <w:color w:val="auto"/>
          <w:sz w:val="20"/>
          <w:szCs w:val="20"/>
        </w:rPr>
        <w:t>sure that market making schemes are fair and non-discriminatory.” In the draft RTS 15, ESMA calls for a transparent procedure with publicly disclosed conditions. This procedure must ensure that “all me</w:t>
      </w:r>
      <w:r w:rsidRPr="00957F71">
        <w:rPr>
          <w:rFonts w:asciiTheme="majorHAnsi" w:hAnsiTheme="majorHAnsi" w:cstheme="majorHAnsi"/>
          <w:color w:val="auto"/>
          <w:sz w:val="20"/>
          <w:szCs w:val="20"/>
        </w:rPr>
        <w:t>m</w:t>
      </w:r>
      <w:r w:rsidRPr="00957F71">
        <w:rPr>
          <w:rFonts w:asciiTheme="majorHAnsi" w:hAnsiTheme="majorHAnsi" w:cstheme="majorHAnsi"/>
          <w:color w:val="auto"/>
          <w:sz w:val="20"/>
          <w:szCs w:val="20"/>
        </w:rPr>
        <w:t xml:space="preserve">bers engaged in a market making agreement </w:t>
      </w:r>
      <w:proofErr w:type="gramStart"/>
      <w:r w:rsidRPr="00957F71">
        <w:rPr>
          <w:rFonts w:asciiTheme="majorHAnsi" w:hAnsiTheme="majorHAnsi" w:cstheme="majorHAnsi"/>
          <w:color w:val="auto"/>
          <w:sz w:val="20"/>
          <w:szCs w:val="20"/>
        </w:rPr>
        <w:t>who</w:t>
      </w:r>
      <w:proofErr w:type="gramEnd"/>
      <w:r w:rsidRPr="00957F71">
        <w:rPr>
          <w:rFonts w:asciiTheme="majorHAnsi" w:hAnsiTheme="majorHAnsi" w:cstheme="majorHAnsi"/>
          <w:color w:val="auto"/>
          <w:sz w:val="20"/>
          <w:szCs w:val="20"/>
        </w:rPr>
        <w:t xml:space="preserve"> perform equally in terms of presence, price and size” receive “the same incentives, terms and conditions” and do so “according to published, non discriminatory and objective crit</w:t>
      </w:r>
      <w:r w:rsidRPr="00957F71">
        <w:rPr>
          <w:rFonts w:asciiTheme="majorHAnsi" w:hAnsiTheme="majorHAnsi" w:cstheme="majorHAnsi"/>
          <w:color w:val="auto"/>
          <w:sz w:val="20"/>
          <w:szCs w:val="20"/>
        </w:rPr>
        <w:t>e</w:t>
      </w:r>
      <w:r w:rsidRPr="00957F71">
        <w:rPr>
          <w:rFonts w:asciiTheme="majorHAnsi" w:hAnsiTheme="majorHAnsi" w:cstheme="majorHAnsi"/>
          <w:color w:val="auto"/>
          <w:sz w:val="20"/>
          <w:szCs w:val="20"/>
        </w:rPr>
        <w:t>ria.” We concur wholeheartedly with this objective. However, we disagree with the wording of RTS 15, Article 9, Paragraph 4, which states “exchanges shall not limit the number of participants in a market making scheme.” Our rationale is as follows:</w:t>
      </w:r>
    </w:p>
    <w:p w:rsidR="001F4C1C" w:rsidRPr="00957F71" w:rsidRDefault="001F4C1C" w:rsidP="001F4C1C">
      <w:pPr>
        <w:pStyle w:val="Default"/>
        <w:spacing w:after="200"/>
        <w:jc w:val="both"/>
        <w:rPr>
          <w:rFonts w:asciiTheme="majorHAnsi" w:hAnsiTheme="majorHAnsi" w:cstheme="majorHAnsi"/>
          <w:color w:val="auto"/>
          <w:sz w:val="20"/>
          <w:szCs w:val="20"/>
        </w:rPr>
      </w:pPr>
      <w:r w:rsidRPr="00957F71">
        <w:rPr>
          <w:rFonts w:asciiTheme="majorHAnsi" w:hAnsiTheme="majorHAnsi" w:cstheme="majorHAnsi"/>
          <w:color w:val="auto"/>
          <w:sz w:val="20"/>
          <w:szCs w:val="20"/>
        </w:rPr>
        <w:t>First, an “unlimited-access-clause” is not a criterion for determining that the admission procedure is “fair and non-discriminatory.” Were this the case, any arrangement where the number of participants is limited – either naturally or by choice – would be per se “unfair.”</w:t>
      </w:r>
    </w:p>
    <w:p w:rsidR="001F4C1C" w:rsidRPr="00957F71" w:rsidRDefault="001F4C1C" w:rsidP="001F4C1C">
      <w:pPr>
        <w:pStyle w:val="Default"/>
        <w:spacing w:after="200"/>
        <w:jc w:val="both"/>
        <w:rPr>
          <w:rFonts w:asciiTheme="majorHAnsi" w:hAnsiTheme="majorHAnsi" w:cstheme="majorHAnsi"/>
          <w:color w:val="auto"/>
          <w:sz w:val="20"/>
          <w:szCs w:val="20"/>
        </w:rPr>
      </w:pPr>
      <w:r w:rsidRPr="00957F71">
        <w:rPr>
          <w:rFonts w:asciiTheme="majorHAnsi" w:hAnsiTheme="majorHAnsi" w:cstheme="majorHAnsi"/>
          <w:color w:val="auto"/>
          <w:sz w:val="20"/>
          <w:szCs w:val="20"/>
        </w:rPr>
        <w:lastRenderedPageBreak/>
        <w:t>Second, the requirement that the number of participants in a market making scheme must not be limited, irrespective of the characteristics of the security in question, is contrary to the broader goals esta</w:t>
      </w:r>
      <w:r w:rsidRPr="00957F71">
        <w:rPr>
          <w:rFonts w:asciiTheme="majorHAnsi" w:hAnsiTheme="majorHAnsi" w:cstheme="majorHAnsi"/>
          <w:color w:val="auto"/>
          <w:sz w:val="20"/>
          <w:szCs w:val="20"/>
        </w:rPr>
        <w:t>b</w:t>
      </w:r>
      <w:r w:rsidRPr="00957F71">
        <w:rPr>
          <w:rFonts w:asciiTheme="majorHAnsi" w:hAnsiTheme="majorHAnsi" w:cstheme="majorHAnsi"/>
          <w:color w:val="auto"/>
          <w:sz w:val="20"/>
          <w:szCs w:val="20"/>
        </w:rPr>
        <w:t>lished in Level I and further specified by ESMA itself.</w:t>
      </w:r>
    </w:p>
    <w:p w:rsidR="001F4C1C" w:rsidRPr="00957F71" w:rsidRDefault="001F4C1C" w:rsidP="001F4C1C">
      <w:pPr>
        <w:pStyle w:val="Default"/>
        <w:spacing w:after="200"/>
        <w:jc w:val="both"/>
        <w:rPr>
          <w:rFonts w:asciiTheme="majorHAnsi" w:hAnsiTheme="majorHAnsi" w:cstheme="majorHAnsi"/>
          <w:color w:val="auto"/>
          <w:sz w:val="20"/>
          <w:szCs w:val="20"/>
        </w:rPr>
      </w:pPr>
      <w:r w:rsidRPr="00957F71">
        <w:rPr>
          <w:rFonts w:asciiTheme="majorHAnsi" w:hAnsiTheme="majorHAnsi" w:cstheme="majorHAnsi"/>
          <w:color w:val="auto"/>
          <w:sz w:val="20"/>
          <w:szCs w:val="20"/>
        </w:rPr>
        <w:t>In particular, in the case of less liquid and illiquid securities market makers become even more i</w:t>
      </w:r>
      <w:r w:rsidRPr="00957F71">
        <w:rPr>
          <w:rFonts w:asciiTheme="majorHAnsi" w:hAnsiTheme="majorHAnsi" w:cstheme="majorHAnsi"/>
          <w:color w:val="auto"/>
          <w:sz w:val="20"/>
          <w:szCs w:val="20"/>
        </w:rPr>
        <w:t>m</w:t>
      </w:r>
      <w:r w:rsidRPr="00957F71">
        <w:rPr>
          <w:rFonts w:asciiTheme="majorHAnsi" w:hAnsiTheme="majorHAnsi" w:cstheme="majorHAnsi"/>
          <w:color w:val="auto"/>
          <w:sz w:val="20"/>
          <w:szCs w:val="20"/>
        </w:rPr>
        <w:t>portant. As can be seen from today’s markets, less liquid securities are unattractive for algorithmic traders “pursuing market making strategies” in accordance with Article 17 (3) MiFID II. Cons</w:t>
      </w:r>
      <w:r w:rsidRPr="00957F71">
        <w:rPr>
          <w:rFonts w:asciiTheme="majorHAnsi" w:hAnsiTheme="majorHAnsi" w:cstheme="majorHAnsi"/>
          <w:color w:val="auto"/>
          <w:sz w:val="20"/>
          <w:szCs w:val="20"/>
        </w:rPr>
        <w:t>e</w:t>
      </w:r>
      <w:r w:rsidRPr="00957F71">
        <w:rPr>
          <w:rFonts w:asciiTheme="majorHAnsi" w:hAnsiTheme="majorHAnsi" w:cstheme="majorHAnsi"/>
          <w:color w:val="auto"/>
          <w:sz w:val="20"/>
          <w:szCs w:val="20"/>
        </w:rPr>
        <w:t>quently, an incentive scheme for securities that do not fall into the “blue chip” category has to provide for a degree of “liquidity concentr</w:t>
      </w:r>
      <w:r w:rsidRPr="00957F71">
        <w:rPr>
          <w:rFonts w:asciiTheme="majorHAnsi" w:hAnsiTheme="majorHAnsi" w:cstheme="majorHAnsi"/>
          <w:color w:val="auto"/>
          <w:sz w:val="20"/>
          <w:szCs w:val="20"/>
        </w:rPr>
        <w:t>a</w:t>
      </w:r>
      <w:r w:rsidRPr="00957F71">
        <w:rPr>
          <w:rFonts w:asciiTheme="majorHAnsi" w:hAnsiTheme="majorHAnsi" w:cstheme="majorHAnsi"/>
          <w:color w:val="auto"/>
          <w:sz w:val="20"/>
          <w:szCs w:val="20"/>
        </w:rPr>
        <w:t>tion” if it is to be attractive to traders and if it is to be sustainable.</w:t>
      </w:r>
      <w:r w:rsidR="008A372B" w:rsidRPr="00957F71">
        <w:rPr>
          <w:rStyle w:val="Endnotenzeichen"/>
          <w:rFonts w:asciiTheme="majorHAnsi" w:hAnsiTheme="majorHAnsi" w:cstheme="majorHAnsi"/>
          <w:sz w:val="20"/>
        </w:rPr>
        <w:t xml:space="preserve"> [</w:t>
      </w:r>
      <w:r w:rsidR="008A372B" w:rsidRPr="00957F71">
        <w:rPr>
          <w:rFonts w:asciiTheme="majorHAnsi" w:hAnsiTheme="majorHAnsi" w:cstheme="majorHAnsi"/>
          <w:sz w:val="20"/>
          <w:vertAlign w:val="superscript"/>
        </w:rPr>
        <w:t>8]</w:t>
      </w:r>
    </w:p>
    <w:p w:rsidR="001F4C1C" w:rsidRPr="00957F71" w:rsidRDefault="001F4C1C" w:rsidP="001F4C1C">
      <w:pPr>
        <w:pStyle w:val="Default"/>
        <w:spacing w:after="200"/>
        <w:jc w:val="both"/>
        <w:rPr>
          <w:rFonts w:asciiTheme="majorHAnsi" w:hAnsiTheme="majorHAnsi" w:cstheme="majorHAnsi"/>
          <w:color w:val="auto"/>
          <w:sz w:val="20"/>
          <w:szCs w:val="20"/>
        </w:rPr>
      </w:pPr>
      <w:r w:rsidRPr="00957F71">
        <w:rPr>
          <w:rFonts w:asciiTheme="majorHAnsi" w:hAnsiTheme="majorHAnsi" w:cstheme="majorHAnsi"/>
          <w:color w:val="auto"/>
          <w:sz w:val="20"/>
          <w:szCs w:val="20"/>
        </w:rPr>
        <w:t>In this context, we would like to note that the need for a more nuanced approach that takes into co</w:t>
      </w:r>
      <w:r w:rsidRPr="00957F71">
        <w:rPr>
          <w:rFonts w:asciiTheme="majorHAnsi" w:hAnsiTheme="majorHAnsi" w:cstheme="majorHAnsi"/>
          <w:color w:val="auto"/>
          <w:sz w:val="20"/>
          <w:szCs w:val="20"/>
        </w:rPr>
        <w:t>n</w:t>
      </w:r>
      <w:r w:rsidRPr="00957F71">
        <w:rPr>
          <w:rFonts w:asciiTheme="majorHAnsi" w:hAnsiTheme="majorHAnsi" w:cstheme="majorHAnsi"/>
          <w:color w:val="auto"/>
          <w:sz w:val="20"/>
          <w:szCs w:val="20"/>
        </w:rPr>
        <w:t xml:space="preserve">sideration a security’s “base liquidity” has also received support from academic scholars. In response to ESMA’s earlier Discussion Paper, the </w:t>
      </w:r>
      <w:r w:rsidRPr="00957F71">
        <w:rPr>
          <w:rFonts w:asciiTheme="majorHAnsi" w:hAnsiTheme="majorHAnsi" w:cstheme="majorHAnsi"/>
          <w:sz w:val="20"/>
          <w:szCs w:val="20"/>
        </w:rPr>
        <w:t>chair of e-Finance at the Goethe University, Frankfurt called for a “monopolistic</w:t>
      </w:r>
      <w:r w:rsidRPr="00957F71">
        <w:rPr>
          <w:rFonts w:asciiTheme="majorHAnsi" w:hAnsiTheme="majorHAnsi" w:cstheme="majorHAnsi"/>
          <w:i/>
          <w:sz w:val="20"/>
          <w:szCs w:val="20"/>
        </w:rPr>
        <w:t>”</w:t>
      </w:r>
      <w:r w:rsidRPr="00957F71">
        <w:rPr>
          <w:rFonts w:asciiTheme="majorHAnsi" w:hAnsiTheme="majorHAnsi" w:cstheme="majorHAnsi"/>
          <w:sz w:val="20"/>
          <w:szCs w:val="20"/>
        </w:rPr>
        <w:t xml:space="preserve"> approach that ensures that sufficient liquidity is available even for less liquid securities.</w:t>
      </w:r>
      <w:r w:rsidR="008A372B" w:rsidRPr="00957F71">
        <w:rPr>
          <w:rStyle w:val="Endnotenzeichen"/>
          <w:rFonts w:asciiTheme="majorHAnsi" w:hAnsiTheme="majorHAnsi" w:cstheme="majorHAnsi"/>
          <w:sz w:val="20"/>
        </w:rPr>
        <w:t xml:space="preserve"> [</w:t>
      </w:r>
      <w:r w:rsidR="008A372B" w:rsidRPr="00957F71">
        <w:rPr>
          <w:rFonts w:asciiTheme="majorHAnsi" w:hAnsiTheme="majorHAnsi" w:cstheme="majorHAnsi"/>
          <w:sz w:val="20"/>
          <w:vertAlign w:val="superscript"/>
        </w:rPr>
        <w:t>9]</w:t>
      </w:r>
      <w:r w:rsidRPr="00957F71">
        <w:rPr>
          <w:rFonts w:asciiTheme="majorHAnsi" w:hAnsiTheme="majorHAnsi" w:cstheme="majorHAnsi"/>
          <w:sz w:val="20"/>
          <w:szCs w:val="20"/>
        </w:rPr>
        <w:t xml:space="preserve"> We, the signatories of this petition, strongly support this view. Further, we note that, for a large number of more or less illiquid instruments, the goal of ensuring sufficient liquidity might best be achieved with market models outside the “minimum standards” established for “market making schemes” in Article 48, MiFID II.</w:t>
      </w:r>
      <w:r w:rsidR="008A372B" w:rsidRPr="00957F71">
        <w:rPr>
          <w:rStyle w:val="Endnotenzeichen"/>
          <w:rFonts w:asciiTheme="majorHAnsi" w:hAnsiTheme="majorHAnsi" w:cstheme="majorHAnsi"/>
          <w:sz w:val="20"/>
        </w:rPr>
        <w:t xml:space="preserve"> [</w:t>
      </w:r>
      <w:r w:rsidR="008A372B" w:rsidRPr="00957F71">
        <w:rPr>
          <w:rFonts w:asciiTheme="majorHAnsi" w:hAnsiTheme="majorHAnsi" w:cstheme="majorHAnsi"/>
          <w:sz w:val="20"/>
          <w:vertAlign w:val="superscript"/>
        </w:rPr>
        <w:t>10]</w:t>
      </w:r>
      <w:r w:rsidRPr="00957F71">
        <w:rPr>
          <w:rFonts w:asciiTheme="majorHAnsi" w:hAnsiTheme="majorHAnsi" w:cstheme="majorHAnsi"/>
          <w:sz w:val="20"/>
          <w:szCs w:val="20"/>
        </w:rPr>
        <w:t xml:space="preserve"> </w:t>
      </w:r>
    </w:p>
    <w:p w:rsidR="001F4C1C" w:rsidRPr="00957F71" w:rsidRDefault="001F4C1C" w:rsidP="001F4C1C">
      <w:pPr>
        <w:pStyle w:val="Default"/>
        <w:spacing w:after="200"/>
        <w:jc w:val="both"/>
        <w:rPr>
          <w:rFonts w:asciiTheme="majorHAnsi" w:hAnsiTheme="majorHAnsi" w:cstheme="majorHAnsi"/>
          <w:sz w:val="20"/>
          <w:szCs w:val="20"/>
        </w:rPr>
      </w:pPr>
      <w:r w:rsidRPr="00957F71">
        <w:rPr>
          <w:rFonts w:asciiTheme="majorHAnsi" w:hAnsiTheme="majorHAnsi" w:cstheme="majorHAnsi"/>
          <w:sz w:val="20"/>
          <w:szCs w:val="20"/>
        </w:rPr>
        <w:t>In addition to having a potentially deleterious effect on the provision of liquidity, unlimited access to “market making schemes” irrespective of whether the security in question is liquid or illiquid is also likely to have other unintended consequences. Even assuming that exchanges succeed in attracting a sufficient number of participants to market making schemes for less liquid securities by offering suit</w:t>
      </w:r>
      <w:r w:rsidRPr="00957F71">
        <w:rPr>
          <w:rFonts w:asciiTheme="majorHAnsi" w:hAnsiTheme="majorHAnsi" w:cstheme="majorHAnsi"/>
          <w:sz w:val="20"/>
          <w:szCs w:val="20"/>
        </w:rPr>
        <w:t>a</w:t>
      </w:r>
      <w:r w:rsidRPr="00957F71">
        <w:rPr>
          <w:rFonts w:asciiTheme="majorHAnsi" w:hAnsiTheme="majorHAnsi" w:cstheme="majorHAnsi"/>
          <w:sz w:val="20"/>
          <w:szCs w:val="20"/>
        </w:rPr>
        <w:t>ble incentives, they will not be able to ensure price quality: competition among the firms (all of whom will be functioning under identical quoting obligations) for matching the limited number of orders in this category will lead to speed of execution rather than price being the decisive factor in trade. Cons</w:t>
      </w:r>
      <w:r w:rsidRPr="00957F71">
        <w:rPr>
          <w:rFonts w:asciiTheme="majorHAnsi" w:hAnsiTheme="majorHAnsi" w:cstheme="majorHAnsi"/>
          <w:sz w:val="20"/>
          <w:szCs w:val="20"/>
        </w:rPr>
        <w:t>e</w:t>
      </w:r>
      <w:r w:rsidRPr="00957F71">
        <w:rPr>
          <w:rFonts w:asciiTheme="majorHAnsi" w:hAnsiTheme="majorHAnsi" w:cstheme="majorHAnsi"/>
          <w:sz w:val="20"/>
          <w:szCs w:val="20"/>
        </w:rPr>
        <w:t>quently, the technological “arms race” that has so far been a characteristic only of high frequency trading may also become a concern in this field. This would be contrary to the intent of the regulation, which originally aimed at a reduction in the risks arising from algorithmic trading.</w:t>
      </w:r>
    </w:p>
    <w:p w:rsidR="001F4C1C" w:rsidRPr="00957F71" w:rsidRDefault="001F4C1C" w:rsidP="001F4C1C">
      <w:pPr>
        <w:pStyle w:val="Default"/>
        <w:spacing w:before="400" w:after="200"/>
        <w:rPr>
          <w:rFonts w:asciiTheme="majorHAnsi" w:hAnsiTheme="majorHAnsi" w:cstheme="majorHAnsi"/>
          <w:b/>
          <w:color w:val="auto"/>
        </w:rPr>
      </w:pPr>
      <w:r w:rsidRPr="00957F71">
        <w:rPr>
          <w:rFonts w:asciiTheme="majorHAnsi" w:hAnsiTheme="majorHAnsi" w:cstheme="majorHAnsi"/>
          <w:b/>
        </w:rPr>
        <w:t xml:space="preserve">Situations in which it is unreasonable for an exchange to have a market-making scheme in place </w:t>
      </w:r>
      <w:r w:rsidRPr="00957F71">
        <w:rPr>
          <w:rFonts w:asciiTheme="majorHAnsi" w:hAnsiTheme="majorHAnsi" w:cstheme="majorHAnsi"/>
          <w:b/>
          <w:color w:val="auto"/>
        </w:rPr>
        <w:t>(RTS 15, Articles 6 and 7)</w:t>
      </w:r>
    </w:p>
    <w:p w:rsidR="001F4C1C" w:rsidRPr="00957F71" w:rsidRDefault="001F4C1C" w:rsidP="001F4C1C">
      <w:pPr>
        <w:pStyle w:val="Default"/>
        <w:spacing w:after="200"/>
        <w:jc w:val="both"/>
        <w:rPr>
          <w:rFonts w:asciiTheme="majorHAnsi" w:hAnsiTheme="majorHAnsi" w:cstheme="majorHAnsi"/>
          <w:sz w:val="20"/>
          <w:szCs w:val="20"/>
        </w:rPr>
      </w:pPr>
      <w:r w:rsidRPr="00957F71">
        <w:rPr>
          <w:rFonts w:asciiTheme="majorHAnsi" w:hAnsiTheme="majorHAnsi" w:cstheme="majorHAnsi"/>
          <w:sz w:val="20"/>
          <w:szCs w:val="20"/>
        </w:rPr>
        <w:t>In addition to calling for the creation of criteria for the fair and non-discriminatory operation of market ma</w:t>
      </w:r>
      <w:r w:rsidRPr="00957F71">
        <w:rPr>
          <w:rFonts w:asciiTheme="majorHAnsi" w:hAnsiTheme="majorHAnsi" w:cstheme="majorHAnsi"/>
          <w:sz w:val="20"/>
          <w:szCs w:val="20"/>
        </w:rPr>
        <w:t>k</w:t>
      </w:r>
      <w:r w:rsidRPr="00957F71">
        <w:rPr>
          <w:rFonts w:asciiTheme="majorHAnsi" w:hAnsiTheme="majorHAnsi" w:cstheme="majorHAnsi"/>
          <w:sz w:val="20"/>
          <w:szCs w:val="20"/>
        </w:rPr>
        <w:t>ing schemes, Article 48 Paragraph 12 (f) MiFID II also calls for the clarification of the conditions under which the introduction of a market making scheme might be inappropriate, especially in view of the “nature and scale” of the trading activity. This provision aims to concretize Article 48 (2) (b) MiFID II, which notes that the obligation to introduce market-making schemes applies only if such an intr</w:t>
      </w:r>
      <w:r w:rsidRPr="00957F71">
        <w:rPr>
          <w:rFonts w:asciiTheme="majorHAnsi" w:hAnsiTheme="majorHAnsi" w:cstheme="majorHAnsi"/>
          <w:sz w:val="20"/>
          <w:szCs w:val="20"/>
        </w:rPr>
        <w:t>o</w:t>
      </w:r>
      <w:r w:rsidRPr="00957F71">
        <w:rPr>
          <w:rFonts w:asciiTheme="majorHAnsi" w:hAnsiTheme="majorHAnsi" w:cstheme="majorHAnsi"/>
          <w:sz w:val="20"/>
          <w:szCs w:val="20"/>
        </w:rPr>
        <w:t xml:space="preserve">duction is appropriate to the nature and scale of the activity. </w:t>
      </w:r>
    </w:p>
    <w:p w:rsidR="001F4C1C" w:rsidRPr="00957F71" w:rsidRDefault="001F4C1C" w:rsidP="001F4C1C">
      <w:pPr>
        <w:pStyle w:val="Default"/>
        <w:spacing w:after="200"/>
        <w:jc w:val="both"/>
        <w:rPr>
          <w:rFonts w:asciiTheme="majorHAnsi" w:hAnsiTheme="majorHAnsi" w:cstheme="majorHAnsi"/>
          <w:sz w:val="20"/>
          <w:szCs w:val="20"/>
        </w:rPr>
      </w:pPr>
      <w:r w:rsidRPr="00957F71">
        <w:rPr>
          <w:rFonts w:asciiTheme="majorHAnsi" w:hAnsiTheme="majorHAnsi" w:cstheme="majorHAnsi"/>
          <w:sz w:val="20"/>
          <w:szCs w:val="20"/>
        </w:rPr>
        <w:t xml:space="preserve">However, ESMA has not as yet provided sufficient guidance on the circumstances under which firms would be exempted from this requirement with regard to either the specific market model  (“nature of trade”) or to the conditions of liquidity (“scale of trade”). The proposal for RTS 15, Article 7 merely notes that exchanges that do not permit algorithmic trade on their systems should be exempted from having to introduce market making schemes. It is true that ESMA’s mandate also includes </w:t>
      </w:r>
      <w:proofErr w:type="gramStart"/>
      <w:r w:rsidRPr="00957F71">
        <w:rPr>
          <w:rFonts w:asciiTheme="majorHAnsi" w:hAnsiTheme="majorHAnsi" w:cstheme="majorHAnsi"/>
          <w:sz w:val="20"/>
          <w:szCs w:val="20"/>
        </w:rPr>
        <w:t>to take</w:t>
      </w:r>
      <w:proofErr w:type="gramEnd"/>
      <w:r w:rsidRPr="00957F71">
        <w:rPr>
          <w:rFonts w:asciiTheme="majorHAnsi" w:hAnsiTheme="majorHAnsi" w:cstheme="majorHAnsi"/>
          <w:sz w:val="20"/>
          <w:szCs w:val="20"/>
        </w:rPr>
        <w:t xml:space="preserve"> into consideration whether an exchange permits algorithmic trade. However, one can already derive an “exception” for exchanges that do not permit algorithmic trade from the cond</w:t>
      </w:r>
      <w:r w:rsidRPr="00957F71">
        <w:rPr>
          <w:rFonts w:asciiTheme="majorHAnsi" w:hAnsiTheme="majorHAnsi" w:cstheme="majorHAnsi"/>
          <w:sz w:val="20"/>
          <w:szCs w:val="20"/>
        </w:rPr>
        <w:t>i</w:t>
      </w:r>
      <w:r w:rsidRPr="00957F71">
        <w:rPr>
          <w:rFonts w:asciiTheme="majorHAnsi" w:hAnsiTheme="majorHAnsi" w:cstheme="majorHAnsi"/>
          <w:sz w:val="20"/>
          <w:szCs w:val="20"/>
        </w:rPr>
        <w:t>tions for introducing a market making strategy listed in Article 17 (3) MiFID II. As for determining whether an exchange permits or enables algorithmic trade, ESMA has substantially widened the defin</w:t>
      </w:r>
      <w:r w:rsidRPr="00957F71">
        <w:rPr>
          <w:rFonts w:asciiTheme="majorHAnsi" w:hAnsiTheme="majorHAnsi" w:cstheme="majorHAnsi"/>
          <w:sz w:val="20"/>
          <w:szCs w:val="20"/>
        </w:rPr>
        <w:t>i</w:t>
      </w:r>
      <w:r w:rsidRPr="00957F71">
        <w:rPr>
          <w:rFonts w:asciiTheme="majorHAnsi" w:hAnsiTheme="majorHAnsi" w:cstheme="majorHAnsi"/>
          <w:sz w:val="20"/>
          <w:szCs w:val="20"/>
        </w:rPr>
        <w:t>tion of the concept in Article 1 (1) RTS 15 (indeed, it has practically redefined it) when it notes that the characteristic features of algorit</w:t>
      </w:r>
      <w:r w:rsidRPr="00957F71">
        <w:rPr>
          <w:rFonts w:asciiTheme="majorHAnsi" w:hAnsiTheme="majorHAnsi" w:cstheme="majorHAnsi"/>
          <w:sz w:val="20"/>
          <w:szCs w:val="20"/>
        </w:rPr>
        <w:t>h</w:t>
      </w:r>
      <w:r w:rsidRPr="00957F71">
        <w:rPr>
          <w:rFonts w:asciiTheme="majorHAnsi" w:hAnsiTheme="majorHAnsi" w:cstheme="majorHAnsi"/>
          <w:sz w:val="20"/>
          <w:szCs w:val="20"/>
        </w:rPr>
        <w:t>mic trade are electronic transmission and matching of orders. By this definition, almost all of the trade currently conducted on European exchanges must be class</w:t>
      </w:r>
      <w:r w:rsidRPr="00957F71">
        <w:rPr>
          <w:rFonts w:asciiTheme="majorHAnsi" w:hAnsiTheme="majorHAnsi" w:cstheme="majorHAnsi"/>
          <w:sz w:val="20"/>
          <w:szCs w:val="20"/>
        </w:rPr>
        <w:t>i</w:t>
      </w:r>
      <w:r w:rsidRPr="00957F71">
        <w:rPr>
          <w:rFonts w:asciiTheme="majorHAnsi" w:hAnsiTheme="majorHAnsi" w:cstheme="majorHAnsi"/>
          <w:sz w:val="20"/>
          <w:szCs w:val="20"/>
        </w:rPr>
        <w:t>fied as “algorithmic.” This clearly cannot have been the legislator’s intent. ESMA lacks the authority to e</w:t>
      </w:r>
      <w:r w:rsidRPr="00957F71">
        <w:rPr>
          <w:rFonts w:asciiTheme="majorHAnsi" w:hAnsiTheme="majorHAnsi" w:cstheme="majorHAnsi"/>
          <w:sz w:val="20"/>
          <w:szCs w:val="20"/>
        </w:rPr>
        <w:t>x</w:t>
      </w:r>
      <w:r w:rsidRPr="00957F71">
        <w:rPr>
          <w:rFonts w:asciiTheme="majorHAnsi" w:hAnsiTheme="majorHAnsi" w:cstheme="majorHAnsi"/>
          <w:sz w:val="20"/>
          <w:szCs w:val="20"/>
        </w:rPr>
        <w:t>ceed the legislator’s intent in framing technical standards. The latter has explicitly specified in Article 4 Pa</w:t>
      </w:r>
      <w:r w:rsidRPr="00957F71">
        <w:rPr>
          <w:rFonts w:asciiTheme="majorHAnsi" w:hAnsiTheme="majorHAnsi" w:cstheme="majorHAnsi"/>
          <w:sz w:val="20"/>
          <w:szCs w:val="20"/>
        </w:rPr>
        <w:t>r</w:t>
      </w:r>
      <w:r w:rsidRPr="00957F71">
        <w:rPr>
          <w:rFonts w:asciiTheme="majorHAnsi" w:hAnsiTheme="majorHAnsi" w:cstheme="majorHAnsi"/>
          <w:sz w:val="20"/>
          <w:szCs w:val="20"/>
        </w:rPr>
        <w:t>agraph 1 (39) MiFID II what is to be understood under “algorithmic trade.” We therefore request that ESMA either strike out Art</w:t>
      </w:r>
      <w:r w:rsidRPr="00957F71">
        <w:rPr>
          <w:rFonts w:asciiTheme="majorHAnsi" w:hAnsiTheme="majorHAnsi" w:cstheme="majorHAnsi"/>
          <w:sz w:val="20"/>
          <w:szCs w:val="20"/>
        </w:rPr>
        <w:t>i</w:t>
      </w:r>
      <w:r w:rsidRPr="00957F71">
        <w:rPr>
          <w:rFonts w:asciiTheme="majorHAnsi" w:hAnsiTheme="majorHAnsi" w:cstheme="majorHAnsi"/>
          <w:sz w:val="20"/>
          <w:szCs w:val="20"/>
        </w:rPr>
        <w:t xml:space="preserve">cle 1 (1) RTS 15 or revise it to conform to the legally binding provisions of Article 4 Paragraph 1 (39) MiFID II. </w:t>
      </w:r>
    </w:p>
    <w:p w:rsidR="001F4C1C" w:rsidRPr="00957F71" w:rsidRDefault="001F4C1C" w:rsidP="001F4C1C">
      <w:pPr>
        <w:pStyle w:val="Default"/>
        <w:spacing w:after="200"/>
        <w:jc w:val="both"/>
        <w:rPr>
          <w:rFonts w:asciiTheme="majorHAnsi" w:hAnsiTheme="majorHAnsi" w:cstheme="majorHAnsi"/>
          <w:sz w:val="20"/>
          <w:szCs w:val="20"/>
        </w:rPr>
      </w:pPr>
      <w:r w:rsidRPr="00957F71">
        <w:rPr>
          <w:rFonts w:asciiTheme="majorHAnsi" w:hAnsiTheme="majorHAnsi" w:cstheme="majorHAnsi"/>
          <w:sz w:val="20"/>
          <w:szCs w:val="20"/>
        </w:rPr>
        <w:lastRenderedPageBreak/>
        <w:t>By making the question of whether or not an exchange is required to introduce a market making system sol</w:t>
      </w:r>
      <w:r w:rsidRPr="00957F71">
        <w:rPr>
          <w:rFonts w:asciiTheme="majorHAnsi" w:hAnsiTheme="majorHAnsi" w:cstheme="majorHAnsi"/>
          <w:sz w:val="20"/>
          <w:szCs w:val="20"/>
        </w:rPr>
        <w:t>e</w:t>
      </w:r>
      <w:r w:rsidRPr="00957F71">
        <w:rPr>
          <w:rFonts w:asciiTheme="majorHAnsi" w:hAnsiTheme="majorHAnsi" w:cstheme="majorHAnsi"/>
          <w:sz w:val="20"/>
          <w:szCs w:val="20"/>
        </w:rPr>
        <w:t>ly dependent on whether or not it permits and/or enables algorithmic trade on its systems, ESMA has clearly failed to fulfill its mandate as specified in Article 48 Paragraph 12 (f) MiFID II. While the legislator clearly intended the latter to be one criterion, it was to be so in the context of further cond</w:t>
      </w:r>
      <w:r w:rsidRPr="00957F71">
        <w:rPr>
          <w:rFonts w:asciiTheme="majorHAnsi" w:hAnsiTheme="majorHAnsi" w:cstheme="majorHAnsi"/>
          <w:sz w:val="20"/>
          <w:szCs w:val="20"/>
        </w:rPr>
        <w:t>i</w:t>
      </w:r>
      <w:r w:rsidRPr="00957F71">
        <w:rPr>
          <w:rFonts w:asciiTheme="majorHAnsi" w:hAnsiTheme="majorHAnsi" w:cstheme="majorHAnsi"/>
          <w:sz w:val="20"/>
          <w:szCs w:val="20"/>
        </w:rPr>
        <w:t xml:space="preserve">tions to be defined by ESMA. These conditions were to be modulated to the nature and scale of trade at the exchange; they were to be decisive for determining whether the introduction of a market making system was warranted. </w:t>
      </w:r>
    </w:p>
    <w:p w:rsidR="001F4C1C" w:rsidRPr="00957F71" w:rsidRDefault="001F4C1C" w:rsidP="001F4C1C">
      <w:pPr>
        <w:pStyle w:val="Default"/>
        <w:spacing w:after="200"/>
        <w:jc w:val="both"/>
        <w:rPr>
          <w:rFonts w:asciiTheme="majorHAnsi" w:hAnsiTheme="majorHAnsi" w:cstheme="majorHAnsi"/>
          <w:sz w:val="20"/>
          <w:szCs w:val="20"/>
        </w:rPr>
      </w:pPr>
      <w:r w:rsidRPr="00957F71">
        <w:rPr>
          <w:rFonts w:asciiTheme="majorHAnsi" w:hAnsiTheme="majorHAnsi" w:cstheme="majorHAnsi"/>
          <w:sz w:val="20"/>
          <w:szCs w:val="20"/>
        </w:rPr>
        <w:t>In passing the legislation containing Article 48 Paragraph 12 (f) MiFID II, the legislator was clearly aware that some exchanges operated in regulatory environments with higher standards (either due to national legi</w:t>
      </w:r>
      <w:r w:rsidRPr="00957F71">
        <w:rPr>
          <w:rFonts w:asciiTheme="majorHAnsi" w:hAnsiTheme="majorHAnsi" w:cstheme="majorHAnsi"/>
          <w:sz w:val="20"/>
          <w:szCs w:val="20"/>
        </w:rPr>
        <w:t>s</w:t>
      </w:r>
      <w:r w:rsidRPr="00957F71">
        <w:rPr>
          <w:rFonts w:asciiTheme="majorHAnsi" w:hAnsiTheme="majorHAnsi" w:cstheme="majorHAnsi"/>
          <w:sz w:val="20"/>
          <w:szCs w:val="20"/>
        </w:rPr>
        <w:t>lation or legal norms or private contracts) for liquidity and price quality and higher levels of protection against the risks of algorithmic trade and algorithmic high frequency trade than were envisaged in the MiFID II legislation. These exchanges frequently integrate liquidity providers into their market models and the latter are legally required (either by law or by contract) to ensure a consistently high quality of trade and protection. These market models are thus distinguished from the market making systems as defined by ESMA in the current draft RTS 15 not only in terms of offering higher levels of quality and protection but also in terms of their legal form.</w:t>
      </w:r>
    </w:p>
    <w:p w:rsidR="001F4C1C" w:rsidRPr="00957F71" w:rsidRDefault="001F4C1C" w:rsidP="001F4C1C">
      <w:pPr>
        <w:pStyle w:val="Default"/>
        <w:jc w:val="both"/>
        <w:rPr>
          <w:rFonts w:asciiTheme="majorHAnsi" w:hAnsiTheme="majorHAnsi" w:cstheme="majorHAnsi"/>
          <w:sz w:val="20"/>
          <w:szCs w:val="20"/>
        </w:rPr>
      </w:pPr>
      <w:r w:rsidRPr="00957F71">
        <w:rPr>
          <w:rFonts w:asciiTheme="majorHAnsi" w:hAnsiTheme="majorHAnsi" w:cstheme="majorHAnsi"/>
          <w:sz w:val="20"/>
          <w:szCs w:val="20"/>
        </w:rPr>
        <w:t>If, as ESMA recommends, the question of whether an exchange must introduce a market making system is made solely dependent on whether it permits and/or enables algorithmic trade on its systems (Article 6 RTS 15), even exchanges that already offer levels of protection against algorithmic trade and high frequency trade in excess of the requirements of MiFID II and already ensure the continuous and pr</w:t>
      </w:r>
      <w:r w:rsidRPr="00957F71">
        <w:rPr>
          <w:rFonts w:asciiTheme="majorHAnsi" w:hAnsiTheme="majorHAnsi" w:cstheme="majorHAnsi"/>
          <w:sz w:val="20"/>
          <w:szCs w:val="20"/>
        </w:rPr>
        <w:t>e</w:t>
      </w:r>
      <w:r w:rsidRPr="00957F71">
        <w:rPr>
          <w:rFonts w:asciiTheme="majorHAnsi" w:hAnsiTheme="majorHAnsi" w:cstheme="majorHAnsi"/>
          <w:sz w:val="20"/>
          <w:szCs w:val="20"/>
        </w:rPr>
        <w:t>dictable provision of liquidity will be forced to introduce market making systems. The sole purpose of these systems, however, was to close a regulatory gap by introducing minimum standards for the prov</w:t>
      </w:r>
      <w:r w:rsidRPr="00957F71">
        <w:rPr>
          <w:rFonts w:asciiTheme="majorHAnsi" w:hAnsiTheme="majorHAnsi" w:cstheme="majorHAnsi"/>
          <w:sz w:val="20"/>
          <w:szCs w:val="20"/>
        </w:rPr>
        <w:t>i</w:t>
      </w:r>
      <w:r w:rsidRPr="00957F71">
        <w:rPr>
          <w:rFonts w:asciiTheme="majorHAnsi" w:hAnsiTheme="majorHAnsi" w:cstheme="majorHAnsi"/>
          <w:sz w:val="20"/>
          <w:szCs w:val="20"/>
        </w:rPr>
        <w:t>sion of liquidity by de facto market makers on the basis of algorithmic trade, whereas this was never an issue at established and proven trading systems with market making functions.</w:t>
      </w:r>
    </w:p>
    <w:p w:rsidR="001F4C1C" w:rsidRPr="00957F71" w:rsidRDefault="001F4C1C" w:rsidP="001F4C1C">
      <w:pPr>
        <w:pStyle w:val="Default"/>
        <w:jc w:val="both"/>
        <w:rPr>
          <w:rFonts w:asciiTheme="majorHAnsi" w:hAnsiTheme="majorHAnsi" w:cstheme="majorHAnsi"/>
          <w:sz w:val="20"/>
          <w:szCs w:val="20"/>
        </w:rPr>
      </w:pPr>
    </w:p>
    <w:p w:rsidR="001F4C1C" w:rsidRPr="00957F71" w:rsidRDefault="001F4C1C" w:rsidP="001F4C1C">
      <w:pPr>
        <w:pStyle w:val="Default"/>
        <w:jc w:val="both"/>
        <w:rPr>
          <w:rFonts w:asciiTheme="majorHAnsi" w:hAnsiTheme="majorHAnsi" w:cstheme="majorHAnsi"/>
          <w:sz w:val="20"/>
          <w:szCs w:val="20"/>
        </w:rPr>
      </w:pPr>
      <w:r w:rsidRPr="00957F71">
        <w:rPr>
          <w:rFonts w:asciiTheme="majorHAnsi" w:hAnsiTheme="majorHAnsi" w:cstheme="majorHAnsi"/>
          <w:sz w:val="20"/>
          <w:szCs w:val="20"/>
        </w:rPr>
        <w:t>It would therefore be unreasonable to require the introduction of a market making system at exchanges that, either through their market model or through the contractual and/or legal obligations they impose on liquidity providers, have already ensured that trading takes place in a fair and reg</w:t>
      </w:r>
      <w:r w:rsidRPr="00957F71">
        <w:rPr>
          <w:rFonts w:asciiTheme="majorHAnsi" w:hAnsiTheme="majorHAnsi" w:cstheme="majorHAnsi"/>
          <w:sz w:val="20"/>
          <w:szCs w:val="20"/>
        </w:rPr>
        <w:t>u</w:t>
      </w:r>
      <w:r w:rsidRPr="00957F71">
        <w:rPr>
          <w:rFonts w:asciiTheme="majorHAnsi" w:hAnsiTheme="majorHAnsi" w:cstheme="majorHAnsi"/>
          <w:sz w:val="20"/>
          <w:szCs w:val="20"/>
        </w:rPr>
        <w:t>lated manner as well as made sure that the risks of algorithmic trade and algorithmic high frequency trade are contained and that liquidity is provided on a continuous and predictable basis. It would sim</w:t>
      </w:r>
      <w:r w:rsidRPr="00957F71">
        <w:rPr>
          <w:rFonts w:asciiTheme="majorHAnsi" w:hAnsiTheme="majorHAnsi" w:cstheme="majorHAnsi"/>
          <w:sz w:val="20"/>
          <w:szCs w:val="20"/>
        </w:rPr>
        <w:t>i</w:t>
      </w:r>
      <w:r w:rsidRPr="00957F71">
        <w:rPr>
          <w:rFonts w:asciiTheme="majorHAnsi" w:hAnsiTheme="majorHAnsi" w:cstheme="majorHAnsi"/>
          <w:sz w:val="20"/>
          <w:szCs w:val="20"/>
        </w:rPr>
        <w:t>larly be unreasonable to require the introduction of a market making scheme if this were to lead to a worsening of the quality of trade or to an increased vu</w:t>
      </w:r>
      <w:r w:rsidRPr="00957F71">
        <w:rPr>
          <w:rFonts w:asciiTheme="majorHAnsi" w:hAnsiTheme="majorHAnsi" w:cstheme="majorHAnsi"/>
          <w:sz w:val="20"/>
          <w:szCs w:val="20"/>
        </w:rPr>
        <w:t>l</w:t>
      </w:r>
      <w:r w:rsidRPr="00957F71">
        <w:rPr>
          <w:rFonts w:asciiTheme="majorHAnsi" w:hAnsiTheme="majorHAnsi" w:cstheme="majorHAnsi"/>
          <w:sz w:val="20"/>
          <w:szCs w:val="20"/>
        </w:rPr>
        <w:t>nerability to the risks of algorithmic trade and algorithmic high frequency trade.</w:t>
      </w:r>
      <w:r w:rsidRPr="00957F71" w:rsidDel="003E1C37">
        <w:rPr>
          <w:rFonts w:asciiTheme="majorHAnsi" w:hAnsiTheme="majorHAnsi" w:cstheme="majorHAnsi"/>
          <w:sz w:val="20"/>
          <w:szCs w:val="20"/>
        </w:rPr>
        <w:t xml:space="preserve"> </w:t>
      </w:r>
      <w:r w:rsidRPr="00957F71">
        <w:rPr>
          <w:rFonts w:asciiTheme="majorHAnsi" w:hAnsiTheme="majorHAnsi" w:cstheme="majorHAnsi"/>
          <w:sz w:val="20"/>
          <w:szCs w:val="20"/>
        </w:rPr>
        <w:t>Furthermore, as was already mentioned in our discussion of RTS 15, Article 9, the chances that the introduction of market making sy</w:t>
      </w:r>
      <w:r w:rsidRPr="00957F71">
        <w:rPr>
          <w:rFonts w:asciiTheme="majorHAnsi" w:hAnsiTheme="majorHAnsi" w:cstheme="majorHAnsi"/>
          <w:sz w:val="20"/>
          <w:szCs w:val="20"/>
        </w:rPr>
        <w:t>s</w:t>
      </w:r>
      <w:r w:rsidRPr="00957F71">
        <w:rPr>
          <w:rFonts w:asciiTheme="majorHAnsi" w:hAnsiTheme="majorHAnsi" w:cstheme="majorHAnsi"/>
          <w:sz w:val="20"/>
          <w:szCs w:val="20"/>
        </w:rPr>
        <w:t>tems will lead to an increased readiness to provide liquidity for less liquid or illi</w:t>
      </w:r>
      <w:r w:rsidRPr="00957F71">
        <w:rPr>
          <w:rFonts w:asciiTheme="majorHAnsi" w:hAnsiTheme="majorHAnsi" w:cstheme="majorHAnsi"/>
          <w:sz w:val="20"/>
          <w:szCs w:val="20"/>
        </w:rPr>
        <w:t>q</w:t>
      </w:r>
      <w:r w:rsidRPr="00957F71">
        <w:rPr>
          <w:rFonts w:asciiTheme="majorHAnsi" w:hAnsiTheme="majorHAnsi" w:cstheme="majorHAnsi"/>
          <w:sz w:val="20"/>
          <w:szCs w:val="20"/>
        </w:rPr>
        <w:t>uid securities are slight. On the contrary, the established market models, which have specialized in the prov</w:t>
      </w:r>
      <w:r w:rsidRPr="00957F71">
        <w:rPr>
          <w:rFonts w:asciiTheme="majorHAnsi" w:hAnsiTheme="majorHAnsi" w:cstheme="majorHAnsi"/>
          <w:sz w:val="20"/>
          <w:szCs w:val="20"/>
        </w:rPr>
        <w:t>i</w:t>
      </w:r>
      <w:r w:rsidRPr="00957F71">
        <w:rPr>
          <w:rFonts w:asciiTheme="majorHAnsi" w:hAnsiTheme="majorHAnsi" w:cstheme="majorHAnsi"/>
          <w:sz w:val="20"/>
          <w:szCs w:val="20"/>
        </w:rPr>
        <w:t>sion of liquidity for less liquid securities and are based on the principle that different securities firms should be exclusively respons</w:t>
      </w:r>
      <w:r w:rsidRPr="00957F71">
        <w:rPr>
          <w:rFonts w:asciiTheme="majorHAnsi" w:hAnsiTheme="majorHAnsi" w:cstheme="majorHAnsi"/>
          <w:sz w:val="20"/>
          <w:szCs w:val="20"/>
        </w:rPr>
        <w:t>i</w:t>
      </w:r>
      <w:r w:rsidRPr="00957F71">
        <w:rPr>
          <w:rFonts w:asciiTheme="majorHAnsi" w:hAnsiTheme="majorHAnsi" w:cstheme="majorHAnsi"/>
          <w:sz w:val="20"/>
          <w:szCs w:val="20"/>
        </w:rPr>
        <w:t>ble for different securities, have proven their worth even under the most challenging of market conditions. Compulsory introduction of market making schemes – especially if, as proposed in Article 9, Paragraph 4, RTS 15, they entail u</w:t>
      </w:r>
      <w:r w:rsidRPr="00957F71">
        <w:rPr>
          <w:rFonts w:asciiTheme="majorHAnsi" w:hAnsiTheme="majorHAnsi" w:cstheme="majorHAnsi"/>
          <w:sz w:val="20"/>
          <w:szCs w:val="20"/>
        </w:rPr>
        <w:t>n</w:t>
      </w:r>
      <w:r w:rsidRPr="00957F71">
        <w:rPr>
          <w:rFonts w:asciiTheme="majorHAnsi" w:hAnsiTheme="majorHAnsi" w:cstheme="majorHAnsi"/>
          <w:sz w:val="20"/>
          <w:szCs w:val="20"/>
        </w:rPr>
        <w:t>limited access to these systems – will almost certainly worsen the liquidity situation for the majority of securities tra</w:t>
      </w:r>
      <w:r w:rsidRPr="00957F71">
        <w:rPr>
          <w:rFonts w:asciiTheme="majorHAnsi" w:hAnsiTheme="majorHAnsi" w:cstheme="majorHAnsi"/>
          <w:sz w:val="20"/>
          <w:szCs w:val="20"/>
        </w:rPr>
        <w:t>d</w:t>
      </w:r>
      <w:r w:rsidRPr="00957F71">
        <w:rPr>
          <w:rFonts w:asciiTheme="majorHAnsi" w:hAnsiTheme="majorHAnsi" w:cstheme="majorHAnsi"/>
          <w:sz w:val="20"/>
          <w:szCs w:val="20"/>
        </w:rPr>
        <w:t>ed on these schemes. The proposal thus stands in a manifest contradiction to the primary goal of ensu</w:t>
      </w:r>
      <w:r w:rsidRPr="00957F71">
        <w:rPr>
          <w:rFonts w:asciiTheme="majorHAnsi" w:hAnsiTheme="majorHAnsi" w:cstheme="majorHAnsi"/>
          <w:sz w:val="20"/>
          <w:szCs w:val="20"/>
        </w:rPr>
        <w:t>r</w:t>
      </w:r>
      <w:r w:rsidRPr="00957F71">
        <w:rPr>
          <w:rFonts w:asciiTheme="majorHAnsi" w:hAnsiTheme="majorHAnsi" w:cstheme="majorHAnsi"/>
          <w:sz w:val="20"/>
          <w:szCs w:val="20"/>
        </w:rPr>
        <w:t xml:space="preserve">ing liquidity. </w:t>
      </w:r>
    </w:p>
    <w:p w:rsidR="001F4C1C" w:rsidRPr="00957F71" w:rsidRDefault="001F4C1C" w:rsidP="001F4C1C">
      <w:pPr>
        <w:pStyle w:val="Default"/>
        <w:jc w:val="both"/>
        <w:rPr>
          <w:rFonts w:asciiTheme="majorHAnsi" w:hAnsiTheme="majorHAnsi" w:cstheme="majorHAnsi"/>
          <w:sz w:val="20"/>
          <w:szCs w:val="20"/>
        </w:rPr>
      </w:pPr>
    </w:p>
    <w:p w:rsidR="001F4C1C" w:rsidRPr="00957F71" w:rsidRDefault="001F4C1C" w:rsidP="001F4C1C">
      <w:pPr>
        <w:spacing w:line="240" w:lineRule="auto"/>
        <w:rPr>
          <w:rFonts w:asciiTheme="majorHAnsi" w:hAnsiTheme="majorHAnsi" w:cstheme="majorHAnsi"/>
          <w:sz w:val="20"/>
          <w:lang w:val="en-US"/>
        </w:rPr>
      </w:pPr>
      <w:r w:rsidRPr="00957F71">
        <w:rPr>
          <w:rFonts w:asciiTheme="majorHAnsi" w:hAnsiTheme="majorHAnsi" w:cstheme="majorHAnsi"/>
          <w:sz w:val="20"/>
          <w:lang w:val="en-US"/>
        </w:rPr>
        <w:t>We therefore urge that Article 7 RTS 15 be reformulated as follows:</w:t>
      </w:r>
    </w:p>
    <w:p w:rsidR="008A372B" w:rsidRPr="00957F71" w:rsidRDefault="008A372B" w:rsidP="001F4C1C">
      <w:pPr>
        <w:spacing w:line="240" w:lineRule="auto"/>
        <w:rPr>
          <w:rFonts w:asciiTheme="majorHAnsi" w:hAnsiTheme="majorHAnsi" w:cstheme="majorHAnsi"/>
          <w:sz w:val="20"/>
          <w:lang w:val="en-US"/>
        </w:rPr>
      </w:pPr>
    </w:p>
    <w:p w:rsidR="001F4C1C" w:rsidRPr="00957F71" w:rsidRDefault="001F4C1C" w:rsidP="001F4C1C">
      <w:pPr>
        <w:spacing w:line="240" w:lineRule="auto"/>
        <w:rPr>
          <w:rFonts w:asciiTheme="majorHAnsi" w:hAnsiTheme="majorHAnsi" w:cstheme="majorHAnsi"/>
          <w:i/>
          <w:sz w:val="20"/>
          <w:lang w:val="en-US"/>
        </w:rPr>
      </w:pPr>
      <w:r w:rsidRPr="00957F71">
        <w:rPr>
          <w:rFonts w:asciiTheme="majorHAnsi" w:hAnsiTheme="majorHAnsi" w:cstheme="majorHAnsi"/>
          <w:i/>
          <w:sz w:val="20"/>
          <w:lang w:val="en-US"/>
        </w:rPr>
        <w:t>“As an exemption to the provisions of Article 6, exchanges shall not be required to introduce market making systems:</w:t>
      </w:r>
    </w:p>
    <w:p w:rsidR="001F4C1C" w:rsidRPr="00957F71" w:rsidRDefault="001F4C1C" w:rsidP="001F4C1C">
      <w:pPr>
        <w:spacing w:line="240" w:lineRule="auto"/>
        <w:ind w:left="567" w:hanging="567"/>
        <w:rPr>
          <w:rFonts w:asciiTheme="majorHAnsi" w:hAnsiTheme="majorHAnsi" w:cstheme="majorHAnsi"/>
          <w:i/>
          <w:sz w:val="20"/>
          <w:lang w:val="en-US"/>
        </w:rPr>
      </w:pPr>
      <w:r w:rsidRPr="00957F71">
        <w:rPr>
          <w:rFonts w:asciiTheme="majorHAnsi" w:hAnsiTheme="majorHAnsi" w:cstheme="majorHAnsi"/>
          <w:i/>
          <w:sz w:val="20"/>
          <w:lang w:val="en-US"/>
        </w:rPr>
        <w:t>a)</w:t>
      </w:r>
      <w:r w:rsidRPr="00957F71">
        <w:rPr>
          <w:rFonts w:asciiTheme="majorHAnsi" w:hAnsiTheme="majorHAnsi" w:cstheme="majorHAnsi"/>
          <w:i/>
          <w:sz w:val="20"/>
          <w:lang w:val="en-US"/>
        </w:rPr>
        <w:tab/>
        <w:t>For systems or specific segments of systems for which they neither permit nor enable alg</w:t>
      </w:r>
      <w:r w:rsidRPr="00957F71">
        <w:rPr>
          <w:rFonts w:asciiTheme="majorHAnsi" w:hAnsiTheme="majorHAnsi" w:cstheme="majorHAnsi"/>
          <w:i/>
          <w:sz w:val="20"/>
          <w:lang w:val="en-US"/>
        </w:rPr>
        <w:t>o</w:t>
      </w:r>
      <w:r w:rsidRPr="00957F71">
        <w:rPr>
          <w:rFonts w:asciiTheme="majorHAnsi" w:hAnsiTheme="majorHAnsi" w:cstheme="majorHAnsi"/>
          <w:i/>
          <w:sz w:val="20"/>
          <w:lang w:val="en-US"/>
        </w:rPr>
        <w:t>rithmic trading, or if</w:t>
      </w:r>
    </w:p>
    <w:p w:rsidR="001F4C1C" w:rsidRPr="00957F71" w:rsidRDefault="001F4C1C" w:rsidP="001F4C1C">
      <w:pPr>
        <w:spacing w:line="240" w:lineRule="auto"/>
        <w:ind w:left="567" w:hanging="567"/>
        <w:rPr>
          <w:rFonts w:asciiTheme="majorHAnsi" w:hAnsiTheme="majorHAnsi" w:cstheme="majorHAnsi"/>
          <w:sz w:val="20"/>
          <w:lang w:val="en-US"/>
        </w:rPr>
      </w:pPr>
      <w:proofErr w:type="gramStart"/>
      <w:r w:rsidRPr="00957F71">
        <w:rPr>
          <w:rFonts w:asciiTheme="majorHAnsi" w:hAnsiTheme="majorHAnsi" w:cstheme="majorHAnsi"/>
          <w:i/>
          <w:sz w:val="20"/>
          <w:lang w:val="en-US"/>
        </w:rPr>
        <w:t>b</w:t>
      </w:r>
      <w:proofErr w:type="gramEnd"/>
      <w:r w:rsidRPr="00957F71">
        <w:rPr>
          <w:rFonts w:asciiTheme="majorHAnsi" w:hAnsiTheme="majorHAnsi" w:cstheme="majorHAnsi"/>
          <w:i/>
          <w:sz w:val="20"/>
          <w:lang w:val="en-US"/>
        </w:rPr>
        <w:t>)</w:t>
      </w:r>
      <w:r w:rsidRPr="00957F71">
        <w:rPr>
          <w:rFonts w:asciiTheme="majorHAnsi" w:hAnsiTheme="majorHAnsi" w:cstheme="majorHAnsi"/>
          <w:i/>
          <w:sz w:val="20"/>
          <w:lang w:val="en-US"/>
        </w:rPr>
        <w:tab/>
        <w:t>The introduction of a market making system would, in the exchange’s assessment, lead to a wor</w:t>
      </w:r>
      <w:r w:rsidRPr="00957F71">
        <w:rPr>
          <w:rFonts w:asciiTheme="majorHAnsi" w:hAnsiTheme="majorHAnsi" w:cstheme="majorHAnsi"/>
          <w:i/>
          <w:sz w:val="20"/>
          <w:lang w:val="en-US"/>
        </w:rPr>
        <w:t>s</w:t>
      </w:r>
      <w:r w:rsidRPr="00957F71">
        <w:rPr>
          <w:rFonts w:asciiTheme="majorHAnsi" w:hAnsiTheme="majorHAnsi" w:cstheme="majorHAnsi"/>
          <w:i/>
          <w:sz w:val="20"/>
          <w:lang w:val="en-US"/>
        </w:rPr>
        <w:t>ening in the quality of trade and/or liquidity for a particular security</w:t>
      </w:r>
      <w:r w:rsidRPr="00957F71">
        <w:rPr>
          <w:rFonts w:asciiTheme="majorHAnsi" w:hAnsiTheme="majorHAnsi" w:cstheme="majorHAnsi"/>
          <w:sz w:val="20"/>
          <w:lang w:val="en-US"/>
        </w:rPr>
        <w:t>, or if</w:t>
      </w:r>
    </w:p>
    <w:p w:rsidR="001F4C1C" w:rsidRPr="00957F71" w:rsidRDefault="001F4C1C" w:rsidP="001F4C1C">
      <w:pPr>
        <w:spacing w:line="240" w:lineRule="auto"/>
        <w:ind w:left="567" w:hanging="567"/>
        <w:rPr>
          <w:rFonts w:asciiTheme="majorHAnsi" w:hAnsiTheme="majorHAnsi" w:cstheme="majorHAnsi"/>
          <w:i/>
          <w:sz w:val="20"/>
          <w:lang w:val="en-US"/>
        </w:rPr>
      </w:pPr>
      <w:r w:rsidRPr="00957F71">
        <w:rPr>
          <w:rFonts w:asciiTheme="majorHAnsi" w:hAnsiTheme="majorHAnsi" w:cstheme="majorHAnsi"/>
          <w:i/>
          <w:sz w:val="20"/>
          <w:lang w:val="en-US"/>
        </w:rPr>
        <w:t>c)</w:t>
      </w:r>
      <w:r w:rsidRPr="00957F71">
        <w:rPr>
          <w:rFonts w:asciiTheme="majorHAnsi" w:hAnsiTheme="majorHAnsi" w:cstheme="majorHAnsi"/>
          <w:i/>
          <w:sz w:val="20"/>
          <w:lang w:val="en-US"/>
        </w:rPr>
        <w:tab/>
        <w:t>The introduction of a market making system would, in the exchange’s assessment, lead to an increased vulnerability to the risks of algorithmic trade and algorithmic high frequency trade at the e</w:t>
      </w:r>
      <w:r w:rsidRPr="00957F71">
        <w:rPr>
          <w:rFonts w:asciiTheme="majorHAnsi" w:hAnsiTheme="majorHAnsi" w:cstheme="majorHAnsi"/>
          <w:i/>
          <w:sz w:val="20"/>
          <w:lang w:val="en-US"/>
        </w:rPr>
        <w:t>x</w:t>
      </w:r>
      <w:r w:rsidRPr="00957F71">
        <w:rPr>
          <w:rFonts w:asciiTheme="majorHAnsi" w:hAnsiTheme="majorHAnsi" w:cstheme="majorHAnsi"/>
          <w:i/>
          <w:sz w:val="20"/>
          <w:lang w:val="en-US"/>
        </w:rPr>
        <w:t>change.</w:t>
      </w:r>
    </w:p>
    <w:p w:rsidR="00490639" w:rsidRPr="00957F71" w:rsidRDefault="00490639" w:rsidP="001F4C1C">
      <w:pPr>
        <w:spacing w:line="240" w:lineRule="auto"/>
        <w:rPr>
          <w:rFonts w:asciiTheme="majorHAnsi" w:hAnsiTheme="majorHAnsi" w:cstheme="majorHAnsi"/>
          <w:i/>
          <w:sz w:val="20"/>
          <w:lang w:val="en-US"/>
        </w:rPr>
      </w:pPr>
    </w:p>
    <w:p w:rsidR="001F4C1C" w:rsidRPr="00957F71" w:rsidRDefault="001F4C1C" w:rsidP="001F4C1C">
      <w:pPr>
        <w:spacing w:line="240" w:lineRule="auto"/>
        <w:rPr>
          <w:rFonts w:asciiTheme="majorHAnsi" w:hAnsiTheme="majorHAnsi" w:cstheme="majorHAnsi"/>
          <w:i/>
          <w:sz w:val="20"/>
          <w:lang w:val="en-US"/>
        </w:rPr>
      </w:pPr>
      <w:r w:rsidRPr="00957F71">
        <w:rPr>
          <w:rFonts w:asciiTheme="majorHAnsi" w:hAnsiTheme="majorHAnsi" w:cstheme="majorHAnsi"/>
          <w:i/>
          <w:sz w:val="20"/>
          <w:lang w:val="en-US"/>
        </w:rPr>
        <w:lastRenderedPageBreak/>
        <w:t>In case of points b) and c), the exchange is responsible for ensuring that its market model imposes oblig</w:t>
      </w:r>
      <w:r w:rsidRPr="00957F71">
        <w:rPr>
          <w:rFonts w:asciiTheme="majorHAnsi" w:hAnsiTheme="majorHAnsi" w:cstheme="majorHAnsi"/>
          <w:i/>
          <w:sz w:val="20"/>
          <w:lang w:val="en-US"/>
        </w:rPr>
        <w:t>a</w:t>
      </w:r>
      <w:r w:rsidRPr="00957F71">
        <w:rPr>
          <w:rFonts w:asciiTheme="majorHAnsi" w:hAnsiTheme="majorHAnsi" w:cstheme="majorHAnsi"/>
          <w:i/>
          <w:sz w:val="20"/>
          <w:lang w:val="en-US"/>
        </w:rPr>
        <w:t>tions on market participants pursuing a market making strategy which do not fall below those specified in Art</w:t>
      </w:r>
      <w:r w:rsidRPr="00957F71">
        <w:rPr>
          <w:rFonts w:asciiTheme="majorHAnsi" w:hAnsiTheme="majorHAnsi" w:cstheme="majorHAnsi"/>
          <w:i/>
          <w:sz w:val="20"/>
          <w:lang w:val="en-US"/>
        </w:rPr>
        <w:t>i</w:t>
      </w:r>
      <w:r w:rsidRPr="00957F71">
        <w:rPr>
          <w:rFonts w:asciiTheme="majorHAnsi" w:hAnsiTheme="majorHAnsi" w:cstheme="majorHAnsi"/>
          <w:i/>
          <w:sz w:val="20"/>
          <w:lang w:val="en-US"/>
        </w:rPr>
        <w:t xml:space="preserve">cle 4.” </w:t>
      </w:r>
    </w:p>
    <w:p w:rsidR="00490639" w:rsidRPr="00957F71" w:rsidRDefault="00490639" w:rsidP="001F4C1C">
      <w:pPr>
        <w:spacing w:line="240" w:lineRule="auto"/>
        <w:rPr>
          <w:rFonts w:asciiTheme="majorHAnsi" w:hAnsiTheme="majorHAnsi" w:cstheme="majorHAnsi"/>
          <w:sz w:val="20"/>
          <w:lang w:val="en-US"/>
        </w:rPr>
      </w:pPr>
    </w:p>
    <w:p w:rsidR="001F4C1C" w:rsidRPr="00957F71" w:rsidRDefault="001F4C1C" w:rsidP="00490639">
      <w:pPr>
        <w:spacing w:after="200" w:line="240" w:lineRule="auto"/>
        <w:rPr>
          <w:rFonts w:asciiTheme="majorHAnsi" w:hAnsiTheme="majorHAnsi" w:cstheme="majorHAnsi"/>
          <w:sz w:val="20"/>
          <w:lang w:val="en-US"/>
        </w:rPr>
      </w:pPr>
      <w:r w:rsidRPr="00957F71">
        <w:rPr>
          <w:rFonts w:asciiTheme="majorHAnsi" w:hAnsiTheme="majorHAnsi" w:cstheme="majorHAnsi"/>
          <w:sz w:val="20"/>
          <w:lang w:val="en-US"/>
        </w:rPr>
        <w:t>Summing up, we once again explicitly request ESMA to consider a revision of RTS 15 in light of the arg</w:t>
      </w:r>
      <w:r w:rsidRPr="00957F71">
        <w:rPr>
          <w:rFonts w:asciiTheme="majorHAnsi" w:hAnsiTheme="majorHAnsi" w:cstheme="majorHAnsi"/>
          <w:sz w:val="20"/>
          <w:lang w:val="en-US"/>
        </w:rPr>
        <w:t>u</w:t>
      </w:r>
      <w:r w:rsidRPr="00957F71">
        <w:rPr>
          <w:rFonts w:asciiTheme="majorHAnsi" w:hAnsiTheme="majorHAnsi" w:cstheme="majorHAnsi"/>
          <w:sz w:val="20"/>
          <w:lang w:val="en-US"/>
        </w:rPr>
        <w:t>ments presented here. In particular, we request that it consider the possibility of limiting the number of pa</w:t>
      </w:r>
      <w:r w:rsidRPr="00957F71">
        <w:rPr>
          <w:rFonts w:asciiTheme="majorHAnsi" w:hAnsiTheme="majorHAnsi" w:cstheme="majorHAnsi"/>
          <w:sz w:val="20"/>
          <w:lang w:val="en-US"/>
        </w:rPr>
        <w:t>r</w:t>
      </w:r>
      <w:r w:rsidRPr="00957F71">
        <w:rPr>
          <w:rFonts w:asciiTheme="majorHAnsi" w:hAnsiTheme="majorHAnsi" w:cstheme="majorHAnsi"/>
          <w:sz w:val="20"/>
          <w:lang w:val="en-US"/>
        </w:rPr>
        <w:t>ticipants in market maker schemes in the case of less liquid securities and the possibility of exempting certain exchanges – or certain trading segments of theses exchanges – from the requirement to introduce market maker schemes where these appear to be u</w:t>
      </w:r>
      <w:r w:rsidRPr="00957F71">
        <w:rPr>
          <w:rFonts w:asciiTheme="majorHAnsi" w:hAnsiTheme="majorHAnsi" w:cstheme="majorHAnsi"/>
          <w:sz w:val="20"/>
          <w:lang w:val="en-US"/>
        </w:rPr>
        <w:t>n</w:t>
      </w:r>
      <w:r w:rsidRPr="00957F71">
        <w:rPr>
          <w:rFonts w:asciiTheme="majorHAnsi" w:hAnsiTheme="majorHAnsi" w:cstheme="majorHAnsi"/>
          <w:sz w:val="20"/>
          <w:lang w:val="en-US"/>
        </w:rPr>
        <w:t>warranted given the nature and scale of the trade.</w:t>
      </w:r>
    </w:p>
    <w:p w:rsidR="001F4C1C" w:rsidRPr="00957F71" w:rsidRDefault="001F4C1C" w:rsidP="00490639">
      <w:pPr>
        <w:spacing w:after="200" w:line="240" w:lineRule="auto"/>
        <w:rPr>
          <w:rFonts w:asciiTheme="majorHAnsi" w:hAnsiTheme="majorHAnsi" w:cstheme="majorHAnsi"/>
          <w:sz w:val="20"/>
          <w:lang w:val="en-US"/>
        </w:rPr>
      </w:pPr>
      <w:r w:rsidRPr="00957F71">
        <w:rPr>
          <w:rFonts w:asciiTheme="majorHAnsi" w:hAnsiTheme="majorHAnsi" w:cstheme="majorHAnsi"/>
          <w:sz w:val="20"/>
          <w:lang w:val="en-US"/>
        </w:rPr>
        <w:t>Failing such a revision, we fear that RTS 15 will, especially in the case of less liquid securities, fail to meet the primary regulatory goal of a continuous and predictable provision of liquidity, that the liquid</w:t>
      </w:r>
      <w:r w:rsidRPr="00957F71">
        <w:rPr>
          <w:rFonts w:asciiTheme="majorHAnsi" w:hAnsiTheme="majorHAnsi" w:cstheme="majorHAnsi"/>
          <w:sz w:val="20"/>
          <w:lang w:val="en-US"/>
        </w:rPr>
        <w:t>i</w:t>
      </w:r>
      <w:r w:rsidRPr="00957F71">
        <w:rPr>
          <w:rFonts w:asciiTheme="majorHAnsi" w:hAnsiTheme="majorHAnsi" w:cstheme="majorHAnsi"/>
          <w:sz w:val="20"/>
          <w:lang w:val="en-US"/>
        </w:rPr>
        <w:t>ty situation for these securities will worsen dramatically in the future, and that, beyond this, the spread of algorithmic high frequency trade will be further encouraged.</w:t>
      </w:r>
    </w:p>
    <w:p w:rsidR="001F4C1C" w:rsidRPr="00957F71" w:rsidRDefault="001F4C1C" w:rsidP="00490639">
      <w:pPr>
        <w:spacing w:after="200" w:line="240" w:lineRule="auto"/>
        <w:rPr>
          <w:rFonts w:asciiTheme="majorHAnsi" w:hAnsiTheme="majorHAnsi" w:cstheme="majorHAnsi"/>
          <w:sz w:val="20"/>
          <w:lang w:val="en-US"/>
        </w:rPr>
      </w:pPr>
      <w:r w:rsidRPr="00957F71">
        <w:rPr>
          <w:rFonts w:asciiTheme="majorHAnsi" w:hAnsiTheme="majorHAnsi" w:cstheme="majorHAnsi"/>
          <w:sz w:val="20"/>
          <w:lang w:val="en-US"/>
        </w:rPr>
        <w:t>Given that the proposed standards pose a concrete threat to established and proven market models that have succeeded, even during a global financial crisis, in providing sufficient liquidity at all times even for less liquid securities and that these models could be replaced by lower regulatory standards (which, furthermore, have yet to prove themselves under real-life conditions), we are forced to underscore that such a far-reaching regulatory intervention requires the legislator’s explicit authorization and may not be a side-effect of the implementation of a “technical” regulatory standard.</w:t>
      </w:r>
    </w:p>
    <w:p w:rsidR="001F4C1C" w:rsidRPr="00957F71" w:rsidRDefault="001F4C1C" w:rsidP="00490639">
      <w:pPr>
        <w:spacing w:after="200" w:line="240" w:lineRule="auto"/>
        <w:rPr>
          <w:rFonts w:asciiTheme="majorHAnsi" w:hAnsiTheme="majorHAnsi" w:cstheme="majorHAnsi"/>
          <w:sz w:val="20"/>
          <w:lang w:val="en-US"/>
        </w:rPr>
      </w:pPr>
      <w:r w:rsidRPr="00957F71">
        <w:rPr>
          <w:rFonts w:asciiTheme="majorHAnsi" w:hAnsiTheme="majorHAnsi" w:cstheme="majorHAnsi"/>
          <w:sz w:val="20"/>
          <w:lang w:val="en-US"/>
        </w:rPr>
        <w:t xml:space="preserve">The legislator, however, explicitly did not envisage a fundamental change in proven market structures in the field of market making when formulating guidelines for the various algorithmic market making strategies of “shadow market makers,” who had hitherto operated in a regulatory grey area. This is clear from the fact that the definition of “algorithmic market making strategies” in Recital 60 of MiFID II is clearly </w:t>
      </w:r>
      <w:proofErr w:type="spellStart"/>
      <w:r w:rsidRPr="00957F71">
        <w:rPr>
          <w:rFonts w:asciiTheme="majorHAnsi" w:hAnsiTheme="majorHAnsi" w:cstheme="majorHAnsi"/>
          <w:sz w:val="20"/>
          <w:lang w:val="en-US"/>
        </w:rPr>
        <w:t>distincted</w:t>
      </w:r>
      <w:proofErr w:type="spellEnd"/>
      <w:r w:rsidRPr="00957F71">
        <w:rPr>
          <w:rFonts w:asciiTheme="majorHAnsi" w:hAnsiTheme="majorHAnsi" w:cstheme="majorHAnsi"/>
          <w:sz w:val="20"/>
          <w:lang w:val="en-US"/>
        </w:rPr>
        <w:t xml:space="preserve"> from the definition of market making found in other European legislation.</w:t>
      </w:r>
    </w:p>
    <w:p w:rsidR="001F4C1C" w:rsidRPr="00957F71" w:rsidRDefault="001F4C1C" w:rsidP="001F4C1C">
      <w:pPr>
        <w:pStyle w:val="Default"/>
        <w:spacing w:after="200"/>
        <w:jc w:val="both"/>
        <w:rPr>
          <w:rFonts w:asciiTheme="majorHAnsi" w:hAnsiTheme="majorHAnsi" w:cstheme="majorHAnsi"/>
          <w:sz w:val="20"/>
          <w:szCs w:val="20"/>
          <w:lang w:eastAsia="de-DE"/>
        </w:rPr>
      </w:pPr>
      <w:r w:rsidRPr="00957F71">
        <w:rPr>
          <w:rFonts w:asciiTheme="majorHAnsi" w:hAnsiTheme="majorHAnsi" w:cstheme="majorHAnsi"/>
          <w:sz w:val="20"/>
          <w:szCs w:val="20"/>
        </w:rPr>
        <w:t>We therefore request ESMA to bear in mind when redrafting RTS 15 that its mandate does not extend to</w:t>
      </w:r>
      <w:r w:rsidRPr="00957F71">
        <w:rPr>
          <w:rFonts w:asciiTheme="majorHAnsi" w:hAnsiTheme="majorHAnsi" w:cstheme="majorHAnsi"/>
          <w:sz w:val="20"/>
          <w:szCs w:val="20"/>
          <w:lang w:eastAsia="de-DE"/>
        </w:rPr>
        <w:t xml:space="preserve"> the development of draft technical standards for market making activities under MiFID II as such, but simply concerns the need to close a regulatory gap by defining the minimum standards for a sp</w:t>
      </w:r>
      <w:r w:rsidRPr="00957F71">
        <w:rPr>
          <w:rFonts w:asciiTheme="majorHAnsi" w:hAnsiTheme="majorHAnsi" w:cstheme="majorHAnsi"/>
          <w:sz w:val="20"/>
          <w:szCs w:val="20"/>
          <w:lang w:eastAsia="de-DE"/>
        </w:rPr>
        <w:t>e</w:t>
      </w:r>
      <w:r w:rsidRPr="00957F71">
        <w:rPr>
          <w:rFonts w:asciiTheme="majorHAnsi" w:hAnsiTheme="majorHAnsi" w:cstheme="majorHAnsi"/>
          <w:sz w:val="20"/>
          <w:szCs w:val="20"/>
          <w:lang w:eastAsia="de-DE"/>
        </w:rPr>
        <w:t>cific, limited range of algorithmic trading with market making characteristics that has, so far, not been subject to any obl</w:t>
      </w:r>
      <w:r w:rsidRPr="00957F71">
        <w:rPr>
          <w:rFonts w:asciiTheme="majorHAnsi" w:hAnsiTheme="majorHAnsi" w:cstheme="majorHAnsi"/>
          <w:sz w:val="20"/>
          <w:szCs w:val="20"/>
          <w:lang w:eastAsia="de-DE"/>
        </w:rPr>
        <w:t>i</w:t>
      </w:r>
      <w:r w:rsidRPr="00957F71">
        <w:rPr>
          <w:rFonts w:asciiTheme="majorHAnsi" w:hAnsiTheme="majorHAnsi" w:cstheme="majorHAnsi"/>
          <w:sz w:val="20"/>
          <w:szCs w:val="20"/>
          <w:lang w:eastAsia="de-DE"/>
        </w:rPr>
        <w:t xml:space="preserve">gation regarding its provision of liquidity to the markets. </w:t>
      </w:r>
    </w:p>
    <w:p w:rsidR="001F4C1C" w:rsidRPr="00957F71" w:rsidRDefault="001F4C1C" w:rsidP="001F4C1C">
      <w:pPr>
        <w:spacing w:line="240" w:lineRule="auto"/>
        <w:rPr>
          <w:rFonts w:asciiTheme="majorHAnsi" w:hAnsiTheme="majorHAnsi" w:cstheme="majorHAnsi"/>
          <w:sz w:val="20"/>
          <w:lang w:val="en-US"/>
        </w:rPr>
      </w:pPr>
      <w:r w:rsidRPr="00957F71">
        <w:rPr>
          <w:rFonts w:asciiTheme="majorHAnsi" w:hAnsiTheme="majorHAnsi" w:cstheme="majorHAnsi"/>
          <w:sz w:val="20"/>
          <w:lang w:val="en-US"/>
        </w:rPr>
        <w:t xml:space="preserve">Yours sincerely, </w:t>
      </w:r>
    </w:p>
    <w:p w:rsidR="001F4C1C" w:rsidRPr="00957F71" w:rsidRDefault="001F4C1C" w:rsidP="001F4C1C">
      <w:pPr>
        <w:spacing w:before="400" w:line="240" w:lineRule="auto"/>
        <w:rPr>
          <w:rFonts w:asciiTheme="majorHAnsi" w:hAnsiTheme="majorHAnsi" w:cstheme="majorHAnsi"/>
          <w:i/>
          <w:lang w:val="en-US"/>
        </w:rPr>
      </w:pPr>
      <w:r w:rsidRPr="00957F71">
        <w:rPr>
          <w:rFonts w:asciiTheme="majorHAnsi" w:hAnsiTheme="majorHAnsi" w:cstheme="majorHAnsi"/>
          <w:i/>
          <w:lang w:val="en-US"/>
        </w:rPr>
        <w:t>Dr. Jörg Walter</w:t>
      </w:r>
      <w:r w:rsidRPr="00957F71">
        <w:rPr>
          <w:rFonts w:asciiTheme="majorHAnsi" w:hAnsiTheme="majorHAnsi" w:cstheme="majorHAnsi"/>
          <w:i/>
          <w:lang w:val="en-US"/>
        </w:rPr>
        <w:tab/>
      </w:r>
    </w:p>
    <w:p w:rsidR="001F4C1C" w:rsidRPr="00957F71" w:rsidRDefault="001F4C1C" w:rsidP="001F4C1C">
      <w:pPr>
        <w:spacing w:line="240" w:lineRule="auto"/>
        <w:rPr>
          <w:rFonts w:asciiTheme="majorHAnsi" w:hAnsiTheme="majorHAnsi" w:cstheme="majorHAnsi"/>
          <w:sz w:val="16"/>
          <w:szCs w:val="16"/>
          <w:lang w:val="en-US"/>
        </w:rPr>
      </w:pPr>
      <w:r w:rsidRPr="00957F71">
        <w:rPr>
          <w:rFonts w:asciiTheme="majorHAnsi" w:hAnsiTheme="majorHAnsi" w:cstheme="majorHAnsi"/>
          <w:sz w:val="16"/>
          <w:szCs w:val="16"/>
          <w:lang w:val="en-US"/>
        </w:rPr>
        <w:t>Joint CEO</w:t>
      </w:r>
      <w:r w:rsidRPr="00957F71">
        <w:rPr>
          <w:rFonts w:asciiTheme="majorHAnsi" w:hAnsiTheme="majorHAnsi" w:cstheme="majorHAnsi"/>
          <w:sz w:val="16"/>
          <w:szCs w:val="16"/>
          <w:lang w:val="en-US"/>
        </w:rPr>
        <w:tab/>
      </w:r>
    </w:p>
    <w:p w:rsidR="001F4C1C" w:rsidRPr="00957F71" w:rsidRDefault="001F4C1C" w:rsidP="001F4C1C">
      <w:pPr>
        <w:spacing w:line="240" w:lineRule="auto"/>
        <w:rPr>
          <w:rFonts w:asciiTheme="majorHAnsi" w:hAnsiTheme="majorHAnsi" w:cstheme="majorHAnsi"/>
          <w:sz w:val="16"/>
          <w:szCs w:val="16"/>
        </w:rPr>
      </w:pPr>
      <w:proofErr w:type="spellStart"/>
      <w:r w:rsidRPr="00957F71">
        <w:rPr>
          <w:rFonts w:asciiTheme="majorHAnsi" w:hAnsiTheme="majorHAnsi" w:cstheme="majorHAnsi"/>
          <w:sz w:val="16"/>
          <w:szCs w:val="16"/>
        </w:rPr>
        <w:t>Börse</w:t>
      </w:r>
      <w:proofErr w:type="spellEnd"/>
      <w:r w:rsidRPr="00957F71">
        <w:rPr>
          <w:rFonts w:asciiTheme="majorHAnsi" w:hAnsiTheme="majorHAnsi" w:cstheme="majorHAnsi"/>
          <w:sz w:val="16"/>
          <w:szCs w:val="16"/>
        </w:rPr>
        <w:t xml:space="preserve"> Berlin AG</w:t>
      </w:r>
    </w:p>
    <w:p w:rsidR="001F4C1C" w:rsidRPr="00957F71" w:rsidRDefault="001F4C1C" w:rsidP="001F4C1C">
      <w:pPr>
        <w:spacing w:before="400" w:line="240" w:lineRule="auto"/>
        <w:rPr>
          <w:rFonts w:asciiTheme="majorHAnsi" w:hAnsiTheme="majorHAnsi" w:cstheme="majorHAnsi"/>
          <w:i/>
          <w:lang w:val="en-US"/>
        </w:rPr>
      </w:pPr>
      <w:r w:rsidRPr="00957F71">
        <w:rPr>
          <w:rFonts w:asciiTheme="majorHAnsi" w:hAnsiTheme="majorHAnsi" w:cstheme="majorHAnsi"/>
          <w:i/>
          <w:lang w:val="en-US"/>
        </w:rPr>
        <w:t>Thomas Dierkes</w:t>
      </w:r>
    </w:p>
    <w:p w:rsidR="001F4C1C" w:rsidRPr="00957F71" w:rsidRDefault="001F4C1C" w:rsidP="001F4C1C">
      <w:pPr>
        <w:spacing w:line="240" w:lineRule="auto"/>
        <w:rPr>
          <w:rFonts w:asciiTheme="majorHAnsi" w:hAnsiTheme="majorHAnsi" w:cstheme="majorHAnsi"/>
          <w:sz w:val="16"/>
          <w:szCs w:val="16"/>
          <w:lang w:val="en-US"/>
        </w:rPr>
      </w:pPr>
      <w:r w:rsidRPr="00957F71">
        <w:rPr>
          <w:rFonts w:asciiTheme="majorHAnsi" w:hAnsiTheme="majorHAnsi" w:cstheme="majorHAnsi"/>
          <w:sz w:val="16"/>
          <w:szCs w:val="16"/>
          <w:lang w:val="en-US"/>
        </w:rPr>
        <w:t>Member of the Executive Board</w:t>
      </w:r>
      <w:r w:rsidRPr="00957F71">
        <w:rPr>
          <w:rFonts w:asciiTheme="majorHAnsi" w:hAnsiTheme="majorHAnsi" w:cstheme="majorHAnsi"/>
          <w:sz w:val="16"/>
          <w:szCs w:val="16"/>
          <w:lang w:val="en-US"/>
        </w:rPr>
        <w:tab/>
      </w:r>
    </w:p>
    <w:p w:rsidR="001F4C1C" w:rsidRPr="00957F71" w:rsidRDefault="001F4C1C" w:rsidP="001F4C1C">
      <w:pPr>
        <w:spacing w:line="240" w:lineRule="auto"/>
        <w:rPr>
          <w:rFonts w:asciiTheme="majorHAnsi" w:hAnsiTheme="majorHAnsi" w:cstheme="majorHAnsi"/>
          <w:sz w:val="16"/>
          <w:szCs w:val="16"/>
        </w:rPr>
      </w:pPr>
      <w:proofErr w:type="spellStart"/>
      <w:r w:rsidRPr="00957F71">
        <w:rPr>
          <w:rFonts w:asciiTheme="majorHAnsi" w:hAnsiTheme="majorHAnsi" w:cstheme="majorHAnsi"/>
          <w:sz w:val="16"/>
          <w:szCs w:val="16"/>
        </w:rPr>
        <w:t>Börse</w:t>
      </w:r>
      <w:proofErr w:type="spellEnd"/>
      <w:r w:rsidRPr="00957F71">
        <w:rPr>
          <w:rFonts w:asciiTheme="majorHAnsi" w:hAnsiTheme="majorHAnsi" w:cstheme="majorHAnsi"/>
          <w:sz w:val="16"/>
          <w:szCs w:val="16"/>
        </w:rPr>
        <w:t xml:space="preserve"> Düsseldorf AG</w:t>
      </w:r>
      <w:r w:rsidRPr="00957F71">
        <w:rPr>
          <w:rFonts w:asciiTheme="majorHAnsi" w:hAnsiTheme="majorHAnsi" w:cstheme="majorHAnsi"/>
          <w:sz w:val="16"/>
          <w:szCs w:val="16"/>
        </w:rPr>
        <w:tab/>
      </w:r>
    </w:p>
    <w:p w:rsidR="001F4C1C" w:rsidRPr="00957F71" w:rsidRDefault="001F4C1C" w:rsidP="001F4C1C">
      <w:pPr>
        <w:spacing w:before="400" w:line="240" w:lineRule="auto"/>
        <w:rPr>
          <w:rFonts w:asciiTheme="majorHAnsi" w:hAnsiTheme="majorHAnsi" w:cstheme="majorHAnsi"/>
          <w:i/>
          <w:lang w:val="en-US"/>
        </w:rPr>
      </w:pPr>
      <w:r w:rsidRPr="00957F71">
        <w:rPr>
          <w:rFonts w:asciiTheme="majorHAnsi" w:hAnsiTheme="majorHAnsi" w:cstheme="majorHAnsi"/>
          <w:i/>
          <w:lang w:val="en-US"/>
        </w:rPr>
        <w:t>Andreas Schmidt</w:t>
      </w:r>
    </w:p>
    <w:p w:rsidR="001F4C1C" w:rsidRPr="00957F71" w:rsidRDefault="001F4C1C" w:rsidP="001F4C1C">
      <w:pPr>
        <w:spacing w:line="240" w:lineRule="auto"/>
        <w:rPr>
          <w:rFonts w:asciiTheme="majorHAnsi" w:hAnsiTheme="majorHAnsi" w:cstheme="majorHAnsi"/>
          <w:sz w:val="16"/>
          <w:szCs w:val="16"/>
          <w:lang w:val="en-US"/>
        </w:rPr>
      </w:pPr>
      <w:r w:rsidRPr="00957F71">
        <w:rPr>
          <w:rFonts w:asciiTheme="majorHAnsi" w:hAnsiTheme="majorHAnsi" w:cstheme="majorHAnsi"/>
          <w:sz w:val="16"/>
          <w:szCs w:val="16"/>
          <w:lang w:val="en-US"/>
        </w:rPr>
        <w:t>Member of the Executive Board</w:t>
      </w:r>
    </w:p>
    <w:p w:rsidR="001F4C1C" w:rsidRPr="00957F71" w:rsidRDefault="001F4C1C" w:rsidP="001F4C1C">
      <w:pPr>
        <w:spacing w:line="240" w:lineRule="auto"/>
        <w:rPr>
          <w:rFonts w:asciiTheme="majorHAnsi" w:hAnsiTheme="majorHAnsi" w:cstheme="majorHAnsi"/>
          <w:sz w:val="16"/>
          <w:szCs w:val="16"/>
        </w:rPr>
      </w:pPr>
      <w:proofErr w:type="spellStart"/>
      <w:r w:rsidRPr="00957F71">
        <w:rPr>
          <w:rFonts w:asciiTheme="majorHAnsi" w:hAnsiTheme="majorHAnsi" w:cstheme="majorHAnsi"/>
          <w:sz w:val="16"/>
          <w:szCs w:val="16"/>
        </w:rPr>
        <w:t>Bayerische</w:t>
      </w:r>
      <w:proofErr w:type="spellEnd"/>
      <w:r w:rsidRPr="00957F71">
        <w:rPr>
          <w:rFonts w:asciiTheme="majorHAnsi" w:hAnsiTheme="majorHAnsi" w:cstheme="majorHAnsi"/>
          <w:sz w:val="16"/>
          <w:szCs w:val="16"/>
        </w:rPr>
        <w:t xml:space="preserve"> </w:t>
      </w:r>
      <w:proofErr w:type="spellStart"/>
      <w:r w:rsidRPr="00957F71">
        <w:rPr>
          <w:rFonts w:asciiTheme="majorHAnsi" w:hAnsiTheme="majorHAnsi" w:cstheme="majorHAnsi"/>
          <w:sz w:val="16"/>
          <w:szCs w:val="16"/>
        </w:rPr>
        <w:t>Börse</w:t>
      </w:r>
      <w:proofErr w:type="spellEnd"/>
      <w:r w:rsidRPr="00957F71">
        <w:rPr>
          <w:rFonts w:asciiTheme="majorHAnsi" w:hAnsiTheme="majorHAnsi" w:cstheme="majorHAnsi"/>
          <w:sz w:val="16"/>
          <w:szCs w:val="16"/>
        </w:rPr>
        <w:t xml:space="preserve"> AG</w:t>
      </w:r>
    </w:p>
    <w:p w:rsidR="001F4C1C" w:rsidRPr="00957F71" w:rsidRDefault="001F4C1C" w:rsidP="001F4C1C">
      <w:pPr>
        <w:spacing w:before="400" w:line="240" w:lineRule="auto"/>
        <w:rPr>
          <w:rFonts w:asciiTheme="majorHAnsi" w:hAnsiTheme="majorHAnsi" w:cstheme="majorHAnsi"/>
          <w:i/>
        </w:rPr>
      </w:pPr>
      <w:r w:rsidRPr="00957F71">
        <w:rPr>
          <w:rFonts w:asciiTheme="majorHAnsi" w:hAnsiTheme="majorHAnsi" w:cstheme="majorHAnsi"/>
          <w:i/>
        </w:rPr>
        <w:t>Dr. Thomas Ledermann</w:t>
      </w:r>
      <w:r w:rsidRPr="00957F71">
        <w:rPr>
          <w:rFonts w:asciiTheme="majorHAnsi" w:hAnsiTheme="majorHAnsi" w:cstheme="majorHAnsi"/>
          <w:i/>
        </w:rPr>
        <w:tab/>
      </w:r>
    </w:p>
    <w:p w:rsidR="001F4C1C" w:rsidRPr="00957F71" w:rsidRDefault="001F4C1C" w:rsidP="001F4C1C">
      <w:pPr>
        <w:spacing w:line="240" w:lineRule="auto"/>
        <w:rPr>
          <w:rFonts w:asciiTheme="majorHAnsi" w:hAnsiTheme="majorHAnsi" w:cstheme="majorHAnsi"/>
          <w:sz w:val="16"/>
          <w:szCs w:val="16"/>
          <w:lang w:val="en-US"/>
        </w:rPr>
      </w:pPr>
      <w:r w:rsidRPr="00957F71">
        <w:rPr>
          <w:rFonts w:asciiTheme="majorHAnsi" w:hAnsiTheme="majorHAnsi" w:cstheme="majorHAnsi"/>
          <w:sz w:val="16"/>
          <w:szCs w:val="16"/>
          <w:lang w:val="en-US"/>
        </w:rPr>
        <w:t>Member of the Executive Board</w:t>
      </w:r>
      <w:r w:rsidRPr="00957F71">
        <w:rPr>
          <w:rFonts w:asciiTheme="majorHAnsi" w:hAnsiTheme="majorHAnsi" w:cstheme="majorHAnsi"/>
          <w:sz w:val="16"/>
          <w:szCs w:val="16"/>
          <w:lang w:val="en-US"/>
        </w:rPr>
        <w:tab/>
      </w:r>
    </w:p>
    <w:p w:rsidR="001F4C1C" w:rsidRPr="00957F71" w:rsidRDefault="001F4C1C" w:rsidP="001F4C1C">
      <w:pPr>
        <w:spacing w:line="240" w:lineRule="auto"/>
        <w:rPr>
          <w:rFonts w:asciiTheme="majorHAnsi" w:hAnsiTheme="majorHAnsi" w:cstheme="majorHAnsi"/>
          <w:sz w:val="16"/>
          <w:szCs w:val="16"/>
          <w:lang w:val="de-DE"/>
        </w:rPr>
      </w:pPr>
      <w:r w:rsidRPr="00957F71">
        <w:rPr>
          <w:rFonts w:asciiTheme="majorHAnsi" w:hAnsiTheme="majorHAnsi" w:cstheme="majorHAnsi"/>
          <w:sz w:val="16"/>
          <w:szCs w:val="16"/>
          <w:lang w:val="de-DE"/>
        </w:rPr>
        <w:t xml:space="preserve">BÖAG Börsen AG – Börse Hamburg </w:t>
      </w:r>
    </w:p>
    <w:p w:rsidR="001F4C1C" w:rsidRPr="00957F71" w:rsidRDefault="001F4C1C" w:rsidP="001F4C1C">
      <w:pPr>
        <w:spacing w:before="400" w:line="240" w:lineRule="auto"/>
        <w:rPr>
          <w:rFonts w:asciiTheme="majorHAnsi" w:hAnsiTheme="majorHAnsi" w:cstheme="majorHAnsi"/>
          <w:i/>
          <w:lang w:val="de-DE"/>
        </w:rPr>
      </w:pPr>
      <w:r w:rsidRPr="00957F71">
        <w:rPr>
          <w:rFonts w:asciiTheme="majorHAnsi" w:hAnsiTheme="majorHAnsi" w:cstheme="majorHAnsi"/>
          <w:i/>
          <w:lang w:val="de-DE"/>
        </w:rPr>
        <w:t>Dr. Sandra Reich</w:t>
      </w:r>
    </w:p>
    <w:p w:rsidR="001F4C1C" w:rsidRPr="00957F71" w:rsidRDefault="001F4C1C" w:rsidP="001F4C1C">
      <w:pPr>
        <w:spacing w:line="240" w:lineRule="auto"/>
        <w:rPr>
          <w:rFonts w:asciiTheme="majorHAnsi" w:hAnsiTheme="majorHAnsi" w:cstheme="majorHAnsi"/>
          <w:sz w:val="16"/>
          <w:szCs w:val="16"/>
          <w:lang w:val="en-US"/>
        </w:rPr>
      </w:pPr>
      <w:r w:rsidRPr="00957F71">
        <w:rPr>
          <w:rFonts w:asciiTheme="majorHAnsi" w:hAnsiTheme="majorHAnsi" w:cstheme="majorHAnsi"/>
          <w:sz w:val="16"/>
          <w:szCs w:val="16"/>
          <w:lang w:val="en-US"/>
        </w:rPr>
        <w:t>Member of the Executive Board</w:t>
      </w:r>
      <w:r w:rsidRPr="00957F71">
        <w:rPr>
          <w:rFonts w:asciiTheme="majorHAnsi" w:hAnsiTheme="majorHAnsi" w:cstheme="majorHAnsi"/>
          <w:sz w:val="16"/>
          <w:szCs w:val="16"/>
          <w:lang w:val="en-US"/>
        </w:rPr>
        <w:tab/>
      </w:r>
    </w:p>
    <w:p w:rsidR="001F4C1C" w:rsidRPr="00957F71" w:rsidRDefault="001F4C1C" w:rsidP="001F4C1C">
      <w:pPr>
        <w:spacing w:line="240" w:lineRule="auto"/>
        <w:rPr>
          <w:rFonts w:asciiTheme="majorHAnsi" w:hAnsiTheme="majorHAnsi" w:cstheme="majorHAnsi"/>
          <w:sz w:val="16"/>
          <w:szCs w:val="16"/>
          <w:lang w:val="de-DE"/>
        </w:rPr>
      </w:pPr>
      <w:r w:rsidRPr="00957F71">
        <w:rPr>
          <w:rFonts w:asciiTheme="majorHAnsi" w:hAnsiTheme="majorHAnsi" w:cstheme="majorHAnsi"/>
          <w:sz w:val="16"/>
          <w:szCs w:val="16"/>
          <w:lang w:val="de-DE"/>
        </w:rPr>
        <w:t>BÖAG Börsen AG – Börse Hannover</w:t>
      </w:r>
    </w:p>
    <w:p w:rsidR="001F4C1C" w:rsidRPr="00957F71" w:rsidRDefault="001F4C1C" w:rsidP="001F4C1C">
      <w:pPr>
        <w:spacing w:before="400" w:line="240" w:lineRule="auto"/>
        <w:rPr>
          <w:rFonts w:asciiTheme="majorHAnsi" w:hAnsiTheme="majorHAnsi" w:cstheme="majorHAnsi"/>
          <w:i/>
          <w:lang w:val="de-DE"/>
        </w:rPr>
      </w:pPr>
      <w:r w:rsidRPr="00957F71">
        <w:rPr>
          <w:rFonts w:asciiTheme="majorHAnsi" w:hAnsiTheme="majorHAnsi" w:cstheme="majorHAnsi"/>
          <w:i/>
          <w:lang w:val="de-DE"/>
        </w:rPr>
        <w:lastRenderedPageBreak/>
        <w:t>Dr. Christoph Boschan</w:t>
      </w:r>
    </w:p>
    <w:p w:rsidR="001F4C1C" w:rsidRPr="00957F71" w:rsidRDefault="001F4C1C" w:rsidP="001F4C1C">
      <w:pPr>
        <w:spacing w:line="240" w:lineRule="auto"/>
        <w:rPr>
          <w:rFonts w:asciiTheme="majorHAnsi" w:hAnsiTheme="majorHAnsi" w:cstheme="majorHAnsi"/>
          <w:sz w:val="16"/>
          <w:szCs w:val="16"/>
          <w:lang w:val="en-US"/>
        </w:rPr>
      </w:pPr>
      <w:r w:rsidRPr="00957F71">
        <w:rPr>
          <w:rFonts w:asciiTheme="majorHAnsi" w:hAnsiTheme="majorHAnsi" w:cstheme="majorHAnsi"/>
          <w:sz w:val="16"/>
          <w:szCs w:val="16"/>
          <w:lang w:val="en-US"/>
        </w:rPr>
        <w:t>Member of the Executive Board</w:t>
      </w:r>
    </w:p>
    <w:p w:rsidR="001F4C1C" w:rsidRPr="00957F71" w:rsidRDefault="001F4C1C" w:rsidP="001F4C1C">
      <w:pPr>
        <w:spacing w:line="240" w:lineRule="auto"/>
        <w:rPr>
          <w:rFonts w:asciiTheme="majorHAnsi" w:hAnsiTheme="majorHAnsi" w:cstheme="majorHAnsi"/>
          <w:sz w:val="16"/>
          <w:szCs w:val="16"/>
        </w:rPr>
      </w:pPr>
      <w:proofErr w:type="spellStart"/>
      <w:r w:rsidRPr="00957F71">
        <w:rPr>
          <w:rFonts w:asciiTheme="majorHAnsi" w:hAnsiTheme="majorHAnsi" w:cstheme="majorHAnsi"/>
          <w:sz w:val="16"/>
          <w:szCs w:val="16"/>
        </w:rPr>
        <w:t>Börse</w:t>
      </w:r>
      <w:proofErr w:type="spellEnd"/>
      <w:r w:rsidRPr="00957F71">
        <w:rPr>
          <w:rFonts w:asciiTheme="majorHAnsi" w:hAnsiTheme="majorHAnsi" w:cstheme="majorHAnsi"/>
          <w:sz w:val="16"/>
          <w:szCs w:val="16"/>
        </w:rPr>
        <w:t xml:space="preserve"> Stuttgart AG</w:t>
      </w:r>
    </w:p>
    <w:p w:rsidR="001F4C1C" w:rsidRPr="00957F71" w:rsidRDefault="001F4C1C" w:rsidP="001F4C1C">
      <w:pPr>
        <w:spacing w:before="400" w:line="240" w:lineRule="auto"/>
        <w:rPr>
          <w:rFonts w:asciiTheme="majorHAnsi" w:hAnsiTheme="majorHAnsi" w:cstheme="majorHAnsi"/>
          <w:i/>
        </w:rPr>
      </w:pPr>
      <w:r w:rsidRPr="00957F71">
        <w:rPr>
          <w:rFonts w:asciiTheme="majorHAnsi" w:hAnsiTheme="majorHAnsi" w:cstheme="majorHAnsi"/>
          <w:i/>
        </w:rPr>
        <w:t xml:space="preserve">Oliver </w:t>
      </w:r>
      <w:proofErr w:type="spellStart"/>
      <w:r w:rsidRPr="00957F71">
        <w:rPr>
          <w:rFonts w:asciiTheme="majorHAnsi" w:hAnsiTheme="majorHAnsi" w:cstheme="majorHAnsi"/>
          <w:i/>
        </w:rPr>
        <w:t>Szabries</w:t>
      </w:r>
      <w:proofErr w:type="spellEnd"/>
    </w:p>
    <w:p w:rsidR="001F4C1C" w:rsidRPr="00957F71" w:rsidRDefault="001F4C1C" w:rsidP="001F4C1C">
      <w:pPr>
        <w:spacing w:line="240" w:lineRule="auto"/>
        <w:rPr>
          <w:rFonts w:asciiTheme="majorHAnsi" w:hAnsiTheme="majorHAnsi" w:cstheme="majorHAnsi"/>
          <w:sz w:val="16"/>
          <w:szCs w:val="16"/>
        </w:rPr>
      </w:pPr>
      <w:r w:rsidRPr="00957F71">
        <w:rPr>
          <w:rFonts w:asciiTheme="majorHAnsi" w:hAnsiTheme="majorHAnsi" w:cstheme="majorHAnsi"/>
          <w:sz w:val="16"/>
          <w:szCs w:val="16"/>
        </w:rPr>
        <w:t>Managing Director</w:t>
      </w:r>
    </w:p>
    <w:p w:rsidR="001F4C1C" w:rsidRPr="00957F71" w:rsidRDefault="001F4C1C" w:rsidP="001F4C1C">
      <w:pPr>
        <w:spacing w:line="240" w:lineRule="auto"/>
        <w:rPr>
          <w:rFonts w:asciiTheme="majorHAnsi" w:hAnsiTheme="majorHAnsi" w:cstheme="majorHAnsi"/>
          <w:sz w:val="16"/>
          <w:szCs w:val="16"/>
        </w:rPr>
      </w:pPr>
      <w:r w:rsidRPr="00957F71">
        <w:rPr>
          <w:rFonts w:asciiTheme="majorHAnsi" w:hAnsiTheme="majorHAnsi" w:cstheme="majorHAnsi"/>
          <w:sz w:val="16"/>
          <w:szCs w:val="16"/>
        </w:rPr>
        <w:t>Tradegate Exchange GmbH</w:t>
      </w:r>
    </w:p>
    <w:p w:rsidR="001F4C1C" w:rsidRPr="00957F71" w:rsidRDefault="001F4C1C" w:rsidP="001F4C1C">
      <w:pPr>
        <w:spacing w:before="400" w:line="240" w:lineRule="auto"/>
        <w:rPr>
          <w:rFonts w:asciiTheme="majorHAnsi" w:hAnsiTheme="majorHAnsi" w:cstheme="majorHAnsi"/>
          <w:i/>
          <w:lang w:val="de-DE"/>
        </w:rPr>
      </w:pPr>
      <w:r w:rsidRPr="00957F71">
        <w:rPr>
          <w:rFonts w:asciiTheme="majorHAnsi" w:hAnsiTheme="majorHAnsi" w:cstheme="majorHAnsi"/>
          <w:i/>
          <w:lang w:val="de-DE"/>
        </w:rPr>
        <w:t>Michael H. Sterzenbach</w:t>
      </w:r>
    </w:p>
    <w:p w:rsidR="001F4C1C" w:rsidRPr="00957F71" w:rsidRDefault="001F4C1C" w:rsidP="001F4C1C">
      <w:pPr>
        <w:spacing w:line="240" w:lineRule="auto"/>
        <w:rPr>
          <w:rFonts w:asciiTheme="majorHAnsi" w:hAnsiTheme="majorHAnsi" w:cstheme="majorHAnsi"/>
          <w:sz w:val="16"/>
          <w:szCs w:val="16"/>
          <w:lang w:val="de-DE"/>
        </w:rPr>
      </w:pPr>
      <w:proofErr w:type="spellStart"/>
      <w:r w:rsidRPr="00957F71">
        <w:rPr>
          <w:rFonts w:asciiTheme="majorHAnsi" w:hAnsiTheme="majorHAnsi" w:cstheme="majorHAnsi"/>
          <w:sz w:val="16"/>
          <w:szCs w:val="16"/>
          <w:lang w:val="de-DE"/>
        </w:rPr>
        <w:t>Secretary</w:t>
      </w:r>
      <w:proofErr w:type="spellEnd"/>
      <w:r w:rsidRPr="00957F71">
        <w:rPr>
          <w:rFonts w:asciiTheme="majorHAnsi" w:hAnsiTheme="majorHAnsi" w:cstheme="majorHAnsi"/>
          <w:sz w:val="16"/>
          <w:szCs w:val="16"/>
          <w:lang w:val="de-DE"/>
        </w:rPr>
        <w:t xml:space="preserve"> General</w:t>
      </w:r>
    </w:p>
    <w:p w:rsidR="001F4C1C" w:rsidRPr="00957F71" w:rsidRDefault="001F4C1C" w:rsidP="001F4C1C">
      <w:pPr>
        <w:spacing w:line="240" w:lineRule="auto"/>
        <w:rPr>
          <w:rFonts w:asciiTheme="majorHAnsi" w:hAnsiTheme="majorHAnsi" w:cstheme="majorHAnsi"/>
          <w:sz w:val="16"/>
          <w:szCs w:val="16"/>
          <w:lang w:val="de-DE"/>
        </w:rPr>
      </w:pPr>
      <w:r w:rsidRPr="00957F71">
        <w:rPr>
          <w:rStyle w:val="Funotenzeichen"/>
          <w:rFonts w:cstheme="majorHAnsi"/>
          <w:szCs w:val="16"/>
        </w:rPr>
        <w:footnoteReference w:id="2"/>
      </w:r>
      <w:r w:rsidRPr="00957F71">
        <w:rPr>
          <w:rFonts w:asciiTheme="majorHAnsi" w:hAnsiTheme="majorHAnsi" w:cstheme="majorHAnsi"/>
          <w:sz w:val="16"/>
          <w:szCs w:val="16"/>
          <w:lang w:val="de-DE"/>
        </w:rPr>
        <w:t>Bundesverband der Wertpapierfirmen e.V.</w:t>
      </w:r>
    </w:p>
    <w:p w:rsidR="001F4C1C" w:rsidRPr="00957F71" w:rsidRDefault="001F4C1C" w:rsidP="001F4C1C">
      <w:pPr>
        <w:pStyle w:val="StandardWeb"/>
        <w:rPr>
          <w:rFonts w:asciiTheme="majorHAnsi" w:hAnsiTheme="majorHAnsi" w:cstheme="majorHAnsi"/>
          <w:i/>
          <w:sz w:val="20"/>
          <w:szCs w:val="20"/>
          <w:lang w:val="en-US"/>
        </w:rPr>
      </w:pPr>
      <w:r w:rsidRPr="00957F71">
        <w:rPr>
          <w:rFonts w:asciiTheme="majorHAnsi" w:hAnsiTheme="majorHAnsi" w:cstheme="majorHAnsi"/>
          <w:i/>
          <w:sz w:val="20"/>
          <w:szCs w:val="20"/>
          <w:lang w:val="en-US"/>
        </w:rPr>
        <w:t xml:space="preserve">This document was issued electronically and is valid without signature. </w:t>
      </w:r>
    </w:p>
    <w:p w:rsidR="001F4C1C" w:rsidRPr="00957F71" w:rsidRDefault="001F4C1C" w:rsidP="001F4C1C">
      <w:pPr>
        <w:pStyle w:val="Endnotentext"/>
        <w:rPr>
          <w:rFonts w:asciiTheme="majorHAnsi" w:hAnsiTheme="majorHAnsi" w:cstheme="majorHAnsi"/>
          <w:sz w:val="20"/>
          <w:lang w:val="en-US"/>
        </w:rPr>
      </w:pPr>
      <w:r w:rsidRPr="00957F71">
        <w:rPr>
          <w:rStyle w:val="Endnotenzeichen"/>
          <w:rFonts w:asciiTheme="majorHAnsi" w:hAnsiTheme="majorHAnsi" w:cstheme="majorHAnsi"/>
          <w:sz w:val="20"/>
          <w:lang w:val="en-US"/>
        </w:rPr>
        <w:t>[</w:t>
      </w:r>
      <w:r w:rsidRPr="00957F71">
        <w:rPr>
          <w:rFonts w:asciiTheme="majorHAnsi" w:hAnsiTheme="majorHAnsi" w:cstheme="majorHAnsi"/>
          <w:sz w:val="20"/>
          <w:vertAlign w:val="superscript"/>
          <w:lang w:val="en-US"/>
        </w:rPr>
        <w:t xml:space="preserve">1] </w:t>
      </w:r>
      <w:r w:rsidRPr="00957F71">
        <w:rPr>
          <w:rFonts w:asciiTheme="majorHAnsi" w:hAnsiTheme="majorHAnsi" w:cstheme="majorHAnsi"/>
          <w:sz w:val="20"/>
          <w:lang w:val="en-US"/>
        </w:rPr>
        <w:t>All of the participating exchanges run at least one “hybrid” market model based on auction systems with market maker support in accordance with Article 17(5) MiFID I Implementing Regulation. For the majority of the petitioners, market maker supported trading is the sole or prevailing form of trading. Depending on the market model, market making firms may be referred to by different names, e.g. “Designated Sponsors”, “</w:t>
      </w:r>
      <w:proofErr w:type="spellStart"/>
      <w:r w:rsidRPr="00957F71">
        <w:rPr>
          <w:rFonts w:asciiTheme="majorHAnsi" w:hAnsiTheme="majorHAnsi" w:cstheme="majorHAnsi"/>
          <w:sz w:val="20"/>
          <w:lang w:val="en-US"/>
        </w:rPr>
        <w:t>Skontroführer</w:t>
      </w:r>
      <w:proofErr w:type="spellEnd"/>
      <w:r w:rsidRPr="00957F71">
        <w:rPr>
          <w:rFonts w:asciiTheme="majorHAnsi" w:hAnsiTheme="majorHAnsi" w:cstheme="majorHAnsi"/>
          <w:sz w:val="20"/>
          <w:lang w:val="en-US"/>
        </w:rPr>
        <w:t>”, “</w:t>
      </w:r>
      <w:proofErr w:type="spellStart"/>
      <w:r w:rsidRPr="00957F71">
        <w:rPr>
          <w:rFonts w:asciiTheme="majorHAnsi" w:hAnsiTheme="majorHAnsi" w:cstheme="majorHAnsi"/>
          <w:sz w:val="20"/>
          <w:lang w:val="en-US"/>
        </w:rPr>
        <w:t>Spezialisten</w:t>
      </w:r>
      <w:proofErr w:type="spellEnd"/>
      <w:r w:rsidRPr="00957F71">
        <w:rPr>
          <w:rFonts w:asciiTheme="majorHAnsi" w:hAnsiTheme="majorHAnsi" w:cstheme="majorHAnsi"/>
          <w:sz w:val="20"/>
          <w:lang w:val="en-US"/>
        </w:rPr>
        <w:t>” or “Quality-Liquidity-Providers”.</w:t>
      </w:r>
    </w:p>
    <w:p w:rsidR="001F4C1C" w:rsidRPr="00957F71" w:rsidRDefault="008005CD" w:rsidP="008005CD">
      <w:pPr>
        <w:pStyle w:val="Endnotentext"/>
        <w:jc w:val="left"/>
        <w:rPr>
          <w:rFonts w:asciiTheme="majorHAnsi" w:hAnsiTheme="majorHAnsi" w:cstheme="majorHAnsi"/>
          <w:sz w:val="20"/>
          <w:lang w:val="en-US"/>
        </w:rPr>
      </w:pPr>
      <w:r w:rsidRPr="00957F71">
        <w:rPr>
          <w:rStyle w:val="Endnotenzeichen"/>
          <w:rFonts w:asciiTheme="majorHAnsi" w:hAnsiTheme="majorHAnsi" w:cstheme="majorHAnsi"/>
          <w:sz w:val="20"/>
          <w:lang w:val="en-US"/>
        </w:rPr>
        <w:t>[</w:t>
      </w:r>
      <w:r w:rsidRPr="00957F71">
        <w:rPr>
          <w:rFonts w:asciiTheme="majorHAnsi" w:hAnsiTheme="majorHAnsi" w:cstheme="majorHAnsi"/>
          <w:sz w:val="20"/>
          <w:vertAlign w:val="superscript"/>
          <w:lang w:val="en-US"/>
        </w:rPr>
        <w:t xml:space="preserve">2] </w:t>
      </w:r>
      <w:hyperlink r:id="rId10" w:history="1">
        <w:r w:rsidR="001F4C1C" w:rsidRPr="00957F71">
          <w:rPr>
            <w:rStyle w:val="Hyperlink"/>
            <w:rFonts w:asciiTheme="majorHAnsi" w:hAnsiTheme="majorHAnsi" w:cstheme="majorHAnsi"/>
            <w:sz w:val="20"/>
          </w:rPr>
          <w:t>http://www.esma.europa.eu/system/files/esma_mifid2_dp_bwf_joint-petition-german-exchanges-with-bwf.pdf</w:t>
        </w:r>
      </w:hyperlink>
      <w:r w:rsidR="001F4C1C" w:rsidRPr="00957F71">
        <w:rPr>
          <w:rFonts w:asciiTheme="majorHAnsi" w:hAnsiTheme="majorHAnsi" w:cstheme="majorHAnsi"/>
          <w:sz w:val="20"/>
          <w:lang w:val="en-US"/>
        </w:rPr>
        <w:t>.</w:t>
      </w:r>
    </w:p>
    <w:p w:rsidR="001F4C1C" w:rsidRPr="00957F71" w:rsidRDefault="008005CD" w:rsidP="001F4C1C">
      <w:pPr>
        <w:pStyle w:val="Endnotentext"/>
        <w:rPr>
          <w:rFonts w:asciiTheme="majorHAnsi" w:hAnsiTheme="majorHAnsi" w:cstheme="majorHAnsi"/>
          <w:sz w:val="20"/>
          <w:lang w:val="en-US"/>
        </w:rPr>
      </w:pPr>
      <w:r w:rsidRPr="00957F71">
        <w:rPr>
          <w:rStyle w:val="Endnotenzeichen"/>
          <w:rFonts w:asciiTheme="majorHAnsi" w:hAnsiTheme="majorHAnsi" w:cstheme="majorHAnsi"/>
          <w:sz w:val="20"/>
          <w:lang w:val="en-US"/>
        </w:rPr>
        <w:t>[</w:t>
      </w:r>
      <w:r w:rsidRPr="00957F71">
        <w:rPr>
          <w:rFonts w:asciiTheme="majorHAnsi" w:hAnsiTheme="majorHAnsi" w:cstheme="majorHAnsi"/>
          <w:sz w:val="20"/>
          <w:vertAlign w:val="superscript"/>
          <w:lang w:val="en-US"/>
        </w:rPr>
        <w:t xml:space="preserve">3] </w:t>
      </w:r>
      <w:hyperlink r:id="rId11" w:history="1">
        <w:r w:rsidR="001F4C1C" w:rsidRPr="00957F71">
          <w:rPr>
            <w:rStyle w:val="Hyperlink"/>
            <w:rFonts w:asciiTheme="majorHAnsi" w:hAnsiTheme="majorHAnsi" w:cstheme="majorHAnsi"/>
            <w:sz w:val="20"/>
          </w:rPr>
          <w:t>http://www.esma.europa.eu/system/files/2014-548_discussion_paper_mifid-mifir.pdf</w:t>
        </w:r>
      </w:hyperlink>
      <w:r w:rsidR="001F4C1C" w:rsidRPr="00957F71">
        <w:rPr>
          <w:rFonts w:asciiTheme="majorHAnsi" w:hAnsiTheme="majorHAnsi" w:cstheme="majorHAnsi"/>
          <w:sz w:val="20"/>
          <w:lang w:val="en-US"/>
        </w:rPr>
        <w:t>.</w:t>
      </w:r>
    </w:p>
    <w:p w:rsidR="001F4C1C" w:rsidRPr="00957F71" w:rsidRDefault="008005CD" w:rsidP="001F4C1C">
      <w:pPr>
        <w:pStyle w:val="Endnotentext"/>
        <w:rPr>
          <w:rFonts w:asciiTheme="majorHAnsi" w:hAnsiTheme="majorHAnsi" w:cstheme="majorHAnsi"/>
          <w:sz w:val="20"/>
          <w:lang w:val="en-US"/>
        </w:rPr>
      </w:pPr>
      <w:r w:rsidRPr="00957F71">
        <w:rPr>
          <w:rStyle w:val="Endnotenzeichen"/>
          <w:rFonts w:asciiTheme="majorHAnsi" w:hAnsiTheme="majorHAnsi" w:cstheme="majorHAnsi"/>
          <w:sz w:val="20"/>
          <w:lang w:val="en-US"/>
        </w:rPr>
        <w:t>[</w:t>
      </w:r>
      <w:proofErr w:type="gramStart"/>
      <w:r w:rsidRPr="00957F71">
        <w:rPr>
          <w:rFonts w:asciiTheme="majorHAnsi" w:hAnsiTheme="majorHAnsi" w:cstheme="majorHAnsi"/>
          <w:sz w:val="20"/>
          <w:vertAlign w:val="superscript"/>
          <w:lang w:val="en-US"/>
        </w:rPr>
        <w:t xml:space="preserve">4] </w:t>
      </w:r>
      <w:r w:rsidR="001F4C1C" w:rsidRPr="00957F71">
        <w:rPr>
          <w:rFonts w:asciiTheme="majorHAnsi" w:hAnsiTheme="majorHAnsi" w:cstheme="majorHAnsi"/>
          <w:sz w:val="20"/>
        </w:rPr>
        <w:t xml:space="preserve"> </w:t>
      </w:r>
      <w:r w:rsidR="001F4C1C" w:rsidRPr="00957F71">
        <w:rPr>
          <w:rFonts w:asciiTheme="majorHAnsi" w:hAnsiTheme="majorHAnsi" w:cstheme="majorHAnsi"/>
          <w:sz w:val="20"/>
          <w:lang w:val="en-US"/>
        </w:rPr>
        <w:t>Consultation</w:t>
      </w:r>
      <w:proofErr w:type="gramEnd"/>
      <w:r w:rsidR="001F4C1C" w:rsidRPr="00957F71">
        <w:rPr>
          <w:rFonts w:asciiTheme="majorHAnsi" w:hAnsiTheme="majorHAnsi" w:cstheme="majorHAnsi"/>
          <w:sz w:val="20"/>
          <w:lang w:val="en-US"/>
        </w:rPr>
        <w:t xml:space="preserve"> Paper ESMA/2014/1570 Annex B, RTS 15.</w:t>
      </w:r>
    </w:p>
    <w:p w:rsidR="001F4C1C" w:rsidRPr="00957F71" w:rsidRDefault="008005CD" w:rsidP="001F4C1C">
      <w:pPr>
        <w:pStyle w:val="Default"/>
        <w:jc w:val="both"/>
        <w:rPr>
          <w:rFonts w:asciiTheme="majorHAnsi" w:hAnsiTheme="majorHAnsi" w:cstheme="majorHAnsi"/>
          <w:sz w:val="20"/>
          <w:szCs w:val="20"/>
          <w:lang w:eastAsia="de-DE"/>
        </w:rPr>
      </w:pPr>
      <w:r w:rsidRPr="00957F71">
        <w:rPr>
          <w:rStyle w:val="Endnotenzeichen"/>
          <w:rFonts w:asciiTheme="majorHAnsi" w:hAnsiTheme="majorHAnsi" w:cstheme="majorHAnsi"/>
          <w:sz w:val="20"/>
        </w:rPr>
        <w:t>[</w:t>
      </w:r>
      <w:proofErr w:type="gramStart"/>
      <w:r w:rsidRPr="00957F71">
        <w:rPr>
          <w:rFonts w:asciiTheme="majorHAnsi" w:hAnsiTheme="majorHAnsi" w:cstheme="majorHAnsi"/>
          <w:sz w:val="20"/>
          <w:vertAlign w:val="superscript"/>
        </w:rPr>
        <w:t xml:space="preserve">5] </w:t>
      </w:r>
      <w:r w:rsidR="001F4C1C" w:rsidRPr="00957F71">
        <w:rPr>
          <w:rFonts w:asciiTheme="majorHAnsi" w:hAnsiTheme="majorHAnsi" w:cstheme="majorHAnsi"/>
          <w:sz w:val="20"/>
          <w:szCs w:val="20"/>
        </w:rPr>
        <w:t xml:space="preserve"> ESMA</w:t>
      </w:r>
      <w:proofErr w:type="gramEnd"/>
      <w:r w:rsidR="001F4C1C" w:rsidRPr="00957F71">
        <w:rPr>
          <w:rFonts w:asciiTheme="majorHAnsi" w:hAnsiTheme="majorHAnsi" w:cstheme="majorHAnsi"/>
          <w:sz w:val="20"/>
          <w:szCs w:val="20"/>
        </w:rPr>
        <w:t xml:space="preserve"> previously described the </w:t>
      </w:r>
      <w:r w:rsidR="001F4C1C" w:rsidRPr="00957F71">
        <w:rPr>
          <w:rFonts w:asciiTheme="majorHAnsi" w:hAnsiTheme="majorHAnsi" w:cstheme="majorHAnsi"/>
          <w:sz w:val="20"/>
          <w:szCs w:val="20"/>
          <w:lang w:eastAsia="de-DE"/>
        </w:rPr>
        <w:t>purpose of articles 17 and 48 of MiFID II with respect to market making</w:t>
      </w:r>
      <w:r w:rsidR="001F4C1C" w:rsidRPr="00957F71">
        <w:rPr>
          <w:rFonts w:asciiTheme="majorHAnsi" w:hAnsiTheme="majorHAnsi" w:cstheme="majorHAnsi"/>
          <w:sz w:val="20"/>
          <w:szCs w:val="20"/>
        </w:rPr>
        <w:t xml:space="preserve"> strategies as being </w:t>
      </w:r>
      <w:r w:rsidR="001F4C1C" w:rsidRPr="00957F71">
        <w:rPr>
          <w:rFonts w:asciiTheme="majorHAnsi" w:hAnsiTheme="majorHAnsi" w:cstheme="majorHAnsi"/>
          <w:color w:val="auto"/>
          <w:sz w:val="20"/>
          <w:szCs w:val="20"/>
          <w:lang w:val="en-GB"/>
        </w:rPr>
        <w:t>“to reduce the impact of potentially systematic volatility peaks in instruments where alg</w:t>
      </w:r>
      <w:r w:rsidR="001F4C1C" w:rsidRPr="00957F71">
        <w:rPr>
          <w:rFonts w:asciiTheme="majorHAnsi" w:hAnsiTheme="majorHAnsi" w:cstheme="majorHAnsi"/>
          <w:color w:val="auto"/>
          <w:sz w:val="20"/>
          <w:szCs w:val="20"/>
          <w:lang w:val="en-GB"/>
        </w:rPr>
        <w:t>o</w:t>
      </w:r>
      <w:r w:rsidR="001F4C1C" w:rsidRPr="00957F71">
        <w:rPr>
          <w:rFonts w:asciiTheme="majorHAnsi" w:hAnsiTheme="majorHAnsi" w:cstheme="majorHAnsi"/>
          <w:color w:val="auto"/>
          <w:sz w:val="20"/>
          <w:szCs w:val="20"/>
          <w:lang w:val="en-GB"/>
        </w:rPr>
        <w:t>rithmic traders are present.”</w:t>
      </w:r>
      <w:r w:rsidR="001F4C1C" w:rsidRPr="00957F71">
        <w:rPr>
          <w:rFonts w:asciiTheme="majorHAnsi" w:hAnsiTheme="majorHAnsi" w:cstheme="majorHAnsi"/>
          <w:i/>
          <w:color w:val="auto"/>
          <w:sz w:val="20"/>
          <w:szCs w:val="20"/>
          <w:lang w:val="en-GB"/>
        </w:rPr>
        <w:t xml:space="preserve"> </w:t>
      </w:r>
      <w:proofErr w:type="gramStart"/>
      <w:r w:rsidR="001F4C1C" w:rsidRPr="00957F71">
        <w:rPr>
          <w:rFonts w:asciiTheme="majorHAnsi" w:hAnsiTheme="majorHAnsi" w:cstheme="majorHAnsi"/>
          <w:sz w:val="20"/>
          <w:szCs w:val="20"/>
        </w:rPr>
        <w:t>Discussion Paper ESMA/2014/548, Chapter 4.4, Paragraph 52.</w:t>
      </w:r>
      <w:proofErr w:type="gramEnd"/>
    </w:p>
    <w:p w:rsidR="001F4C1C" w:rsidRPr="00957F71" w:rsidRDefault="008005CD" w:rsidP="001F4C1C">
      <w:pPr>
        <w:pStyle w:val="Endnotentext"/>
        <w:rPr>
          <w:rFonts w:asciiTheme="majorHAnsi" w:hAnsiTheme="majorHAnsi" w:cstheme="majorHAnsi"/>
          <w:sz w:val="20"/>
          <w:lang w:val="en-US"/>
        </w:rPr>
      </w:pPr>
      <w:r w:rsidRPr="00957F71">
        <w:rPr>
          <w:rStyle w:val="Endnotenzeichen"/>
          <w:rFonts w:asciiTheme="majorHAnsi" w:hAnsiTheme="majorHAnsi" w:cstheme="majorHAnsi"/>
          <w:sz w:val="20"/>
          <w:lang w:val="en-US"/>
        </w:rPr>
        <w:t>[</w:t>
      </w:r>
      <w:r w:rsidRPr="00957F71">
        <w:rPr>
          <w:rFonts w:asciiTheme="majorHAnsi" w:hAnsiTheme="majorHAnsi" w:cstheme="majorHAnsi"/>
          <w:sz w:val="20"/>
          <w:vertAlign w:val="superscript"/>
          <w:lang w:val="en-US"/>
        </w:rPr>
        <w:t xml:space="preserve">6] </w:t>
      </w:r>
      <w:r w:rsidR="001F4C1C" w:rsidRPr="00957F71">
        <w:rPr>
          <w:rFonts w:asciiTheme="majorHAnsi" w:hAnsiTheme="majorHAnsi" w:cstheme="majorHAnsi"/>
          <w:sz w:val="20"/>
          <w:lang w:val="en-US"/>
        </w:rPr>
        <w:t xml:space="preserve">While we fully agree with the first goal, we are less certain that the second can be directly derived from the Level I text. ESMA’s wording might create the impression that “new risks” from “advanced technologies” mainly arise from market participants </w:t>
      </w:r>
      <w:r w:rsidR="001F4C1C" w:rsidRPr="00957F71">
        <w:rPr>
          <w:rFonts w:asciiTheme="majorHAnsi" w:hAnsiTheme="majorHAnsi" w:cstheme="majorHAnsi"/>
          <w:i/>
          <w:sz w:val="20"/>
          <w:lang w:val="en-US"/>
        </w:rPr>
        <w:t>other</w:t>
      </w:r>
      <w:r w:rsidR="001F4C1C" w:rsidRPr="00957F71">
        <w:rPr>
          <w:rFonts w:asciiTheme="majorHAnsi" w:hAnsiTheme="majorHAnsi" w:cstheme="majorHAnsi"/>
          <w:sz w:val="20"/>
          <w:lang w:val="en-US"/>
        </w:rPr>
        <w:t xml:space="preserve"> than algorithmic traders pursuing a market making strategy, whereas our understanding of the MiFID II text is that it is the risk arising from the hitherto unregulated de facto market makers that needs to be addressed first.</w:t>
      </w:r>
    </w:p>
    <w:p w:rsidR="001F4C1C" w:rsidRPr="00957F71" w:rsidRDefault="008005CD" w:rsidP="001F4C1C">
      <w:pPr>
        <w:pStyle w:val="Default"/>
        <w:jc w:val="both"/>
        <w:rPr>
          <w:rFonts w:asciiTheme="majorHAnsi" w:hAnsiTheme="majorHAnsi" w:cstheme="majorHAnsi"/>
          <w:sz w:val="20"/>
          <w:szCs w:val="20"/>
          <w:lang w:eastAsia="de-DE"/>
        </w:rPr>
      </w:pPr>
      <w:r w:rsidRPr="00957F71">
        <w:rPr>
          <w:rStyle w:val="Endnotenzeichen"/>
          <w:rFonts w:asciiTheme="majorHAnsi" w:hAnsiTheme="majorHAnsi" w:cstheme="majorHAnsi"/>
          <w:sz w:val="20"/>
        </w:rPr>
        <w:t>[</w:t>
      </w:r>
      <w:proofErr w:type="gramStart"/>
      <w:r w:rsidRPr="00957F71">
        <w:rPr>
          <w:rFonts w:asciiTheme="majorHAnsi" w:hAnsiTheme="majorHAnsi" w:cstheme="majorHAnsi"/>
          <w:sz w:val="20"/>
          <w:vertAlign w:val="superscript"/>
        </w:rPr>
        <w:t xml:space="preserve">7] </w:t>
      </w:r>
      <w:r w:rsidR="001F4C1C" w:rsidRPr="00957F71">
        <w:rPr>
          <w:rFonts w:asciiTheme="majorHAnsi" w:hAnsiTheme="majorHAnsi" w:cstheme="majorHAnsi"/>
          <w:sz w:val="20"/>
          <w:szCs w:val="20"/>
        </w:rPr>
        <w:t xml:space="preserve"> For</w:t>
      </w:r>
      <w:proofErr w:type="gramEnd"/>
      <w:r w:rsidR="001F4C1C" w:rsidRPr="00957F71">
        <w:rPr>
          <w:rFonts w:asciiTheme="majorHAnsi" w:hAnsiTheme="majorHAnsi" w:cstheme="majorHAnsi"/>
          <w:sz w:val="20"/>
          <w:szCs w:val="20"/>
        </w:rPr>
        <w:t xml:space="preserve"> instance, Recital 60 refers to the definition of “market making activities” in </w:t>
      </w:r>
      <w:r w:rsidR="001F4C1C" w:rsidRPr="00957F71">
        <w:rPr>
          <w:rFonts w:asciiTheme="majorHAnsi" w:hAnsiTheme="majorHAnsi" w:cstheme="majorHAnsi"/>
          <w:iCs/>
          <w:sz w:val="20"/>
          <w:szCs w:val="20"/>
          <w:lang w:eastAsia="de-DE"/>
        </w:rPr>
        <w:t>Regulation (EU) No. 236/2012 on short selling and certain aspects of credit default swaps. In the interests of eliminating ambigu</w:t>
      </w:r>
      <w:r w:rsidR="001F4C1C" w:rsidRPr="00957F71">
        <w:rPr>
          <w:rFonts w:asciiTheme="majorHAnsi" w:hAnsiTheme="majorHAnsi" w:cstheme="majorHAnsi"/>
          <w:iCs/>
          <w:sz w:val="20"/>
          <w:szCs w:val="20"/>
          <w:lang w:eastAsia="de-DE"/>
        </w:rPr>
        <w:t>i</w:t>
      </w:r>
      <w:r w:rsidR="001F4C1C" w:rsidRPr="00957F71">
        <w:rPr>
          <w:rFonts w:asciiTheme="majorHAnsi" w:hAnsiTheme="majorHAnsi" w:cstheme="majorHAnsi"/>
          <w:iCs/>
          <w:sz w:val="20"/>
          <w:szCs w:val="20"/>
          <w:lang w:eastAsia="de-DE"/>
        </w:rPr>
        <w:t>ty, we therefore recommend that ESMA avoid the use of the expressions “market making” and “market ma</w:t>
      </w:r>
      <w:r w:rsidR="001F4C1C" w:rsidRPr="00957F71">
        <w:rPr>
          <w:rFonts w:asciiTheme="majorHAnsi" w:hAnsiTheme="majorHAnsi" w:cstheme="majorHAnsi"/>
          <w:iCs/>
          <w:sz w:val="20"/>
          <w:szCs w:val="20"/>
          <w:lang w:eastAsia="de-DE"/>
        </w:rPr>
        <w:t>k</w:t>
      </w:r>
      <w:r w:rsidR="001F4C1C" w:rsidRPr="00957F71">
        <w:rPr>
          <w:rFonts w:asciiTheme="majorHAnsi" w:hAnsiTheme="majorHAnsi" w:cstheme="majorHAnsi"/>
          <w:iCs/>
          <w:sz w:val="20"/>
          <w:szCs w:val="20"/>
          <w:lang w:eastAsia="de-DE"/>
        </w:rPr>
        <w:t>er” in RTS 15 and refer, instead, to “market making strategy” and “firm pursuing a market making based on algorithmic trading.”</w:t>
      </w:r>
    </w:p>
    <w:p w:rsidR="001F4C1C" w:rsidRPr="00957F71" w:rsidRDefault="008005CD" w:rsidP="001F4C1C">
      <w:pPr>
        <w:pStyle w:val="Endnotentext"/>
        <w:rPr>
          <w:rFonts w:asciiTheme="majorHAnsi" w:hAnsiTheme="majorHAnsi" w:cstheme="majorHAnsi"/>
          <w:sz w:val="20"/>
          <w:lang w:val="en-US"/>
        </w:rPr>
      </w:pPr>
      <w:r w:rsidRPr="00957F71">
        <w:rPr>
          <w:rStyle w:val="Endnotenzeichen"/>
          <w:rFonts w:asciiTheme="majorHAnsi" w:hAnsiTheme="majorHAnsi" w:cstheme="majorHAnsi"/>
          <w:sz w:val="20"/>
          <w:lang w:val="en-US"/>
        </w:rPr>
        <w:t>[</w:t>
      </w:r>
      <w:proofErr w:type="gramStart"/>
      <w:r w:rsidRPr="00957F71">
        <w:rPr>
          <w:rFonts w:asciiTheme="majorHAnsi" w:hAnsiTheme="majorHAnsi" w:cstheme="majorHAnsi"/>
          <w:sz w:val="20"/>
          <w:vertAlign w:val="superscript"/>
          <w:lang w:val="en-US"/>
        </w:rPr>
        <w:t xml:space="preserve">8] </w:t>
      </w:r>
      <w:r w:rsidR="001F4C1C" w:rsidRPr="00957F71">
        <w:rPr>
          <w:rFonts w:asciiTheme="majorHAnsi" w:hAnsiTheme="majorHAnsi" w:cstheme="majorHAnsi"/>
          <w:sz w:val="20"/>
        </w:rPr>
        <w:t xml:space="preserve"> </w:t>
      </w:r>
      <w:r w:rsidR="001F4C1C" w:rsidRPr="00957F71">
        <w:rPr>
          <w:rFonts w:asciiTheme="majorHAnsi" w:hAnsiTheme="majorHAnsi" w:cstheme="majorHAnsi"/>
          <w:sz w:val="20"/>
          <w:lang w:val="en-US"/>
        </w:rPr>
        <w:t>ESMA’s</w:t>
      </w:r>
      <w:proofErr w:type="gramEnd"/>
      <w:r w:rsidR="001F4C1C" w:rsidRPr="00957F71">
        <w:rPr>
          <w:rFonts w:asciiTheme="majorHAnsi" w:hAnsiTheme="majorHAnsi" w:cstheme="majorHAnsi"/>
          <w:sz w:val="20"/>
          <w:lang w:val="en-US"/>
        </w:rPr>
        <w:t xml:space="preserve"> remark in the Consultation Paper that respondents to the Discussion Paper were against the poss</w:t>
      </w:r>
      <w:r w:rsidR="001F4C1C" w:rsidRPr="00957F71">
        <w:rPr>
          <w:rFonts w:asciiTheme="majorHAnsi" w:hAnsiTheme="majorHAnsi" w:cstheme="majorHAnsi"/>
          <w:sz w:val="20"/>
          <w:lang w:val="en-US"/>
        </w:rPr>
        <w:t>i</w:t>
      </w:r>
      <w:r w:rsidR="001F4C1C" w:rsidRPr="00957F71">
        <w:rPr>
          <w:rFonts w:asciiTheme="majorHAnsi" w:hAnsiTheme="majorHAnsi" w:cstheme="majorHAnsi"/>
          <w:sz w:val="20"/>
          <w:lang w:val="en-US"/>
        </w:rPr>
        <w:t xml:space="preserve">ble limitation of the number of participants in market making schemes (see CP, Chapter 4.3, Paragraph 40) must be seen in context, since the initial proposal in the Discussion Paper was that market-making schemes would apply only to liquid instruments. </w:t>
      </w:r>
    </w:p>
    <w:p w:rsidR="001F4C1C" w:rsidRPr="00957F71" w:rsidRDefault="008005CD" w:rsidP="001F4C1C">
      <w:pPr>
        <w:pStyle w:val="Endnotentext"/>
        <w:rPr>
          <w:rFonts w:asciiTheme="majorHAnsi" w:hAnsiTheme="majorHAnsi" w:cstheme="majorHAnsi"/>
          <w:sz w:val="20"/>
          <w:lang w:val="en-US"/>
        </w:rPr>
      </w:pPr>
      <w:r w:rsidRPr="00957F71">
        <w:rPr>
          <w:rStyle w:val="Endnotenzeichen"/>
          <w:rFonts w:asciiTheme="majorHAnsi" w:hAnsiTheme="majorHAnsi" w:cstheme="majorHAnsi"/>
          <w:sz w:val="20"/>
          <w:lang w:val="en-US"/>
        </w:rPr>
        <w:t>[</w:t>
      </w:r>
      <w:proofErr w:type="gramStart"/>
      <w:r w:rsidRPr="00957F71">
        <w:rPr>
          <w:rFonts w:asciiTheme="majorHAnsi" w:hAnsiTheme="majorHAnsi" w:cstheme="majorHAnsi"/>
          <w:sz w:val="20"/>
          <w:vertAlign w:val="superscript"/>
          <w:lang w:val="en-US"/>
        </w:rPr>
        <w:t xml:space="preserve">9] </w:t>
      </w:r>
      <w:r w:rsidR="001F4C1C" w:rsidRPr="00957F71">
        <w:rPr>
          <w:rFonts w:asciiTheme="majorHAnsi" w:hAnsiTheme="majorHAnsi" w:cstheme="majorHAnsi"/>
          <w:sz w:val="20"/>
        </w:rPr>
        <w:t xml:space="preserve"> </w:t>
      </w:r>
      <w:r w:rsidR="001F4C1C" w:rsidRPr="00957F71">
        <w:rPr>
          <w:rFonts w:asciiTheme="majorHAnsi" w:hAnsiTheme="majorHAnsi" w:cstheme="majorHAnsi"/>
          <w:sz w:val="20"/>
          <w:lang w:val="en-US"/>
        </w:rPr>
        <w:t>Answer</w:t>
      </w:r>
      <w:proofErr w:type="gramEnd"/>
      <w:r w:rsidR="001F4C1C" w:rsidRPr="00957F71">
        <w:rPr>
          <w:rFonts w:asciiTheme="majorHAnsi" w:hAnsiTheme="majorHAnsi" w:cstheme="majorHAnsi"/>
          <w:sz w:val="20"/>
          <w:lang w:val="en-US"/>
        </w:rPr>
        <w:t xml:space="preserve"> to ESMA question 281: “As only liquid instruments should be in the scope of the market making arrangements/schemes, a non-discriminatory access to market making arrangements and consistent ince</w:t>
      </w:r>
      <w:r w:rsidR="001F4C1C" w:rsidRPr="00957F71">
        <w:rPr>
          <w:rFonts w:asciiTheme="majorHAnsi" w:hAnsiTheme="majorHAnsi" w:cstheme="majorHAnsi"/>
          <w:sz w:val="20"/>
          <w:lang w:val="en-US"/>
        </w:rPr>
        <w:t>n</w:t>
      </w:r>
      <w:r w:rsidR="001F4C1C" w:rsidRPr="00957F71">
        <w:rPr>
          <w:rFonts w:asciiTheme="majorHAnsi" w:hAnsiTheme="majorHAnsi" w:cstheme="majorHAnsi"/>
          <w:sz w:val="20"/>
          <w:lang w:val="en-US"/>
        </w:rPr>
        <w:t>tives/informational/technological advantages should be provided across all market makers. This obviously should be different in case of less-liquids (that are not in the scope here) as for less-liquids mostly only m</w:t>
      </w:r>
      <w:r w:rsidR="001F4C1C" w:rsidRPr="00957F71">
        <w:rPr>
          <w:rFonts w:asciiTheme="majorHAnsi" w:hAnsiTheme="majorHAnsi" w:cstheme="majorHAnsi"/>
          <w:sz w:val="20"/>
          <w:lang w:val="en-US"/>
        </w:rPr>
        <w:t>o</w:t>
      </w:r>
      <w:r w:rsidR="001F4C1C" w:rsidRPr="00957F71">
        <w:rPr>
          <w:rFonts w:asciiTheme="majorHAnsi" w:hAnsiTheme="majorHAnsi" w:cstheme="majorHAnsi"/>
          <w:sz w:val="20"/>
          <w:lang w:val="en-US"/>
        </w:rPr>
        <w:t>nopolistic positions of the liquidity providers provide a real incentive to assure liquidity provision.” Source:</w:t>
      </w:r>
    </w:p>
    <w:p w:rsidR="001F4C1C" w:rsidRPr="00957F71" w:rsidRDefault="001F4C1C" w:rsidP="001F4C1C">
      <w:pPr>
        <w:pStyle w:val="Endnotentext"/>
        <w:rPr>
          <w:rFonts w:asciiTheme="majorHAnsi" w:hAnsiTheme="majorHAnsi" w:cstheme="majorHAnsi"/>
          <w:sz w:val="20"/>
          <w:lang w:val="en-US"/>
        </w:rPr>
      </w:pPr>
      <w:hyperlink r:id="rId12" w:history="1">
        <w:r w:rsidRPr="00957F71">
          <w:rPr>
            <w:rStyle w:val="Hyperlink"/>
            <w:rFonts w:asciiTheme="majorHAnsi" w:hAnsiTheme="majorHAnsi" w:cstheme="majorHAnsi"/>
            <w:sz w:val="20"/>
            <w:lang w:val="en-US"/>
          </w:rPr>
          <w:t>http://www.esma.europa.eu/system/files/esma_mifid2_dp_chair_of_efinance_goethe_university_frankfurt_replyform.docx</w:t>
        </w:r>
      </w:hyperlink>
      <w:r w:rsidRPr="00957F71">
        <w:rPr>
          <w:rFonts w:asciiTheme="majorHAnsi" w:hAnsiTheme="majorHAnsi" w:cstheme="majorHAnsi"/>
          <w:sz w:val="20"/>
          <w:lang w:val="en-US"/>
        </w:rPr>
        <w:t>.</w:t>
      </w:r>
    </w:p>
    <w:p w:rsidR="001F4C1C" w:rsidRPr="00957F71" w:rsidRDefault="008005CD" w:rsidP="001F4C1C">
      <w:pPr>
        <w:pStyle w:val="Endnotentext"/>
        <w:rPr>
          <w:rFonts w:asciiTheme="majorHAnsi" w:hAnsiTheme="majorHAnsi" w:cstheme="majorHAnsi"/>
          <w:sz w:val="20"/>
          <w:lang w:val="en-US"/>
        </w:rPr>
      </w:pPr>
      <w:r w:rsidRPr="00957F71">
        <w:rPr>
          <w:rStyle w:val="Endnotenzeichen"/>
          <w:rFonts w:asciiTheme="majorHAnsi" w:hAnsiTheme="majorHAnsi" w:cstheme="majorHAnsi"/>
          <w:sz w:val="20"/>
          <w:lang w:val="en-US"/>
        </w:rPr>
        <w:t>[</w:t>
      </w:r>
      <w:r w:rsidRPr="00957F71">
        <w:rPr>
          <w:rFonts w:asciiTheme="majorHAnsi" w:hAnsiTheme="majorHAnsi" w:cstheme="majorHAnsi"/>
          <w:sz w:val="20"/>
          <w:vertAlign w:val="superscript"/>
          <w:lang w:val="en-US"/>
        </w:rPr>
        <w:t xml:space="preserve">10] </w:t>
      </w:r>
      <w:r w:rsidR="001F4C1C" w:rsidRPr="00957F71">
        <w:rPr>
          <w:rFonts w:asciiTheme="majorHAnsi" w:hAnsiTheme="majorHAnsi" w:cstheme="majorHAnsi"/>
          <w:sz w:val="20"/>
          <w:lang w:val="en-US"/>
        </w:rPr>
        <w:t>Please refer to the discussion of RTS 15, Article 7 below.</w:t>
      </w:r>
    </w:p>
    <w:p w:rsidR="00577C33" w:rsidRDefault="001F4C1C" w:rsidP="00EC2C93">
      <w:pPr>
        <w:keepNext/>
      </w:pPr>
      <w:r>
        <w:t xml:space="preserve"> </w:t>
      </w:r>
    </w:p>
    <w:permEnd w:id="113"/>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lastRenderedPageBreak/>
        <w:t>&lt;ESMA_QUESTION_CP_MIFID_105&gt;</w:t>
      </w:r>
    </w:p>
    <w:p w:rsidR="00577C33" w:rsidRDefault="00577C33" w:rsidP="00EC2C93">
      <w:pPr>
        <w:keepNext/>
      </w:pPr>
      <w:permStart w:id="114" w:edGrp="everyone"/>
      <w:r>
        <w:t>TYPE YOUR TEXT HERE</w:t>
      </w:r>
    </w:p>
    <w:permEnd w:id="114"/>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115" w:edGrp="everyone"/>
      <w:r>
        <w:t>TYPE YOUR TEXT HERE</w:t>
      </w:r>
    </w:p>
    <w:permEnd w:id="115"/>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116" w:edGrp="everyone"/>
      <w:r>
        <w:t>TYPE YOUR TEXT HERE</w:t>
      </w:r>
    </w:p>
    <w:permEnd w:id="116"/>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t>&lt;ESMA_QUESTION_CP_MIFID_108&gt;</w:t>
      </w:r>
    </w:p>
    <w:p w:rsidR="00577C33" w:rsidRDefault="00577C33" w:rsidP="00EC2C93">
      <w:pPr>
        <w:keepNext/>
      </w:pPr>
      <w:permStart w:id="117" w:edGrp="everyone"/>
      <w:r>
        <w:t>TYPE YOUR TEXT HERE</w:t>
      </w:r>
    </w:p>
    <w:permEnd w:id="117"/>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118" w:edGrp="everyone"/>
      <w:r>
        <w:t>TYPE YOUR TEXT HERE</w:t>
      </w:r>
    </w:p>
    <w:permEnd w:id="118"/>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19" w:edGrp="everyone"/>
      <w:r>
        <w:t>TYPE YOUR TEXT HERE</w:t>
      </w:r>
    </w:p>
    <w:permEnd w:id="119"/>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120" w:edGrp="everyone"/>
      <w:r>
        <w:t>TYPE YOUR TEXT HERE</w:t>
      </w:r>
    </w:p>
    <w:permEnd w:id="120"/>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121" w:edGrp="everyone"/>
      <w:r>
        <w:t>TYPE YOUR TEXT HERE</w:t>
      </w:r>
    </w:p>
    <w:permEnd w:id="121"/>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lastRenderedPageBreak/>
        <w:t>&lt;ESMA_QUESTION_CP_MIFID_113&gt;</w:t>
      </w:r>
    </w:p>
    <w:p w:rsidR="00577C33" w:rsidRDefault="00577C33" w:rsidP="00EC2C93">
      <w:pPr>
        <w:keepNext/>
      </w:pPr>
      <w:permStart w:id="122" w:edGrp="everyone"/>
      <w:r>
        <w:t>TYPE YOUR TEXT HERE</w:t>
      </w:r>
    </w:p>
    <w:permEnd w:id="122"/>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123" w:edGrp="everyone"/>
      <w:r>
        <w:t>TYPE YOUR TEXT HERE</w:t>
      </w:r>
    </w:p>
    <w:permEnd w:id="123"/>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124" w:edGrp="everyone"/>
      <w:r>
        <w:t>TYPE YOUR TEXT HERE</w:t>
      </w:r>
    </w:p>
    <w:permEnd w:id="124"/>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t>&lt;ESMA_QUESTION_CP_MIFID_116&gt;</w:t>
      </w:r>
    </w:p>
    <w:p w:rsidR="00577C33" w:rsidRDefault="00577C33" w:rsidP="00EC2C93">
      <w:pPr>
        <w:keepNext/>
      </w:pPr>
      <w:permStart w:id="125" w:edGrp="everyone"/>
      <w:r>
        <w:t>TYPE YOUR TEXT HERE</w:t>
      </w:r>
    </w:p>
    <w:permEnd w:id="125"/>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126" w:edGrp="everyone"/>
      <w:r>
        <w:t>TYPE YOUR TEXT HERE</w:t>
      </w:r>
    </w:p>
    <w:permEnd w:id="126"/>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127" w:edGrp="everyone"/>
      <w:r>
        <w:t>TYPE YOUR TEXT HERE</w:t>
      </w:r>
    </w:p>
    <w:permEnd w:id="127"/>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28" w:edGrp="everyone"/>
      <w:r>
        <w:t>TYPE YOUR TEXT HERE</w:t>
      </w:r>
    </w:p>
    <w:permEnd w:id="128"/>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lastRenderedPageBreak/>
        <w:t>&lt;ESMA_QUESTION_CP_MIFID_120&gt;</w:t>
      </w:r>
    </w:p>
    <w:p w:rsidR="00577C33" w:rsidRDefault="00577C33" w:rsidP="00EC2C93">
      <w:pPr>
        <w:keepNext/>
      </w:pPr>
      <w:permStart w:id="129" w:edGrp="everyone"/>
      <w:r>
        <w:t>TYPE YOUR TEXT HERE</w:t>
      </w:r>
    </w:p>
    <w:permEnd w:id="129"/>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130" w:edGrp="everyone"/>
      <w:r>
        <w:t>TYPE YOUR TEXT HERE</w:t>
      </w:r>
    </w:p>
    <w:permEnd w:id="130"/>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31" w:edGrp="everyone"/>
      <w:r>
        <w:t>TYPE YOUR TEXT HERE</w:t>
      </w:r>
    </w:p>
    <w:permEnd w:id="131"/>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t>&lt;ESMA_QUESTION_CP_MIFID_123&gt;</w:t>
      </w:r>
    </w:p>
    <w:p w:rsidR="00577C33" w:rsidRDefault="00577C33" w:rsidP="00EC2C93">
      <w:pPr>
        <w:keepNext/>
      </w:pPr>
      <w:permStart w:id="132" w:edGrp="everyone"/>
      <w:r>
        <w:t>TYPE YOUR TEXT HERE</w:t>
      </w:r>
    </w:p>
    <w:permEnd w:id="132"/>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133" w:edGrp="everyone"/>
      <w:r>
        <w:t>TYPE YOUR TEXT HERE</w:t>
      </w:r>
    </w:p>
    <w:permEnd w:id="133"/>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134" w:edGrp="everyone"/>
      <w:r>
        <w:t>TYPE YOUR TEXT HERE</w:t>
      </w:r>
    </w:p>
    <w:permEnd w:id="134"/>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135" w:edGrp="everyone"/>
      <w:r>
        <w:t>TYPE YOUR TEXT HERE</w:t>
      </w:r>
    </w:p>
    <w:permEnd w:id="135"/>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lastRenderedPageBreak/>
        <w:t>&lt;ESMA_QUESTION_CP_MIFID_127&gt;</w:t>
      </w:r>
    </w:p>
    <w:p w:rsidR="00577C33" w:rsidRDefault="00577C33" w:rsidP="00EC2C93">
      <w:pPr>
        <w:keepNext/>
      </w:pPr>
      <w:permStart w:id="136" w:edGrp="everyone"/>
      <w:r>
        <w:t>TYPE YOUR TEXT HERE</w:t>
      </w:r>
    </w:p>
    <w:permEnd w:id="136"/>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137" w:edGrp="everyone"/>
      <w:r>
        <w:t>TYPE YOUR TEXT HERE</w:t>
      </w:r>
    </w:p>
    <w:permEnd w:id="137"/>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138" w:edGrp="everyone"/>
      <w:r>
        <w:t>TYPE YOUR TEXT HERE</w:t>
      </w:r>
    </w:p>
    <w:permEnd w:id="138"/>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t>&lt;ESMA_QUESTION_CP_MIFID_130&gt;</w:t>
      </w:r>
    </w:p>
    <w:p w:rsidR="00577C33" w:rsidRDefault="00577C33" w:rsidP="00EC2C93">
      <w:pPr>
        <w:keepNext/>
      </w:pPr>
      <w:permStart w:id="139" w:edGrp="everyone"/>
      <w:r>
        <w:t>TYPE YOUR TEXT HERE</w:t>
      </w:r>
    </w:p>
    <w:permEnd w:id="139"/>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40" w:edGrp="everyone"/>
      <w:r>
        <w:t>TYPE YOUR TEXT HERE</w:t>
      </w:r>
    </w:p>
    <w:permEnd w:id="140"/>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141" w:edGrp="everyone"/>
      <w:r>
        <w:t>TYPE YOUR TEXT HERE</w:t>
      </w:r>
    </w:p>
    <w:permEnd w:id="141"/>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142" w:edGrp="everyone"/>
      <w:r>
        <w:t>TYPE YOUR TEXT HERE</w:t>
      </w:r>
    </w:p>
    <w:permEnd w:id="142"/>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lastRenderedPageBreak/>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143" w:edGrp="everyone"/>
      <w:r>
        <w:t>TYPE YOUR TEXT HERE</w:t>
      </w:r>
    </w:p>
    <w:permEnd w:id="143"/>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144" w:edGrp="everyone"/>
      <w:r>
        <w:t>TYPE YOUR TEXT HERE</w:t>
      </w:r>
    </w:p>
    <w:permEnd w:id="144"/>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145" w:edGrp="everyone"/>
      <w:r>
        <w:t>TYPE YOUR TEXT HERE</w:t>
      </w:r>
    </w:p>
    <w:permEnd w:id="145"/>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146" w:edGrp="everyone"/>
      <w:r>
        <w:t>TYPE YOUR TEXT HERE</w:t>
      </w:r>
    </w:p>
    <w:permEnd w:id="146"/>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147" w:edGrp="everyone"/>
      <w:r>
        <w:t>TYPE YOUR TEXT HERE</w:t>
      </w:r>
    </w:p>
    <w:permEnd w:id="147"/>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148" w:edGrp="everyone"/>
      <w:r>
        <w:t>TYPE YOUR TEXT HERE</w:t>
      </w:r>
    </w:p>
    <w:permEnd w:id="148"/>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149" w:edGrp="everyone"/>
      <w:r>
        <w:t>TYPE YOUR TEXT HERE</w:t>
      </w:r>
    </w:p>
    <w:permEnd w:id="149"/>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150" w:edGrp="everyone"/>
      <w:r>
        <w:t>TYPE YOUR TEXT HERE</w:t>
      </w:r>
    </w:p>
    <w:permEnd w:id="150"/>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51" w:edGrp="everyone"/>
      <w:r>
        <w:t>TYPE YOUR TEXT HERE</w:t>
      </w:r>
    </w:p>
    <w:permEnd w:id="151"/>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152" w:edGrp="everyone"/>
      <w:r>
        <w:t>TYPE YOUR TEXT HERE</w:t>
      </w:r>
    </w:p>
    <w:permEnd w:id="152"/>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153" w:edGrp="everyone"/>
      <w:r>
        <w:t>TYPE YOUR TEXT HERE</w:t>
      </w:r>
    </w:p>
    <w:permEnd w:id="153"/>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154" w:edGrp="everyone"/>
      <w:r>
        <w:t>TYPE YOUR TEXT HERE</w:t>
      </w:r>
    </w:p>
    <w:permEnd w:id="154"/>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155" w:edGrp="everyone"/>
      <w:r>
        <w:t>TYPE YOUR TEXT HERE</w:t>
      </w:r>
    </w:p>
    <w:permEnd w:id="155"/>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56" w:edGrp="everyone"/>
      <w:r>
        <w:t>TYPE YOUR TEXT HERE</w:t>
      </w:r>
    </w:p>
    <w:permEnd w:id="156"/>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157" w:edGrp="everyone"/>
      <w:r>
        <w:t>TYPE YOUR TEXT HERE</w:t>
      </w:r>
    </w:p>
    <w:permEnd w:id="157"/>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58" w:edGrp="everyone"/>
      <w:r>
        <w:t>TYPE YOUR TEXT HERE</w:t>
      </w:r>
    </w:p>
    <w:permEnd w:id="158"/>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59" w:edGrp="everyone"/>
      <w:r>
        <w:t>TYPE YOUR TEXT HERE</w:t>
      </w:r>
    </w:p>
    <w:permEnd w:id="159"/>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60" w:edGrp="everyone"/>
      <w:r>
        <w:t>TYPE YOUR TEXT HERE</w:t>
      </w:r>
    </w:p>
    <w:permEnd w:id="160"/>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161" w:edGrp="everyone"/>
      <w:r>
        <w:t>TYPE YOUR TEXT HERE</w:t>
      </w:r>
    </w:p>
    <w:permEnd w:id="161"/>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162" w:edGrp="everyone"/>
      <w:r>
        <w:t>TYPE YOUR TEXT HERE</w:t>
      </w:r>
    </w:p>
    <w:permEnd w:id="162"/>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63" w:edGrp="everyone"/>
      <w:r>
        <w:t>TYPE YOUR TEXT HERE</w:t>
      </w:r>
    </w:p>
    <w:permEnd w:id="163"/>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164" w:edGrp="everyone"/>
      <w:r>
        <w:t>TYPE YOUR TEXT HERE</w:t>
      </w:r>
    </w:p>
    <w:permEnd w:id="164"/>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65" w:edGrp="everyone"/>
      <w:r>
        <w:t>TYPE YOUR TEXT HERE</w:t>
      </w:r>
    </w:p>
    <w:permEnd w:id="165"/>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66" w:edGrp="everyone"/>
      <w:r>
        <w:t>TYPE YOUR TEXT HERE</w:t>
      </w:r>
    </w:p>
    <w:permEnd w:id="166"/>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167" w:edGrp="everyone"/>
      <w:r>
        <w:t>TYPE YOUR TEXT HERE</w:t>
      </w:r>
    </w:p>
    <w:permEnd w:id="167"/>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168" w:edGrp="everyone"/>
      <w:r>
        <w:t>TYPE YOUR TEXT HERE</w:t>
      </w:r>
    </w:p>
    <w:permEnd w:id="168"/>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69" w:edGrp="everyone"/>
      <w:r>
        <w:t>TYPE YOUR TEXT HERE</w:t>
      </w:r>
    </w:p>
    <w:permEnd w:id="169"/>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170" w:edGrp="everyone"/>
      <w:r>
        <w:t>TYPE YOUR TEXT HERE</w:t>
      </w:r>
    </w:p>
    <w:permEnd w:id="170"/>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171" w:edGrp="everyone"/>
      <w:r>
        <w:t>TYPE YOUR TEXT HERE</w:t>
      </w:r>
    </w:p>
    <w:permEnd w:id="171"/>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172" w:edGrp="everyone"/>
      <w:r>
        <w:t>TYPE YOUR TEXT HERE</w:t>
      </w:r>
    </w:p>
    <w:permEnd w:id="172"/>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173" w:edGrp="everyone"/>
      <w:r>
        <w:t>TYPE YOUR TEXT HERE</w:t>
      </w:r>
    </w:p>
    <w:permEnd w:id="173"/>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74" w:edGrp="everyone"/>
      <w:r>
        <w:t>TYPE YOUR TEXT HERE</w:t>
      </w:r>
    </w:p>
    <w:permEnd w:id="174"/>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175" w:edGrp="everyone"/>
      <w:r>
        <w:t>TYPE YOUR TEXT HERE</w:t>
      </w:r>
    </w:p>
    <w:permEnd w:id="175"/>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176" w:edGrp="everyone"/>
      <w:r>
        <w:t>TYPE YOUR TEXT HERE</w:t>
      </w:r>
    </w:p>
    <w:permEnd w:id="176"/>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177" w:edGrp="everyone"/>
      <w:r>
        <w:t>TYPE YOUR TEXT HERE</w:t>
      </w:r>
    </w:p>
    <w:permEnd w:id="177"/>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178" w:edGrp="everyone"/>
      <w:r>
        <w:t>TYPE YOUR TEXT HERE</w:t>
      </w:r>
    </w:p>
    <w:permEnd w:id="178"/>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179" w:edGrp="everyone"/>
      <w:r>
        <w:t>TYPE YOUR TEXT HERE</w:t>
      </w:r>
    </w:p>
    <w:permEnd w:id="179"/>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180" w:edGrp="everyone"/>
      <w:r>
        <w:t>TYPE YOUR TEXT HERE</w:t>
      </w:r>
    </w:p>
    <w:permEnd w:id="180"/>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181" w:edGrp="everyone"/>
      <w:r>
        <w:t>TYPE YOUR TEXT HERE</w:t>
      </w:r>
    </w:p>
    <w:permEnd w:id="181"/>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182" w:edGrp="everyone"/>
      <w:r>
        <w:t>TYPE YOUR TEXT HERE</w:t>
      </w:r>
    </w:p>
    <w:permEnd w:id="182"/>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lastRenderedPageBreak/>
        <w:t>&lt;ESMA_QUESTION_CP_MIFID_174&gt;</w:t>
      </w:r>
    </w:p>
    <w:p w:rsidR="00577C33" w:rsidRDefault="00577C33" w:rsidP="00EC2C93">
      <w:pPr>
        <w:keepNext/>
      </w:pPr>
      <w:permStart w:id="183" w:edGrp="everyone"/>
      <w:r>
        <w:t>TYPE YOUR TEXT HERE</w:t>
      </w:r>
    </w:p>
    <w:permEnd w:id="183"/>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184" w:edGrp="everyone"/>
      <w:r>
        <w:t>TYPE YOUR TEXT HERE</w:t>
      </w:r>
    </w:p>
    <w:permEnd w:id="184"/>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185" w:edGrp="everyone"/>
      <w:r>
        <w:t>TYPE YOUR TEXT HERE</w:t>
      </w:r>
    </w:p>
    <w:permEnd w:id="185"/>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186" w:edGrp="everyone"/>
      <w:r>
        <w:t>TYPE YOUR TEXT HERE</w:t>
      </w:r>
    </w:p>
    <w:permEnd w:id="186"/>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187" w:edGrp="everyone"/>
      <w:r>
        <w:t>TYPE YOUR TEXT HERE</w:t>
      </w:r>
    </w:p>
    <w:permEnd w:id="187"/>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188" w:edGrp="everyone"/>
      <w:r>
        <w:t>TYPE YOUR TEXT HERE</w:t>
      </w:r>
    </w:p>
    <w:permEnd w:id="188"/>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189" w:edGrp="everyone"/>
      <w:r>
        <w:t>TYPE YOUR TEXT HERE</w:t>
      </w:r>
    </w:p>
    <w:permEnd w:id="189"/>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lastRenderedPageBreak/>
        <w:t>&lt;ESMA_QUESTION_CP_MIFID_181&gt;</w:t>
      </w:r>
    </w:p>
    <w:p w:rsidR="00577C33" w:rsidRDefault="00577C33" w:rsidP="00EC2C93">
      <w:pPr>
        <w:keepNext/>
      </w:pPr>
      <w:permStart w:id="190" w:edGrp="everyone"/>
      <w:r>
        <w:t>TYPE YOUR TEXT HERE</w:t>
      </w:r>
    </w:p>
    <w:permEnd w:id="190"/>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191" w:edGrp="everyone"/>
      <w:r>
        <w:t>TYPE YOUR TEXT HERE</w:t>
      </w:r>
    </w:p>
    <w:permEnd w:id="191"/>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192" w:edGrp="everyone"/>
      <w:r>
        <w:t>TYPE YOUR TEXT HERE</w:t>
      </w:r>
    </w:p>
    <w:permEnd w:id="192"/>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193" w:edGrp="everyone"/>
      <w:r>
        <w:t>TYPE YOUR TEXT HERE</w:t>
      </w:r>
    </w:p>
    <w:permEnd w:id="193"/>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194" w:edGrp="everyone"/>
      <w:r>
        <w:t>TYPE YOUR TEXT HERE</w:t>
      </w:r>
    </w:p>
    <w:permEnd w:id="194"/>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195" w:edGrp="everyone"/>
      <w:r>
        <w:t>TYPE YOUR TEXT HERE</w:t>
      </w:r>
    </w:p>
    <w:permEnd w:id="195"/>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196" w:edGrp="everyone"/>
      <w:r>
        <w:t>TYPE YOUR TEXT HERE</w:t>
      </w:r>
    </w:p>
    <w:permEnd w:id="196"/>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lastRenderedPageBreak/>
        <w:t>&lt;ESMA_QUESTION_CP_MIFID_188&gt;</w:t>
      </w:r>
    </w:p>
    <w:p w:rsidR="00577C33" w:rsidRDefault="00577C33" w:rsidP="00EC2C93">
      <w:pPr>
        <w:keepNext/>
      </w:pPr>
      <w:permStart w:id="197" w:edGrp="everyone"/>
      <w:r>
        <w:t>TYPE YOUR TEXT HERE</w:t>
      </w:r>
    </w:p>
    <w:permEnd w:id="197"/>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198" w:edGrp="everyone"/>
      <w:r>
        <w:t>TYPE YOUR TEXT HERE</w:t>
      </w:r>
    </w:p>
    <w:permEnd w:id="198"/>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199" w:edGrp="everyone"/>
      <w:r>
        <w:t>TYPE YOUR TEXT HERE</w:t>
      </w:r>
    </w:p>
    <w:permEnd w:id="199"/>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200" w:edGrp="everyone"/>
      <w:r>
        <w:t>TYPE YOUR TEXT HERE</w:t>
      </w:r>
    </w:p>
    <w:permEnd w:id="200"/>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201" w:edGrp="everyone"/>
      <w:r>
        <w:t>TYPE YOUR TEXT HERE</w:t>
      </w:r>
    </w:p>
    <w:permEnd w:id="201"/>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202" w:edGrp="everyone"/>
      <w:r>
        <w:t>TYPE YOUR TEXT HERE</w:t>
      </w:r>
    </w:p>
    <w:permEnd w:id="202"/>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203" w:edGrp="everyone"/>
      <w:r>
        <w:t>TYPE YOUR TEXT HERE</w:t>
      </w:r>
    </w:p>
    <w:permEnd w:id="203"/>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lastRenderedPageBreak/>
        <w:t>&lt;ESMA_QUESTION_CP_MIFID_195&gt;</w:t>
      </w:r>
    </w:p>
    <w:p w:rsidR="00577C33" w:rsidRDefault="00577C33" w:rsidP="00EC2C93">
      <w:pPr>
        <w:keepNext/>
      </w:pPr>
      <w:permStart w:id="204" w:edGrp="everyone"/>
      <w:r>
        <w:t>TYPE YOUR TEXT HERE</w:t>
      </w:r>
    </w:p>
    <w:permEnd w:id="204"/>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205" w:edGrp="everyone"/>
      <w:r>
        <w:t>TYPE YOUR TEXT HERE</w:t>
      </w:r>
    </w:p>
    <w:permEnd w:id="205"/>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206" w:edGrp="everyone"/>
      <w:r>
        <w:t>TYPE YOUR TEXT HERE</w:t>
      </w:r>
    </w:p>
    <w:permEnd w:id="206"/>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207" w:edGrp="everyone"/>
      <w:r>
        <w:t>TYPE YOUR TEXT HERE</w:t>
      </w:r>
    </w:p>
    <w:permEnd w:id="207"/>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208" w:edGrp="everyone"/>
      <w:r>
        <w:t>TYPE YOUR TEXT HERE</w:t>
      </w:r>
    </w:p>
    <w:permEnd w:id="208"/>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209" w:edGrp="everyone"/>
      <w:r>
        <w:t>TYPE YOUR TEXT HERE</w:t>
      </w:r>
    </w:p>
    <w:permEnd w:id="209"/>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210" w:edGrp="everyone"/>
      <w:r>
        <w:t>TYPE YOUR TEXT HERE</w:t>
      </w:r>
    </w:p>
    <w:permEnd w:id="210"/>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211" w:edGrp="everyone"/>
      <w:r>
        <w:t>TYPE YOUR TEXT HERE</w:t>
      </w:r>
    </w:p>
    <w:permEnd w:id="211"/>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lastRenderedPageBreak/>
        <w:t>&lt;ESMA_QUESTION_CP_MIFID_203&gt;</w:t>
      </w:r>
    </w:p>
    <w:p w:rsidR="00577C33" w:rsidRDefault="00577C33" w:rsidP="00EC2C93">
      <w:pPr>
        <w:keepNext/>
      </w:pPr>
      <w:permStart w:id="212" w:edGrp="everyone"/>
      <w:r>
        <w:t>TYPE YOUR TEXT HERE</w:t>
      </w:r>
    </w:p>
    <w:permEnd w:id="212"/>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213" w:edGrp="everyone"/>
      <w:r>
        <w:t>TYPE YOUR TEXT HERE</w:t>
      </w:r>
    </w:p>
    <w:permEnd w:id="213"/>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214" w:edGrp="everyone"/>
      <w:r>
        <w:t>TYPE YOUR TEXT HERE</w:t>
      </w:r>
    </w:p>
    <w:permEnd w:id="214"/>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215" w:edGrp="everyone"/>
      <w:r>
        <w:t>TYPE YOUR TEXT HERE</w:t>
      </w:r>
    </w:p>
    <w:permEnd w:id="215"/>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216" w:edGrp="everyone"/>
      <w:r>
        <w:t>TYPE YOUR TEXT HERE</w:t>
      </w:r>
    </w:p>
    <w:permEnd w:id="216"/>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217" w:edGrp="everyone"/>
      <w:r>
        <w:t>TYPE YOUR TEXT HERE</w:t>
      </w:r>
    </w:p>
    <w:permEnd w:id="217"/>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218" w:edGrp="everyone"/>
      <w:r>
        <w:t>TYPE YOUR TEXT HERE</w:t>
      </w:r>
    </w:p>
    <w:permEnd w:id="218"/>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219" w:edGrp="everyone"/>
      <w:r>
        <w:t>TYPE YOUR TEXT HERE</w:t>
      </w:r>
    </w:p>
    <w:permEnd w:id="219"/>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lastRenderedPageBreak/>
        <w:t>&lt;ESMA_QUESTION_CP_MIFID_211&gt;</w:t>
      </w:r>
    </w:p>
    <w:p w:rsidR="00577C33" w:rsidRDefault="00577C33" w:rsidP="00EC2C93">
      <w:pPr>
        <w:keepNext/>
      </w:pPr>
      <w:permStart w:id="220" w:edGrp="everyone"/>
      <w:r>
        <w:t>TYPE YOUR TEXT HERE</w:t>
      </w:r>
    </w:p>
    <w:permEnd w:id="220"/>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221" w:edGrp="everyone"/>
      <w:r>
        <w:t>TYPE YOUR TEXT HERE</w:t>
      </w:r>
    </w:p>
    <w:permEnd w:id="221"/>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222" w:edGrp="everyone"/>
      <w:r>
        <w:t>TYPE YOUR TEXT HERE</w:t>
      </w:r>
    </w:p>
    <w:permEnd w:id="222"/>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223" w:edGrp="everyone"/>
      <w:r>
        <w:t>TYPE YOUR TEXT HERE</w:t>
      </w:r>
    </w:p>
    <w:permEnd w:id="223"/>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224" w:edGrp="everyone"/>
      <w:r>
        <w:t>TYPE YOUR TEXT HERE</w:t>
      </w:r>
    </w:p>
    <w:permEnd w:id="224"/>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225" w:edGrp="everyone"/>
      <w:r>
        <w:t>TYPE YOUR TEXT HERE</w:t>
      </w:r>
    </w:p>
    <w:permEnd w:id="225"/>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226" w:edGrp="everyone"/>
      <w:r>
        <w:t>TYPE YOUR TEXT HERE</w:t>
      </w:r>
    </w:p>
    <w:permEnd w:id="226"/>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227" w:edGrp="everyone"/>
      <w:r>
        <w:t>TYPE YOUR TEXT HERE</w:t>
      </w:r>
    </w:p>
    <w:permEnd w:id="227"/>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228" w:edGrp="everyone"/>
      <w:r>
        <w:t>TYPE YOUR TEXT HERE</w:t>
      </w:r>
    </w:p>
    <w:permEnd w:id="228"/>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77C33" w:rsidRDefault="00577C33" w:rsidP="00EC2C93">
      <w:pPr>
        <w:keepNext/>
      </w:pPr>
      <w:permStart w:id="229" w:edGrp="everyone"/>
      <w:r>
        <w:t>TYPE YOUR TEXT HERE</w:t>
      </w:r>
    </w:p>
    <w:permEnd w:id="229"/>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230" w:edGrp="everyone"/>
      <w:r>
        <w:t>TYPE YOUR TEXT HERE</w:t>
      </w:r>
    </w:p>
    <w:permEnd w:id="230"/>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231" w:edGrp="everyone"/>
      <w:r>
        <w:t>TYPE YOUR TEXT HERE</w:t>
      </w:r>
    </w:p>
    <w:permEnd w:id="231"/>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232" w:edGrp="everyone"/>
      <w:r>
        <w:t>TYPE YOUR TEXT HERE</w:t>
      </w:r>
    </w:p>
    <w:permEnd w:id="232"/>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233" w:edGrp="everyone"/>
      <w:r>
        <w:t>TYPE YOUR TEXT HERE</w:t>
      </w:r>
    </w:p>
    <w:permEnd w:id="233"/>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234" w:edGrp="everyone"/>
      <w:r>
        <w:t>TYPE YOUR TEXT HERE</w:t>
      </w:r>
    </w:p>
    <w:permEnd w:id="234"/>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235" w:edGrp="everyone"/>
      <w:r>
        <w:t>TYPE YOUR TEXT HERE</w:t>
      </w:r>
    </w:p>
    <w:permEnd w:id="235"/>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236" w:edGrp="everyone"/>
      <w:r>
        <w:t>TYPE YOUR TEXT HERE</w:t>
      </w:r>
    </w:p>
    <w:permEnd w:id="236"/>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237" w:edGrp="everyone"/>
      <w:r>
        <w:t>TYPE YOUR TEXT HERE</w:t>
      </w:r>
    </w:p>
    <w:permEnd w:id="237"/>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238" w:edGrp="everyone"/>
      <w:r>
        <w:t>TYPE YOUR TEXT HERE</w:t>
      </w:r>
    </w:p>
    <w:permEnd w:id="238"/>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239" w:edGrp="everyone"/>
      <w:r>
        <w:t>TYPE YOUR TEXT HERE</w:t>
      </w:r>
    </w:p>
    <w:permEnd w:id="239"/>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240" w:edGrp="everyone"/>
      <w:r>
        <w:t>TYPE YOUR TEXT HERE</w:t>
      </w:r>
    </w:p>
    <w:permEnd w:id="240"/>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241" w:edGrp="everyone"/>
      <w:r>
        <w:t>TYPE YOUR TEXT HERE</w:t>
      </w:r>
    </w:p>
    <w:permEnd w:id="241"/>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242" w:edGrp="everyone"/>
      <w:r>
        <w:t>TYPE YOUR TEXT HERE</w:t>
      </w:r>
    </w:p>
    <w:permEnd w:id="242"/>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243" w:edGrp="everyone"/>
      <w:r>
        <w:t>TYPE YOUR TEXT HERE</w:t>
      </w:r>
    </w:p>
    <w:permEnd w:id="243"/>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577C33" w:rsidRDefault="00577C33" w:rsidP="00EC2C93">
      <w:pPr>
        <w:keepNext/>
      </w:pPr>
      <w:permStart w:id="244" w:edGrp="everyone"/>
      <w:r>
        <w:t>TYPE YOUR TEXT HERE</w:t>
      </w:r>
    </w:p>
    <w:permEnd w:id="244"/>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245" w:edGrp="everyone"/>
      <w:r>
        <w:t>TYPE YOUR TEXT HERE</w:t>
      </w:r>
    </w:p>
    <w:permEnd w:id="245"/>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246" w:edGrp="everyone"/>
      <w:r>
        <w:t>TYPE YOUR TEXT HERE</w:t>
      </w:r>
    </w:p>
    <w:permEnd w:id="246"/>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247" w:edGrp="everyone"/>
      <w:r>
        <w:t>TYPE YOUR TEXT HERE</w:t>
      </w:r>
    </w:p>
    <w:permEnd w:id="247"/>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248" w:edGrp="everyone"/>
      <w:r>
        <w:t>TYPE YOUR TEXT HERE</w:t>
      </w:r>
    </w:p>
    <w:permEnd w:id="248"/>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249" w:edGrp="everyone"/>
      <w:r>
        <w:t>TYPE YOUR TEXT HERE</w:t>
      </w:r>
    </w:p>
    <w:permEnd w:id="249"/>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250" w:edGrp="everyone"/>
      <w:r>
        <w:t>TYPE YOUR TEXT HERE</w:t>
      </w:r>
    </w:p>
    <w:permEnd w:id="250"/>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251" w:edGrp="everyone"/>
      <w:r>
        <w:t>TYPE YOUR TEXT HERE</w:t>
      </w:r>
    </w:p>
    <w:permEnd w:id="251"/>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252" w:edGrp="everyone"/>
      <w:r>
        <w:t>TYPE YOUR TEXT HERE</w:t>
      </w:r>
    </w:p>
    <w:permEnd w:id="252"/>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253" w:edGrp="everyone"/>
      <w:r>
        <w:t>TYPE YOUR TEXT HERE</w:t>
      </w:r>
    </w:p>
    <w:permEnd w:id="253"/>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254" w:edGrp="everyone"/>
      <w:r>
        <w:t>TYPE YOUR TEXT HERE</w:t>
      </w:r>
    </w:p>
    <w:permEnd w:id="254"/>
    <w:p w:rsidR="00577C33" w:rsidRDefault="00577C33" w:rsidP="00EC2C93">
      <w:pPr>
        <w:keepNext/>
      </w:pPr>
      <w:r>
        <w:t>&lt;ESMA_QUESTION_CP_MIFID_245&gt;</w:t>
      </w:r>
    </w:p>
    <w:p w:rsidR="00577C33" w:rsidRDefault="00577C33" w:rsidP="00EC2C93">
      <w:pPr>
        <w:keepNext/>
      </w:pPr>
    </w:p>
    <w:sectPr w:rsidR="00577C33" w:rsidSect="00192A12">
      <w:headerReference w:type="default" r:id="rId13"/>
      <w:footerReference w:type="default" r:id="rId14"/>
      <w:pgSz w:w="11906" w:h="16838"/>
      <w:pgMar w:top="1702"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3AD" w:rsidRDefault="002323AD" w:rsidP="007E7997">
      <w:pPr>
        <w:spacing w:line="240" w:lineRule="auto"/>
      </w:pPr>
      <w:r>
        <w:separator/>
      </w:r>
    </w:p>
  </w:endnote>
  <w:endnote w:type="continuationSeparator" w:id="0">
    <w:p w:rsidR="002323AD" w:rsidRDefault="002323AD" w:rsidP="007E79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1C" w:rsidRDefault="001F4C1C">
    <w:pPr>
      <w:pStyle w:val="Fuzeile"/>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814451"/>
      <w:docPartObj>
        <w:docPartGallery w:val="Page Numbers (Bottom of Page)"/>
        <w:docPartUnique/>
      </w:docPartObj>
    </w:sdtPr>
    <w:sdtEndPr>
      <w:rPr>
        <w:noProof/>
      </w:rPr>
    </w:sdtEndPr>
    <w:sdtContent>
      <w:p w:rsidR="001F4C1C" w:rsidRDefault="001F4C1C" w:rsidP="00375BA2">
        <w:pPr>
          <w:pStyle w:val="Fuzeile"/>
          <w:jc w:val="right"/>
        </w:pPr>
        <w:fldSimple w:instr=" PAGE   \* MERGEFORMAT ">
          <w:r w:rsidR="001A3EB5">
            <w:rPr>
              <w:noProof/>
            </w:rPr>
            <w:t>24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3AD" w:rsidRDefault="002323AD" w:rsidP="007E7997">
      <w:pPr>
        <w:spacing w:line="240" w:lineRule="auto"/>
      </w:pPr>
      <w:r>
        <w:separator/>
      </w:r>
    </w:p>
  </w:footnote>
  <w:footnote w:type="continuationSeparator" w:id="0">
    <w:p w:rsidR="002323AD" w:rsidRDefault="002323AD" w:rsidP="007E7997">
      <w:pPr>
        <w:spacing w:line="240" w:lineRule="auto"/>
      </w:pPr>
      <w:r>
        <w:continuationSeparator/>
      </w:r>
    </w:p>
  </w:footnote>
  <w:footnote w:id="1">
    <w:p w:rsidR="001F4C1C" w:rsidRPr="00AA7A30" w:rsidRDefault="001F4C1C" w:rsidP="000632C2">
      <w:pPr>
        <w:pStyle w:val="Funotentext"/>
        <w:rPr>
          <w:rFonts w:ascii="Arial" w:hAnsi="Arial" w:cs="Arial"/>
        </w:rPr>
      </w:pPr>
      <w:r w:rsidRPr="00AA7A30">
        <w:rPr>
          <w:rStyle w:val="Funotenzeichen"/>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 w:id="2">
    <w:p w:rsidR="001F4C1C" w:rsidRPr="003B5065" w:rsidRDefault="001F4C1C" w:rsidP="001F4C1C">
      <w:pPr>
        <w:pStyle w:val="Funotentext"/>
        <w:rPr>
          <w:lang w:val="de-DE"/>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1C" w:rsidRDefault="001F4C1C">
    <w:pPr>
      <w:pStyle w:val="Kopfzeile"/>
    </w:pPr>
    <w:r>
      <w:rPr>
        <w:noProof/>
        <w:lang w:val="de-DE" w:eastAsia="de-DE"/>
      </w:rPr>
      <w:drawing>
        <wp:anchor distT="0" distB="0" distL="114300" distR="114300" simplePos="0" relativeHeight="251661312" behindDoc="0" locked="0" layoutInCell="1" allowOverlap="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904875"/>
                  </a:xfrm>
                  <a:prstGeom prst="rect">
                    <a:avLst/>
                  </a:prstGeom>
                  <a:noFill/>
                </pic:spPr>
              </pic:pic>
            </a:graphicData>
          </a:graphic>
        </wp:anchor>
      </w:drawing>
    </w:r>
    <w:r>
      <w:rPr>
        <w:noProof/>
        <w:lang w:val="de-DE" w:eastAsia="de-DE"/>
      </w:rPr>
      <w:drawing>
        <wp:anchor distT="0" distB="0" distL="114300" distR="114300" simplePos="0" relativeHeight="251659264" behindDoc="1" locked="0" layoutInCell="1" allowOverlap="1">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0310" cy="680085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1C" w:rsidRDefault="001F4C1C" w:rsidP="00B50534">
    <w:pPr>
      <w:pStyle w:val="Kopfzeile"/>
      <w:jc w:val="right"/>
      <w:rPr>
        <w:b/>
        <w:color w:val="FF0000"/>
      </w:rPr>
    </w:pPr>
  </w:p>
  <w:p w:rsidR="001F4C1C" w:rsidRDefault="001F4C1C" w:rsidP="00B50534">
    <w:pPr>
      <w:pStyle w:val="Kopfzeile"/>
      <w:jc w:val="right"/>
      <w:rPr>
        <w:b/>
        <w:color w:val="FF0000"/>
      </w:rPr>
    </w:pPr>
    <w:r w:rsidRPr="00391F64">
      <w:rPr>
        <w:rFonts w:ascii="Arial" w:hAnsi="Arial" w:cs="Arial"/>
        <w:noProof/>
        <w:lang w:eastAsia="en-GB"/>
      </w:rPr>
      <w:pict>
        <v:line id="Line 16" o:spid="_x0000_s4097" style="position:absolute;left:0;text-align:left;z-index:251672576;visibility:visible;mso-position-horizontal-relative:page;mso-position-vertical-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w:r>
  </w:p>
  <w:p w:rsidR="001F4C1C" w:rsidRPr="00B50534" w:rsidRDefault="001F4C1C" w:rsidP="00B50534">
    <w:pPr>
      <w:pStyle w:val="Kopfzeile"/>
      <w:jc w:val="right"/>
      <w:rPr>
        <w:b/>
        <w:color w:val="FF0000"/>
      </w:rPr>
    </w:pPr>
    <w:r w:rsidRPr="0038331A">
      <w:rPr>
        <w:b/>
        <w:noProof/>
        <w:color w:val="FF0000"/>
        <w:sz w:val="20"/>
        <w:lang w:val="de-DE" w:eastAsia="de-DE"/>
      </w:rPr>
      <w:drawing>
        <wp:anchor distT="0" distB="0" distL="114300" distR="114300" simplePos="0" relativeHeight="251668480" behindDoc="0" locked="0" layoutInCell="1" allowOverlap="1">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56197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43C22B11"/>
    <w:multiLevelType w:val="hybridMultilevel"/>
    <w:tmpl w:val="E9C4A166"/>
    <w:lvl w:ilvl="0" w:tplc="3BA0DD3E">
      <w:start w:val="1"/>
      <w:numFmt w:val="bullet"/>
      <w:lvlText w:val=""/>
      <w:lvlJc w:val="left"/>
      <w:pPr>
        <w:ind w:left="360" w:hanging="360"/>
      </w:pPr>
      <w:rPr>
        <w:rFonts w:ascii="Symbol" w:hAnsi="Symbol" w:hint="default"/>
        <w:u w:color="80808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62FA5A6D"/>
    <w:multiLevelType w:val="hybridMultilevel"/>
    <w:tmpl w:val="8C784834"/>
    <w:lvl w:ilvl="0" w:tplc="79F04D7A">
      <w:start w:val="1"/>
      <w:numFmt w:val="decimal"/>
      <w:pStyle w:val="Listenabsatz"/>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nsid w:val="6BAD1101"/>
    <w:multiLevelType w:val="multilevel"/>
    <w:tmpl w:val="073A8BF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19">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16"/>
  </w:num>
  <w:num w:numId="4">
    <w:abstractNumId w:val="6"/>
  </w:num>
  <w:num w:numId="5">
    <w:abstractNumId w:val="14"/>
  </w:num>
  <w:num w:numId="6">
    <w:abstractNumId w:val="10"/>
  </w:num>
  <w:num w:numId="7">
    <w:abstractNumId w:val="0"/>
  </w:num>
  <w:num w:numId="8">
    <w:abstractNumId w:val="7"/>
  </w:num>
  <w:num w:numId="9">
    <w:abstractNumId w:val="4"/>
  </w:num>
  <w:num w:numId="10">
    <w:abstractNumId w:val="2"/>
  </w:num>
  <w:num w:numId="11">
    <w:abstractNumId w:val="15"/>
  </w:num>
  <w:num w:numId="12">
    <w:abstractNumId w:val="8"/>
  </w:num>
  <w:num w:numId="13">
    <w:abstractNumId w:val="17"/>
  </w:num>
  <w:num w:numId="14">
    <w:abstractNumId w:val="11"/>
  </w:num>
  <w:num w:numId="15">
    <w:abstractNumId w:val="13"/>
  </w:num>
  <w:num w:numId="16">
    <w:abstractNumId w:val="1"/>
  </w:num>
  <w:num w:numId="17">
    <w:abstractNumId w:val="20"/>
  </w:num>
  <w:num w:numId="18">
    <w:abstractNumId w:val="3"/>
  </w:num>
  <w:num w:numId="19">
    <w:abstractNumId w:val="18"/>
  </w:num>
  <w:num w:numId="2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num>
  <w:num w:numId="23">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8194"/>
    <o:shapelayout v:ext="edit">
      <o:idmap v:ext="edit" data="4"/>
    </o:shapelayout>
  </w:hdrShapeDefaults>
  <w:footnotePr>
    <w:footnote w:id="-1"/>
    <w:footnote w:id="0"/>
  </w:footnotePr>
  <w:endnotePr>
    <w:endnote w:id="-1"/>
    <w:endnote w:id="0"/>
  </w:endnotePr>
  <w:compat>
    <w:useFELayout/>
  </w:compat>
  <w:rsids>
    <w:rsidRoot w:val="00C212A5"/>
    <w:rsid w:val="00012D68"/>
    <w:rsid w:val="00020300"/>
    <w:rsid w:val="000372BF"/>
    <w:rsid w:val="00044C5A"/>
    <w:rsid w:val="0005509E"/>
    <w:rsid w:val="000632C2"/>
    <w:rsid w:val="0006528D"/>
    <w:rsid w:val="000932BC"/>
    <w:rsid w:val="000A3D10"/>
    <w:rsid w:val="000B5D3D"/>
    <w:rsid w:val="000C0CE0"/>
    <w:rsid w:val="000D1038"/>
    <w:rsid w:val="00130EF9"/>
    <w:rsid w:val="001319C7"/>
    <w:rsid w:val="00136584"/>
    <w:rsid w:val="00144AAD"/>
    <w:rsid w:val="0017613C"/>
    <w:rsid w:val="00192A12"/>
    <w:rsid w:val="001A3EB5"/>
    <w:rsid w:val="001B2151"/>
    <w:rsid w:val="001B3CFF"/>
    <w:rsid w:val="001B4996"/>
    <w:rsid w:val="001D47A5"/>
    <w:rsid w:val="001F3D9D"/>
    <w:rsid w:val="001F4C1C"/>
    <w:rsid w:val="002323AD"/>
    <w:rsid w:val="002574D1"/>
    <w:rsid w:val="00287C8F"/>
    <w:rsid w:val="00296EA1"/>
    <w:rsid w:val="002D68A7"/>
    <w:rsid w:val="002E1C11"/>
    <w:rsid w:val="00314117"/>
    <w:rsid w:val="0031684C"/>
    <w:rsid w:val="00317EDF"/>
    <w:rsid w:val="003279E7"/>
    <w:rsid w:val="0033324D"/>
    <w:rsid w:val="003454ED"/>
    <w:rsid w:val="00366D42"/>
    <w:rsid w:val="00375BA2"/>
    <w:rsid w:val="0038331A"/>
    <w:rsid w:val="00391F64"/>
    <w:rsid w:val="003C4EB5"/>
    <w:rsid w:val="003F39B1"/>
    <w:rsid w:val="00435FE9"/>
    <w:rsid w:val="00445696"/>
    <w:rsid w:val="00455213"/>
    <w:rsid w:val="00484BC5"/>
    <w:rsid w:val="00486D05"/>
    <w:rsid w:val="00487944"/>
    <w:rsid w:val="00490639"/>
    <w:rsid w:val="00526E5D"/>
    <w:rsid w:val="00565193"/>
    <w:rsid w:val="0057799E"/>
    <w:rsid w:val="00577C33"/>
    <w:rsid w:val="0059703C"/>
    <w:rsid w:val="00597D8A"/>
    <w:rsid w:val="005B6B12"/>
    <w:rsid w:val="005D2DE7"/>
    <w:rsid w:val="005E7969"/>
    <w:rsid w:val="0063565E"/>
    <w:rsid w:val="00636E02"/>
    <w:rsid w:val="00642297"/>
    <w:rsid w:val="00644A34"/>
    <w:rsid w:val="00662882"/>
    <w:rsid w:val="00665A7C"/>
    <w:rsid w:val="00671363"/>
    <w:rsid w:val="006849C6"/>
    <w:rsid w:val="006A7A10"/>
    <w:rsid w:val="006B0DA4"/>
    <w:rsid w:val="006B1B6B"/>
    <w:rsid w:val="006D48A6"/>
    <w:rsid w:val="006F53E8"/>
    <w:rsid w:val="00706072"/>
    <w:rsid w:val="00754B57"/>
    <w:rsid w:val="00797E0C"/>
    <w:rsid w:val="007E7997"/>
    <w:rsid w:val="008005CD"/>
    <w:rsid w:val="00830D00"/>
    <w:rsid w:val="00846692"/>
    <w:rsid w:val="00867DB2"/>
    <w:rsid w:val="0089075A"/>
    <w:rsid w:val="008A372B"/>
    <w:rsid w:val="008C767A"/>
    <w:rsid w:val="008D5C28"/>
    <w:rsid w:val="009243C8"/>
    <w:rsid w:val="00940EFD"/>
    <w:rsid w:val="00957F71"/>
    <w:rsid w:val="009663D9"/>
    <w:rsid w:val="0099526D"/>
    <w:rsid w:val="009C7694"/>
    <w:rsid w:val="009D7294"/>
    <w:rsid w:val="009E5107"/>
    <w:rsid w:val="00A026A4"/>
    <w:rsid w:val="00A410CC"/>
    <w:rsid w:val="00A42B43"/>
    <w:rsid w:val="00A501F5"/>
    <w:rsid w:val="00A53AF0"/>
    <w:rsid w:val="00A800EF"/>
    <w:rsid w:val="00A91D91"/>
    <w:rsid w:val="00AA054E"/>
    <w:rsid w:val="00AB7542"/>
    <w:rsid w:val="00AC79E0"/>
    <w:rsid w:val="00AE4FC7"/>
    <w:rsid w:val="00AE6C93"/>
    <w:rsid w:val="00AF3B7F"/>
    <w:rsid w:val="00B04283"/>
    <w:rsid w:val="00B11730"/>
    <w:rsid w:val="00B15C0B"/>
    <w:rsid w:val="00B17AF3"/>
    <w:rsid w:val="00B27499"/>
    <w:rsid w:val="00B40D81"/>
    <w:rsid w:val="00B50534"/>
    <w:rsid w:val="00B52E10"/>
    <w:rsid w:val="00B655D1"/>
    <w:rsid w:val="00B91B6E"/>
    <w:rsid w:val="00B944A7"/>
    <w:rsid w:val="00BB449C"/>
    <w:rsid w:val="00BC2561"/>
    <w:rsid w:val="00BC422A"/>
    <w:rsid w:val="00BE225E"/>
    <w:rsid w:val="00BF25CD"/>
    <w:rsid w:val="00C0358F"/>
    <w:rsid w:val="00C035F1"/>
    <w:rsid w:val="00C0696A"/>
    <w:rsid w:val="00C212A5"/>
    <w:rsid w:val="00C978C6"/>
    <w:rsid w:val="00CB50EF"/>
    <w:rsid w:val="00CB791A"/>
    <w:rsid w:val="00CD47B2"/>
    <w:rsid w:val="00CE49F8"/>
    <w:rsid w:val="00D14F6A"/>
    <w:rsid w:val="00D22F2F"/>
    <w:rsid w:val="00D46275"/>
    <w:rsid w:val="00D73338"/>
    <w:rsid w:val="00D978C6"/>
    <w:rsid w:val="00DF1ED8"/>
    <w:rsid w:val="00DF3785"/>
    <w:rsid w:val="00E24D42"/>
    <w:rsid w:val="00E3456B"/>
    <w:rsid w:val="00E640E2"/>
    <w:rsid w:val="00EA2103"/>
    <w:rsid w:val="00EC2C93"/>
    <w:rsid w:val="00EC6BD8"/>
    <w:rsid w:val="00ED74D7"/>
    <w:rsid w:val="00EF667D"/>
    <w:rsid w:val="00F226E0"/>
    <w:rsid w:val="00F401BC"/>
    <w:rsid w:val="00F53CBE"/>
    <w:rsid w:val="00F5412D"/>
    <w:rsid w:val="00F67EBD"/>
    <w:rsid w:val="00F80FAB"/>
    <w:rsid w:val="00F95559"/>
    <w:rsid w:val="00FA289F"/>
    <w:rsid w:val="00FB24ED"/>
    <w:rsid w:val="00FE0BD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63D9"/>
    <w:pPr>
      <w:spacing w:after="0" w:line="276" w:lineRule="auto"/>
      <w:jc w:val="both"/>
    </w:pPr>
    <w:rPr>
      <w:sz w:val="22"/>
      <w:lang w:val="en-GB"/>
    </w:rPr>
  </w:style>
  <w:style w:type="paragraph" w:styleId="berschrift1">
    <w:name w:val="heading 1"/>
    <w:basedOn w:val="Standard"/>
    <w:next w:val="Standard"/>
    <w:link w:val="berschrift1Zchn"/>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sz w:val="22"/>
      <w:szCs w:val="22"/>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sz w:val="24"/>
      <w:szCs w:val="24"/>
    </w:rPr>
  </w:style>
  <w:style w:type="character" w:customStyle="1" w:styleId="berschrift1Zchn">
    <w:name w:val="Überschrift 1 Zchn"/>
    <w:basedOn w:val="Absatz-Standardschriftart"/>
    <w:link w:val="berschrift1"/>
    <w:uiPriority w:val="9"/>
    <w:rsid w:val="00FE0BD8"/>
    <w:rPr>
      <w:rFonts w:asciiTheme="majorHAnsi" w:eastAsiaTheme="majorEastAsia" w:hAnsiTheme="majorHAnsi" w:cstheme="majorBidi"/>
      <w:b/>
      <w:sz w:val="32"/>
      <w:szCs w:val="32"/>
      <w:lang w:val="en-GB"/>
    </w:rPr>
  </w:style>
  <w:style w:type="character" w:customStyle="1" w:styleId="berschrift2Zchn">
    <w:name w:val="Überschrift 2 Zchn"/>
    <w:basedOn w:val="Absatz-Standardschriftart"/>
    <w:link w:val="berschrift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rFonts w:asciiTheme="majorHAnsi" w:hAnsiTheme="majorHAnsi"/>
      <w:b/>
      <w:sz w:val="28"/>
    </w:rPr>
  </w:style>
  <w:style w:type="character" w:customStyle="1" w:styleId="Title1Char">
    <w:name w:val="Title 1 Char"/>
    <w:basedOn w:val="Absatz-Standardschriftart"/>
    <w:link w:val="Title1"/>
    <w:rsid w:val="003C4EB5"/>
    <w:rPr>
      <w:rFonts w:asciiTheme="majorHAnsi" w:hAnsiTheme="majorHAnsi"/>
      <w:b/>
      <w:sz w:val="28"/>
    </w:rPr>
  </w:style>
  <w:style w:type="paragraph" w:styleId="Listenabsatz">
    <w:name w:val="List Paragraph"/>
    <w:basedOn w:val="Standard"/>
    <w:autoRedefine/>
    <w:uiPriority w:val="34"/>
    <w:qFormat/>
    <w:rsid w:val="00287C8F"/>
    <w:pPr>
      <w:numPr>
        <w:numId w:val="5"/>
      </w:numPr>
    </w:p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2"/>
      <w:szCs w:val="22"/>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44546A" w:themeColor="text2"/>
      <w:sz w:val="21"/>
      <w:szCs w:val="21"/>
    </w:rPr>
  </w:style>
  <w:style w:type="paragraph" w:styleId="Titel">
    <w:name w:val="Title"/>
    <w:basedOn w:val="Standard"/>
    <w:next w:val="Standard"/>
    <w:link w:val="TitelZchn"/>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44546A" w:themeColor="text2"/>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44546A" w:themeColor="text2"/>
    </w:rPr>
  </w:style>
  <w:style w:type="paragraph" w:styleId="Beschriftung">
    <w:name w:val="caption"/>
    <w:basedOn w:val="Standard"/>
    <w:next w:val="Standard"/>
    <w:uiPriority w:val="35"/>
    <w:semiHidden/>
    <w:unhideWhenUsed/>
    <w:qFormat/>
    <w:rsid w:val="00AA054E"/>
    <w:pPr>
      <w:spacing w:line="240" w:lineRule="auto"/>
    </w:pPr>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Anfhrungszeichen">
    <w:name w:val="Quote"/>
    <w:basedOn w:val="Standard"/>
    <w:next w:val="Standard"/>
    <w:link w:val="AnfhrungszeichenZchn"/>
    <w:uiPriority w:val="29"/>
    <w:qFormat/>
    <w:rsid w:val="00AA054E"/>
    <w:pPr>
      <w:spacing w:before="160"/>
      <w:ind w:left="720" w:right="720"/>
    </w:pPr>
    <w:rPr>
      <w:i/>
      <w:iCs/>
      <w:color w:val="404040" w:themeColor="text1" w:themeTint="BF"/>
    </w:rPr>
  </w:style>
  <w:style w:type="character" w:customStyle="1" w:styleId="AnfhrungszeichenZchn">
    <w:name w:val="Anführungszeichen Zchn"/>
    <w:basedOn w:val="Absatz-Standardschriftart"/>
    <w:link w:val="Anfhrungszeichen"/>
    <w:uiPriority w:val="29"/>
    <w:rsid w:val="00AA054E"/>
    <w:rPr>
      <w:i/>
      <w:iCs/>
      <w:color w:val="404040" w:themeColor="text1" w:themeTint="BF"/>
    </w:rPr>
  </w:style>
  <w:style w:type="paragraph" w:styleId="IntensivesAnfhrungszeichen">
    <w:name w:val="Intense Quote"/>
    <w:basedOn w:val="Standard"/>
    <w:next w:val="Standard"/>
    <w:link w:val="IntensivesAnfhrungszeichen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AnfhrungszeichenZchn">
    <w:name w:val="Intensives Anführungszeichen Zchn"/>
    <w:basedOn w:val="Absatz-Standardschriftart"/>
    <w:link w:val="IntensivesAnfhrungszeichen"/>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rsid w:val="00636E02"/>
    <w:pPr>
      <w:spacing w:line="220" w:lineRule="exact"/>
    </w:pPr>
    <w:rPr>
      <w:rFonts w:ascii="Georgia" w:eastAsia="Times New Roman" w:hAnsi="Georgia" w:cs="Times New Roman"/>
      <w:sz w:val="17"/>
      <w:szCs w:val="24"/>
      <w:lang w:eastAsia="de-DE"/>
    </w:rPr>
  </w:style>
  <w:style w:type="paragraph" w:styleId="Verzeichnis1">
    <w:name w:val="toc 1"/>
    <w:basedOn w:val="Standard"/>
    <w:next w:val="Standard"/>
    <w:autoRedefine/>
    <w:uiPriority w:val="39"/>
    <w:unhideWhenUsed/>
    <w:rsid w:val="00BC422A"/>
    <w:pPr>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9E5107"/>
    <w:pPr>
      <w:contextualSpacing/>
    </w:pPr>
    <w:rPr>
      <w:b/>
    </w:rPr>
  </w:style>
  <w:style w:type="character" w:customStyle="1" w:styleId="QuestionstyleChar">
    <w:name w:val="Question style Char"/>
    <w:basedOn w:val="Absatz-Standardschriftart"/>
    <w:link w:val="Questionstyle"/>
    <w:rsid w:val="009E5107"/>
    <w:rPr>
      <w:b/>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gitternetz">
    <w:name w:val="Table Grid"/>
    <w:basedOn w:val="NormaleTabelle"/>
    <w:uiPriority w:val="5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ntext">
    <w:name w:val="endnote text"/>
    <w:basedOn w:val="Standard"/>
    <w:link w:val="EndnotentextZchn"/>
    <w:uiPriority w:val="99"/>
    <w:semiHidden/>
    <w:unhideWhenUsed/>
    <w:rsid w:val="00B50534"/>
    <w:pPr>
      <w:spacing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semiHidden/>
    <w:unhideWhenUsed/>
    <w:rsid w:val="00B50534"/>
    <w:rPr>
      <w:vertAlign w:val="superscript"/>
    </w:rPr>
  </w:style>
  <w:style w:type="paragraph" w:styleId="Funotentext">
    <w:name w:val="footnote text"/>
    <w:aliases w:val="Char3, Char3"/>
    <w:basedOn w:val="Standard"/>
    <w:link w:val="FunotentextZchn"/>
    <w:autoRedefine/>
    <w:uiPriority w:val="99"/>
    <w:unhideWhenUsed/>
    <w:qFormat/>
    <w:rsid w:val="006F53E8"/>
    <w:pPr>
      <w:spacing w:line="240" w:lineRule="auto"/>
    </w:pPr>
    <w:rPr>
      <w:sz w:val="16"/>
    </w:rPr>
  </w:style>
  <w:style w:type="character" w:customStyle="1" w:styleId="FunotentextZchn">
    <w:name w:val="Fußnotentext Zchn"/>
    <w:aliases w:val="Char3 Zchn, Char3 Zchn"/>
    <w:basedOn w:val="Absatz-Standardschriftart"/>
    <w:link w:val="Funotentext"/>
    <w:uiPriority w:val="99"/>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
    <w:name w:val="Grid Table 4 Accent 1"/>
    <w:basedOn w:val="NormaleTabelle"/>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Sprechblasentext">
    <w:name w:val="Balloon Text"/>
    <w:basedOn w:val="Standard"/>
    <w:link w:val="SprechblasentextZchn"/>
    <w:uiPriority w:val="99"/>
    <w:semiHidden/>
    <w:unhideWhenUsed/>
    <w:rsid w:val="00B1173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1730"/>
    <w:rPr>
      <w:rFonts w:ascii="Tahoma" w:hAnsi="Tahoma" w:cs="Tahoma"/>
      <w:sz w:val="16"/>
      <w:szCs w:val="16"/>
      <w:lang w:val="en-GB"/>
    </w:rPr>
  </w:style>
  <w:style w:type="character" w:styleId="Platzhaltertext">
    <w:name w:val="Placeholder Text"/>
    <w:uiPriority w:val="99"/>
    <w:semiHidden/>
    <w:rsid w:val="000632C2"/>
    <w:rPr>
      <w:color w:val="808080"/>
    </w:rPr>
  </w:style>
  <w:style w:type="character" w:customStyle="1" w:styleId="CPTitle1Char">
    <w:name w:val="CP_Title1 Char"/>
    <w:basedOn w:val="Absatz-Standardschriftart"/>
    <w:link w:val="CPTitle1"/>
    <w:locked/>
    <w:rsid w:val="009E5107"/>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9E5107"/>
    <w:pPr>
      <w:numPr>
        <w:numId w:val="19"/>
      </w:numPr>
    </w:pPr>
    <w:rPr>
      <w:rFonts w:cstheme="majorHAnsi"/>
      <w:lang w:val="nl-BE"/>
    </w:rPr>
  </w:style>
  <w:style w:type="paragraph" w:customStyle="1" w:styleId="CPTitle3">
    <w:name w:val="CP_Title3"/>
    <w:basedOn w:val="berschrift2"/>
    <w:qFormat/>
    <w:rsid w:val="009E5107"/>
    <w:pPr>
      <w:numPr>
        <w:ilvl w:val="2"/>
        <w:numId w:val="19"/>
      </w:numPr>
      <w:tabs>
        <w:tab w:val="num" w:pos="360"/>
      </w:tabs>
      <w:spacing w:before="250"/>
    </w:pPr>
    <w:rPr>
      <w:rFonts w:cstheme="majorHAnsi"/>
    </w:rPr>
  </w:style>
  <w:style w:type="paragraph" w:customStyle="1" w:styleId="CPTitle4">
    <w:name w:val="CP_Title4"/>
    <w:basedOn w:val="Standard"/>
    <w:qFormat/>
    <w:rsid w:val="009E5107"/>
    <w:pPr>
      <w:numPr>
        <w:ilvl w:val="3"/>
        <w:numId w:val="19"/>
      </w:numPr>
      <w:spacing w:before="250"/>
    </w:pPr>
    <w:rPr>
      <w:rFonts w:asciiTheme="majorHAnsi" w:hAnsiTheme="majorHAnsi" w:cstheme="majorHAnsi"/>
      <w:b/>
    </w:rPr>
  </w:style>
  <w:style w:type="paragraph" w:customStyle="1" w:styleId="CPTitle5">
    <w:name w:val="CP_Title5"/>
    <w:basedOn w:val="Standard"/>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Standard"/>
    <w:qFormat/>
    <w:rsid w:val="009E5107"/>
    <w:pPr>
      <w:numPr>
        <w:ilvl w:val="5"/>
        <w:numId w:val="19"/>
      </w:numPr>
      <w:spacing w:before="250"/>
    </w:pPr>
    <w:rPr>
      <w:rFonts w:asciiTheme="majorHAnsi" w:hAnsiTheme="majorHAnsi" w:cstheme="majorHAnsi"/>
      <w:i/>
    </w:rPr>
  </w:style>
  <w:style w:type="paragraph" w:customStyle="1" w:styleId="CPNumPar">
    <w:name w:val="CP_NumPar"/>
    <w:basedOn w:val="Standard"/>
    <w:qFormat/>
    <w:rsid w:val="009E5107"/>
    <w:pPr>
      <w:numPr>
        <w:ilvl w:val="6"/>
        <w:numId w:val="19"/>
      </w:numPr>
      <w:spacing w:before="250"/>
    </w:pPr>
  </w:style>
  <w:style w:type="paragraph" w:customStyle="1" w:styleId="CPisubtitles">
    <w:name w:val="CP_isubtitles"/>
    <w:basedOn w:val="Standard"/>
    <w:qFormat/>
    <w:rsid w:val="009E5107"/>
    <w:pPr>
      <w:numPr>
        <w:ilvl w:val="7"/>
        <w:numId w:val="19"/>
      </w:numPr>
      <w:spacing w:before="250"/>
    </w:pPr>
  </w:style>
  <w:style w:type="paragraph" w:customStyle="1" w:styleId="CPasubtitles">
    <w:name w:val="CP_asubtitles"/>
    <w:basedOn w:val="Standard"/>
    <w:qFormat/>
    <w:rsid w:val="009E5107"/>
    <w:pPr>
      <w:numPr>
        <w:ilvl w:val="8"/>
        <w:numId w:val="19"/>
      </w:numPr>
      <w:spacing w:before="250"/>
    </w:pPr>
  </w:style>
  <w:style w:type="character" w:customStyle="1" w:styleId="CPBox1Char">
    <w:name w:val="CP_Box1 Char"/>
    <w:basedOn w:val="Absatz-Standardschriftart"/>
    <w:link w:val="CPBox1"/>
    <w:locked/>
    <w:rsid w:val="009E5107"/>
    <w:rPr>
      <w:rFonts w:ascii="Times New Roman" w:hAnsi="Times New Roman" w:cs="Times New Roman"/>
      <w:b/>
    </w:rPr>
  </w:style>
  <w:style w:type="paragraph" w:customStyle="1" w:styleId="CPBox1">
    <w:name w:val="CP_Box1"/>
    <w:basedOn w:val="Standard"/>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Absatz-Standardschriftar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Default">
    <w:name w:val="Default"/>
    <w:rsid w:val="001F4C1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StandardWeb">
    <w:name w:val="Normal (Web)"/>
    <w:basedOn w:val="Standard"/>
    <w:uiPriority w:val="99"/>
    <w:unhideWhenUsed/>
    <w:rsid w:val="001F4C1C"/>
    <w:pPr>
      <w:spacing w:before="100" w:beforeAutospacing="1" w:after="100" w:afterAutospacing="1" w:line="240" w:lineRule="auto"/>
      <w:jc w:val="left"/>
    </w:pPr>
    <w:rPr>
      <w:rFonts w:ascii="Times New Roman" w:eastAsia="Calibri" w:hAnsi="Times New Roman" w:cs="Times New Roman"/>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webSettings.xml><?xml version="1.0" encoding="utf-8"?>
<w:webSettings xmlns:r="http://schemas.openxmlformats.org/officeDocument/2006/relationships" xmlns:w="http://schemas.openxmlformats.org/wordprocessingml/2006/main">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ma.europa.eu/system/files/esma_mifid2_dp_chair_of_efinance_goethe_university_frankfurt_replyform.docx"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ma.europa.eu/system/files/2014-548_discussion_paper_mifid-mifir.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sma.europa.eu/system/files/esma_mifid2_dp_bwf_joint-petition-german-exchanges-with-bwf.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470E2-65A2-4C1D-957D-60694AF0E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Guidelines&amp;Recommendations_Template_Public.dotx</Template>
  <TotalTime>0</TotalTime>
  <Pages>53</Pages>
  <Words>13375</Words>
  <Characters>84265</Characters>
  <Application>Microsoft Office Word</Application>
  <DocSecurity>8</DocSecurity>
  <Lines>702</Lines>
  <Paragraphs>194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Esche Schümann Commichau</Company>
  <LinksUpToDate>false</LinksUpToDate>
  <CharactersWithSpaces>97446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Michael Sterzenbach</cp:lastModifiedBy>
  <cp:revision>3</cp:revision>
  <cp:lastPrinted>2015-03-02T15:59:00Z</cp:lastPrinted>
  <dcterms:created xsi:type="dcterms:W3CDTF">2015-03-02T15:56:00Z</dcterms:created>
  <dcterms:modified xsi:type="dcterms:W3CDTF">2015-03-02T16:05:00Z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-1131584037</vt:i4>
  </property>
  <property fmtid="{D5CDD505-2E9C-101B-9397-08002B2CF9AE}" pid="3" name="_NewReviewCycle">
    <vt:lpwstr/>
  </property>
  <property fmtid="{D5CDD505-2E9C-101B-9397-08002B2CF9AE}" pid="4" name="_EmailSubject">
    <vt:lpwstr>bwf: MiFID II und MiFIR</vt:lpwstr>
  </property>
  <property fmtid="{D5CDD505-2E9C-101B-9397-08002B2CF9AE}" pid="5" name="_AuthorEmail">
    <vt:lpwstr>h.mewes@esche.de</vt:lpwstr>
  </property>
  <property fmtid="{D5CDD505-2E9C-101B-9397-08002B2CF9AE}" pid="6" name="_AuthorEmailDisplayName">
    <vt:lpwstr>Mewes, Dr. Hans</vt:lpwstr>
  </property>
  <property fmtid="{D5CDD505-2E9C-101B-9397-08002B2CF9AE}" pid="7" name="_ReviewingToolsShownOnce">
    <vt:lpwstr/>
  </property>
</Properties>
</file>