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724BEB"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38799636" w:edGrp="everyone" w:colFirst="1" w:colLast="1"/>
            <w:r w:rsidRPr="00AB6D88">
              <w:rPr>
                <w:rFonts w:ascii="Arial" w:hAnsi="Arial" w:cs="Arial"/>
              </w:rPr>
              <w:t>Name of the company / organisation</w:t>
            </w:r>
          </w:p>
        </w:tc>
        <w:sdt>
          <w:sdtPr>
            <w:rPr>
              <w:rStyle w:val="Platzhaltertext"/>
              <w:rFonts w:ascii="Arial" w:hAnsi="Arial" w:cs="Arial"/>
            </w:rPr>
            <w:id w:val="-1905066999"/>
            <w:showingPlcHdr/>
            <w:text/>
          </w:sdtPr>
          <w:sdtEndPr>
            <w:rPr>
              <w:rStyle w:val="Platzhaltertext"/>
            </w:rPr>
          </w:sdtEndPr>
          <w:sdtContent>
            <w:permStart w:id="695608473" w:edGrp="everyone" w:displacedByCustomXml="prev"/>
            <w:tc>
              <w:tcPr>
                <w:tcW w:w="5595" w:type="dxa"/>
                <w:shd w:val="clear" w:color="auto" w:fill="auto"/>
              </w:tcPr>
              <w:p w:rsidR="000632C2" w:rsidRPr="00AB6D88" w:rsidRDefault="000632C2" w:rsidP="009E5107">
                <w:pPr>
                  <w:rPr>
                    <w:rStyle w:val="Platzhaltertext"/>
                    <w:rFonts w:ascii="Arial" w:hAnsi="Arial" w:cs="Arial"/>
                  </w:rPr>
                </w:pPr>
                <w:r w:rsidRPr="00AB6D88">
                  <w:rPr>
                    <w:rStyle w:val="Platzhaltertext"/>
                    <w:rFonts w:ascii="Arial" w:hAnsi="Arial" w:cs="Arial"/>
                  </w:rPr>
                  <w:t>Click here to enter text.</w:t>
                </w:r>
              </w:p>
            </w:tc>
            <w:permEnd w:id="69560847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6126353" w:edGrp="everyone" w:colFirst="1" w:colLast="1"/>
            <w:permEnd w:id="738799636"/>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5044134" w:edGrp="everyone" w:colFirst="1" w:colLast="1"/>
            <w:permEnd w:id="186126353"/>
            <w:r w:rsidRPr="00AB6D88">
              <w:rPr>
                <w:rFonts w:ascii="Arial" w:hAnsi="Arial" w:cs="Arial"/>
              </w:rPr>
              <w:t>Activity:</w:t>
            </w:r>
          </w:p>
        </w:tc>
        <w:tc>
          <w:tcPr>
            <w:tcW w:w="5595" w:type="dxa"/>
            <w:shd w:val="clear" w:color="auto" w:fill="auto"/>
          </w:tcPr>
          <w:p w:rsidR="000632C2" w:rsidRPr="00AB6D88" w:rsidRDefault="00724BEB"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35805975" w:edGrp="everyone"/>
                <w:r w:rsidR="000632C2" w:rsidRPr="00AB6D88">
                  <w:rPr>
                    <w:rStyle w:val="Platzhaltertext"/>
                    <w:rFonts w:ascii="Arial" w:hAnsi="Arial" w:cs="Arial"/>
                  </w:rPr>
                  <w:t>Choose an item.</w:t>
                </w:r>
                <w:permEnd w:id="13580597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90952019" w:edGrp="everyone" w:colFirst="1" w:colLast="1"/>
            <w:permEnd w:id="45044134"/>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4659011" w:edGrp="everyone" w:colFirst="1" w:colLast="1"/>
            <w:permEnd w:id="1490952019"/>
            <w:r w:rsidRPr="00AB6D88">
              <w:rPr>
                <w:rFonts w:ascii="Arial" w:hAnsi="Arial" w:cs="Arial"/>
              </w:rPr>
              <w:t>Country/Region</w:t>
            </w:r>
          </w:p>
        </w:tc>
        <w:permStart w:id="1601981417"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2976011"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tzhaltertext"/>
                    <w:rFonts w:ascii="Arial" w:hAnsi="Arial" w:cs="Arial"/>
                  </w:rPr>
                  <w:t>Choose an item.</w:t>
                </w:r>
              </w:p>
            </w:tc>
            <w:permEnd w:id="52976011" w:displacedByCustomXml="next"/>
          </w:sdtContent>
        </w:sdt>
        <w:permEnd w:id="1601981417" w:displacedByCustomXml="prev"/>
      </w:tr>
      <w:permEnd w:id="54659011"/>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707209085" w:edGrp="everyone"/>
      <w:r>
        <w:t>TYPE YOUR TEXT HERE</w:t>
      </w:r>
    </w:p>
    <w:permEnd w:id="70720908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456817865" w:edGrp="everyone"/>
      <w:r>
        <w:t>TYPE YOUR TEXT HERE</w:t>
      </w:r>
    </w:p>
    <w:permEnd w:id="145681786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81069101" w:edGrp="everyone"/>
      <w:r>
        <w:t>TYPE YOUR TEXT HERE</w:t>
      </w:r>
    </w:p>
    <w:permEnd w:id="58106910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003704523" w:edGrp="everyone"/>
      <w:r>
        <w:t>TYPE YOUR TEXT HERE</w:t>
      </w:r>
    </w:p>
    <w:permEnd w:id="1003704523"/>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66752485" w:edGrp="everyone"/>
      <w:r>
        <w:t>TYPE YOUR TEXT HERE</w:t>
      </w:r>
    </w:p>
    <w:permEnd w:id="266752485"/>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95710012" w:edGrp="everyone"/>
      <w:r>
        <w:t>TYPE YOUR TEXT HERE</w:t>
      </w:r>
    </w:p>
    <w:permEnd w:id="29571001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725844033" w:edGrp="everyone"/>
      <w:r>
        <w:t>TYPE YOUR TEXT HERE</w:t>
      </w:r>
    </w:p>
    <w:permEnd w:id="172584403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852041280" w:edGrp="everyone"/>
      <w:r>
        <w:t>TYPE YOUR TEXT HERE</w:t>
      </w:r>
    </w:p>
    <w:permEnd w:id="852041280"/>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99333073" w:edGrp="everyone"/>
      <w:r>
        <w:t>TYPE YOUR TEXT HERE</w:t>
      </w:r>
    </w:p>
    <w:permEnd w:id="149933307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77883713" w:edGrp="everyone"/>
      <w:r>
        <w:t>TYPE YOUR TEXT HERE</w:t>
      </w:r>
    </w:p>
    <w:permEnd w:id="27788371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088314698" w:edGrp="everyone"/>
      <w:r>
        <w:t>TYPE YOUR TEXT HERE</w:t>
      </w:r>
    </w:p>
    <w:permEnd w:id="2088314698"/>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498682030" w:edGrp="everyone"/>
      <w:r>
        <w:t>TYPE YOUR TEXT HERE</w:t>
      </w:r>
    </w:p>
    <w:permEnd w:id="149868203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54485122" w:edGrp="everyone"/>
      <w:r>
        <w:t>TYPE YOUR TEXT HERE</w:t>
      </w:r>
    </w:p>
    <w:permEnd w:id="254485122"/>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8712574" w:edGrp="everyone"/>
      <w:r>
        <w:t>TYPE YOUR TEXT HERE</w:t>
      </w:r>
    </w:p>
    <w:permEnd w:id="2871257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277448489" w:edGrp="everyone"/>
      <w:r>
        <w:t>TYPE YOUR TEXT HERE</w:t>
      </w:r>
    </w:p>
    <w:permEnd w:id="1277448489"/>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802655588" w:edGrp="everyone"/>
      <w:r>
        <w:t>TYPE YOUR TEXT HERE</w:t>
      </w:r>
    </w:p>
    <w:permEnd w:id="180265558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803031005" w:edGrp="everyone"/>
      <w:r>
        <w:t>TYPE YOUR TEXT HERE</w:t>
      </w:r>
    </w:p>
    <w:permEnd w:id="80303100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077506584" w:edGrp="everyone"/>
      <w:r>
        <w:t>TYPE YOUR TEXT HERE</w:t>
      </w:r>
    </w:p>
    <w:permEnd w:id="107750658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55458010" w:edGrp="everyone"/>
      <w:r>
        <w:t>TYPE YOUR TEXT HERE</w:t>
      </w:r>
    </w:p>
    <w:permEnd w:id="1855458010"/>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909510964" w:edGrp="everyone"/>
      <w:r>
        <w:t>TYPE YOUR TEXT HERE</w:t>
      </w:r>
    </w:p>
    <w:permEnd w:id="909510964"/>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471401222" w:edGrp="everyone"/>
      <w:r>
        <w:t>TYPE YOUR TEXT HERE</w:t>
      </w:r>
    </w:p>
    <w:permEnd w:id="47140122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351424416" w:edGrp="everyone"/>
      <w:r>
        <w:t>TYPE YOUR TEXT HERE</w:t>
      </w:r>
    </w:p>
    <w:permEnd w:id="135142441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24804659" w:edGrp="everyone"/>
      <w:r>
        <w:t>TYPE YOUR TEXT HERE</w:t>
      </w:r>
    </w:p>
    <w:permEnd w:id="172480465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985168988" w:edGrp="everyone"/>
      <w:r>
        <w:t>TYPE YOUR TEXT HERE</w:t>
      </w:r>
    </w:p>
    <w:permEnd w:id="198516898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168053650" w:edGrp="everyone"/>
      <w:r>
        <w:t>TYPE YOUR TEXT HERE</w:t>
      </w:r>
    </w:p>
    <w:permEnd w:id="1168053650"/>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691673620" w:edGrp="everyone"/>
      <w:r>
        <w:t>TYPE YOUR TEXT HERE</w:t>
      </w:r>
    </w:p>
    <w:permEnd w:id="69167362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595806189" w:edGrp="everyone"/>
      <w:r>
        <w:t>TYPE YOUR TEXT HERE</w:t>
      </w:r>
    </w:p>
    <w:permEnd w:id="595806189"/>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573538049" w:edGrp="everyone"/>
      <w:r>
        <w:t>TYPE YOUR TEXT HERE</w:t>
      </w:r>
    </w:p>
    <w:permEnd w:id="57353804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557007152" w:edGrp="everyone"/>
      <w:r>
        <w:t>TYPE YOUR TEXT HERE</w:t>
      </w:r>
    </w:p>
    <w:permEnd w:id="155700715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818808102" w:edGrp="everyone"/>
      <w:r>
        <w:t>TYPE YOUR TEXT HERE</w:t>
      </w:r>
    </w:p>
    <w:permEnd w:id="81880810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981881965" w:edGrp="everyone"/>
      <w:r>
        <w:t>TYPE YOUR TEXT HERE</w:t>
      </w:r>
    </w:p>
    <w:permEnd w:id="198188196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29527981" w:edGrp="everyone"/>
      <w:r>
        <w:t>TYPE YOUR TEXT HERE</w:t>
      </w:r>
    </w:p>
    <w:permEnd w:id="429527981"/>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667388370" w:edGrp="everyone"/>
      <w:r>
        <w:t>TYPE YOUR TEXT HERE</w:t>
      </w:r>
    </w:p>
    <w:permEnd w:id="166738837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571122472" w:edGrp="everyone"/>
      <w:r>
        <w:t>TYPE YOUR TEXT HERE</w:t>
      </w:r>
    </w:p>
    <w:permEnd w:id="157112247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0588116" w:edGrp="everyone"/>
      <w:r>
        <w:t>TYPE YOUR TEXT HERE</w:t>
      </w:r>
    </w:p>
    <w:permEnd w:id="4058811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05085516" w:edGrp="everyone"/>
      <w:r>
        <w:t>TYPE YOUR TEXT HERE</w:t>
      </w:r>
    </w:p>
    <w:permEnd w:id="10508551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999642655" w:edGrp="everyone"/>
      <w:r>
        <w:t>TYPE YOUR TEXT HERE</w:t>
      </w:r>
    </w:p>
    <w:permEnd w:id="99964265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716638652" w:edGrp="everyone"/>
      <w:r>
        <w:t>TYPE YOUR TEXT HERE</w:t>
      </w:r>
    </w:p>
    <w:permEnd w:id="71663865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792751105" w:edGrp="everyone"/>
      <w:r>
        <w:t>TYPE YOUR TEXT HERE</w:t>
      </w:r>
    </w:p>
    <w:permEnd w:id="79275110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1967772" w:edGrp="everyone"/>
      <w:r>
        <w:t>TYPE YOUR TEXT HERE</w:t>
      </w:r>
    </w:p>
    <w:permEnd w:id="4196777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899828284" w:edGrp="everyone"/>
      <w:r>
        <w:t>TYPE YOUR TEXT HERE</w:t>
      </w:r>
    </w:p>
    <w:permEnd w:id="189982828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205065770" w:edGrp="everyone"/>
      <w:r>
        <w:t>TYPE YOUR TEXT HERE</w:t>
      </w:r>
    </w:p>
    <w:permEnd w:id="20506577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493896688" w:edGrp="everyone"/>
      <w:r>
        <w:t>TYPE YOUR TEXT HERE</w:t>
      </w:r>
    </w:p>
    <w:permEnd w:id="149389668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89741823" w:edGrp="everyone"/>
      <w:r>
        <w:t>TYPE YOUR TEXT HERE</w:t>
      </w:r>
    </w:p>
    <w:permEnd w:id="18974182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01783476" w:edGrp="everyone"/>
      <w:r>
        <w:t>TYPE YOUR TEXT HERE</w:t>
      </w:r>
    </w:p>
    <w:permEnd w:id="10178347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261019" w:edGrp="everyone"/>
      <w:r>
        <w:t>TYPE YOUR TEXT HERE</w:t>
      </w:r>
    </w:p>
    <w:permEnd w:id="1326101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171029498" w:edGrp="everyone"/>
      <w:r>
        <w:t>TYPE YOUR TEXT HERE</w:t>
      </w:r>
    </w:p>
    <w:permEnd w:id="1171029498"/>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411265745" w:edGrp="everyone"/>
      <w:r>
        <w:t>TYPE YOUR TEXT HERE</w:t>
      </w:r>
    </w:p>
    <w:permEnd w:id="411265745"/>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810492250" w:edGrp="everyone"/>
      <w:r>
        <w:t>TYPE YOUR TEXT HERE</w:t>
      </w:r>
    </w:p>
    <w:permEnd w:id="81049225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09980700" w:edGrp="everyone"/>
      <w:r>
        <w:t>TYPE YOUR TEXT HERE</w:t>
      </w:r>
    </w:p>
    <w:permEnd w:id="20998070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539466899" w:edGrp="everyone"/>
      <w:r>
        <w:t>TYPE YOUR TEXT HERE</w:t>
      </w:r>
    </w:p>
    <w:permEnd w:id="153946689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817786781" w:edGrp="everyone"/>
      <w:r>
        <w:t>TYPE YOUR TEXT HERE</w:t>
      </w:r>
    </w:p>
    <w:permEnd w:id="81778678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889349307" w:edGrp="everyone"/>
      <w:r>
        <w:t>TYPE YOUR TEXT HERE</w:t>
      </w:r>
    </w:p>
    <w:permEnd w:id="188934930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3362925" w:edGrp="everyone"/>
      <w:r>
        <w:t>TYPE YOUR TEXT HERE</w:t>
      </w:r>
    </w:p>
    <w:permEnd w:id="19336292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536906184" w:edGrp="everyone"/>
      <w:r>
        <w:t>TYPE YOUR TEXT HERE</w:t>
      </w:r>
    </w:p>
    <w:permEnd w:id="153690618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923159777" w:edGrp="everyone"/>
      <w:r>
        <w:t>TYPE YOUR TEXT HERE</w:t>
      </w:r>
    </w:p>
    <w:permEnd w:id="192315977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339176015" w:edGrp="everyone"/>
      <w:r>
        <w:t>TYPE YOUR TEXT HERE</w:t>
      </w:r>
    </w:p>
    <w:permEnd w:id="33917601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495546365" w:edGrp="everyone"/>
      <w:r>
        <w:t>TYPE YOUR TEXT HERE</w:t>
      </w:r>
    </w:p>
    <w:permEnd w:id="149554636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431425099" w:edGrp="everyone"/>
      <w:r>
        <w:t>TYPE YOUR TEXT HERE</w:t>
      </w:r>
    </w:p>
    <w:permEnd w:id="43142509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409172069" w:edGrp="everyone"/>
      <w:r>
        <w:t>TYPE YOUR TEXT HERE</w:t>
      </w:r>
    </w:p>
    <w:permEnd w:id="140917206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711739236" w:edGrp="everyone"/>
      <w:r>
        <w:t>TYPE YOUR TEXT HERE</w:t>
      </w:r>
    </w:p>
    <w:permEnd w:id="171173923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039228181" w:edGrp="everyone"/>
      <w:r>
        <w:t>TYPE YOUR TEXT HERE</w:t>
      </w:r>
    </w:p>
    <w:permEnd w:id="1039228181"/>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715997151" w:edGrp="everyone"/>
      <w:r>
        <w:t>TYPE YOUR TEXT HERE</w:t>
      </w:r>
    </w:p>
    <w:permEnd w:id="171599715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886270840" w:edGrp="everyone"/>
      <w:r>
        <w:t>TYPE YOUR TEXT HERE</w:t>
      </w:r>
    </w:p>
    <w:permEnd w:id="188627084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2036927641" w:edGrp="everyone"/>
      <w:r>
        <w:t>TYPE YOUR TEXT HERE</w:t>
      </w:r>
    </w:p>
    <w:permEnd w:id="203692764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249435637" w:edGrp="everyone"/>
      <w:r>
        <w:t>TYPE YOUR TEXT HERE</w:t>
      </w:r>
    </w:p>
    <w:permEnd w:id="24943563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465392315" w:edGrp="everyone"/>
      <w:r>
        <w:t>TYPE YOUR TEXT HERE</w:t>
      </w:r>
    </w:p>
    <w:permEnd w:id="146539231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900927803" w:edGrp="everyone"/>
      <w:r>
        <w:t>TYPE YOUR TEXT HERE</w:t>
      </w:r>
    </w:p>
    <w:permEnd w:id="90092780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052604758" w:edGrp="everyone"/>
      <w:r>
        <w:t>TYPE YOUR TEXT HERE</w:t>
      </w:r>
    </w:p>
    <w:permEnd w:id="205260475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224235218" w:edGrp="everyone"/>
      <w:r>
        <w:t>TYPE YOUR TEXT HERE</w:t>
      </w:r>
    </w:p>
    <w:permEnd w:id="122423521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597903281" w:edGrp="everyone"/>
      <w:r>
        <w:t>TYPE YOUR TEXT HERE</w:t>
      </w:r>
    </w:p>
    <w:permEnd w:id="159790328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950360737" w:edGrp="everyone"/>
      <w:r>
        <w:t>TYPE YOUR TEXT HERE</w:t>
      </w:r>
    </w:p>
    <w:permEnd w:id="195036073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225067365" w:edGrp="everyone"/>
      <w:r>
        <w:t>TYPE YOUR TEXT HERE</w:t>
      </w:r>
    </w:p>
    <w:permEnd w:id="122506736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009779866" w:edGrp="everyone"/>
      <w:r>
        <w:t>TYPE YOUR TEXT HERE</w:t>
      </w:r>
    </w:p>
    <w:permEnd w:id="100977986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25987599" w:edGrp="everyone"/>
      <w:r>
        <w:t>TYPE YOUR TEXT HERE</w:t>
      </w:r>
    </w:p>
    <w:permEnd w:id="225987599"/>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35946443" w:edGrp="everyone"/>
      <w:r>
        <w:t>TYPE YOUR TEXT HERE</w:t>
      </w:r>
    </w:p>
    <w:permEnd w:id="173594644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191129512" w:edGrp="everyone"/>
      <w:r>
        <w:t>TYPE YOUR TEXT HERE</w:t>
      </w:r>
    </w:p>
    <w:permEnd w:id="119112951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616082360" w:edGrp="everyone"/>
      <w:r>
        <w:t>TYPE YOUR TEXT HERE</w:t>
      </w:r>
    </w:p>
    <w:permEnd w:id="161608236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816076732" w:edGrp="everyone"/>
      <w:r>
        <w:t>TYPE YOUR TEXT HERE</w:t>
      </w:r>
    </w:p>
    <w:permEnd w:id="181607673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449216133" w:edGrp="everyone"/>
      <w:r>
        <w:t>TYPE YOUR TEXT HERE</w:t>
      </w:r>
    </w:p>
    <w:permEnd w:id="44921613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766338208" w:edGrp="everyone"/>
      <w:r>
        <w:t>TYPE YOUR TEXT HERE</w:t>
      </w:r>
    </w:p>
    <w:permEnd w:id="76633820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087115336" w:edGrp="everyone"/>
      <w:r>
        <w:t>TYPE YOUR TEXT HERE</w:t>
      </w:r>
    </w:p>
    <w:permEnd w:id="108711533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494551200" w:edGrp="everyone"/>
      <w:r>
        <w:t>TYPE YOUR TEXT HERE</w:t>
      </w:r>
    </w:p>
    <w:permEnd w:id="149455120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086543141" w:edGrp="everyone"/>
      <w:r>
        <w:t>TYPE YOUR TEXT HERE</w:t>
      </w:r>
    </w:p>
    <w:permEnd w:id="108654314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984120162" w:edGrp="everyone"/>
      <w:r>
        <w:t>TYPE YOUR TEXT HERE</w:t>
      </w:r>
    </w:p>
    <w:permEnd w:id="1984120162"/>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42496882" w:edGrp="everyone"/>
      <w:r>
        <w:t>TYPE YOUR TEXT HERE</w:t>
      </w:r>
    </w:p>
    <w:permEnd w:id="242496882"/>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292706489" w:edGrp="everyone"/>
      <w:r>
        <w:t>TYPE YOUR TEXT HERE</w:t>
      </w:r>
    </w:p>
    <w:permEnd w:id="129270648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965106501" w:edGrp="everyone"/>
      <w:r>
        <w:t>TYPE YOUR TEXT HERE</w:t>
      </w:r>
    </w:p>
    <w:permEnd w:id="196510650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398808143" w:edGrp="everyone"/>
      <w:r>
        <w:t>TYPE YOUR TEXT HERE</w:t>
      </w:r>
    </w:p>
    <w:permEnd w:id="398808143"/>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38025334" w:edGrp="everyone"/>
      <w:r>
        <w:t>TYPE YOUR TEXT HERE</w:t>
      </w:r>
    </w:p>
    <w:permEnd w:id="138025334"/>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25132204" w:edGrp="everyone"/>
      <w:r>
        <w:t>TYPE YOUR TEXT HERE</w:t>
      </w:r>
    </w:p>
    <w:permEnd w:id="22513220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414889035" w:edGrp="everyone"/>
      <w:r>
        <w:t>TYPE YOUR TEXT HERE</w:t>
      </w:r>
    </w:p>
    <w:permEnd w:id="141488903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493689447" w:edGrp="everyone"/>
      <w:r>
        <w:t>TYPE YOUR TEXT HERE</w:t>
      </w:r>
    </w:p>
    <w:permEnd w:id="49368944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787287615" w:edGrp="everyone"/>
      <w:r>
        <w:t>TYPE YOUR TEXT HERE</w:t>
      </w:r>
    </w:p>
    <w:permEnd w:id="78728761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638809586" w:edGrp="everyone"/>
      <w:r>
        <w:t>TYPE YOUR TEXT HERE</w:t>
      </w:r>
    </w:p>
    <w:permEnd w:id="63880958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90281162" w:edGrp="everyone"/>
      <w:r>
        <w:t>TYPE YOUR TEXT HERE</w:t>
      </w:r>
    </w:p>
    <w:permEnd w:id="109028116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351620071" w:edGrp="everyone"/>
      <w:r>
        <w:t>TYPE YOUR TEXT HERE</w:t>
      </w:r>
    </w:p>
    <w:permEnd w:id="35162007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941448675" w:edGrp="everyone"/>
      <w:r>
        <w:t>TYPE YOUR TEXT HERE</w:t>
      </w:r>
    </w:p>
    <w:permEnd w:id="194144867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2050961894" w:edGrp="everyone"/>
      <w:r>
        <w:t>TYPE YOUR TEXT HERE</w:t>
      </w:r>
    </w:p>
    <w:permEnd w:id="2050961894"/>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38612643" w:edGrp="everyone"/>
      <w:r>
        <w:t>TYPE YOUR TEXT HERE</w:t>
      </w:r>
    </w:p>
    <w:permEnd w:id="13861264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601034719" w:edGrp="everyone"/>
      <w:r>
        <w:t>TYPE YOUR TEXT HERE</w:t>
      </w:r>
    </w:p>
    <w:permEnd w:id="60103471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101705849" w:edGrp="everyone"/>
      <w:r>
        <w:t>TYPE YOUR TEXT HERE</w:t>
      </w:r>
    </w:p>
    <w:permEnd w:id="210170584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06996897" w:edGrp="everyone"/>
      <w:r>
        <w:t>TYPE YOUR TEXT HERE</w:t>
      </w:r>
    </w:p>
    <w:permEnd w:id="60699689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89685795" w:edGrp="everyone"/>
      <w:r>
        <w:t>TYPE YOUR TEXT HERE</w:t>
      </w:r>
    </w:p>
    <w:permEnd w:id="1189685795"/>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46220387" w:edGrp="everyone"/>
      <w:r>
        <w:t>TYPE YOUR TEXT HERE</w:t>
      </w:r>
    </w:p>
    <w:permEnd w:id="14622038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369982809" w:edGrp="everyone"/>
      <w:r>
        <w:t>TYPE YOUR TEXT HERE</w:t>
      </w:r>
    </w:p>
    <w:permEnd w:id="36998280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46081773" w:edGrp="everyone"/>
      <w:r>
        <w:t>TYPE YOUR TEXT HERE</w:t>
      </w:r>
    </w:p>
    <w:permEnd w:id="46081773"/>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015561607" w:edGrp="everyone"/>
      <w:r>
        <w:t>TYPE YOUR TEXT HERE</w:t>
      </w:r>
    </w:p>
    <w:permEnd w:id="2015561607"/>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937453198" w:edGrp="everyone"/>
      <w:r>
        <w:t>TYPE YOUR TEXT HERE</w:t>
      </w:r>
    </w:p>
    <w:permEnd w:id="1937453198"/>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782712926" w:edGrp="everyone"/>
      <w:r>
        <w:t>TYPE YOUR TEXT HERE</w:t>
      </w:r>
    </w:p>
    <w:permEnd w:id="178271292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326006014" w:edGrp="everyone"/>
      <w:r>
        <w:t>TYPE YOUR TEXT HERE</w:t>
      </w:r>
    </w:p>
    <w:permEnd w:id="132600601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72837702" w:edGrp="everyone"/>
      <w:r>
        <w:t>TYPE YOUR TEXT HERE</w:t>
      </w:r>
    </w:p>
    <w:permEnd w:id="17283770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538987625" w:edGrp="everyone"/>
      <w:r>
        <w:t>TYPE YOUR TEXT HERE</w:t>
      </w:r>
    </w:p>
    <w:permEnd w:id="53898762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528560044" w:edGrp="everyone"/>
      <w:r>
        <w:t>TYPE YOUR TEXT HERE</w:t>
      </w:r>
    </w:p>
    <w:permEnd w:id="52856004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804474639" w:edGrp="everyone"/>
      <w:r>
        <w:t>TYPE YOUR TEXT HERE</w:t>
      </w:r>
    </w:p>
    <w:permEnd w:id="80447463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527916378" w:edGrp="everyone"/>
      <w:r>
        <w:t>TYPE YOUR TEXT HERE</w:t>
      </w:r>
    </w:p>
    <w:permEnd w:id="152791637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311050550" w:edGrp="everyone"/>
      <w:r>
        <w:t>TYPE YOUR TEXT HERE</w:t>
      </w:r>
    </w:p>
    <w:permEnd w:id="131105055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678374046" w:edGrp="everyone"/>
      <w:r>
        <w:t>TYPE YOUR TEXT HERE</w:t>
      </w:r>
    </w:p>
    <w:permEnd w:id="67837404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517317896" w:edGrp="everyone"/>
      <w:r>
        <w:t>TYPE YOUR TEXT HERE</w:t>
      </w:r>
    </w:p>
    <w:permEnd w:id="151731789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017266528" w:edGrp="everyone"/>
      <w:r>
        <w:t>TYPE YOUR TEXT HERE</w:t>
      </w:r>
    </w:p>
    <w:permEnd w:id="10172665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735988421" w:edGrp="everyone"/>
      <w:r>
        <w:t>TYPE YOUR TEXT HERE</w:t>
      </w:r>
    </w:p>
    <w:permEnd w:id="735988421"/>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63421918" w:edGrp="everyone"/>
      <w:r>
        <w:t>TYPE YOUR TEXT HERE</w:t>
      </w:r>
    </w:p>
    <w:permEnd w:id="136342191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377838344" w:edGrp="everyone"/>
      <w:r>
        <w:t>TYPE YOUR TEXT HERE</w:t>
      </w:r>
    </w:p>
    <w:permEnd w:id="37783834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031542593" w:edGrp="everyone"/>
      <w:r>
        <w:t>TYPE YOUR TEXT HERE</w:t>
      </w:r>
    </w:p>
    <w:permEnd w:id="103154259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482361571" w:edGrp="everyone"/>
      <w:r>
        <w:t>TYPE YOUR TEXT HERE</w:t>
      </w:r>
    </w:p>
    <w:permEnd w:id="1482361571"/>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128362373" w:edGrp="everyone"/>
      <w:r>
        <w:t>TYPE YOUR TEXT HERE</w:t>
      </w:r>
    </w:p>
    <w:permEnd w:id="1128362373"/>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925930226" w:edGrp="everyone"/>
      <w:r>
        <w:t>TYPE YOUR TEXT HERE</w:t>
      </w:r>
    </w:p>
    <w:permEnd w:id="192593022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744640600" w:edGrp="everyone"/>
      <w:r>
        <w:t>TYPE YOUR TEXT HERE</w:t>
      </w:r>
    </w:p>
    <w:permEnd w:id="174464060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78415832" w:edGrp="everyone"/>
      <w:r>
        <w:t>TYPE YOUR TEXT HERE</w:t>
      </w:r>
    </w:p>
    <w:permEnd w:id="117841583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071998006" w:edGrp="everyone"/>
      <w:r>
        <w:t>TYPE YOUR TEXT HERE</w:t>
      </w:r>
    </w:p>
    <w:permEnd w:id="107199800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474783267" w:edGrp="everyone"/>
      <w:r>
        <w:t>TYPE YOUR TEXT HERE</w:t>
      </w:r>
    </w:p>
    <w:permEnd w:id="147478326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844919306" w:edGrp="everyone"/>
      <w:r>
        <w:t>TYPE YOUR TEXT HERE</w:t>
      </w:r>
    </w:p>
    <w:permEnd w:id="844919306"/>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323826614" w:edGrp="everyone"/>
      <w:r>
        <w:t>TYPE YOUR TEXT HERE</w:t>
      </w:r>
    </w:p>
    <w:permEnd w:id="32382661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278746507" w:edGrp="everyone"/>
      <w:r>
        <w:t>TYPE YOUR TEXT HERE</w:t>
      </w:r>
    </w:p>
    <w:permEnd w:id="127874650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895843803" w:edGrp="everyone"/>
      <w:r>
        <w:t>TYPE YOUR TEXT HERE</w:t>
      </w:r>
    </w:p>
    <w:permEnd w:id="189584380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26051708" w:edGrp="everyone"/>
      <w:r>
        <w:t>TYPE YOUR TEXT HERE</w:t>
      </w:r>
    </w:p>
    <w:permEnd w:id="102605170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692874124" w:edGrp="everyone"/>
      <w:r>
        <w:t>TYPE YOUR TEXT HERE</w:t>
      </w:r>
    </w:p>
    <w:permEnd w:id="69287412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202259189" w:edGrp="everyone"/>
      <w:r>
        <w:t>TYPE YOUR TEXT HERE</w:t>
      </w:r>
    </w:p>
    <w:permEnd w:id="1202259189"/>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827036215" w:edGrp="everyone"/>
      <w:r>
        <w:t>TYPE YOUR TEXT HERE</w:t>
      </w:r>
    </w:p>
    <w:permEnd w:id="182703621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1211384" w:edGrp="everyone"/>
      <w:r>
        <w:t>TYPE YOUR TEXT HERE</w:t>
      </w:r>
    </w:p>
    <w:permEnd w:id="148121138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285305455" w:edGrp="everyone"/>
      <w:r>
        <w:t>TYPE YOUR TEXT HERE</w:t>
      </w:r>
    </w:p>
    <w:permEnd w:id="128530545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38833419" w:edGrp="everyone"/>
      <w:r>
        <w:t>TYPE YOUR TEXT HERE</w:t>
      </w:r>
    </w:p>
    <w:permEnd w:id="23883341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20410353" w:edGrp="everyone"/>
      <w:r>
        <w:t>TYPE YOUR TEXT HERE</w:t>
      </w:r>
    </w:p>
    <w:permEnd w:id="12041035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110730423" w:edGrp="everyone"/>
      <w:r>
        <w:t>TYPE YOUR TEXT HERE</w:t>
      </w:r>
    </w:p>
    <w:permEnd w:id="111073042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035236988" w:edGrp="everyone"/>
      <w:r>
        <w:t>TYPE YOUR TEXT HERE</w:t>
      </w:r>
    </w:p>
    <w:permEnd w:id="103523698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72472544" w:edGrp="everyone"/>
      <w:r>
        <w:t>TYPE YOUR TEXT HERE</w:t>
      </w:r>
    </w:p>
    <w:permEnd w:id="127247254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2034259042" w:edGrp="everyone"/>
      <w:r>
        <w:t>TYPE YOUR TEXT HERE</w:t>
      </w:r>
    </w:p>
    <w:permEnd w:id="203425904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901017858" w:edGrp="everyone"/>
      <w:r>
        <w:t>TYPE YOUR TEXT HERE</w:t>
      </w:r>
    </w:p>
    <w:permEnd w:id="90101785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573180575" w:edGrp="everyone"/>
      <w:r>
        <w:t>TYPE YOUR TEXT HERE</w:t>
      </w:r>
    </w:p>
    <w:permEnd w:id="573180575"/>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732846220" w:edGrp="everyone"/>
      <w:r>
        <w:t>TYPE YOUR TEXT HERE</w:t>
      </w:r>
    </w:p>
    <w:permEnd w:id="732846220"/>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784899833" w:edGrp="everyone"/>
      <w:r>
        <w:t>TYPE YOUR TEXT HERE</w:t>
      </w:r>
    </w:p>
    <w:permEnd w:id="178489983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088179405" w:edGrp="everyone"/>
      <w:r>
        <w:t>TYPE YOUR TEXT HERE</w:t>
      </w:r>
    </w:p>
    <w:permEnd w:id="208817940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74139694" w:edGrp="everyone"/>
      <w:r>
        <w:t>TYPE YOUR TEXT HERE</w:t>
      </w:r>
    </w:p>
    <w:permEnd w:id="1774139694"/>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266882439" w:edGrp="everyone"/>
      <w:r>
        <w:t>TYPE YOUR TEXT HERE</w:t>
      </w:r>
    </w:p>
    <w:permEnd w:id="1266882439"/>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985819777" w:edGrp="everyone"/>
      <w:r>
        <w:t>TYPE YOUR TEXT HERE</w:t>
      </w:r>
    </w:p>
    <w:permEnd w:id="1985819777"/>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712709108" w:edGrp="everyone"/>
      <w:r>
        <w:t>TYPE YOUR TEXT HERE</w:t>
      </w:r>
    </w:p>
    <w:permEnd w:id="712709108"/>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355825445" w:edGrp="everyone"/>
      <w:r>
        <w:t>TYPE YOUR TEXT HERE</w:t>
      </w:r>
    </w:p>
    <w:permEnd w:id="35582544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584863946" w:edGrp="everyone"/>
      <w:r>
        <w:t>TYPE YOUR TEXT HERE</w:t>
      </w:r>
    </w:p>
    <w:permEnd w:id="58486394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79347714" w:edGrp="everyone"/>
      <w:r>
        <w:t>TYPE YOUR TEXT HERE</w:t>
      </w:r>
    </w:p>
    <w:permEnd w:id="679347714"/>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427187219" w:edGrp="everyone"/>
      <w:r>
        <w:t>TYPE YOUR TEXT HERE</w:t>
      </w:r>
    </w:p>
    <w:permEnd w:id="1427187219"/>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169434647" w:edGrp="everyone"/>
      <w:r>
        <w:t>TYPE YOUR TEXT HERE</w:t>
      </w:r>
    </w:p>
    <w:permEnd w:id="116943464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02038950" w:edGrp="everyone"/>
      <w:r>
        <w:t>TYPE YOUR TEXT HERE</w:t>
      </w:r>
    </w:p>
    <w:permEnd w:id="150203895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41587362" w:edGrp="everyone"/>
      <w:r>
        <w:t>TYPE YOUR TEXT HERE</w:t>
      </w:r>
    </w:p>
    <w:permEnd w:id="184158736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789790935" w:edGrp="everyone"/>
      <w:r>
        <w:t>TYPE YOUR TEXT HERE</w:t>
      </w:r>
    </w:p>
    <w:permEnd w:id="78979093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73864039" w:edGrp="everyone"/>
      <w:r>
        <w:t>TYPE YOUR TEXT HERE</w:t>
      </w:r>
    </w:p>
    <w:permEnd w:id="167386403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933267442" w:edGrp="everyone"/>
      <w:r>
        <w:t>TYPE YOUR TEXT HERE</w:t>
      </w:r>
    </w:p>
    <w:permEnd w:id="193326744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407278171" w:edGrp="everyone"/>
      <w:r>
        <w:t>TYPE YOUR TEXT HERE</w:t>
      </w:r>
    </w:p>
    <w:permEnd w:id="140727817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184048598" w:edGrp="everyone"/>
      <w:r>
        <w:t>TYPE YOUR TEXT HERE</w:t>
      </w:r>
    </w:p>
    <w:permEnd w:id="118404859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ermStart w:id="667428530" w:edGrp="everyone"/>
      <w:r w:rsidRPr="002B2A67">
        <w:rPr>
          <w:rFonts w:eastAsia="Times New Roman" w:cstheme="minorHAnsi"/>
          <w:color w:val="000000"/>
          <w:lang w:eastAsia="en-GB"/>
        </w:rPr>
        <w:t>Europex broadly agrees with ESMA’s approach but would like to highlight a few specific aspects in order to help further improve the suggested methodology:</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b/>
          <w:color w:val="000000"/>
          <w:lang w:eastAsia="en-GB"/>
        </w:rPr>
      </w:pPr>
      <w:r w:rsidRPr="002B2A67">
        <w:rPr>
          <w:rFonts w:eastAsia="Times New Roman" w:cstheme="minorHAnsi"/>
          <w:b/>
          <w:color w:val="000000"/>
          <w:lang w:eastAsia="en-GB"/>
        </w:rPr>
        <w:t>(1)  Europex does not share ESMA’s view that the ancillary activity test and the trading activity test should be met both in order for an entity to qualify for the ancillary activity exemption</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Europex, on the contrary, deems appropriate that those tests must both be </w:t>
      </w:r>
      <w:r w:rsidRPr="002B2A67">
        <w:rPr>
          <w:rFonts w:eastAsia="Times New Roman" w:cstheme="minorHAnsi"/>
          <w:b/>
          <w:color w:val="000000"/>
          <w:lang w:eastAsia="en-GB"/>
        </w:rPr>
        <w:t>failed in order</w:t>
      </w:r>
      <w:r w:rsidRPr="002B2A67">
        <w:rPr>
          <w:rFonts w:eastAsia="Times New Roman" w:cstheme="minorHAnsi"/>
          <w:color w:val="000000"/>
          <w:lang w:eastAsia="en-GB"/>
        </w:rPr>
        <w:t xml:space="preserve"> for an entity to be required to obtain a MiFID license. We understand that this is in line with the Level 1 text and the mandate given to ESMA by the Commission. The mandate indeed explicitly asks ESMA to elaborate a methodology where both the ancillary nature and the trading size of the activity are taken into account in order to determine whether a firm should be captured by the scope of MiFID II or not</w:t>
      </w:r>
      <w:r>
        <w:rPr>
          <w:rFonts w:eastAsia="Times New Roman" w:cstheme="minorHAnsi"/>
          <w:color w:val="000000"/>
          <w:lang w:eastAsia="en-GB"/>
        </w:rPr>
        <w:t>.</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b/>
          <w:color w:val="000000"/>
          <w:lang w:eastAsia="en-GB"/>
        </w:rPr>
      </w:pPr>
      <w:r w:rsidRPr="002B2A67">
        <w:rPr>
          <w:rFonts w:eastAsia="Times New Roman" w:cstheme="minorHAnsi"/>
          <w:b/>
          <w:color w:val="000000"/>
          <w:lang w:eastAsia="en-GB"/>
        </w:rPr>
        <w:t>(2) The risk reducing effect of central clearing by Central Counterparties (CCPs) should be reflected in the determination of the ancillary activity tests</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Europex suggests that commodity and emission allowances derivatives that are traded on Regulated Markets (RMs) should only count towards the ancillary activity thresholds in a risk-adjusted manner. Indeed, the significant narrowing of the</w:t>
      </w:r>
      <w:r>
        <w:rPr>
          <w:rFonts w:eastAsia="Times New Roman" w:cstheme="minorHAnsi"/>
          <w:color w:val="000000"/>
          <w:lang w:eastAsia="en-GB"/>
        </w:rPr>
        <w:t xml:space="preserve"> MiFID I exemptions in MiFID II</w:t>
      </w:r>
      <w:r w:rsidRPr="002B2A67">
        <w:rPr>
          <w:rFonts w:eastAsia="Times New Roman" w:cstheme="minorHAnsi"/>
          <w:color w:val="000000"/>
          <w:lang w:eastAsia="en-GB"/>
        </w:rPr>
        <w:t xml:space="preserve"> aims primarily at mitigating systemic risk. Yet, contracts traded on regulated markets are systematically centrally cleared and do thus not pose the same level of systemic risk as non-cleared contracts that are traded on other platforms. This aspect is taken into account by the European Market Infrastructure Regulation (EMIR). Under EMIR, exchange-traded and centrally cleared derivatives (ETDs) do not count towards the </w:t>
      </w:r>
      <w:r>
        <w:rPr>
          <w:rFonts w:eastAsia="Times New Roman" w:cstheme="minorHAnsi"/>
          <w:color w:val="000000"/>
          <w:lang w:eastAsia="en-GB"/>
        </w:rPr>
        <w:t xml:space="preserve">clearing </w:t>
      </w:r>
      <w:r w:rsidRPr="002B2A67">
        <w:rPr>
          <w:rFonts w:eastAsia="Times New Roman" w:cstheme="minorHAnsi"/>
          <w:color w:val="000000"/>
          <w:lang w:eastAsia="en-GB"/>
        </w:rPr>
        <w:t>threshold.</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When a derivative is centrally cleared, the counterparty risk arising from the transaction is managed by the CCP. The risk to cover an open position of a clearing member in the event of a default is </w:t>
      </w:r>
      <w:r w:rsidRPr="002B2A67">
        <w:rPr>
          <w:rFonts w:eastAsia="Times New Roman" w:cstheme="minorHAnsi"/>
          <w:i/>
          <w:color w:val="000000"/>
          <w:lang w:eastAsia="en-GB"/>
        </w:rPr>
        <w:t>inter alia</w:t>
      </w:r>
      <w:r w:rsidRPr="002B2A67">
        <w:rPr>
          <w:rFonts w:eastAsia="Times New Roman" w:cstheme="minorHAnsi"/>
          <w:color w:val="000000"/>
          <w:lang w:eastAsia="en-GB"/>
        </w:rPr>
        <w:t xml:space="preserve"> captured by the initial margin provided by the clearing member. In this context, the initial margin corresponds to the default risk in case of a cleared contract. The value of the initial margin can vary depending on the contract as it depends on the contract volatility. In gas and power derivative markets, initial margins do not exceed 15%. </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Europex therefore suggests that the capital employed for carrying out the ancillary activity should be measured via the initial margin in relation to contracts traded on a RM. Therefore, an exchange-traded contract would be considered with 15% compared to an OTC-derivative with similar characteristics which is not cleared. This would better reflect both the actual capital employed by the market participants as well as the risk structure of cleared contracts. </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Default="00304893" w:rsidP="00304893">
      <w:pPr>
        <w:autoSpaceDE w:val="0"/>
        <w:autoSpaceDN w:val="0"/>
        <w:adjustRightInd w:val="0"/>
        <w:spacing w:line="240" w:lineRule="auto"/>
        <w:rPr>
          <w:rFonts w:eastAsia="Times New Roman" w:cstheme="minorHAnsi"/>
          <w:color w:val="000000"/>
          <w:lang w:eastAsia="en-GB"/>
        </w:rPr>
      </w:pPr>
      <w:r>
        <w:rPr>
          <w:rFonts w:eastAsia="Times New Roman" w:cstheme="minorHAnsi"/>
          <w:b/>
          <w:color w:val="000000"/>
          <w:lang w:eastAsia="en-GB"/>
        </w:rPr>
        <w:t xml:space="preserve">Weighing the RM traded contracts with a risk-adjusted method would result in taking into account </w:t>
      </w:r>
      <w:r w:rsidRPr="002B2A67">
        <w:rPr>
          <w:rFonts w:eastAsia="Times New Roman" w:cstheme="minorHAnsi"/>
          <w:b/>
          <w:color w:val="000000"/>
          <w:lang w:eastAsia="en-GB"/>
        </w:rPr>
        <w:t>15 percent of the costs of each contract traded on Regulated Markets in the calculation of the ancillary activity</w:t>
      </w:r>
      <w:r w:rsidRPr="002B2A67">
        <w:rPr>
          <w:rFonts w:eastAsia="Times New Roman" w:cstheme="minorHAnsi"/>
          <w:color w:val="000000"/>
          <w:lang w:eastAsia="en-GB"/>
        </w:rPr>
        <w:t xml:space="preserve"> tests</w:t>
      </w:r>
      <w:r>
        <w:rPr>
          <w:rFonts w:eastAsia="Times New Roman" w:cstheme="minorHAnsi"/>
          <w:color w:val="000000"/>
          <w:lang w:eastAsia="en-GB"/>
        </w:rPr>
        <w:t>.</w:t>
      </w:r>
    </w:p>
    <w:p w:rsidR="00304893"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Pr>
          <w:rFonts w:eastAsia="Times New Roman" w:cstheme="minorHAnsi"/>
          <w:color w:val="000000"/>
          <w:lang w:eastAsia="en-GB"/>
        </w:rPr>
        <w:t>This would:</w:t>
      </w:r>
      <w:r w:rsidRPr="002B2A67">
        <w:rPr>
          <w:rFonts w:eastAsia="Times New Roman" w:cstheme="minorHAnsi"/>
          <w:color w:val="000000"/>
          <w:lang w:eastAsia="en-GB"/>
        </w:rPr>
        <w:t xml:space="preserve"> </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lastRenderedPageBreak/>
        <w:t>(a) incentivis</w:t>
      </w:r>
      <w:r w:rsidRPr="008765FD">
        <w:rPr>
          <w:rFonts w:eastAsia="Times New Roman" w:cstheme="minorHAnsi"/>
          <w:color w:val="000000"/>
          <w:lang w:eastAsia="en-GB"/>
        </w:rPr>
        <w:t>e</w:t>
      </w:r>
      <w:r w:rsidRPr="002B2A67">
        <w:rPr>
          <w:rFonts w:eastAsia="Times New Roman" w:cstheme="minorHAnsi"/>
          <w:color w:val="000000"/>
          <w:lang w:eastAsia="en-GB"/>
        </w:rPr>
        <w:t xml:space="preserve"> non-financial firms to trade in exchange traded (under the scope of MiFID II), cleared products (under the scope of EMIR). The proposal would therefore incentivise a shift in trading activity towards regulated trading venues and would thereby reduce counterparty risk and systemic risk in European wholesale commodity markets.     </w:t>
      </w:r>
    </w:p>
    <w:p w:rsidR="00304893" w:rsidRDefault="00304893" w:rsidP="00304893">
      <w:pPr>
        <w:autoSpaceDE w:val="0"/>
        <w:autoSpaceDN w:val="0"/>
        <w:adjustRightInd w:val="0"/>
        <w:spacing w:line="240" w:lineRule="auto"/>
        <w:rPr>
          <w:rFonts w:eastAsia="Times New Roman" w:cstheme="minorHAnsi"/>
          <w:color w:val="000000"/>
          <w:lang w:eastAsia="en-GB"/>
        </w:rPr>
      </w:pPr>
    </w:p>
    <w:p w:rsidR="00304893"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(b) be in line with the G-20 Pittsburgh commitments of promoting more transparent, non-discriminatory and systemically safer markets and the specific aims of the MiFID review of preventing market abuse, systemic risk and achieving a level playing field.</w:t>
      </w:r>
    </w:p>
    <w:p w:rsidR="00304893" w:rsidRDefault="00304893" w:rsidP="00304893">
      <w:pPr>
        <w:autoSpaceDE w:val="0"/>
        <w:autoSpaceDN w:val="0"/>
        <w:adjustRightInd w:val="0"/>
        <w:spacing w:line="240" w:lineRule="auto"/>
        <w:rPr>
          <w:rFonts w:eastAsia="Times New Roman" w:cstheme="minorHAnsi"/>
          <w:color w:val="000000"/>
          <w:lang w:eastAsia="en-GB"/>
        </w:rPr>
      </w:pPr>
    </w:p>
    <w:p w:rsidR="00304893" w:rsidRDefault="00304893" w:rsidP="00304893">
      <w:pPr>
        <w:autoSpaceDE w:val="0"/>
        <w:autoSpaceDN w:val="0"/>
        <w:adjustRightInd w:val="0"/>
        <w:spacing w:line="240" w:lineRule="auto"/>
        <w:rPr>
          <w:rFonts w:eastAsia="Times New Roman" w:cstheme="minorHAnsi"/>
          <w:color w:val="000000"/>
          <w:lang w:eastAsia="en-GB"/>
        </w:rPr>
      </w:pPr>
      <w:r>
        <w:rPr>
          <w:rFonts w:eastAsia="Times New Roman" w:cstheme="minorHAnsi"/>
          <w:color w:val="000000"/>
          <w:lang w:eastAsia="en-GB"/>
        </w:rPr>
        <w:t xml:space="preserve">Moreover, it should be taken into account that Regulated Markets already impose high requirements on their members, being financial entities or not: </w:t>
      </w:r>
    </w:p>
    <w:p w:rsidR="00304893" w:rsidRPr="005C1212"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val="en-US" w:eastAsia="en-GB"/>
        </w:rPr>
      </w:pPr>
      <w:r w:rsidRPr="005C1212">
        <w:rPr>
          <w:rFonts w:eastAsia="Times New Roman" w:cstheme="minorHAnsi"/>
          <w:color w:val="000000"/>
          <w:lang w:val="en-US" w:eastAsia="en-GB"/>
        </w:rPr>
        <w:t>Mandatory clearing imposed on every contract traded on  the RM,</w:t>
      </w:r>
    </w:p>
    <w:p w:rsidR="00304893" w:rsidRPr="005C1212"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val="en-US" w:eastAsia="en-GB"/>
        </w:rPr>
      </w:pPr>
      <w:r w:rsidRPr="005C1212">
        <w:rPr>
          <w:rFonts w:eastAsia="Times New Roman" w:cstheme="minorHAnsi"/>
          <w:color w:val="000000"/>
          <w:lang w:val="en-US" w:eastAsia="en-GB"/>
        </w:rPr>
        <w:t>Full pre- and post-trade transparency,</w:t>
      </w:r>
    </w:p>
    <w:p w:rsidR="00304893"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eastAsia="en-GB"/>
        </w:rPr>
      </w:pPr>
      <w:r>
        <w:rPr>
          <w:rFonts w:eastAsia="Times New Roman" w:cstheme="minorHAnsi"/>
          <w:color w:val="000000"/>
          <w:lang w:eastAsia="en-GB"/>
        </w:rPr>
        <w:t>Testing of algorithmic trading,</w:t>
      </w:r>
    </w:p>
    <w:p w:rsidR="00304893" w:rsidRPr="005C1212"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val="en-US" w:eastAsia="en-GB"/>
        </w:rPr>
      </w:pPr>
      <w:r w:rsidRPr="005C1212">
        <w:rPr>
          <w:rFonts w:eastAsia="Times New Roman" w:cstheme="minorHAnsi"/>
          <w:color w:val="000000"/>
          <w:lang w:val="en-US" w:eastAsia="en-GB"/>
        </w:rPr>
        <w:t xml:space="preserve">Capital </w:t>
      </w:r>
      <w:r w:rsidR="007569CD" w:rsidRPr="005C1212">
        <w:rPr>
          <w:rFonts w:eastAsia="Times New Roman" w:cstheme="minorHAnsi"/>
          <w:color w:val="000000"/>
          <w:lang w:val="en-US" w:eastAsia="en-GB"/>
        </w:rPr>
        <w:t>requirements</w:t>
      </w:r>
      <w:r w:rsidRPr="005C1212">
        <w:rPr>
          <w:rFonts w:eastAsia="Times New Roman" w:cstheme="minorHAnsi"/>
          <w:color w:val="000000"/>
          <w:lang w:val="en-US" w:eastAsia="en-GB"/>
        </w:rPr>
        <w:t xml:space="preserve"> for clearing purposes,</w:t>
      </w:r>
    </w:p>
    <w:p w:rsidR="00304893" w:rsidRPr="005C1212"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val="en-US" w:eastAsia="en-GB"/>
        </w:rPr>
      </w:pPr>
      <w:proofErr w:type="spellStart"/>
      <w:r w:rsidRPr="005C1212">
        <w:rPr>
          <w:rFonts w:eastAsia="Times New Roman" w:cstheme="minorHAnsi"/>
          <w:color w:val="000000"/>
          <w:lang w:val="en-US" w:eastAsia="en-GB"/>
        </w:rPr>
        <w:t>Organisational</w:t>
      </w:r>
      <w:proofErr w:type="spellEnd"/>
      <w:r w:rsidRPr="005C1212">
        <w:rPr>
          <w:rFonts w:eastAsia="Times New Roman" w:cstheme="minorHAnsi"/>
          <w:color w:val="000000"/>
          <w:lang w:val="en-US" w:eastAsia="en-GB"/>
        </w:rPr>
        <w:t xml:space="preserve"> requirements on trading companies,</w:t>
      </w:r>
    </w:p>
    <w:p w:rsidR="00304893" w:rsidRPr="005C1212" w:rsidRDefault="00304893" w:rsidP="00304893">
      <w:pPr>
        <w:pStyle w:val="Listenabsatz"/>
        <w:numPr>
          <w:ilvl w:val="0"/>
          <w:numId w:val="31"/>
        </w:numPr>
        <w:autoSpaceDE w:val="0"/>
        <w:autoSpaceDN w:val="0"/>
        <w:adjustRightInd w:val="0"/>
        <w:spacing w:line="240" w:lineRule="auto"/>
        <w:rPr>
          <w:rFonts w:eastAsia="Times New Roman" w:cstheme="minorHAnsi"/>
          <w:color w:val="000000"/>
          <w:lang w:val="en-US" w:eastAsia="en-GB"/>
        </w:rPr>
      </w:pPr>
      <w:r w:rsidRPr="005C1212">
        <w:rPr>
          <w:rFonts w:eastAsia="Times New Roman" w:cstheme="minorHAnsi"/>
          <w:color w:val="000000"/>
          <w:lang w:val="en-US" w:eastAsia="en-GB"/>
        </w:rPr>
        <w:t xml:space="preserve">Supervision of the trading activity of the member. </w:t>
      </w:r>
    </w:p>
    <w:p w:rsidR="00304893" w:rsidRDefault="00304893" w:rsidP="00304893">
      <w:pPr>
        <w:autoSpaceDE w:val="0"/>
        <w:autoSpaceDN w:val="0"/>
        <w:adjustRightInd w:val="0"/>
        <w:spacing w:line="240" w:lineRule="auto"/>
        <w:rPr>
          <w:rFonts w:eastAsia="Times New Roman" w:cstheme="minorHAnsi"/>
          <w:color w:val="000000"/>
          <w:lang w:eastAsia="en-GB"/>
        </w:rPr>
      </w:pPr>
    </w:p>
    <w:p w:rsidR="00304893" w:rsidRPr="00EC4521" w:rsidRDefault="00304893" w:rsidP="00304893">
      <w:pPr>
        <w:autoSpaceDE w:val="0"/>
        <w:autoSpaceDN w:val="0"/>
        <w:adjustRightInd w:val="0"/>
        <w:spacing w:line="240" w:lineRule="auto"/>
        <w:rPr>
          <w:rFonts w:eastAsia="Times New Roman" w:cstheme="minorHAnsi"/>
          <w:color w:val="000000"/>
          <w:u w:val="single"/>
          <w:lang w:eastAsia="en-GB"/>
        </w:rPr>
      </w:pPr>
      <w:r w:rsidRPr="00EC4521">
        <w:rPr>
          <w:rFonts w:eastAsia="Times New Roman" w:cstheme="minorHAnsi"/>
          <w:color w:val="000000"/>
          <w:u w:val="single"/>
          <w:lang w:eastAsia="en-GB"/>
        </w:rPr>
        <w:t>These requirements are comparable to those imposed on MiFID II licensed entities. Exactly as MiFID II licensed activities are excluded from the ancillary activity calculation, transactions concluded on RMs could be weighed proportionately.</w:t>
      </w:r>
    </w:p>
    <w:p w:rsidR="00304893"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b/>
          <w:color w:val="000000"/>
          <w:lang w:eastAsia="en-GB"/>
        </w:rPr>
        <w:t>(3) Europex does not share the view that for each asset class the same thresholds should apply.</w:t>
      </w:r>
      <w:r w:rsidRPr="002B2A67">
        <w:rPr>
          <w:rFonts w:eastAsia="Times New Roman" w:cstheme="minorHAnsi"/>
          <w:color w:val="000000"/>
          <w:lang w:eastAsia="en-GB"/>
        </w:rPr>
        <w:t xml:space="preserve"> </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This is based on the following reasons:</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092B4D" w:rsidRDefault="00304893" w:rsidP="00304893">
      <w:pPr>
        <w:pStyle w:val="Listenabsatz"/>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Regarding the ancillary activity test, Europex shares the view that only business activities in the EU should be taken into account, and that these activities should be put in relation to global business at group level. However, this creates a disadvantage for firms that are only active within the EU. As for grid bound commodities like power and gas, the firms’ activity is naturally concentrated at EU level. Europex assumes that the thresholds for both the ancillary activity test and the trading activity test have been lowered by ESMA due to the adoption of the “EU-business/worldwide activities” approach. Though, Europex notes that small gas and power trading firms do not benefit from the “EU-business/worldwide activities” approach, since they only have activity in the EU and therefore are adversely affected by the</w:t>
      </w:r>
      <w:r>
        <w:rPr>
          <w:rFonts w:eastAsia="Times New Roman" w:cstheme="minorHAnsi"/>
          <w:color w:val="000000"/>
          <w:lang w:eastAsia="en-GB"/>
        </w:rPr>
        <w:t xml:space="preserve"> lower thresholds </w:t>
      </w:r>
      <w:bookmarkStart w:id="19" w:name="_GoBack"/>
      <w:bookmarkEnd w:id="19"/>
      <w:r>
        <w:rPr>
          <w:rFonts w:eastAsia="Times New Roman" w:cstheme="minorHAnsi"/>
          <w:color w:val="000000"/>
          <w:lang w:eastAsia="en-GB"/>
        </w:rPr>
        <w:t>as suggested.</w:t>
      </w:r>
    </w:p>
    <w:p w:rsidR="00304893" w:rsidRPr="00304893" w:rsidRDefault="00304893" w:rsidP="00304893">
      <w:pPr>
        <w:pStyle w:val="Listenabsatz"/>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Considering gas and power, Europex does clearly not deem a threshold of 5% appropriate for the first test. If it was applied at the suggested level of 5%, it would seriously harm energy trading in Europe with far reaching negative consequences for market liquidity, transparency and the further integration of the EU internal energy market. Given the direct linkage of MiFID II to the applicability of CRD IV, a large majority of real economy companies, including e.g. small and medium-sized utilities, would have to become MiFID investments firms and meet considerably higher capital requirements than today. In consequence, many companies would not be able to cope with the cost increase and may either largely reduce their trading activity or shift it to OTF platforms. Thus, wholesale gas and power wholesale markets would become fragmented and the EMIR</w:t>
      </w:r>
      <w:r>
        <w:rPr>
          <w:rFonts w:eastAsia="Times New Roman" w:cstheme="minorHAnsi"/>
          <w:color w:val="000000"/>
          <w:lang w:eastAsia="en-GB"/>
        </w:rPr>
        <w:t xml:space="preserve"> framework would be undermined.</w:t>
      </w:r>
    </w:p>
    <w:p w:rsidR="00304893" w:rsidRPr="002B2A67" w:rsidRDefault="00304893" w:rsidP="00304893">
      <w:pPr>
        <w:pStyle w:val="Listenabsatz"/>
        <w:numPr>
          <w:ilvl w:val="0"/>
          <w:numId w:val="30"/>
        </w:numPr>
        <w:autoSpaceDE w:val="0"/>
        <w:autoSpaceDN w:val="0"/>
        <w:adjustRightInd w:val="0"/>
        <w:spacing w:line="240" w:lineRule="auto"/>
        <w:ind w:left="360"/>
        <w:rPr>
          <w:rFonts w:eastAsia="Times New Roman" w:cstheme="minorHAnsi"/>
          <w:color w:val="000000"/>
          <w:lang w:eastAsia="en-GB"/>
        </w:rPr>
      </w:pPr>
      <w:r w:rsidRPr="002B2A67">
        <w:rPr>
          <w:rFonts w:eastAsia="Times New Roman" w:cstheme="minorHAnsi"/>
          <w:color w:val="000000"/>
          <w:lang w:eastAsia="en-GB"/>
        </w:rPr>
        <w:t xml:space="preserve">As far as gas and power are concerned, a specific exemption is foreseen in Annex I C (6). REMIT wholesale products that are derivatives, traded on an OTF and “that must be physically settled” are not considered financial instruments. Therefore, neither MiFID II nor EMIR does apply. The C6 exemption as such creates incentives to shift liquidity away </w:t>
      </w:r>
      <w:r w:rsidRPr="002B2A67">
        <w:rPr>
          <w:rFonts w:eastAsia="Times New Roman" w:cstheme="minorHAnsi"/>
          <w:color w:val="000000"/>
          <w:lang w:eastAsia="en-GB"/>
        </w:rPr>
        <w:lastRenderedPageBreak/>
        <w:t xml:space="preserve">from RMs and MTFs to OTFs as can be already observed today where non-MTFs attract liquidity. Low thresholds of the ancillary activity exemption would further boost these incentives. In order to keep a level playing field between RMs, MTFs and OTFs and to keep a significant share of traded gas and power contracts within the MiFID II and EMIR frameworks, the thresholds should be defined proportionally. </w:t>
      </w:r>
    </w:p>
    <w:p w:rsidR="00304893" w:rsidRPr="00304893" w:rsidRDefault="00304893" w:rsidP="00304893">
      <w:pPr>
        <w:autoSpaceDE w:val="0"/>
        <w:autoSpaceDN w:val="0"/>
        <w:adjustRightInd w:val="0"/>
        <w:spacing w:line="240" w:lineRule="auto"/>
        <w:rPr>
          <w:rFonts w:eastAsia="Times New Roman" w:cstheme="minorHAnsi"/>
          <w:b/>
          <w:color w:val="000000"/>
          <w:lang w:eastAsia="en-GB"/>
        </w:rPr>
      </w:pPr>
    </w:p>
    <w:p w:rsidR="00304893" w:rsidRDefault="00304893" w:rsidP="00304893">
      <w:pPr>
        <w:keepNext/>
        <w:spacing w:line="240" w:lineRule="auto"/>
        <w:rPr>
          <w:rFonts w:eastAsia="Times New Roman" w:cstheme="minorHAnsi"/>
          <w:color w:val="000000"/>
          <w:lang w:eastAsia="en-GB"/>
        </w:rPr>
      </w:pPr>
      <w:r w:rsidRPr="002B2A67">
        <w:rPr>
          <w:rFonts w:eastAsia="Times New Roman" w:cstheme="minorHAnsi"/>
          <w:b/>
          <w:color w:val="000000"/>
          <w:lang w:eastAsia="en-GB"/>
        </w:rPr>
        <w:t>In case of no further changes to the suggested thresholds, Europex expects the following</w:t>
      </w:r>
      <w:r w:rsidRPr="002B2A67">
        <w:rPr>
          <w:rFonts w:eastAsia="Times New Roman" w:cstheme="minorHAnsi"/>
          <w:color w:val="000000"/>
          <w:lang w:eastAsia="en-GB"/>
        </w:rPr>
        <w:t>: Regarding gas and power trading, firms will be exempted from MiFID II because of the C6 carve out. The design of the ancillary activity exemption and the definition of the thresholds therefore will not put a cap on companies that are exempted from MiFID II. On the contrary, it will rather determine the shares of contracts that will be traded on RMs, MTFs and OTFs, and thus the applicability of MiFID II and EMIR to gas and power derivatives trading.</w:t>
      </w:r>
    </w:p>
    <w:permEnd w:id="66742853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304893" w:rsidRPr="00304893" w:rsidRDefault="00304893" w:rsidP="00304893">
      <w:pPr>
        <w:keepNext/>
        <w:spacing w:line="240" w:lineRule="auto"/>
      </w:pPr>
      <w:permStart w:id="1742626714" w:edGrp="everyone"/>
      <w:r w:rsidRPr="00304893">
        <w:t>Yes, Europex agrees. However, we would like to point out that this approach greatly disadvantages firms without non-EU activities. This relates in particular to firms whose main business is based on grid bound commodities, an activity which naturally local and regional. The threshold should thus not be lowered because non-EU activities are taken into account. This is especially true for small and medium-sized firms which will not benefit from this widening of the scope of activities for the threshold calculation.</w:t>
      </w:r>
    </w:p>
    <w:permEnd w:id="1742626714"/>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304893" w:rsidRDefault="00304893" w:rsidP="00EC2C93">
      <w:pPr>
        <w:keepNext/>
      </w:pPr>
      <w:permStart w:id="1389787396" w:edGrp="everyone"/>
      <w:r w:rsidRPr="00304893">
        <w:t>Yes, Europex agrees.</w:t>
      </w:r>
    </w:p>
    <w:permEnd w:id="1389787396"/>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304893" w:rsidRDefault="00304893" w:rsidP="00EC2C93">
      <w:pPr>
        <w:keepNext/>
      </w:pPr>
      <w:permStart w:id="544873784" w:edGrp="everyone"/>
      <w:r w:rsidRPr="00304893">
        <w:t>Yes, Europex agrees.</w:t>
      </w:r>
    </w:p>
    <w:permEnd w:id="544873784"/>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304893" w:rsidRPr="002B2A67" w:rsidRDefault="00304893" w:rsidP="00304893">
      <w:pPr>
        <w:pStyle w:val="Listenabsatz"/>
        <w:numPr>
          <w:ilvl w:val="0"/>
          <w:numId w:val="32"/>
        </w:numPr>
        <w:spacing w:line="240" w:lineRule="auto"/>
        <w:ind w:left="360"/>
        <w:rPr>
          <w:rFonts w:eastAsia="Times New Roman" w:cstheme="minorHAnsi"/>
          <w:lang w:eastAsia="en-GB"/>
        </w:rPr>
      </w:pPr>
      <w:permStart w:id="559883880" w:edGrp="everyone"/>
      <w:r w:rsidRPr="002B2A67">
        <w:rPr>
          <w:rFonts w:eastAsia="Times New Roman" w:cstheme="minorHAnsi"/>
          <w:lang w:eastAsia="en-GB"/>
        </w:rPr>
        <w:t xml:space="preserve">Europex welcomes the approach to calculate the ancillary activity at group level and not person by person. This does not only allow for an easier implementation of MiFID II/MiFIR by the concerned companies and by the national competent authorities alike. It also reflects the actual activity and the dealing in financial instruments of those companies much better. Given the oftentimes complex organisational structure of </w:t>
      </w:r>
      <w:r w:rsidRPr="002B2A67">
        <w:rPr>
          <w:rFonts w:eastAsia="Times New Roman" w:cstheme="minorHAnsi"/>
          <w:lang w:eastAsia="en-GB"/>
        </w:rPr>
        <w:lastRenderedPageBreak/>
        <w:t>historically grown firms due to regional and international engagements and other reasons, a more fragmented approach would eventually risk undermining the ancillary activity exemption as such.</w:t>
      </w:r>
    </w:p>
    <w:p w:rsidR="00304893" w:rsidRPr="002B2A67" w:rsidRDefault="00304893" w:rsidP="00304893">
      <w:pPr>
        <w:spacing w:line="240" w:lineRule="auto"/>
        <w:rPr>
          <w:rFonts w:eastAsia="Times New Roman" w:cstheme="minorHAnsi"/>
          <w:lang w:eastAsia="en-GB"/>
        </w:rPr>
      </w:pPr>
    </w:p>
    <w:p w:rsidR="00304893" w:rsidRPr="002B2A67" w:rsidRDefault="00304893" w:rsidP="00304893">
      <w:pPr>
        <w:pStyle w:val="Listenabsatz"/>
        <w:numPr>
          <w:ilvl w:val="0"/>
          <w:numId w:val="32"/>
        </w:numPr>
        <w:spacing w:line="240" w:lineRule="auto"/>
        <w:ind w:left="360"/>
        <w:rPr>
          <w:rFonts w:eastAsia="Times New Roman" w:cstheme="minorHAnsi"/>
          <w:lang w:eastAsia="en-GB"/>
        </w:rPr>
      </w:pPr>
      <w:r w:rsidRPr="002B2A67">
        <w:rPr>
          <w:rFonts w:eastAsia="Times New Roman" w:cstheme="minorHAnsi"/>
          <w:lang w:eastAsia="en-GB"/>
        </w:rPr>
        <w:t xml:space="preserve">It needs to be clarified which entity of a group and under which circumstances requires a license. For instance, if the calculation is done at group-level and if the threshold is exceeded, it will be unclear which entity needs to apply for a license. If the calculation is done based on persons, we understand that only persons exceeding the threshold need to apply for a MiFID </w:t>
      </w:r>
      <w:r>
        <w:rPr>
          <w:rFonts w:eastAsia="Times New Roman" w:cstheme="minorHAnsi"/>
          <w:lang w:eastAsia="en-GB"/>
        </w:rPr>
        <w:t>license.</w:t>
      </w:r>
    </w:p>
    <w:permEnd w:id="55988388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304893" w:rsidRPr="002827FE" w:rsidRDefault="00304893" w:rsidP="00304893">
      <w:pPr>
        <w:autoSpaceDE w:val="0"/>
        <w:autoSpaceDN w:val="0"/>
        <w:adjustRightInd w:val="0"/>
        <w:spacing w:line="240" w:lineRule="auto"/>
        <w:rPr>
          <w:rFonts w:eastAsia="Times New Roman" w:cstheme="minorHAnsi"/>
          <w:color w:val="000000"/>
          <w:lang w:eastAsia="en-GB"/>
        </w:rPr>
      </w:pPr>
      <w:permStart w:id="2001756736" w:edGrp="everyone"/>
      <w:r>
        <w:rPr>
          <w:rFonts w:eastAsia="Times New Roman" w:cstheme="minorHAnsi"/>
          <w:color w:val="000000"/>
          <w:lang w:eastAsia="en-GB"/>
        </w:rPr>
        <w:t>(1)</w:t>
      </w:r>
      <w:r w:rsidRPr="002827FE">
        <w:rPr>
          <w:rFonts w:eastAsia="Times New Roman" w:cstheme="minorHAnsi"/>
          <w:color w:val="000000"/>
          <w:lang w:eastAsia="en-GB"/>
        </w:rPr>
        <w:t>Considering gas and power, Europex does clearly not deem a threshold of 5% appropriate for the first test. If it was applied at the suggested level of 5%, it would seriously harm energy trading in Europe with far reaching negative consequences for market liquidity, transparency and the further integration of the EU internal energy market. Given the direct linkage of MiFID II to the applicability of CRD IV, a large majority of real economy companies, including e.g. small and medium-sized utilities, would have to become MiFID investments firms and meet considerably higher capital requirements than today. In consequence, many companies would not be able to cope with the cost increase and may either largely reduce their trading activity or shift it to OTF platforms. If the thresholds remained as low as currently proposed, Europex would not rule out a situation where the total traded market could shrink to one in which only physical consumption volumes will be hedged (churn ratio of 1). Lower wholesale market liquidity would result in significantly higher trading costs. Please find below two examples showing the additional charges for the energy industry:</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pStyle w:val="Listenabsatz"/>
        <w:numPr>
          <w:ilvl w:val="0"/>
          <w:numId w:val="33"/>
        </w:num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Less liquid markets see bid/offer differentials widen as there are fewer available buyers and sellers and a less efficient distribution of the relevant supply and demand information. The table below shows the additional costs of trading in case of a widening bid/ask spread. Taking into account rough figures of European energy trading, the drifting apart of spreads could lead to an additional cost of </w:t>
      </w:r>
      <w:r w:rsidRPr="002B2A67">
        <w:rPr>
          <w:rFonts w:eastAsia="Times New Roman" w:cstheme="minorHAnsi"/>
          <w:b/>
          <w:color w:val="000000"/>
          <w:lang w:eastAsia="en-GB"/>
        </w:rPr>
        <w:t>€4 bn</w:t>
      </w:r>
      <w:r w:rsidRPr="002B2A67">
        <w:rPr>
          <w:rFonts w:eastAsia="Times New Roman" w:cstheme="minorHAnsi"/>
          <w:color w:val="000000"/>
          <w:lang w:eastAsia="en-GB"/>
        </w:rPr>
        <w:t xml:space="preserve">. </w:t>
      </w: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p>
    <w:p w:rsidR="00304893" w:rsidRPr="002B2A67" w:rsidRDefault="00304893" w:rsidP="00304893">
      <w:pPr>
        <w:autoSpaceDE w:val="0"/>
        <w:autoSpaceDN w:val="0"/>
        <w:adjustRightInd w:val="0"/>
        <w:spacing w:line="240" w:lineRule="auto"/>
        <w:rPr>
          <w:rFonts w:eastAsia="Times New Roman" w:cstheme="minorHAnsi"/>
          <w:color w:val="000000"/>
          <w:lang w:eastAsia="en-GB"/>
        </w:rPr>
      </w:pPr>
      <w:r w:rsidRPr="002B2A67">
        <w:rPr>
          <w:rFonts w:eastAsia="Times New Roman" w:cstheme="minorHAnsi"/>
          <w:noProof/>
          <w:color w:val="000000"/>
          <w:lang w:val="de-DE" w:eastAsia="de-DE"/>
        </w:rPr>
        <w:drawing>
          <wp:inline distT="0" distB="0" distL="0" distR="0" wp14:anchorId="3110974E" wp14:editId="648961BA">
            <wp:extent cx="5745480" cy="1485304"/>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5480" cy="1485304"/>
                    </a:xfrm>
                    <a:prstGeom prst="rect">
                      <a:avLst/>
                    </a:prstGeom>
                    <a:noFill/>
                    <a:ln>
                      <a:noFill/>
                    </a:ln>
                  </pic:spPr>
                </pic:pic>
              </a:graphicData>
            </a:graphic>
          </wp:inline>
        </w:drawing>
      </w:r>
    </w:p>
    <w:p w:rsidR="00304893" w:rsidRPr="002B2A67" w:rsidRDefault="00304893" w:rsidP="00304893">
      <w:pPr>
        <w:pStyle w:val="Listenabsatz"/>
        <w:autoSpaceDE w:val="0"/>
        <w:autoSpaceDN w:val="0"/>
        <w:adjustRightInd w:val="0"/>
        <w:rPr>
          <w:rFonts w:eastAsia="Times New Roman" w:cstheme="minorHAnsi"/>
          <w:color w:val="000000"/>
          <w:lang w:eastAsia="en-GB"/>
        </w:rPr>
      </w:pPr>
    </w:p>
    <w:p w:rsidR="00304893" w:rsidRPr="002B2A67" w:rsidRDefault="00304893" w:rsidP="00304893">
      <w:pPr>
        <w:pStyle w:val="Listenabsatz"/>
        <w:numPr>
          <w:ilvl w:val="0"/>
          <w:numId w:val="33"/>
        </w:numPr>
        <w:autoSpaceDE w:val="0"/>
        <w:autoSpaceDN w:val="0"/>
        <w:adjustRightInd w:val="0"/>
        <w:spacing w:line="240" w:lineRule="auto"/>
        <w:rPr>
          <w:rFonts w:eastAsia="Times New Roman" w:cstheme="minorHAnsi"/>
          <w:color w:val="000000"/>
          <w:lang w:eastAsia="en-GB"/>
        </w:rPr>
      </w:pPr>
      <w:r w:rsidRPr="002B2A67">
        <w:rPr>
          <w:rFonts w:eastAsia="Times New Roman" w:cstheme="minorHAnsi"/>
          <w:color w:val="000000"/>
          <w:lang w:eastAsia="en-GB"/>
        </w:rPr>
        <w:t xml:space="preserve">In a less liquid market, an asset-owner wishing to hedge its physical assets would need a longer period of time to close out its hedge volumes. The increase in the exposure over more days will lead to a market-wide increase in the Value at Risk of about €6bn (see table below). This value can then be translated as a cost of doing business in the industry by multiplying it by an average risk capital multiplier and a risk capital charge, hence amounting to approximately </w:t>
      </w:r>
      <w:r w:rsidRPr="002B2A67">
        <w:rPr>
          <w:rFonts w:eastAsia="Times New Roman" w:cstheme="minorHAnsi"/>
          <w:b/>
          <w:color w:val="000000"/>
          <w:lang w:eastAsia="en-GB"/>
        </w:rPr>
        <w:t>€15bn per year.</w:t>
      </w:r>
    </w:p>
    <w:p w:rsidR="00304893" w:rsidRPr="002B2A67" w:rsidRDefault="00304893" w:rsidP="00304893">
      <w:pPr>
        <w:autoSpaceDE w:val="0"/>
        <w:autoSpaceDN w:val="0"/>
        <w:adjustRightInd w:val="0"/>
        <w:rPr>
          <w:rFonts w:eastAsia="Times New Roman" w:cstheme="minorHAnsi"/>
          <w:color w:val="000000"/>
          <w:lang w:eastAsia="en-GB"/>
        </w:rPr>
      </w:pPr>
    </w:p>
    <w:p w:rsidR="00304893" w:rsidRPr="002B2A67" w:rsidRDefault="00304893" w:rsidP="00304893">
      <w:pPr>
        <w:autoSpaceDE w:val="0"/>
        <w:autoSpaceDN w:val="0"/>
        <w:adjustRightInd w:val="0"/>
        <w:rPr>
          <w:rFonts w:eastAsia="Times New Roman" w:cstheme="minorHAnsi"/>
          <w:color w:val="000000"/>
          <w:lang w:eastAsia="en-GB"/>
        </w:rPr>
      </w:pPr>
      <w:r w:rsidRPr="002B2A67">
        <w:rPr>
          <w:rFonts w:eastAsia="Times New Roman" w:cstheme="minorHAnsi"/>
          <w:noProof/>
          <w:color w:val="000000"/>
          <w:lang w:val="de-DE" w:eastAsia="de-DE"/>
        </w:rPr>
        <w:lastRenderedPageBreak/>
        <w:drawing>
          <wp:inline distT="0" distB="0" distL="0" distR="0" wp14:anchorId="057706F9" wp14:editId="42532F3C">
            <wp:extent cx="5745480" cy="1233001"/>
            <wp:effectExtent l="0" t="0" r="0" b="571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5480" cy="1233001"/>
                    </a:xfrm>
                    <a:prstGeom prst="rect">
                      <a:avLst/>
                    </a:prstGeom>
                    <a:noFill/>
                    <a:ln>
                      <a:noFill/>
                    </a:ln>
                  </pic:spPr>
                </pic:pic>
              </a:graphicData>
            </a:graphic>
          </wp:inline>
        </w:drawing>
      </w:r>
    </w:p>
    <w:p w:rsidR="00304893" w:rsidRDefault="00304893" w:rsidP="00304893">
      <w:pPr>
        <w:autoSpaceDE w:val="0"/>
        <w:autoSpaceDN w:val="0"/>
        <w:adjustRightInd w:val="0"/>
        <w:rPr>
          <w:rFonts w:eastAsia="Times New Roman" w:cstheme="minorHAnsi"/>
          <w:color w:val="000000"/>
          <w:lang w:eastAsia="en-GB"/>
        </w:rPr>
      </w:pPr>
      <w:r w:rsidRPr="002B2A67" w:rsidDel="00EC4521">
        <w:rPr>
          <w:rFonts w:eastAsia="Times New Roman" w:cstheme="minorHAnsi"/>
          <w:color w:val="000000"/>
          <w:lang w:eastAsia="en-GB"/>
        </w:rPr>
        <w:t xml:space="preserve"> </w:t>
      </w:r>
      <w:r>
        <w:rPr>
          <w:rFonts w:eastAsia="Times New Roman" w:cstheme="minorHAnsi"/>
          <w:color w:val="000000"/>
          <w:lang w:eastAsia="en-GB"/>
        </w:rPr>
        <w:t>(2) Cautious thresholds should be set at first to avoid small entities being forced to definitely exit the market and causing an irrevocable drop of liquidity. These thresholds could be eventually lowered based on in-depth economic analysis and lessons learnt from MiFID II application. This would be in line with the required MiFID review in 2018 for gas and power.</w:t>
      </w:r>
    </w:p>
    <w:permEnd w:id="200175673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304893" w:rsidRDefault="00304893" w:rsidP="00304893">
      <w:pPr>
        <w:spacing w:line="240" w:lineRule="auto"/>
        <w:rPr>
          <w:rFonts w:eastAsia="Times New Roman" w:cstheme="minorHAnsi"/>
          <w:color w:val="000000"/>
          <w:lang w:eastAsia="en-GB"/>
        </w:rPr>
      </w:pPr>
      <w:permStart w:id="314836121" w:edGrp="everyone"/>
      <w:r w:rsidRPr="002B2A67">
        <w:rPr>
          <w:rFonts w:eastAsia="Times New Roman" w:cstheme="minorHAnsi"/>
          <w:color w:val="000000"/>
          <w:lang w:eastAsia="en-GB"/>
        </w:rPr>
        <w:t>Europex generally welcomes the approach of using an accounting capital measure for determining the “capital employed” as defined in Article 2(4). Yet, it is of great importance to provide companies with some flexibility and allow them to refer to proxies when using accounting capital to determine their “capital employed” both for the ancillary activity and the main business. Moreover, this measure needs to be a generally accepted standard with no (negative) impact on the application of the ancillary activity exemption. If any doubts occur, ESMA shall consider making a public consultation on this specific issue.</w:t>
      </w:r>
    </w:p>
    <w:permEnd w:id="31483612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304893" w:rsidRDefault="00304893" w:rsidP="00EC2C93">
      <w:pPr>
        <w:keepNext/>
        <w:rPr>
          <w:rFonts w:eastAsia="Times New Roman" w:cstheme="minorHAnsi"/>
          <w:color w:val="000000"/>
          <w:lang w:eastAsia="en-GB"/>
        </w:rPr>
      </w:pPr>
      <w:permStart w:id="352135430" w:edGrp="everyone"/>
      <w:r w:rsidRPr="00A16621">
        <w:rPr>
          <w:rFonts w:eastAsia="Times New Roman" w:cstheme="minorHAnsi"/>
          <w:color w:val="000000"/>
          <w:lang w:eastAsia="en-GB"/>
        </w:rPr>
        <w:t>Yes, Europex generally agree</w:t>
      </w:r>
      <w:r w:rsidRPr="00212607">
        <w:rPr>
          <w:rFonts w:eastAsia="Times New Roman" w:cstheme="minorHAnsi"/>
          <w:color w:val="000000"/>
          <w:lang w:eastAsia="en-GB"/>
        </w:rPr>
        <w:t>s</w:t>
      </w:r>
      <w:r>
        <w:rPr>
          <w:rFonts w:eastAsia="Times New Roman" w:cstheme="minorHAnsi"/>
          <w:color w:val="000000"/>
          <w:lang w:eastAsia="en-GB"/>
        </w:rPr>
        <w:t xml:space="preserve"> with the approach.</w:t>
      </w:r>
    </w:p>
    <w:permEnd w:id="35213543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304893" w:rsidRDefault="00304893" w:rsidP="00EC2C93">
      <w:pPr>
        <w:keepNext/>
        <w:rPr>
          <w:rFonts w:eastAsia="Times New Roman" w:cstheme="minorHAnsi"/>
          <w:color w:val="000000"/>
          <w:lang w:eastAsia="en-GB"/>
        </w:rPr>
      </w:pPr>
      <w:permStart w:id="4944583" w:edGrp="everyone"/>
      <w:r w:rsidRPr="002B2A67">
        <w:rPr>
          <w:rFonts w:eastAsia="Times New Roman" w:cstheme="minorHAnsi"/>
          <w:color w:val="000000"/>
          <w:lang w:eastAsia="en-GB"/>
        </w:rPr>
        <w:t>Yes, Europex agrees.</w:t>
      </w:r>
    </w:p>
    <w:permEnd w:id="494458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304893" w:rsidRDefault="00304893" w:rsidP="00EC2C93">
      <w:pPr>
        <w:keepNext/>
        <w:rPr>
          <w:rFonts w:eastAsia="Times New Roman" w:cstheme="minorHAnsi"/>
          <w:color w:val="000000"/>
          <w:lang w:eastAsia="en-GB"/>
        </w:rPr>
      </w:pPr>
      <w:permStart w:id="896621755" w:edGrp="everyone"/>
      <w:r w:rsidRPr="002B2A67">
        <w:rPr>
          <w:rFonts w:eastAsia="Times New Roman" w:cstheme="minorHAnsi"/>
          <w:color w:val="000000"/>
          <w:lang w:eastAsia="en-GB"/>
        </w:rPr>
        <w:t>Yes, Europex agrees.</w:t>
      </w:r>
    </w:p>
    <w:permEnd w:id="89662175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lastRenderedPageBreak/>
        <w:t>&lt;ESMA_QUESTION_CP_MIFID_178&gt;</w:t>
      </w:r>
    </w:p>
    <w:p w:rsidR="00304893" w:rsidRDefault="00304893" w:rsidP="00EC2C93">
      <w:pPr>
        <w:keepNext/>
        <w:rPr>
          <w:rFonts w:eastAsia="Times New Roman" w:cstheme="minorHAnsi"/>
          <w:color w:val="000000"/>
          <w:lang w:eastAsia="en-GB"/>
        </w:rPr>
      </w:pPr>
      <w:permStart w:id="1879400380" w:edGrp="everyone"/>
      <w:r w:rsidRPr="002B2A67">
        <w:rPr>
          <w:rFonts w:eastAsia="Times New Roman" w:cstheme="minorHAnsi"/>
          <w:color w:val="000000"/>
          <w:lang w:eastAsia="en-GB"/>
        </w:rPr>
        <w:t>Yes, Europex agrees.</w:t>
      </w:r>
    </w:p>
    <w:permEnd w:id="187940038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094CE6" w:rsidRDefault="00094CE6" w:rsidP="00094CE6">
      <w:pPr>
        <w:pStyle w:val="Listenabsatz"/>
        <w:numPr>
          <w:ilvl w:val="0"/>
          <w:numId w:val="34"/>
        </w:numPr>
        <w:spacing w:line="240" w:lineRule="auto"/>
        <w:rPr>
          <w:rFonts w:eastAsia="Times New Roman" w:cstheme="minorHAnsi"/>
          <w:color w:val="000000"/>
          <w:lang w:eastAsia="en-GB"/>
        </w:rPr>
      </w:pPr>
      <w:permStart w:id="1461275771" w:edGrp="everyone"/>
      <w:r w:rsidRPr="00467594">
        <w:rPr>
          <w:rFonts w:eastAsia="Times New Roman" w:cstheme="minorHAnsi"/>
          <w:color w:val="000000"/>
          <w:lang w:eastAsia="en-GB"/>
        </w:rPr>
        <w:t xml:space="preserve">As far as gas and power trading is concerned, </w:t>
      </w:r>
      <w:r w:rsidRPr="002B2A67">
        <w:rPr>
          <w:rFonts w:eastAsia="Times New Roman" w:cstheme="minorHAnsi"/>
          <w:color w:val="000000"/>
          <w:lang w:eastAsia="en-GB"/>
        </w:rPr>
        <w:t xml:space="preserve">Europex considers the threshold to be significantly too low. Gas and power wholesale markets have only been liberalised recently. Due to </w:t>
      </w:r>
      <w:r>
        <w:rPr>
          <w:rFonts w:eastAsia="Times New Roman" w:cstheme="minorHAnsi"/>
          <w:color w:val="000000"/>
          <w:lang w:eastAsia="en-GB"/>
        </w:rPr>
        <w:t>their</w:t>
      </w:r>
      <w:r w:rsidRPr="002B2A67">
        <w:rPr>
          <w:rFonts w:eastAsia="Times New Roman" w:cstheme="minorHAnsi"/>
          <w:color w:val="000000"/>
          <w:lang w:eastAsia="en-GB"/>
        </w:rPr>
        <w:t xml:space="preserve"> historical development, the market structure in these markets is less </w:t>
      </w:r>
      <w:r>
        <w:rPr>
          <w:rFonts w:eastAsia="Times New Roman" w:cstheme="minorHAnsi"/>
          <w:color w:val="000000"/>
          <w:lang w:eastAsia="en-GB"/>
        </w:rPr>
        <w:t>multipartite</w:t>
      </w:r>
      <w:r w:rsidRPr="002B2A67">
        <w:rPr>
          <w:rFonts w:eastAsia="Times New Roman" w:cstheme="minorHAnsi"/>
          <w:color w:val="000000"/>
          <w:lang w:eastAsia="en-GB"/>
        </w:rPr>
        <w:t xml:space="preserve"> compared to other markets. Utility companies that used to be </w:t>
      </w:r>
      <w:r>
        <w:rPr>
          <w:rFonts w:eastAsia="Times New Roman" w:cstheme="minorHAnsi"/>
          <w:color w:val="000000"/>
          <w:lang w:eastAsia="en-GB"/>
        </w:rPr>
        <w:t xml:space="preserve">politically wanted </w:t>
      </w:r>
      <w:r w:rsidRPr="002B2A67">
        <w:rPr>
          <w:rFonts w:eastAsia="Times New Roman" w:cstheme="minorHAnsi"/>
          <w:color w:val="000000"/>
          <w:lang w:eastAsia="en-GB"/>
        </w:rPr>
        <w:t xml:space="preserve">regulated monopolies before </w:t>
      </w:r>
      <w:r>
        <w:rPr>
          <w:rFonts w:eastAsia="Times New Roman" w:cstheme="minorHAnsi"/>
          <w:color w:val="000000"/>
          <w:lang w:eastAsia="en-GB"/>
        </w:rPr>
        <w:t xml:space="preserve">the </w:t>
      </w:r>
      <w:r w:rsidRPr="002B2A67">
        <w:rPr>
          <w:rFonts w:eastAsia="Times New Roman" w:cstheme="minorHAnsi"/>
          <w:color w:val="000000"/>
          <w:lang w:eastAsia="en-GB"/>
        </w:rPr>
        <w:t>liberali</w:t>
      </w:r>
      <w:r>
        <w:rPr>
          <w:rFonts w:eastAsia="Times New Roman" w:cstheme="minorHAnsi"/>
          <w:color w:val="000000"/>
          <w:lang w:eastAsia="en-GB"/>
        </w:rPr>
        <w:t>s</w:t>
      </w:r>
      <w:r w:rsidRPr="002B2A67">
        <w:rPr>
          <w:rFonts w:eastAsia="Times New Roman" w:cstheme="minorHAnsi"/>
          <w:color w:val="000000"/>
          <w:lang w:eastAsia="en-GB"/>
        </w:rPr>
        <w:t xml:space="preserve">ation would be </w:t>
      </w:r>
      <w:r>
        <w:rPr>
          <w:rFonts w:eastAsia="Times New Roman" w:cstheme="minorHAnsi"/>
          <w:color w:val="000000"/>
          <w:lang w:eastAsia="en-GB"/>
        </w:rPr>
        <w:t xml:space="preserve">easily </w:t>
      </w:r>
      <w:r w:rsidRPr="002B2A67">
        <w:rPr>
          <w:rFonts w:eastAsia="Times New Roman" w:cstheme="minorHAnsi"/>
          <w:color w:val="000000"/>
          <w:lang w:eastAsia="en-GB"/>
        </w:rPr>
        <w:t xml:space="preserve">caught by the 0.5% threshold. </w:t>
      </w:r>
    </w:p>
    <w:p w:rsidR="00094CE6" w:rsidRDefault="00094CE6" w:rsidP="00094CE6">
      <w:pPr>
        <w:pStyle w:val="Listenabsatz"/>
        <w:numPr>
          <w:ilvl w:val="0"/>
          <w:numId w:val="0"/>
        </w:numPr>
        <w:ind w:left="360"/>
        <w:rPr>
          <w:rFonts w:eastAsia="Times New Roman" w:cstheme="minorHAnsi"/>
          <w:color w:val="000000"/>
          <w:lang w:eastAsia="en-GB"/>
        </w:rPr>
      </w:pPr>
    </w:p>
    <w:p w:rsidR="00094CE6" w:rsidRPr="002B2A67" w:rsidRDefault="00094CE6" w:rsidP="00094CE6">
      <w:pPr>
        <w:pStyle w:val="Listenabsatz"/>
        <w:numPr>
          <w:ilvl w:val="0"/>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As a consequence, such companies would either:</w:t>
      </w:r>
    </w:p>
    <w:p w:rsidR="00094CE6" w:rsidRPr="002B2A67" w:rsidRDefault="00094CE6" w:rsidP="00094CE6">
      <w:pPr>
        <w:pStyle w:val="Listenabsatz"/>
        <w:numPr>
          <w:ilvl w:val="1"/>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reduce their trading activity and thus decrease liquidity of wholesale power and gas markets. This would throw these markets </w:t>
      </w:r>
      <w:r w:rsidRPr="00DD623B">
        <w:rPr>
          <w:rFonts w:eastAsia="Times New Roman" w:cstheme="minorHAnsi"/>
          <w:color w:val="000000"/>
          <w:lang w:eastAsia="en-GB"/>
        </w:rPr>
        <w:t xml:space="preserve">back </w:t>
      </w:r>
      <w:r>
        <w:rPr>
          <w:rFonts w:eastAsia="Times New Roman" w:cstheme="minorHAnsi"/>
          <w:color w:val="000000"/>
          <w:lang w:eastAsia="en-GB"/>
        </w:rPr>
        <w:t>by many</w:t>
      </w:r>
      <w:r w:rsidRPr="002B2A67">
        <w:rPr>
          <w:rFonts w:eastAsia="Times New Roman" w:cstheme="minorHAnsi"/>
          <w:color w:val="000000"/>
          <w:lang w:eastAsia="en-GB"/>
        </w:rPr>
        <w:t xml:space="preserve"> years and undermine the achievements of the past 15 years,</w:t>
      </w:r>
    </w:p>
    <w:p w:rsidR="00094CE6" w:rsidRDefault="00094CE6" w:rsidP="00094CE6">
      <w:pPr>
        <w:pStyle w:val="Listenabsatz"/>
        <w:numPr>
          <w:ilvl w:val="1"/>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shift their trading activity to those segments that are not covered by the financial instrument definition, i.e. OTF platforms. This would circumvent the MiFID II and EMIR framework and would undermine the </w:t>
      </w:r>
      <w:r>
        <w:rPr>
          <w:rFonts w:eastAsia="Times New Roman" w:cstheme="minorHAnsi"/>
          <w:color w:val="000000"/>
          <w:lang w:eastAsia="en-GB"/>
        </w:rPr>
        <w:t>systemic risk mitigation efforts of the last years</w:t>
      </w:r>
      <w:r w:rsidRPr="002B2A67">
        <w:rPr>
          <w:rFonts w:eastAsia="Times New Roman" w:cstheme="minorHAnsi"/>
          <w:color w:val="000000"/>
          <w:lang w:eastAsia="en-GB"/>
        </w:rPr>
        <w:t>.</w:t>
      </w:r>
    </w:p>
    <w:p w:rsidR="00094CE6" w:rsidRPr="002B2A67" w:rsidRDefault="00094CE6" w:rsidP="00094CE6">
      <w:pPr>
        <w:pStyle w:val="Listenabsatz"/>
        <w:numPr>
          <w:ilvl w:val="0"/>
          <w:numId w:val="0"/>
        </w:numPr>
        <w:ind w:left="1440"/>
        <w:rPr>
          <w:rFonts w:eastAsia="Times New Roman" w:cstheme="minorHAnsi"/>
          <w:color w:val="000000"/>
          <w:lang w:eastAsia="en-GB"/>
        </w:rPr>
      </w:pPr>
    </w:p>
    <w:p w:rsidR="00094CE6" w:rsidRPr="002B2A67" w:rsidRDefault="00094CE6" w:rsidP="00094CE6">
      <w:pPr>
        <w:pStyle w:val="Listenabsatz"/>
        <w:numPr>
          <w:ilvl w:val="0"/>
          <w:numId w:val="34"/>
        </w:numPr>
        <w:spacing w:line="240" w:lineRule="auto"/>
        <w:rPr>
          <w:rFonts w:eastAsia="Times New Roman" w:cstheme="minorHAnsi"/>
          <w:color w:val="000000"/>
          <w:lang w:eastAsia="en-GB"/>
        </w:rPr>
      </w:pPr>
      <w:r>
        <w:rPr>
          <w:rFonts w:eastAsia="Times New Roman" w:cstheme="minorHAnsi"/>
          <w:color w:val="000000"/>
          <w:lang w:eastAsia="en-GB"/>
        </w:rPr>
        <w:t>D</w:t>
      </w:r>
      <w:r w:rsidRPr="002B2A67">
        <w:rPr>
          <w:rFonts w:eastAsia="Times New Roman" w:cstheme="minorHAnsi"/>
          <w:color w:val="000000"/>
          <w:lang w:eastAsia="en-GB"/>
        </w:rPr>
        <w:t>efin</w:t>
      </w:r>
      <w:r>
        <w:rPr>
          <w:rFonts w:eastAsia="Times New Roman" w:cstheme="minorHAnsi"/>
          <w:color w:val="000000"/>
          <w:lang w:eastAsia="en-GB"/>
        </w:rPr>
        <w:t>ing</w:t>
      </w:r>
      <w:r w:rsidRPr="002B2A67">
        <w:rPr>
          <w:rFonts w:eastAsia="Times New Roman" w:cstheme="minorHAnsi"/>
          <w:color w:val="000000"/>
          <w:lang w:eastAsia="en-GB"/>
        </w:rPr>
        <w:t xml:space="preserve"> </w:t>
      </w:r>
      <w:r>
        <w:rPr>
          <w:rFonts w:eastAsia="Times New Roman" w:cstheme="minorHAnsi"/>
          <w:color w:val="000000"/>
          <w:lang w:eastAsia="en-GB"/>
        </w:rPr>
        <w:t>specific</w:t>
      </w:r>
      <w:r w:rsidRPr="002B2A67">
        <w:rPr>
          <w:rFonts w:eastAsia="Times New Roman" w:cstheme="minorHAnsi"/>
          <w:color w:val="000000"/>
          <w:lang w:eastAsia="en-GB"/>
        </w:rPr>
        <w:t xml:space="preserve"> thresholds</w:t>
      </w:r>
      <w:r>
        <w:rPr>
          <w:rFonts w:eastAsia="Times New Roman" w:cstheme="minorHAnsi"/>
          <w:color w:val="000000"/>
          <w:lang w:eastAsia="en-GB"/>
        </w:rPr>
        <w:t xml:space="preserve"> </w:t>
      </w:r>
      <w:r w:rsidRPr="002B2A67">
        <w:rPr>
          <w:rFonts w:eastAsia="Times New Roman" w:cstheme="minorHAnsi"/>
          <w:color w:val="000000"/>
          <w:lang w:eastAsia="en-GB"/>
        </w:rPr>
        <w:t xml:space="preserve">for each asset class is therefore of great importance for an appropriate application of the ancillary activity exemption. This is especially true </w:t>
      </w:r>
      <w:r>
        <w:rPr>
          <w:rFonts w:eastAsia="Times New Roman" w:cstheme="minorHAnsi"/>
          <w:color w:val="000000"/>
          <w:lang w:eastAsia="en-GB"/>
        </w:rPr>
        <w:t>because of</w:t>
      </w:r>
      <w:r w:rsidRPr="002B2A67">
        <w:rPr>
          <w:rFonts w:eastAsia="Times New Roman" w:cstheme="minorHAnsi"/>
          <w:color w:val="000000"/>
          <w:lang w:eastAsia="en-GB"/>
        </w:rPr>
        <w:t xml:space="preserve"> the rule that if one threshold is not met in one asset class, the MiFID II/MiFIR requirements will apply to all other asset classes as well.</w:t>
      </w:r>
    </w:p>
    <w:p w:rsidR="00094CE6" w:rsidRPr="008765FD" w:rsidRDefault="00094CE6" w:rsidP="00094CE6">
      <w:pPr>
        <w:spacing w:line="240" w:lineRule="auto"/>
        <w:rPr>
          <w:rFonts w:eastAsia="Times New Roman" w:cstheme="minorHAnsi"/>
          <w:color w:val="000000"/>
          <w:lang w:eastAsia="en-GB"/>
        </w:rPr>
      </w:pPr>
    </w:p>
    <w:p w:rsidR="00094CE6" w:rsidRPr="002B2A67" w:rsidRDefault="00094CE6" w:rsidP="00094CE6">
      <w:pPr>
        <w:pStyle w:val="Listenabsatz"/>
        <w:numPr>
          <w:ilvl w:val="0"/>
          <w:numId w:val="34"/>
        </w:numPr>
        <w:spacing w:line="240" w:lineRule="auto"/>
        <w:rPr>
          <w:rFonts w:eastAsia="Times New Roman" w:cstheme="minorHAnsi"/>
          <w:color w:val="000000"/>
          <w:lang w:eastAsia="en-GB"/>
        </w:rPr>
      </w:pPr>
      <w:r w:rsidRPr="002B2A67">
        <w:rPr>
          <w:rFonts w:eastAsia="Times New Roman" w:cstheme="minorHAnsi"/>
          <w:b/>
          <w:color w:val="000000"/>
          <w:lang w:eastAsia="en-GB"/>
        </w:rPr>
        <w:t>Use of TR data:</w:t>
      </w:r>
      <w:r w:rsidRPr="002B2A67">
        <w:rPr>
          <w:rFonts w:eastAsia="Times New Roman" w:cstheme="minorHAnsi"/>
          <w:color w:val="000000"/>
          <w:lang w:eastAsia="en-GB"/>
        </w:rPr>
        <w:t xml:space="preserve"> For gas and power </w:t>
      </w:r>
      <w:r>
        <w:rPr>
          <w:rFonts w:eastAsia="Times New Roman" w:cstheme="minorHAnsi"/>
          <w:color w:val="000000"/>
          <w:lang w:eastAsia="en-GB"/>
        </w:rPr>
        <w:t>trading</w:t>
      </w:r>
      <w:r w:rsidRPr="002B2A67">
        <w:rPr>
          <w:rFonts w:eastAsia="Times New Roman" w:cstheme="minorHAnsi"/>
          <w:color w:val="000000"/>
          <w:lang w:eastAsia="en-GB"/>
        </w:rPr>
        <w:t>, it is of u</w:t>
      </w:r>
      <w:r>
        <w:rPr>
          <w:rFonts w:eastAsia="Times New Roman" w:cstheme="minorHAnsi"/>
          <w:color w:val="000000"/>
          <w:lang w:eastAsia="en-GB"/>
        </w:rPr>
        <w:t>t</w:t>
      </w:r>
      <w:r w:rsidRPr="002B2A67">
        <w:rPr>
          <w:rFonts w:eastAsia="Times New Roman" w:cstheme="minorHAnsi"/>
          <w:color w:val="000000"/>
          <w:lang w:eastAsia="en-GB"/>
        </w:rPr>
        <w:t xml:space="preserve">most importance that the size of the overall trading activity in the relevant asset class takes into account the whole trading activity and not only the trading activity in financial instruments. For instance, as ESMA </w:t>
      </w:r>
      <w:r>
        <w:rPr>
          <w:rFonts w:eastAsia="Times New Roman" w:cstheme="minorHAnsi"/>
          <w:color w:val="000000"/>
          <w:lang w:eastAsia="en-GB"/>
        </w:rPr>
        <w:t>stipulates</w:t>
      </w:r>
      <w:r w:rsidRPr="002B2A67">
        <w:rPr>
          <w:rFonts w:eastAsia="Times New Roman" w:cstheme="minorHAnsi"/>
          <w:color w:val="000000"/>
          <w:lang w:eastAsia="en-GB"/>
        </w:rPr>
        <w:t xml:space="preserve"> in paragraph 7.1. §48 of the Consultation Paper, contracts that are traded on OTFs and that must be physically settled will not be financial instruments but still represent a part of the trading activity in these sectors. Moreover, it should be noted that REMIT </w:t>
      </w:r>
      <w:r>
        <w:rPr>
          <w:rFonts w:eastAsia="Times New Roman" w:cstheme="minorHAnsi"/>
          <w:color w:val="000000"/>
          <w:lang w:eastAsia="en-GB"/>
        </w:rPr>
        <w:t>requires</w:t>
      </w:r>
      <w:r w:rsidRPr="002B2A67">
        <w:rPr>
          <w:rFonts w:eastAsia="Times New Roman" w:cstheme="minorHAnsi"/>
          <w:color w:val="000000"/>
          <w:lang w:eastAsia="en-GB"/>
        </w:rPr>
        <w:t xml:space="preserve"> market participants to report non-financial instruments through ad-hoc databases (RRMs). This means the data from the whole trading activity will be available to regulators. For gas and power, data should hence not only come from MiFID Trade Repositories but also from REMIT recognised databases. </w:t>
      </w:r>
      <w:r>
        <w:rPr>
          <w:rFonts w:eastAsia="Times New Roman" w:cstheme="minorHAnsi"/>
          <w:color w:val="000000"/>
          <w:lang w:eastAsia="en-GB"/>
        </w:rPr>
        <w:t>Combining</w:t>
      </w:r>
      <w:r w:rsidRPr="002B2A67">
        <w:rPr>
          <w:rFonts w:eastAsia="Times New Roman" w:cstheme="minorHAnsi"/>
          <w:color w:val="000000"/>
          <w:lang w:eastAsia="en-GB"/>
        </w:rPr>
        <w:t xml:space="preserve"> those figures will </w:t>
      </w:r>
      <w:r w:rsidRPr="00D071D3">
        <w:rPr>
          <w:rFonts w:eastAsia="Times New Roman" w:cstheme="minorHAnsi"/>
          <w:color w:val="000000"/>
          <w:lang w:val="en-US" w:eastAsia="en-GB"/>
        </w:rPr>
        <w:t xml:space="preserve">in any case be needed </w:t>
      </w:r>
      <w:r>
        <w:rPr>
          <w:rFonts w:eastAsia="Times New Roman" w:cstheme="minorHAnsi"/>
          <w:color w:val="000000"/>
          <w:lang w:eastAsia="en-GB"/>
        </w:rPr>
        <w:t>by</w:t>
      </w:r>
      <w:r w:rsidRPr="002B2A67">
        <w:rPr>
          <w:rFonts w:eastAsia="Times New Roman" w:cstheme="minorHAnsi"/>
          <w:color w:val="000000"/>
          <w:lang w:eastAsia="en-GB"/>
        </w:rPr>
        <w:t xml:space="preserve"> ESMA </w:t>
      </w:r>
      <w:r>
        <w:rPr>
          <w:rFonts w:eastAsia="Times New Roman" w:cstheme="minorHAnsi"/>
          <w:color w:val="000000"/>
          <w:lang w:eastAsia="en-GB"/>
        </w:rPr>
        <w:t>and ACER to correctly</w:t>
      </w:r>
      <w:r w:rsidRPr="00D071D3">
        <w:rPr>
          <w:rFonts w:eastAsia="Times New Roman" w:cstheme="minorHAnsi"/>
          <w:color w:val="000000"/>
          <w:lang w:eastAsia="en-GB"/>
        </w:rPr>
        <w:t xml:space="preserve"> </w:t>
      </w:r>
      <w:r w:rsidRPr="002B2A67">
        <w:rPr>
          <w:rFonts w:eastAsia="Times New Roman" w:cstheme="minorHAnsi"/>
          <w:color w:val="000000"/>
          <w:lang w:eastAsia="en-GB"/>
        </w:rPr>
        <w:t>supervis</w:t>
      </w:r>
      <w:r>
        <w:rPr>
          <w:rFonts w:eastAsia="Times New Roman" w:cstheme="minorHAnsi"/>
          <w:color w:val="000000"/>
          <w:lang w:eastAsia="en-GB"/>
        </w:rPr>
        <w:t>e</w:t>
      </w:r>
      <w:r w:rsidRPr="002B2A67">
        <w:rPr>
          <w:rFonts w:eastAsia="Times New Roman" w:cstheme="minorHAnsi"/>
          <w:color w:val="000000"/>
          <w:lang w:eastAsia="en-GB"/>
        </w:rPr>
        <w:t xml:space="preserve"> </w:t>
      </w:r>
      <w:r>
        <w:rPr>
          <w:rFonts w:eastAsia="Times New Roman" w:cstheme="minorHAnsi"/>
          <w:color w:val="000000"/>
          <w:lang w:eastAsia="en-GB"/>
        </w:rPr>
        <w:t>the energy</w:t>
      </w:r>
      <w:r w:rsidRPr="002B2A67">
        <w:rPr>
          <w:rFonts w:eastAsia="Times New Roman" w:cstheme="minorHAnsi"/>
          <w:color w:val="000000"/>
          <w:lang w:eastAsia="en-GB"/>
        </w:rPr>
        <w:t xml:space="preserve"> markets. </w:t>
      </w:r>
    </w:p>
    <w:p w:rsidR="00094CE6" w:rsidRPr="002B2A67" w:rsidRDefault="00094CE6" w:rsidP="00094CE6">
      <w:pPr>
        <w:pStyle w:val="Listenabsatz"/>
        <w:numPr>
          <w:ilvl w:val="0"/>
          <w:numId w:val="0"/>
        </w:numPr>
        <w:ind w:left="360"/>
        <w:rPr>
          <w:rFonts w:eastAsia="Times New Roman" w:cstheme="minorHAnsi"/>
          <w:color w:val="000000"/>
          <w:lang w:eastAsia="en-GB"/>
        </w:rPr>
      </w:pPr>
    </w:p>
    <w:p w:rsidR="00094CE6" w:rsidRPr="002B2A67" w:rsidRDefault="00094CE6" w:rsidP="00094CE6">
      <w:pPr>
        <w:pStyle w:val="Listenabsatz"/>
        <w:numPr>
          <w:ilvl w:val="0"/>
          <w:numId w:val="34"/>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If REMIT non-financial instruments were not taken into account </w:t>
      </w:r>
      <w:r>
        <w:rPr>
          <w:rFonts w:eastAsia="Times New Roman" w:cstheme="minorHAnsi"/>
          <w:color w:val="000000"/>
          <w:lang w:eastAsia="en-GB"/>
        </w:rPr>
        <w:t>for determining</w:t>
      </w:r>
      <w:r w:rsidRPr="002B2A67">
        <w:rPr>
          <w:rFonts w:eastAsia="Times New Roman" w:cstheme="minorHAnsi"/>
          <w:color w:val="000000"/>
          <w:lang w:eastAsia="en-GB"/>
        </w:rPr>
        <w:t xml:space="preserve"> the size of the overall trading activity, it </w:t>
      </w:r>
      <w:r>
        <w:rPr>
          <w:rFonts w:eastAsia="Times New Roman" w:cstheme="minorHAnsi"/>
          <w:color w:val="000000"/>
          <w:lang w:eastAsia="en-GB"/>
        </w:rPr>
        <w:t>would be</w:t>
      </w:r>
      <w:r w:rsidRPr="002B2A67">
        <w:rPr>
          <w:rFonts w:eastAsia="Times New Roman" w:cstheme="minorHAnsi"/>
          <w:color w:val="000000"/>
          <w:lang w:eastAsia="en-GB"/>
        </w:rPr>
        <w:t xml:space="preserve"> likely that even small </w:t>
      </w:r>
      <w:r w:rsidRPr="00A57758">
        <w:rPr>
          <w:rFonts w:eastAsia="Times New Roman" w:cstheme="minorHAnsi"/>
          <w:color w:val="000000"/>
          <w:lang w:val="en-US" w:eastAsia="en-GB"/>
        </w:rPr>
        <w:t xml:space="preserve">companies could </w:t>
      </w:r>
      <w:r w:rsidRPr="002B2A67">
        <w:rPr>
          <w:rFonts w:eastAsia="Times New Roman" w:cstheme="minorHAnsi"/>
          <w:color w:val="000000"/>
          <w:lang w:eastAsia="en-GB"/>
        </w:rPr>
        <w:t xml:space="preserve">be caught by the 0.5% threshold. </w:t>
      </w:r>
      <w:r>
        <w:rPr>
          <w:rFonts w:eastAsia="Times New Roman" w:cstheme="minorHAnsi"/>
          <w:color w:val="000000"/>
          <w:lang w:eastAsia="en-GB"/>
        </w:rPr>
        <w:t>Indeed</w:t>
      </w:r>
      <w:r w:rsidRPr="002B2A67">
        <w:rPr>
          <w:rFonts w:eastAsia="Times New Roman" w:cstheme="minorHAnsi"/>
          <w:color w:val="000000"/>
          <w:lang w:eastAsia="en-GB"/>
        </w:rPr>
        <w:t xml:space="preserve">, it is likely that some market participants </w:t>
      </w:r>
      <w:r>
        <w:rPr>
          <w:rFonts w:eastAsia="Times New Roman" w:cstheme="minorHAnsi"/>
          <w:color w:val="000000"/>
          <w:lang w:eastAsia="en-GB"/>
        </w:rPr>
        <w:t xml:space="preserve">will </w:t>
      </w:r>
      <w:r w:rsidRPr="002B2A67">
        <w:rPr>
          <w:rFonts w:eastAsia="Times New Roman" w:cstheme="minorHAnsi"/>
          <w:color w:val="000000"/>
          <w:lang w:eastAsia="en-GB"/>
        </w:rPr>
        <w:t>reduce their trading in financial instruments</w:t>
      </w:r>
      <w:r>
        <w:rPr>
          <w:rFonts w:eastAsia="Times New Roman" w:cstheme="minorHAnsi"/>
          <w:color w:val="000000"/>
          <w:lang w:eastAsia="en-GB"/>
        </w:rPr>
        <w:t xml:space="preserve"> once</w:t>
      </w:r>
      <w:r w:rsidRPr="002B2A67">
        <w:rPr>
          <w:rFonts w:eastAsia="Times New Roman" w:cstheme="minorHAnsi"/>
          <w:color w:val="000000"/>
          <w:lang w:eastAsia="en-GB"/>
        </w:rPr>
        <w:t xml:space="preserve"> MiFID II </w:t>
      </w:r>
      <w:r>
        <w:rPr>
          <w:rFonts w:eastAsia="Times New Roman" w:cstheme="minorHAnsi"/>
          <w:color w:val="000000"/>
          <w:lang w:eastAsia="en-GB"/>
        </w:rPr>
        <w:t>enters into full application</w:t>
      </w:r>
      <w:r w:rsidRPr="002B2A67">
        <w:rPr>
          <w:rFonts w:eastAsia="Times New Roman" w:cstheme="minorHAnsi"/>
          <w:color w:val="000000"/>
          <w:lang w:eastAsia="en-GB"/>
        </w:rPr>
        <w:t xml:space="preserve">. This would mean that small market participants </w:t>
      </w:r>
      <w:r>
        <w:rPr>
          <w:rFonts w:eastAsia="Times New Roman" w:cstheme="minorHAnsi"/>
          <w:color w:val="000000"/>
          <w:lang w:eastAsia="en-GB"/>
        </w:rPr>
        <w:t>w</w:t>
      </w:r>
      <w:r w:rsidRPr="002B2A67">
        <w:rPr>
          <w:rFonts w:eastAsia="Times New Roman" w:cstheme="minorHAnsi"/>
          <w:color w:val="000000"/>
          <w:lang w:eastAsia="en-GB"/>
        </w:rPr>
        <w:t xml:space="preserve">ould </w:t>
      </w:r>
      <w:r>
        <w:rPr>
          <w:rFonts w:eastAsia="Times New Roman" w:cstheme="minorHAnsi"/>
          <w:color w:val="000000"/>
          <w:lang w:eastAsia="en-GB"/>
        </w:rPr>
        <w:t>gain a bigger overall relative market share with all related consequences in relation to the statically set thresholds</w:t>
      </w:r>
      <w:r w:rsidRPr="002B2A67">
        <w:rPr>
          <w:rFonts w:eastAsia="Times New Roman" w:cstheme="minorHAnsi"/>
          <w:color w:val="000000"/>
          <w:lang w:eastAsia="en-GB"/>
        </w:rPr>
        <w:t xml:space="preserve">. </w:t>
      </w:r>
    </w:p>
    <w:p w:rsidR="00094CE6" w:rsidRPr="002B2A67" w:rsidRDefault="00094CE6" w:rsidP="00094CE6">
      <w:pPr>
        <w:pStyle w:val="Listenabsatz"/>
        <w:numPr>
          <w:ilvl w:val="0"/>
          <w:numId w:val="0"/>
        </w:numPr>
        <w:ind w:left="360"/>
        <w:rPr>
          <w:rFonts w:eastAsia="Times New Roman" w:cstheme="minorHAnsi"/>
          <w:color w:val="000000"/>
          <w:lang w:eastAsia="en-GB"/>
        </w:rPr>
      </w:pPr>
    </w:p>
    <w:p w:rsidR="00094CE6" w:rsidRDefault="00094CE6" w:rsidP="00094CE6">
      <w:pPr>
        <w:pStyle w:val="Listenabsatz"/>
        <w:numPr>
          <w:ilvl w:val="0"/>
          <w:numId w:val="34"/>
        </w:numPr>
        <w:spacing w:line="240" w:lineRule="auto"/>
        <w:rPr>
          <w:rFonts w:eastAsia="Times New Roman" w:cstheme="minorHAnsi"/>
          <w:color w:val="000000"/>
          <w:lang w:eastAsia="en-GB"/>
        </w:rPr>
      </w:pPr>
      <w:r>
        <w:rPr>
          <w:rFonts w:eastAsia="Times New Roman" w:cstheme="minorHAnsi"/>
          <w:color w:val="000000"/>
          <w:lang w:eastAsia="en-GB"/>
        </w:rPr>
        <w:t>W</w:t>
      </w:r>
      <w:r w:rsidRPr="002B2A67">
        <w:rPr>
          <w:rFonts w:eastAsia="Times New Roman" w:cstheme="minorHAnsi"/>
          <w:color w:val="000000"/>
          <w:lang w:eastAsia="en-GB"/>
        </w:rPr>
        <w:t xml:space="preserve">ith </w:t>
      </w:r>
      <w:r>
        <w:rPr>
          <w:rFonts w:eastAsia="Times New Roman" w:cstheme="minorHAnsi"/>
          <w:color w:val="000000"/>
          <w:lang w:eastAsia="en-GB"/>
        </w:rPr>
        <w:t>many</w:t>
      </w:r>
      <w:r w:rsidRPr="002B2A67">
        <w:rPr>
          <w:rFonts w:eastAsia="Times New Roman" w:cstheme="minorHAnsi"/>
          <w:color w:val="000000"/>
          <w:lang w:eastAsia="en-GB"/>
        </w:rPr>
        <w:t xml:space="preserve"> compan</w:t>
      </w:r>
      <w:r>
        <w:rPr>
          <w:rFonts w:eastAsia="Times New Roman" w:cstheme="minorHAnsi"/>
          <w:color w:val="000000"/>
          <w:lang w:eastAsia="en-GB"/>
        </w:rPr>
        <w:t>ies</w:t>
      </w:r>
      <w:r w:rsidRPr="002B2A67">
        <w:rPr>
          <w:rFonts w:eastAsia="Times New Roman" w:cstheme="minorHAnsi"/>
          <w:color w:val="000000"/>
          <w:lang w:eastAsia="en-GB"/>
        </w:rPr>
        <w:t xml:space="preserve"> shifting </w:t>
      </w:r>
      <w:r>
        <w:rPr>
          <w:rFonts w:eastAsia="Times New Roman" w:cstheme="minorHAnsi"/>
          <w:color w:val="000000"/>
          <w:lang w:eastAsia="en-GB"/>
        </w:rPr>
        <w:t>their</w:t>
      </w:r>
      <w:r w:rsidRPr="002B2A67">
        <w:rPr>
          <w:rFonts w:eastAsia="Times New Roman" w:cstheme="minorHAnsi"/>
          <w:color w:val="000000"/>
          <w:lang w:eastAsia="en-GB"/>
        </w:rPr>
        <w:t xml:space="preserve"> trading activity away from </w:t>
      </w:r>
      <w:r>
        <w:rPr>
          <w:rFonts w:eastAsia="Times New Roman" w:cstheme="minorHAnsi"/>
          <w:color w:val="000000"/>
          <w:lang w:eastAsia="en-GB"/>
        </w:rPr>
        <w:t>R</w:t>
      </w:r>
      <w:r w:rsidRPr="002B2A67">
        <w:rPr>
          <w:rFonts w:eastAsia="Times New Roman" w:cstheme="minorHAnsi"/>
          <w:color w:val="000000"/>
          <w:lang w:eastAsia="en-GB"/>
        </w:rPr>
        <w:t xml:space="preserve">egulated </w:t>
      </w:r>
      <w:r>
        <w:rPr>
          <w:rFonts w:eastAsia="Times New Roman" w:cstheme="minorHAnsi"/>
          <w:color w:val="000000"/>
          <w:lang w:eastAsia="en-GB"/>
        </w:rPr>
        <w:t>M</w:t>
      </w:r>
      <w:r w:rsidRPr="002B2A67">
        <w:rPr>
          <w:rFonts w:eastAsia="Times New Roman" w:cstheme="minorHAnsi"/>
          <w:color w:val="000000"/>
          <w:lang w:eastAsia="en-GB"/>
        </w:rPr>
        <w:t>arkets to OTF</w:t>
      </w:r>
      <w:r>
        <w:rPr>
          <w:rFonts w:eastAsia="Times New Roman" w:cstheme="minorHAnsi"/>
          <w:color w:val="000000"/>
          <w:lang w:eastAsia="en-GB"/>
        </w:rPr>
        <w:t>s,</w:t>
      </w:r>
      <w:r w:rsidRPr="002B2A67">
        <w:rPr>
          <w:rFonts w:eastAsia="Times New Roman" w:cstheme="minorHAnsi"/>
          <w:color w:val="000000"/>
          <w:lang w:eastAsia="en-GB"/>
        </w:rPr>
        <w:t xml:space="preserve"> the relative market share of firms remaining </w:t>
      </w:r>
      <w:r>
        <w:rPr>
          <w:rFonts w:eastAsia="Times New Roman" w:cstheme="minorHAnsi"/>
          <w:color w:val="000000"/>
          <w:lang w:eastAsia="en-GB"/>
        </w:rPr>
        <w:t>in</w:t>
      </w:r>
      <w:r w:rsidRPr="002B2A67">
        <w:rPr>
          <w:rFonts w:eastAsia="Times New Roman" w:cstheme="minorHAnsi"/>
          <w:color w:val="000000"/>
          <w:lang w:eastAsia="en-GB"/>
        </w:rPr>
        <w:t xml:space="preserve"> the regulated market increases, in case </w:t>
      </w:r>
      <w:r>
        <w:rPr>
          <w:rFonts w:eastAsia="Times New Roman" w:cstheme="minorHAnsi"/>
          <w:color w:val="000000"/>
          <w:lang w:eastAsia="en-GB"/>
        </w:rPr>
        <w:t xml:space="preserve">only </w:t>
      </w:r>
      <w:r w:rsidRPr="002B2A67">
        <w:rPr>
          <w:rFonts w:eastAsia="Times New Roman" w:cstheme="minorHAnsi"/>
          <w:color w:val="000000"/>
          <w:lang w:eastAsia="en-GB"/>
        </w:rPr>
        <w:t xml:space="preserve">TR data is used to calculate the overall market trading activity. This </w:t>
      </w:r>
      <w:r>
        <w:rPr>
          <w:rFonts w:eastAsia="Times New Roman" w:cstheme="minorHAnsi"/>
          <w:color w:val="000000"/>
          <w:lang w:eastAsia="en-GB"/>
        </w:rPr>
        <w:t>may</w:t>
      </w:r>
      <w:r w:rsidRPr="002B2A67">
        <w:rPr>
          <w:rFonts w:eastAsia="Times New Roman" w:cstheme="minorHAnsi"/>
          <w:color w:val="000000"/>
          <w:lang w:eastAsia="en-GB"/>
        </w:rPr>
        <w:t xml:space="preserve"> </w:t>
      </w:r>
      <w:r>
        <w:rPr>
          <w:rFonts w:eastAsia="Times New Roman" w:cstheme="minorHAnsi"/>
          <w:color w:val="000000"/>
          <w:lang w:eastAsia="en-GB"/>
        </w:rPr>
        <w:lastRenderedPageBreak/>
        <w:t>trigger</w:t>
      </w:r>
      <w:r w:rsidRPr="002B2A67">
        <w:rPr>
          <w:rFonts w:eastAsia="Times New Roman" w:cstheme="minorHAnsi"/>
          <w:color w:val="000000"/>
          <w:lang w:eastAsia="en-GB"/>
        </w:rPr>
        <w:t xml:space="preserve"> a chain reaction of companies leaving the regulated market</w:t>
      </w:r>
      <w:r>
        <w:rPr>
          <w:rFonts w:eastAsia="Times New Roman" w:cstheme="minorHAnsi"/>
          <w:color w:val="000000"/>
          <w:lang w:eastAsia="en-GB"/>
        </w:rPr>
        <w:t>,</w:t>
      </w:r>
      <w:r w:rsidRPr="002B2A67">
        <w:rPr>
          <w:rFonts w:eastAsia="Times New Roman" w:cstheme="minorHAnsi"/>
          <w:color w:val="000000"/>
          <w:lang w:eastAsia="en-GB"/>
        </w:rPr>
        <w:t xml:space="preserve"> the </w:t>
      </w:r>
      <w:r>
        <w:rPr>
          <w:rFonts w:eastAsia="Times New Roman" w:cstheme="minorHAnsi"/>
          <w:color w:val="000000"/>
          <w:lang w:eastAsia="en-GB"/>
        </w:rPr>
        <w:t xml:space="preserve">MiFID II and </w:t>
      </w:r>
      <w:r w:rsidRPr="002B2A67">
        <w:rPr>
          <w:rFonts w:eastAsia="Times New Roman" w:cstheme="minorHAnsi"/>
          <w:color w:val="000000"/>
          <w:lang w:eastAsia="en-GB"/>
        </w:rPr>
        <w:t>EMIR framework and of companies dropping out of the market.</w:t>
      </w:r>
    </w:p>
    <w:p w:rsidR="00094CE6" w:rsidRPr="005C1212" w:rsidRDefault="00094CE6" w:rsidP="00094CE6">
      <w:pPr>
        <w:pStyle w:val="Listenabsatz"/>
        <w:numPr>
          <w:ilvl w:val="0"/>
          <w:numId w:val="0"/>
        </w:numPr>
        <w:ind w:left="360"/>
        <w:rPr>
          <w:rFonts w:eastAsia="Times New Roman" w:cstheme="minorHAnsi"/>
          <w:color w:val="000000"/>
          <w:lang w:eastAsia="en-GB"/>
        </w:rPr>
      </w:pPr>
    </w:p>
    <w:p w:rsidR="00094CE6" w:rsidRPr="005C1212" w:rsidRDefault="00094CE6" w:rsidP="00094CE6">
      <w:pPr>
        <w:pStyle w:val="Listenabsatz"/>
        <w:numPr>
          <w:ilvl w:val="0"/>
          <w:numId w:val="34"/>
        </w:numPr>
        <w:autoSpaceDE w:val="0"/>
        <w:autoSpaceDN w:val="0"/>
        <w:adjustRightInd w:val="0"/>
        <w:spacing w:line="240" w:lineRule="auto"/>
        <w:rPr>
          <w:rFonts w:eastAsia="Times New Roman" w:cstheme="minorHAnsi"/>
          <w:color w:val="000000"/>
          <w:lang w:val="en-US" w:eastAsia="en-GB"/>
        </w:rPr>
      </w:pPr>
      <w:r w:rsidRPr="005C1212">
        <w:rPr>
          <w:rFonts w:eastAsia="Times New Roman" w:cstheme="minorHAnsi"/>
          <w:color w:val="000000"/>
          <w:lang w:val="en-US" w:eastAsia="en-GB"/>
        </w:rPr>
        <w:t>Cautious thresholds should be set at first to avoid small entities being forced to definitely exit the market and causing an irrevocable drop of liquidity. These thresholds could be eventually lowered based on in-depth economic analysis and lessons learnt from MiFID II application. This would be in line with the required MiFID review in 2018 for gas and power.</w:t>
      </w:r>
    </w:p>
    <w:permEnd w:id="1461275771"/>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094CE6" w:rsidRDefault="00094CE6" w:rsidP="00EC2C93">
      <w:pPr>
        <w:keepNext/>
        <w:rPr>
          <w:rFonts w:eastAsia="Times New Roman" w:cstheme="minorHAnsi"/>
          <w:color w:val="000000"/>
          <w:lang w:eastAsia="en-GB"/>
        </w:rPr>
      </w:pPr>
      <w:permStart w:id="1359093576" w:edGrp="everyone"/>
      <w:r w:rsidRPr="002B2A67">
        <w:rPr>
          <w:rFonts w:eastAsia="Times New Roman" w:cstheme="minorHAnsi"/>
          <w:color w:val="000000"/>
          <w:lang w:eastAsia="en-GB"/>
        </w:rPr>
        <w:t>Europex fully supports the introduction of a de minimis threshold for small firms. However, this must not lead to a general in-or-out-decision with an overly diminished ancillary activity exemption for bigger companies.</w:t>
      </w:r>
    </w:p>
    <w:permEnd w:id="1359093576"/>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094CE6" w:rsidRDefault="00094CE6" w:rsidP="00EC2C93">
      <w:pPr>
        <w:keepNext/>
        <w:rPr>
          <w:rFonts w:eastAsia="Times New Roman" w:cstheme="minorHAnsi"/>
          <w:color w:val="000000"/>
          <w:lang w:eastAsia="en-GB"/>
        </w:rPr>
      </w:pPr>
      <w:permStart w:id="865431090" w:edGrp="everyone"/>
      <w:r w:rsidRPr="002B2A67">
        <w:rPr>
          <w:rFonts w:eastAsia="Times New Roman" w:cstheme="minorHAnsi"/>
          <w:color w:val="000000"/>
          <w:lang w:eastAsia="en-GB"/>
        </w:rPr>
        <w:t>Europex fully supports the introduction of a de minimis threshold for small firms. However, this must not lead to a general in-or-out-decision with an overly diminished ancillary activity exemption for bigger companies.</w:t>
      </w:r>
    </w:p>
    <w:permEnd w:id="8654310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094CE6" w:rsidRPr="002D6E6E" w:rsidRDefault="00094CE6" w:rsidP="00E22AC0">
      <w:pPr>
        <w:spacing w:line="240" w:lineRule="auto"/>
        <w:rPr>
          <w:rFonts w:eastAsia="Times New Roman" w:cstheme="minorHAnsi"/>
          <w:color w:val="000000"/>
          <w:lang w:eastAsia="en-GB"/>
        </w:rPr>
      </w:pPr>
      <w:permStart w:id="826089077" w:edGrp="everyone"/>
      <w:r w:rsidRPr="002B2A67">
        <w:rPr>
          <w:rFonts w:eastAsia="Times New Roman" w:cstheme="minorHAnsi"/>
          <w:color w:val="000000"/>
          <w:lang w:eastAsia="en-GB"/>
        </w:rPr>
        <w:t xml:space="preserve">Europex agrees with determining the qualification for </w:t>
      </w:r>
      <w:r>
        <w:rPr>
          <w:rFonts w:eastAsia="Times New Roman" w:cstheme="minorHAnsi"/>
          <w:color w:val="000000"/>
          <w:lang w:eastAsia="en-GB"/>
        </w:rPr>
        <w:t xml:space="preserve">the </w:t>
      </w:r>
      <w:r w:rsidRPr="002D6E6E">
        <w:rPr>
          <w:rFonts w:eastAsia="Times New Roman" w:cstheme="minorHAnsi"/>
          <w:color w:val="000000"/>
          <w:lang w:eastAsia="en-GB"/>
        </w:rPr>
        <w:t xml:space="preserve">exemption on the basis of a rolling average of three years. </w:t>
      </w:r>
      <w:r>
        <w:rPr>
          <w:rFonts w:eastAsia="Times New Roman" w:cstheme="minorHAnsi"/>
          <w:color w:val="000000"/>
          <w:lang w:eastAsia="en-GB"/>
        </w:rPr>
        <w:t>Against this background, it</w:t>
      </w:r>
      <w:r w:rsidRPr="002D6E6E">
        <w:rPr>
          <w:rFonts w:eastAsia="Times New Roman" w:cstheme="minorHAnsi"/>
          <w:color w:val="000000"/>
          <w:lang w:eastAsia="en-GB"/>
        </w:rPr>
        <w:t xml:space="preserve"> is very important to take into account that trading behaviour can fluctuate from one year to the other.</w:t>
      </w:r>
    </w:p>
    <w:p w:rsidR="00094CE6" w:rsidRPr="00313DFD" w:rsidRDefault="00094CE6" w:rsidP="00E22AC0">
      <w:pPr>
        <w:spacing w:line="240" w:lineRule="auto"/>
        <w:rPr>
          <w:rFonts w:eastAsia="Times New Roman" w:cstheme="minorHAnsi"/>
          <w:color w:val="000000"/>
          <w:lang w:eastAsia="en-GB"/>
        </w:rPr>
      </w:pPr>
    </w:p>
    <w:p w:rsidR="00094CE6" w:rsidRPr="00585288" w:rsidRDefault="00094CE6" w:rsidP="00E22AC0">
      <w:pPr>
        <w:spacing w:line="240" w:lineRule="auto"/>
        <w:rPr>
          <w:rFonts w:eastAsia="Times New Roman" w:cstheme="minorHAnsi"/>
          <w:color w:val="000000"/>
          <w:lang w:eastAsia="en-GB"/>
        </w:rPr>
      </w:pPr>
      <w:r w:rsidRPr="00B97938">
        <w:rPr>
          <w:rFonts w:eastAsia="Times New Roman" w:cstheme="minorHAnsi"/>
          <w:color w:val="000000"/>
          <w:lang w:eastAsia="en-GB"/>
        </w:rPr>
        <w:t xml:space="preserve">However, Europex </w:t>
      </w:r>
      <w:r>
        <w:rPr>
          <w:rFonts w:eastAsia="Times New Roman" w:cstheme="minorHAnsi"/>
          <w:color w:val="000000"/>
          <w:lang w:eastAsia="en-GB"/>
        </w:rPr>
        <w:t>absolutely</w:t>
      </w:r>
      <w:r w:rsidRPr="00585288">
        <w:rPr>
          <w:rFonts w:eastAsia="Times New Roman" w:cstheme="minorHAnsi"/>
          <w:color w:val="000000"/>
          <w:lang w:eastAsia="en-GB"/>
        </w:rPr>
        <w:t xml:space="preserve"> </w:t>
      </w:r>
      <w:r>
        <w:rPr>
          <w:rFonts w:eastAsia="Times New Roman" w:cstheme="minorHAnsi"/>
          <w:color w:val="000000"/>
          <w:lang w:eastAsia="en-GB"/>
        </w:rPr>
        <w:t>dis</w:t>
      </w:r>
      <w:r w:rsidRPr="00585288">
        <w:rPr>
          <w:rFonts w:eastAsia="Times New Roman" w:cstheme="minorHAnsi"/>
          <w:color w:val="000000"/>
          <w:lang w:eastAsia="en-GB"/>
        </w:rPr>
        <w:t>agree</w:t>
      </w:r>
      <w:r>
        <w:rPr>
          <w:rFonts w:eastAsia="Times New Roman" w:cstheme="minorHAnsi"/>
          <w:color w:val="000000"/>
          <w:lang w:eastAsia="en-GB"/>
        </w:rPr>
        <w:t>s</w:t>
      </w:r>
      <w:r w:rsidRPr="00585288">
        <w:rPr>
          <w:rFonts w:eastAsia="Times New Roman" w:cstheme="minorHAnsi"/>
          <w:color w:val="000000"/>
          <w:lang w:eastAsia="en-GB"/>
        </w:rPr>
        <w:t xml:space="preserve"> with the </w:t>
      </w:r>
      <w:r>
        <w:rPr>
          <w:rFonts w:eastAsia="Times New Roman" w:cstheme="minorHAnsi"/>
          <w:color w:val="000000"/>
          <w:lang w:eastAsia="en-GB"/>
        </w:rPr>
        <w:t xml:space="preserve">proposed </w:t>
      </w:r>
      <w:r w:rsidRPr="00585288">
        <w:rPr>
          <w:rFonts w:eastAsia="Times New Roman" w:cstheme="minorHAnsi"/>
          <w:color w:val="000000"/>
          <w:lang w:eastAsia="en-GB"/>
        </w:rPr>
        <w:t xml:space="preserve">interim approach. </w:t>
      </w:r>
      <w:r w:rsidRPr="008765FD">
        <w:rPr>
          <w:rFonts w:eastAsia="Times New Roman" w:cstheme="minorHAnsi"/>
          <w:color w:val="000000"/>
          <w:lang w:eastAsia="en-GB"/>
        </w:rPr>
        <w:t xml:space="preserve">ESMA suggests that the trading data of 2016 is used to determine whether a firm </w:t>
      </w:r>
      <w:r w:rsidRPr="00585288">
        <w:rPr>
          <w:rFonts w:eastAsia="Times New Roman" w:cstheme="minorHAnsi"/>
          <w:color w:val="000000"/>
          <w:lang w:eastAsia="en-GB"/>
        </w:rPr>
        <w:t>can benefit from the ancillary service exemption in January 2017. This creates a number of problems:</w:t>
      </w:r>
    </w:p>
    <w:p w:rsidR="00094CE6" w:rsidRPr="002B2A67" w:rsidRDefault="00094CE6" w:rsidP="00094CE6">
      <w:pPr>
        <w:pStyle w:val="Listenabsatz"/>
        <w:numPr>
          <w:ilvl w:val="0"/>
          <w:numId w:val="35"/>
        </w:numPr>
        <w:spacing w:line="240" w:lineRule="auto"/>
        <w:rPr>
          <w:rFonts w:eastAsia="Times New Roman" w:cstheme="minorHAnsi"/>
          <w:color w:val="000000"/>
          <w:lang w:eastAsia="en-GB"/>
        </w:rPr>
      </w:pPr>
      <w:r>
        <w:rPr>
          <w:rFonts w:eastAsia="Times New Roman" w:cstheme="minorHAnsi"/>
          <w:color w:val="000000"/>
          <w:lang w:eastAsia="en-GB"/>
        </w:rPr>
        <w:t>Until today</w:t>
      </w:r>
      <w:r w:rsidRPr="002B2A67">
        <w:rPr>
          <w:rFonts w:eastAsia="Times New Roman" w:cstheme="minorHAnsi"/>
          <w:color w:val="000000"/>
          <w:lang w:eastAsia="en-GB"/>
        </w:rPr>
        <w:t xml:space="preserve">, it </w:t>
      </w:r>
      <w:r>
        <w:rPr>
          <w:rFonts w:eastAsia="Times New Roman" w:cstheme="minorHAnsi"/>
          <w:color w:val="000000"/>
          <w:lang w:eastAsia="en-GB"/>
        </w:rPr>
        <w:t>has</w:t>
      </w:r>
      <w:r w:rsidRPr="002B2A67">
        <w:rPr>
          <w:rFonts w:eastAsia="Times New Roman" w:cstheme="minorHAnsi"/>
          <w:color w:val="000000"/>
          <w:lang w:eastAsia="en-GB"/>
        </w:rPr>
        <w:t xml:space="preserve"> not </w:t>
      </w:r>
      <w:r>
        <w:rPr>
          <w:rFonts w:eastAsia="Times New Roman" w:cstheme="minorHAnsi"/>
          <w:color w:val="000000"/>
          <w:lang w:eastAsia="en-GB"/>
        </w:rPr>
        <w:t xml:space="preserve">been </w:t>
      </w:r>
      <w:r w:rsidRPr="002B2A67">
        <w:rPr>
          <w:rFonts w:eastAsia="Times New Roman" w:cstheme="minorHAnsi"/>
          <w:color w:val="000000"/>
          <w:lang w:eastAsia="en-GB"/>
        </w:rPr>
        <w:t xml:space="preserve">fully defined </w:t>
      </w:r>
      <w:r>
        <w:rPr>
          <w:rFonts w:eastAsia="Times New Roman" w:cstheme="minorHAnsi"/>
          <w:color w:val="000000"/>
          <w:lang w:eastAsia="en-GB"/>
        </w:rPr>
        <w:t xml:space="preserve">yet </w:t>
      </w:r>
      <w:r w:rsidRPr="002B2A67">
        <w:rPr>
          <w:rFonts w:eastAsia="Times New Roman" w:cstheme="minorHAnsi"/>
          <w:color w:val="000000"/>
          <w:lang w:eastAsia="en-GB"/>
        </w:rPr>
        <w:t>what a financial instrument in the sense of MiFID I</w:t>
      </w:r>
      <w:r>
        <w:rPr>
          <w:rFonts w:eastAsia="Times New Roman" w:cstheme="minorHAnsi"/>
          <w:color w:val="000000"/>
          <w:lang w:eastAsia="en-GB"/>
        </w:rPr>
        <w:t xml:space="preserve"> is</w:t>
      </w:r>
      <w:r w:rsidRPr="002B2A67">
        <w:rPr>
          <w:rFonts w:eastAsia="Times New Roman" w:cstheme="minorHAnsi"/>
          <w:color w:val="000000"/>
          <w:lang w:eastAsia="en-GB"/>
        </w:rPr>
        <w:t xml:space="preserve"> </w:t>
      </w:r>
      <w:r>
        <w:rPr>
          <w:rFonts w:eastAsia="Times New Roman" w:cstheme="minorHAnsi"/>
          <w:color w:val="000000"/>
          <w:lang w:eastAsia="en-GB"/>
        </w:rPr>
        <w:t xml:space="preserve">and </w:t>
      </w:r>
      <w:r w:rsidRPr="002B2A67">
        <w:rPr>
          <w:rFonts w:eastAsia="Times New Roman" w:cstheme="minorHAnsi"/>
          <w:color w:val="000000"/>
          <w:lang w:eastAsia="en-GB"/>
        </w:rPr>
        <w:t>what a financial instrument in the sense of MiFID II</w:t>
      </w:r>
      <w:r>
        <w:rPr>
          <w:rFonts w:eastAsia="Times New Roman" w:cstheme="minorHAnsi"/>
          <w:color w:val="000000"/>
          <w:lang w:eastAsia="en-GB"/>
        </w:rPr>
        <w:t xml:space="preserve"> will be</w:t>
      </w:r>
      <w:r w:rsidRPr="002B2A67">
        <w:rPr>
          <w:rFonts w:eastAsia="Times New Roman" w:cstheme="minorHAnsi"/>
          <w:color w:val="000000"/>
          <w:lang w:eastAsia="en-GB"/>
        </w:rPr>
        <w:t xml:space="preserve">. It </w:t>
      </w:r>
      <w:r>
        <w:rPr>
          <w:rFonts w:eastAsia="Times New Roman" w:cstheme="minorHAnsi"/>
          <w:color w:val="000000"/>
          <w:lang w:eastAsia="en-GB"/>
        </w:rPr>
        <w:t xml:space="preserve">seems thus very unlikely that </w:t>
      </w:r>
      <w:r w:rsidRPr="002B2A67">
        <w:rPr>
          <w:rFonts w:eastAsia="Times New Roman" w:cstheme="minorHAnsi"/>
          <w:color w:val="000000"/>
          <w:lang w:eastAsia="en-GB"/>
        </w:rPr>
        <w:t xml:space="preserve">there </w:t>
      </w:r>
      <w:r>
        <w:rPr>
          <w:rFonts w:eastAsia="Times New Roman" w:cstheme="minorHAnsi"/>
          <w:color w:val="000000"/>
          <w:lang w:eastAsia="en-GB"/>
        </w:rPr>
        <w:t>will be</w:t>
      </w:r>
      <w:r w:rsidRPr="002B2A67">
        <w:rPr>
          <w:rFonts w:eastAsia="Times New Roman" w:cstheme="minorHAnsi"/>
          <w:color w:val="000000"/>
          <w:lang w:eastAsia="en-GB"/>
        </w:rPr>
        <w:t xml:space="preserve"> a harmoni</w:t>
      </w:r>
      <w:r>
        <w:rPr>
          <w:rFonts w:eastAsia="Times New Roman" w:cstheme="minorHAnsi"/>
          <w:color w:val="000000"/>
          <w:lang w:eastAsia="en-GB"/>
        </w:rPr>
        <w:t>s</w:t>
      </w:r>
      <w:r w:rsidRPr="002B2A67">
        <w:rPr>
          <w:rFonts w:eastAsia="Times New Roman" w:cstheme="minorHAnsi"/>
          <w:color w:val="000000"/>
          <w:lang w:eastAsia="en-GB"/>
        </w:rPr>
        <w:t xml:space="preserve">ed and clear definition of financial instruments at the beginning of 2016, which would be a precondition </w:t>
      </w:r>
      <w:r>
        <w:rPr>
          <w:rFonts w:eastAsia="Times New Roman" w:cstheme="minorHAnsi"/>
          <w:color w:val="000000"/>
          <w:lang w:eastAsia="en-GB"/>
        </w:rPr>
        <w:t>for</w:t>
      </w:r>
      <w:r w:rsidRPr="002B2A67">
        <w:rPr>
          <w:rFonts w:eastAsia="Times New Roman" w:cstheme="minorHAnsi"/>
          <w:color w:val="000000"/>
          <w:lang w:eastAsia="en-GB"/>
        </w:rPr>
        <w:t xml:space="preserve"> apply</w:t>
      </w:r>
      <w:r>
        <w:rPr>
          <w:rFonts w:eastAsia="Times New Roman" w:cstheme="minorHAnsi"/>
          <w:color w:val="000000"/>
          <w:lang w:eastAsia="en-GB"/>
        </w:rPr>
        <w:t>ing</w:t>
      </w:r>
      <w:r w:rsidRPr="002B2A67">
        <w:rPr>
          <w:rFonts w:eastAsia="Times New Roman" w:cstheme="minorHAnsi"/>
          <w:color w:val="000000"/>
          <w:lang w:eastAsia="en-GB"/>
        </w:rPr>
        <w:t xml:space="preserve"> the methodology as suggested by ESMA. This is particular</w:t>
      </w:r>
      <w:r>
        <w:rPr>
          <w:rFonts w:eastAsia="Times New Roman" w:cstheme="minorHAnsi"/>
          <w:color w:val="000000"/>
          <w:lang w:eastAsia="en-GB"/>
        </w:rPr>
        <w:t>ly</w:t>
      </w:r>
      <w:r w:rsidRPr="002B2A67">
        <w:rPr>
          <w:rFonts w:eastAsia="Times New Roman" w:cstheme="minorHAnsi"/>
          <w:color w:val="000000"/>
          <w:lang w:eastAsia="en-GB"/>
        </w:rPr>
        <w:t xml:space="preserve"> true for derivatives that are classified as financial instruments </w:t>
      </w:r>
      <w:r>
        <w:rPr>
          <w:rFonts w:eastAsia="Times New Roman" w:cstheme="minorHAnsi"/>
          <w:color w:val="000000"/>
          <w:lang w:eastAsia="en-GB"/>
        </w:rPr>
        <w:t>in</w:t>
      </w:r>
      <w:r w:rsidRPr="002B2A67">
        <w:rPr>
          <w:rFonts w:eastAsia="Times New Roman" w:cstheme="minorHAnsi"/>
          <w:color w:val="000000"/>
          <w:lang w:eastAsia="en-GB"/>
        </w:rPr>
        <w:t xml:space="preserve"> Annex I C (6) and C (7).</w:t>
      </w:r>
    </w:p>
    <w:p w:rsidR="00094CE6" w:rsidRPr="002B2A67" w:rsidRDefault="00094CE6" w:rsidP="00094CE6">
      <w:pPr>
        <w:pStyle w:val="Listenabsatz"/>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Regarding gas and power, MiFID II foresees a </w:t>
      </w:r>
      <w:r>
        <w:rPr>
          <w:rFonts w:eastAsia="Times New Roman" w:cstheme="minorHAnsi"/>
          <w:color w:val="000000"/>
          <w:lang w:eastAsia="en-GB"/>
        </w:rPr>
        <w:t xml:space="preserve">special </w:t>
      </w:r>
      <w:r w:rsidRPr="002B2A67">
        <w:rPr>
          <w:rFonts w:eastAsia="Times New Roman" w:cstheme="minorHAnsi"/>
          <w:color w:val="000000"/>
          <w:lang w:eastAsia="en-GB"/>
        </w:rPr>
        <w:t xml:space="preserve">exemption for contracts traded on an OTF that must be physically settled. However, firms can benefit from this exemption only </w:t>
      </w:r>
      <w:r>
        <w:rPr>
          <w:rFonts w:eastAsia="Times New Roman" w:cstheme="minorHAnsi"/>
          <w:color w:val="000000"/>
          <w:lang w:eastAsia="en-GB"/>
        </w:rPr>
        <w:t>as of</w:t>
      </w:r>
      <w:r w:rsidRPr="002B2A67">
        <w:rPr>
          <w:rFonts w:eastAsia="Times New Roman" w:cstheme="minorHAnsi"/>
          <w:color w:val="000000"/>
          <w:lang w:eastAsia="en-GB"/>
        </w:rPr>
        <w:t xml:space="preserve"> 2017. Europex believes that the general exemption for gas and power trading may not be repealed before the C6 exemption fully enters into </w:t>
      </w:r>
      <w:r>
        <w:rPr>
          <w:rFonts w:eastAsia="Times New Roman" w:cstheme="minorHAnsi"/>
          <w:color w:val="000000"/>
          <w:lang w:eastAsia="en-GB"/>
        </w:rPr>
        <w:t>application.</w:t>
      </w:r>
    </w:p>
    <w:p w:rsidR="00094CE6" w:rsidRPr="002B2A67" w:rsidRDefault="00094CE6" w:rsidP="00094CE6">
      <w:pPr>
        <w:pStyle w:val="Listenabsatz"/>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reporting obligation will not be in place </w:t>
      </w:r>
      <w:r>
        <w:rPr>
          <w:rFonts w:eastAsia="Times New Roman" w:cstheme="minorHAnsi"/>
          <w:color w:val="000000"/>
          <w:lang w:eastAsia="en-GB"/>
        </w:rPr>
        <w:t xml:space="preserve">either </w:t>
      </w:r>
      <w:r w:rsidRPr="002B2A67">
        <w:rPr>
          <w:rFonts w:eastAsia="Times New Roman" w:cstheme="minorHAnsi"/>
          <w:color w:val="000000"/>
          <w:lang w:eastAsia="en-GB"/>
        </w:rPr>
        <w:t xml:space="preserve">before </w:t>
      </w:r>
      <w:r>
        <w:rPr>
          <w:rFonts w:eastAsia="Times New Roman" w:cstheme="minorHAnsi"/>
          <w:color w:val="000000"/>
          <w:lang w:eastAsia="en-GB"/>
        </w:rPr>
        <w:t>2017</w:t>
      </w:r>
      <w:r w:rsidRPr="002B2A67">
        <w:rPr>
          <w:rFonts w:eastAsia="Times New Roman" w:cstheme="minorHAnsi"/>
          <w:color w:val="000000"/>
          <w:lang w:eastAsia="en-GB"/>
        </w:rPr>
        <w:t>, which will make the collection of data particularly difficult in 2016. It will hence be nearly impossible to assess the trading activity threshold in 2016.</w:t>
      </w:r>
    </w:p>
    <w:p w:rsidR="00094CE6" w:rsidRDefault="00094CE6" w:rsidP="00094CE6">
      <w:pPr>
        <w:pStyle w:val="Listenabsatz"/>
        <w:numPr>
          <w:ilvl w:val="0"/>
          <w:numId w:val="35"/>
        </w:numPr>
        <w:spacing w:line="240" w:lineRule="auto"/>
        <w:rPr>
          <w:rFonts w:eastAsia="Times New Roman" w:cstheme="minorHAnsi"/>
          <w:color w:val="000000"/>
          <w:lang w:eastAsia="en-GB"/>
        </w:rPr>
      </w:pPr>
      <w:r w:rsidRPr="002B2A67">
        <w:rPr>
          <w:rFonts w:eastAsia="Times New Roman" w:cstheme="minorHAnsi"/>
          <w:color w:val="000000"/>
          <w:lang w:eastAsia="en-GB"/>
        </w:rPr>
        <w:lastRenderedPageBreak/>
        <w:t xml:space="preserve">Europex believes that firms should </w:t>
      </w:r>
      <w:r>
        <w:rPr>
          <w:rFonts w:eastAsia="Times New Roman" w:cstheme="minorHAnsi"/>
          <w:color w:val="000000"/>
          <w:lang w:eastAsia="en-GB"/>
        </w:rPr>
        <w:t>be given</w:t>
      </w:r>
      <w:r w:rsidRPr="002B2A67">
        <w:rPr>
          <w:rFonts w:eastAsia="Times New Roman" w:cstheme="minorHAnsi"/>
          <w:color w:val="000000"/>
          <w:lang w:eastAsia="en-GB"/>
        </w:rPr>
        <w:t xml:space="preserve"> the choice to (a) reduce their trading activity and to avoid becoming an investment firm or (b) not to reduce their trading activity and </w:t>
      </w:r>
      <w:r>
        <w:rPr>
          <w:rFonts w:eastAsia="Times New Roman" w:cstheme="minorHAnsi"/>
          <w:color w:val="000000"/>
          <w:lang w:eastAsia="en-GB"/>
        </w:rPr>
        <w:t xml:space="preserve">to </w:t>
      </w:r>
      <w:r w:rsidRPr="002B2A67">
        <w:rPr>
          <w:rFonts w:eastAsia="Times New Roman" w:cstheme="minorHAnsi"/>
          <w:color w:val="000000"/>
          <w:lang w:eastAsia="en-GB"/>
        </w:rPr>
        <w:t xml:space="preserve">apply for a license. Given the uncertainties outlined above, it </w:t>
      </w:r>
      <w:r>
        <w:rPr>
          <w:rFonts w:eastAsia="Times New Roman" w:cstheme="minorHAnsi"/>
          <w:color w:val="000000"/>
          <w:lang w:eastAsia="en-GB"/>
        </w:rPr>
        <w:t>will be</w:t>
      </w:r>
      <w:r w:rsidRPr="002B2A67">
        <w:rPr>
          <w:rFonts w:eastAsia="Times New Roman" w:cstheme="minorHAnsi"/>
          <w:color w:val="000000"/>
          <w:lang w:eastAsia="en-GB"/>
        </w:rPr>
        <w:t xml:space="preserve"> </w:t>
      </w:r>
      <w:r>
        <w:rPr>
          <w:rFonts w:eastAsia="Times New Roman" w:cstheme="minorHAnsi"/>
          <w:color w:val="000000"/>
          <w:lang w:eastAsia="en-GB"/>
        </w:rPr>
        <w:t>almost</w:t>
      </w:r>
      <w:r w:rsidRPr="002B2A67">
        <w:rPr>
          <w:rFonts w:eastAsia="Times New Roman" w:cstheme="minorHAnsi"/>
          <w:color w:val="000000"/>
          <w:lang w:eastAsia="en-GB"/>
        </w:rPr>
        <w:t xml:space="preserve"> </w:t>
      </w:r>
      <w:r>
        <w:rPr>
          <w:rFonts w:eastAsia="Times New Roman" w:cstheme="minorHAnsi"/>
          <w:color w:val="000000"/>
          <w:lang w:eastAsia="en-GB"/>
        </w:rPr>
        <w:t>im</w:t>
      </w:r>
      <w:r w:rsidRPr="002B2A67">
        <w:rPr>
          <w:rFonts w:eastAsia="Times New Roman" w:cstheme="minorHAnsi"/>
          <w:color w:val="000000"/>
          <w:lang w:eastAsia="en-GB"/>
        </w:rPr>
        <w:t xml:space="preserve">possible for a firm to anticipate the thresholds and to adjust </w:t>
      </w:r>
      <w:r>
        <w:rPr>
          <w:rFonts w:eastAsia="Times New Roman" w:cstheme="minorHAnsi"/>
          <w:color w:val="000000"/>
          <w:lang w:eastAsia="en-GB"/>
        </w:rPr>
        <w:t>its</w:t>
      </w:r>
      <w:r w:rsidRPr="002B2A67">
        <w:rPr>
          <w:rFonts w:eastAsia="Times New Roman" w:cstheme="minorHAnsi"/>
          <w:color w:val="000000"/>
          <w:lang w:eastAsia="en-GB"/>
        </w:rPr>
        <w:t xml:space="preserve"> </w:t>
      </w:r>
      <w:r>
        <w:rPr>
          <w:rFonts w:eastAsia="Times New Roman" w:cstheme="minorHAnsi"/>
          <w:color w:val="000000"/>
          <w:lang w:eastAsia="en-GB"/>
        </w:rPr>
        <w:t xml:space="preserve">trading </w:t>
      </w:r>
      <w:r w:rsidRPr="002B2A67">
        <w:rPr>
          <w:rFonts w:eastAsia="Times New Roman" w:cstheme="minorHAnsi"/>
          <w:color w:val="000000"/>
          <w:lang w:eastAsia="en-GB"/>
        </w:rPr>
        <w:t>activity accordingly. This is particular</w:t>
      </w:r>
      <w:r>
        <w:rPr>
          <w:rFonts w:eastAsia="Times New Roman" w:cstheme="minorHAnsi"/>
          <w:color w:val="000000"/>
          <w:lang w:eastAsia="en-GB"/>
        </w:rPr>
        <w:t>ly</w:t>
      </w:r>
      <w:r w:rsidRPr="002B2A67">
        <w:rPr>
          <w:rFonts w:eastAsia="Times New Roman" w:cstheme="minorHAnsi"/>
          <w:color w:val="000000"/>
          <w:lang w:eastAsia="en-GB"/>
        </w:rPr>
        <w:t xml:space="preserve"> true with regard to the trading activity test, because firms cannot anticipate the </w:t>
      </w:r>
      <w:r w:rsidRPr="00B97938">
        <w:rPr>
          <w:rFonts w:eastAsia="Times New Roman" w:cstheme="minorHAnsi"/>
          <w:color w:val="000000"/>
          <w:lang w:eastAsia="en-GB"/>
        </w:rPr>
        <w:t>behaviour</w:t>
      </w:r>
      <w:r w:rsidRPr="002B2A67">
        <w:rPr>
          <w:rFonts w:eastAsia="Times New Roman" w:cstheme="minorHAnsi"/>
          <w:color w:val="000000"/>
          <w:lang w:eastAsia="en-GB"/>
        </w:rPr>
        <w:t xml:space="preserve"> of other firms trading in th</w:t>
      </w:r>
      <w:r>
        <w:rPr>
          <w:rFonts w:eastAsia="Times New Roman" w:cstheme="minorHAnsi"/>
          <w:color w:val="000000"/>
          <w:lang w:eastAsia="en-GB"/>
        </w:rPr>
        <w:t>e same</w:t>
      </w:r>
      <w:r w:rsidRPr="002B2A67">
        <w:rPr>
          <w:rFonts w:eastAsia="Times New Roman" w:cstheme="minorHAnsi"/>
          <w:color w:val="000000"/>
          <w:lang w:eastAsia="en-GB"/>
        </w:rPr>
        <w:t xml:space="preserve"> asset class</w:t>
      </w:r>
      <w:r>
        <w:rPr>
          <w:rFonts w:eastAsia="Times New Roman" w:cstheme="minorHAnsi"/>
          <w:color w:val="000000"/>
          <w:lang w:eastAsia="en-GB"/>
        </w:rPr>
        <w:t>(es).</w:t>
      </w:r>
    </w:p>
    <w:p w:rsidR="00094CE6" w:rsidRPr="002B2A67" w:rsidRDefault="00094CE6" w:rsidP="00094CE6">
      <w:pPr>
        <w:pStyle w:val="Listenabsatz"/>
        <w:numPr>
          <w:ilvl w:val="0"/>
          <w:numId w:val="0"/>
        </w:numPr>
        <w:ind w:left="360"/>
        <w:rPr>
          <w:rFonts w:eastAsia="Times New Roman" w:cstheme="minorHAnsi"/>
          <w:color w:val="000000"/>
          <w:lang w:eastAsia="en-GB"/>
        </w:rPr>
      </w:pPr>
    </w:p>
    <w:p w:rsidR="00094CE6" w:rsidRDefault="00094CE6" w:rsidP="00E22AC0">
      <w:pPr>
        <w:rPr>
          <w:rFonts w:eastAsia="Times New Roman" w:cstheme="minorHAnsi"/>
          <w:color w:val="000000"/>
          <w:lang w:eastAsia="en-GB"/>
        </w:rPr>
      </w:pPr>
      <w:r w:rsidRPr="002B2A67">
        <w:rPr>
          <w:rFonts w:eastAsia="Times New Roman" w:cstheme="minorHAnsi"/>
          <w:color w:val="000000"/>
          <w:lang w:eastAsia="en-GB"/>
        </w:rPr>
        <w:t xml:space="preserve">The suggested interim approach </w:t>
      </w:r>
      <w:r>
        <w:rPr>
          <w:rFonts w:eastAsia="Times New Roman" w:cstheme="minorHAnsi"/>
          <w:color w:val="000000"/>
          <w:lang w:eastAsia="en-GB"/>
        </w:rPr>
        <w:t xml:space="preserve">fully </w:t>
      </w:r>
      <w:r w:rsidRPr="002B2A67">
        <w:rPr>
          <w:rFonts w:eastAsia="Times New Roman" w:cstheme="minorHAnsi"/>
          <w:color w:val="000000"/>
          <w:lang w:eastAsia="en-GB"/>
        </w:rPr>
        <w:t xml:space="preserve">surprises Europex. </w:t>
      </w:r>
      <w:r w:rsidRPr="00313DFD">
        <w:rPr>
          <w:rFonts w:eastAsia="Times New Roman" w:cstheme="minorHAnsi"/>
          <w:color w:val="000000"/>
          <w:lang w:val="en-US" w:eastAsia="en-GB"/>
        </w:rPr>
        <w:t>To us</w:t>
      </w:r>
      <w:r>
        <w:rPr>
          <w:rFonts w:eastAsia="Times New Roman" w:cstheme="minorHAnsi"/>
          <w:color w:val="000000"/>
          <w:lang w:val="en-US" w:eastAsia="en-GB"/>
        </w:rPr>
        <w:t>,</w:t>
      </w:r>
      <w:r w:rsidRPr="00313DFD">
        <w:rPr>
          <w:rFonts w:eastAsia="Times New Roman" w:cstheme="minorHAnsi"/>
          <w:color w:val="000000"/>
          <w:lang w:val="en-US" w:eastAsia="en-GB"/>
        </w:rPr>
        <w:t xml:space="preserve"> this </w:t>
      </w:r>
      <w:r w:rsidRPr="002B2A67">
        <w:rPr>
          <w:rFonts w:eastAsia="Times New Roman" w:cstheme="minorHAnsi"/>
          <w:color w:val="000000"/>
          <w:lang w:eastAsia="en-GB"/>
        </w:rPr>
        <w:t xml:space="preserve">is the main point of concern in the </w:t>
      </w:r>
      <w:r>
        <w:rPr>
          <w:rFonts w:eastAsia="Times New Roman" w:cstheme="minorHAnsi"/>
          <w:color w:val="000000"/>
          <w:lang w:eastAsia="en-GB"/>
        </w:rPr>
        <w:t xml:space="preserve">present </w:t>
      </w:r>
      <w:r w:rsidRPr="002B2A67">
        <w:rPr>
          <w:rFonts w:eastAsia="Times New Roman" w:cstheme="minorHAnsi"/>
          <w:color w:val="000000"/>
          <w:lang w:eastAsia="en-GB"/>
        </w:rPr>
        <w:t xml:space="preserve">consultation paper. We strongly recommend excluding the trading data from the year 2016 with respect to the ancillary activity exemption. The first ‘ancillary activity test’ should </w:t>
      </w:r>
      <w:r>
        <w:rPr>
          <w:rFonts w:eastAsia="Times New Roman" w:cstheme="minorHAnsi"/>
          <w:color w:val="000000"/>
          <w:lang w:eastAsia="en-GB"/>
        </w:rPr>
        <w:t>take place</w:t>
      </w:r>
      <w:r w:rsidRPr="002B2A67">
        <w:rPr>
          <w:rFonts w:eastAsia="Times New Roman" w:cstheme="minorHAnsi"/>
          <w:color w:val="000000"/>
          <w:lang w:eastAsia="en-GB"/>
        </w:rPr>
        <w:t xml:space="preserve"> no sooner than </w:t>
      </w:r>
      <w:r>
        <w:rPr>
          <w:rFonts w:eastAsia="Times New Roman" w:cstheme="minorHAnsi"/>
          <w:color w:val="000000"/>
          <w:lang w:eastAsia="en-GB"/>
        </w:rPr>
        <w:t>at</w:t>
      </w:r>
      <w:r w:rsidRPr="002B2A67">
        <w:rPr>
          <w:rFonts w:eastAsia="Times New Roman" w:cstheme="minorHAnsi"/>
          <w:color w:val="000000"/>
          <w:lang w:eastAsia="en-GB"/>
        </w:rPr>
        <w:t xml:space="preserve"> the beginning of 2018, when reliable data </w:t>
      </w:r>
      <w:r>
        <w:rPr>
          <w:rFonts w:eastAsia="Times New Roman" w:cstheme="minorHAnsi"/>
          <w:color w:val="000000"/>
          <w:lang w:eastAsia="en-GB"/>
        </w:rPr>
        <w:t>will be</w:t>
      </w:r>
      <w:r w:rsidRPr="002B2A67">
        <w:rPr>
          <w:rFonts w:eastAsia="Times New Roman" w:cstheme="minorHAnsi"/>
          <w:color w:val="000000"/>
          <w:lang w:eastAsia="en-GB"/>
        </w:rPr>
        <w:t xml:space="preserve"> available. </w:t>
      </w:r>
    </w:p>
    <w:p w:rsidR="00094CE6" w:rsidRPr="002B2A67" w:rsidRDefault="00094CE6" w:rsidP="00E22AC0">
      <w:pPr>
        <w:rPr>
          <w:rFonts w:eastAsia="Times New Roman" w:cstheme="minorHAnsi"/>
          <w:color w:val="000000"/>
          <w:lang w:eastAsia="en-GB"/>
        </w:rPr>
      </w:pPr>
    </w:p>
    <w:p w:rsidR="00577C33" w:rsidRDefault="00094CE6" w:rsidP="00EC2C93">
      <w:pPr>
        <w:keepNext/>
      </w:pPr>
      <w:r w:rsidRPr="002B2A67">
        <w:rPr>
          <w:rFonts w:eastAsia="Times New Roman" w:cstheme="minorHAnsi"/>
          <w:color w:val="000000"/>
          <w:lang w:eastAsia="en-GB"/>
        </w:rPr>
        <w:t xml:space="preserve">Additionally, Europex would like to </w:t>
      </w:r>
      <w:r>
        <w:rPr>
          <w:rFonts w:eastAsia="Times New Roman" w:cstheme="minorHAnsi"/>
          <w:color w:val="000000"/>
          <w:lang w:eastAsia="en-GB"/>
        </w:rPr>
        <w:t>emphasise</w:t>
      </w:r>
      <w:r w:rsidRPr="002B2A67">
        <w:rPr>
          <w:rFonts w:eastAsia="Times New Roman" w:cstheme="minorHAnsi"/>
          <w:color w:val="000000"/>
          <w:lang w:eastAsia="en-GB"/>
        </w:rPr>
        <w:t xml:space="preserve"> that requiring firms to report to their national </w:t>
      </w:r>
      <w:r>
        <w:rPr>
          <w:rFonts w:eastAsia="Times New Roman" w:cstheme="minorHAnsi"/>
          <w:color w:val="000000"/>
          <w:lang w:eastAsia="en-GB"/>
        </w:rPr>
        <w:t>competent authorities</w:t>
      </w:r>
      <w:r w:rsidRPr="002B2A67">
        <w:rPr>
          <w:rFonts w:eastAsia="Times New Roman" w:cstheme="minorHAnsi"/>
          <w:color w:val="000000"/>
          <w:lang w:eastAsia="en-GB"/>
        </w:rPr>
        <w:t xml:space="preserve"> on 3 January of year X the</w:t>
      </w:r>
      <w:r>
        <w:rPr>
          <w:rFonts w:eastAsia="Times New Roman" w:cstheme="minorHAnsi"/>
          <w:color w:val="000000"/>
          <w:lang w:eastAsia="en-GB"/>
        </w:rPr>
        <w:t>ir</w:t>
      </w:r>
      <w:r w:rsidRPr="002B2A67">
        <w:rPr>
          <w:rFonts w:eastAsia="Times New Roman" w:cstheme="minorHAnsi"/>
          <w:color w:val="000000"/>
          <w:lang w:eastAsia="en-GB"/>
        </w:rPr>
        <w:t xml:space="preserve"> use of exemptions seems </w:t>
      </w:r>
      <w:r w:rsidRPr="006C6C0F">
        <w:rPr>
          <w:rFonts w:eastAsia="Times New Roman" w:cstheme="minorHAnsi"/>
          <w:color w:val="000000"/>
          <w:lang w:eastAsia="en-GB"/>
        </w:rPr>
        <w:t>operationally</w:t>
      </w:r>
      <w:r w:rsidRPr="00EE281E">
        <w:rPr>
          <w:rFonts w:eastAsia="Times New Roman" w:cstheme="minorHAnsi"/>
          <w:color w:val="000000"/>
          <w:lang w:eastAsia="en-GB"/>
        </w:rPr>
        <w:t xml:space="preserve"> </w:t>
      </w:r>
      <w:r w:rsidRPr="002B2A67">
        <w:rPr>
          <w:rFonts w:eastAsia="Times New Roman" w:cstheme="minorHAnsi"/>
          <w:color w:val="000000"/>
          <w:lang w:eastAsia="en-GB"/>
        </w:rPr>
        <w:t>very problematic</w:t>
      </w:r>
      <w:r>
        <w:rPr>
          <w:rFonts w:eastAsia="Times New Roman" w:cstheme="minorHAnsi"/>
          <w:color w:val="000000"/>
          <w:lang w:eastAsia="en-GB"/>
        </w:rPr>
        <w:t>, if not impossible</w:t>
      </w:r>
      <w:r w:rsidRPr="002B2A67">
        <w:rPr>
          <w:rFonts w:eastAsia="Times New Roman" w:cstheme="minorHAnsi"/>
          <w:color w:val="000000"/>
          <w:lang w:eastAsia="en-GB"/>
        </w:rPr>
        <w:t xml:space="preserve">. Indeed, the calculation of the ancillary activity requires access to figures that are not </w:t>
      </w:r>
      <w:r>
        <w:rPr>
          <w:rFonts w:eastAsia="Times New Roman" w:cstheme="minorHAnsi"/>
          <w:color w:val="000000"/>
          <w:lang w:eastAsia="en-GB"/>
        </w:rPr>
        <w:t xml:space="preserve">yet </w:t>
      </w:r>
      <w:r w:rsidRPr="002B2A67">
        <w:rPr>
          <w:rFonts w:eastAsia="Times New Roman" w:cstheme="minorHAnsi"/>
          <w:color w:val="000000"/>
          <w:lang w:eastAsia="en-GB"/>
        </w:rPr>
        <w:t xml:space="preserve">available at this </w:t>
      </w:r>
      <w:r>
        <w:rPr>
          <w:rFonts w:eastAsia="Times New Roman" w:cstheme="minorHAnsi"/>
          <w:color w:val="000000"/>
          <w:lang w:eastAsia="en-GB"/>
        </w:rPr>
        <w:t>point in time</w:t>
      </w:r>
      <w:r w:rsidRPr="002B2A67">
        <w:rPr>
          <w:rFonts w:eastAsia="Times New Roman" w:cstheme="minorHAnsi"/>
          <w:color w:val="000000"/>
          <w:lang w:eastAsia="en-GB"/>
        </w:rPr>
        <w:t xml:space="preserve"> (i.e. the consolidated accounts of the group for year X or the global trading activity of year X). As an example, the approval of consolidated accounts of year X does </w:t>
      </w:r>
      <w:r>
        <w:rPr>
          <w:rFonts w:eastAsia="Times New Roman" w:cstheme="minorHAnsi"/>
          <w:color w:val="000000"/>
          <w:lang w:eastAsia="en-GB"/>
        </w:rPr>
        <w:t xml:space="preserve">generally </w:t>
      </w:r>
      <w:r w:rsidRPr="002B2A67">
        <w:rPr>
          <w:rFonts w:eastAsia="Times New Roman" w:cstheme="minorHAnsi"/>
          <w:color w:val="000000"/>
          <w:lang w:eastAsia="en-GB"/>
        </w:rPr>
        <w:t xml:space="preserve">not </w:t>
      </w:r>
      <w:r>
        <w:rPr>
          <w:rFonts w:eastAsia="Times New Roman" w:cstheme="minorHAnsi"/>
          <w:color w:val="000000"/>
          <w:lang w:eastAsia="en-GB"/>
        </w:rPr>
        <w:t>happen</w:t>
      </w:r>
      <w:r w:rsidRPr="002B2A67">
        <w:rPr>
          <w:rFonts w:eastAsia="Times New Roman" w:cstheme="minorHAnsi"/>
          <w:color w:val="000000"/>
          <w:lang w:eastAsia="en-GB"/>
        </w:rPr>
        <w:t xml:space="preserve"> before April of year X+1. </w:t>
      </w:r>
      <w:permEnd w:id="826089077"/>
      <w:r w:rsidR="00577C33">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094CE6" w:rsidRPr="00975C23" w:rsidRDefault="00094CE6" w:rsidP="00094CE6">
      <w:pPr>
        <w:spacing w:line="240" w:lineRule="auto"/>
        <w:rPr>
          <w:rFonts w:eastAsia="Times New Roman" w:cstheme="minorHAnsi"/>
          <w:color w:val="000000"/>
          <w:lang w:eastAsia="en-GB"/>
        </w:rPr>
      </w:pPr>
      <w:permStart w:id="1277111403" w:edGrp="everyone"/>
      <w:r w:rsidRPr="008765FD">
        <w:rPr>
          <w:rFonts w:eastAsia="Times New Roman" w:cstheme="minorHAnsi"/>
          <w:color w:val="000000"/>
          <w:lang w:eastAsia="en-GB"/>
        </w:rPr>
        <w:t xml:space="preserve">Europex </w:t>
      </w:r>
      <w:r>
        <w:rPr>
          <w:rFonts w:eastAsia="Times New Roman" w:cstheme="minorHAnsi"/>
          <w:color w:val="000000"/>
          <w:lang w:eastAsia="en-GB"/>
        </w:rPr>
        <w:t xml:space="preserve">generally </w:t>
      </w:r>
      <w:r w:rsidRPr="008765FD">
        <w:rPr>
          <w:rFonts w:eastAsia="Times New Roman" w:cstheme="minorHAnsi"/>
          <w:color w:val="000000"/>
          <w:lang w:eastAsia="en-GB"/>
        </w:rPr>
        <w:t xml:space="preserve">supports the framework proposed by ESMA.  </w:t>
      </w:r>
      <w:r w:rsidRPr="00D24CE5">
        <w:rPr>
          <w:rFonts w:eastAsia="Times New Roman" w:cstheme="minorHAnsi"/>
          <w:color w:val="000000"/>
          <w:lang w:eastAsia="en-GB"/>
        </w:rPr>
        <w:t xml:space="preserve">We </w:t>
      </w:r>
      <w:r w:rsidRPr="00FB2030">
        <w:rPr>
          <w:rFonts w:eastAsia="Times New Roman" w:cstheme="minorHAnsi"/>
          <w:color w:val="000000"/>
          <w:lang w:eastAsia="en-GB"/>
        </w:rPr>
        <w:t>agre</w:t>
      </w:r>
      <w:r w:rsidRPr="004D0B7C">
        <w:rPr>
          <w:rFonts w:eastAsia="Times New Roman" w:cstheme="minorHAnsi"/>
          <w:color w:val="000000"/>
          <w:lang w:eastAsia="en-GB"/>
        </w:rPr>
        <w:t xml:space="preserve">e that </w:t>
      </w:r>
      <w:r>
        <w:rPr>
          <w:rFonts w:eastAsia="Times New Roman" w:cstheme="minorHAnsi"/>
          <w:color w:val="000000"/>
          <w:lang w:eastAsia="en-GB"/>
        </w:rPr>
        <w:t xml:space="preserve">the </w:t>
      </w:r>
      <w:r w:rsidRPr="004D0B7C">
        <w:rPr>
          <w:rFonts w:eastAsia="Times New Roman" w:cstheme="minorHAnsi"/>
          <w:color w:val="000000"/>
          <w:lang w:eastAsia="en-GB"/>
        </w:rPr>
        <w:t xml:space="preserve">deliverable supply is the most appropriate basis for the EU position limits regime, both for the spot month and for other </w:t>
      </w:r>
      <w:r>
        <w:rPr>
          <w:rFonts w:eastAsia="Times New Roman" w:cstheme="minorHAnsi"/>
          <w:color w:val="000000"/>
          <w:lang w:eastAsia="en-GB"/>
        </w:rPr>
        <w:t>maturities</w:t>
      </w:r>
      <w:r w:rsidRPr="004D0B7C">
        <w:rPr>
          <w:rFonts w:eastAsia="Times New Roman" w:cstheme="minorHAnsi"/>
          <w:color w:val="000000"/>
          <w:lang w:eastAsia="en-GB"/>
        </w:rPr>
        <w:t>. This is because undue influence and control over deliverable supply, coupled with holding a significant f</w:t>
      </w:r>
      <w:r w:rsidRPr="00507FF5">
        <w:rPr>
          <w:rFonts w:eastAsia="Times New Roman" w:cstheme="minorHAnsi"/>
          <w:color w:val="000000"/>
          <w:lang w:eastAsia="en-GB"/>
        </w:rPr>
        <w:t xml:space="preserve">utures position, </w:t>
      </w:r>
      <w:r>
        <w:rPr>
          <w:rFonts w:eastAsia="Times New Roman" w:cstheme="minorHAnsi"/>
          <w:color w:val="000000"/>
          <w:lang w:eastAsia="en-GB"/>
        </w:rPr>
        <w:t>can trigger</w:t>
      </w:r>
      <w:r w:rsidRPr="00507FF5">
        <w:rPr>
          <w:rFonts w:eastAsia="Times New Roman" w:cstheme="minorHAnsi"/>
          <w:color w:val="000000"/>
          <w:lang w:eastAsia="en-GB"/>
        </w:rPr>
        <w:t xml:space="preserve"> a disorderly market. In contrast, we </w:t>
      </w:r>
      <w:r>
        <w:rPr>
          <w:rFonts w:eastAsia="Times New Roman" w:cstheme="minorHAnsi"/>
          <w:color w:val="000000"/>
          <w:lang w:eastAsia="en-GB"/>
        </w:rPr>
        <w:t>deem</w:t>
      </w:r>
      <w:r w:rsidRPr="00507FF5">
        <w:rPr>
          <w:rFonts w:eastAsia="Times New Roman" w:cstheme="minorHAnsi"/>
          <w:color w:val="000000"/>
          <w:lang w:eastAsia="en-GB"/>
        </w:rPr>
        <w:t xml:space="preserve"> open interest </w:t>
      </w:r>
      <w:r>
        <w:rPr>
          <w:rFonts w:eastAsia="Times New Roman" w:cstheme="minorHAnsi"/>
          <w:color w:val="000000"/>
          <w:lang w:eastAsia="en-GB"/>
        </w:rPr>
        <w:t>inappropriate</w:t>
      </w:r>
      <w:r w:rsidRPr="00507FF5">
        <w:rPr>
          <w:rFonts w:eastAsia="Times New Roman" w:cstheme="minorHAnsi"/>
          <w:color w:val="000000"/>
          <w:lang w:eastAsia="en-GB"/>
        </w:rPr>
        <w:t xml:space="preserve"> for the EU position limit regime</w:t>
      </w:r>
      <w:r w:rsidRPr="00975C23">
        <w:rPr>
          <w:rFonts w:eastAsia="Times New Roman" w:cstheme="minorHAnsi"/>
          <w:color w:val="000000"/>
          <w:lang w:eastAsia="en-GB"/>
        </w:rPr>
        <w:t xml:space="preserve"> for the following reasons: </w:t>
      </w:r>
    </w:p>
    <w:p w:rsidR="00094CE6" w:rsidRPr="00301B57" w:rsidRDefault="00094CE6" w:rsidP="00094CE6">
      <w:pPr>
        <w:spacing w:line="240" w:lineRule="auto"/>
        <w:rPr>
          <w:rFonts w:eastAsia="Times New Roman" w:cstheme="minorHAnsi"/>
          <w:color w:val="000000"/>
          <w:lang w:eastAsia="en-GB"/>
        </w:rPr>
      </w:pPr>
    </w:p>
    <w:p w:rsidR="00094CE6" w:rsidRPr="002B2A67" w:rsidRDefault="00094CE6" w:rsidP="00094CE6">
      <w:pPr>
        <w:pStyle w:val="Listenabsatz"/>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As a matter of principle, holding a significant proportion of open interest in future contract</w:t>
      </w:r>
      <w:r>
        <w:rPr>
          <w:rFonts w:eastAsia="Times New Roman" w:cstheme="minorHAnsi"/>
          <w:color w:val="000000"/>
          <w:lang w:eastAsia="en-GB"/>
        </w:rPr>
        <w:t>s</w:t>
      </w:r>
      <w:r w:rsidRPr="002B2A67">
        <w:rPr>
          <w:rFonts w:eastAsia="Times New Roman" w:cstheme="minorHAnsi"/>
          <w:color w:val="000000"/>
          <w:lang w:eastAsia="en-GB"/>
        </w:rPr>
        <w:t xml:space="preserve"> in isolation does not create a disorderly market. </w:t>
      </w:r>
    </w:p>
    <w:p w:rsidR="00094CE6" w:rsidRPr="002B2A67" w:rsidRDefault="00094CE6" w:rsidP="00094CE6">
      <w:pPr>
        <w:pStyle w:val="Listenabsatz"/>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Open interest can be very volatile. Depending on the time, trading volumes can differ </w:t>
      </w:r>
      <w:r>
        <w:rPr>
          <w:rFonts w:eastAsia="Times New Roman" w:cstheme="minorHAnsi"/>
          <w:color w:val="000000"/>
          <w:lang w:eastAsia="en-GB"/>
        </w:rPr>
        <w:t>significantly</w:t>
      </w:r>
      <w:r w:rsidRPr="002B2A67">
        <w:rPr>
          <w:rFonts w:eastAsia="Times New Roman" w:cstheme="minorHAnsi"/>
          <w:color w:val="000000"/>
          <w:lang w:eastAsia="en-GB"/>
        </w:rPr>
        <w:t xml:space="preserve"> from one period to another and open interest a</w:t>
      </w:r>
      <w:r>
        <w:rPr>
          <w:rFonts w:eastAsia="Times New Roman" w:cstheme="minorHAnsi"/>
          <w:color w:val="000000"/>
          <w:lang w:eastAsia="en-GB"/>
        </w:rPr>
        <w:t>s well</w:t>
      </w:r>
      <w:r w:rsidRPr="002B2A67">
        <w:rPr>
          <w:rFonts w:eastAsia="Times New Roman" w:cstheme="minorHAnsi"/>
          <w:color w:val="000000"/>
          <w:lang w:eastAsia="en-GB"/>
        </w:rPr>
        <w:t xml:space="preserve">. Therefore, position limits based on open interest would have to be adjusted </w:t>
      </w:r>
      <w:r>
        <w:rPr>
          <w:rFonts w:eastAsia="Times New Roman" w:cstheme="minorHAnsi"/>
          <w:color w:val="000000"/>
          <w:lang w:eastAsia="en-GB"/>
        </w:rPr>
        <w:t xml:space="preserve">very </w:t>
      </w:r>
      <w:r w:rsidRPr="002B2A67">
        <w:rPr>
          <w:rFonts w:eastAsia="Times New Roman" w:cstheme="minorHAnsi"/>
          <w:color w:val="000000"/>
          <w:lang w:eastAsia="en-GB"/>
        </w:rPr>
        <w:t xml:space="preserve">often. Deliverable supply is more stable, allowing for a more stable position limit regime. </w:t>
      </w:r>
    </w:p>
    <w:p w:rsidR="00094CE6" w:rsidRPr="002B2A67" w:rsidRDefault="00094CE6" w:rsidP="00094CE6">
      <w:pPr>
        <w:pStyle w:val="Listenabsatz"/>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Especially in gas and power markets, due to the C6 REMIT carve-out, financial instruments </w:t>
      </w:r>
      <w:r>
        <w:rPr>
          <w:rFonts w:eastAsia="Times New Roman" w:cstheme="minorHAnsi"/>
          <w:color w:val="000000"/>
          <w:lang w:eastAsia="en-GB"/>
        </w:rPr>
        <w:t xml:space="preserve">may </w:t>
      </w:r>
      <w:r w:rsidRPr="002B2A67">
        <w:rPr>
          <w:rFonts w:eastAsia="Times New Roman" w:cstheme="minorHAnsi"/>
          <w:color w:val="000000"/>
          <w:lang w:eastAsia="en-GB"/>
        </w:rPr>
        <w:t xml:space="preserve">only represent the minority of trading volumes compared to the </w:t>
      </w:r>
      <w:r>
        <w:rPr>
          <w:rFonts w:eastAsia="Times New Roman" w:cstheme="minorHAnsi"/>
          <w:color w:val="000000"/>
          <w:lang w:eastAsia="en-GB"/>
        </w:rPr>
        <w:t>overall</w:t>
      </w:r>
      <w:r w:rsidRPr="002B2A67">
        <w:rPr>
          <w:rFonts w:eastAsia="Times New Roman" w:cstheme="minorHAnsi"/>
          <w:color w:val="000000"/>
          <w:lang w:eastAsia="en-GB"/>
        </w:rPr>
        <w:t xml:space="preserve"> market. As a result, open interest in financial instruments only represents a limited part of the whole market. Against this backdrop, a large relative position in open interest</w:t>
      </w:r>
      <w:r>
        <w:rPr>
          <w:rFonts w:eastAsia="Times New Roman" w:cstheme="minorHAnsi"/>
          <w:color w:val="000000"/>
          <w:lang w:eastAsia="en-GB"/>
        </w:rPr>
        <w:t>s</w:t>
      </w:r>
      <w:r w:rsidRPr="002B2A67">
        <w:rPr>
          <w:rFonts w:eastAsia="Times New Roman" w:cstheme="minorHAnsi"/>
          <w:color w:val="000000"/>
          <w:lang w:eastAsia="en-GB"/>
        </w:rPr>
        <w:t xml:space="preserve"> in financial instrument</w:t>
      </w:r>
      <w:r>
        <w:rPr>
          <w:rFonts w:eastAsia="Times New Roman" w:cstheme="minorHAnsi"/>
          <w:color w:val="000000"/>
          <w:lang w:eastAsia="en-GB"/>
        </w:rPr>
        <w:t>s</w:t>
      </w:r>
      <w:r w:rsidRPr="002B2A67">
        <w:rPr>
          <w:rFonts w:eastAsia="Times New Roman" w:cstheme="minorHAnsi"/>
          <w:color w:val="000000"/>
          <w:lang w:eastAsia="en-GB"/>
        </w:rPr>
        <w:t xml:space="preserve"> can be a small position </w:t>
      </w:r>
      <w:r>
        <w:rPr>
          <w:rFonts w:eastAsia="Times New Roman" w:cstheme="minorHAnsi"/>
          <w:color w:val="000000"/>
          <w:lang w:eastAsia="en-GB"/>
        </w:rPr>
        <w:t>when compared to</w:t>
      </w:r>
      <w:r w:rsidRPr="002B2A67">
        <w:rPr>
          <w:rFonts w:eastAsia="Times New Roman" w:cstheme="minorHAnsi"/>
          <w:color w:val="000000"/>
          <w:lang w:eastAsia="en-GB"/>
        </w:rPr>
        <w:t xml:space="preserve"> the whole market. </w:t>
      </w:r>
    </w:p>
    <w:p w:rsidR="00094CE6" w:rsidRDefault="00094CE6" w:rsidP="00094CE6">
      <w:pPr>
        <w:pStyle w:val="Listenabsatz"/>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MiFID II application </w:t>
      </w:r>
      <w:r>
        <w:rPr>
          <w:rFonts w:eastAsia="Times New Roman" w:cstheme="minorHAnsi"/>
          <w:color w:val="000000"/>
          <w:lang w:eastAsia="en-GB"/>
        </w:rPr>
        <w:t>to</w:t>
      </w:r>
      <w:r w:rsidRPr="002B2A67">
        <w:rPr>
          <w:rFonts w:eastAsia="Times New Roman" w:cstheme="minorHAnsi"/>
          <w:color w:val="000000"/>
          <w:lang w:eastAsia="en-GB"/>
        </w:rPr>
        <w:t xml:space="preserve"> gas and power </w:t>
      </w:r>
      <w:r>
        <w:rPr>
          <w:rFonts w:eastAsia="Times New Roman" w:cstheme="minorHAnsi"/>
          <w:color w:val="000000"/>
          <w:lang w:eastAsia="en-GB"/>
        </w:rPr>
        <w:t xml:space="preserve">derivatives </w:t>
      </w:r>
      <w:r w:rsidRPr="002B2A67">
        <w:rPr>
          <w:rFonts w:eastAsia="Times New Roman" w:cstheme="minorHAnsi"/>
          <w:color w:val="000000"/>
          <w:lang w:eastAsia="en-GB"/>
        </w:rPr>
        <w:t xml:space="preserve">may lead to a general decrease of liquidity in </w:t>
      </w:r>
      <w:r>
        <w:rPr>
          <w:rFonts w:eastAsia="Times New Roman" w:cstheme="minorHAnsi"/>
          <w:color w:val="000000"/>
          <w:lang w:eastAsia="en-GB"/>
        </w:rPr>
        <w:t>financial gas and power markets. T</w:t>
      </w:r>
      <w:r w:rsidRPr="002B2A67">
        <w:rPr>
          <w:rFonts w:eastAsia="Times New Roman" w:cstheme="minorHAnsi"/>
          <w:color w:val="000000"/>
          <w:lang w:eastAsia="en-GB"/>
        </w:rPr>
        <w:t xml:space="preserve">here </w:t>
      </w:r>
      <w:r>
        <w:rPr>
          <w:rFonts w:eastAsia="Times New Roman" w:cstheme="minorHAnsi"/>
          <w:color w:val="000000"/>
          <w:lang w:eastAsia="en-GB"/>
        </w:rPr>
        <w:t>are</w:t>
      </w:r>
      <w:r w:rsidRPr="002B2A67">
        <w:rPr>
          <w:rFonts w:eastAsia="Times New Roman" w:cstheme="minorHAnsi"/>
          <w:color w:val="000000"/>
          <w:lang w:eastAsia="en-GB"/>
        </w:rPr>
        <w:t xml:space="preserve"> two reasons</w:t>
      </w:r>
      <w:r>
        <w:rPr>
          <w:rFonts w:eastAsia="Times New Roman" w:cstheme="minorHAnsi"/>
          <w:color w:val="000000"/>
          <w:lang w:eastAsia="en-GB"/>
        </w:rPr>
        <w:t xml:space="preserve"> for this</w:t>
      </w:r>
      <w:r w:rsidRPr="002B2A67">
        <w:rPr>
          <w:rFonts w:eastAsia="Times New Roman" w:cstheme="minorHAnsi"/>
          <w:color w:val="000000"/>
          <w:lang w:eastAsia="en-GB"/>
        </w:rPr>
        <w:t xml:space="preserve">: 1/ If the ancillary activity exemption is very restrictive, some companies could significantly reduce their trading activity in financial instruments in order to avoid being MiFID regulated firms. 2/ this is particularly true as the REMIT carve-out may cause a shift of liquidity from the financial sector to the non-financial one (trading in physically settled instruments on OTFs). </w:t>
      </w:r>
    </w:p>
    <w:p w:rsidR="00094CE6" w:rsidRPr="002B2A67" w:rsidRDefault="00094CE6" w:rsidP="00094CE6">
      <w:pPr>
        <w:pStyle w:val="Listenabsatz"/>
        <w:numPr>
          <w:ilvl w:val="0"/>
          <w:numId w:val="0"/>
        </w:numPr>
        <w:ind w:left="360"/>
        <w:rPr>
          <w:rFonts w:eastAsia="Times New Roman" w:cstheme="minorHAnsi"/>
          <w:color w:val="000000"/>
          <w:lang w:eastAsia="en-GB"/>
        </w:rPr>
      </w:pPr>
    </w:p>
    <w:p w:rsidR="00094CE6" w:rsidRPr="002B2A67" w:rsidRDefault="00094CE6" w:rsidP="00094CE6">
      <w:pPr>
        <w:rPr>
          <w:rFonts w:eastAsia="Times New Roman" w:cstheme="minorHAnsi"/>
          <w:b/>
          <w:color w:val="000000"/>
          <w:lang w:eastAsia="en-GB"/>
        </w:rPr>
      </w:pPr>
      <w:r w:rsidRPr="002B2A67">
        <w:rPr>
          <w:rFonts w:eastAsia="Times New Roman" w:cstheme="minorHAnsi"/>
          <w:b/>
          <w:color w:val="000000"/>
          <w:lang w:eastAsia="en-GB"/>
        </w:rPr>
        <w:t>Need for a clear, sector-specific and coherent European definition of deliverable supply</w:t>
      </w:r>
    </w:p>
    <w:p w:rsidR="00094CE6" w:rsidRPr="00B01409" w:rsidRDefault="00094CE6" w:rsidP="00094CE6">
      <w:pPr>
        <w:spacing w:line="240" w:lineRule="auto"/>
        <w:rPr>
          <w:rFonts w:eastAsia="Times New Roman" w:cstheme="minorHAnsi"/>
          <w:color w:val="000000"/>
          <w:lang w:eastAsia="en-GB"/>
        </w:rPr>
      </w:pPr>
      <w:r>
        <w:rPr>
          <w:rFonts w:eastAsia="Times New Roman" w:cstheme="minorHAnsi"/>
          <w:color w:val="000000"/>
          <w:lang w:eastAsia="en-GB"/>
        </w:rPr>
        <w:t>There has been no clear definition of d</w:t>
      </w:r>
      <w:r w:rsidRPr="00B01409">
        <w:rPr>
          <w:rFonts w:eastAsia="Times New Roman" w:cstheme="minorHAnsi"/>
          <w:color w:val="000000"/>
          <w:lang w:eastAsia="en-GB"/>
        </w:rPr>
        <w:t xml:space="preserve">eliverable supply </w:t>
      </w:r>
      <w:r>
        <w:rPr>
          <w:rFonts w:eastAsia="Times New Roman" w:cstheme="minorHAnsi"/>
          <w:color w:val="000000"/>
          <w:lang w:eastAsia="en-GB"/>
        </w:rPr>
        <w:t>in the context of MiFID so far.</w:t>
      </w:r>
      <w:r w:rsidRPr="00B01409">
        <w:rPr>
          <w:rFonts w:eastAsia="Times New Roman" w:cstheme="minorHAnsi"/>
          <w:color w:val="000000"/>
          <w:lang w:eastAsia="en-GB"/>
        </w:rPr>
        <w:t xml:space="preserve"> </w:t>
      </w:r>
      <w:r>
        <w:rPr>
          <w:rFonts w:eastAsia="Times New Roman" w:cstheme="minorHAnsi"/>
          <w:color w:val="000000"/>
          <w:lang w:eastAsia="en-GB"/>
        </w:rPr>
        <w:t>It</w:t>
      </w:r>
      <w:r w:rsidRPr="00B01409">
        <w:rPr>
          <w:rFonts w:eastAsia="Times New Roman" w:cstheme="minorHAnsi"/>
          <w:color w:val="000000"/>
          <w:lang w:eastAsia="en-GB"/>
        </w:rPr>
        <w:t xml:space="preserve"> is </w:t>
      </w:r>
      <w:r>
        <w:rPr>
          <w:rFonts w:eastAsia="Times New Roman" w:cstheme="minorHAnsi"/>
          <w:color w:val="000000"/>
          <w:lang w:eastAsia="en-GB"/>
        </w:rPr>
        <w:t xml:space="preserve">therefore </w:t>
      </w:r>
      <w:r w:rsidRPr="00B01409">
        <w:rPr>
          <w:rFonts w:eastAsia="Times New Roman" w:cstheme="minorHAnsi"/>
          <w:color w:val="000000"/>
          <w:lang w:eastAsia="en-GB"/>
        </w:rPr>
        <w:t>of u</w:t>
      </w:r>
      <w:r>
        <w:rPr>
          <w:rFonts w:eastAsia="Times New Roman" w:cstheme="minorHAnsi"/>
          <w:color w:val="000000"/>
          <w:lang w:eastAsia="en-GB"/>
        </w:rPr>
        <w:t>t</w:t>
      </w:r>
      <w:r w:rsidRPr="00B01409">
        <w:rPr>
          <w:rFonts w:eastAsia="Times New Roman" w:cstheme="minorHAnsi"/>
          <w:color w:val="000000"/>
          <w:lang w:eastAsia="en-GB"/>
        </w:rPr>
        <w:t xml:space="preserve">most importance that </w:t>
      </w:r>
      <w:r>
        <w:rPr>
          <w:rFonts w:eastAsia="Times New Roman" w:cstheme="minorHAnsi"/>
          <w:color w:val="000000"/>
          <w:lang w:eastAsia="en-GB"/>
        </w:rPr>
        <w:t xml:space="preserve">the </w:t>
      </w:r>
      <w:r w:rsidRPr="00B01409">
        <w:rPr>
          <w:rFonts w:eastAsia="Times New Roman" w:cstheme="minorHAnsi"/>
          <w:color w:val="000000"/>
          <w:lang w:eastAsia="en-GB"/>
        </w:rPr>
        <w:t xml:space="preserve">deliverable supply is defined depending on the specificities of the different asset classes (or asset sub-classes). </w:t>
      </w:r>
    </w:p>
    <w:p w:rsidR="00094CE6" w:rsidRPr="00E20010" w:rsidRDefault="00094CE6" w:rsidP="00094CE6">
      <w:pPr>
        <w:spacing w:line="240" w:lineRule="auto"/>
        <w:rPr>
          <w:rFonts w:eastAsia="Times New Roman" w:cstheme="minorHAnsi"/>
          <w:color w:val="000000"/>
          <w:lang w:eastAsia="en-GB"/>
        </w:rPr>
      </w:pPr>
    </w:p>
    <w:p w:rsidR="00094CE6" w:rsidRPr="00D934CB" w:rsidRDefault="00094CE6" w:rsidP="00094CE6">
      <w:pPr>
        <w:spacing w:line="240" w:lineRule="auto"/>
        <w:rPr>
          <w:rFonts w:eastAsia="Times New Roman" w:cstheme="minorHAnsi"/>
          <w:color w:val="000000"/>
          <w:lang w:eastAsia="en-GB"/>
        </w:rPr>
      </w:pPr>
      <w:r w:rsidRPr="00A16621">
        <w:rPr>
          <w:rFonts w:eastAsia="Times New Roman" w:cstheme="minorHAnsi"/>
          <w:color w:val="000000"/>
          <w:lang w:eastAsia="en-GB"/>
        </w:rPr>
        <w:t xml:space="preserve">Europex </w:t>
      </w:r>
      <w:r>
        <w:rPr>
          <w:rFonts w:eastAsia="Times New Roman" w:cstheme="minorHAnsi"/>
          <w:color w:val="000000"/>
          <w:lang w:eastAsia="en-GB"/>
        </w:rPr>
        <w:t>suggests determining the deliverable supply</w:t>
      </w:r>
      <w:r w:rsidRPr="00AF7040">
        <w:rPr>
          <w:rFonts w:eastAsia="Times New Roman" w:cstheme="minorHAnsi"/>
          <w:color w:val="000000"/>
          <w:lang w:eastAsia="en-GB"/>
        </w:rPr>
        <w:t xml:space="preserve"> for gas and power markets</w:t>
      </w:r>
      <w:r>
        <w:rPr>
          <w:rFonts w:eastAsia="Times New Roman" w:cstheme="minorHAnsi"/>
          <w:color w:val="000000"/>
          <w:lang w:eastAsia="en-GB"/>
        </w:rPr>
        <w:t xml:space="preserve"> inter alia based on European demand.</w:t>
      </w:r>
      <w:r w:rsidRPr="00D934CB">
        <w:rPr>
          <w:rFonts w:eastAsia="Times New Roman" w:cstheme="minorHAnsi"/>
          <w:color w:val="000000"/>
          <w:lang w:eastAsia="en-GB"/>
        </w:rPr>
        <w:t xml:space="preserve"> This is key as markets are typically strongly interlinked. </w:t>
      </w:r>
      <w:r>
        <w:rPr>
          <w:rFonts w:eastAsia="Times New Roman" w:cstheme="minorHAnsi"/>
          <w:color w:val="000000"/>
          <w:lang w:eastAsia="en-GB"/>
        </w:rPr>
        <w:t>For</w:t>
      </w:r>
      <w:r w:rsidRPr="00D934CB">
        <w:rPr>
          <w:rFonts w:eastAsia="Times New Roman" w:cstheme="minorHAnsi"/>
          <w:color w:val="000000"/>
          <w:lang w:eastAsia="en-GB"/>
        </w:rPr>
        <w:t xml:space="preserve"> gas, </w:t>
      </w:r>
      <w:r>
        <w:rPr>
          <w:rFonts w:eastAsia="Times New Roman" w:cstheme="minorHAnsi"/>
          <w:color w:val="000000"/>
          <w:lang w:eastAsia="en-GB"/>
        </w:rPr>
        <w:t xml:space="preserve">e.g., </w:t>
      </w:r>
      <w:r w:rsidRPr="00D934CB">
        <w:rPr>
          <w:rFonts w:eastAsia="Times New Roman" w:cstheme="minorHAnsi"/>
          <w:color w:val="000000"/>
          <w:lang w:eastAsia="en-GB"/>
        </w:rPr>
        <w:t xml:space="preserve">the UK hub </w:t>
      </w:r>
      <w:r>
        <w:rPr>
          <w:rFonts w:eastAsia="Times New Roman" w:cstheme="minorHAnsi"/>
          <w:color w:val="000000"/>
          <w:lang w:eastAsia="en-GB"/>
        </w:rPr>
        <w:t xml:space="preserve">NBP </w:t>
      </w:r>
      <w:r w:rsidRPr="00D934CB">
        <w:rPr>
          <w:rFonts w:eastAsia="Times New Roman" w:cstheme="minorHAnsi"/>
          <w:color w:val="000000"/>
          <w:lang w:eastAsia="en-GB"/>
        </w:rPr>
        <w:t>and the Dutch hub TTF are far more liquid than the other</w:t>
      </w:r>
      <w:r>
        <w:rPr>
          <w:rFonts w:eastAsia="Times New Roman" w:cstheme="minorHAnsi"/>
          <w:color w:val="000000"/>
          <w:lang w:eastAsia="en-GB"/>
        </w:rPr>
        <w:t xml:space="preserve"> hubs</w:t>
      </w:r>
      <w:r w:rsidRPr="00D934CB">
        <w:rPr>
          <w:rFonts w:eastAsia="Times New Roman" w:cstheme="minorHAnsi"/>
          <w:color w:val="000000"/>
          <w:lang w:eastAsia="en-GB"/>
        </w:rPr>
        <w:t xml:space="preserve"> and </w:t>
      </w:r>
      <w:r>
        <w:rPr>
          <w:rFonts w:eastAsia="Times New Roman" w:cstheme="minorHAnsi"/>
          <w:color w:val="000000"/>
          <w:lang w:eastAsia="en-GB"/>
        </w:rPr>
        <w:t xml:space="preserve">are </w:t>
      </w:r>
      <w:r w:rsidRPr="00D934CB">
        <w:rPr>
          <w:rFonts w:eastAsia="Times New Roman" w:cstheme="minorHAnsi"/>
          <w:color w:val="000000"/>
          <w:lang w:eastAsia="en-GB"/>
        </w:rPr>
        <w:t>used to cover activities in other countries</w:t>
      </w:r>
      <w:r>
        <w:rPr>
          <w:rFonts w:eastAsia="Times New Roman" w:cstheme="minorHAnsi"/>
          <w:color w:val="000000"/>
          <w:lang w:eastAsia="en-GB"/>
        </w:rPr>
        <w:t xml:space="preserve"> too</w:t>
      </w:r>
      <w:r w:rsidRPr="00D934CB">
        <w:rPr>
          <w:rFonts w:eastAsia="Times New Roman" w:cstheme="minorHAnsi"/>
          <w:color w:val="000000"/>
          <w:lang w:eastAsia="en-GB"/>
        </w:rPr>
        <w:t xml:space="preserve">. The same is true for the German/Austrian </w:t>
      </w:r>
      <w:r>
        <w:rPr>
          <w:rFonts w:eastAsia="Times New Roman" w:cstheme="minorHAnsi"/>
          <w:color w:val="000000"/>
          <w:lang w:eastAsia="en-GB"/>
        </w:rPr>
        <w:t>bidding</w:t>
      </w:r>
      <w:r w:rsidRPr="00D934CB">
        <w:rPr>
          <w:rFonts w:eastAsia="Times New Roman" w:cstheme="minorHAnsi"/>
          <w:color w:val="000000"/>
          <w:lang w:eastAsia="en-GB"/>
        </w:rPr>
        <w:t xml:space="preserve"> zone in power. </w:t>
      </w:r>
    </w:p>
    <w:p w:rsidR="00094CE6" w:rsidRPr="00E20010" w:rsidRDefault="00094CE6" w:rsidP="00094CE6">
      <w:pPr>
        <w:spacing w:line="240" w:lineRule="auto"/>
        <w:rPr>
          <w:rFonts w:eastAsia="Times New Roman" w:cstheme="minorHAnsi"/>
          <w:color w:val="000000"/>
          <w:lang w:eastAsia="en-GB"/>
        </w:rPr>
      </w:pPr>
    </w:p>
    <w:p w:rsidR="00094CE6" w:rsidRPr="00AF7040" w:rsidRDefault="00094CE6" w:rsidP="00094CE6">
      <w:pPr>
        <w:spacing w:line="240" w:lineRule="auto"/>
        <w:rPr>
          <w:rFonts w:eastAsia="Times New Roman" w:cstheme="minorHAnsi"/>
          <w:color w:val="000000"/>
          <w:lang w:eastAsia="en-GB"/>
        </w:rPr>
      </w:pPr>
      <w:r w:rsidRPr="004D1140">
        <w:rPr>
          <w:rFonts w:eastAsia="Times New Roman" w:cstheme="minorHAnsi"/>
          <w:color w:val="000000"/>
          <w:lang w:eastAsia="en-GB"/>
        </w:rPr>
        <w:t xml:space="preserve">The deliverable supply </w:t>
      </w:r>
      <w:r>
        <w:rPr>
          <w:rFonts w:eastAsia="Times New Roman" w:cstheme="minorHAnsi"/>
          <w:color w:val="000000"/>
          <w:lang w:eastAsia="en-GB"/>
        </w:rPr>
        <w:t>sh</w:t>
      </w:r>
      <w:r w:rsidRPr="00004D64">
        <w:rPr>
          <w:rFonts w:eastAsia="Times New Roman" w:cstheme="minorHAnsi"/>
          <w:color w:val="000000"/>
          <w:lang w:eastAsia="en-GB"/>
        </w:rPr>
        <w:t xml:space="preserve">ould be </w:t>
      </w:r>
      <w:r>
        <w:rPr>
          <w:rFonts w:eastAsia="Times New Roman" w:cstheme="minorHAnsi"/>
          <w:color w:val="000000"/>
          <w:lang w:eastAsia="en-GB"/>
        </w:rPr>
        <w:t>adjusted</w:t>
      </w:r>
      <w:r w:rsidRPr="00AF7040">
        <w:rPr>
          <w:rFonts w:eastAsia="Times New Roman" w:cstheme="minorHAnsi"/>
          <w:color w:val="000000"/>
          <w:lang w:eastAsia="en-GB"/>
        </w:rPr>
        <w:t xml:space="preserve"> every two years.</w:t>
      </w:r>
    </w:p>
    <w:p w:rsidR="00094CE6" w:rsidRPr="00A16621" w:rsidRDefault="00094CE6" w:rsidP="00094CE6">
      <w:pPr>
        <w:spacing w:line="240" w:lineRule="auto"/>
        <w:rPr>
          <w:rFonts w:eastAsia="Times New Roman" w:cstheme="minorHAnsi"/>
          <w:color w:val="000000"/>
          <w:lang w:eastAsia="en-GB"/>
        </w:rPr>
      </w:pPr>
    </w:p>
    <w:p w:rsidR="00094CE6" w:rsidRDefault="00094CE6" w:rsidP="00094CE6">
      <w:pPr>
        <w:spacing w:line="240" w:lineRule="auto"/>
        <w:rPr>
          <w:rFonts w:eastAsia="Times New Roman" w:cstheme="minorHAnsi"/>
          <w:color w:val="000000"/>
          <w:lang w:eastAsia="en-GB"/>
        </w:rPr>
      </w:pPr>
    </w:p>
    <w:p w:rsidR="00094CE6" w:rsidRPr="002B2A67" w:rsidRDefault="00094CE6" w:rsidP="00094CE6">
      <w:pPr>
        <w:spacing w:line="240" w:lineRule="auto"/>
        <w:rPr>
          <w:rFonts w:eastAsia="Times New Roman" w:cstheme="minorHAnsi"/>
          <w:b/>
          <w:color w:val="000000"/>
          <w:lang w:eastAsia="en-GB"/>
        </w:rPr>
      </w:pPr>
      <w:r w:rsidRPr="002B2A67">
        <w:rPr>
          <w:rFonts w:eastAsia="Times New Roman" w:cstheme="minorHAnsi"/>
          <w:b/>
          <w:color w:val="000000"/>
          <w:lang w:eastAsia="en-GB"/>
        </w:rPr>
        <w:t>Need for exchange involvement in the determination of deliverable supply</w:t>
      </w:r>
    </w:p>
    <w:p w:rsidR="00094CE6" w:rsidRPr="00A16621" w:rsidRDefault="00094CE6" w:rsidP="00094CE6">
      <w:pPr>
        <w:spacing w:line="240" w:lineRule="auto"/>
        <w:rPr>
          <w:rFonts w:eastAsia="Times New Roman" w:cstheme="minorHAnsi"/>
          <w:color w:val="000000"/>
          <w:lang w:eastAsia="en-GB"/>
        </w:rPr>
      </w:pPr>
    </w:p>
    <w:p w:rsidR="00094CE6" w:rsidRPr="008765FD" w:rsidRDefault="00094CE6" w:rsidP="00094CE6">
      <w:pPr>
        <w:spacing w:line="240" w:lineRule="auto"/>
        <w:rPr>
          <w:rFonts w:eastAsia="Times New Roman" w:cstheme="minorHAnsi"/>
          <w:color w:val="000000"/>
          <w:lang w:eastAsia="en-GB"/>
        </w:rPr>
      </w:pPr>
      <w:r w:rsidRPr="004F7E42">
        <w:rPr>
          <w:rFonts w:eastAsia="Times New Roman" w:cstheme="minorHAnsi"/>
          <w:color w:val="000000"/>
          <w:lang w:eastAsia="en-GB"/>
        </w:rPr>
        <w:t xml:space="preserve">Europex agrees that trading venues are well placed to source and </w:t>
      </w:r>
      <w:r w:rsidRPr="00507FF5">
        <w:rPr>
          <w:rFonts w:eastAsia="Times New Roman" w:cstheme="minorHAnsi"/>
          <w:color w:val="000000"/>
          <w:lang w:eastAsia="en-GB"/>
        </w:rPr>
        <w:t xml:space="preserve">provide data in relation to </w:t>
      </w:r>
      <w:r>
        <w:rPr>
          <w:rFonts w:eastAsia="Times New Roman" w:cstheme="minorHAnsi"/>
          <w:color w:val="000000"/>
          <w:lang w:eastAsia="en-GB"/>
        </w:rPr>
        <w:t xml:space="preserve">the determination of </w:t>
      </w:r>
      <w:r w:rsidRPr="00507FF5">
        <w:rPr>
          <w:rFonts w:eastAsia="Times New Roman" w:cstheme="minorHAnsi"/>
          <w:color w:val="000000"/>
          <w:lang w:eastAsia="en-GB"/>
        </w:rPr>
        <w:t>deliverable supply to the relevant National Competent Authorit</w:t>
      </w:r>
      <w:r>
        <w:rPr>
          <w:rFonts w:eastAsia="Times New Roman" w:cstheme="minorHAnsi"/>
          <w:color w:val="000000"/>
          <w:lang w:eastAsia="en-GB"/>
        </w:rPr>
        <w:t>ies</w:t>
      </w:r>
      <w:r w:rsidRPr="008765FD">
        <w:rPr>
          <w:rFonts w:eastAsia="Times New Roman" w:cstheme="minorHAnsi"/>
          <w:color w:val="000000"/>
          <w:lang w:eastAsia="en-GB"/>
        </w:rPr>
        <w:t xml:space="preserve">. This is because trading venues: </w:t>
      </w:r>
    </w:p>
    <w:p w:rsidR="00094CE6" w:rsidRPr="00E20010" w:rsidRDefault="00094CE6" w:rsidP="00094CE6">
      <w:pPr>
        <w:spacing w:line="240" w:lineRule="auto"/>
        <w:rPr>
          <w:rFonts w:eastAsia="Times New Roman" w:cstheme="minorHAnsi"/>
          <w:color w:val="000000"/>
          <w:lang w:eastAsia="en-GB"/>
        </w:rPr>
      </w:pPr>
      <w:r w:rsidRPr="00E20010">
        <w:rPr>
          <w:rFonts w:eastAsia="Times New Roman" w:cstheme="minorHAnsi"/>
          <w:color w:val="000000"/>
          <w:lang w:eastAsia="en-GB"/>
        </w:rPr>
        <w:t>•</w:t>
      </w:r>
      <w:r w:rsidRPr="00E20010">
        <w:rPr>
          <w:rFonts w:eastAsia="Times New Roman" w:cstheme="minorHAnsi"/>
          <w:color w:val="000000"/>
          <w:lang w:eastAsia="en-GB"/>
        </w:rPr>
        <w:tab/>
        <w:t xml:space="preserve">have ready access to such data; </w:t>
      </w:r>
    </w:p>
    <w:p w:rsidR="00094CE6" w:rsidRPr="00A16621" w:rsidRDefault="00094CE6" w:rsidP="00094CE6">
      <w:pPr>
        <w:spacing w:line="240" w:lineRule="auto"/>
        <w:rPr>
          <w:rFonts w:eastAsia="Times New Roman" w:cstheme="minorHAnsi"/>
          <w:color w:val="000000"/>
          <w:lang w:eastAsia="en-GB"/>
        </w:rPr>
      </w:pPr>
      <w:r w:rsidRPr="00A16621">
        <w:rPr>
          <w:rFonts w:eastAsia="Times New Roman" w:cstheme="minorHAnsi"/>
          <w:color w:val="000000"/>
          <w:lang w:eastAsia="en-GB"/>
        </w:rPr>
        <w:t>•</w:t>
      </w:r>
      <w:r w:rsidRPr="00A16621">
        <w:rPr>
          <w:rFonts w:eastAsia="Times New Roman" w:cstheme="minorHAnsi"/>
          <w:color w:val="000000"/>
          <w:lang w:eastAsia="en-GB"/>
        </w:rPr>
        <w:tab/>
        <w:t xml:space="preserve">are independent of the trading interests of the participants which are active in the market; and </w:t>
      </w:r>
    </w:p>
    <w:p w:rsidR="00094CE6" w:rsidRPr="00301B57" w:rsidRDefault="00094CE6" w:rsidP="00094CE6">
      <w:pPr>
        <w:spacing w:line="240" w:lineRule="auto"/>
        <w:rPr>
          <w:rFonts w:eastAsia="Times New Roman" w:cstheme="minorHAnsi"/>
          <w:color w:val="000000"/>
          <w:lang w:eastAsia="en-GB"/>
        </w:rPr>
      </w:pPr>
      <w:r w:rsidRPr="003E15A7">
        <w:rPr>
          <w:rFonts w:eastAsia="Times New Roman" w:cstheme="minorHAnsi"/>
          <w:color w:val="000000"/>
          <w:lang w:eastAsia="en-GB"/>
        </w:rPr>
        <w:t>•</w:t>
      </w:r>
      <w:r w:rsidRPr="003E15A7">
        <w:rPr>
          <w:rFonts w:eastAsia="Times New Roman" w:cstheme="minorHAnsi"/>
          <w:color w:val="000000"/>
          <w:lang w:eastAsia="en-GB"/>
        </w:rPr>
        <w:tab/>
        <w:t xml:space="preserve">have </w:t>
      </w:r>
      <w:r>
        <w:rPr>
          <w:rFonts w:eastAsia="Times New Roman" w:cstheme="minorHAnsi"/>
          <w:color w:val="000000"/>
          <w:lang w:eastAsia="en-GB"/>
        </w:rPr>
        <w:t xml:space="preserve">the </w:t>
      </w:r>
      <w:r w:rsidRPr="004D1140">
        <w:rPr>
          <w:rFonts w:eastAsia="Times New Roman" w:cstheme="minorHAnsi"/>
          <w:color w:val="000000"/>
          <w:lang w:eastAsia="en-GB"/>
        </w:rPr>
        <w:t xml:space="preserve">legal obligation to operate orderly markets and in particular to apply associated position management controls in relation to the </w:t>
      </w:r>
      <w:r w:rsidRPr="00E20010">
        <w:rPr>
          <w:rFonts w:eastAsia="Times New Roman" w:cstheme="minorHAnsi"/>
          <w:color w:val="000000"/>
          <w:lang w:eastAsia="en-GB"/>
        </w:rPr>
        <w:t>commodity derivatives concerned.</w:t>
      </w:r>
    </w:p>
    <w:p w:rsidR="00094CE6" w:rsidRPr="008765FD" w:rsidRDefault="00094CE6" w:rsidP="00094CE6">
      <w:pPr>
        <w:spacing w:line="240" w:lineRule="auto"/>
        <w:rPr>
          <w:rFonts w:eastAsia="Times New Roman" w:cstheme="minorHAnsi"/>
          <w:color w:val="000000"/>
          <w:lang w:eastAsia="en-GB"/>
        </w:rPr>
      </w:pPr>
    </w:p>
    <w:p w:rsidR="00094CE6" w:rsidRDefault="00094CE6" w:rsidP="00094CE6">
      <w:pPr>
        <w:spacing w:line="240" w:lineRule="auto"/>
        <w:rPr>
          <w:rFonts w:eastAsia="Times New Roman" w:cstheme="minorHAnsi"/>
          <w:color w:val="000000"/>
          <w:lang w:eastAsia="en-GB"/>
        </w:rPr>
      </w:pPr>
      <w:r>
        <w:rPr>
          <w:rFonts w:eastAsia="Times New Roman" w:cstheme="minorHAnsi"/>
          <w:color w:val="000000"/>
          <w:lang w:eastAsia="en-GB"/>
        </w:rPr>
        <w:t>The</w:t>
      </w:r>
      <w:r w:rsidRPr="004F7E42">
        <w:rPr>
          <w:rFonts w:eastAsia="Times New Roman" w:cstheme="minorHAnsi"/>
          <w:color w:val="000000"/>
          <w:lang w:eastAsia="en-GB"/>
        </w:rPr>
        <w:t xml:space="preserve"> deliverable supply data can be used by </w:t>
      </w:r>
      <w:r>
        <w:rPr>
          <w:rFonts w:eastAsia="Times New Roman" w:cstheme="minorHAnsi"/>
          <w:color w:val="000000"/>
          <w:lang w:eastAsia="en-GB"/>
        </w:rPr>
        <w:t xml:space="preserve">the </w:t>
      </w:r>
      <w:r w:rsidRPr="004F7E42">
        <w:rPr>
          <w:rFonts w:eastAsia="Times New Roman" w:cstheme="minorHAnsi"/>
          <w:color w:val="000000"/>
          <w:lang w:eastAsia="en-GB"/>
        </w:rPr>
        <w:t>National Competent Authorities in order to calculate the baseline levels for determining the position limits for the commodity contracts in question.</w:t>
      </w:r>
    </w:p>
    <w:permEnd w:id="127711140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094CE6" w:rsidRPr="007B7765" w:rsidRDefault="00094CE6" w:rsidP="00E22AC0">
      <w:pPr>
        <w:spacing w:line="240" w:lineRule="auto"/>
        <w:rPr>
          <w:rFonts w:eastAsia="Times New Roman" w:cstheme="minorHAnsi"/>
          <w:color w:val="000000"/>
          <w:lang w:eastAsia="en-GB"/>
        </w:rPr>
      </w:pPr>
      <w:permStart w:id="324275687" w:edGrp="everyone"/>
      <w:r>
        <w:rPr>
          <w:rFonts w:eastAsia="Times New Roman" w:cstheme="minorHAnsi"/>
          <w:color w:val="000000"/>
          <w:lang w:eastAsia="en-GB"/>
        </w:rPr>
        <w:t>Europex deems a</w:t>
      </w:r>
      <w:r w:rsidRPr="007B7765">
        <w:rPr>
          <w:rFonts w:eastAsia="Times New Roman" w:cstheme="minorHAnsi"/>
          <w:color w:val="000000"/>
          <w:lang w:eastAsia="en-GB"/>
        </w:rPr>
        <w:t xml:space="preserve"> 25% baseline level a suitable starting point for calculating position limits applicable to commodity derivatives in the EU. </w:t>
      </w:r>
      <w:r>
        <w:rPr>
          <w:rFonts w:eastAsia="Times New Roman" w:cstheme="minorHAnsi"/>
          <w:color w:val="000000"/>
          <w:lang w:eastAsia="en-GB"/>
        </w:rPr>
        <w:t>After</w:t>
      </w:r>
      <w:r w:rsidRPr="007B7765">
        <w:rPr>
          <w:rFonts w:eastAsia="Times New Roman" w:cstheme="minorHAnsi"/>
          <w:color w:val="000000"/>
          <w:lang w:eastAsia="en-GB"/>
        </w:rPr>
        <w:t xml:space="preserve"> establish</w:t>
      </w:r>
      <w:r>
        <w:rPr>
          <w:rFonts w:eastAsia="Times New Roman" w:cstheme="minorHAnsi"/>
          <w:color w:val="000000"/>
          <w:lang w:eastAsia="en-GB"/>
        </w:rPr>
        <w:t>ing</w:t>
      </w:r>
      <w:r w:rsidRPr="007B7765">
        <w:rPr>
          <w:rFonts w:eastAsia="Times New Roman" w:cstheme="minorHAnsi"/>
          <w:color w:val="000000"/>
          <w:lang w:eastAsia="en-GB"/>
        </w:rPr>
        <w:t xml:space="preserve"> the baseline for each commodity derivative, it will </w:t>
      </w:r>
      <w:r>
        <w:rPr>
          <w:rFonts w:eastAsia="Times New Roman" w:cstheme="minorHAnsi"/>
          <w:color w:val="000000"/>
          <w:lang w:eastAsia="en-GB"/>
        </w:rPr>
        <w:t xml:space="preserve">indeed </w:t>
      </w:r>
      <w:r w:rsidRPr="007B7765">
        <w:rPr>
          <w:rFonts w:eastAsia="Times New Roman" w:cstheme="minorHAnsi"/>
          <w:color w:val="000000"/>
          <w:lang w:eastAsia="en-GB"/>
        </w:rPr>
        <w:t>be necessary to consider the extent to which the seven factors enumerated in M</w:t>
      </w:r>
      <w:r>
        <w:rPr>
          <w:rFonts w:eastAsia="Times New Roman" w:cstheme="minorHAnsi"/>
          <w:color w:val="000000"/>
          <w:lang w:eastAsia="en-GB"/>
        </w:rPr>
        <w:t>i</w:t>
      </w:r>
      <w:r w:rsidRPr="007B7765">
        <w:rPr>
          <w:rFonts w:eastAsia="Times New Roman" w:cstheme="minorHAnsi"/>
          <w:color w:val="000000"/>
          <w:lang w:eastAsia="en-GB"/>
        </w:rPr>
        <w:t xml:space="preserve">FID </w:t>
      </w:r>
      <w:r>
        <w:rPr>
          <w:rFonts w:eastAsia="Times New Roman" w:cstheme="minorHAnsi"/>
          <w:color w:val="000000"/>
          <w:lang w:eastAsia="en-GB"/>
        </w:rPr>
        <w:t xml:space="preserve">II </w:t>
      </w:r>
      <w:r w:rsidRPr="007B7765">
        <w:rPr>
          <w:rFonts w:eastAsia="Times New Roman" w:cstheme="minorHAnsi"/>
          <w:color w:val="000000"/>
          <w:lang w:eastAsia="en-GB"/>
        </w:rPr>
        <w:t>should increase or decrease th</w:t>
      </w:r>
      <w:r>
        <w:rPr>
          <w:rFonts w:eastAsia="Times New Roman" w:cstheme="minorHAnsi"/>
          <w:color w:val="000000"/>
          <w:lang w:eastAsia="en-GB"/>
        </w:rPr>
        <w:t>is</w:t>
      </w:r>
      <w:r w:rsidRPr="007B7765">
        <w:rPr>
          <w:rFonts w:eastAsia="Times New Roman" w:cstheme="minorHAnsi"/>
          <w:color w:val="000000"/>
          <w:lang w:eastAsia="en-GB"/>
        </w:rPr>
        <w:t xml:space="preserve"> level in order to </w:t>
      </w:r>
      <w:r>
        <w:rPr>
          <w:rFonts w:eastAsia="Times New Roman" w:cstheme="minorHAnsi"/>
          <w:color w:val="000000"/>
          <w:lang w:eastAsia="en-GB"/>
        </w:rPr>
        <w:t>set</w:t>
      </w:r>
      <w:r w:rsidRPr="007B7765">
        <w:rPr>
          <w:rFonts w:eastAsia="Times New Roman" w:cstheme="minorHAnsi"/>
          <w:color w:val="000000"/>
          <w:lang w:eastAsia="en-GB"/>
        </w:rPr>
        <w:t xml:space="preserve"> the spot month and other months position limits for each commodity derivative.</w:t>
      </w:r>
    </w:p>
    <w:p w:rsidR="00094CE6" w:rsidRPr="005C3FD7" w:rsidRDefault="00094CE6" w:rsidP="00E22AC0">
      <w:pPr>
        <w:spacing w:line="240" w:lineRule="auto"/>
        <w:rPr>
          <w:rFonts w:eastAsia="Times New Roman" w:cstheme="minorHAnsi"/>
          <w:color w:val="000000"/>
          <w:lang w:eastAsia="en-GB"/>
        </w:rPr>
      </w:pPr>
    </w:p>
    <w:p w:rsidR="00094CE6" w:rsidRDefault="00094CE6" w:rsidP="00EC2C93">
      <w:pPr>
        <w:keepNext/>
        <w:rPr>
          <w:rFonts w:eastAsia="Times New Roman" w:cstheme="minorHAnsi"/>
          <w:color w:val="000000"/>
          <w:lang w:eastAsia="en-GB"/>
        </w:rPr>
      </w:pPr>
      <w:r w:rsidRPr="005C3FD7">
        <w:rPr>
          <w:rFonts w:eastAsia="Times New Roman" w:cstheme="minorHAnsi"/>
          <w:color w:val="000000"/>
          <w:lang w:eastAsia="en-GB"/>
        </w:rPr>
        <w:t xml:space="preserve">Yet, it </w:t>
      </w:r>
      <w:r>
        <w:rPr>
          <w:rFonts w:eastAsia="Times New Roman" w:cstheme="minorHAnsi"/>
          <w:color w:val="000000"/>
          <w:lang w:eastAsia="en-GB"/>
        </w:rPr>
        <w:t>remains</w:t>
      </w:r>
      <w:r w:rsidRPr="005C3FD7">
        <w:rPr>
          <w:rFonts w:eastAsia="Times New Roman" w:cstheme="minorHAnsi"/>
          <w:color w:val="000000"/>
          <w:lang w:eastAsia="en-GB"/>
        </w:rPr>
        <w:t xml:space="preserve"> difficult to assess th</w:t>
      </w:r>
      <w:r>
        <w:rPr>
          <w:rFonts w:eastAsia="Times New Roman" w:cstheme="minorHAnsi"/>
          <w:color w:val="000000"/>
          <w:lang w:eastAsia="en-GB"/>
        </w:rPr>
        <w:t>ese</w:t>
      </w:r>
      <w:r w:rsidRPr="005C3FD7">
        <w:rPr>
          <w:rFonts w:eastAsia="Times New Roman" w:cstheme="minorHAnsi"/>
          <w:color w:val="000000"/>
          <w:lang w:eastAsia="en-GB"/>
        </w:rPr>
        <w:t xml:space="preserve"> figure</w:t>
      </w:r>
      <w:r>
        <w:rPr>
          <w:rFonts w:eastAsia="Times New Roman" w:cstheme="minorHAnsi"/>
          <w:color w:val="000000"/>
          <w:lang w:eastAsia="en-GB"/>
        </w:rPr>
        <w:t>s</w:t>
      </w:r>
      <w:r w:rsidRPr="005C3FD7">
        <w:rPr>
          <w:rFonts w:eastAsia="Times New Roman" w:cstheme="minorHAnsi"/>
          <w:color w:val="000000"/>
          <w:lang w:eastAsia="en-GB"/>
        </w:rPr>
        <w:t xml:space="preserve"> exactly as no further inform</w:t>
      </w:r>
      <w:r w:rsidRPr="00041826">
        <w:rPr>
          <w:rFonts w:eastAsia="Times New Roman" w:cstheme="minorHAnsi"/>
          <w:color w:val="000000"/>
          <w:lang w:eastAsia="en-GB"/>
        </w:rPr>
        <w:t xml:space="preserve">ation on how deliverable supply </w:t>
      </w:r>
      <w:r>
        <w:rPr>
          <w:rFonts w:eastAsia="Times New Roman" w:cstheme="minorHAnsi"/>
          <w:color w:val="000000"/>
          <w:lang w:eastAsia="en-GB"/>
        </w:rPr>
        <w:t>will be</w:t>
      </w:r>
      <w:r w:rsidRPr="00041826">
        <w:rPr>
          <w:rFonts w:eastAsia="Times New Roman" w:cstheme="minorHAnsi"/>
          <w:color w:val="000000"/>
          <w:lang w:eastAsia="en-GB"/>
        </w:rPr>
        <w:t xml:space="preserve"> calculated</w:t>
      </w:r>
      <w:r>
        <w:rPr>
          <w:rFonts w:eastAsia="Times New Roman" w:cstheme="minorHAnsi"/>
          <w:color w:val="000000"/>
          <w:lang w:eastAsia="en-GB"/>
        </w:rPr>
        <w:t xml:space="preserve"> is available for the time being</w:t>
      </w:r>
      <w:r w:rsidRPr="00041826">
        <w:rPr>
          <w:rFonts w:eastAsia="Times New Roman" w:cstheme="minorHAnsi"/>
          <w:color w:val="000000"/>
          <w:lang w:eastAsia="en-GB"/>
        </w:rPr>
        <w:t xml:space="preserve">. </w:t>
      </w:r>
      <w:r>
        <w:rPr>
          <w:rFonts w:eastAsia="Times New Roman" w:cstheme="minorHAnsi"/>
          <w:color w:val="000000"/>
          <w:lang w:eastAsia="en-GB"/>
        </w:rPr>
        <w:t>In this context, it is important that the d</w:t>
      </w:r>
      <w:r w:rsidRPr="00041826">
        <w:rPr>
          <w:rFonts w:eastAsia="Times New Roman" w:cstheme="minorHAnsi"/>
          <w:color w:val="000000"/>
          <w:lang w:eastAsia="en-GB"/>
        </w:rPr>
        <w:t xml:space="preserve">eliverable supply </w:t>
      </w:r>
      <w:r>
        <w:rPr>
          <w:rFonts w:eastAsia="Times New Roman" w:cstheme="minorHAnsi"/>
          <w:color w:val="000000"/>
          <w:lang w:eastAsia="en-GB"/>
        </w:rPr>
        <w:t>is</w:t>
      </w:r>
      <w:r w:rsidRPr="00E94B02">
        <w:rPr>
          <w:rFonts w:eastAsia="Times New Roman" w:cstheme="minorHAnsi"/>
          <w:color w:val="000000"/>
          <w:lang w:eastAsia="en-GB"/>
        </w:rPr>
        <w:t xml:space="preserve"> defined </w:t>
      </w:r>
      <w:r>
        <w:rPr>
          <w:rFonts w:eastAsia="Times New Roman" w:cstheme="minorHAnsi"/>
          <w:color w:val="000000"/>
          <w:lang w:eastAsia="en-GB"/>
        </w:rPr>
        <w:t xml:space="preserve">and determined properly in order </w:t>
      </w:r>
      <w:r w:rsidRPr="00E94B02">
        <w:rPr>
          <w:rFonts w:eastAsia="Times New Roman" w:cstheme="minorHAnsi"/>
          <w:color w:val="000000"/>
          <w:lang w:eastAsia="en-GB"/>
        </w:rPr>
        <w:t>to ensure a correct application of th</w:t>
      </w:r>
      <w:r>
        <w:rPr>
          <w:rFonts w:eastAsia="Times New Roman" w:cstheme="minorHAnsi"/>
          <w:color w:val="000000"/>
          <w:lang w:eastAsia="en-GB"/>
        </w:rPr>
        <w:t>e</w:t>
      </w:r>
      <w:r w:rsidRPr="00E94B02">
        <w:rPr>
          <w:rFonts w:eastAsia="Times New Roman" w:cstheme="minorHAnsi"/>
          <w:color w:val="000000"/>
          <w:lang w:eastAsia="en-GB"/>
        </w:rPr>
        <w:t xml:space="preserve"> threshold</w:t>
      </w:r>
      <w:r>
        <w:rPr>
          <w:rFonts w:eastAsia="Times New Roman" w:cstheme="minorHAnsi"/>
          <w:color w:val="000000"/>
          <w:lang w:eastAsia="en-GB"/>
        </w:rPr>
        <w:t>s</w:t>
      </w:r>
      <w:r w:rsidRPr="00E94B02">
        <w:rPr>
          <w:rFonts w:eastAsia="Times New Roman" w:cstheme="minorHAnsi"/>
          <w:color w:val="000000"/>
          <w:lang w:eastAsia="en-GB"/>
        </w:rPr>
        <w:t>.</w:t>
      </w:r>
    </w:p>
    <w:permEnd w:id="32427568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lastRenderedPageBreak/>
        <w:t>&lt;ESMA_QUESTION_CP_MIFID_185&gt;</w:t>
      </w:r>
    </w:p>
    <w:p w:rsidR="00094CE6" w:rsidRPr="00853455" w:rsidRDefault="00094CE6" w:rsidP="00E22AC0">
      <w:pPr>
        <w:spacing w:line="240" w:lineRule="auto"/>
        <w:contextualSpacing/>
        <w:rPr>
          <w:rFonts w:eastAsia="Times New Roman" w:cstheme="minorHAnsi"/>
          <w:color w:val="000000"/>
          <w:lang w:eastAsia="en-GB"/>
        </w:rPr>
      </w:pPr>
      <w:permStart w:id="30685497" w:edGrp="everyone"/>
      <w:r w:rsidRPr="002B2A67">
        <w:rPr>
          <w:rFonts w:eastAsia="Times New Roman" w:cstheme="minorHAnsi"/>
          <w:color w:val="000000"/>
          <w:lang w:eastAsia="en-GB"/>
        </w:rPr>
        <w:t xml:space="preserve">Europex believes that 40% of deliverable supply should be an indicative boundary rather than a hard cap.  This is because particular circumstances </w:t>
      </w:r>
      <w:r>
        <w:rPr>
          <w:rFonts w:eastAsia="Times New Roman" w:cstheme="minorHAnsi"/>
          <w:color w:val="000000"/>
          <w:lang w:eastAsia="en-GB"/>
        </w:rPr>
        <w:t xml:space="preserve">may occur </w:t>
      </w:r>
      <w:r w:rsidRPr="006C13B4">
        <w:rPr>
          <w:rFonts w:eastAsia="Times New Roman" w:cstheme="minorHAnsi"/>
          <w:color w:val="000000"/>
          <w:lang w:eastAsia="en-GB"/>
        </w:rPr>
        <w:t xml:space="preserve">in which greater flexibility is appropriate. For </w:t>
      </w:r>
      <w:r>
        <w:rPr>
          <w:rFonts w:eastAsia="Times New Roman" w:cstheme="minorHAnsi"/>
          <w:color w:val="000000"/>
          <w:lang w:eastAsia="en-GB"/>
        </w:rPr>
        <w:t>instance</w:t>
      </w:r>
      <w:r w:rsidRPr="00853455">
        <w:rPr>
          <w:rFonts w:eastAsia="Times New Roman" w:cstheme="minorHAnsi"/>
          <w:color w:val="000000"/>
          <w:lang w:eastAsia="en-GB"/>
        </w:rPr>
        <w:t>, a figure of 40% may be too restrictive for certain nascent or niche products (</w:t>
      </w:r>
      <w:r>
        <w:rPr>
          <w:rFonts w:eastAsia="Times New Roman" w:cstheme="minorHAnsi"/>
          <w:color w:val="000000"/>
          <w:lang w:eastAsia="en-GB"/>
        </w:rPr>
        <w:t>cf.</w:t>
      </w:r>
      <w:r w:rsidRPr="00853455">
        <w:rPr>
          <w:rFonts w:eastAsia="Times New Roman" w:cstheme="minorHAnsi"/>
          <w:color w:val="000000"/>
          <w:lang w:eastAsia="en-GB"/>
        </w:rPr>
        <w:t xml:space="preserve"> </w:t>
      </w:r>
      <w:r>
        <w:rPr>
          <w:rFonts w:eastAsia="Times New Roman" w:cstheme="minorHAnsi"/>
          <w:color w:val="000000"/>
          <w:lang w:eastAsia="en-GB"/>
        </w:rPr>
        <w:t xml:space="preserve">our responses </w:t>
      </w:r>
      <w:r w:rsidRPr="00853455">
        <w:rPr>
          <w:rFonts w:eastAsia="Times New Roman" w:cstheme="minorHAnsi"/>
          <w:color w:val="000000"/>
          <w:lang w:eastAsia="en-GB"/>
        </w:rPr>
        <w:t>to Questions 189 and 195).</w:t>
      </w:r>
    </w:p>
    <w:p w:rsidR="00094CE6" w:rsidRPr="00853455" w:rsidRDefault="00094CE6" w:rsidP="00E22AC0">
      <w:pPr>
        <w:spacing w:line="240" w:lineRule="auto"/>
        <w:contextualSpacing/>
        <w:rPr>
          <w:rFonts w:eastAsia="Times New Roman" w:cstheme="minorHAnsi"/>
          <w:color w:val="000000"/>
          <w:lang w:eastAsia="en-GB"/>
        </w:rPr>
      </w:pPr>
    </w:p>
    <w:p w:rsidR="00094CE6" w:rsidRDefault="00094CE6" w:rsidP="00EC2C93">
      <w:pPr>
        <w:keepNext/>
        <w:rPr>
          <w:rFonts w:eastAsia="Times New Roman" w:cstheme="minorHAnsi"/>
          <w:color w:val="000000"/>
          <w:lang w:eastAsia="en-GB"/>
        </w:rPr>
      </w:pPr>
      <w:r w:rsidRPr="005C3FD7">
        <w:rPr>
          <w:rFonts w:eastAsia="Times New Roman" w:cstheme="minorHAnsi"/>
          <w:color w:val="000000"/>
          <w:lang w:eastAsia="en-GB"/>
        </w:rPr>
        <w:t xml:space="preserve">Yet, it </w:t>
      </w:r>
      <w:r>
        <w:rPr>
          <w:rFonts w:eastAsia="Times New Roman" w:cstheme="minorHAnsi"/>
          <w:color w:val="000000"/>
          <w:lang w:eastAsia="en-GB"/>
        </w:rPr>
        <w:t>remains</w:t>
      </w:r>
      <w:r w:rsidRPr="005C3FD7">
        <w:rPr>
          <w:rFonts w:eastAsia="Times New Roman" w:cstheme="minorHAnsi"/>
          <w:color w:val="000000"/>
          <w:lang w:eastAsia="en-GB"/>
        </w:rPr>
        <w:t xml:space="preserve"> difficult to assess th</w:t>
      </w:r>
      <w:r>
        <w:rPr>
          <w:rFonts w:eastAsia="Times New Roman" w:cstheme="minorHAnsi"/>
          <w:color w:val="000000"/>
          <w:lang w:eastAsia="en-GB"/>
        </w:rPr>
        <w:t>ese</w:t>
      </w:r>
      <w:r w:rsidRPr="005C3FD7">
        <w:rPr>
          <w:rFonts w:eastAsia="Times New Roman" w:cstheme="minorHAnsi"/>
          <w:color w:val="000000"/>
          <w:lang w:eastAsia="en-GB"/>
        </w:rPr>
        <w:t xml:space="preserve"> figure</w:t>
      </w:r>
      <w:r>
        <w:rPr>
          <w:rFonts w:eastAsia="Times New Roman" w:cstheme="minorHAnsi"/>
          <w:color w:val="000000"/>
          <w:lang w:eastAsia="en-GB"/>
        </w:rPr>
        <w:t>s</w:t>
      </w:r>
      <w:r w:rsidRPr="005C3FD7">
        <w:rPr>
          <w:rFonts w:eastAsia="Times New Roman" w:cstheme="minorHAnsi"/>
          <w:color w:val="000000"/>
          <w:lang w:eastAsia="en-GB"/>
        </w:rPr>
        <w:t xml:space="preserve"> exactly as no further inform</w:t>
      </w:r>
      <w:r w:rsidRPr="00041826">
        <w:rPr>
          <w:rFonts w:eastAsia="Times New Roman" w:cstheme="minorHAnsi"/>
          <w:color w:val="000000"/>
          <w:lang w:eastAsia="en-GB"/>
        </w:rPr>
        <w:t xml:space="preserve">ation on how deliverable supply </w:t>
      </w:r>
      <w:r>
        <w:rPr>
          <w:rFonts w:eastAsia="Times New Roman" w:cstheme="minorHAnsi"/>
          <w:color w:val="000000"/>
          <w:lang w:eastAsia="en-GB"/>
        </w:rPr>
        <w:t>will be</w:t>
      </w:r>
      <w:r w:rsidRPr="00041826">
        <w:rPr>
          <w:rFonts w:eastAsia="Times New Roman" w:cstheme="minorHAnsi"/>
          <w:color w:val="000000"/>
          <w:lang w:eastAsia="en-GB"/>
        </w:rPr>
        <w:t xml:space="preserve"> calculated</w:t>
      </w:r>
      <w:r>
        <w:rPr>
          <w:rFonts w:eastAsia="Times New Roman" w:cstheme="minorHAnsi"/>
          <w:color w:val="000000"/>
          <w:lang w:eastAsia="en-GB"/>
        </w:rPr>
        <w:t xml:space="preserve"> is available for the time being</w:t>
      </w:r>
      <w:r w:rsidRPr="00041826">
        <w:rPr>
          <w:rFonts w:eastAsia="Times New Roman" w:cstheme="minorHAnsi"/>
          <w:color w:val="000000"/>
          <w:lang w:eastAsia="en-GB"/>
        </w:rPr>
        <w:t>.</w:t>
      </w:r>
    </w:p>
    <w:permEnd w:id="30685497"/>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094CE6" w:rsidRPr="004B0CDB" w:rsidRDefault="00094CE6" w:rsidP="00E22AC0">
      <w:pPr>
        <w:tabs>
          <w:tab w:val="left" w:pos="1650"/>
        </w:tabs>
        <w:rPr>
          <w:rFonts w:eastAsia="Times New Roman" w:cstheme="minorHAnsi"/>
          <w:lang w:eastAsia="en-GB"/>
        </w:rPr>
      </w:pPr>
      <w:permStart w:id="1922257294" w:edGrp="everyone"/>
      <w:r>
        <w:rPr>
          <w:rFonts w:eastAsia="Times New Roman" w:cstheme="minorHAnsi"/>
          <w:lang w:eastAsia="en-GB"/>
        </w:rPr>
        <w:t xml:space="preserve">+/- </w:t>
      </w:r>
      <w:r w:rsidRPr="002B51DB">
        <w:rPr>
          <w:rFonts w:eastAsia="Times New Roman" w:cstheme="minorHAnsi"/>
          <w:lang w:eastAsia="en-GB"/>
        </w:rPr>
        <w:t xml:space="preserve">15% seems to be a reasonable number provided </w:t>
      </w:r>
      <w:r w:rsidRPr="00301B57">
        <w:rPr>
          <w:rFonts w:eastAsia="Times New Roman" w:cstheme="minorHAnsi"/>
          <w:lang w:eastAsia="en-GB"/>
        </w:rPr>
        <w:t>that it remains an indicative boundary</w:t>
      </w:r>
      <w:r w:rsidRPr="00A16621">
        <w:rPr>
          <w:rFonts w:eastAsia="Times New Roman" w:cstheme="minorHAnsi"/>
          <w:lang w:eastAsia="en-GB"/>
        </w:rPr>
        <w:t xml:space="preserve"> rather than </w:t>
      </w:r>
      <w:r>
        <w:rPr>
          <w:rFonts w:eastAsia="Times New Roman" w:cstheme="minorHAnsi"/>
          <w:lang w:eastAsia="en-GB"/>
        </w:rPr>
        <w:t xml:space="preserve">a </w:t>
      </w:r>
      <w:r w:rsidRPr="004B0CDB">
        <w:rPr>
          <w:rFonts w:eastAsia="Times New Roman" w:cstheme="minorHAnsi"/>
          <w:lang w:eastAsia="en-GB"/>
        </w:rPr>
        <w:t>hard cap</w:t>
      </w:r>
      <w:r>
        <w:rPr>
          <w:rFonts w:eastAsia="Times New Roman" w:cstheme="minorHAnsi"/>
          <w:lang w:eastAsia="en-GB"/>
        </w:rPr>
        <w:t xml:space="preserve"> / floor</w:t>
      </w:r>
      <w:r w:rsidRPr="004B0CDB">
        <w:rPr>
          <w:rFonts w:eastAsia="Times New Roman" w:cstheme="minorHAnsi"/>
          <w:lang w:eastAsia="en-GB"/>
        </w:rPr>
        <w:t>.  As the methodolog</w:t>
      </w:r>
      <w:r>
        <w:rPr>
          <w:rFonts w:eastAsia="Times New Roman" w:cstheme="minorHAnsi"/>
          <w:lang w:eastAsia="en-GB"/>
        </w:rPr>
        <w:t>ies</w:t>
      </w:r>
      <w:r w:rsidRPr="004B0CDB">
        <w:rPr>
          <w:rFonts w:eastAsia="Times New Roman" w:cstheme="minorHAnsi"/>
          <w:lang w:eastAsia="en-GB"/>
        </w:rPr>
        <w:t xml:space="preserve"> for setting position limits and deliverable supply </w:t>
      </w:r>
      <w:r>
        <w:rPr>
          <w:rFonts w:eastAsia="Times New Roman" w:cstheme="minorHAnsi"/>
          <w:lang w:eastAsia="en-GB"/>
        </w:rPr>
        <w:t>are</w:t>
      </w:r>
      <w:r w:rsidRPr="004B0CDB">
        <w:rPr>
          <w:rFonts w:eastAsia="Times New Roman" w:cstheme="minorHAnsi"/>
          <w:lang w:eastAsia="en-GB"/>
        </w:rPr>
        <w:t xml:space="preserve"> not totally clear yet, it is difficult to assess more precisely the impact of such </w:t>
      </w:r>
      <w:r>
        <w:rPr>
          <w:rFonts w:eastAsia="Times New Roman" w:cstheme="minorHAnsi"/>
          <w:lang w:eastAsia="en-GB"/>
        </w:rPr>
        <w:t xml:space="preserve">+/- </w:t>
      </w:r>
      <w:r w:rsidRPr="004B0CDB">
        <w:rPr>
          <w:rFonts w:eastAsia="Times New Roman" w:cstheme="minorHAnsi"/>
          <w:lang w:eastAsia="en-GB"/>
        </w:rPr>
        <w:t>15% parameter</w:t>
      </w:r>
      <w:r>
        <w:rPr>
          <w:rFonts w:eastAsia="Times New Roman" w:cstheme="minorHAnsi"/>
          <w:lang w:eastAsia="en-GB"/>
        </w:rPr>
        <w:t>s</w:t>
      </w:r>
      <w:r w:rsidRPr="004B0CDB">
        <w:rPr>
          <w:rFonts w:eastAsia="Times New Roman" w:cstheme="minorHAnsi"/>
          <w:lang w:eastAsia="en-GB"/>
        </w:rPr>
        <w:t xml:space="preserve">. </w:t>
      </w:r>
    </w:p>
    <w:p w:rsidR="00094CE6" w:rsidRDefault="00094CE6" w:rsidP="00EC2C93">
      <w:pPr>
        <w:keepNext/>
        <w:rPr>
          <w:rFonts w:eastAsia="Times New Roman" w:cstheme="minorHAnsi"/>
          <w:lang w:eastAsia="en-GB"/>
        </w:rPr>
      </w:pPr>
      <w:r w:rsidRPr="002B51DB">
        <w:rPr>
          <w:rFonts w:eastAsia="Times New Roman" w:cstheme="minorHAnsi"/>
          <w:lang w:eastAsia="en-GB"/>
        </w:rPr>
        <w:t>Europex believes that some of the factors which ESMA may use to alter the baseline level should be given greater weight than others, given their greater relevance to orderly markets and pricing considerations (</w:t>
      </w:r>
      <w:r>
        <w:rPr>
          <w:rFonts w:eastAsia="Times New Roman" w:cstheme="minorHAnsi"/>
          <w:lang w:eastAsia="en-GB"/>
        </w:rPr>
        <w:t xml:space="preserve">Cf. our response to </w:t>
      </w:r>
      <w:r w:rsidRPr="002B51DB">
        <w:rPr>
          <w:rFonts w:eastAsia="Times New Roman" w:cstheme="minorHAnsi"/>
          <w:lang w:eastAsia="en-GB"/>
        </w:rPr>
        <w:t>Question 187 for further details).</w:t>
      </w:r>
    </w:p>
    <w:permEnd w:id="1922257294"/>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094CE6" w:rsidRPr="00713CB2" w:rsidRDefault="00094CE6" w:rsidP="00094CE6">
      <w:pPr>
        <w:spacing w:line="240" w:lineRule="auto"/>
        <w:rPr>
          <w:rFonts w:eastAsia="Times New Roman" w:cstheme="minorHAnsi"/>
          <w:color w:val="000000"/>
          <w:lang w:eastAsia="en-GB"/>
        </w:rPr>
      </w:pPr>
      <w:permStart w:id="1237725368" w:edGrp="everyone"/>
      <w:r>
        <w:rPr>
          <w:rFonts w:eastAsia="Times New Roman" w:cstheme="minorHAnsi"/>
          <w:color w:val="000000"/>
          <w:lang w:eastAsia="en-GB"/>
        </w:rPr>
        <w:t>Europex is convinced that the</w:t>
      </w:r>
      <w:r w:rsidRPr="00ED4326">
        <w:rPr>
          <w:rFonts w:eastAsia="Times New Roman" w:cstheme="minorHAnsi"/>
          <w:color w:val="000000"/>
          <w:lang w:eastAsia="en-GB"/>
        </w:rPr>
        <w:t xml:space="preserve"> </w:t>
      </w:r>
      <w:r>
        <w:rPr>
          <w:rFonts w:eastAsia="Times New Roman" w:cstheme="minorHAnsi"/>
          <w:color w:val="000000"/>
          <w:lang w:eastAsia="en-GB"/>
        </w:rPr>
        <w:t xml:space="preserve">listed </w:t>
      </w:r>
      <w:r w:rsidRPr="003150A5">
        <w:rPr>
          <w:rFonts w:eastAsia="Times New Roman" w:cstheme="minorHAnsi"/>
          <w:color w:val="000000"/>
          <w:lang w:eastAsia="en-GB"/>
        </w:rPr>
        <w:t xml:space="preserve">factors in question should not </w:t>
      </w:r>
      <w:r>
        <w:rPr>
          <w:rFonts w:eastAsia="Times New Roman" w:cstheme="minorHAnsi"/>
          <w:color w:val="000000"/>
          <w:lang w:eastAsia="en-GB"/>
        </w:rPr>
        <w:t>be</w:t>
      </w:r>
      <w:r w:rsidRPr="003150A5">
        <w:rPr>
          <w:rFonts w:eastAsia="Times New Roman" w:cstheme="minorHAnsi"/>
          <w:color w:val="000000"/>
          <w:lang w:eastAsia="en-GB"/>
        </w:rPr>
        <w:t xml:space="preserve"> equal</w:t>
      </w:r>
      <w:r>
        <w:rPr>
          <w:rFonts w:eastAsia="Times New Roman" w:cstheme="minorHAnsi"/>
          <w:color w:val="000000"/>
          <w:lang w:eastAsia="en-GB"/>
        </w:rPr>
        <w:t>ly</w:t>
      </w:r>
      <w:r w:rsidRPr="003150A5">
        <w:rPr>
          <w:rFonts w:eastAsia="Times New Roman" w:cstheme="minorHAnsi"/>
          <w:color w:val="000000"/>
          <w:lang w:eastAsia="en-GB"/>
        </w:rPr>
        <w:t xml:space="preserve"> weight</w:t>
      </w:r>
      <w:r>
        <w:rPr>
          <w:rFonts w:eastAsia="Times New Roman" w:cstheme="minorHAnsi"/>
          <w:color w:val="000000"/>
          <w:lang w:eastAsia="en-GB"/>
        </w:rPr>
        <w:t>ed</w:t>
      </w:r>
      <w:r w:rsidRPr="003150A5">
        <w:rPr>
          <w:rFonts w:eastAsia="Times New Roman" w:cstheme="minorHAnsi"/>
          <w:color w:val="000000"/>
          <w:lang w:eastAsia="en-GB"/>
        </w:rPr>
        <w:t xml:space="preserve">. </w:t>
      </w:r>
      <w:r>
        <w:rPr>
          <w:rFonts w:eastAsia="Times New Roman" w:cstheme="minorHAnsi"/>
          <w:color w:val="000000"/>
          <w:lang w:eastAsia="en-GB"/>
        </w:rPr>
        <w:t>Europex</w:t>
      </w:r>
      <w:r w:rsidRPr="00810B5D">
        <w:rPr>
          <w:rFonts w:eastAsia="Times New Roman" w:cstheme="minorHAnsi"/>
          <w:color w:val="000000"/>
          <w:lang w:eastAsia="en-GB"/>
        </w:rPr>
        <w:t xml:space="preserve"> favour</w:t>
      </w:r>
      <w:r>
        <w:rPr>
          <w:rFonts w:eastAsia="Times New Roman" w:cstheme="minorHAnsi"/>
          <w:color w:val="000000"/>
          <w:lang w:eastAsia="en-GB"/>
        </w:rPr>
        <w:t>s</w:t>
      </w:r>
      <w:r w:rsidRPr="00810B5D">
        <w:rPr>
          <w:rFonts w:eastAsia="Times New Roman" w:cstheme="minorHAnsi"/>
          <w:color w:val="000000"/>
          <w:lang w:eastAsia="en-GB"/>
        </w:rPr>
        <w:t xml:space="preserve"> the option to take deliverable supply as a baseline </w:t>
      </w:r>
      <w:r>
        <w:rPr>
          <w:rFonts w:eastAsia="Times New Roman" w:cstheme="minorHAnsi"/>
          <w:color w:val="000000"/>
          <w:lang w:eastAsia="en-GB"/>
        </w:rPr>
        <w:t>from</w:t>
      </w:r>
      <w:r w:rsidRPr="00810B5D">
        <w:rPr>
          <w:rFonts w:eastAsia="Times New Roman" w:cstheme="minorHAnsi"/>
          <w:color w:val="000000"/>
          <w:lang w:eastAsia="en-GB"/>
        </w:rPr>
        <w:t xml:space="preserve"> which to apply position limits. For </w:t>
      </w:r>
      <w:r w:rsidRPr="00810B5D">
        <w:t>parameters altering the baseline position</w:t>
      </w:r>
      <w:r w:rsidRPr="00BF4C8A">
        <w:rPr>
          <w:rFonts w:eastAsia="Times New Roman" w:cstheme="minorHAnsi"/>
          <w:color w:val="000000"/>
          <w:lang w:eastAsia="en-GB"/>
        </w:rPr>
        <w:t xml:space="preserve">, most weight should be </w:t>
      </w:r>
      <w:r>
        <w:rPr>
          <w:rFonts w:eastAsia="Times New Roman" w:cstheme="minorHAnsi"/>
          <w:color w:val="000000"/>
          <w:lang w:eastAsia="en-GB"/>
        </w:rPr>
        <w:t>given</w:t>
      </w:r>
      <w:r w:rsidRPr="00BF4C8A">
        <w:rPr>
          <w:rFonts w:eastAsia="Times New Roman" w:cstheme="minorHAnsi"/>
          <w:color w:val="000000"/>
          <w:lang w:eastAsia="en-GB"/>
        </w:rPr>
        <w:t xml:space="preserve"> to the size of deliverable supply, </w:t>
      </w:r>
      <w:r>
        <w:rPr>
          <w:rFonts w:eastAsia="Times New Roman" w:cstheme="minorHAnsi"/>
          <w:color w:val="000000"/>
          <w:lang w:eastAsia="en-GB"/>
        </w:rPr>
        <w:t xml:space="preserve">the </w:t>
      </w:r>
      <w:r w:rsidRPr="00BF4C8A">
        <w:rPr>
          <w:rFonts w:eastAsia="Times New Roman" w:cstheme="minorHAnsi"/>
          <w:color w:val="000000"/>
          <w:lang w:eastAsia="en-GB"/>
        </w:rPr>
        <w:t>maturity of the contracts and the state of development of the market</w:t>
      </w:r>
      <w:r>
        <w:rPr>
          <w:rFonts w:eastAsia="Times New Roman" w:cstheme="minorHAnsi"/>
          <w:color w:val="000000"/>
          <w:lang w:eastAsia="en-GB"/>
        </w:rPr>
        <w:t>.</w:t>
      </w:r>
      <w:r w:rsidRPr="00BF4C8A">
        <w:rPr>
          <w:rFonts w:eastAsia="Times New Roman" w:cstheme="minorHAnsi"/>
          <w:color w:val="000000"/>
          <w:lang w:eastAsia="en-GB"/>
        </w:rPr>
        <w:t xml:space="preserve"> </w:t>
      </w:r>
      <w:r>
        <w:rPr>
          <w:rFonts w:eastAsia="Times New Roman" w:cstheme="minorHAnsi"/>
          <w:color w:val="000000"/>
          <w:lang w:eastAsia="en-GB"/>
        </w:rPr>
        <w:t>T</w:t>
      </w:r>
      <w:r w:rsidRPr="00BF4C8A">
        <w:rPr>
          <w:rFonts w:eastAsia="Times New Roman" w:cstheme="minorHAnsi"/>
          <w:color w:val="000000"/>
          <w:lang w:eastAsia="en-GB"/>
        </w:rPr>
        <w:t xml:space="preserve">hese </w:t>
      </w:r>
      <w:r>
        <w:rPr>
          <w:rFonts w:eastAsia="Times New Roman" w:cstheme="minorHAnsi"/>
          <w:color w:val="000000"/>
          <w:lang w:eastAsia="en-GB"/>
        </w:rPr>
        <w:t xml:space="preserve">three </w:t>
      </w:r>
      <w:r w:rsidRPr="00BF4C8A">
        <w:rPr>
          <w:rFonts w:eastAsia="Times New Roman" w:cstheme="minorHAnsi"/>
          <w:color w:val="000000"/>
          <w:lang w:eastAsia="en-GB"/>
        </w:rPr>
        <w:t xml:space="preserve">are the key factors </w:t>
      </w:r>
      <w:r>
        <w:rPr>
          <w:rFonts w:eastAsia="Times New Roman" w:cstheme="minorHAnsi"/>
          <w:color w:val="000000"/>
          <w:lang w:eastAsia="en-GB"/>
        </w:rPr>
        <w:t>for</w:t>
      </w:r>
      <w:r w:rsidRPr="00BF4C8A">
        <w:rPr>
          <w:rFonts w:eastAsia="Times New Roman" w:cstheme="minorHAnsi"/>
          <w:color w:val="000000"/>
          <w:lang w:eastAsia="en-GB"/>
        </w:rPr>
        <w:t xml:space="preserve"> the design of position limits which support orderly pricing and settlement conditions and prevent market abuse.  A second category of factors should be given a medium weighting (i.e. number and size of participants, characteristics of the underlying market and new contracts), as they are also relevant </w:t>
      </w:r>
      <w:r>
        <w:rPr>
          <w:rFonts w:eastAsia="Times New Roman" w:cstheme="minorHAnsi"/>
          <w:color w:val="000000"/>
          <w:lang w:eastAsia="en-GB"/>
        </w:rPr>
        <w:t>for</w:t>
      </w:r>
      <w:r w:rsidRPr="00BF4C8A">
        <w:rPr>
          <w:rFonts w:eastAsia="Times New Roman" w:cstheme="minorHAnsi"/>
          <w:color w:val="000000"/>
          <w:lang w:eastAsia="en-GB"/>
        </w:rPr>
        <w:t xml:space="preserve"> calibrating the application of</w:t>
      </w:r>
      <w:r w:rsidRPr="00713CB2">
        <w:rPr>
          <w:rFonts w:eastAsia="Times New Roman" w:cstheme="minorHAnsi"/>
          <w:color w:val="000000"/>
          <w:lang w:eastAsia="en-GB"/>
        </w:rPr>
        <w:t xml:space="preserve"> position limits </w:t>
      </w:r>
      <w:r>
        <w:rPr>
          <w:rFonts w:eastAsia="Times New Roman" w:cstheme="minorHAnsi"/>
          <w:color w:val="000000"/>
          <w:lang w:eastAsia="en-GB"/>
        </w:rPr>
        <w:t>in</w:t>
      </w:r>
      <w:r w:rsidRPr="00713CB2">
        <w:rPr>
          <w:rFonts w:eastAsia="Times New Roman" w:cstheme="minorHAnsi"/>
          <w:color w:val="000000"/>
          <w:lang w:eastAsia="en-GB"/>
        </w:rPr>
        <w:t xml:space="preserve"> the market in question.  </w:t>
      </w:r>
    </w:p>
    <w:p w:rsidR="00094CE6" w:rsidRPr="00FA6D42" w:rsidRDefault="00094CE6" w:rsidP="00094CE6">
      <w:pPr>
        <w:spacing w:line="240" w:lineRule="auto"/>
        <w:rPr>
          <w:rFonts w:eastAsia="Times New Roman" w:cstheme="minorHAnsi"/>
          <w:color w:val="000000"/>
          <w:lang w:eastAsia="en-GB"/>
        </w:rPr>
      </w:pPr>
    </w:p>
    <w:p w:rsidR="00094CE6" w:rsidRDefault="00094CE6" w:rsidP="00094CE6">
      <w:pPr>
        <w:spacing w:line="240" w:lineRule="auto"/>
        <w:rPr>
          <w:rFonts w:eastAsia="Times New Roman" w:cstheme="minorHAnsi"/>
          <w:color w:val="000000"/>
          <w:lang w:eastAsia="en-GB"/>
        </w:rPr>
      </w:pPr>
      <w:r w:rsidRPr="00FA6D42">
        <w:rPr>
          <w:rFonts w:eastAsia="Times New Roman" w:cstheme="minorHAnsi"/>
          <w:color w:val="000000"/>
          <w:lang w:eastAsia="en-GB"/>
        </w:rPr>
        <w:t>A third category should be given a low w</w:t>
      </w:r>
      <w:r w:rsidRPr="003150A5">
        <w:rPr>
          <w:rFonts w:eastAsia="Times New Roman" w:cstheme="minorHAnsi"/>
          <w:color w:val="000000"/>
          <w:lang w:eastAsia="en-GB"/>
        </w:rPr>
        <w:t>eighting</w:t>
      </w:r>
      <w:r>
        <w:rPr>
          <w:rFonts w:eastAsia="Times New Roman" w:cstheme="minorHAnsi"/>
          <w:color w:val="000000"/>
          <w:lang w:eastAsia="en-GB"/>
        </w:rPr>
        <w:t xml:space="preserve"> (</w:t>
      </w:r>
      <w:r w:rsidRPr="00FA6D42">
        <w:rPr>
          <w:rFonts w:eastAsia="Times New Roman" w:cstheme="minorHAnsi"/>
          <w:color w:val="000000"/>
          <w:lang w:eastAsia="en-GB"/>
        </w:rPr>
        <w:t>i.e. open interest and volatility</w:t>
      </w:r>
      <w:r>
        <w:rPr>
          <w:rFonts w:eastAsia="Times New Roman" w:cstheme="minorHAnsi"/>
          <w:color w:val="000000"/>
          <w:lang w:eastAsia="en-GB"/>
        </w:rPr>
        <w:t>)</w:t>
      </w:r>
      <w:r w:rsidRPr="00FA6D42">
        <w:rPr>
          <w:rFonts w:eastAsia="Times New Roman" w:cstheme="minorHAnsi"/>
          <w:color w:val="000000"/>
          <w:lang w:eastAsia="en-GB"/>
        </w:rPr>
        <w:t xml:space="preserve"> for the </w:t>
      </w:r>
      <w:r>
        <w:rPr>
          <w:rFonts w:eastAsia="Times New Roman" w:cstheme="minorHAnsi"/>
          <w:color w:val="000000"/>
          <w:lang w:eastAsia="en-GB"/>
        </w:rPr>
        <w:t xml:space="preserve">following </w:t>
      </w:r>
      <w:r w:rsidRPr="00FA6D42">
        <w:rPr>
          <w:rFonts w:eastAsia="Times New Roman" w:cstheme="minorHAnsi"/>
          <w:color w:val="000000"/>
          <w:lang w:eastAsia="en-GB"/>
        </w:rPr>
        <w:t>reasons</w:t>
      </w:r>
      <w:r>
        <w:rPr>
          <w:rFonts w:eastAsia="Times New Roman" w:cstheme="minorHAnsi"/>
          <w:color w:val="000000"/>
          <w:lang w:eastAsia="en-GB"/>
        </w:rPr>
        <w:t>:</w:t>
      </w:r>
    </w:p>
    <w:p w:rsidR="00094CE6" w:rsidRPr="00FA6D42" w:rsidRDefault="00094CE6" w:rsidP="00094CE6">
      <w:pPr>
        <w:spacing w:line="240" w:lineRule="auto"/>
        <w:rPr>
          <w:rFonts w:eastAsia="Times New Roman" w:cstheme="minorHAnsi"/>
          <w:color w:val="000000"/>
          <w:lang w:eastAsia="en-GB"/>
        </w:rPr>
      </w:pPr>
    </w:p>
    <w:p w:rsidR="00094CE6" w:rsidRPr="002B2A67" w:rsidRDefault="00094CE6" w:rsidP="00094CE6">
      <w:pPr>
        <w:pStyle w:val="Listenabsatz"/>
        <w:numPr>
          <w:ilvl w:val="0"/>
          <w:numId w:val="36"/>
        </w:numPr>
        <w:spacing w:line="240" w:lineRule="auto"/>
        <w:rPr>
          <w:rFonts w:eastAsia="Times New Roman" w:cstheme="minorHAnsi"/>
          <w:color w:val="000000"/>
          <w:lang w:eastAsia="en-GB"/>
        </w:rPr>
      </w:pPr>
      <w:r w:rsidRPr="002B2A67">
        <w:rPr>
          <w:rFonts w:eastAsia="Times New Roman" w:cstheme="minorHAnsi"/>
          <w:color w:val="000000"/>
          <w:lang w:eastAsia="en-GB"/>
        </w:rPr>
        <w:t>Open interest should not be viewed in isolation. It is unavoidably backward-looking and presupposes a certain number of participants in the market in order to work. For instance, a per-participant limit of 5% of the open interest would require at least 20 participants</w:t>
      </w:r>
      <w:r>
        <w:rPr>
          <w:rFonts w:eastAsia="Times New Roman" w:cstheme="minorHAnsi"/>
          <w:color w:val="000000"/>
          <w:lang w:eastAsia="en-GB"/>
        </w:rPr>
        <w:t xml:space="preserve"> with 5% of open interest each</w:t>
      </w:r>
      <w:r w:rsidRPr="002B2A67">
        <w:rPr>
          <w:rFonts w:eastAsia="Times New Roman" w:cstheme="minorHAnsi"/>
          <w:color w:val="000000"/>
          <w:lang w:eastAsia="en-GB"/>
        </w:rPr>
        <w:t xml:space="preserve">. This cannot be assumed to </w:t>
      </w:r>
      <w:r w:rsidRPr="007D7F54">
        <w:rPr>
          <w:rFonts w:eastAsia="Times New Roman" w:cstheme="minorHAnsi"/>
          <w:color w:val="000000"/>
          <w:lang w:eastAsia="en-GB"/>
        </w:rPr>
        <w:t xml:space="preserve">always </w:t>
      </w:r>
      <w:r w:rsidRPr="002B2A67">
        <w:rPr>
          <w:rFonts w:eastAsia="Times New Roman" w:cstheme="minorHAnsi"/>
          <w:color w:val="000000"/>
          <w:lang w:eastAsia="en-GB"/>
        </w:rPr>
        <w:t>be the case.  Indeed, in the interests of the efficacy of nascent or niche markets – in which there may be only a handful of active market participants – it might be necessary to introduce a threshold level below which the application of position limits would be suspended.</w:t>
      </w:r>
    </w:p>
    <w:p w:rsidR="00094CE6" w:rsidRPr="002B2A67" w:rsidRDefault="00094CE6" w:rsidP="00094CE6">
      <w:pPr>
        <w:pStyle w:val="Listenabsatz"/>
        <w:numPr>
          <w:ilvl w:val="0"/>
          <w:numId w:val="36"/>
        </w:numPr>
        <w:spacing w:line="240" w:lineRule="auto"/>
        <w:rPr>
          <w:rFonts w:eastAsia="Times New Roman" w:cstheme="minorHAnsi"/>
          <w:color w:val="000000"/>
          <w:lang w:eastAsia="en-GB"/>
        </w:rPr>
      </w:pPr>
      <w:r>
        <w:rPr>
          <w:rFonts w:eastAsia="Times New Roman" w:cstheme="minorHAnsi"/>
          <w:color w:val="000000"/>
          <w:lang w:eastAsia="en-GB"/>
        </w:rPr>
        <w:t>Another factor is</w:t>
      </w:r>
      <w:r w:rsidRPr="002B2A67">
        <w:rPr>
          <w:rFonts w:eastAsia="Times New Roman" w:cstheme="minorHAnsi"/>
          <w:color w:val="000000"/>
          <w:lang w:eastAsia="en-GB"/>
        </w:rPr>
        <w:t xml:space="preserve"> “volatility”</w:t>
      </w:r>
      <w:r>
        <w:rPr>
          <w:rFonts w:eastAsia="Times New Roman" w:cstheme="minorHAnsi"/>
          <w:color w:val="000000"/>
          <w:lang w:eastAsia="en-GB"/>
        </w:rPr>
        <w:t>.</w:t>
      </w:r>
      <w:r w:rsidRPr="002B2A67">
        <w:rPr>
          <w:rFonts w:eastAsia="Times New Roman" w:cstheme="minorHAnsi"/>
          <w:color w:val="000000"/>
          <w:lang w:eastAsia="en-GB"/>
        </w:rPr>
        <w:t xml:space="preserve"> </w:t>
      </w:r>
      <w:r>
        <w:rPr>
          <w:rFonts w:eastAsia="Times New Roman" w:cstheme="minorHAnsi"/>
          <w:color w:val="000000"/>
          <w:lang w:eastAsia="en-GB"/>
        </w:rPr>
        <w:t>T</w:t>
      </w:r>
      <w:r w:rsidRPr="002B2A67">
        <w:rPr>
          <w:rFonts w:eastAsia="Times New Roman" w:cstheme="minorHAnsi"/>
          <w:color w:val="000000"/>
          <w:lang w:eastAsia="en-GB"/>
        </w:rPr>
        <w:t>h</w:t>
      </w:r>
      <w:r>
        <w:rPr>
          <w:rFonts w:eastAsia="Times New Roman" w:cstheme="minorHAnsi"/>
          <w:color w:val="000000"/>
          <w:lang w:eastAsia="en-GB"/>
        </w:rPr>
        <w:t>is</w:t>
      </w:r>
      <w:r w:rsidRPr="002B2A67">
        <w:rPr>
          <w:rFonts w:eastAsia="Times New Roman" w:cstheme="minorHAnsi"/>
          <w:color w:val="000000"/>
          <w:lang w:eastAsia="en-GB"/>
        </w:rPr>
        <w:t xml:space="preserve"> term is often </w:t>
      </w:r>
      <w:r>
        <w:rPr>
          <w:rFonts w:eastAsia="Times New Roman" w:cstheme="minorHAnsi"/>
          <w:color w:val="000000"/>
          <w:lang w:eastAsia="en-GB"/>
        </w:rPr>
        <w:t>confusingly (mis-)used</w:t>
      </w:r>
      <w:r w:rsidRPr="002B2A67">
        <w:rPr>
          <w:rFonts w:eastAsia="Times New Roman" w:cstheme="minorHAnsi"/>
          <w:color w:val="000000"/>
          <w:lang w:eastAsia="en-GB"/>
        </w:rPr>
        <w:t xml:space="preserve"> for </w:t>
      </w:r>
      <w:r>
        <w:rPr>
          <w:rFonts w:eastAsia="Times New Roman" w:cstheme="minorHAnsi"/>
          <w:color w:val="000000"/>
          <w:lang w:eastAsia="en-GB"/>
        </w:rPr>
        <w:t xml:space="preserve">describing </w:t>
      </w:r>
      <w:r w:rsidRPr="002B2A67">
        <w:rPr>
          <w:rFonts w:eastAsia="Times New Roman" w:cstheme="minorHAnsi"/>
          <w:color w:val="000000"/>
          <w:lang w:eastAsia="en-GB"/>
        </w:rPr>
        <w:t xml:space="preserve">pricing distortions </w:t>
      </w:r>
      <w:r>
        <w:rPr>
          <w:rFonts w:eastAsia="Times New Roman" w:cstheme="minorHAnsi"/>
          <w:color w:val="000000"/>
          <w:lang w:eastAsia="en-GB"/>
        </w:rPr>
        <w:t>that</w:t>
      </w:r>
      <w:r w:rsidRPr="002B2A67">
        <w:rPr>
          <w:rFonts w:eastAsia="Times New Roman" w:cstheme="minorHAnsi"/>
          <w:color w:val="000000"/>
          <w:lang w:eastAsia="en-GB"/>
        </w:rPr>
        <w:t xml:space="preserve"> can occur (whether for technical or nefarious reasons) in commodity markets as a contract approaches maturity. Rather than volatility per se (which implies that the price of the spot month is rising and falling sharply during a short </w:t>
      </w:r>
      <w:r>
        <w:rPr>
          <w:rFonts w:eastAsia="Times New Roman" w:cstheme="minorHAnsi"/>
          <w:color w:val="000000"/>
          <w:lang w:eastAsia="en-GB"/>
        </w:rPr>
        <w:t>period</w:t>
      </w:r>
      <w:r w:rsidRPr="002B2A67">
        <w:rPr>
          <w:rFonts w:eastAsia="Times New Roman" w:cstheme="minorHAnsi"/>
          <w:color w:val="000000"/>
          <w:lang w:eastAsia="en-GB"/>
        </w:rPr>
        <w:t xml:space="preserve"> of time), it is more likely that any pricing distortions would be </w:t>
      </w:r>
      <w:r w:rsidRPr="002B2A67">
        <w:rPr>
          <w:rFonts w:eastAsia="Times New Roman" w:cstheme="minorHAnsi"/>
          <w:color w:val="000000"/>
          <w:lang w:eastAsia="en-GB"/>
        </w:rPr>
        <w:lastRenderedPageBreak/>
        <w:t>characterised by increases or decreases in price in a clear direction and/or a change in the pricing relationship between the spot mont</w:t>
      </w:r>
      <w:r>
        <w:rPr>
          <w:rFonts w:eastAsia="Times New Roman" w:cstheme="minorHAnsi"/>
          <w:color w:val="000000"/>
          <w:lang w:eastAsia="en-GB"/>
        </w:rPr>
        <w:t>h and the next delivery month.</w:t>
      </w:r>
    </w:p>
    <w:permEnd w:id="1237725368"/>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094CE6" w:rsidRPr="00301B57" w:rsidRDefault="00094CE6" w:rsidP="00094CE6">
      <w:pPr>
        <w:spacing w:line="240" w:lineRule="auto"/>
        <w:rPr>
          <w:rFonts w:eastAsia="Times New Roman" w:cstheme="minorHAnsi"/>
          <w:color w:val="000000"/>
          <w:lang w:eastAsia="en-GB"/>
        </w:rPr>
      </w:pPr>
      <w:permStart w:id="1725719527" w:edGrp="everyone"/>
      <w:r w:rsidRPr="002B2A67">
        <w:rPr>
          <w:rFonts w:eastAsia="Times New Roman" w:cstheme="minorHAnsi"/>
          <w:color w:val="000000"/>
          <w:lang w:eastAsia="en-GB"/>
        </w:rPr>
        <w:t>As ESMA has proposed</w:t>
      </w:r>
      <w:r>
        <w:rPr>
          <w:rFonts w:eastAsia="Times New Roman" w:cstheme="minorHAnsi"/>
          <w:color w:val="000000"/>
          <w:lang w:eastAsia="en-GB"/>
        </w:rPr>
        <w:t xml:space="preserve"> in its CP</w:t>
      </w:r>
      <w:r w:rsidRPr="00301B57">
        <w:rPr>
          <w:rFonts w:eastAsia="Times New Roman" w:cstheme="minorHAnsi"/>
          <w:color w:val="000000"/>
          <w:lang w:eastAsia="en-GB"/>
        </w:rPr>
        <w:t xml:space="preserve">, the baseline level for both the spot month position limit and the other months position limit should be based on deliverable supply.  This is because </w:t>
      </w:r>
      <w:r>
        <w:rPr>
          <w:rFonts w:eastAsia="Times New Roman" w:cstheme="minorHAnsi"/>
          <w:color w:val="000000"/>
          <w:lang w:eastAsia="en-GB"/>
        </w:rPr>
        <w:t>of</w:t>
      </w:r>
      <w:r w:rsidRPr="00301B57">
        <w:rPr>
          <w:rFonts w:eastAsia="Times New Roman" w:cstheme="minorHAnsi"/>
          <w:color w:val="000000"/>
          <w:lang w:eastAsia="en-GB"/>
        </w:rPr>
        <w:t xml:space="preserve"> undue influence and control over deliverable supply, coupled with holding a significant futures position, which can </w:t>
      </w:r>
      <w:r>
        <w:rPr>
          <w:rFonts w:eastAsia="Times New Roman" w:cstheme="minorHAnsi"/>
          <w:color w:val="000000"/>
          <w:lang w:eastAsia="en-GB"/>
        </w:rPr>
        <w:t>result in a</w:t>
      </w:r>
      <w:r w:rsidRPr="00301B57">
        <w:rPr>
          <w:rFonts w:eastAsia="Times New Roman" w:cstheme="minorHAnsi"/>
          <w:color w:val="000000"/>
          <w:lang w:eastAsia="en-GB"/>
        </w:rPr>
        <w:t xml:space="preserve"> disorderly market.  </w:t>
      </w:r>
    </w:p>
    <w:p w:rsidR="00094CE6" w:rsidRPr="00301B57" w:rsidRDefault="00094CE6" w:rsidP="00094CE6">
      <w:pPr>
        <w:spacing w:line="240" w:lineRule="auto"/>
        <w:rPr>
          <w:rFonts w:eastAsia="Times New Roman" w:cstheme="minorHAnsi"/>
          <w:color w:val="000000"/>
          <w:lang w:eastAsia="en-GB"/>
        </w:rPr>
      </w:pPr>
    </w:p>
    <w:p w:rsidR="00094CE6" w:rsidRPr="00301B57" w:rsidRDefault="00094CE6" w:rsidP="00094CE6">
      <w:pPr>
        <w:spacing w:line="240" w:lineRule="auto"/>
        <w:rPr>
          <w:rFonts w:eastAsia="Times New Roman" w:cstheme="minorHAnsi"/>
          <w:color w:val="000000"/>
          <w:lang w:eastAsia="en-GB"/>
        </w:rPr>
      </w:pPr>
      <w:r w:rsidRPr="00301B57">
        <w:rPr>
          <w:rFonts w:eastAsia="Times New Roman" w:cstheme="minorHAnsi"/>
          <w:color w:val="000000"/>
          <w:lang w:eastAsia="en-GB"/>
        </w:rPr>
        <w:t xml:space="preserve">The only distinctions which the methodology needs to </w:t>
      </w:r>
      <w:r>
        <w:rPr>
          <w:rFonts w:eastAsia="Times New Roman" w:cstheme="minorHAnsi"/>
          <w:color w:val="000000"/>
          <w:lang w:eastAsia="en-GB"/>
        </w:rPr>
        <w:t>allow for</w:t>
      </w:r>
      <w:r w:rsidRPr="00301B57">
        <w:rPr>
          <w:rFonts w:eastAsia="Times New Roman" w:cstheme="minorHAnsi"/>
          <w:color w:val="000000"/>
          <w:lang w:eastAsia="en-GB"/>
        </w:rPr>
        <w:t xml:space="preserve"> – and already does </w:t>
      </w:r>
      <w:r>
        <w:rPr>
          <w:rFonts w:eastAsia="Times New Roman" w:cstheme="minorHAnsi"/>
          <w:color w:val="000000"/>
          <w:lang w:eastAsia="en-GB"/>
        </w:rPr>
        <w:t>so</w:t>
      </w:r>
      <w:r w:rsidRPr="00301B57">
        <w:rPr>
          <w:rFonts w:eastAsia="Times New Roman" w:cstheme="minorHAnsi"/>
          <w:color w:val="000000"/>
          <w:lang w:eastAsia="en-GB"/>
        </w:rPr>
        <w:t xml:space="preserve"> - between the spot month position limit and the other months position limit is to recognise the facts that: </w:t>
      </w:r>
    </w:p>
    <w:p w:rsidR="00094CE6" w:rsidRPr="007F361B" w:rsidRDefault="00094CE6" w:rsidP="00094CE6">
      <w:pPr>
        <w:spacing w:line="240" w:lineRule="auto"/>
        <w:rPr>
          <w:rFonts w:eastAsia="Times New Roman" w:cstheme="minorHAnsi"/>
          <w:color w:val="000000"/>
          <w:lang w:eastAsia="en-GB"/>
        </w:rPr>
      </w:pPr>
    </w:p>
    <w:p w:rsidR="00094CE6" w:rsidRPr="002B2A67" w:rsidRDefault="00094CE6" w:rsidP="00094CE6">
      <w:pPr>
        <w:pStyle w:val="Listenabsatz"/>
        <w:numPr>
          <w:ilvl w:val="0"/>
          <w:numId w:val="37"/>
        </w:numPr>
        <w:spacing w:line="240" w:lineRule="auto"/>
        <w:rPr>
          <w:rFonts w:eastAsia="Times New Roman" w:cstheme="minorHAnsi"/>
          <w:color w:val="000000"/>
          <w:lang w:eastAsia="en-GB"/>
        </w:rPr>
      </w:pPr>
      <w:r w:rsidRPr="002B2A67">
        <w:rPr>
          <w:rFonts w:eastAsia="Times New Roman" w:cstheme="minorHAnsi"/>
          <w:color w:val="000000"/>
          <w:lang w:eastAsia="en-GB"/>
        </w:rPr>
        <w:t>the other months position limit is likely to cover many production periods, rather than just one, and thus will be based on a wider measure of deliverable supply than the spot month position limit; and</w:t>
      </w:r>
    </w:p>
    <w:p w:rsidR="00094CE6" w:rsidRPr="002B2A67" w:rsidRDefault="00094CE6" w:rsidP="00094CE6">
      <w:pPr>
        <w:pStyle w:val="Listenabsatz"/>
        <w:numPr>
          <w:ilvl w:val="0"/>
          <w:numId w:val="37"/>
        </w:numPr>
        <w:spacing w:line="240" w:lineRule="auto"/>
        <w:rPr>
          <w:rFonts w:eastAsia="Times New Roman" w:cstheme="minorHAnsi"/>
          <w:color w:val="000000"/>
          <w:lang w:eastAsia="en-GB"/>
        </w:rPr>
      </w:pPr>
      <w:r w:rsidRPr="002B2A67">
        <w:rPr>
          <w:rFonts w:eastAsia="Times New Roman" w:cstheme="minorHAnsi"/>
          <w:color w:val="000000"/>
          <w:lang w:eastAsia="en-GB"/>
        </w:rPr>
        <w:t xml:space="preserve">the other months position limit is a single limit covering multiple delivery months, rather than just one. </w:t>
      </w:r>
    </w:p>
    <w:p w:rsidR="00094CE6" w:rsidRPr="008765FD" w:rsidRDefault="00094CE6" w:rsidP="00094CE6">
      <w:pPr>
        <w:spacing w:line="240" w:lineRule="auto"/>
        <w:rPr>
          <w:rFonts w:eastAsia="Times New Roman" w:cstheme="minorHAnsi"/>
          <w:color w:val="000000"/>
          <w:lang w:eastAsia="en-GB"/>
        </w:rPr>
      </w:pPr>
    </w:p>
    <w:p w:rsidR="00094CE6" w:rsidRDefault="00094CE6" w:rsidP="00094CE6">
      <w:pPr>
        <w:spacing w:line="240" w:lineRule="auto"/>
        <w:rPr>
          <w:rFonts w:eastAsia="Times New Roman" w:cstheme="minorHAnsi"/>
          <w:color w:val="000000"/>
          <w:lang w:eastAsia="en-GB"/>
        </w:rPr>
      </w:pPr>
      <w:r w:rsidRPr="00E20010">
        <w:rPr>
          <w:rFonts w:eastAsia="Times New Roman" w:cstheme="minorHAnsi"/>
          <w:color w:val="000000"/>
          <w:lang w:eastAsia="en-GB"/>
        </w:rPr>
        <w:t>As a result, position limits will be broader in relation to delivery months which are far from maturity (i.e. the “other months”) and will become narrower and more restrictive as maturity approaches (i.e. once the del</w:t>
      </w:r>
      <w:r w:rsidRPr="00301B57">
        <w:rPr>
          <w:rFonts w:eastAsia="Times New Roman" w:cstheme="minorHAnsi"/>
          <w:color w:val="000000"/>
          <w:lang w:eastAsia="en-GB"/>
        </w:rPr>
        <w:t>ivery month in question becomes the spot month).  This will reflect the availability of deliverable supply during two distinct phases in the life cycle of the delivery month.  By doing so, the level of position limits during those different phases will ref</w:t>
      </w:r>
      <w:r w:rsidRPr="00A16621">
        <w:rPr>
          <w:rFonts w:eastAsia="Times New Roman" w:cstheme="minorHAnsi"/>
          <w:color w:val="000000"/>
          <w:lang w:eastAsia="en-GB"/>
        </w:rPr>
        <w:t>lect</w:t>
      </w:r>
      <w:r w:rsidRPr="00BB1CAB">
        <w:rPr>
          <w:rFonts w:eastAsia="Times New Roman" w:cstheme="minorHAnsi"/>
          <w:color w:val="000000"/>
          <w:lang w:eastAsia="en-GB"/>
        </w:rPr>
        <w:t xml:space="preserve"> the extent to which the price of the delivery month is susceptible t</w:t>
      </w:r>
      <w:r>
        <w:rPr>
          <w:rFonts w:eastAsia="Times New Roman" w:cstheme="minorHAnsi"/>
          <w:color w:val="000000"/>
          <w:lang w:eastAsia="en-GB"/>
        </w:rPr>
        <w:t>o distortion or manipulation.</w:t>
      </w:r>
    </w:p>
    <w:permEnd w:id="172571952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094CE6" w:rsidRPr="00B858E5" w:rsidRDefault="00094CE6" w:rsidP="00094CE6">
      <w:pPr>
        <w:spacing w:line="240" w:lineRule="auto"/>
        <w:rPr>
          <w:rFonts w:eastAsia="Times New Roman" w:cstheme="minorHAnsi"/>
          <w:color w:val="000000"/>
          <w:lang w:eastAsia="en-GB"/>
        </w:rPr>
      </w:pPr>
      <w:permStart w:id="2106221817" w:edGrp="everyone"/>
      <w:r>
        <w:rPr>
          <w:rFonts w:eastAsia="Times New Roman" w:cstheme="minorHAnsi"/>
          <w:color w:val="000000"/>
          <w:lang w:eastAsia="en-GB"/>
        </w:rPr>
        <w:t>Special c</w:t>
      </w:r>
      <w:r w:rsidRPr="00B858E5">
        <w:rPr>
          <w:rFonts w:eastAsia="Times New Roman" w:cstheme="minorHAnsi"/>
          <w:color w:val="000000"/>
          <w:lang w:eastAsia="en-GB"/>
        </w:rPr>
        <w:t>are needs to be taken in applying the position limits regime to nascent or niche markets, in which there may be only a handful of active market participants either at the outset or on an ongoing basis.  It might be necessary to apply a threshold test – possibly expressed as a number of active market participants - below which the application of position limits would be suspended until such time as participation increase</w:t>
      </w:r>
      <w:r>
        <w:rPr>
          <w:rFonts w:eastAsia="Times New Roman" w:cstheme="minorHAnsi"/>
          <w:color w:val="000000"/>
          <w:lang w:eastAsia="en-GB"/>
        </w:rPr>
        <w:t>s</w:t>
      </w:r>
      <w:r w:rsidRPr="00B858E5">
        <w:rPr>
          <w:rFonts w:eastAsia="Times New Roman" w:cstheme="minorHAnsi"/>
          <w:color w:val="000000"/>
          <w:lang w:eastAsia="en-GB"/>
        </w:rPr>
        <w:t>. If such a measure is not introduced, it is possible that many nascent and niche markets will not be able to co-exist with the position limits regime.</w:t>
      </w:r>
    </w:p>
    <w:permEnd w:id="210622181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lastRenderedPageBreak/>
        <w:t>&lt;ESMA_QUESTION_CP_MIFID_190&gt;</w:t>
      </w:r>
    </w:p>
    <w:p w:rsidR="00094CE6" w:rsidRPr="00A16621" w:rsidRDefault="00094CE6" w:rsidP="00094CE6">
      <w:pPr>
        <w:spacing w:line="240" w:lineRule="auto"/>
        <w:rPr>
          <w:rFonts w:eastAsia="Times New Roman" w:cstheme="minorHAnsi"/>
          <w:color w:val="000000"/>
          <w:lang w:eastAsia="en-GB"/>
        </w:rPr>
      </w:pPr>
      <w:permStart w:id="747789118" w:edGrp="everyone"/>
      <w:r w:rsidRPr="002B2A67">
        <w:rPr>
          <w:rFonts w:eastAsia="Times New Roman" w:cstheme="minorHAnsi"/>
          <w:color w:val="000000"/>
          <w:lang w:eastAsia="en-GB"/>
        </w:rPr>
        <w:t xml:space="preserve">In relation to the “other months”, the key factor is the number of production periods between the </w:t>
      </w:r>
      <w:r>
        <w:rPr>
          <w:rFonts w:eastAsia="Times New Roman" w:cstheme="minorHAnsi"/>
          <w:color w:val="000000"/>
          <w:lang w:eastAsia="en-GB"/>
        </w:rPr>
        <w:t xml:space="preserve">point in </w:t>
      </w:r>
      <w:r w:rsidRPr="003B28DB">
        <w:rPr>
          <w:rFonts w:eastAsia="Times New Roman" w:cstheme="minorHAnsi"/>
          <w:color w:val="000000"/>
          <w:lang w:eastAsia="en-GB"/>
        </w:rPr>
        <w:t>time at which the position limit is set and the maturity date of the relevant contracts. In most cases, the trading venue should have considered this in calculating a deliverable supply measure for the “other months”.</w:t>
      </w:r>
    </w:p>
    <w:p w:rsidR="00094CE6" w:rsidRPr="00212607" w:rsidRDefault="00094CE6" w:rsidP="00094CE6">
      <w:pPr>
        <w:spacing w:line="240" w:lineRule="auto"/>
        <w:rPr>
          <w:rFonts w:eastAsia="Times New Roman" w:cstheme="minorHAnsi"/>
          <w:color w:val="000000"/>
          <w:lang w:eastAsia="en-GB"/>
        </w:rPr>
      </w:pPr>
    </w:p>
    <w:p w:rsidR="00094CE6" w:rsidRPr="008765FD" w:rsidRDefault="00094CE6" w:rsidP="00094CE6">
      <w:pPr>
        <w:spacing w:line="240" w:lineRule="auto"/>
      </w:pPr>
      <w:r w:rsidRPr="002B2A67">
        <w:rPr>
          <w:rFonts w:eastAsia="Times New Roman" w:cstheme="minorHAnsi"/>
          <w:color w:val="000000"/>
          <w:lang w:eastAsia="en-GB"/>
        </w:rPr>
        <w:t>In relation to the spot month, the key factor will vary depending on the product concerned (again, the trading venue should have already taken this into account in calculating a deliverable suppl</w:t>
      </w:r>
      <w:r>
        <w:rPr>
          <w:rFonts w:eastAsia="Times New Roman" w:cstheme="minorHAnsi"/>
          <w:color w:val="000000"/>
          <w:lang w:eastAsia="en-GB"/>
        </w:rPr>
        <w:t>y measure for the spot month).</w:t>
      </w:r>
    </w:p>
    <w:permEnd w:id="74778911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645678" w:rsidRDefault="00645678" w:rsidP="00EC2C93">
      <w:pPr>
        <w:keepNext/>
        <w:rPr>
          <w:rFonts w:eastAsia="Times New Roman" w:cstheme="minorHAnsi"/>
          <w:lang w:eastAsia="en-GB"/>
        </w:rPr>
      </w:pPr>
      <w:permStart w:id="766716230" w:edGrp="everyone"/>
      <w:r w:rsidRPr="002B2A67">
        <w:rPr>
          <w:rFonts w:eastAsia="Times New Roman" w:cstheme="minorHAnsi"/>
          <w:lang w:eastAsia="en-GB"/>
        </w:rPr>
        <w:t xml:space="preserve">The trading venue and National Competent Authority will need to consider the likely impact of any exogenous events or longer-term trends, which could affect future deliverable supply positively or </w:t>
      </w:r>
      <w:r>
        <w:rPr>
          <w:rFonts w:eastAsia="Times New Roman" w:cstheme="minorHAnsi"/>
          <w:lang w:eastAsia="en-GB"/>
        </w:rPr>
        <w:t>negatively.</w:t>
      </w:r>
    </w:p>
    <w:permEnd w:id="76671623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645678" w:rsidRPr="00A16621" w:rsidRDefault="00645678" w:rsidP="00645678">
      <w:pPr>
        <w:spacing w:line="240" w:lineRule="auto"/>
        <w:rPr>
          <w:rFonts w:eastAsia="Times New Roman" w:cstheme="minorHAnsi"/>
          <w:color w:val="000000"/>
          <w:lang w:eastAsia="en-GB"/>
        </w:rPr>
      </w:pPr>
      <w:permStart w:id="1406693321" w:edGrp="everyone"/>
      <w:r>
        <w:rPr>
          <w:rFonts w:eastAsia="Times New Roman" w:cstheme="minorHAnsi"/>
          <w:color w:val="000000"/>
          <w:lang w:eastAsia="en-GB"/>
        </w:rPr>
        <w:t>Special c</w:t>
      </w:r>
      <w:r w:rsidRPr="003B28DB">
        <w:rPr>
          <w:rFonts w:eastAsia="Times New Roman" w:cstheme="minorHAnsi"/>
          <w:color w:val="000000"/>
          <w:lang w:eastAsia="en-GB"/>
        </w:rPr>
        <w:t>are needs to be taken in applying the position limits regime to less liquid markets, in which there may be only a handful of active market participants either at the outset or on an ongoing basis. Less stringent position limits should apply, if any.</w:t>
      </w:r>
    </w:p>
    <w:permEnd w:id="140669332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645678" w:rsidRPr="008765FD" w:rsidRDefault="00645678" w:rsidP="00645678">
      <w:pPr>
        <w:spacing w:line="240" w:lineRule="auto"/>
        <w:rPr>
          <w:rFonts w:eastAsia="Times New Roman" w:cstheme="minorHAnsi"/>
          <w:color w:val="000000"/>
          <w:lang w:eastAsia="en-GB"/>
        </w:rPr>
      </w:pPr>
      <w:permStart w:id="341266123" w:edGrp="everyone"/>
      <w:r>
        <w:rPr>
          <w:rFonts w:eastAsia="Times New Roman" w:cstheme="minorHAnsi"/>
          <w:color w:val="000000"/>
          <w:lang w:eastAsia="en-GB"/>
        </w:rPr>
        <w:t>Special c</w:t>
      </w:r>
      <w:r w:rsidRPr="003B28DB">
        <w:rPr>
          <w:rFonts w:eastAsia="Times New Roman" w:cstheme="minorHAnsi"/>
          <w:color w:val="000000"/>
          <w:lang w:eastAsia="en-GB"/>
        </w:rPr>
        <w:t>are needs to be taken in applying the position limits regime to nascent or niche markets, in which there may be only a handful of active market participants either at the outset or on an ongoing basis.  It might be necessary to apply a threshold test – for instance, expressed as a number of active market participants - below which the application of position limits would be suspended until such time as participation increase</w:t>
      </w:r>
      <w:r>
        <w:rPr>
          <w:rFonts w:eastAsia="Times New Roman" w:cstheme="minorHAnsi"/>
          <w:color w:val="000000"/>
          <w:lang w:eastAsia="en-GB"/>
        </w:rPr>
        <w:t>s</w:t>
      </w:r>
      <w:r w:rsidRPr="003B28DB">
        <w:rPr>
          <w:rFonts w:eastAsia="Times New Roman" w:cstheme="minorHAnsi"/>
          <w:color w:val="000000"/>
          <w:lang w:eastAsia="en-GB"/>
        </w:rPr>
        <w:t>.  If such a measure is not introduced, it is possible that many nascent and niche markets will not be able to co-exist with the position limits regime.</w:t>
      </w:r>
    </w:p>
    <w:permEnd w:id="341266123"/>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645678" w:rsidRPr="003B54DA" w:rsidRDefault="00645678" w:rsidP="00645678">
      <w:pPr>
        <w:spacing w:line="240" w:lineRule="auto"/>
        <w:rPr>
          <w:rFonts w:eastAsia="Times New Roman" w:cstheme="minorHAnsi"/>
          <w:color w:val="000000"/>
          <w:lang w:eastAsia="en-GB"/>
        </w:rPr>
      </w:pPr>
      <w:permStart w:id="2088963582" w:edGrp="everyone"/>
      <w:r w:rsidRPr="002B2A67">
        <w:rPr>
          <w:rFonts w:eastAsia="Times New Roman" w:cstheme="minorHAnsi"/>
          <w:color w:val="000000"/>
          <w:lang w:eastAsia="en-GB"/>
        </w:rPr>
        <w:t>ESMA has correctly identified the main features of the underlying commodity markets which would need to be taken into account by Nation</w:t>
      </w:r>
      <w:r w:rsidRPr="003B54DA">
        <w:rPr>
          <w:rFonts w:eastAsia="Times New Roman" w:cstheme="minorHAnsi"/>
          <w:color w:val="000000"/>
          <w:lang w:eastAsia="en-GB"/>
        </w:rPr>
        <w:t>al Competent Authorities in establishing position limits.</w:t>
      </w:r>
    </w:p>
    <w:permEnd w:id="208896358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645678" w:rsidRPr="002B2A67" w:rsidRDefault="00645678" w:rsidP="00E22AC0">
      <w:pPr>
        <w:spacing w:line="240" w:lineRule="auto"/>
        <w:rPr>
          <w:rFonts w:eastAsia="Times New Roman" w:cstheme="minorHAnsi"/>
          <w:color w:val="000000"/>
          <w:lang w:eastAsia="en-GB"/>
        </w:rPr>
      </w:pPr>
      <w:permStart w:id="1985640218" w:edGrp="everyone"/>
      <w:r w:rsidRPr="002B2A67">
        <w:rPr>
          <w:rFonts w:eastAsia="Times New Roman" w:cstheme="minorHAnsi"/>
          <w:color w:val="000000"/>
          <w:lang w:eastAsia="en-GB"/>
        </w:rPr>
        <w:t xml:space="preserve">It is not possible to quantify a meaningful time period applicable to all contracts because: </w:t>
      </w:r>
    </w:p>
    <w:p w:rsidR="00645678" w:rsidRPr="002B2A67" w:rsidRDefault="00645678" w:rsidP="00E22AC0">
      <w:pPr>
        <w:spacing w:line="240" w:lineRule="auto"/>
        <w:rPr>
          <w:rFonts w:eastAsia="Times New Roman" w:cstheme="minorHAnsi"/>
          <w:color w:val="000000"/>
          <w:lang w:eastAsia="en-GB"/>
        </w:rPr>
      </w:pPr>
    </w:p>
    <w:p w:rsidR="00645678" w:rsidRPr="00446175" w:rsidRDefault="00645678" w:rsidP="00E22AC0">
      <w:pPr>
        <w:spacing w:line="240" w:lineRule="auto"/>
        <w:rPr>
          <w:rFonts w:eastAsia="Times New Roman" w:cstheme="minorHAnsi"/>
          <w:color w:val="000000"/>
          <w:lang w:eastAsia="en-GB"/>
        </w:rPr>
      </w:pPr>
      <w:r w:rsidRPr="002B2A67">
        <w:rPr>
          <w:rFonts w:eastAsia="Times New Roman" w:cstheme="minorHAnsi"/>
          <w:color w:val="000000"/>
          <w:lang w:eastAsia="en-GB"/>
        </w:rPr>
        <w:t>•</w:t>
      </w:r>
      <w:r w:rsidRPr="002B2A67">
        <w:rPr>
          <w:rFonts w:eastAsia="Times New Roman" w:cstheme="minorHAnsi"/>
          <w:color w:val="000000"/>
          <w:lang w:eastAsia="en-GB"/>
        </w:rPr>
        <w:tab/>
        <w:t>contracts mature at different rates;</w:t>
      </w:r>
    </w:p>
    <w:p w:rsidR="00645678" w:rsidRPr="003B54DA" w:rsidRDefault="00645678" w:rsidP="00E22AC0">
      <w:pPr>
        <w:spacing w:line="240" w:lineRule="auto"/>
        <w:rPr>
          <w:rFonts w:eastAsia="Times New Roman" w:cstheme="minorHAnsi"/>
          <w:color w:val="000000"/>
          <w:lang w:eastAsia="en-GB"/>
        </w:rPr>
      </w:pPr>
      <w:r w:rsidRPr="00A16621">
        <w:rPr>
          <w:rFonts w:eastAsia="Times New Roman" w:cstheme="minorHAnsi"/>
          <w:color w:val="000000"/>
          <w:lang w:eastAsia="en-GB"/>
        </w:rPr>
        <w:t>•</w:t>
      </w:r>
      <w:r w:rsidRPr="00A16621">
        <w:rPr>
          <w:rFonts w:eastAsia="Times New Roman" w:cstheme="minorHAnsi"/>
          <w:color w:val="000000"/>
          <w:lang w:eastAsia="en-GB"/>
        </w:rPr>
        <w:tab/>
        <w:t xml:space="preserve">once they are mature, some contracts will become benchmark products whilst others will remain niche products </w:t>
      </w:r>
      <w:r>
        <w:rPr>
          <w:rFonts w:eastAsia="Times New Roman" w:cstheme="minorHAnsi"/>
          <w:color w:val="000000"/>
          <w:lang w:eastAsia="en-GB"/>
        </w:rPr>
        <w:t>with</w:t>
      </w:r>
      <w:r w:rsidRPr="003B54DA">
        <w:rPr>
          <w:rFonts w:eastAsia="Times New Roman" w:cstheme="minorHAnsi"/>
          <w:color w:val="000000"/>
          <w:lang w:eastAsia="en-GB"/>
        </w:rPr>
        <w:t xml:space="preserve"> limited participation.   </w:t>
      </w:r>
    </w:p>
    <w:p w:rsidR="00645678" w:rsidRPr="00446175" w:rsidRDefault="00645678" w:rsidP="00E22AC0">
      <w:pPr>
        <w:spacing w:line="240" w:lineRule="auto"/>
        <w:rPr>
          <w:rFonts w:eastAsia="Times New Roman" w:cstheme="minorHAnsi"/>
          <w:color w:val="000000"/>
          <w:lang w:eastAsia="en-GB"/>
        </w:rPr>
      </w:pPr>
    </w:p>
    <w:p w:rsidR="00645678" w:rsidRPr="00446175" w:rsidRDefault="00645678" w:rsidP="00E22AC0">
      <w:pPr>
        <w:spacing w:line="240" w:lineRule="auto"/>
        <w:rPr>
          <w:rFonts w:eastAsia="Times New Roman" w:cstheme="minorHAnsi"/>
          <w:color w:val="000000"/>
          <w:lang w:eastAsia="en-GB"/>
        </w:rPr>
      </w:pPr>
      <w:r w:rsidRPr="00A16621">
        <w:rPr>
          <w:rFonts w:eastAsia="Times New Roman" w:cstheme="minorHAnsi"/>
          <w:color w:val="000000"/>
          <w:lang w:eastAsia="en-GB"/>
        </w:rPr>
        <w:t>Furthermore, Euro</w:t>
      </w:r>
      <w:r w:rsidRPr="00446175">
        <w:rPr>
          <w:rFonts w:eastAsia="Times New Roman" w:cstheme="minorHAnsi"/>
          <w:color w:val="000000"/>
          <w:lang w:eastAsia="en-GB"/>
        </w:rPr>
        <w:t>pex beli</w:t>
      </w:r>
      <w:r w:rsidRPr="00A16621">
        <w:rPr>
          <w:rFonts w:eastAsia="Times New Roman" w:cstheme="minorHAnsi"/>
          <w:color w:val="000000"/>
          <w:lang w:eastAsia="en-GB"/>
        </w:rPr>
        <w:t xml:space="preserve">eves that applying an </w:t>
      </w:r>
      <w:r w:rsidRPr="00446175">
        <w:rPr>
          <w:rFonts w:eastAsia="Times New Roman" w:cstheme="minorHAnsi"/>
          <w:color w:val="000000"/>
          <w:lang w:eastAsia="en-GB"/>
        </w:rPr>
        <w:t>arbitrary cut-off point beyond which a contract is no longer regarded as “new” – at which point lower position limits would automatically apply - may have the effect of stifling the development of nascent products and damaging the via</w:t>
      </w:r>
      <w:r w:rsidRPr="00A16621">
        <w:rPr>
          <w:rFonts w:eastAsia="Times New Roman" w:cstheme="minorHAnsi"/>
          <w:color w:val="000000"/>
          <w:lang w:eastAsia="en-GB"/>
        </w:rPr>
        <w:t xml:space="preserve">bility of niche products.  Instead of applying an arbitrary quantitative cut-off point, National Competent Authorities </w:t>
      </w:r>
      <w:r>
        <w:rPr>
          <w:rFonts w:eastAsia="Times New Roman" w:cstheme="minorHAnsi"/>
          <w:color w:val="000000"/>
          <w:lang w:eastAsia="en-GB"/>
        </w:rPr>
        <w:t>should</w:t>
      </w:r>
      <w:r w:rsidRPr="00446175">
        <w:rPr>
          <w:rFonts w:eastAsia="Times New Roman" w:cstheme="minorHAnsi"/>
          <w:color w:val="000000"/>
          <w:lang w:eastAsia="en-GB"/>
        </w:rPr>
        <w:t xml:space="preserve"> consider qualitative factors (such as those mentioned in the previous paragraph) when determining whether a contract should continue to be regarded as “new”.  </w:t>
      </w:r>
    </w:p>
    <w:p w:rsidR="00645678" w:rsidRPr="00446175" w:rsidRDefault="00645678" w:rsidP="00E22AC0">
      <w:pPr>
        <w:spacing w:line="240" w:lineRule="auto"/>
        <w:rPr>
          <w:rFonts w:eastAsia="Times New Roman" w:cstheme="minorHAnsi"/>
          <w:color w:val="000000"/>
          <w:lang w:eastAsia="en-GB"/>
        </w:rPr>
      </w:pPr>
    </w:p>
    <w:p w:rsidR="00645678" w:rsidRDefault="00645678" w:rsidP="00EC2C93">
      <w:pPr>
        <w:keepNext/>
        <w:rPr>
          <w:rFonts w:eastAsia="Times New Roman" w:cstheme="minorHAnsi"/>
          <w:color w:val="000000"/>
          <w:lang w:eastAsia="en-GB"/>
        </w:rPr>
      </w:pPr>
      <w:r>
        <w:rPr>
          <w:rFonts w:eastAsia="Times New Roman" w:cstheme="minorHAnsi"/>
          <w:color w:val="000000"/>
          <w:lang w:eastAsia="en-GB"/>
        </w:rPr>
        <w:t>Cf. our response</w:t>
      </w:r>
      <w:r w:rsidRPr="00446175">
        <w:rPr>
          <w:rFonts w:eastAsia="Times New Roman" w:cstheme="minorHAnsi"/>
          <w:color w:val="000000"/>
          <w:lang w:eastAsia="en-GB"/>
        </w:rPr>
        <w:t xml:space="preserve"> to Question 193, which is </w:t>
      </w:r>
      <w:r>
        <w:rPr>
          <w:rFonts w:eastAsia="Times New Roman" w:cstheme="minorHAnsi"/>
          <w:color w:val="000000"/>
          <w:lang w:eastAsia="en-GB"/>
        </w:rPr>
        <w:t xml:space="preserve">directly </w:t>
      </w:r>
      <w:r w:rsidRPr="00446175">
        <w:rPr>
          <w:rFonts w:eastAsia="Times New Roman" w:cstheme="minorHAnsi"/>
          <w:color w:val="000000"/>
          <w:lang w:eastAsia="en-GB"/>
        </w:rPr>
        <w:t xml:space="preserve">related to this issue.  </w:t>
      </w:r>
    </w:p>
    <w:permEnd w:id="198564021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645678" w:rsidRDefault="00645678" w:rsidP="00EC2C93">
      <w:pPr>
        <w:keepNext/>
        <w:rPr>
          <w:rFonts w:eastAsia="Times New Roman" w:cstheme="minorHAnsi"/>
          <w:color w:val="000000"/>
          <w:lang w:eastAsia="en-GB"/>
        </w:rPr>
      </w:pPr>
      <w:permStart w:id="111619685" w:edGrp="everyone"/>
      <w:r w:rsidRPr="002B2A67">
        <w:rPr>
          <w:rFonts w:eastAsia="Times New Roman" w:cstheme="minorHAnsi"/>
          <w:color w:val="000000"/>
          <w:lang w:eastAsia="en-GB"/>
        </w:rPr>
        <w:t>Cf. our response to Question 195.</w:t>
      </w:r>
    </w:p>
    <w:permEnd w:id="11161968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645678" w:rsidP="00EC2C93">
      <w:pPr>
        <w:keepNext/>
      </w:pPr>
      <w:permStart w:id="1393783143" w:edGrp="everyone"/>
      <w:r>
        <w:t>No.</w:t>
      </w:r>
    </w:p>
    <w:permEnd w:id="139378314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645678" w:rsidRPr="002B2A67" w:rsidRDefault="00645678" w:rsidP="00E22AC0">
      <w:pPr>
        <w:tabs>
          <w:tab w:val="left" w:pos="1480"/>
        </w:tabs>
        <w:rPr>
          <w:rFonts w:eastAsia="Times New Roman" w:cstheme="minorHAnsi"/>
          <w:lang w:eastAsia="en-GB"/>
        </w:rPr>
      </w:pPr>
      <w:permStart w:id="1979927746" w:edGrp="everyone"/>
      <w:r w:rsidRPr="002B2A67">
        <w:rPr>
          <w:rFonts w:eastAsia="Times New Roman" w:cstheme="minorHAnsi"/>
          <w:lang w:eastAsia="en-GB"/>
        </w:rPr>
        <w:t xml:space="preserve">Yes.  Europex agrees that the factors enumerated under Article 57(3)(a)-(g) of </w:t>
      </w:r>
      <w:r>
        <w:rPr>
          <w:rFonts w:eastAsia="Times New Roman" w:cstheme="minorHAnsi"/>
          <w:lang w:eastAsia="en-GB"/>
        </w:rPr>
        <w:t>MiFID</w:t>
      </w:r>
      <w:r w:rsidRPr="00BB7D45">
        <w:rPr>
          <w:rFonts w:eastAsia="Times New Roman" w:cstheme="minorHAnsi"/>
          <w:lang w:eastAsia="en-GB"/>
        </w:rPr>
        <w:t xml:space="preserve"> II, and the manner in which ESMA proposes to frame the methodology, provides National </w:t>
      </w:r>
      <w:r w:rsidRPr="002B2A67">
        <w:rPr>
          <w:rFonts w:eastAsia="Times New Roman" w:cstheme="minorHAnsi"/>
          <w:lang w:eastAsia="en-GB"/>
        </w:rPr>
        <w:t>Competent Authorities with sufficient scope to take into account the specificities of different markets without incorporating asset-class specific elements into the methodology.</w:t>
      </w:r>
    </w:p>
    <w:p w:rsidR="00645678" w:rsidRDefault="00645678" w:rsidP="00EC2C93">
      <w:pPr>
        <w:keepNext/>
        <w:rPr>
          <w:rFonts w:eastAsia="Times New Roman" w:cstheme="minorHAnsi"/>
          <w:color w:val="000000"/>
          <w:lang w:eastAsia="en-GB"/>
        </w:rPr>
      </w:pPr>
    </w:p>
    <w:p w:rsidR="00645678" w:rsidRDefault="00645678" w:rsidP="00EC2C93">
      <w:pPr>
        <w:keepNext/>
        <w:rPr>
          <w:rFonts w:eastAsia="Times New Roman" w:cstheme="minorHAnsi"/>
          <w:lang w:eastAsia="en-GB"/>
        </w:rPr>
      </w:pPr>
      <w:r>
        <w:rPr>
          <w:rFonts w:eastAsia="Times New Roman" w:cstheme="minorHAnsi"/>
          <w:color w:val="000000"/>
          <w:lang w:eastAsia="en-GB"/>
        </w:rPr>
        <w:t>There has been no clear definition of d</w:t>
      </w:r>
      <w:r w:rsidRPr="00B01409">
        <w:rPr>
          <w:rFonts w:eastAsia="Times New Roman" w:cstheme="minorHAnsi"/>
          <w:color w:val="000000"/>
          <w:lang w:eastAsia="en-GB"/>
        </w:rPr>
        <w:t xml:space="preserve">eliverable supply </w:t>
      </w:r>
      <w:r>
        <w:rPr>
          <w:rFonts w:eastAsia="Times New Roman" w:cstheme="minorHAnsi"/>
          <w:color w:val="000000"/>
          <w:lang w:eastAsia="en-GB"/>
        </w:rPr>
        <w:t>in the context of MiFID so far.</w:t>
      </w:r>
      <w:r w:rsidRPr="00B01409">
        <w:rPr>
          <w:rFonts w:eastAsia="Times New Roman" w:cstheme="minorHAnsi"/>
          <w:color w:val="000000"/>
          <w:lang w:eastAsia="en-GB"/>
        </w:rPr>
        <w:t xml:space="preserve"> </w:t>
      </w:r>
      <w:r>
        <w:rPr>
          <w:rFonts w:eastAsia="Times New Roman" w:cstheme="minorHAnsi"/>
          <w:color w:val="000000"/>
          <w:lang w:eastAsia="en-GB"/>
        </w:rPr>
        <w:t>It</w:t>
      </w:r>
      <w:r w:rsidRPr="00B01409">
        <w:rPr>
          <w:rFonts w:eastAsia="Times New Roman" w:cstheme="minorHAnsi"/>
          <w:color w:val="000000"/>
          <w:lang w:eastAsia="en-GB"/>
        </w:rPr>
        <w:t xml:space="preserve"> is </w:t>
      </w:r>
      <w:r>
        <w:rPr>
          <w:rFonts w:eastAsia="Times New Roman" w:cstheme="minorHAnsi"/>
          <w:color w:val="000000"/>
          <w:lang w:eastAsia="en-GB"/>
        </w:rPr>
        <w:t>of great</w:t>
      </w:r>
      <w:r w:rsidRPr="00B01409">
        <w:rPr>
          <w:rFonts w:eastAsia="Times New Roman" w:cstheme="minorHAnsi"/>
          <w:color w:val="000000"/>
          <w:lang w:eastAsia="en-GB"/>
        </w:rPr>
        <w:t xml:space="preserve"> importance that </w:t>
      </w:r>
      <w:r>
        <w:rPr>
          <w:rFonts w:eastAsia="Times New Roman" w:cstheme="minorHAnsi"/>
          <w:color w:val="000000"/>
          <w:lang w:eastAsia="en-GB"/>
        </w:rPr>
        <w:t xml:space="preserve">the </w:t>
      </w:r>
      <w:r w:rsidRPr="00B01409">
        <w:rPr>
          <w:rFonts w:eastAsia="Times New Roman" w:cstheme="minorHAnsi"/>
          <w:color w:val="000000"/>
          <w:lang w:eastAsia="en-GB"/>
        </w:rPr>
        <w:t>deliverable supply is defined depending on the specificities of the different asset classes (or asset sub-classes).</w:t>
      </w:r>
    </w:p>
    <w:permEnd w:id="197992774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645678" w:rsidRPr="00A01E5F" w:rsidRDefault="00645678" w:rsidP="00645678">
      <w:pPr>
        <w:spacing w:line="240" w:lineRule="auto"/>
        <w:rPr>
          <w:rFonts w:eastAsia="Times New Roman" w:cstheme="minorHAnsi"/>
          <w:color w:val="000000"/>
          <w:lang w:eastAsia="en-GB"/>
        </w:rPr>
      </w:pPr>
      <w:permStart w:id="186000039" w:edGrp="everyone"/>
      <w:r w:rsidRPr="002B2A67">
        <w:rPr>
          <w:rFonts w:eastAsia="Times New Roman" w:cstheme="minorHAnsi"/>
          <w:color w:val="000000"/>
          <w:lang w:eastAsia="en-GB"/>
        </w:rPr>
        <w:t xml:space="preserve">The main factors </w:t>
      </w:r>
      <w:r>
        <w:rPr>
          <w:rFonts w:eastAsia="Times New Roman" w:cstheme="minorHAnsi"/>
          <w:color w:val="000000"/>
          <w:lang w:eastAsia="en-GB"/>
        </w:rPr>
        <w:t xml:space="preserve">to be </w:t>
      </w:r>
      <w:r w:rsidRPr="00A01E5F">
        <w:rPr>
          <w:rFonts w:eastAsia="Times New Roman" w:cstheme="minorHAnsi"/>
          <w:color w:val="000000"/>
          <w:lang w:eastAsia="en-GB"/>
        </w:rPr>
        <w:t xml:space="preserve">taken into account </w:t>
      </w:r>
      <w:r>
        <w:rPr>
          <w:rFonts w:eastAsia="Times New Roman" w:cstheme="minorHAnsi"/>
          <w:color w:val="000000"/>
          <w:lang w:eastAsia="en-GB"/>
        </w:rPr>
        <w:t>for</w:t>
      </w:r>
      <w:r w:rsidRPr="00416B5D">
        <w:rPr>
          <w:rFonts w:eastAsia="Times New Roman" w:cstheme="minorHAnsi"/>
          <w:color w:val="000000"/>
          <w:lang w:eastAsia="en-GB"/>
        </w:rPr>
        <w:t xml:space="preserve"> the design and application of existing limits and controls by EU trading venues (e.g. delivery limits and accountability levels) are deliverable supply, the </w:t>
      </w:r>
      <w:r>
        <w:rPr>
          <w:rFonts w:eastAsia="Times New Roman" w:cstheme="minorHAnsi"/>
          <w:color w:val="000000"/>
          <w:lang w:eastAsia="en-GB"/>
        </w:rPr>
        <w:t xml:space="preserve">remaining </w:t>
      </w:r>
      <w:r w:rsidRPr="00416B5D">
        <w:rPr>
          <w:rFonts w:eastAsia="Times New Roman" w:cstheme="minorHAnsi"/>
          <w:color w:val="000000"/>
          <w:lang w:eastAsia="en-GB"/>
        </w:rPr>
        <w:t xml:space="preserve">time to contract maturity and – during the delivery period itself – the size of </w:t>
      </w:r>
      <w:r>
        <w:rPr>
          <w:rFonts w:eastAsia="Times New Roman" w:cstheme="minorHAnsi"/>
          <w:color w:val="000000"/>
          <w:lang w:eastAsia="en-GB"/>
        </w:rPr>
        <w:t xml:space="preserve">deliverable </w:t>
      </w:r>
      <w:r w:rsidRPr="00416B5D">
        <w:rPr>
          <w:rFonts w:eastAsia="Times New Roman" w:cstheme="minorHAnsi"/>
          <w:color w:val="000000"/>
          <w:lang w:eastAsia="en-GB"/>
        </w:rPr>
        <w:t>position wit</w:t>
      </w:r>
      <w:r w:rsidRPr="00A01E5F">
        <w:rPr>
          <w:rFonts w:eastAsia="Times New Roman" w:cstheme="minorHAnsi"/>
          <w:color w:val="000000"/>
          <w:lang w:eastAsia="en-GB"/>
        </w:rPr>
        <w:t xml:space="preserve">hout causing logistical problems or </w:t>
      </w:r>
      <w:r>
        <w:rPr>
          <w:rFonts w:eastAsia="Times New Roman" w:cstheme="minorHAnsi"/>
          <w:color w:val="000000"/>
          <w:lang w:eastAsia="en-GB"/>
        </w:rPr>
        <w:t xml:space="preserve">a </w:t>
      </w:r>
      <w:r w:rsidRPr="00A01E5F">
        <w:rPr>
          <w:rFonts w:eastAsia="Times New Roman" w:cstheme="minorHAnsi"/>
          <w:color w:val="000000"/>
          <w:lang w:eastAsia="en-GB"/>
        </w:rPr>
        <w:t>delivery failure.</w:t>
      </w:r>
    </w:p>
    <w:permEnd w:id="186000039"/>
    <w:p w:rsidR="00577C33" w:rsidRDefault="00577C33" w:rsidP="00EC2C93">
      <w:pPr>
        <w:keepNext/>
      </w:pPr>
      <w:r>
        <w:lastRenderedPageBreak/>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645678" w:rsidRDefault="00645678" w:rsidP="00EC2C93">
      <w:pPr>
        <w:keepNext/>
        <w:rPr>
          <w:rFonts w:eastAsia="Times New Roman" w:cstheme="minorHAnsi"/>
          <w:color w:val="000000"/>
          <w:lang w:eastAsia="en-GB"/>
        </w:rPr>
      </w:pPr>
      <w:permStart w:id="1375239998" w:edGrp="everyone"/>
      <w:r w:rsidRPr="002B2A67">
        <w:rPr>
          <w:rFonts w:eastAsia="Times New Roman" w:cstheme="minorHAnsi"/>
          <w:color w:val="000000"/>
          <w:lang w:eastAsia="en-GB"/>
        </w:rPr>
        <w:t xml:space="preserve">Europex agrees with ESMA’s proposed approach of defining “risk reducing positions” in a manner which is consistent with the relevant definition under </w:t>
      </w:r>
      <w:r w:rsidRPr="00212607">
        <w:rPr>
          <w:rFonts w:eastAsia="Times New Roman" w:cstheme="minorHAnsi"/>
          <w:color w:val="000000"/>
          <w:lang w:eastAsia="en-GB"/>
        </w:rPr>
        <w:t xml:space="preserve">EMIR </w:t>
      </w:r>
      <w:r>
        <w:rPr>
          <w:rFonts w:eastAsia="Times New Roman" w:cstheme="minorHAnsi"/>
          <w:color w:val="000000"/>
          <w:lang w:eastAsia="en-GB"/>
        </w:rPr>
        <w:t>(</w:t>
      </w:r>
      <w:r w:rsidRPr="00212607">
        <w:rPr>
          <w:rFonts w:eastAsia="Times New Roman" w:cstheme="minorHAnsi"/>
          <w:color w:val="000000"/>
          <w:lang w:eastAsia="en-GB"/>
        </w:rPr>
        <w:t xml:space="preserve">(Regulation (EU) 638/2012), Article 10(4)(a), and </w:t>
      </w:r>
      <w:r>
        <w:rPr>
          <w:rFonts w:eastAsia="Times New Roman" w:cstheme="minorHAnsi"/>
          <w:color w:val="000000"/>
          <w:lang w:eastAsia="en-GB"/>
        </w:rPr>
        <w:t xml:space="preserve">the </w:t>
      </w:r>
      <w:r w:rsidRPr="00212607">
        <w:rPr>
          <w:rFonts w:eastAsia="Times New Roman" w:cstheme="minorHAnsi"/>
          <w:color w:val="000000"/>
          <w:lang w:eastAsia="en-GB"/>
        </w:rPr>
        <w:t xml:space="preserve">Commission Delegated Regulation (EU) No. 149/2013, Article 10). The purpose of EMIR Article 10(4)(a) is to identify a non-financial counterparty’s positions which are “objectively measurable as reducing risks directly related to the commercial activity or treasury financing activity of the non-financial counterparty”.   Such positions are </w:t>
      </w:r>
      <w:r>
        <w:rPr>
          <w:rFonts w:eastAsia="Times New Roman" w:cstheme="minorHAnsi"/>
          <w:color w:val="000000"/>
          <w:lang w:eastAsia="en-GB"/>
        </w:rPr>
        <w:t>not taken into account</w:t>
      </w:r>
      <w:r w:rsidRPr="00A01E5F">
        <w:rPr>
          <w:rFonts w:eastAsia="Times New Roman" w:cstheme="minorHAnsi"/>
          <w:color w:val="000000"/>
          <w:lang w:eastAsia="en-GB"/>
        </w:rPr>
        <w:t xml:space="preserve"> for the calculati</w:t>
      </w:r>
      <w:r>
        <w:rPr>
          <w:rFonts w:eastAsia="Times New Roman" w:cstheme="minorHAnsi"/>
          <w:color w:val="000000"/>
          <w:lang w:eastAsia="en-GB"/>
        </w:rPr>
        <w:t>on</w:t>
      </w:r>
      <w:r w:rsidRPr="00A01E5F">
        <w:rPr>
          <w:rFonts w:eastAsia="Times New Roman" w:cstheme="minorHAnsi"/>
          <w:color w:val="000000"/>
          <w:lang w:eastAsia="en-GB"/>
        </w:rPr>
        <w:t xml:space="preserve"> </w:t>
      </w:r>
      <w:r>
        <w:rPr>
          <w:rFonts w:eastAsia="Times New Roman" w:cstheme="minorHAnsi"/>
          <w:color w:val="000000"/>
          <w:lang w:eastAsia="en-GB"/>
        </w:rPr>
        <w:t>of</w:t>
      </w:r>
      <w:r w:rsidRPr="00A01E5F">
        <w:rPr>
          <w:rFonts w:eastAsia="Times New Roman" w:cstheme="minorHAnsi"/>
          <w:color w:val="000000"/>
          <w:lang w:eastAsia="en-GB"/>
        </w:rPr>
        <w:t xml:space="preserve"> </w:t>
      </w:r>
      <w:r>
        <w:rPr>
          <w:rFonts w:eastAsia="Times New Roman" w:cstheme="minorHAnsi"/>
          <w:color w:val="000000"/>
          <w:lang w:eastAsia="en-GB"/>
        </w:rPr>
        <w:t xml:space="preserve">a </w:t>
      </w:r>
      <w:r w:rsidRPr="00A01E5F">
        <w:rPr>
          <w:rFonts w:eastAsia="Times New Roman" w:cstheme="minorHAnsi"/>
          <w:color w:val="000000"/>
          <w:lang w:eastAsia="en-GB"/>
        </w:rPr>
        <w:t>non-financial counterpa</w:t>
      </w:r>
      <w:r w:rsidRPr="00212607">
        <w:rPr>
          <w:rFonts w:eastAsia="Times New Roman" w:cstheme="minorHAnsi"/>
          <w:color w:val="000000"/>
          <w:lang w:eastAsia="en-GB"/>
        </w:rPr>
        <w:t xml:space="preserve">rty’s overall position in OTC derivatives </w:t>
      </w:r>
      <w:r>
        <w:rPr>
          <w:rFonts w:eastAsia="Times New Roman" w:cstheme="minorHAnsi"/>
          <w:color w:val="000000"/>
          <w:lang w:eastAsia="en-GB"/>
        </w:rPr>
        <w:t xml:space="preserve">in relation to </w:t>
      </w:r>
      <w:r w:rsidRPr="00212607">
        <w:rPr>
          <w:rFonts w:eastAsia="Times New Roman" w:cstheme="minorHAnsi"/>
          <w:color w:val="000000"/>
          <w:lang w:eastAsia="en-GB"/>
        </w:rPr>
        <w:t>the EMIR clearing threshold. This is analogous to the process under M</w:t>
      </w:r>
      <w:r>
        <w:rPr>
          <w:rFonts w:eastAsia="Times New Roman" w:cstheme="minorHAnsi"/>
          <w:color w:val="000000"/>
          <w:lang w:eastAsia="en-GB"/>
        </w:rPr>
        <w:t>i</w:t>
      </w:r>
      <w:r w:rsidRPr="00212607">
        <w:rPr>
          <w:rFonts w:eastAsia="Times New Roman" w:cstheme="minorHAnsi"/>
          <w:color w:val="000000"/>
          <w:lang w:eastAsia="en-GB"/>
        </w:rPr>
        <w:t xml:space="preserve">FID II whereby position limits in respect </w:t>
      </w:r>
      <w:r>
        <w:rPr>
          <w:rFonts w:eastAsia="Times New Roman" w:cstheme="minorHAnsi"/>
          <w:color w:val="000000"/>
          <w:lang w:eastAsia="en-GB"/>
        </w:rPr>
        <w:t>to</w:t>
      </w:r>
      <w:r w:rsidRPr="00212607">
        <w:rPr>
          <w:rFonts w:eastAsia="Times New Roman" w:cstheme="minorHAnsi"/>
          <w:color w:val="000000"/>
          <w:lang w:eastAsia="en-GB"/>
        </w:rPr>
        <w:t xml:space="preserve"> commodity derivatives shall </w:t>
      </w:r>
      <w:r>
        <w:rPr>
          <w:rFonts w:eastAsia="Times New Roman" w:cstheme="minorHAnsi"/>
          <w:color w:val="000000"/>
          <w:lang w:eastAsia="en-GB"/>
        </w:rPr>
        <w:t>not be included in the calculation of</w:t>
      </w:r>
      <w:r w:rsidRPr="00212607">
        <w:rPr>
          <w:rFonts w:eastAsia="Times New Roman" w:cstheme="minorHAnsi"/>
          <w:color w:val="000000"/>
          <w:lang w:eastAsia="en-GB"/>
        </w:rPr>
        <w:t xml:space="preserve"> the positions of a non-financial entity which</w:t>
      </w:r>
      <w:r w:rsidRPr="00D220B5">
        <w:rPr>
          <w:rFonts w:eastAsia="Times New Roman" w:cstheme="minorHAnsi"/>
          <w:color w:val="000000"/>
          <w:lang w:eastAsia="en-GB"/>
        </w:rPr>
        <w:t xml:space="preserve"> are “ob</w:t>
      </w:r>
      <w:r w:rsidRPr="00A01E5F">
        <w:rPr>
          <w:rFonts w:eastAsia="Times New Roman" w:cstheme="minorHAnsi"/>
          <w:color w:val="000000"/>
          <w:lang w:eastAsia="en-GB"/>
        </w:rPr>
        <w:t>jectively measurable as reducing risks related to that entity’s commercial activity”.</w:t>
      </w:r>
      <w:r>
        <w:rPr>
          <w:rFonts w:eastAsia="Times New Roman" w:cstheme="minorHAnsi"/>
          <w:color w:val="000000"/>
          <w:lang w:eastAsia="en-GB"/>
        </w:rPr>
        <w:t xml:space="preserve"> Both the MiFID and EMIR RTS on risk reducing positions should be fully consistent with each other.</w:t>
      </w:r>
    </w:p>
    <w:permEnd w:id="137523999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645678" w:rsidRDefault="00645678" w:rsidP="00EC2C93">
      <w:pPr>
        <w:keepNext/>
        <w:rPr>
          <w:rFonts w:eastAsia="Times New Roman" w:cstheme="minorHAnsi"/>
          <w:color w:val="000000"/>
          <w:lang w:eastAsia="en-GB"/>
        </w:rPr>
      </w:pPr>
      <w:permStart w:id="863263240" w:edGrp="everyone"/>
      <w:r w:rsidRPr="00BB7D45">
        <w:rPr>
          <w:rFonts w:eastAsia="Times New Roman" w:cstheme="minorHAnsi"/>
          <w:color w:val="000000"/>
          <w:lang w:eastAsia="en-GB"/>
        </w:rPr>
        <w:t xml:space="preserve">In its 2014 </w:t>
      </w:r>
      <w:r>
        <w:rPr>
          <w:rFonts w:eastAsia="Times New Roman" w:cstheme="minorHAnsi"/>
          <w:color w:val="000000"/>
          <w:lang w:eastAsia="en-GB"/>
        </w:rPr>
        <w:t>MiFID</w:t>
      </w:r>
      <w:r w:rsidRPr="00BB7D45">
        <w:rPr>
          <w:rFonts w:eastAsia="Times New Roman" w:cstheme="minorHAnsi"/>
          <w:color w:val="000000"/>
          <w:lang w:eastAsia="en-GB"/>
        </w:rPr>
        <w:t xml:space="preserve"> II Discussion Paper, ESMA noted that </w:t>
      </w:r>
      <w:r>
        <w:rPr>
          <w:rFonts w:eastAsia="Times New Roman" w:cstheme="minorHAnsi"/>
          <w:color w:val="000000"/>
          <w:lang w:eastAsia="en-GB"/>
        </w:rPr>
        <w:t xml:space="preserve">the expression </w:t>
      </w:r>
      <w:r w:rsidRPr="003403EB">
        <w:rPr>
          <w:rFonts w:eastAsia="Times New Roman" w:cstheme="minorHAnsi"/>
          <w:color w:val="000000"/>
          <w:lang w:eastAsia="en-GB"/>
        </w:rPr>
        <w:t>“non-financial entity” is not defined in M</w:t>
      </w:r>
      <w:r>
        <w:rPr>
          <w:rFonts w:eastAsia="Times New Roman" w:cstheme="minorHAnsi"/>
          <w:color w:val="000000"/>
          <w:lang w:eastAsia="en-GB"/>
        </w:rPr>
        <w:t>i</w:t>
      </w:r>
      <w:r w:rsidRPr="003403EB">
        <w:rPr>
          <w:rFonts w:eastAsia="Times New Roman" w:cstheme="minorHAnsi"/>
          <w:color w:val="000000"/>
          <w:lang w:eastAsia="en-GB"/>
        </w:rPr>
        <w:t xml:space="preserve">FID II </w:t>
      </w:r>
      <w:r>
        <w:rPr>
          <w:rFonts w:eastAsia="Times New Roman" w:cstheme="minorHAnsi"/>
          <w:color w:val="000000"/>
          <w:lang w:eastAsia="en-GB"/>
        </w:rPr>
        <w:t xml:space="preserve">and </w:t>
      </w:r>
      <w:r w:rsidRPr="003403EB">
        <w:rPr>
          <w:rFonts w:eastAsia="Times New Roman" w:cstheme="minorHAnsi"/>
          <w:color w:val="000000"/>
          <w:lang w:eastAsia="en-GB"/>
        </w:rPr>
        <w:t>proposed to consider “non-financial entities” to be any entities which are not financial institutions under M</w:t>
      </w:r>
      <w:r>
        <w:rPr>
          <w:rFonts w:eastAsia="Times New Roman" w:cstheme="minorHAnsi"/>
          <w:color w:val="000000"/>
          <w:lang w:eastAsia="en-GB"/>
        </w:rPr>
        <w:t>i</w:t>
      </w:r>
      <w:r w:rsidRPr="003403EB">
        <w:rPr>
          <w:rFonts w:eastAsia="Times New Roman" w:cstheme="minorHAnsi"/>
          <w:color w:val="000000"/>
          <w:lang w:eastAsia="en-GB"/>
        </w:rPr>
        <w:t xml:space="preserve">FID II or other relevant EU legislation.  Such an approach may not work effectively in the context of </w:t>
      </w:r>
      <w:r>
        <w:rPr>
          <w:rFonts w:eastAsia="Times New Roman" w:cstheme="minorHAnsi"/>
          <w:color w:val="000000"/>
          <w:lang w:eastAsia="en-GB"/>
        </w:rPr>
        <w:t xml:space="preserve">the </w:t>
      </w:r>
      <w:r w:rsidRPr="003403EB">
        <w:rPr>
          <w:rFonts w:eastAsia="Times New Roman" w:cstheme="minorHAnsi"/>
          <w:color w:val="000000"/>
          <w:lang w:eastAsia="en-GB"/>
        </w:rPr>
        <w:t>M</w:t>
      </w:r>
      <w:r>
        <w:rPr>
          <w:rFonts w:eastAsia="Times New Roman" w:cstheme="minorHAnsi"/>
          <w:color w:val="000000"/>
          <w:lang w:eastAsia="en-GB"/>
        </w:rPr>
        <w:t>i</w:t>
      </w:r>
      <w:r w:rsidRPr="003403EB">
        <w:rPr>
          <w:rFonts w:eastAsia="Times New Roman" w:cstheme="minorHAnsi"/>
          <w:color w:val="000000"/>
          <w:lang w:eastAsia="en-GB"/>
        </w:rPr>
        <w:t>FID II position limits</w:t>
      </w:r>
      <w:r>
        <w:rPr>
          <w:rFonts w:eastAsia="Times New Roman" w:cstheme="minorHAnsi"/>
          <w:color w:val="000000"/>
          <w:lang w:eastAsia="en-GB"/>
        </w:rPr>
        <w:t xml:space="preserve"> regime</w:t>
      </w:r>
      <w:r w:rsidRPr="003403EB">
        <w:rPr>
          <w:rFonts w:eastAsia="Times New Roman" w:cstheme="minorHAnsi"/>
          <w:color w:val="000000"/>
          <w:lang w:eastAsia="en-GB"/>
        </w:rPr>
        <w:t xml:space="preserve">, given that </w:t>
      </w:r>
      <w:r>
        <w:rPr>
          <w:rFonts w:eastAsia="Times New Roman" w:cstheme="minorHAnsi"/>
          <w:color w:val="000000"/>
          <w:lang w:eastAsia="en-GB"/>
        </w:rPr>
        <w:t>many</w:t>
      </w:r>
      <w:r w:rsidRPr="003403EB">
        <w:rPr>
          <w:rFonts w:eastAsia="Times New Roman" w:cstheme="minorHAnsi"/>
          <w:color w:val="000000"/>
          <w:lang w:eastAsia="en-GB"/>
        </w:rPr>
        <w:t xml:space="preserve"> participants in </w:t>
      </w:r>
      <w:r>
        <w:rPr>
          <w:rFonts w:eastAsia="Times New Roman" w:cstheme="minorHAnsi"/>
          <w:color w:val="000000"/>
          <w:lang w:eastAsia="en-GB"/>
        </w:rPr>
        <w:t xml:space="preserve">EU </w:t>
      </w:r>
      <w:r w:rsidRPr="003403EB">
        <w:rPr>
          <w:rFonts w:eastAsia="Times New Roman" w:cstheme="minorHAnsi"/>
          <w:color w:val="000000"/>
          <w:lang w:eastAsia="en-GB"/>
        </w:rPr>
        <w:t xml:space="preserve">commodity markets are located </w:t>
      </w:r>
      <w:r>
        <w:rPr>
          <w:rFonts w:eastAsia="Times New Roman" w:cstheme="minorHAnsi"/>
          <w:color w:val="000000"/>
          <w:lang w:eastAsia="en-GB"/>
        </w:rPr>
        <w:t>outside the EU</w:t>
      </w:r>
      <w:r w:rsidRPr="003403EB">
        <w:rPr>
          <w:rFonts w:eastAsia="Times New Roman" w:cstheme="minorHAnsi"/>
          <w:color w:val="000000"/>
          <w:lang w:eastAsia="en-GB"/>
        </w:rPr>
        <w:t xml:space="preserve">.  </w:t>
      </w:r>
      <w:r>
        <w:rPr>
          <w:rFonts w:eastAsia="Times New Roman" w:cstheme="minorHAnsi"/>
          <w:color w:val="000000"/>
          <w:lang w:eastAsia="en-GB"/>
        </w:rPr>
        <w:t>A</w:t>
      </w:r>
      <w:r w:rsidRPr="003403EB">
        <w:rPr>
          <w:rFonts w:eastAsia="Times New Roman" w:cstheme="minorHAnsi"/>
          <w:color w:val="000000"/>
          <w:lang w:eastAsia="en-GB"/>
        </w:rPr>
        <w:t xml:space="preserve"> strict application of such an approach would </w:t>
      </w:r>
      <w:r>
        <w:rPr>
          <w:rFonts w:eastAsia="Times New Roman" w:cstheme="minorHAnsi"/>
          <w:color w:val="000000"/>
          <w:lang w:eastAsia="en-GB"/>
        </w:rPr>
        <w:t xml:space="preserve">for instance </w:t>
      </w:r>
      <w:r w:rsidRPr="003403EB">
        <w:rPr>
          <w:rFonts w:eastAsia="Times New Roman" w:cstheme="minorHAnsi"/>
          <w:color w:val="000000"/>
          <w:lang w:eastAsia="en-GB"/>
        </w:rPr>
        <w:t xml:space="preserve">suggest that an investment firm or </w:t>
      </w:r>
      <w:r>
        <w:rPr>
          <w:rFonts w:eastAsia="Times New Roman" w:cstheme="minorHAnsi"/>
          <w:color w:val="000000"/>
          <w:lang w:eastAsia="en-GB"/>
        </w:rPr>
        <w:t xml:space="preserve">a </w:t>
      </w:r>
      <w:r w:rsidRPr="003403EB">
        <w:rPr>
          <w:rFonts w:eastAsia="Times New Roman" w:cstheme="minorHAnsi"/>
          <w:color w:val="000000"/>
          <w:lang w:eastAsia="en-GB"/>
        </w:rPr>
        <w:t xml:space="preserve">bank located in a third country would be treated as a “non-financial entity” rather </w:t>
      </w:r>
      <w:r>
        <w:rPr>
          <w:rFonts w:eastAsia="Times New Roman" w:cstheme="minorHAnsi"/>
          <w:color w:val="000000"/>
          <w:lang w:eastAsia="en-GB"/>
        </w:rPr>
        <w:t>than a financial entity.</w:t>
      </w:r>
    </w:p>
    <w:permEnd w:id="86326324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645678" w:rsidRPr="002B2A67" w:rsidRDefault="00645678" w:rsidP="00645678">
      <w:pPr>
        <w:tabs>
          <w:tab w:val="left" w:pos="1100"/>
        </w:tabs>
        <w:rPr>
          <w:rFonts w:eastAsia="Times New Roman" w:cstheme="minorHAnsi"/>
          <w:lang w:eastAsia="en-GB"/>
        </w:rPr>
      </w:pPr>
      <w:permStart w:id="1360799491" w:edGrp="everyone"/>
      <w:r w:rsidRPr="002B2A67">
        <w:rPr>
          <w:rFonts w:eastAsia="Times New Roman" w:cstheme="minorHAnsi"/>
          <w:color w:val="000000"/>
          <w:lang w:eastAsia="en-GB"/>
        </w:rPr>
        <w:t xml:space="preserve">Cf. our response to </w:t>
      </w:r>
      <w:r w:rsidRPr="002B2A67">
        <w:rPr>
          <w:rFonts w:eastAsia="Times New Roman" w:cstheme="minorHAnsi"/>
          <w:lang w:eastAsia="en-GB"/>
        </w:rPr>
        <w:t>Question 203.</w:t>
      </w:r>
    </w:p>
    <w:permEnd w:id="136079949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645678" w:rsidRDefault="00645678" w:rsidP="00EC2C93">
      <w:pPr>
        <w:keepNext/>
        <w:rPr>
          <w:rFonts w:eastAsia="Times New Roman" w:cstheme="minorHAnsi"/>
          <w:color w:val="000000"/>
          <w:lang w:eastAsia="en-GB"/>
        </w:rPr>
      </w:pPr>
      <w:permStart w:id="4486201" w:edGrp="everyone"/>
      <w:r w:rsidRPr="00212607">
        <w:rPr>
          <w:rFonts w:eastAsia="Times New Roman" w:cstheme="minorHAnsi"/>
          <w:color w:val="000000"/>
          <w:lang w:eastAsia="en-GB"/>
        </w:rPr>
        <w:t>Europex believes that the methodology for aggregating positions - in a situation in which one company has an ownership int</w:t>
      </w:r>
      <w:r w:rsidRPr="00BB7D45">
        <w:rPr>
          <w:rFonts w:eastAsia="Times New Roman" w:cstheme="minorHAnsi"/>
          <w:color w:val="000000"/>
          <w:lang w:eastAsia="en-GB"/>
        </w:rPr>
        <w:t xml:space="preserve">erest in another - should be based on a discrete percentage threshold which is used as a proxy </w:t>
      </w:r>
      <w:r>
        <w:rPr>
          <w:rFonts w:eastAsia="Times New Roman" w:cstheme="minorHAnsi"/>
          <w:color w:val="000000"/>
          <w:lang w:eastAsia="en-GB"/>
        </w:rPr>
        <w:t>of</w:t>
      </w:r>
      <w:r w:rsidRPr="00BB7D45">
        <w:rPr>
          <w:rFonts w:eastAsia="Times New Roman" w:cstheme="minorHAnsi"/>
          <w:color w:val="000000"/>
          <w:lang w:eastAsia="en-GB"/>
        </w:rPr>
        <w:t xml:space="preserve"> “control”.  It suggests that the threshold should be set at 50%. Where the threshold is met, the totality of the position of the controlled entity should be added to the position of the controlling entity for the purposes of calculating the overall net position.   </w:t>
      </w:r>
    </w:p>
    <w:permEnd w:id="4486201"/>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645678" w:rsidRPr="002B2A67" w:rsidRDefault="00645678" w:rsidP="00645678">
      <w:pPr>
        <w:spacing w:line="240" w:lineRule="auto"/>
        <w:rPr>
          <w:rFonts w:eastAsia="Times New Roman" w:cstheme="minorHAnsi"/>
          <w:color w:val="000000"/>
          <w:lang w:eastAsia="en-GB"/>
        </w:rPr>
      </w:pPr>
      <w:permStart w:id="769420202" w:edGrp="everyone"/>
      <w:r w:rsidRPr="002B2A67">
        <w:rPr>
          <w:rFonts w:eastAsia="Times New Roman" w:cstheme="minorHAnsi"/>
          <w:color w:val="000000"/>
          <w:lang w:eastAsia="en-GB"/>
        </w:rPr>
        <w:t>Yes.  ESMA’s proposed approach is similar to the CFTC’s proposal in relation to economic equivalence of swaps and futures contracts, which is designed to identify an entity’s overall influence on the demand and supply conditions in a particular commodity sector, whilst recognising that the component contracts of that entity’s position are not necessarily legally identical.  Given the global nature of many commodity markets, there would be clear benefits in the EU and US applying consistent definitions of “economically equivalent” for the purposes of operating their position limits regimes.</w:t>
      </w:r>
    </w:p>
    <w:permEnd w:id="76942020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645678" w:rsidRDefault="00645678" w:rsidP="00EC2C93">
      <w:pPr>
        <w:keepNext/>
        <w:rPr>
          <w:rFonts w:eastAsia="Times New Roman" w:cstheme="minorHAnsi"/>
          <w:color w:val="000000"/>
          <w:lang w:eastAsia="en-GB"/>
        </w:rPr>
      </w:pPr>
      <w:permStart w:id="169877395" w:edGrp="everyone"/>
      <w:r>
        <w:rPr>
          <w:rFonts w:eastAsia="Times New Roman" w:cstheme="minorHAnsi"/>
          <w:color w:val="000000"/>
          <w:lang w:eastAsia="en-GB"/>
        </w:rPr>
        <w:t>Special</w:t>
      </w:r>
      <w:r w:rsidRPr="00212607">
        <w:rPr>
          <w:rFonts w:eastAsia="Times New Roman" w:cstheme="minorHAnsi"/>
          <w:color w:val="000000"/>
          <w:lang w:eastAsia="en-GB"/>
        </w:rPr>
        <w:t xml:space="preserve"> care needs to be taken when using the term “same derivative contract”.  The purpose of the term (as used in Article 57(12)(d) of </w:t>
      </w:r>
      <w:r>
        <w:rPr>
          <w:rFonts w:eastAsia="Times New Roman" w:cstheme="minorHAnsi"/>
          <w:color w:val="000000"/>
          <w:lang w:eastAsia="en-GB"/>
        </w:rPr>
        <w:t>MiFID</w:t>
      </w:r>
      <w:r w:rsidRPr="00212607">
        <w:rPr>
          <w:rFonts w:eastAsia="Times New Roman" w:cstheme="minorHAnsi"/>
          <w:color w:val="000000"/>
          <w:lang w:eastAsia="en-GB"/>
        </w:rPr>
        <w:t xml:space="preserve"> II) is to manage a situation where</w:t>
      </w:r>
      <w:r w:rsidRPr="00D220B5">
        <w:rPr>
          <w:rFonts w:eastAsia="Times New Roman" w:cstheme="minorHAnsi"/>
          <w:color w:val="000000"/>
          <w:lang w:eastAsia="en-GB"/>
        </w:rPr>
        <w:t xml:space="preserve"> a single position limit needs to be set in relation to the trading of commodity derivat</w:t>
      </w:r>
      <w:r w:rsidRPr="003403EB">
        <w:rPr>
          <w:rFonts w:eastAsia="Times New Roman" w:cstheme="minorHAnsi"/>
          <w:color w:val="000000"/>
          <w:lang w:eastAsia="en-GB"/>
        </w:rPr>
        <w:t>ives at competin</w:t>
      </w:r>
      <w:r w:rsidRPr="00212607">
        <w:rPr>
          <w:rFonts w:eastAsia="Times New Roman" w:cstheme="minorHAnsi"/>
          <w:color w:val="000000"/>
          <w:lang w:eastAsia="en-GB"/>
        </w:rPr>
        <w:t xml:space="preserve">g trading venues.  In the </w:t>
      </w:r>
      <w:r w:rsidRPr="00BB7D45">
        <w:rPr>
          <w:rFonts w:eastAsia="Times New Roman" w:cstheme="minorHAnsi"/>
          <w:color w:val="000000"/>
          <w:lang w:eastAsia="en-GB"/>
        </w:rPr>
        <w:t>given context, Europex has no further comments on the proposed approach.</w:t>
      </w:r>
    </w:p>
    <w:permEnd w:id="169877395"/>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645678" w:rsidRDefault="00645678" w:rsidP="00EC2C93">
      <w:pPr>
        <w:keepNext/>
        <w:rPr>
          <w:rFonts w:eastAsia="Times New Roman" w:cstheme="minorHAnsi"/>
          <w:color w:val="000000"/>
          <w:lang w:eastAsia="en-GB"/>
        </w:rPr>
      </w:pPr>
      <w:permStart w:id="1132598464" w:edGrp="everyone"/>
      <w:r w:rsidRPr="002B2A67">
        <w:rPr>
          <w:rFonts w:eastAsia="Times New Roman" w:cstheme="minorHAnsi"/>
          <w:color w:val="000000"/>
          <w:lang w:eastAsia="en-GB"/>
        </w:rPr>
        <w:t xml:space="preserve">Yes, </w:t>
      </w:r>
      <w:r>
        <w:rPr>
          <w:rFonts w:eastAsia="Times New Roman" w:cstheme="minorHAnsi"/>
          <w:color w:val="000000"/>
          <w:lang w:eastAsia="en-GB"/>
        </w:rPr>
        <w:t>Europex</w:t>
      </w:r>
      <w:r w:rsidRPr="00212607">
        <w:rPr>
          <w:rFonts w:eastAsia="Times New Roman" w:cstheme="minorHAnsi"/>
          <w:color w:val="000000"/>
          <w:lang w:eastAsia="en-GB"/>
        </w:rPr>
        <w:t xml:space="preserve"> agree</w:t>
      </w:r>
      <w:r>
        <w:rPr>
          <w:rFonts w:eastAsia="Times New Roman" w:cstheme="minorHAnsi"/>
          <w:color w:val="000000"/>
          <w:lang w:eastAsia="en-GB"/>
        </w:rPr>
        <w:t>s</w:t>
      </w:r>
      <w:r w:rsidRPr="00212607">
        <w:rPr>
          <w:rFonts w:eastAsia="Times New Roman" w:cstheme="minorHAnsi"/>
          <w:color w:val="000000"/>
          <w:lang w:eastAsia="en-GB"/>
        </w:rPr>
        <w:t>.</w:t>
      </w:r>
    </w:p>
    <w:permEnd w:id="1132598464"/>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645678" w:rsidP="00EC2C93">
      <w:pPr>
        <w:keepNext/>
      </w:pPr>
      <w:permStart w:id="914687834" w:edGrp="everyone"/>
      <w:r w:rsidRPr="002B2A67">
        <w:rPr>
          <w:rFonts w:eastAsia="Times New Roman" w:cstheme="minorHAnsi"/>
          <w:color w:val="000000"/>
          <w:lang w:eastAsia="en-GB"/>
        </w:rPr>
        <w:t>Cf. our response to Question 204.</w:t>
      </w:r>
      <w:permEnd w:id="914687834"/>
      <w:r w:rsidR="00577C33">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lastRenderedPageBreak/>
        <w:t>&lt;ESMA_QUESTION_CP_MIFID_208&gt;</w:t>
      </w:r>
    </w:p>
    <w:p w:rsidR="00645678" w:rsidRDefault="00645678" w:rsidP="00EC2C93">
      <w:pPr>
        <w:keepNext/>
        <w:rPr>
          <w:rFonts w:eastAsia="Times New Roman" w:cstheme="minorHAnsi"/>
          <w:color w:val="000000"/>
          <w:lang w:eastAsia="en-GB"/>
        </w:rPr>
      </w:pPr>
      <w:permStart w:id="1905347578" w:edGrp="everyone"/>
      <w:r w:rsidRPr="002B2A67">
        <w:rPr>
          <w:rFonts w:eastAsia="Times New Roman" w:cstheme="minorHAnsi"/>
          <w:color w:val="000000"/>
          <w:lang w:eastAsia="en-GB"/>
        </w:rPr>
        <w:t>The proposed draft Regulatory Technical Standard (Article 7 of RTS 30) stipulates that a National Competent Authority (NCA) will be given up to 30 calendar days to approve an application for an exemption. This is a significantly long period, during which the non-financial entity will face regulatory uncertainty about whether or not an exemption will be available to it. We therefore suggest reducing this period.</w:t>
      </w:r>
    </w:p>
    <w:permEnd w:id="1905347578"/>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645678" w:rsidP="00EC2C93">
      <w:pPr>
        <w:keepNext/>
      </w:pPr>
      <w:permStart w:id="94965106" w:edGrp="everyone"/>
      <w:r w:rsidRPr="002B2A67">
        <w:rPr>
          <w:rFonts w:eastAsia="Times New Roman" w:cstheme="minorHAnsi"/>
          <w:color w:val="000000"/>
          <w:lang w:eastAsia="en-GB"/>
        </w:rPr>
        <w:t>Cf. our response to Question 204.</w:t>
      </w:r>
      <w:permEnd w:id="94965106"/>
      <w:r w:rsidR="00577C33">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645678" w:rsidRPr="002B2A67" w:rsidRDefault="00645678" w:rsidP="00645678">
      <w:pPr>
        <w:pStyle w:val="Default"/>
        <w:jc w:val="both"/>
        <w:rPr>
          <w:rFonts w:asciiTheme="minorHAnsi" w:eastAsia="Times New Roman" w:hAnsiTheme="minorHAnsi" w:cstheme="minorHAnsi"/>
          <w:sz w:val="22"/>
          <w:szCs w:val="22"/>
          <w:lang w:val="en-GB" w:eastAsia="en-GB"/>
        </w:rPr>
      </w:pPr>
      <w:permStart w:id="15095509" w:edGrp="everyone"/>
      <w:r w:rsidRPr="002B2A67">
        <w:rPr>
          <w:rFonts w:asciiTheme="minorHAnsi" w:eastAsia="Times New Roman" w:hAnsiTheme="minorHAnsi" w:cstheme="minorHAnsi"/>
          <w:sz w:val="22"/>
          <w:szCs w:val="22"/>
          <w:lang w:val="en-GB" w:eastAsia="en-GB"/>
        </w:rPr>
        <w:t>Europex generally agrees with ESMA’s proposal for the reporting format.</w:t>
      </w:r>
    </w:p>
    <w:p w:rsidR="00645678" w:rsidRPr="002B2A67" w:rsidRDefault="00645678" w:rsidP="00645678">
      <w:pPr>
        <w:pStyle w:val="Default"/>
        <w:jc w:val="both"/>
        <w:rPr>
          <w:rFonts w:asciiTheme="minorHAnsi" w:eastAsia="Times New Roman" w:hAnsiTheme="minorHAnsi" w:cstheme="minorHAnsi"/>
          <w:sz w:val="22"/>
          <w:szCs w:val="22"/>
          <w:lang w:val="en-GB" w:eastAsia="en-GB"/>
        </w:rPr>
      </w:pPr>
      <w:r w:rsidRPr="002B2A67">
        <w:rPr>
          <w:rFonts w:asciiTheme="minorHAnsi" w:eastAsia="Times New Roman" w:hAnsiTheme="minorHAnsi" w:cstheme="minorHAnsi"/>
          <w:sz w:val="22"/>
          <w:szCs w:val="22"/>
          <w:lang w:val="en-GB" w:eastAsia="en-GB"/>
        </w:rPr>
        <w:t xml:space="preserve"> </w:t>
      </w:r>
    </w:p>
    <w:p w:rsidR="00645678" w:rsidRPr="002B2A67" w:rsidRDefault="00645678" w:rsidP="00645678">
      <w:pPr>
        <w:pStyle w:val="Default"/>
        <w:jc w:val="both"/>
        <w:rPr>
          <w:rFonts w:asciiTheme="minorHAnsi" w:eastAsia="Times New Roman" w:hAnsiTheme="minorHAnsi" w:cstheme="minorHAnsi"/>
          <w:sz w:val="22"/>
          <w:szCs w:val="22"/>
          <w:lang w:val="en-GB" w:eastAsia="en-GB"/>
        </w:rPr>
      </w:pPr>
      <w:r w:rsidRPr="002B2A67">
        <w:rPr>
          <w:rFonts w:asciiTheme="minorHAnsi" w:eastAsia="Times New Roman" w:hAnsiTheme="minorHAnsi" w:cstheme="minorHAnsi"/>
          <w:sz w:val="22"/>
          <w:szCs w:val="22"/>
          <w:lang w:val="en-GB" w:eastAsia="en-GB"/>
        </w:rPr>
        <w:t xml:space="preserve">However, the position reporting regime should ensure a high level of confidentiality by not </w:t>
      </w:r>
      <w:r w:rsidRPr="002B2A67">
        <w:rPr>
          <w:rFonts w:asciiTheme="minorHAnsi" w:hAnsiTheme="minorHAnsi"/>
          <w:sz w:val="22"/>
          <w:szCs w:val="22"/>
          <w:lang w:val="en-GB"/>
        </w:rPr>
        <w:t>disclosing details of position holders to the extent that they may be identifiable.</w:t>
      </w:r>
      <w:r w:rsidRPr="002B2A67">
        <w:rPr>
          <w:rFonts w:asciiTheme="minorHAnsi" w:eastAsia="Times New Roman" w:hAnsiTheme="minorHAnsi" w:cstheme="minorHAnsi"/>
          <w:sz w:val="22"/>
          <w:szCs w:val="22"/>
          <w:lang w:val="en-GB" w:eastAsia="en-GB"/>
        </w:rPr>
        <w:t xml:space="preserve"> Reporting of all fields with a distinction between ‘risk reducing’ and ‘other’ may put this confidentiality at risk, if there is only one holder in any of these two groups.</w:t>
      </w:r>
    </w:p>
    <w:p w:rsidR="00645678" w:rsidRPr="002B2A67" w:rsidRDefault="00645678" w:rsidP="00645678">
      <w:pPr>
        <w:pStyle w:val="Default"/>
        <w:jc w:val="both"/>
        <w:rPr>
          <w:rFonts w:asciiTheme="minorHAnsi" w:eastAsia="Times New Roman" w:hAnsiTheme="minorHAnsi" w:cstheme="minorHAnsi"/>
          <w:sz w:val="22"/>
          <w:szCs w:val="22"/>
          <w:lang w:val="en-GB" w:eastAsia="en-GB"/>
        </w:rPr>
      </w:pPr>
    </w:p>
    <w:p w:rsidR="00645678" w:rsidRPr="002B2A67" w:rsidRDefault="00645678" w:rsidP="00645678">
      <w:pPr>
        <w:spacing w:line="240" w:lineRule="auto"/>
        <w:rPr>
          <w:rFonts w:eastAsia="Times New Roman" w:cstheme="minorHAnsi"/>
          <w:lang w:eastAsia="en-GB"/>
        </w:rPr>
      </w:pPr>
      <w:r w:rsidRPr="002B2A67">
        <w:rPr>
          <w:rFonts w:eastAsia="Times New Roman" w:cstheme="minorHAnsi"/>
          <w:lang w:eastAsia="en-GB"/>
        </w:rPr>
        <w:t>Example:</w:t>
      </w:r>
      <w:r w:rsidRPr="002B2A67">
        <w:rPr>
          <w:rFonts w:eastAsia="Times New Roman" w:cstheme="minorHAnsi"/>
          <w:color w:val="000000"/>
          <w:lang w:eastAsia="en-GB"/>
        </w:rPr>
        <w:t xml:space="preserve"> </w:t>
      </w:r>
      <w:r w:rsidRPr="002B2A67">
        <w:rPr>
          <w:rFonts w:eastAsia="Times New Roman" w:cstheme="minorHAnsi"/>
          <w:lang w:eastAsia="en-GB"/>
        </w:rPr>
        <w:t xml:space="preserve">Total number of position holders in one category exceeds four and therefore it should be disclosed. However, there is only one position holder out of four whose positions can be qualified as reducing risk. As a result, with reference to that position holder the number of long and short open positions would be made public. The same situation occurs if there is only one position holder out of four whose positions can be qualified as ‘other’. </w:t>
      </w:r>
    </w:p>
    <w:p w:rsidR="00645678" w:rsidRPr="002B2A67" w:rsidRDefault="00645678" w:rsidP="00645678">
      <w:pPr>
        <w:spacing w:line="240" w:lineRule="auto"/>
        <w:rPr>
          <w:rFonts w:eastAsia="Times New Roman" w:cstheme="minorHAnsi"/>
          <w:lang w:eastAsia="en-GB"/>
        </w:rPr>
      </w:pPr>
    </w:p>
    <w:p w:rsidR="00645678" w:rsidRPr="002B2A67" w:rsidRDefault="00645678" w:rsidP="00645678">
      <w:pPr>
        <w:spacing w:line="240" w:lineRule="auto"/>
        <w:rPr>
          <w:rFonts w:eastAsia="Times New Roman" w:cstheme="minorHAnsi"/>
          <w:lang w:eastAsia="en-GB"/>
        </w:rPr>
      </w:pPr>
      <w:r w:rsidRPr="002B2A67">
        <w:rPr>
          <w:rFonts w:eastAsia="Times New Roman" w:cstheme="minorHAnsi"/>
          <w:lang w:eastAsia="en-GB"/>
        </w:rPr>
        <w:t>Therefore, the field ‘number of position holders’ in a given category should not differentiate betwe</w:t>
      </w:r>
      <w:r>
        <w:rPr>
          <w:rFonts w:eastAsia="Times New Roman" w:cstheme="minorHAnsi"/>
          <w:lang w:eastAsia="en-GB"/>
        </w:rPr>
        <w:t>en ‘risk reducing’ and ‘other’.</w:t>
      </w:r>
    </w:p>
    <w:permEnd w:id="1509550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349262222" w:edGrp="everyone"/>
      <w:r>
        <w:t>TYPE YOUR TEXT HERE</w:t>
      </w:r>
    </w:p>
    <w:permEnd w:id="134926222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273DD6" w:rsidRDefault="00273DD6" w:rsidP="00EC2C93">
      <w:pPr>
        <w:keepNext/>
        <w:rPr>
          <w:rFonts w:eastAsia="Times New Roman" w:cstheme="minorHAnsi"/>
          <w:color w:val="000000"/>
          <w:lang w:eastAsia="en-GB"/>
        </w:rPr>
      </w:pPr>
      <w:permStart w:id="226498447" w:edGrp="everyone"/>
      <w:r w:rsidRPr="002B2A67">
        <w:rPr>
          <w:rFonts w:eastAsia="Times New Roman" w:cstheme="minorHAnsi"/>
          <w:color w:val="000000"/>
          <w:lang w:eastAsia="en-GB"/>
        </w:rPr>
        <w:t>ESMA should take into account that market operators are not in possession of data on open positions of their members. Such information will have to be obtained from the respective Central Counterparties (CCPs). Therefore, market operators can only partly bear responsibility for t</w:t>
      </w:r>
      <w:r>
        <w:rPr>
          <w:rFonts w:eastAsia="Times New Roman" w:cstheme="minorHAnsi"/>
          <w:color w:val="000000"/>
          <w:lang w:eastAsia="en-GB"/>
        </w:rPr>
        <w:t>he adequacy of the information.</w:t>
      </w:r>
    </w:p>
    <w:permEnd w:id="22649844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898058905" w:edGrp="everyone"/>
      <w:r>
        <w:t>TYPE YOUR TEXT HERE</w:t>
      </w:r>
    </w:p>
    <w:permEnd w:id="189805890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450666867" w:edGrp="everyone"/>
      <w:r>
        <w:t>TYPE YOUR TEXT HERE</w:t>
      </w:r>
    </w:p>
    <w:permEnd w:id="145066686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112243769" w:edGrp="everyone"/>
      <w:r>
        <w:t>TYPE YOUR TEXT HERE</w:t>
      </w:r>
    </w:p>
    <w:permEnd w:id="211224376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033985090" w:edGrp="everyone"/>
      <w:r>
        <w:t>TYPE YOUR TEXT HERE</w:t>
      </w:r>
    </w:p>
    <w:permEnd w:id="2033985090"/>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546927380" w:edGrp="everyone"/>
      <w:r>
        <w:t>TYPE YOUR TEXT HERE</w:t>
      </w:r>
    </w:p>
    <w:permEnd w:id="1546927380"/>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755172879" w:edGrp="everyone"/>
      <w:r>
        <w:t>TYPE YOUR TEXT HERE</w:t>
      </w:r>
    </w:p>
    <w:permEnd w:id="75517287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35165225" w:edGrp="everyone"/>
      <w:r>
        <w:t>TYPE YOUR TEXT HERE</w:t>
      </w:r>
    </w:p>
    <w:permEnd w:id="13516522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934159226" w:edGrp="everyone"/>
      <w:r>
        <w:t>TYPE YOUR TEXT HERE</w:t>
      </w:r>
    </w:p>
    <w:permEnd w:id="93415922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670796629" w:edGrp="everyone"/>
      <w:r>
        <w:t>TYPE YOUR TEXT HERE</w:t>
      </w:r>
    </w:p>
    <w:permEnd w:id="167079662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593004089" w:edGrp="everyone"/>
      <w:r>
        <w:t>TYPE YOUR TEXT HERE</w:t>
      </w:r>
    </w:p>
    <w:permEnd w:id="159300408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43231534" w:edGrp="everyone"/>
      <w:r>
        <w:t>TYPE YOUR TEXT HERE</w:t>
      </w:r>
    </w:p>
    <w:permEnd w:id="24323153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228951562" w:edGrp="everyone"/>
      <w:r>
        <w:t>TYPE YOUR TEXT HERE</w:t>
      </w:r>
    </w:p>
    <w:permEnd w:id="1228951562"/>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34308860" w:edGrp="everyone"/>
      <w:r>
        <w:t>TYPE YOUR TEXT HERE</w:t>
      </w:r>
    </w:p>
    <w:permEnd w:id="13430886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026977813" w:edGrp="everyone"/>
      <w:r>
        <w:t>TYPE YOUR TEXT HERE</w:t>
      </w:r>
    </w:p>
    <w:permEnd w:id="202697781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960774499" w:edGrp="everyone"/>
      <w:r>
        <w:t>TYPE YOUR TEXT HERE</w:t>
      </w:r>
    </w:p>
    <w:permEnd w:id="96077449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140799089" w:edGrp="everyone"/>
      <w:r>
        <w:t>TYPE YOUR TEXT HERE</w:t>
      </w:r>
    </w:p>
    <w:permEnd w:id="1140799089"/>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243562430" w:edGrp="everyone"/>
      <w:r>
        <w:t>TYPE YOUR TEXT HERE</w:t>
      </w:r>
    </w:p>
    <w:permEnd w:id="124356243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362119583" w:edGrp="everyone"/>
      <w:r>
        <w:t>TYPE YOUR TEXT HERE</w:t>
      </w:r>
    </w:p>
    <w:permEnd w:id="1362119583"/>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861762268" w:edGrp="everyone"/>
      <w:r>
        <w:t>TYPE YOUR TEXT HERE</w:t>
      </w:r>
    </w:p>
    <w:permEnd w:id="86176226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981692911" w:edGrp="everyone"/>
      <w:r>
        <w:t>TYPE YOUR TEXT HERE</w:t>
      </w:r>
    </w:p>
    <w:permEnd w:id="198169291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502281413" w:edGrp="everyone"/>
      <w:r>
        <w:t>TYPE YOUR TEXT HERE</w:t>
      </w:r>
    </w:p>
    <w:permEnd w:id="50228141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967259934" w:edGrp="everyone"/>
      <w:r>
        <w:t>TYPE YOUR TEXT HERE</w:t>
      </w:r>
    </w:p>
    <w:permEnd w:id="96725993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798846964" w:edGrp="everyone"/>
      <w:r>
        <w:t>TYPE YOUR TEXT HERE</w:t>
      </w:r>
    </w:p>
    <w:permEnd w:id="79884696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562325795" w:edGrp="everyone"/>
      <w:r>
        <w:t>TYPE YOUR TEXT HERE</w:t>
      </w:r>
    </w:p>
    <w:permEnd w:id="56232579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98678627" w:edGrp="everyone"/>
      <w:r>
        <w:t>TYPE YOUR TEXT HERE</w:t>
      </w:r>
    </w:p>
    <w:permEnd w:id="298678627"/>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350097132" w:edGrp="everyone"/>
      <w:r>
        <w:t>TYPE YOUR TEXT HERE</w:t>
      </w:r>
    </w:p>
    <w:permEnd w:id="35009713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45130749" w:edGrp="everyone"/>
      <w:r>
        <w:t>TYPE YOUR TEXT HERE</w:t>
      </w:r>
    </w:p>
    <w:permEnd w:id="124513074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195664899" w:edGrp="everyone"/>
      <w:r>
        <w:t>TYPE YOUR TEXT HERE</w:t>
      </w:r>
    </w:p>
    <w:permEnd w:id="119566489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097233633" w:edGrp="everyone"/>
      <w:r>
        <w:t>TYPE YOUR TEXT HERE</w:t>
      </w:r>
    </w:p>
    <w:permEnd w:id="2097233633"/>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639397842" w:edGrp="everyone"/>
      <w:r>
        <w:t>TYPE YOUR TEXT HERE</w:t>
      </w:r>
    </w:p>
    <w:permEnd w:id="63939784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396577670" w:edGrp="everyone"/>
      <w:r>
        <w:t>TYPE YOUR TEXT HERE</w:t>
      </w:r>
    </w:p>
    <w:permEnd w:id="396577670"/>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725760384" w:edGrp="everyone"/>
      <w:r>
        <w:t>TYPE YOUR TEXT HERE</w:t>
      </w:r>
    </w:p>
    <w:permEnd w:id="172576038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45958409" w:edGrp="everyone"/>
      <w:r>
        <w:t>TYPE YOUR TEXT HERE</w:t>
      </w:r>
    </w:p>
    <w:permEnd w:id="1545958409"/>
    <w:p w:rsidR="00577C33" w:rsidRDefault="00577C33" w:rsidP="00EC2C93">
      <w:pPr>
        <w:keepNext/>
      </w:pPr>
      <w:r>
        <w:t>&lt;ESMA_QUESTION_CP_MIFID_245&gt;</w:t>
      </w:r>
    </w:p>
    <w:p w:rsidR="00577C33" w:rsidRDefault="00577C33" w:rsidP="00EC2C93">
      <w:pPr>
        <w:keepNext/>
      </w:pPr>
    </w:p>
    <w:sectPr w:rsidR="00577C33" w:rsidSect="00192A12">
      <w:headerReference w:type="default" r:id="rId13"/>
      <w:footerReference w:type="default" r:id="rId14"/>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EB" w:rsidRDefault="00724BEB" w:rsidP="007E7997">
      <w:pPr>
        <w:spacing w:line="240" w:lineRule="auto"/>
      </w:pPr>
      <w:r>
        <w:separator/>
      </w:r>
    </w:p>
  </w:endnote>
  <w:endnote w:type="continuationSeparator" w:id="0">
    <w:p w:rsidR="00724BEB" w:rsidRDefault="00724BEB"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93" w:rsidRDefault="00304893">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304893" w:rsidRDefault="00304893" w:rsidP="00375BA2">
        <w:pPr>
          <w:pStyle w:val="Fuzeile"/>
          <w:jc w:val="right"/>
        </w:pPr>
        <w:r>
          <w:fldChar w:fldCharType="begin"/>
        </w:r>
        <w:r>
          <w:instrText xml:space="preserve"> PAGE   \* MERGEFORMAT </w:instrText>
        </w:r>
        <w:r>
          <w:fldChar w:fldCharType="separate"/>
        </w:r>
        <w:r w:rsidR="007569CD">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EB" w:rsidRDefault="00724BEB" w:rsidP="007E7997">
      <w:pPr>
        <w:spacing w:line="240" w:lineRule="auto"/>
      </w:pPr>
      <w:r>
        <w:separator/>
      </w:r>
    </w:p>
  </w:footnote>
  <w:footnote w:type="continuationSeparator" w:id="0">
    <w:p w:rsidR="00724BEB" w:rsidRDefault="00724BEB" w:rsidP="007E7997">
      <w:pPr>
        <w:spacing w:line="240" w:lineRule="auto"/>
      </w:pPr>
      <w:r>
        <w:continuationSeparator/>
      </w:r>
    </w:p>
  </w:footnote>
  <w:footnote w:id="1">
    <w:p w:rsidR="00304893" w:rsidRPr="00AA7A30" w:rsidRDefault="00304893"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93" w:rsidRDefault="00304893">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93" w:rsidRDefault="00304893" w:rsidP="00B50534">
    <w:pPr>
      <w:pStyle w:val="Kopfzeile"/>
      <w:jc w:val="right"/>
      <w:rPr>
        <w:b/>
        <w:color w:val="FF0000"/>
      </w:rPr>
    </w:pPr>
  </w:p>
  <w:p w:rsidR="00304893" w:rsidRDefault="0030489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04893" w:rsidRPr="00B50534" w:rsidRDefault="00304893"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95A781B"/>
    <w:multiLevelType w:val="hybridMultilevel"/>
    <w:tmpl w:val="69009306"/>
    <w:lvl w:ilvl="0" w:tplc="5B261A62">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4066531"/>
    <w:multiLevelType w:val="hybridMultilevel"/>
    <w:tmpl w:val="4B3A7C90"/>
    <w:lvl w:ilvl="0" w:tplc="D996F018">
      <w:start w:val="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AE4269"/>
    <w:multiLevelType w:val="hybridMultilevel"/>
    <w:tmpl w:val="FD2E8D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8BD7CA3"/>
    <w:multiLevelType w:val="hybridMultilevel"/>
    <w:tmpl w:val="68284CE8"/>
    <w:lvl w:ilvl="0" w:tplc="BE9AB36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AE48BC"/>
    <w:multiLevelType w:val="hybridMultilevel"/>
    <w:tmpl w:val="CA7A20AC"/>
    <w:lvl w:ilvl="0" w:tplc="9334C8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D95569A"/>
    <w:multiLevelType w:val="hybridMultilevel"/>
    <w:tmpl w:val="558C5E6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5B633A9"/>
    <w:multiLevelType w:val="hybridMultilevel"/>
    <w:tmpl w:val="30324A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5">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571CB4"/>
    <w:multiLevelType w:val="hybridMultilevel"/>
    <w:tmpl w:val="C8946F7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2"/>
  </w:num>
  <w:num w:numId="4">
    <w:abstractNumId w:val="9"/>
  </w:num>
  <w:num w:numId="5">
    <w:abstractNumId w:val="19"/>
  </w:num>
  <w:num w:numId="6">
    <w:abstractNumId w:val="14"/>
  </w:num>
  <w:num w:numId="7">
    <w:abstractNumId w:val="0"/>
  </w:num>
  <w:num w:numId="8">
    <w:abstractNumId w:val="10"/>
  </w:num>
  <w:num w:numId="9">
    <w:abstractNumId w:val="7"/>
  </w:num>
  <w:num w:numId="10">
    <w:abstractNumId w:val="4"/>
  </w:num>
  <w:num w:numId="11">
    <w:abstractNumId w:val="21"/>
  </w:num>
  <w:num w:numId="12">
    <w:abstractNumId w:val="11"/>
  </w:num>
  <w:num w:numId="13">
    <w:abstractNumId w:val="23"/>
  </w:num>
  <w:num w:numId="14">
    <w:abstractNumId w:val="15"/>
  </w:num>
  <w:num w:numId="15">
    <w:abstractNumId w:val="17"/>
  </w:num>
  <w:num w:numId="16">
    <w:abstractNumId w:val="2"/>
  </w:num>
  <w:num w:numId="17">
    <w:abstractNumId w:val="26"/>
  </w:num>
  <w:num w:numId="18">
    <w:abstractNumId w:val="6"/>
  </w:num>
  <w:num w:numId="19">
    <w:abstractNumId w:val="24"/>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27"/>
  </w:num>
  <w:num w:numId="33">
    <w:abstractNumId w:val="1"/>
  </w:num>
  <w:num w:numId="34">
    <w:abstractNumId w:val="5"/>
  </w:num>
  <w:num w:numId="35">
    <w:abstractNumId w:val="18"/>
  </w:num>
  <w:num w:numId="36">
    <w:abstractNumId w:val="12"/>
  </w:num>
  <w:num w:numId="3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94CE6"/>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73DD6"/>
    <w:rsid w:val="00287C8F"/>
    <w:rsid w:val="00296EA1"/>
    <w:rsid w:val="002E1C11"/>
    <w:rsid w:val="00304893"/>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45678"/>
    <w:rsid w:val="00662882"/>
    <w:rsid w:val="00665A7C"/>
    <w:rsid w:val="00671363"/>
    <w:rsid w:val="006A7A10"/>
    <w:rsid w:val="006B0DA4"/>
    <w:rsid w:val="006B1B6B"/>
    <w:rsid w:val="006D48A6"/>
    <w:rsid w:val="006F53E8"/>
    <w:rsid w:val="00706072"/>
    <w:rsid w:val="00724BEB"/>
    <w:rsid w:val="00754B57"/>
    <w:rsid w:val="007569CD"/>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C09D4"/>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645678"/>
    <w:pPr>
      <w:autoSpaceDE w:val="0"/>
      <w:autoSpaceDN w:val="0"/>
      <w:adjustRightInd w:val="0"/>
      <w:spacing w:after="0" w:line="240" w:lineRule="auto"/>
    </w:pPr>
    <w:rPr>
      <w:rFonts w:ascii="Arial" w:eastAsiaTheme="minorHAnsi" w:hAnsi="Arial" w:cs="Arial"/>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645678"/>
    <w:pPr>
      <w:autoSpaceDE w:val="0"/>
      <w:autoSpaceDN w:val="0"/>
      <w:adjustRightInd w:val="0"/>
      <w:spacing w:after="0" w:line="240" w:lineRule="auto"/>
    </w:pPr>
    <w:rPr>
      <w:rFonts w:ascii="Arial" w:eastAsiaTheme="minorHAnsi" w:hAnsi="Arial" w:cs="Arial"/>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B82B-BD77-48A4-8729-1C9C6470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57</Pages>
  <Words>15533</Words>
  <Characters>97864</Characters>
  <Application>Microsoft Office Word</Application>
  <DocSecurity>8</DocSecurity>
  <Lines>815</Lines>
  <Paragraphs>226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Energy Exchange AG</Company>
  <LinksUpToDate>false</LinksUpToDate>
  <CharactersWithSpaces>113171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Christian Baer</cp:lastModifiedBy>
  <cp:revision>3</cp:revision>
  <dcterms:created xsi:type="dcterms:W3CDTF">2015-03-02T13:44:00Z</dcterms:created>
  <dcterms:modified xsi:type="dcterms:W3CDTF">2015-03-02T13:51:00Z</dcterms:modified>
</cp:coreProperties>
</file>