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F630AA"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37150476"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2141936959" w:edGrp="everyone" w:displacedByCustomXml="prev"/>
            <w:tc>
              <w:tcPr>
                <w:tcW w:w="5595" w:type="dxa"/>
                <w:shd w:val="clear" w:color="auto" w:fill="auto"/>
              </w:tcPr>
              <w:p w:rsidR="000632C2" w:rsidRPr="00AB6D88" w:rsidRDefault="001856DF" w:rsidP="001856DF">
                <w:pPr>
                  <w:rPr>
                    <w:rStyle w:val="PlaceholderText"/>
                    <w:rFonts w:ascii="Arial" w:hAnsi="Arial" w:cs="Arial"/>
                  </w:rPr>
                </w:pPr>
                <w:r>
                  <w:rPr>
                    <w:rStyle w:val="PlaceholderText"/>
                    <w:rFonts w:ascii="Arial" w:hAnsi="Arial" w:cs="Arial"/>
                  </w:rPr>
                  <w:t>E</w:t>
                </w:r>
                <w:r w:rsidR="005474D2">
                  <w:rPr>
                    <w:rStyle w:val="PlaceholderText"/>
                    <w:rFonts w:ascii="Arial" w:hAnsi="Arial" w:cs="Arial"/>
                  </w:rPr>
                  <w:t>UROGAS</w:t>
                </w:r>
              </w:p>
            </w:tc>
            <w:permEnd w:id="2141936959"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99054999" w:edGrp="everyone" w:colFirst="1" w:colLast="1"/>
            <w:permEnd w:id="737150476"/>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10130534" w:edGrp="everyone" w:colFirst="1" w:colLast="1"/>
            <w:permEnd w:id="1099054999"/>
            <w:r w:rsidRPr="00AB6D88">
              <w:rPr>
                <w:rFonts w:ascii="Arial" w:hAnsi="Arial" w:cs="Arial"/>
              </w:rPr>
              <w:t>Activity:</w:t>
            </w:r>
          </w:p>
        </w:tc>
        <w:tc>
          <w:tcPr>
            <w:tcW w:w="5595" w:type="dxa"/>
            <w:shd w:val="clear" w:color="auto" w:fill="auto"/>
          </w:tcPr>
          <w:p w:rsidR="000632C2" w:rsidRPr="00AB6D88" w:rsidRDefault="00F630AA"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38111142" w:edGrp="everyone"/>
                <w:r w:rsidR="001856DF">
                  <w:rPr>
                    <w:rFonts w:ascii="Arial" w:hAnsi="Arial" w:cs="Arial"/>
                  </w:rPr>
                  <w:t>Non-financial counterparty</w:t>
                </w:r>
                <w:permEnd w:id="138111142"/>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03203112" w:edGrp="everyone" w:colFirst="1" w:colLast="1"/>
            <w:permEnd w:id="1010130534"/>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1856DF"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31430241" w:edGrp="everyone" w:colFirst="1" w:colLast="1"/>
            <w:permEnd w:id="703203112"/>
            <w:r w:rsidRPr="00AB6D88">
              <w:rPr>
                <w:rFonts w:ascii="Arial" w:hAnsi="Arial" w:cs="Arial"/>
              </w:rPr>
              <w:t>Country/Region</w:t>
            </w:r>
          </w:p>
        </w:tc>
        <w:permStart w:id="881405505"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462365835" w:edGrp="everyone" w:displacedByCustomXml="prev"/>
            <w:tc>
              <w:tcPr>
                <w:tcW w:w="5595" w:type="dxa"/>
                <w:shd w:val="clear" w:color="auto" w:fill="auto"/>
              </w:tcPr>
              <w:p w:rsidR="000632C2" w:rsidRPr="00AB6D88" w:rsidRDefault="001856DF" w:rsidP="009E5107">
                <w:pPr>
                  <w:rPr>
                    <w:rFonts w:ascii="Arial" w:hAnsi="Arial" w:cs="Arial"/>
                  </w:rPr>
                </w:pPr>
                <w:r>
                  <w:rPr>
                    <w:rFonts w:ascii="Arial" w:hAnsi="Arial" w:cs="Arial"/>
                  </w:rPr>
                  <w:t>Europe</w:t>
                </w:r>
              </w:p>
            </w:tc>
            <w:permEnd w:id="462365835" w:displacedByCustomXml="next"/>
          </w:sdtContent>
        </w:sdt>
        <w:permEnd w:id="881405505" w:displacedByCustomXml="prev"/>
      </w:tr>
      <w:permEnd w:id="2031430241"/>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67800539" w:edGrp="everyone"/>
      <w:r>
        <w:t>TYPE YOUR TEXT HERE</w:t>
      </w:r>
    </w:p>
    <w:permEnd w:id="16780053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513432726" w:edGrp="everyone"/>
      <w:r>
        <w:t>TYPE YOUR TEXT HERE</w:t>
      </w:r>
    </w:p>
    <w:permEnd w:id="513432726"/>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042620989" w:edGrp="everyone"/>
      <w:r>
        <w:t>TYPE YOUR TEXT HERE</w:t>
      </w:r>
    </w:p>
    <w:permEnd w:id="1042620989"/>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709182112" w:edGrp="everyone"/>
      <w:r>
        <w:t>TYPE YOUR TEXT HERE</w:t>
      </w:r>
    </w:p>
    <w:permEnd w:id="7091821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656229281" w:edGrp="everyone"/>
      <w:r>
        <w:t>TYPE YOUR TEXT HERE</w:t>
      </w:r>
    </w:p>
    <w:permEnd w:id="656229281"/>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930511697" w:edGrp="everyone"/>
      <w:r>
        <w:t>TYPE YOUR TEXT HERE</w:t>
      </w:r>
    </w:p>
    <w:permEnd w:id="1930511697"/>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62534155" w:edGrp="everyone"/>
      <w:r>
        <w:t>TYPE YOUR TEXT HERE</w:t>
      </w:r>
    </w:p>
    <w:permEnd w:id="6253415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067653923" w:edGrp="everyone"/>
      <w:r>
        <w:t>TYPE YOUR TEXT HERE</w:t>
      </w:r>
    </w:p>
    <w:permEnd w:id="1067653923"/>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129399578" w:edGrp="everyone"/>
      <w:r>
        <w:t>TYPE YOUR TEXT HERE</w:t>
      </w:r>
    </w:p>
    <w:permEnd w:id="2129399578"/>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368880671" w:edGrp="everyone"/>
      <w:r>
        <w:t>TYPE YOUR TEXT HERE</w:t>
      </w:r>
    </w:p>
    <w:permEnd w:id="136888067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630282273" w:edGrp="everyone"/>
      <w:r>
        <w:t>TYPE YOUR TEXT HERE</w:t>
      </w:r>
    </w:p>
    <w:permEnd w:id="630282273"/>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656039279" w:edGrp="everyone"/>
      <w:r>
        <w:t>TYPE YOUR TEXT HERE</w:t>
      </w:r>
    </w:p>
    <w:permEnd w:id="656039279"/>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997686160" w:edGrp="everyone"/>
      <w:r>
        <w:t>TYPE YOUR TEXT HERE</w:t>
      </w:r>
    </w:p>
    <w:permEnd w:id="1997686160"/>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965240882" w:edGrp="everyone"/>
      <w:r>
        <w:t>TYPE YOUR TEXT HERE</w:t>
      </w:r>
    </w:p>
    <w:permEnd w:id="196524088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51593394" w:edGrp="everyone"/>
      <w:r>
        <w:t>TYPE YOUR TEXT HERE</w:t>
      </w:r>
    </w:p>
    <w:permEnd w:id="251593394"/>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703623653" w:edGrp="everyone"/>
      <w:r>
        <w:t>TYPE YOUR TEXT HERE</w:t>
      </w:r>
    </w:p>
    <w:permEnd w:id="703623653"/>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258229422" w:edGrp="everyone"/>
      <w:r>
        <w:t>TYPE YOUR TEXT HERE</w:t>
      </w:r>
    </w:p>
    <w:permEnd w:id="1258229422"/>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346442536" w:edGrp="everyone"/>
      <w:r>
        <w:t>TYPE YOUR TEXT HERE</w:t>
      </w:r>
    </w:p>
    <w:permEnd w:id="34644253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781621025" w:edGrp="everyone"/>
      <w:r>
        <w:t>TYPE YOUR TEXT HERE</w:t>
      </w:r>
    </w:p>
    <w:permEnd w:id="1781621025"/>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602762360" w:edGrp="everyone"/>
      <w:r>
        <w:t>TYPE YOUR TEXT HERE</w:t>
      </w:r>
    </w:p>
    <w:permEnd w:id="160276236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799438152" w:edGrp="everyone"/>
      <w:r>
        <w:t>TYPE YOUR TEXT HERE</w:t>
      </w:r>
    </w:p>
    <w:permEnd w:id="179943815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63012087" w:edGrp="everyone"/>
      <w:r>
        <w:t>TYPE YOUR TEXT HERE</w:t>
      </w:r>
    </w:p>
    <w:permEnd w:id="163012087"/>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342070241" w:edGrp="everyone"/>
      <w:r>
        <w:t>TYPE YOUR TEXT HERE</w:t>
      </w:r>
    </w:p>
    <w:permEnd w:id="134207024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703347315" w:edGrp="everyone"/>
      <w:r>
        <w:t>TYPE YOUR TEXT HERE</w:t>
      </w:r>
    </w:p>
    <w:permEnd w:id="1703347315"/>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507460048" w:edGrp="everyone"/>
      <w:r>
        <w:t>TYPE YOUR TEXT HERE</w:t>
      </w:r>
    </w:p>
    <w:permEnd w:id="507460048"/>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687362657" w:edGrp="everyone"/>
      <w:r>
        <w:t>TYPE YOUR TEXT HERE</w:t>
      </w:r>
    </w:p>
    <w:permEnd w:id="1687362657"/>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263409265" w:edGrp="everyone"/>
      <w:r>
        <w:t>TYPE YOUR TEXT HERE</w:t>
      </w:r>
    </w:p>
    <w:permEnd w:id="126340926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291059705" w:edGrp="everyone"/>
      <w:r>
        <w:t>TYPE YOUR TEXT HERE</w:t>
      </w:r>
    </w:p>
    <w:permEnd w:id="29105970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2018853538" w:edGrp="everyone"/>
      <w:r>
        <w:t>TYPE YOUR TEXT HERE</w:t>
      </w:r>
    </w:p>
    <w:permEnd w:id="2018853538"/>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67127142" w:edGrp="everyone"/>
      <w:r>
        <w:t>TYPE YOUR TEXT HERE</w:t>
      </w:r>
    </w:p>
    <w:permEnd w:id="16712714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629427462" w:edGrp="everyone"/>
      <w:r>
        <w:t>TYPE YOUR TEXT HERE</w:t>
      </w:r>
    </w:p>
    <w:permEnd w:id="629427462"/>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059223558" w:edGrp="everyone"/>
      <w:r>
        <w:t>TYPE YOUR TEXT HERE</w:t>
      </w:r>
    </w:p>
    <w:permEnd w:id="1059223558"/>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787101733" w:edGrp="everyone"/>
      <w:r>
        <w:t>TYPE YOUR TEXT HERE</w:t>
      </w:r>
    </w:p>
    <w:permEnd w:id="787101733"/>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2059866986" w:edGrp="everyone"/>
      <w:r>
        <w:t>TYPE YOUR TEXT HERE</w:t>
      </w:r>
    </w:p>
    <w:permEnd w:id="2059866986"/>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231306628" w:edGrp="everyone"/>
      <w:r>
        <w:t>TYPE YOUR TEXT HERE</w:t>
      </w:r>
    </w:p>
    <w:permEnd w:id="231306628"/>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795913745" w:edGrp="everyone"/>
      <w:r>
        <w:t>TYPE YOUR TEXT HERE</w:t>
      </w:r>
    </w:p>
    <w:permEnd w:id="179591374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758485802" w:edGrp="everyone"/>
      <w:r>
        <w:t>TYPE YOUR TEXT HERE</w:t>
      </w:r>
    </w:p>
    <w:permEnd w:id="1758485802"/>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030502638" w:edGrp="everyone"/>
      <w:r>
        <w:t>TYPE YOUR TEXT HERE</w:t>
      </w:r>
    </w:p>
    <w:permEnd w:id="1030502638"/>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338444315" w:edGrp="everyone"/>
      <w:r>
        <w:t>TYPE YOUR TEXT HERE</w:t>
      </w:r>
    </w:p>
    <w:permEnd w:id="1338444315"/>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841447762" w:edGrp="everyone"/>
      <w:r>
        <w:t>TYPE YOUR TEXT HERE</w:t>
      </w:r>
    </w:p>
    <w:permEnd w:id="1841447762"/>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984855391" w:edGrp="everyone"/>
      <w:r>
        <w:t>TYPE YOUR TEXT HERE</w:t>
      </w:r>
    </w:p>
    <w:permEnd w:id="1984855391"/>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958045335" w:edGrp="everyone"/>
      <w:r>
        <w:t>TYPE YOUR TEXT HERE</w:t>
      </w:r>
    </w:p>
    <w:permEnd w:id="1958045335"/>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686184851" w:edGrp="everyone"/>
      <w:r>
        <w:t>TYPE YOUR TEXT HERE</w:t>
      </w:r>
    </w:p>
    <w:permEnd w:id="16861848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950707165" w:edGrp="everyone"/>
      <w:r>
        <w:t>TYPE YOUR TEXT HERE</w:t>
      </w:r>
    </w:p>
    <w:permEnd w:id="195070716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116358134" w:edGrp="everyone"/>
      <w:r>
        <w:t>TYPE YOUR TEXT HERE</w:t>
      </w:r>
    </w:p>
    <w:permEnd w:id="111635813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232434468" w:edGrp="everyone"/>
      <w:r>
        <w:t>TYPE YOUR TEXT HERE</w:t>
      </w:r>
    </w:p>
    <w:permEnd w:id="1232434468"/>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89017889" w:edGrp="everyone"/>
      <w:r>
        <w:t>TYPE YOUR TEXT HERE</w:t>
      </w:r>
    </w:p>
    <w:permEnd w:id="89017889"/>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2061973527" w:edGrp="everyone"/>
      <w:r>
        <w:t>TYPE YOUR TEXT HERE</w:t>
      </w:r>
    </w:p>
    <w:permEnd w:id="206197352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854608321" w:edGrp="everyone"/>
      <w:r>
        <w:t>TYPE YOUR TEXT HERE</w:t>
      </w:r>
    </w:p>
    <w:permEnd w:id="85460832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536118104" w:edGrp="everyone"/>
      <w:r>
        <w:t>TYPE YOUR TEXT HERE</w:t>
      </w:r>
    </w:p>
    <w:permEnd w:id="1536118104"/>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252526616" w:edGrp="everyone"/>
      <w:r>
        <w:t>TYPE YOUR TEXT HERE</w:t>
      </w:r>
    </w:p>
    <w:permEnd w:id="252526616"/>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2033233" w:edGrp="everyone"/>
      <w:r>
        <w:t>TYPE YOUR TEXT HERE</w:t>
      </w:r>
    </w:p>
    <w:permEnd w:id="2033233"/>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750030817" w:edGrp="everyone"/>
      <w:r>
        <w:t>TYPE YOUR TEXT HERE</w:t>
      </w:r>
    </w:p>
    <w:permEnd w:id="1750030817"/>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155227142" w:edGrp="everyone"/>
      <w:r>
        <w:t>TYPE YOUR TEXT HERE</w:t>
      </w:r>
    </w:p>
    <w:permEnd w:id="115522714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2070631155" w:edGrp="everyone"/>
      <w:r>
        <w:t>TYPE YOUR TEXT HERE</w:t>
      </w:r>
    </w:p>
    <w:permEnd w:id="2070631155"/>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044086069" w:edGrp="everyone"/>
      <w:r>
        <w:t>TYPE YOUR TEXT HERE</w:t>
      </w:r>
    </w:p>
    <w:permEnd w:id="104408606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2676580" w:edGrp="everyone"/>
      <w:r>
        <w:t>TYPE YOUR TEXT HERE</w:t>
      </w:r>
    </w:p>
    <w:permEnd w:id="652676580"/>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279666143" w:edGrp="everyone"/>
      <w:r>
        <w:t>TYPE YOUR TEXT HERE</w:t>
      </w:r>
    </w:p>
    <w:permEnd w:id="1279666143"/>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06852629" w:edGrp="everyone"/>
      <w:r>
        <w:t>TYPE YOUR TEXT HERE</w:t>
      </w:r>
    </w:p>
    <w:permEnd w:id="106852629"/>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202914418" w:edGrp="everyone"/>
      <w:r>
        <w:t>TYPE YOUR TEXT HERE</w:t>
      </w:r>
    </w:p>
    <w:permEnd w:id="120291441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1234216" w:edGrp="everyone"/>
      <w:r>
        <w:t>TYPE YOUR TEXT HERE</w:t>
      </w:r>
    </w:p>
    <w:permEnd w:id="691234216"/>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709194523" w:edGrp="everyone"/>
      <w:r>
        <w:t>TYPE YOUR TEXT HERE</w:t>
      </w:r>
    </w:p>
    <w:permEnd w:id="1709194523"/>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533006216" w:edGrp="everyone"/>
      <w:r>
        <w:t>TYPE YOUR TEXT HERE</w:t>
      </w:r>
    </w:p>
    <w:permEnd w:id="533006216"/>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989724923" w:edGrp="everyone"/>
      <w:r>
        <w:t>TYPE YOUR TEXT HERE</w:t>
      </w:r>
    </w:p>
    <w:permEnd w:id="989724923"/>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265194875" w:edGrp="everyone"/>
      <w:r>
        <w:t>TYPE YOUR TEXT HERE</w:t>
      </w:r>
    </w:p>
    <w:permEnd w:id="1265194875"/>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407203540" w:edGrp="everyone"/>
      <w:r>
        <w:t>TYPE YOUR TEXT HERE</w:t>
      </w:r>
    </w:p>
    <w:permEnd w:id="1407203540"/>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005419562" w:edGrp="everyone"/>
      <w:r>
        <w:t>TYPE YOUR TEXT HERE</w:t>
      </w:r>
    </w:p>
    <w:permEnd w:id="1005419562"/>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064187211" w:edGrp="everyone"/>
      <w:r>
        <w:t>TYPE YOUR TEXT HERE</w:t>
      </w:r>
    </w:p>
    <w:permEnd w:id="1064187211"/>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650340238" w:edGrp="everyone"/>
      <w:r>
        <w:t>TYPE YOUR TEXT HERE</w:t>
      </w:r>
    </w:p>
    <w:permEnd w:id="1650340238"/>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607429589" w:edGrp="everyone"/>
      <w:r>
        <w:t>TYPE YOUR TEXT HERE</w:t>
      </w:r>
    </w:p>
    <w:permEnd w:id="160742958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47928525" w:edGrp="everyone"/>
      <w:r>
        <w:t>TYPE YOUR TEXT HERE</w:t>
      </w:r>
    </w:p>
    <w:permEnd w:id="47928525"/>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711079536" w:edGrp="everyone"/>
      <w:r>
        <w:t>TYPE YOUR TEXT HERE</w:t>
      </w:r>
    </w:p>
    <w:permEnd w:id="711079536"/>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4487010" w:edGrp="everyone"/>
      <w:r>
        <w:t>TYPE YOUR TEXT HERE</w:t>
      </w:r>
    </w:p>
    <w:permEnd w:id="8448701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020741934" w:edGrp="everyone"/>
      <w:r>
        <w:t>TYPE YOUR TEXT HERE</w:t>
      </w:r>
    </w:p>
    <w:permEnd w:id="1020741934"/>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97595723" w:edGrp="everyone"/>
      <w:r>
        <w:t>TYPE YOUR TEXT HERE</w:t>
      </w:r>
    </w:p>
    <w:permEnd w:id="89759572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746020613" w:edGrp="everyone"/>
      <w:r>
        <w:t>TYPE YOUR TEXT HERE</w:t>
      </w:r>
    </w:p>
    <w:permEnd w:id="1746020613"/>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2053000163" w:edGrp="everyone"/>
      <w:r>
        <w:t>TYPE YOUR TEXT HERE</w:t>
      </w:r>
    </w:p>
    <w:permEnd w:id="2053000163"/>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925787470" w:edGrp="everyone"/>
      <w:r>
        <w:t>TYPE YOUR TEXT HERE</w:t>
      </w:r>
    </w:p>
    <w:permEnd w:id="1925787470"/>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024219166" w:edGrp="everyone"/>
      <w:r>
        <w:t>TYPE YOUR TEXT HERE</w:t>
      </w:r>
    </w:p>
    <w:permEnd w:id="1024219166"/>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58612493" w:edGrp="everyone"/>
      <w:r>
        <w:t>TYPE YOUR TEXT HERE</w:t>
      </w:r>
    </w:p>
    <w:permEnd w:id="158612493"/>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2108317655" w:edGrp="everyone"/>
      <w:r>
        <w:t>TYPE YOUR TEXT HERE</w:t>
      </w:r>
    </w:p>
    <w:permEnd w:id="2108317655"/>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616917436" w:edGrp="everyone"/>
      <w:r>
        <w:t>TYPE YOUR TEXT HERE</w:t>
      </w:r>
    </w:p>
    <w:permEnd w:id="161691743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99622313" w:edGrp="everyone"/>
      <w:r>
        <w:t>TYPE YOUR TEXT HERE</w:t>
      </w:r>
    </w:p>
    <w:permEnd w:id="999622313"/>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832337768" w:edGrp="everyone"/>
      <w:r>
        <w:t>TYPE YOUR TEXT HERE</w:t>
      </w:r>
    </w:p>
    <w:permEnd w:id="832337768"/>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534814750" w:edGrp="everyone"/>
      <w:r>
        <w:t>TYPE YOUR TEXT HERE</w:t>
      </w:r>
    </w:p>
    <w:permEnd w:id="1534814750"/>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582707807" w:edGrp="everyone"/>
      <w:r>
        <w:t>TYPE YOUR TEXT HERE</w:t>
      </w:r>
    </w:p>
    <w:permEnd w:id="158270780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450512410" w:edGrp="everyone"/>
      <w:r>
        <w:t>TYPE YOUR TEXT HERE</w:t>
      </w:r>
    </w:p>
    <w:permEnd w:id="450512410"/>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2122212224" w:edGrp="everyone"/>
      <w:r>
        <w:t>TYPE YOUR TEXT HERE</w:t>
      </w:r>
    </w:p>
    <w:permEnd w:id="2122212224"/>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714735960" w:edGrp="everyone"/>
      <w:r>
        <w:t>TYPE YOUR TEXT HERE</w:t>
      </w:r>
    </w:p>
    <w:permEnd w:id="714735960"/>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628504562" w:edGrp="everyone"/>
      <w:r>
        <w:t>TYPE YOUR TEXT HERE</w:t>
      </w:r>
    </w:p>
    <w:permEnd w:id="162850456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717889158" w:edGrp="everyone"/>
      <w:r>
        <w:t>TYPE YOUR TEXT HERE</w:t>
      </w:r>
    </w:p>
    <w:permEnd w:id="717889158"/>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936536385" w:edGrp="everyone"/>
      <w:r>
        <w:t>TYPE YOUR TEXT HERE</w:t>
      </w:r>
    </w:p>
    <w:permEnd w:id="193653638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275937625" w:edGrp="everyone"/>
      <w:r>
        <w:t>TYPE YOUR TEXT HERE</w:t>
      </w:r>
    </w:p>
    <w:permEnd w:id="275937625"/>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8137189" w:edGrp="everyone"/>
      <w:r>
        <w:t>TYPE YOUR TEXT HERE</w:t>
      </w:r>
    </w:p>
    <w:permEnd w:id="8137189"/>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588067637" w:edGrp="everyone"/>
      <w:r>
        <w:t>TYPE YOUR TEXT HERE</w:t>
      </w:r>
    </w:p>
    <w:permEnd w:id="588067637"/>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214739758" w:edGrp="everyone"/>
      <w:r>
        <w:t>TYPE YOUR TEXT HERE</w:t>
      </w:r>
    </w:p>
    <w:permEnd w:id="1214739758"/>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446010694" w:edGrp="everyone"/>
      <w:r>
        <w:t>TYPE YOUR TEXT HERE</w:t>
      </w:r>
    </w:p>
    <w:permEnd w:id="144601069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68626784" w:edGrp="everyone"/>
      <w:r>
        <w:t>TYPE YOUR TEXT HERE</w:t>
      </w:r>
    </w:p>
    <w:permEnd w:id="68626784"/>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803869117" w:edGrp="everyone"/>
      <w:r>
        <w:t>TYPE YOUR TEXT HERE</w:t>
      </w:r>
    </w:p>
    <w:permEnd w:id="80386911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32267439" w:edGrp="everyone"/>
      <w:r>
        <w:t>TYPE YOUR TEXT HERE</w:t>
      </w:r>
    </w:p>
    <w:permEnd w:id="32267439"/>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30454078" w:edGrp="everyone"/>
      <w:r>
        <w:t>TYPE YOUR TEXT HERE</w:t>
      </w:r>
    </w:p>
    <w:permEnd w:id="1030454078"/>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78412591" w:edGrp="everyone"/>
      <w:r>
        <w:t>TYPE YOUR TEXT HERE</w:t>
      </w:r>
    </w:p>
    <w:permEnd w:id="7841259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415527610" w:edGrp="everyone"/>
      <w:r>
        <w:t>TYPE YOUR TEXT HERE</w:t>
      </w:r>
    </w:p>
    <w:permEnd w:id="415527610"/>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82408427" w:edGrp="everyone"/>
      <w:r>
        <w:t>TYPE YOUR TEXT HERE</w:t>
      </w:r>
    </w:p>
    <w:permEnd w:id="182408427"/>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731080817" w:edGrp="everyone"/>
      <w:r>
        <w:t>TYPE YOUR TEXT HERE</w:t>
      </w:r>
    </w:p>
    <w:permEnd w:id="1731080817"/>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209870323" w:edGrp="everyone"/>
      <w:r>
        <w:t>TYPE YOUR TEXT HERE</w:t>
      </w:r>
    </w:p>
    <w:permEnd w:id="1209870323"/>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515083550" w:edGrp="everyone"/>
      <w:r>
        <w:t>TYPE YOUR TEXT HERE</w:t>
      </w:r>
    </w:p>
    <w:permEnd w:id="1515083550"/>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524892017" w:edGrp="everyone"/>
      <w:r>
        <w:t>TYPE YOUR TEXT HERE</w:t>
      </w:r>
    </w:p>
    <w:permEnd w:id="524892017"/>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76847950" w:edGrp="everyone"/>
      <w:r>
        <w:t>TYPE YOUR TEXT HERE</w:t>
      </w:r>
    </w:p>
    <w:permEnd w:id="17684795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827261572" w:edGrp="everyone"/>
      <w:r>
        <w:t>TYPE YOUR TEXT HERE</w:t>
      </w:r>
    </w:p>
    <w:permEnd w:id="827261572"/>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52982204" w:edGrp="everyone"/>
      <w:r>
        <w:t>TYPE YOUR TEXT HERE</w:t>
      </w:r>
    </w:p>
    <w:permEnd w:id="52982204"/>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343034301" w:edGrp="everyone"/>
      <w:r>
        <w:t>TYPE YOUR TEXT HERE</w:t>
      </w:r>
    </w:p>
    <w:permEnd w:id="343034301"/>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45739921" w:edGrp="everyone"/>
      <w:r>
        <w:t>TYPE YOUR TEXT HERE</w:t>
      </w:r>
    </w:p>
    <w:permEnd w:id="12457399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549618650" w:edGrp="everyone"/>
      <w:r>
        <w:t>TYPE YOUR TEXT HERE</w:t>
      </w:r>
    </w:p>
    <w:permEnd w:id="154961865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42809490" w:edGrp="everyone"/>
      <w:r>
        <w:t>TYPE YOUR TEXT HERE</w:t>
      </w:r>
    </w:p>
    <w:permEnd w:id="42809490"/>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853886981" w:edGrp="everyone"/>
      <w:r>
        <w:t>TYPE YOUR TEXT HERE</w:t>
      </w:r>
    </w:p>
    <w:permEnd w:id="185388698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647081108" w:edGrp="everyone"/>
      <w:r>
        <w:t>TYPE YOUR TEXT HERE</w:t>
      </w:r>
    </w:p>
    <w:permEnd w:id="1647081108"/>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999652321" w:edGrp="everyone"/>
      <w:r>
        <w:t>TYPE YOUR TEXT HERE</w:t>
      </w:r>
    </w:p>
    <w:permEnd w:id="999652321"/>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26378191" w:edGrp="everyone"/>
      <w:r>
        <w:t>TYPE YOUR TEXT HERE</w:t>
      </w:r>
    </w:p>
    <w:permEnd w:id="2637819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317167449" w:edGrp="everyone"/>
      <w:r>
        <w:t>TYPE YOUR TEXT HERE</w:t>
      </w:r>
    </w:p>
    <w:permEnd w:id="131716744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622614653" w:edGrp="everyone"/>
      <w:r>
        <w:t>TYPE YOUR TEXT HERE</w:t>
      </w:r>
    </w:p>
    <w:permEnd w:id="1622614653"/>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793127138" w:edGrp="everyone"/>
      <w:r>
        <w:t>TYPE YOUR TEXT HERE</w:t>
      </w:r>
    </w:p>
    <w:permEnd w:id="793127138"/>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713249347" w:edGrp="everyone"/>
      <w:r>
        <w:t>TYPE YOUR TEXT HERE</w:t>
      </w:r>
    </w:p>
    <w:permEnd w:id="713249347"/>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645350361" w:edGrp="everyone"/>
      <w:r>
        <w:t>TYPE YOUR TEXT HERE</w:t>
      </w:r>
    </w:p>
    <w:permEnd w:id="1645350361"/>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949159246" w:edGrp="everyone"/>
      <w:r>
        <w:t>TYPE YOUR TEXT HERE</w:t>
      </w:r>
    </w:p>
    <w:permEnd w:id="949159246"/>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386870581" w:edGrp="everyone"/>
      <w:r>
        <w:t>TYPE YOUR TEXT HERE</w:t>
      </w:r>
    </w:p>
    <w:permEnd w:id="386870581"/>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86464440" w:edGrp="everyone"/>
      <w:r>
        <w:t>TYPE YOUR TEXT HERE</w:t>
      </w:r>
    </w:p>
    <w:permEnd w:id="86464440"/>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014976518" w:edGrp="everyone"/>
      <w:r>
        <w:t>TYPE YOUR TEXT HERE</w:t>
      </w:r>
    </w:p>
    <w:permEnd w:id="1014976518"/>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959776145" w:edGrp="everyone"/>
      <w:r>
        <w:t>TYPE YOUR TEXT HERE</w:t>
      </w:r>
    </w:p>
    <w:permEnd w:id="95977614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830893704" w:edGrp="everyone"/>
      <w:r>
        <w:t>TYPE YOUR TEXT HERE</w:t>
      </w:r>
    </w:p>
    <w:permEnd w:id="830893704"/>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297027801" w:edGrp="everyone"/>
      <w:r>
        <w:t>TYPE YOUR TEXT HERE</w:t>
      </w:r>
    </w:p>
    <w:permEnd w:id="1297027801"/>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605181884" w:edGrp="everyone"/>
      <w:r>
        <w:t>TYPE YOUR TEXT HERE</w:t>
      </w:r>
    </w:p>
    <w:permEnd w:id="1605181884"/>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096181797" w:edGrp="everyone"/>
      <w:r>
        <w:t>TYPE YOUR TEXT HERE</w:t>
      </w:r>
    </w:p>
    <w:permEnd w:id="2096181797"/>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6122602" w:edGrp="everyone"/>
      <w:r>
        <w:t>TYPE YOUR TEXT HERE</w:t>
      </w:r>
    </w:p>
    <w:permEnd w:id="612260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93702559" w:edGrp="everyone"/>
      <w:r>
        <w:t>TYPE YOUR TEXT HERE</w:t>
      </w:r>
    </w:p>
    <w:permEnd w:id="1493702559"/>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310200611" w:edGrp="everyone"/>
      <w:r>
        <w:t>TYPE YOUR TEXT HERE</w:t>
      </w:r>
    </w:p>
    <w:permEnd w:id="310200611"/>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917287138" w:edGrp="everyone"/>
      <w:r>
        <w:t>TYPE YOUR TEXT HERE</w:t>
      </w:r>
    </w:p>
    <w:permEnd w:id="191728713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459824241" w:edGrp="everyone"/>
      <w:r>
        <w:t>TYPE YOUR TEXT HERE</w:t>
      </w:r>
    </w:p>
    <w:permEnd w:id="45982424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350969004" w:edGrp="everyone"/>
      <w:r>
        <w:t>TYPE YOUR TEXT HERE</w:t>
      </w:r>
    </w:p>
    <w:permEnd w:id="1350969004"/>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493581994" w:edGrp="everyone"/>
      <w:r>
        <w:t>TYPE YOUR TEXT HERE</w:t>
      </w:r>
    </w:p>
    <w:permEnd w:id="493581994"/>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238503373" w:edGrp="everyone"/>
      <w:r>
        <w:t>TYPE YOUR TEXT HERE</w:t>
      </w:r>
    </w:p>
    <w:permEnd w:id="238503373"/>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492401598" w:edGrp="everyone"/>
      <w:r>
        <w:t>TYPE YOUR TEXT HERE</w:t>
      </w:r>
    </w:p>
    <w:permEnd w:id="492401598"/>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258352086" w:edGrp="everyone"/>
      <w:r>
        <w:t>TYPE YOUR TEXT HERE</w:t>
      </w:r>
    </w:p>
    <w:permEnd w:id="25835208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86022192" w:edGrp="everyone"/>
      <w:r>
        <w:t>TYPE YOUR TEXT HERE</w:t>
      </w:r>
    </w:p>
    <w:permEnd w:id="18602219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884371287" w:edGrp="everyone"/>
      <w:r>
        <w:t>TYPE YOUR TEXT HERE</w:t>
      </w:r>
    </w:p>
    <w:permEnd w:id="884371287"/>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688562537" w:edGrp="everyone"/>
      <w:r>
        <w:t>TYPE YOUR TEXT HERE</w:t>
      </w:r>
    </w:p>
    <w:permEnd w:id="1688562537"/>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74089122" w:edGrp="everyone"/>
      <w:r>
        <w:t>TYPE YOUR TEXT HERE</w:t>
      </w:r>
    </w:p>
    <w:permEnd w:id="174089122"/>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930692227" w:edGrp="everyone"/>
      <w:r>
        <w:t>TYPE YOUR TEXT HERE</w:t>
      </w:r>
    </w:p>
    <w:permEnd w:id="930692227"/>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857646221" w:edGrp="everyone"/>
      <w:r>
        <w:t>TYPE YOUR TEXT HERE</w:t>
      </w:r>
    </w:p>
    <w:permEnd w:id="185764622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735804648" w:edGrp="everyone"/>
      <w:r>
        <w:t>TYPE YOUR TEXT HERE</w:t>
      </w:r>
    </w:p>
    <w:permEnd w:id="73580464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886461199" w:edGrp="everyone"/>
      <w:r>
        <w:t>TYPE YOUR TEXT HERE</w:t>
      </w:r>
    </w:p>
    <w:permEnd w:id="188646119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607019218" w:edGrp="everyone"/>
      <w:r>
        <w:t>TYPE YOUR TEXT HERE</w:t>
      </w:r>
    </w:p>
    <w:permEnd w:id="607019218"/>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104297462" w:edGrp="everyone"/>
      <w:r>
        <w:t>TYPE YOUR TEXT HERE</w:t>
      </w:r>
    </w:p>
    <w:permEnd w:id="1104297462"/>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706435745" w:edGrp="everyone"/>
      <w:r>
        <w:t>TYPE YOUR TEXT HERE</w:t>
      </w:r>
    </w:p>
    <w:permEnd w:id="706435745"/>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98445800" w:edGrp="everyone"/>
      <w:r>
        <w:t>TYPE YOUR TEXT HERE</w:t>
      </w:r>
    </w:p>
    <w:permEnd w:id="198445800"/>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223523191" w:edGrp="everyone"/>
      <w:r>
        <w:t>TYPE YOUR TEXT HERE</w:t>
      </w:r>
    </w:p>
    <w:permEnd w:id="122352319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41125845" w:edGrp="everyone"/>
      <w:r>
        <w:t>TYPE YOUR TEXT HERE</w:t>
      </w:r>
    </w:p>
    <w:permEnd w:id="14112584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559056958" w:edGrp="everyone"/>
      <w:r>
        <w:t>TYPE YOUR TEXT HERE</w:t>
      </w:r>
    </w:p>
    <w:permEnd w:id="1559056958"/>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588803092" w:edGrp="everyone"/>
      <w:r>
        <w:t>TYPE YOUR TEXT HERE</w:t>
      </w:r>
    </w:p>
    <w:permEnd w:id="1588803092"/>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433422744" w:edGrp="everyone"/>
      <w:r>
        <w:t>TYPE YOUR TEXT HERE</w:t>
      </w:r>
    </w:p>
    <w:permEnd w:id="1433422744"/>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855145271" w:edGrp="everyone"/>
      <w:r>
        <w:t>TYPE YOUR TEXT HERE</w:t>
      </w:r>
    </w:p>
    <w:permEnd w:id="855145271"/>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575080962" w:edGrp="everyone"/>
      <w:r>
        <w:t>TYPE YOUR TEXT HERE</w:t>
      </w:r>
    </w:p>
    <w:permEnd w:id="575080962"/>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942613994" w:edGrp="everyone"/>
      <w:r>
        <w:t>TYPE YOUR TEXT HERE</w:t>
      </w:r>
    </w:p>
    <w:permEnd w:id="942613994"/>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204162522" w:edGrp="everyone"/>
      <w:r>
        <w:t>TYPE YOUR TEXT HERE</w:t>
      </w:r>
    </w:p>
    <w:permEnd w:id="120416252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55396196" w:edGrp="everyone"/>
      <w:r>
        <w:t>TYPE YOUR TEXT HERE</w:t>
      </w:r>
    </w:p>
    <w:permEnd w:id="55396196"/>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72108380" w:edGrp="everyone"/>
      <w:r>
        <w:t>TYPE YOUR TEXT HERE</w:t>
      </w:r>
    </w:p>
    <w:permEnd w:id="72108380"/>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907083876" w:edGrp="everyone"/>
      <w:r>
        <w:t>TYPE YOUR TEXT HERE</w:t>
      </w:r>
    </w:p>
    <w:permEnd w:id="907083876"/>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013216395" w:edGrp="everyone"/>
      <w:r>
        <w:t>TYPE YOUR TEXT HERE</w:t>
      </w:r>
    </w:p>
    <w:permEnd w:id="1013216395"/>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474D2" w:rsidRPr="005474D2" w:rsidRDefault="005474D2" w:rsidP="005474D2">
      <w:pPr>
        <w:spacing w:before="120"/>
        <w:rPr>
          <w:rFonts w:eastAsia="Times New Roman" w:cstheme="minorHAnsi"/>
          <w:color w:val="000000"/>
          <w:szCs w:val="22"/>
          <w:lang w:eastAsia="en-GB"/>
        </w:rPr>
      </w:pPr>
      <w:permStart w:id="1793815962" w:edGrp="everyone"/>
      <w:r w:rsidRPr="005474D2">
        <w:rPr>
          <w:rFonts w:eastAsia="Times New Roman" w:cstheme="minorHAnsi"/>
          <w:color w:val="000000"/>
          <w:szCs w:val="22"/>
          <w:lang w:eastAsia="en-GB"/>
        </w:rPr>
        <w:t xml:space="preserve">Eurogas disagrees with this approach, as it is not in line with the level 1 text in MiFID II (recital 20 and article 2.4) requiring to take into account </w:t>
      </w:r>
      <w:r w:rsidRPr="005474D2">
        <w:rPr>
          <w:rFonts w:eastAsia="Times New Roman" w:cstheme="minorHAnsi"/>
          <w:i/>
          <w:color w:val="000000"/>
          <w:szCs w:val="22"/>
          <w:lang w:eastAsia="en-GB"/>
        </w:rPr>
        <w:t xml:space="preserve">at least </w:t>
      </w:r>
      <w:r w:rsidRPr="005474D2">
        <w:rPr>
          <w:rFonts w:eastAsia="Times New Roman" w:cstheme="minorHAnsi"/>
          <w:color w:val="000000"/>
          <w:szCs w:val="22"/>
          <w:lang w:eastAsia="en-GB"/>
        </w:rPr>
        <w:t xml:space="preserve">the elements mentioned thereof. The thresholds suggested for the ‘capital employed’ and the ‘size of trading’ must both be breached, in our view, to require a firm to be licensed under MiFID II.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We believe that the current proposal, if implemented, would trigger macroeconomic impacts and secondary effects on firms that will fall into the MiFID II scope, due to the interactions with other EU legislation such as EMIR, CRD. This has been acknowledged by ESMA in the consultation paper.   </w:t>
      </w:r>
    </w:p>
    <w:p w:rsidR="005474D2" w:rsidRPr="005474D2" w:rsidRDefault="005474D2" w:rsidP="005474D2">
      <w:pPr>
        <w:spacing w:before="120"/>
        <w:rPr>
          <w:rFonts w:eastAsia="Times New Roman" w:cstheme="minorHAnsi"/>
          <w:i/>
          <w:color w:val="000000"/>
          <w:szCs w:val="22"/>
          <w:lang w:eastAsia="en-GB"/>
        </w:rPr>
      </w:pPr>
      <w:r w:rsidRPr="005474D2">
        <w:rPr>
          <w:rFonts w:eastAsia="Times New Roman" w:cstheme="minorHAnsi"/>
          <w:color w:val="000000"/>
          <w:szCs w:val="22"/>
          <w:lang w:eastAsia="en-GB"/>
        </w:rPr>
        <w:t>Further, we note that ESMA has not been able to quantify the effects of the proposals, as “</w:t>
      </w:r>
      <w:r w:rsidRPr="005474D2">
        <w:rPr>
          <w:rFonts w:eastAsia="Times New Roman" w:cstheme="minorHAnsi"/>
          <w:i/>
          <w:color w:val="000000"/>
          <w:szCs w:val="22"/>
          <w:lang w:eastAsia="en-GB"/>
        </w:rPr>
        <w:t xml:space="preserve">no data is available to run a simulation with different threshold levels”.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Due to such an uncertainty in the proposed framework, it is very difficult at this stage to predict the post-2017 landscape of commodity markets resulting from the interplay between the proposals and firms’ strategic responses to them.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This uncertainty poses a degree of risk to commodity markets, the wider economy, and also to market participants, which they can really only manage away by exiting EU markets.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For sure less intermediation in commodity derivative markets would translate into less liquidity and higher difficulty (and costs) in hedging for producers and consumers within EU markets. This will result in fact in producing and manufacturing entities having to bear increased risks (price volatility, interest, currency risks and credit risks) and these elements will be factored into the prices of their products.</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Eurogas therefore urges ESMA to consider a different approach by setting the thresholds at levels that are evidence-based and referred to a public and reliable set of data, in particular concerning the ‘size of the trading activity’ test. We invite ESMA to re-assess the thresholds and revise them in a proportionate way, if necessary, after evidence is produced and consideration on the macro-economic impact can be given. </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We wish to stress that this approach has been taken by the CFTC in the U.S., where the de-minimis threshold for Swap Dealers has been set at a higher level initially, and lowered after a period of time.  </w:t>
      </w:r>
    </w:p>
    <w:p w:rsidR="005474D2" w:rsidRPr="008807CC" w:rsidRDefault="005474D2" w:rsidP="005474D2">
      <w:pPr>
        <w:rPr>
          <w:rFonts w:asciiTheme="majorHAnsi" w:eastAsia="Times New Roman" w:hAnsiTheme="majorHAnsi" w:cs="Arial"/>
          <w:sz w:val="24"/>
          <w:lang w:val="de-DE" w:eastAsia="en-GB"/>
        </w:rPr>
      </w:pPr>
      <w:r w:rsidRPr="005474D2">
        <w:rPr>
          <w:rFonts w:eastAsia="Times New Roman" w:cstheme="minorHAnsi"/>
          <w:szCs w:val="22"/>
          <w:lang w:eastAsia="en-GB"/>
        </w:rPr>
        <w:t>Such an approach would allow markets and their participants to adapt and evolve at a more measured pace, and reduces the risk of large-scale market disruption, “liquidity flight”, and regulatory arbitrage.</w:t>
      </w:r>
    </w:p>
    <w:p w:rsidR="00577C33" w:rsidRPr="005474D2" w:rsidRDefault="00577C33" w:rsidP="00D2259D">
      <w:pPr>
        <w:spacing w:before="120" w:line="240" w:lineRule="auto"/>
        <w:rPr>
          <w:rFonts w:ascii="Arial" w:eastAsia="Times New Roman" w:hAnsi="Arial" w:cs="Arial"/>
          <w:color w:val="000000"/>
          <w:sz w:val="20"/>
          <w:lang w:val="de-DE"/>
        </w:rPr>
      </w:pPr>
    </w:p>
    <w:permEnd w:id="1793815962"/>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lastRenderedPageBreak/>
        <w:t>&lt;ESMA_QUESTION_CP_MIFID_169&gt;</w:t>
      </w:r>
    </w:p>
    <w:p w:rsidR="00577C33" w:rsidRPr="005474D2" w:rsidRDefault="005474D2" w:rsidP="005474D2">
      <w:pPr>
        <w:spacing w:before="120"/>
        <w:rPr>
          <w:rFonts w:eastAsia="Times New Roman" w:cstheme="minorHAnsi"/>
          <w:szCs w:val="22"/>
          <w:lang w:eastAsia="en-GB"/>
        </w:rPr>
      </w:pPr>
      <w:permStart w:id="1437862860" w:edGrp="everyone"/>
      <w:r w:rsidRPr="005474D2">
        <w:rPr>
          <w:rFonts w:eastAsia="Times New Roman" w:cstheme="minorHAnsi"/>
          <w:color w:val="000000"/>
          <w:szCs w:val="22"/>
          <w:lang w:eastAsia="en-GB"/>
        </w:rPr>
        <w:t xml:space="preserve">Eurogas agrees with this approach, and welcomes the fact that it is line with our response to the Discussion Paper. </w:t>
      </w:r>
      <w:r w:rsidRPr="005474D2">
        <w:rPr>
          <w:rFonts w:eastAsia="Times New Roman" w:cstheme="minorHAnsi"/>
          <w:szCs w:val="22"/>
          <w:lang w:eastAsia="en-GB"/>
        </w:rPr>
        <w:t>We note however that ESMA is proposing a specific definition of group that can be subject to different interpretations. In our view a generic reference to the term group would be more in line with the text of level 1. Extraterritoriality should be avoided when applying MiFID II, as expressed by ESMA in the consultation paper at point 30.</w:t>
      </w:r>
    </w:p>
    <w:permEnd w:id="1437862860"/>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Pr="005474D2" w:rsidRDefault="005474D2" w:rsidP="005474D2">
      <w:pPr>
        <w:pStyle w:val="BodyText"/>
        <w:rPr>
          <w:rFonts w:eastAsia="Times New Roman" w:cstheme="minorHAnsi"/>
          <w:color w:val="000000"/>
          <w:szCs w:val="22"/>
          <w:lang w:eastAsia="en-GB"/>
        </w:rPr>
      </w:pPr>
      <w:permStart w:id="1466375455" w:edGrp="everyone"/>
      <w:r w:rsidRPr="005474D2">
        <w:rPr>
          <w:rFonts w:eastAsia="Times New Roman" w:cstheme="minorHAnsi"/>
          <w:color w:val="000000"/>
          <w:szCs w:val="22"/>
          <w:lang w:eastAsia="en-GB"/>
        </w:rPr>
        <w:t>Yes, we consider the revised method appropriate and relatively easier to implement. See response to Q172.</w:t>
      </w:r>
    </w:p>
    <w:permEnd w:id="1466375455"/>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474D2" w:rsidRPr="005474D2" w:rsidRDefault="005474D2" w:rsidP="005474D2">
      <w:pPr>
        <w:spacing w:before="120"/>
        <w:rPr>
          <w:rFonts w:eastAsia="Times New Roman" w:cstheme="minorHAnsi"/>
          <w:color w:val="000000"/>
          <w:szCs w:val="22"/>
          <w:lang w:eastAsia="en-GB"/>
        </w:rPr>
      </w:pPr>
      <w:permStart w:id="870735061" w:edGrp="everyone"/>
      <w:r w:rsidRPr="005474D2">
        <w:rPr>
          <w:rFonts w:eastAsia="Times New Roman" w:cstheme="minorHAnsi"/>
          <w:color w:val="000000"/>
          <w:szCs w:val="22"/>
          <w:lang w:eastAsia="en-GB"/>
        </w:rPr>
        <w:t xml:space="preserve">Eurogas agrees with this approach. Setting up  MiFID licensed firms is one of the potential mitigation measures for those non-financial groups that do not meet the MiFID II exemption requirements for each of their entities. </w:t>
      </w:r>
    </w:p>
    <w:p w:rsidR="00577C33"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We also consider that activities undertaken by a subsidiary of the group that can invoke any other MiFIDII Article 2 exemption in its own right should logically not be accounted for in the numerator. For instance this is the case for compliance-buyers of emission allowances, which would be exempted as such under 2.1(e) but still would have to count emission allowances for the ancillary activity test, or for group treasury financing activities excluded under Art.2.1(b) and (d).</w:t>
      </w:r>
    </w:p>
    <w:permEnd w:id="870735061"/>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474D2" w:rsidRPr="005474D2" w:rsidRDefault="005474D2" w:rsidP="005474D2">
      <w:pPr>
        <w:spacing w:before="120"/>
        <w:rPr>
          <w:rFonts w:cstheme="minorHAnsi"/>
          <w:color w:val="000000"/>
          <w:szCs w:val="22"/>
          <w:lang w:eastAsia="en-GB"/>
        </w:rPr>
      </w:pPr>
      <w:permStart w:id="1159282783" w:edGrp="everyone"/>
      <w:r w:rsidRPr="005474D2">
        <w:rPr>
          <w:rFonts w:eastAsia="Times New Roman" w:cstheme="minorHAnsi"/>
          <w:color w:val="000000"/>
          <w:szCs w:val="22"/>
          <w:lang w:eastAsia="en-GB"/>
        </w:rPr>
        <w:t xml:space="preserve">We believe that the calculation for the ancillary activity test at the numerator should be done at </w:t>
      </w:r>
      <w:r w:rsidRPr="005474D2">
        <w:rPr>
          <w:rFonts w:eastAsia="Times New Roman" w:cstheme="minorHAnsi"/>
          <w:i/>
          <w:color w:val="000000"/>
          <w:szCs w:val="22"/>
          <w:lang w:eastAsia="en-GB"/>
        </w:rPr>
        <w:t xml:space="preserve">person </w:t>
      </w:r>
      <w:r w:rsidRPr="005474D2">
        <w:rPr>
          <w:rFonts w:eastAsia="Times New Roman" w:cstheme="minorHAnsi"/>
          <w:color w:val="000000"/>
          <w:szCs w:val="22"/>
          <w:lang w:eastAsia="en-GB"/>
        </w:rPr>
        <w:t xml:space="preserve">level. A calculation ‘at group level’ is not in line with the level 1 text because </w:t>
      </w:r>
      <w:r w:rsidRPr="005474D2">
        <w:rPr>
          <w:rFonts w:cstheme="minorHAnsi"/>
          <w:color w:val="000000"/>
          <w:szCs w:val="22"/>
          <w:lang w:eastAsia="en-GB"/>
        </w:rPr>
        <w:t xml:space="preserve">the licensing regime in MiFID II applies to </w:t>
      </w:r>
      <w:r w:rsidRPr="005474D2">
        <w:rPr>
          <w:rFonts w:cstheme="minorHAnsi"/>
          <w:i/>
          <w:color w:val="000000"/>
          <w:szCs w:val="22"/>
          <w:lang w:eastAsia="en-GB"/>
        </w:rPr>
        <w:t>persons</w:t>
      </w:r>
      <w:r w:rsidRPr="005474D2">
        <w:rPr>
          <w:rFonts w:cstheme="minorHAnsi"/>
          <w:color w:val="000000"/>
          <w:szCs w:val="22"/>
          <w:lang w:eastAsia="en-GB"/>
        </w:rPr>
        <w:t xml:space="preserve"> and the exemption from such regime apply at </w:t>
      </w:r>
      <w:r w:rsidRPr="005474D2">
        <w:rPr>
          <w:rFonts w:cstheme="minorHAnsi"/>
          <w:i/>
          <w:color w:val="000000"/>
          <w:szCs w:val="22"/>
          <w:lang w:eastAsia="en-GB"/>
        </w:rPr>
        <w:t xml:space="preserve">person </w:t>
      </w:r>
      <w:r w:rsidRPr="005474D2">
        <w:rPr>
          <w:rFonts w:cstheme="minorHAnsi"/>
          <w:color w:val="000000"/>
          <w:szCs w:val="22"/>
          <w:lang w:eastAsia="en-GB"/>
        </w:rPr>
        <w:t xml:space="preserve">level, as clearly defined in level 1 (article 2.1).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An assessment at group level would result in </w:t>
      </w:r>
      <w:r w:rsidRPr="005474D2">
        <w:rPr>
          <w:rFonts w:eastAsia="Times New Roman" w:cstheme="minorHAnsi"/>
          <w:szCs w:val="22"/>
          <w:lang w:eastAsia="en-GB"/>
        </w:rPr>
        <w:t>an extremely low level of the thresholds, even if applied at person level. Therefore it is difficult to see how the proposed threshold could be revised further, should the calculation be done at person level rather than at group level.</w:t>
      </w:r>
    </w:p>
    <w:p w:rsidR="005474D2" w:rsidRPr="005474D2" w:rsidRDefault="005474D2" w:rsidP="005474D2">
      <w:pPr>
        <w:spacing w:before="120"/>
        <w:rPr>
          <w:rFonts w:cstheme="minorHAnsi"/>
          <w:color w:val="000000"/>
          <w:szCs w:val="22"/>
          <w:lang w:eastAsia="en-GB"/>
        </w:rPr>
      </w:pPr>
      <w:r w:rsidRPr="005474D2">
        <w:rPr>
          <w:rFonts w:cstheme="minorHAnsi"/>
          <w:color w:val="000000"/>
          <w:szCs w:val="22"/>
          <w:lang w:eastAsia="en-GB"/>
        </w:rPr>
        <w:lastRenderedPageBreak/>
        <w:t xml:space="preserve">Most importantly, the calculations and the consequences of failing the tests would affect </w:t>
      </w:r>
      <w:r w:rsidRPr="005474D2">
        <w:rPr>
          <w:rFonts w:cstheme="minorHAnsi"/>
          <w:i/>
          <w:color w:val="000000"/>
          <w:szCs w:val="22"/>
          <w:lang w:eastAsia="en-GB"/>
        </w:rPr>
        <w:t>all</w:t>
      </w:r>
      <w:r w:rsidRPr="005474D2">
        <w:rPr>
          <w:rFonts w:cstheme="minorHAnsi"/>
          <w:color w:val="000000"/>
          <w:szCs w:val="22"/>
          <w:lang w:eastAsia="en-GB"/>
        </w:rPr>
        <w:t xml:space="preserve"> persons within the group and not only those persons involved in investment services/activities at disproportionate levels, triggering consequences (i.e. EMIR, CRD) for all of them, independently on the individual persons’ activities. Additionally, the processes that would be required at parent company level are not always possible, due to different national and international regimes (e.g. accounting, classification of privileged transactions, calculation of trading activity).</w:t>
      </w:r>
    </w:p>
    <w:p w:rsidR="005474D2" w:rsidRPr="005474D2" w:rsidRDefault="005474D2" w:rsidP="005474D2">
      <w:pPr>
        <w:spacing w:before="120"/>
        <w:rPr>
          <w:rFonts w:cstheme="minorHAnsi"/>
          <w:color w:val="000000"/>
          <w:szCs w:val="22"/>
          <w:lang w:eastAsia="en-GB"/>
        </w:rPr>
      </w:pPr>
      <w:r w:rsidRPr="005474D2">
        <w:rPr>
          <w:rFonts w:cstheme="minorHAnsi"/>
          <w:color w:val="000000"/>
          <w:szCs w:val="22"/>
          <w:lang w:eastAsia="en-GB"/>
        </w:rPr>
        <w:t>A full dependence between different entities within a group engaged in different activities, but still counting towards the thresholds, is therefore not appropriate nor justified.</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ESMA should bear in mind that entities performing activities regulated by MiFID without holding a license may be punished with fines and as criminal offence. We read the draft RTS in a way that, following a breach of the trading activity or capital test by </w:t>
      </w:r>
      <w:r w:rsidRPr="005474D2">
        <w:rPr>
          <w:rFonts w:eastAsia="Times New Roman" w:cstheme="minorHAnsi"/>
          <w:i/>
          <w:szCs w:val="22"/>
          <w:lang w:eastAsia="en-GB"/>
        </w:rPr>
        <w:t>one entity</w:t>
      </w:r>
      <w:r w:rsidRPr="005474D2">
        <w:rPr>
          <w:rFonts w:eastAsia="Times New Roman" w:cstheme="minorHAnsi"/>
          <w:szCs w:val="22"/>
          <w:lang w:eastAsia="en-GB"/>
        </w:rPr>
        <w:t xml:space="preserve"> within a group, </w:t>
      </w:r>
      <w:r w:rsidRPr="005474D2">
        <w:rPr>
          <w:rFonts w:eastAsia="Times New Roman" w:cstheme="minorHAnsi"/>
          <w:i/>
          <w:szCs w:val="22"/>
          <w:lang w:eastAsia="en-GB"/>
        </w:rPr>
        <w:t>every other</w:t>
      </w:r>
      <w:r w:rsidRPr="005474D2">
        <w:rPr>
          <w:rFonts w:eastAsia="Times New Roman" w:cstheme="minorHAnsi"/>
          <w:szCs w:val="22"/>
          <w:lang w:eastAsia="en-GB"/>
        </w:rPr>
        <w:t xml:space="preserve"> </w:t>
      </w:r>
      <w:r w:rsidRPr="005474D2">
        <w:rPr>
          <w:rFonts w:eastAsia="Times New Roman" w:cstheme="minorHAnsi"/>
          <w:i/>
          <w:szCs w:val="22"/>
          <w:lang w:eastAsia="en-GB"/>
        </w:rPr>
        <w:t>unregulated entity</w:t>
      </w:r>
      <w:r w:rsidRPr="005474D2">
        <w:rPr>
          <w:rFonts w:eastAsia="Times New Roman" w:cstheme="minorHAnsi"/>
          <w:szCs w:val="22"/>
          <w:lang w:eastAsia="en-GB"/>
        </w:rPr>
        <w:t xml:space="preserve"> within such group,  wherever located in the EU, will be required to obtain a MiFID II license because they all need to take into account the activities ‘at group level’. This will be the case until the group has been able to restructure itself in order to ring fence its MiFID activities from for example its production and maintenance activities.</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Therefore it is crucial that ESMA provides a process allowing the exclusion from the assessment of the ancillary activity exemption also for activities performed by entities </w:t>
      </w:r>
      <w:r w:rsidRPr="005474D2">
        <w:rPr>
          <w:rFonts w:eastAsia="Times New Roman" w:cstheme="minorHAnsi"/>
          <w:i/>
          <w:szCs w:val="22"/>
          <w:lang w:eastAsia="en-GB"/>
        </w:rPr>
        <w:t>in the process to require or obtain</w:t>
      </w:r>
      <w:r w:rsidRPr="005474D2">
        <w:rPr>
          <w:rFonts w:eastAsia="Times New Roman" w:cstheme="minorHAnsi"/>
          <w:szCs w:val="22"/>
          <w:lang w:eastAsia="en-GB"/>
        </w:rPr>
        <w:t xml:space="preserve"> a MiFID license. This is necessary to ensure business continuity and avoid undue consequences.</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We interpret the term ‘sum of capital employed...</w:t>
      </w:r>
      <w:r w:rsidRPr="005474D2">
        <w:rPr>
          <w:rFonts w:eastAsia="Times New Roman" w:cstheme="minorHAnsi"/>
          <w:i/>
          <w:szCs w:val="22"/>
          <w:lang w:eastAsia="en-GB"/>
        </w:rPr>
        <w:t>by the group in the European Union’</w:t>
      </w:r>
      <w:r w:rsidRPr="005474D2">
        <w:rPr>
          <w:rFonts w:eastAsia="Times New Roman" w:cstheme="minorHAnsi"/>
          <w:szCs w:val="22"/>
          <w:lang w:eastAsia="en-GB"/>
        </w:rPr>
        <w:t xml:space="preserve"> as capital employed by all the entities of the group which are incorporated or otherwise domiciled in a Member State of the European Union and it should include only activities as dealing on European regulated platforms, unless exempted, and/or with EU counterparties (see also response to Q177 on the definition of size of the trading activity).</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Finally we do not understand the reference in Recital (9) of the draft RTS 28 and point 74 (p.525) of the consultation paper to third countries entities wishing to benefit from the exemption in article 2.1(j). MiFID II does not require entities wishing to benefit from the exemption to establish a branch in the European Union. Therefore we believe that those entities should be able to make a self-assessment and should be required to notify ESMA only upon request. </w:t>
      </w:r>
    </w:p>
    <w:p w:rsidR="00577C33"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Any arrangement that would require third country entities to set a branch in the EU for dealing on own account in commodity derivatives increases the risk of EU and third country participants moving their commodity derivatives’ trading activity (speculative as well as hedging) outside of the EU. Reduced liquidity, competitiveness  and effectiveness of EU markets would be the result and EU exchanges in particular would struggle with the decreased levels of liquidity which we believe to be contrary to EU goals to promote growth and investment.</w:t>
      </w:r>
    </w:p>
    <w:permEnd w:id="115928278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lastRenderedPageBreak/>
        <w:t>&lt;ESMA_QUESTION_CP_MIFID_173&gt;</w:t>
      </w:r>
    </w:p>
    <w:p w:rsidR="005474D2" w:rsidRPr="005474D2" w:rsidRDefault="005474D2" w:rsidP="005474D2">
      <w:pPr>
        <w:rPr>
          <w:rFonts w:eastAsia="Times New Roman" w:cstheme="minorHAnsi"/>
          <w:szCs w:val="22"/>
          <w:lang w:eastAsia="en-GB"/>
        </w:rPr>
      </w:pPr>
      <w:permStart w:id="1647124807" w:edGrp="everyone"/>
      <w:r w:rsidRPr="005474D2">
        <w:rPr>
          <w:rFonts w:eastAsia="Times New Roman" w:cstheme="minorHAnsi"/>
          <w:szCs w:val="22"/>
          <w:lang w:eastAsia="en-GB"/>
        </w:rPr>
        <w:t xml:space="preserve">We do not consider the level proposed for the first test as appropriate, and we underline again that this approach was based on the opinion of a minority of stakeholders in the consultation process, against the majority of the stakeholders’ arguments and evidence (point 37). </w:t>
      </w:r>
    </w:p>
    <w:p w:rsidR="005474D2" w:rsidRPr="005474D2" w:rsidRDefault="005474D2" w:rsidP="005474D2">
      <w:pPr>
        <w:rPr>
          <w:rFonts w:eastAsia="Times New Roman" w:cstheme="minorHAnsi"/>
          <w:szCs w:val="22"/>
          <w:lang w:eastAsia="en-GB"/>
        </w:rPr>
      </w:pPr>
      <w:r w:rsidRPr="005474D2">
        <w:rPr>
          <w:rFonts w:eastAsia="Times New Roman" w:cstheme="minorHAnsi"/>
          <w:szCs w:val="22"/>
          <w:lang w:eastAsia="en-GB"/>
        </w:rPr>
        <w:t>This is not least the case when ESMA seems not to have made an impact assessment on this matter as basis for their proposal. Given the potential severe impact on the industries in question a settlement of a threshold level presupposes a solid basis.</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MiFID II refers to the concepts of ‘proportionality’ and ‘minority’. Those criteria should ensure that non-financial firms dealing in financial instruments in a </w:t>
      </w:r>
      <w:r w:rsidRPr="005474D2">
        <w:rPr>
          <w:rFonts w:eastAsia="Times New Roman" w:cstheme="minorHAnsi"/>
          <w:i/>
          <w:szCs w:val="22"/>
          <w:lang w:eastAsia="en-GB"/>
        </w:rPr>
        <w:t>disproportionate</w:t>
      </w:r>
      <w:r w:rsidRPr="005474D2">
        <w:rPr>
          <w:rFonts w:eastAsia="Times New Roman" w:cstheme="minorHAnsi"/>
          <w:szCs w:val="22"/>
          <w:lang w:eastAsia="en-GB"/>
        </w:rPr>
        <w:t xml:space="preserve"> manner compared with the level of investment in the main business are covered by the scope of this Directive (Recital 20). </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We believe that a threshold of 5% is unreasonably low when compared to the proportionality principle, and ESMA fails to provide evidence on how this threshold is meant to meet such a requirement. Setting the threshold at such a low level would narrow down the existing exemption to a point that would render it void. </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We believe the co-legislator should instead meet the policy objective of MIFID II, clearly reflected in the wording stating the “need for ancillary activities to constitute a minority of activities at a group level” in a proportionate and workable way for the entities concerned. Therefore a  ‘</w:t>
      </w:r>
      <w:r w:rsidRPr="005474D2">
        <w:rPr>
          <w:rFonts w:eastAsia="Times New Roman" w:cstheme="minorHAnsi"/>
          <w:i/>
          <w:szCs w:val="22"/>
          <w:lang w:eastAsia="en-GB"/>
        </w:rPr>
        <w:t>minority’</w:t>
      </w:r>
      <w:r w:rsidRPr="005474D2">
        <w:rPr>
          <w:rFonts w:eastAsia="Times New Roman" w:cstheme="minorHAnsi"/>
          <w:szCs w:val="22"/>
          <w:lang w:eastAsia="en-GB"/>
        </w:rPr>
        <w:t xml:space="preserve"> cannot linguistically or logically be interpreted as only 5%.</w:t>
      </w:r>
    </w:p>
    <w:p w:rsidR="005474D2" w:rsidRPr="005474D2" w:rsidRDefault="005474D2" w:rsidP="005474D2">
      <w:pPr>
        <w:pStyle w:val="BodyText"/>
        <w:rPr>
          <w:rFonts w:cstheme="minorHAnsi"/>
          <w:szCs w:val="22"/>
          <w:lang w:eastAsia="en-GB"/>
        </w:rPr>
      </w:pPr>
    </w:p>
    <w:p w:rsidR="005474D2" w:rsidRPr="005474D2" w:rsidRDefault="005474D2" w:rsidP="005474D2">
      <w:pPr>
        <w:pStyle w:val="BodyText"/>
        <w:rPr>
          <w:rFonts w:cstheme="minorHAnsi"/>
          <w:szCs w:val="22"/>
          <w:lang w:eastAsia="en-GB"/>
        </w:rPr>
      </w:pPr>
      <w:r w:rsidRPr="005474D2">
        <w:rPr>
          <w:rFonts w:cstheme="minorHAnsi"/>
          <w:szCs w:val="22"/>
          <w:lang w:eastAsia="en-GB"/>
        </w:rPr>
        <w:t>The views expressed by ESMA in its consultation paper are not supported by any reality or any analysis: (i)  ESMA seems to have taken into consideration the opinion of a minority of stakeholders as opposed to that of the majority (point 37 of the Consultation Paper); (ii) the setting of the threshold seems to be fully discretionary and is not backed by any impact assessment or other supporting analysis. Given the potential severe impact on the industries in question the setting of a threshold level presupposes a solid basis.</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We believe that a more appropriate approach, when defining the ancillary activity test, would be to consider the concept of </w:t>
      </w:r>
      <w:r w:rsidRPr="005474D2">
        <w:rPr>
          <w:rFonts w:eastAsia="Times New Roman" w:cstheme="minorHAnsi"/>
          <w:i/>
          <w:szCs w:val="22"/>
          <w:lang w:eastAsia="en-GB"/>
        </w:rPr>
        <w:t>majority of the main business</w:t>
      </w:r>
      <w:r w:rsidRPr="005474D2">
        <w:rPr>
          <w:rFonts w:eastAsia="Times New Roman" w:cstheme="minorHAnsi"/>
          <w:szCs w:val="22"/>
          <w:lang w:eastAsia="en-GB"/>
        </w:rPr>
        <w:t xml:space="preserve"> in opposition to the </w:t>
      </w:r>
      <w:r w:rsidRPr="005474D2">
        <w:rPr>
          <w:rFonts w:eastAsia="Times New Roman" w:cstheme="minorHAnsi"/>
          <w:i/>
          <w:szCs w:val="22"/>
          <w:lang w:eastAsia="en-GB"/>
        </w:rPr>
        <w:t>minority of the investment activities</w:t>
      </w:r>
      <w:r w:rsidRPr="005474D2">
        <w:rPr>
          <w:rFonts w:eastAsia="Times New Roman" w:cstheme="minorHAnsi"/>
          <w:szCs w:val="22"/>
          <w:lang w:eastAsia="en-GB"/>
        </w:rPr>
        <w:t xml:space="preserve"> .. In this sense we believe that a higher threshold, in the range of 20% is more appropriate and coherent with the principle of proportionality. In fact, where the main business covers between the 75-80% of the capital employed, it can be clearly identified as a majority of the business.</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We believe that such proportion would both reflect the policy objective of the MiFID II legislation and allow the definition of an  exemptions framework consistent with the principle of ‘proportionality’ mentioned above.</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We would like to highlight once again the very limited influence of energy/commodity companies in relation to the resilience and systemic stability of the financial system and improved investor protection. Counterparties in the energy sectors are professionals, transparency and integrity are covered by sector regulation (REMIT) or market abuse rules (see MAR) and systemic risks are monitored or regulated through EMIR. </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Should these thresholds be ill-calibrated commodity companies in scope of MiFID will mainly shoulder additional costs to be paid by energy consumers in terms of higher prices with a negative impact on the competitiveness of Europe.</w:t>
      </w:r>
    </w:p>
    <w:p w:rsidR="00577C33"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lastRenderedPageBreak/>
        <w:t>Please see also the negative impacts that are expected on wholesale energy markets in response to Q179.</w:t>
      </w:r>
    </w:p>
    <w:permEnd w:id="1647124807"/>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474D2" w:rsidRPr="005474D2" w:rsidRDefault="005474D2" w:rsidP="005474D2">
      <w:pPr>
        <w:spacing w:before="120"/>
        <w:rPr>
          <w:rFonts w:eastAsia="Times New Roman" w:cstheme="minorHAnsi"/>
          <w:szCs w:val="22"/>
          <w:lang w:eastAsia="en-GB"/>
        </w:rPr>
      </w:pPr>
      <w:permStart w:id="366748427" w:edGrp="everyone"/>
      <w:r w:rsidRPr="005474D2">
        <w:rPr>
          <w:rFonts w:eastAsia="Times New Roman" w:cstheme="minorHAnsi"/>
          <w:color w:val="000000"/>
          <w:szCs w:val="22"/>
          <w:lang w:eastAsia="en-GB"/>
        </w:rPr>
        <w:t xml:space="preserve">We agree in principle with this approach, </w:t>
      </w:r>
      <w:r w:rsidRPr="005474D2">
        <w:rPr>
          <w:rFonts w:eastAsia="Times New Roman" w:cstheme="minorHAnsi"/>
          <w:szCs w:val="22"/>
          <w:lang w:eastAsia="en-GB"/>
        </w:rPr>
        <w:t>however we wish to stress that it may be difficult to extrapolate privileged transactions from the ancillary activity because they are not accounted and evidenced separately in the balance sheet, not to mention the fact that two different metrics would have to be compared, GNV for the ancillary activity at the numerator and accounting values / fair value at the denominator.</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Therefore ESMA shall acknowledge  that different entities and groups may adopt one or more of the proxy methodologies suggested at point 41, depending on the group structure and the way in which persons classify privileged transactions.</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szCs w:val="22"/>
          <w:lang w:eastAsia="en-GB"/>
        </w:rPr>
        <w:t>As an example, elements including the evaluation of open positions at the end of a period (e.g. the month), the collateral posted with exchanges and counterparties and other elements of the capital (tangible/intangible assets) re-proportioned for the relevant ‘MiFID activity’ may be taken into account.</w:t>
      </w:r>
      <w:r w:rsidRPr="005474D2" w:rsidDel="00E510B4">
        <w:rPr>
          <w:rFonts w:eastAsia="Times New Roman" w:cstheme="minorHAnsi"/>
          <w:szCs w:val="22"/>
          <w:lang w:eastAsia="en-GB"/>
        </w:rPr>
        <w:t xml:space="preserve"> </w:t>
      </w:r>
    </w:p>
    <w:p w:rsidR="00577C33"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Should ESMA decide to better clarify the technical calculation at a later stage, it will be necessary to have an open consultation with stakeholders and a minimum time for implementation of any amended guideline in consideration of the severity of the potential consequences. </w:t>
      </w:r>
    </w:p>
    <w:permEnd w:id="366748427"/>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474D2" w:rsidRPr="005474D2" w:rsidRDefault="005474D2" w:rsidP="005474D2">
      <w:pPr>
        <w:spacing w:before="120"/>
        <w:rPr>
          <w:rFonts w:eastAsia="Times New Roman" w:cstheme="minorHAnsi"/>
          <w:color w:val="000000"/>
          <w:szCs w:val="22"/>
          <w:lang w:eastAsia="en-GB"/>
        </w:rPr>
      </w:pPr>
      <w:permStart w:id="1019888775" w:edGrp="everyone"/>
      <w:r w:rsidRPr="005474D2">
        <w:rPr>
          <w:rFonts w:eastAsia="Times New Roman" w:cstheme="minorHAnsi"/>
          <w:color w:val="000000"/>
          <w:szCs w:val="22"/>
          <w:lang w:eastAsia="en-GB"/>
        </w:rPr>
        <w:t xml:space="preserve">The answer to this question cannot be straightforward. In a way we believe it is not controversial that the capital employed in the main business (the denominator) should encompass equity, current debt and non-current debt.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On the other hand, we would invite ESMA also to consider the inclusion of provisions, since they are part of the main business of the group. Replacing the terms current-debt and non-current </w:t>
      </w:r>
      <w:r w:rsidRPr="005474D2">
        <w:rPr>
          <w:rFonts w:eastAsia="Times New Roman" w:cstheme="minorHAnsi"/>
          <w:i/>
          <w:color w:val="000000"/>
          <w:szCs w:val="22"/>
          <w:lang w:eastAsia="en-GB"/>
        </w:rPr>
        <w:t>debt</w:t>
      </w:r>
      <w:r w:rsidRPr="005474D2">
        <w:rPr>
          <w:rFonts w:eastAsia="Times New Roman" w:cstheme="minorHAnsi"/>
          <w:color w:val="000000"/>
          <w:szCs w:val="22"/>
          <w:lang w:eastAsia="en-GB"/>
        </w:rPr>
        <w:t xml:space="preserve"> with </w:t>
      </w:r>
      <w:r w:rsidRPr="005474D2">
        <w:rPr>
          <w:rFonts w:eastAsia="Times New Roman" w:cstheme="minorHAnsi"/>
          <w:i/>
          <w:color w:val="000000"/>
          <w:szCs w:val="22"/>
          <w:lang w:eastAsia="en-GB"/>
        </w:rPr>
        <w:t>liabilities</w:t>
      </w:r>
      <w:r w:rsidRPr="005474D2">
        <w:rPr>
          <w:rFonts w:eastAsia="Times New Roman" w:cstheme="minorHAnsi"/>
          <w:color w:val="000000"/>
          <w:szCs w:val="22"/>
          <w:lang w:eastAsia="en-GB"/>
        </w:rPr>
        <w:t xml:space="preserve"> may help clarifying this point.</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color w:val="000000"/>
          <w:szCs w:val="22"/>
          <w:lang w:eastAsia="en-GB"/>
        </w:rPr>
        <w:t xml:space="preserve">For the calculation of the capital employed in the ancillary activities (the numerator), </w:t>
      </w:r>
      <w:r w:rsidRPr="005474D2">
        <w:rPr>
          <w:rFonts w:eastAsia="Times New Roman" w:cstheme="minorHAnsi"/>
          <w:szCs w:val="22"/>
          <w:lang w:eastAsia="en-GB"/>
        </w:rPr>
        <w:t xml:space="preserve">ESMA shall acknowledge that different persons and groups may adopt one or more combinations of the proxies suggested at point 41, because some elements may not be separately evidenced in the accounting statements or information flow due to the specific definitions applied in MiFID. </w:t>
      </w:r>
    </w:p>
    <w:p w:rsidR="00577C33" w:rsidRPr="005474D2" w:rsidRDefault="005474D2" w:rsidP="005474D2">
      <w:pPr>
        <w:spacing w:before="120"/>
        <w:rPr>
          <w:rFonts w:eastAsia="Times New Roman" w:cstheme="minorHAnsi"/>
          <w:color w:val="000000"/>
          <w:szCs w:val="22"/>
          <w:lang w:eastAsia="en-GB"/>
        </w:rPr>
      </w:pPr>
      <w:r w:rsidRPr="005474D2">
        <w:rPr>
          <w:rFonts w:eastAsia="Times New Roman" w:cstheme="minorHAnsi"/>
          <w:szCs w:val="22"/>
          <w:lang w:eastAsia="en-GB"/>
        </w:rPr>
        <w:t>The proxies adopted will have to be in any case documented by the entities wanting to benefit from the exemption and they should be tested against the principles underlying the ancillary activity exemption and the privileged transactions.</w:t>
      </w:r>
    </w:p>
    <w:permEnd w:id="1019888775"/>
    <w:p w:rsidR="00577C33" w:rsidRDefault="00577C33" w:rsidP="00EC2C93">
      <w:pPr>
        <w:keepNext/>
      </w:pPr>
      <w:r>
        <w:lastRenderedPageBreak/>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474D2" w:rsidRPr="005474D2" w:rsidRDefault="005474D2" w:rsidP="005474D2">
      <w:pPr>
        <w:spacing w:before="120"/>
        <w:rPr>
          <w:rFonts w:eastAsia="Times New Roman" w:cstheme="minorHAnsi"/>
          <w:color w:val="000000"/>
          <w:szCs w:val="22"/>
          <w:lang w:eastAsia="en-GB"/>
        </w:rPr>
      </w:pPr>
      <w:permStart w:id="308896671" w:edGrp="everyone"/>
      <w:r w:rsidRPr="005474D2">
        <w:rPr>
          <w:rFonts w:eastAsia="Times New Roman" w:cstheme="minorHAnsi"/>
          <w:color w:val="000000"/>
          <w:szCs w:val="22"/>
          <w:lang w:eastAsia="en-GB"/>
        </w:rPr>
        <w:t xml:space="preserve">We believe that the answer depends on the level of aggregation / disaggregation of the commodity asset classes for such a test.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In case, as we propose, a single energy asset class is defined (encompassing gas, power, coal and oil/oil products – see also answer to Q178), we support the proposal to use the gross notional values of contracts because this would make the aggregations easier. Indeed, the gross notional value of contracts should be possible to calculate on the basis of EMIR reporting in derivatives,  provided a single methodology (even a simplified methodology for the purpose of the exemption calculation) for calculation of all derivatives (including in particular the non-standard ones) is provided by ESMA. This will provide for uniform, consistent and irrefutable calculation throughout the EU and across all stakeholders.</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At the very last we believe that power and gas should be aggregated in a single asset class.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Should ESMA stick to the current proposals, we believe that </w:t>
      </w:r>
      <w:r w:rsidRPr="005474D2">
        <w:rPr>
          <w:rFonts w:eastAsia="Times New Roman" w:cstheme="minorHAnsi"/>
          <w:i/>
          <w:color w:val="000000"/>
          <w:szCs w:val="22"/>
          <w:lang w:eastAsia="en-GB"/>
        </w:rPr>
        <w:t xml:space="preserve">volumes </w:t>
      </w:r>
      <w:r w:rsidRPr="005474D2">
        <w:rPr>
          <w:rFonts w:eastAsia="Times New Roman" w:cstheme="minorHAnsi"/>
          <w:color w:val="000000"/>
          <w:szCs w:val="22"/>
          <w:lang w:eastAsia="en-GB"/>
        </w:rPr>
        <w:t xml:space="preserve">rather than </w:t>
      </w:r>
      <w:r w:rsidRPr="005474D2">
        <w:rPr>
          <w:rFonts w:eastAsia="Times New Roman" w:cstheme="minorHAnsi"/>
          <w:i/>
          <w:color w:val="000000"/>
          <w:szCs w:val="22"/>
          <w:lang w:eastAsia="en-GB"/>
        </w:rPr>
        <w:t>values</w:t>
      </w:r>
      <w:r w:rsidRPr="005474D2">
        <w:rPr>
          <w:rFonts w:eastAsia="Times New Roman" w:cstheme="minorHAnsi"/>
          <w:color w:val="000000"/>
          <w:szCs w:val="22"/>
          <w:lang w:eastAsia="en-GB"/>
        </w:rPr>
        <w:t xml:space="preserve"> should be taken into account. This proposal would give a more stable measurement of the market size as it would avoid to take into consideration prices, hence lower variability over time.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A crucial pre-requisite in order to asses this proposal is the availability of data on the market size for each commodity asset class at least for the year 2014 from Trade Repositories. We regret to note instead that ESMA has not started publishing these data as yet.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Persons seeking to use the exemption should be in the position to make the required calculation through the data provided by TRs in order to foresee potential effects of MiFID II on their businesses and make according arrangements as they deem necessary from a company/group perspective. This should not exclude the possibility to use further data e.g. to identify privileged transactions.</w:t>
      </w:r>
    </w:p>
    <w:p w:rsidR="00577C33" w:rsidRPr="005474D2" w:rsidRDefault="005474D2" w:rsidP="005474D2">
      <w:pPr>
        <w:pStyle w:val="BodyText"/>
        <w:rPr>
          <w:rFonts w:eastAsia="Times New Roman" w:cstheme="minorHAnsi"/>
          <w:color w:val="000000"/>
          <w:szCs w:val="22"/>
          <w:lang w:eastAsia="en-GB"/>
        </w:rPr>
      </w:pPr>
      <w:r w:rsidRPr="005474D2">
        <w:rPr>
          <w:rFonts w:eastAsia="Times New Roman" w:cstheme="minorHAnsi"/>
          <w:color w:val="000000"/>
          <w:szCs w:val="22"/>
          <w:lang w:eastAsia="en-GB"/>
        </w:rPr>
        <w:t>We believe that the RTS must include an obligation for ESMA to publish consistent, freely available and reliable EU market size figures in each of the relevant commodity asset classes as a pre-condition for the exemption process to apply. In the absence of reliable data market participants will simply not be able to calculate their positions relative to the market because (i) TRs don’t provide such data today, (ii) such calculation would require a contact from each firm to each single TR in the EU (iii) the provision of such  numbers, as part of a regulatory requirement should take place within a regulatory and non-commercial frame. Therefore they will cautiously retract from markets to avoid inadvertently breaching the very low threshold proposed.</w:t>
      </w:r>
    </w:p>
    <w:permEnd w:id="308896671"/>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lastRenderedPageBreak/>
        <w:t>&lt;ESMA_QUESTION_CP_MIFID_177&gt;</w:t>
      </w:r>
    </w:p>
    <w:p w:rsidR="005474D2" w:rsidRPr="005474D2" w:rsidRDefault="005474D2" w:rsidP="005474D2">
      <w:pPr>
        <w:spacing w:before="120"/>
        <w:rPr>
          <w:rFonts w:eastAsia="Times New Roman" w:cstheme="minorHAnsi"/>
          <w:szCs w:val="22"/>
          <w:lang w:eastAsia="en-GB"/>
        </w:rPr>
      </w:pPr>
      <w:permStart w:id="737570654" w:edGrp="everyone"/>
      <w:r w:rsidRPr="005474D2">
        <w:rPr>
          <w:rFonts w:eastAsia="Times New Roman" w:cstheme="minorHAnsi"/>
          <w:color w:val="000000"/>
          <w:szCs w:val="22"/>
          <w:lang w:eastAsia="en-GB"/>
        </w:rPr>
        <w:t xml:space="preserve">Similarly to what stated in Q 172,  believe that also the calculation in relation to the size of the trading activity at the numerator should be done at </w:t>
      </w:r>
      <w:r w:rsidRPr="005474D2">
        <w:rPr>
          <w:rFonts w:eastAsia="Times New Roman" w:cstheme="minorHAnsi"/>
          <w:i/>
          <w:color w:val="000000"/>
          <w:szCs w:val="22"/>
          <w:lang w:eastAsia="en-GB"/>
        </w:rPr>
        <w:t xml:space="preserve">person </w:t>
      </w:r>
      <w:r w:rsidRPr="005474D2">
        <w:rPr>
          <w:rFonts w:eastAsia="Times New Roman" w:cstheme="minorHAnsi"/>
          <w:color w:val="000000"/>
          <w:szCs w:val="22"/>
          <w:lang w:eastAsia="en-GB"/>
        </w:rPr>
        <w:t>level, as per the level 1 mandate in MIFID II.</w:t>
      </w:r>
      <w:r w:rsidRPr="005474D2">
        <w:rPr>
          <w:rFonts w:eastAsia="Times New Roman" w:cstheme="minorHAnsi"/>
          <w:szCs w:val="22"/>
          <w:lang w:eastAsia="en-GB"/>
        </w:rPr>
        <w:t xml:space="preserve">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An assessment at group level would result in </w:t>
      </w:r>
      <w:r w:rsidRPr="005474D2">
        <w:rPr>
          <w:rFonts w:eastAsia="Times New Roman" w:cstheme="minorHAnsi"/>
          <w:szCs w:val="22"/>
          <w:lang w:eastAsia="en-GB"/>
        </w:rPr>
        <w:t>an extremely low threshold, even if applied at person level. Therefore we find it difficult to see how the threshold proposed could be revised further even in case the calculation should be done at person level rather than at group level.</w:t>
      </w:r>
    </w:p>
    <w:p w:rsidR="005474D2" w:rsidRPr="005474D2" w:rsidRDefault="005474D2" w:rsidP="005474D2">
      <w:pPr>
        <w:spacing w:before="120"/>
        <w:rPr>
          <w:rFonts w:cstheme="minorHAnsi"/>
          <w:color w:val="000000"/>
          <w:szCs w:val="22"/>
          <w:lang w:eastAsia="en-GB"/>
        </w:rPr>
      </w:pPr>
      <w:r w:rsidRPr="005474D2">
        <w:rPr>
          <w:rFonts w:eastAsia="Times New Roman" w:cstheme="minorHAnsi"/>
          <w:color w:val="000000"/>
          <w:szCs w:val="22"/>
          <w:lang w:eastAsia="en-GB"/>
        </w:rPr>
        <w:t xml:space="preserve">A calculation ‘at group level’ is not in our view in line with the level 1 text because </w:t>
      </w:r>
      <w:r w:rsidRPr="005474D2">
        <w:rPr>
          <w:rFonts w:cstheme="minorHAnsi"/>
          <w:color w:val="000000"/>
          <w:szCs w:val="22"/>
          <w:lang w:eastAsia="en-GB"/>
        </w:rPr>
        <w:t xml:space="preserve">the licensing regime in MiFID II applies to </w:t>
      </w:r>
      <w:r w:rsidRPr="005474D2">
        <w:rPr>
          <w:rFonts w:cstheme="minorHAnsi"/>
          <w:i/>
          <w:color w:val="000000"/>
          <w:szCs w:val="22"/>
          <w:lang w:eastAsia="en-GB"/>
        </w:rPr>
        <w:t>persons</w:t>
      </w:r>
      <w:r w:rsidRPr="005474D2">
        <w:rPr>
          <w:rFonts w:cstheme="minorHAnsi"/>
          <w:color w:val="000000"/>
          <w:szCs w:val="22"/>
          <w:lang w:eastAsia="en-GB"/>
        </w:rPr>
        <w:t xml:space="preserve"> and the exemption from such regime should apply at </w:t>
      </w:r>
      <w:r w:rsidRPr="005474D2">
        <w:rPr>
          <w:rFonts w:cstheme="minorHAnsi"/>
          <w:i/>
          <w:color w:val="000000"/>
          <w:szCs w:val="22"/>
          <w:lang w:eastAsia="en-GB"/>
        </w:rPr>
        <w:t xml:space="preserve">person </w:t>
      </w:r>
      <w:r w:rsidRPr="005474D2">
        <w:rPr>
          <w:rFonts w:cstheme="minorHAnsi"/>
          <w:color w:val="000000"/>
          <w:szCs w:val="22"/>
          <w:lang w:eastAsia="en-GB"/>
        </w:rPr>
        <w:t xml:space="preserve">level, as clearly defined in level 1 (article 2.1). </w:t>
      </w:r>
    </w:p>
    <w:p w:rsidR="005474D2" w:rsidRPr="005474D2" w:rsidRDefault="005474D2" w:rsidP="005474D2">
      <w:pPr>
        <w:spacing w:before="120"/>
        <w:rPr>
          <w:rFonts w:cstheme="minorHAnsi"/>
          <w:color w:val="000000"/>
          <w:szCs w:val="22"/>
          <w:lang w:eastAsia="en-GB"/>
        </w:rPr>
      </w:pPr>
      <w:r w:rsidRPr="005474D2">
        <w:rPr>
          <w:rFonts w:cstheme="minorHAnsi"/>
          <w:color w:val="000000"/>
          <w:szCs w:val="22"/>
          <w:lang w:eastAsia="en-GB"/>
        </w:rPr>
        <w:t xml:space="preserve">Most importantly, the calculations and the consequences of failing the tests would affect </w:t>
      </w:r>
      <w:r w:rsidRPr="005474D2">
        <w:rPr>
          <w:rFonts w:cstheme="minorHAnsi"/>
          <w:i/>
          <w:color w:val="000000"/>
          <w:szCs w:val="22"/>
          <w:lang w:eastAsia="en-GB"/>
        </w:rPr>
        <w:t>all</w:t>
      </w:r>
      <w:r w:rsidRPr="005474D2">
        <w:rPr>
          <w:rFonts w:cstheme="minorHAnsi"/>
          <w:color w:val="000000"/>
          <w:szCs w:val="22"/>
          <w:lang w:eastAsia="en-GB"/>
        </w:rPr>
        <w:t xml:space="preserve"> persons within the group and not only those persons involved in investment services/activities, triggering consequences (i.e. EMIR, CRD) for all of them, independently on the individual persons’ activities. Additionally, the processes that would be required at parent company level are not always possible, due to different national and international regimes (e.g. accounting, classification of privileged transactions, calculation of trading activity).</w:t>
      </w:r>
    </w:p>
    <w:p w:rsidR="005474D2" w:rsidRPr="005474D2" w:rsidRDefault="005474D2" w:rsidP="005474D2">
      <w:pPr>
        <w:spacing w:before="120"/>
        <w:rPr>
          <w:rFonts w:cstheme="minorHAnsi"/>
          <w:color w:val="000000"/>
          <w:szCs w:val="22"/>
          <w:lang w:eastAsia="en-GB"/>
        </w:rPr>
      </w:pPr>
      <w:r w:rsidRPr="005474D2">
        <w:rPr>
          <w:rFonts w:cstheme="minorHAnsi"/>
          <w:color w:val="000000"/>
          <w:szCs w:val="22"/>
          <w:lang w:eastAsia="en-GB"/>
        </w:rPr>
        <w:t>A full dependence between different entities within a group engaged in different activities, but still counting towards the thresholds, is therefore not appropriate nor justified.</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ESMA should bear in mind  that entities performing activities regulated by MiFID without a license may be punished with fines and as criminal offence. We read the draft RTS in a way that, following a breach of the trading activity or capital test by </w:t>
      </w:r>
      <w:r w:rsidRPr="005474D2">
        <w:rPr>
          <w:rFonts w:eastAsia="Times New Roman" w:cstheme="minorHAnsi"/>
          <w:i/>
          <w:szCs w:val="22"/>
          <w:lang w:eastAsia="en-GB"/>
        </w:rPr>
        <w:t>one entity</w:t>
      </w:r>
      <w:r w:rsidRPr="005474D2">
        <w:rPr>
          <w:rFonts w:eastAsia="Times New Roman" w:cstheme="minorHAnsi"/>
          <w:szCs w:val="22"/>
          <w:lang w:eastAsia="en-GB"/>
        </w:rPr>
        <w:t xml:space="preserve"> within a group, </w:t>
      </w:r>
      <w:r w:rsidRPr="005474D2">
        <w:rPr>
          <w:rFonts w:eastAsia="Times New Roman" w:cstheme="minorHAnsi"/>
          <w:i/>
          <w:szCs w:val="22"/>
          <w:lang w:eastAsia="en-GB"/>
        </w:rPr>
        <w:t>every other</w:t>
      </w:r>
      <w:r w:rsidRPr="005474D2">
        <w:rPr>
          <w:rFonts w:eastAsia="Times New Roman" w:cstheme="minorHAnsi"/>
          <w:szCs w:val="22"/>
          <w:lang w:eastAsia="en-GB"/>
        </w:rPr>
        <w:t xml:space="preserve"> </w:t>
      </w:r>
      <w:r w:rsidRPr="005474D2">
        <w:rPr>
          <w:rFonts w:eastAsia="Times New Roman" w:cstheme="minorHAnsi"/>
          <w:i/>
          <w:szCs w:val="22"/>
          <w:lang w:eastAsia="en-GB"/>
        </w:rPr>
        <w:t>unregulated entity</w:t>
      </w:r>
      <w:r w:rsidRPr="005474D2">
        <w:rPr>
          <w:rFonts w:eastAsia="Times New Roman" w:cstheme="minorHAnsi"/>
          <w:szCs w:val="22"/>
          <w:lang w:eastAsia="en-GB"/>
        </w:rPr>
        <w:t xml:space="preserve"> within such group will be required to obtain a MiFID II license because they all need to take into account the activities ‘at group level’. </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Therefore ESMA it is crucial that ESMA provide a process allowing excluding from the assessment of the ancillary activity exemption also activities of entities </w:t>
      </w:r>
      <w:r w:rsidRPr="005474D2">
        <w:rPr>
          <w:rFonts w:eastAsia="Times New Roman" w:cstheme="minorHAnsi"/>
          <w:i/>
          <w:szCs w:val="22"/>
          <w:lang w:eastAsia="en-GB"/>
        </w:rPr>
        <w:t>in the process to require or obtain</w:t>
      </w:r>
      <w:r w:rsidRPr="005474D2">
        <w:rPr>
          <w:rFonts w:eastAsia="Times New Roman" w:cstheme="minorHAnsi"/>
          <w:szCs w:val="22"/>
          <w:lang w:eastAsia="en-GB"/>
        </w:rPr>
        <w:t xml:space="preserve"> a MiFID license. This is necessary to ensure business continuity and avoid undue consequences.</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Finally, we read the term ‘</w:t>
      </w:r>
      <w:r w:rsidRPr="005474D2">
        <w:rPr>
          <w:rFonts w:eastAsia="Times New Roman" w:cstheme="minorHAnsi"/>
          <w:i/>
          <w:szCs w:val="22"/>
          <w:lang w:eastAsia="en-GB"/>
        </w:rPr>
        <w:t>size of the trading activity...of the group in the European Union</w:t>
      </w:r>
      <w:r w:rsidRPr="005474D2">
        <w:rPr>
          <w:rFonts w:eastAsia="Times New Roman" w:cstheme="minorHAnsi"/>
          <w:szCs w:val="22"/>
          <w:lang w:eastAsia="en-GB"/>
        </w:rPr>
        <w:t xml:space="preserve">’ (draft RTS 28 article 4) as the trading activities of entities in the group which are subject to the reporting obligation under Article 9 of EMIR. Indeed TRs would only contain data submitted by persons who are subject to the reporting obligation under Article 9 of EMIR. ESMA should give this clarification in the definitions (RTS 28, article 1). </w:t>
      </w:r>
    </w:p>
    <w:p w:rsidR="00577C33"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In any case it is essential that consistency is ensured between the data to be considered at the numerator and at the denominator in the ‘market size test’.</w:t>
      </w:r>
    </w:p>
    <w:permEnd w:id="737570654"/>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lastRenderedPageBreak/>
        <w:t>&lt;ESMA_QUESTION_CP_MIFID_178&gt;</w:t>
      </w:r>
    </w:p>
    <w:p w:rsidR="005474D2" w:rsidRPr="005474D2" w:rsidRDefault="005474D2" w:rsidP="005474D2">
      <w:pPr>
        <w:spacing w:before="120"/>
        <w:rPr>
          <w:rFonts w:eastAsia="Times New Roman" w:cstheme="minorHAnsi"/>
          <w:color w:val="000000"/>
          <w:szCs w:val="22"/>
          <w:lang w:eastAsia="en-GB"/>
        </w:rPr>
      </w:pPr>
      <w:permStart w:id="985352401" w:edGrp="everyone"/>
      <w:r w:rsidRPr="005474D2">
        <w:rPr>
          <w:rFonts w:eastAsia="Times New Roman" w:cstheme="minorHAnsi"/>
          <w:color w:val="000000"/>
          <w:szCs w:val="22"/>
          <w:lang w:eastAsia="en-GB"/>
        </w:rPr>
        <w:t>A separate asset class for freight will create a market that is too little. We believe the inclusion of freight into the asset classes of oil/oil products and coal, depending on how freight is used, would be more reasonable.</w:t>
      </w:r>
    </w:p>
    <w:p w:rsidR="005474D2" w:rsidRPr="005474D2" w:rsidRDefault="005474D2" w:rsidP="005474D2">
      <w:pPr>
        <w:pStyle w:val="BodyText"/>
        <w:rPr>
          <w:rFonts w:eastAsia="Times New Roman" w:cstheme="minorHAnsi"/>
          <w:color w:val="000000"/>
          <w:szCs w:val="22"/>
          <w:lang w:eastAsia="en-GB"/>
        </w:rPr>
      </w:pPr>
      <w:r w:rsidRPr="005474D2">
        <w:rPr>
          <w:rFonts w:eastAsia="Times New Roman" w:cstheme="minorHAnsi"/>
          <w:color w:val="000000"/>
          <w:szCs w:val="22"/>
          <w:lang w:eastAsia="en-GB"/>
        </w:rPr>
        <w:t>Many energy shippers will potentially fall under MiFID II with the current thresholds and none of the shipping market participants will be able to use the hedging exemption (i.e. deduction of hedging activity from the trading thresholds) as their business is not for hedging but shipping. Freight is ancillary to other commodity business, and accordingly it would be appropriate to have freight as part of the commodity in question, e.i.  gas infrastructure within the asset class on gas, electricity transmission within the asset class on electricity, etc.  Alternatively, if freight has its own asset class but probably also if freight is part a ‘Other’ asset class a two digit threshold number is needed in order not to capture real economy business.</w:t>
      </w:r>
    </w:p>
    <w:p w:rsidR="005474D2" w:rsidRPr="005474D2" w:rsidRDefault="005474D2" w:rsidP="005474D2">
      <w:pPr>
        <w:pStyle w:val="BodyText"/>
        <w:rPr>
          <w:rFonts w:eastAsia="Times New Roman" w:cstheme="minorHAnsi"/>
          <w:color w:val="000000"/>
          <w:szCs w:val="22"/>
          <w:lang w:eastAsia="en-GB"/>
        </w:rPr>
      </w:pPr>
      <w:r w:rsidRPr="005474D2">
        <w:rPr>
          <w:rFonts w:eastAsia="Times New Roman" w:cstheme="minorHAnsi"/>
          <w:color w:val="000000"/>
          <w:szCs w:val="22"/>
          <w:lang w:eastAsia="en-GB"/>
        </w:rPr>
        <w:t>Further, regarding C10 commodities, a single asset class will result in very difficult practical considerations for the calculation of the thresholds for the ancillary activity test, due to the fact that C10 refers to any exotic derivative, from renewable certificates to transportation rights or communication bandwidths….</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However we wish to re-state that we disagree in general with the split of energy commodities and emission allowances into five commodity asset classes rather than being grouped. The split is not least strange as ESMA uses the correlation as reason for breach of one asset class should trigger a person to be subject to MiFID II for all commodity asset classes.</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ESMA refers to the fact that ‘many’ argued for wider categories ‘asking to merge the categories related to energy into one’. Nonetheless ESMA fails to explain the reason why this proposal, in line with the other commodities, has not been accepted. Trading in e.g. the different metals being one asset class should purportedly be less correlated than gas, power, coal, oil, and emission allowances.</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Energy commodities are generally traded altogether by specialised trading companies within energy groups (utilities or producers) because of the high correlation (e.g. power and emission allowances).</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Similarly, market participants (producers and consumers) often use an energy commodity to produce another (e.g. coal, gas and oil for power) and in some cases there is a high level of substitutability among commodities (e.g. gas/coal for power production, gas/power for heating, gas/oil for transport, etc.).</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We strongly disagree with the “breach-one-breach-all” principle enshrined in ESMA’s proposal, which would mean that that exceeding the threshold set for a single commodity asset class will lead that person to be subject to MiFID II. This proposal would be reasonable only in case of a single asset class encompassing all energy commodities.</w:t>
      </w:r>
    </w:p>
    <w:p w:rsidR="005474D2" w:rsidRPr="005474D2" w:rsidRDefault="005474D2" w:rsidP="005474D2">
      <w:pPr>
        <w:pStyle w:val="BodyText"/>
        <w:rPr>
          <w:rFonts w:cstheme="minorHAnsi"/>
          <w:szCs w:val="22"/>
          <w:lang w:eastAsia="en-GB"/>
        </w:rPr>
      </w:pPr>
    </w:p>
    <w:p w:rsidR="005474D2" w:rsidRPr="005474D2" w:rsidRDefault="005474D2" w:rsidP="005474D2">
      <w:pPr>
        <w:pStyle w:val="BodyText"/>
        <w:rPr>
          <w:rFonts w:eastAsia="Times New Roman" w:cstheme="minorHAnsi"/>
          <w:color w:val="000000"/>
          <w:szCs w:val="22"/>
          <w:lang w:eastAsia="en-GB"/>
        </w:rPr>
      </w:pPr>
      <w:r w:rsidRPr="005474D2">
        <w:rPr>
          <w:rFonts w:eastAsia="Times New Roman" w:cstheme="minorHAnsi"/>
          <w:color w:val="000000"/>
          <w:szCs w:val="22"/>
          <w:lang w:eastAsia="en-GB"/>
        </w:rPr>
        <w:t xml:space="preserve">Alternatively we would consider the following approach: </w:t>
      </w:r>
    </w:p>
    <w:p w:rsidR="005474D2" w:rsidRPr="005474D2" w:rsidRDefault="005474D2" w:rsidP="005474D2">
      <w:pPr>
        <w:pStyle w:val="BodyText"/>
        <w:rPr>
          <w:rFonts w:eastAsia="Times New Roman" w:cstheme="minorHAnsi"/>
          <w:color w:val="000000"/>
          <w:szCs w:val="22"/>
          <w:lang w:eastAsia="en-GB"/>
        </w:rPr>
      </w:pPr>
      <w:r w:rsidRPr="005474D2">
        <w:rPr>
          <w:rFonts w:eastAsia="Times New Roman" w:cstheme="minorHAnsi"/>
          <w:color w:val="000000"/>
          <w:szCs w:val="22"/>
          <w:lang w:eastAsia="en-GB"/>
        </w:rPr>
        <w:t>(i)</w:t>
      </w:r>
      <w:r w:rsidRPr="005474D2">
        <w:rPr>
          <w:rFonts w:eastAsia="Times New Roman" w:cstheme="minorHAnsi"/>
          <w:color w:val="000000"/>
          <w:szCs w:val="22"/>
          <w:lang w:eastAsia="en-GB"/>
        </w:rPr>
        <w:tab/>
        <w:t>Metals (including freight related to Metals)</w:t>
      </w:r>
    </w:p>
    <w:p w:rsidR="005474D2" w:rsidRPr="005474D2" w:rsidRDefault="005474D2" w:rsidP="005474D2">
      <w:pPr>
        <w:pStyle w:val="BodyText"/>
        <w:rPr>
          <w:rFonts w:eastAsia="Times New Roman" w:cstheme="minorHAnsi"/>
          <w:color w:val="000000"/>
          <w:szCs w:val="22"/>
          <w:lang w:eastAsia="en-GB"/>
        </w:rPr>
      </w:pPr>
      <w:r w:rsidRPr="005474D2">
        <w:rPr>
          <w:rFonts w:eastAsia="Times New Roman" w:cstheme="minorHAnsi"/>
          <w:color w:val="000000"/>
          <w:szCs w:val="22"/>
          <w:lang w:eastAsia="en-GB"/>
        </w:rPr>
        <w:t>(ii)</w:t>
      </w:r>
      <w:r w:rsidRPr="005474D2">
        <w:rPr>
          <w:rFonts w:eastAsia="Times New Roman" w:cstheme="minorHAnsi"/>
          <w:color w:val="000000"/>
          <w:szCs w:val="22"/>
          <w:lang w:eastAsia="en-GB"/>
        </w:rPr>
        <w:tab/>
        <w:t>Oil and oil products (including freight related to oil and oil products)</w:t>
      </w:r>
    </w:p>
    <w:p w:rsidR="005474D2" w:rsidRPr="005474D2" w:rsidRDefault="005474D2" w:rsidP="005474D2">
      <w:pPr>
        <w:pStyle w:val="BodyText"/>
        <w:rPr>
          <w:rFonts w:eastAsia="Times New Roman" w:cstheme="minorHAnsi"/>
          <w:color w:val="000000"/>
          <w:szCs w:val="22"/>
          <w:lang w:eastAsia="en-GB"/>
        </w:rPr>
      </w:pPr>
      <w:r w:rsidRPr="005474D2">
        <w:rPr>
          <w:rFonts w:eastAsia="Times New Roman" w:cstheme="minorHAnsi"/>
          <w:color w:val="000000"/>
          <w:szCs w:val="22"/>
          <w:lang w:eastAsia="en-GB"/>
        </w:rPr>
        <w:t>(iii)</w:t>
      </w:r>
      <w:r w:rsidRPr="005474D2">
        <w:rPr>
          <w:rFonts w:eastAsia="Times New Roman" w:cstheme="minorHAnsi"/>
          <w:color w:val="000000"/>
          <w:szCs w:val="22"/>
          <w:lang w:eastAsia="en-GB"/>
        </w:rPr>
        <w:tab/>
        <w:t>Energy (coal, gas, power, emission allowances and climatic variables) (including freight related to coal, gas, power and emission allowances)</w:t>
      </w:r>
    </w:p>
    <w:p w:rsidR="005474D2" w:rsidRPr="005474D2" w:rsidRDefault="005474D2" w:rsidP="005474D2">
      <w:pPr>
        <w:pStyle w:val="BodyText"/>
        <w:rPr>
          <w:rFonts w:eastAsia="Times New Roman" w:cstheme="minorHAnsi"/>
          <w:color w:val="000000"/>
          <w:szCs w:val="22"/>
          <w:lang w:eastAsia="en-GB"/>
        </w:rPr>
      </w:pPr>
      <w:r w:rsidRPr="005474D2">
        <w:rPr>
          <w:rFonts w:eastAsia="Times New Roman" w:cstheme="minorHAnsi"/>
          <w:color w:val="000000"/>
          <w:szCs w:val="22"/>
          <w:lang w:eastAsia="en-GB"/>
        </w:rPr>
        <w:t>(iv)</w:t>
      </w:r>
      <w:r w:rsidRPr="005474D2">
        <w:rPr>
          <w:rFonts w:eastAsia="Times New Roman" w:cstheme="minorHAnsi"/>
          <w:color w:val="000000"/>
          <w:szCs w:val="22"/>
          <w:lang w:eastAsia="en-GB"/>
        </w:rPr>
        <w:tab/>
        <w:t>Agricultural products (including freight related to agricultural products)</w:t>
      </w:r>
    </w:p>
    <w:p w:rsidR="00577C33" w:rsidRPr="005474D2" w:rsidRDefault="005474D2" w:rsidP="005474D2">
      <w:pPr>
        <w:pStyle w:val="BodyText"/>
        <w:rPr>
          <w:rFonts w:eastAsia="Times New Roman" w:cstheme="minorHAnsi"/>
          <w:color w:val="000000"/>
          <w:szCs w:val="22"/>
          <w:lang w:eastAsia="en-GB"/>
        </w:rPr>
      </w:pPr>
      <w:r w:rsidRPr="005474D2">
        <w:rPr>
          <w:rFonts w:eastAsia="Times New Roman" w:cstheme="minorHAnsi"/>
          <w:color w:val="000000"/>
          <w:szCs w:val="22"/>
          <w:lang w:eastAsia="en-GB"/>
        </w:rPr>
        <w:lastRenderedPageBreak/>
        <w:t xml:space="preserve">At a very least, we believe that gas and electricity should be grouped in a single asset class considering the very similar regulation and common oversight to which they are subject in the European Union. Also in this this case </w:t>
      </w:r>
      <w:r w:rsidRPr="005474D2">
        <w:rPr>
          <w:rFonts w:eastAsia="Times New Roman" w:cstheme="minorHAnsi"/>
          <w:i/>
          <w:color w:val="000000"/>
          <w:szCs w:val="22"/>
          <w:lang w:eastAsia="en-GB"/>
        </w:rPr>
        <w:t>volumes</w:t>
      </w:r>
      <w:r w:rsidRPr="005474D2">
        <w:rPr>
          <w:rFonts w:eastAsia="Times New Roman" w:cstheme="minorHAnsi"/>
          <w:color w:val="000000"/>
          <w:szCs w:val="22"/>
          <w:lang w:eastAsia="en-GB"/>
        </w:rPr>
        <w:t xml:space="preserve"> (i.e. energy traded) would be more appropriate than </w:t>
      </w:r>
      <w:r w:rsidRPr="005474D2">
        <w:rPr>
          <w:rFonts w:eastAsia="Times New Roman" w:cstheme="minorHAnsi"/>
          <w:i/>
          <w:color w:val="000000"/>
          <w:szCs w:val="22"/>
          <w:lang w:eastAsia="en-GB"/>
        </w:rPr>
        <w:t>values</w:t>
      </w:r>
      <w:r w:rsidRPr="005474D2">
        <w:rPr>
          <w:rFonts w:eastAsia="Times New Roman" w:cstheme="minorHAnsi"/>
          <w:color w:val="000000"/>
          <w:szCs w:val="22"/>
          <w:lang w:eastAsia="en-GB"/>
        </w:rPr>
        <w:t xml:space="preserve"> to assess the market size. </w:t>
      </w:r>
    </w:p>
    <w:permEnd w:id="985352401"/>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474D2" w:rsidRPr="005474D2" w:rsidRDefault="005474D2" w:rsidP="005474D2">
      <w:pPr>
        <w:spacing w:before="120"/>
        <w:rPr>
          <w:rFonts w:eastAsia="Times New Roman" w:cstheme="minorHAnsi"/>
          <w:szCs w:val="22"/>
          <w:lang w:eastAsia="en-GB"/>
        </w:rPr>
      </w:pPr>
      <w:permStart w:id="2051758202" w:edGrp="everyone"/>
      <w:r w:rsidRPr="005474D2">
        <w:rPr>
          <w:rFonts w:eastAsia="Times New Roman" w:cstheme="minorHAnsi"/>
          <w:szCs w:val="22"/>
          <w:lang w:eastAsia="en-GB"/>
        </w:rPr>
        <w:t>Eurogas strongly disagrees with this approach. The threshold for the ancillary activity test is too low and not appropriate. The level proposed is so low that it would render the exemption worthless. It appears that ESMA intends to capture all non-financial entities that are engaged in financial markets beyond the privileged transactions. Such an approach would transform the ancillary activity exemption into an ‘hedging exemption’, which is different from the content of the level 1 text.</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MiFID II refers to a concept of ‘proportionality’ (Those criteria should ensure that non-financial firms dealing in financial instruments in a </w:t>
      </w:r>
      <w:r w:rsidRPr="005474D2">
        <w:rPr>
          <w:rFonts w:eastAsia="Times New Roman" w:cstheme="minorHAnsi"/>
          <w:i/>
          <w:szCs w:val="22"/>
          <w:lang w:eastAsia="en-GB"/>
        </w:rPr>
        <w:t>disproportionate</w:t>
      </w:r>
      <w:r w:rsidRPr="005474D2">
        <w:rPr>
          <w:rFonts w:eastAsia="Times New Roman" w:cstheme="minorHAnsi"/>
          <w:szCs w:val="22"/>
          <w:lang w:eastAsia="en-GB"/>
        </w:rPr>
        <w:t xml:space="preserve"> manner compared with the level of investment in the main business are covered by the scope of this Directive, Recital 20). </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We believe that a ‘one-size-fit-all’ threshold of 0.5% for the energy commodity asset classes listed by ESMA, is extremely and unreasonably low when compared to the proportionality principle. ESMA fails to provide evidence on how this threshold is meant to meet such a requirement. The co-legislators intention is to narrow down the existing exemption but not render it void, as it would be with the level of the threshold proposed because almost </w:t>
      </w:r>
      <w:r w:rsidRPr="005474D2">
        <w:rPr>
          <w:rFonts w:eastAsia="Times New Roman" w:cstheme="minorHAnsi"/>
          <w:i/>
          <w:szCs w:val="22"/>
          <w:lang w:eastAsia="en-GB"/>
        </w:rPr>
        <w:t xml:space="preserve">all </w:t>
      </w:r>
      <w:r w:rsidRPr="005474D2">
        <w:rPr>
          <w:rFonts w:eastAsia="Times New Roman" w:cstheme="minorHAnsi"/>
          <w:szCs w:val="22"/>
          <w:lang w:eastAsia="en-GB"/>
        </w:rPr>
        <w:t xml:space="preserve">commodity trading entities are likely to be captured. In the case of the trading test even a little error in the calculation or the rules of approximation could be devastating. </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color w:val="000000"/>
          <w:szCs w:val="22"/>
          <w:lang w:eastAsia="en-GB"/>
        </w:rPr>
        <w:t xml:space="preserve">As for the capital employed test, </w:t>
      </w:r>
      <w:r w:rsidRPr="005474D2">
        <w:rPr>
          <w:rFonts w:eastAsia="Times New Roman" w:cstheme="minorHAnsi"/>
          <w:szCs w:val="22"/>
          <w:lang w:eastAsia="en-GB"/>
        </w:rPr>
        <w:t xml:space="preserve">ESMA seems not to have based the threshold levels proposed on market data, nor on an impact assessment. Given the potential severe impact on the industries in question, the definition of the threshold level requires a solid basis.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ESMA does not provide evidence on how many persons would be captured by MiFID as a result of  its proposal. There is a lack of data and ESMA cannot expect market participants to be able to determine whether they are likely to fall below or beyond the proposed threshold in such a vagueness.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Only estimations will be possible and, even worse, market participants would risk anyway to be captured for reasons that go beyond their control or activity (i.e. markets suddenly shrinking).</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We believe that the consequences of ESMA’s current proposals would see the vast majority of energy trading firms being regulated as financial entities, subject to detailed oversight by financial regulators and forced to comply with onerous and costly rules on licensing requirements, clearing and margining, capital and liquidity adequacy, at times when credit conditions for much needed investments in energy infrastructures is already difficult. This is also partly due to a wider definition of financial instruments stemming from MIFID II and ESMA’s proposal RTS.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lastRenderedPageBreak/>
        <w:t>These obligations would trigger a cascade of material adverse, unnecessary and unintended impacts on energy markets, energy consumers, energy prices and thus the real economy:</w:t>
      </w:r>
    </w:p>
    <w:p w:rsidR="005474D2" w:rsidRPr="005474D2" w:rsidRDefault="005474D2" w:rsidP="005474D2">
      <w:pPr>
        <w:pStyle w:val="ListParagraph"/>
        <w:numPr>
          <w:ilvl w:val="0"/>
          <w:numId w:val="32"/>
        </w:numPr>
        <w:spacing w:before="120" w:line="240" w:lineRule="auto"/>
        <w:ind w:left="357" w:hanging="357"/>
        <w:rPr>
          <w:rFonts w:cstheme="minorHAnsi"/>
          <w:color w:val="000000"/>
          <w:szCs w:val="22"/>
          <w:lang w:eastAsia="en-GB"/>
        </w:rPr>
      </w:pPr>
      <w:r w:rsidRPr="005474D2">
        <w:rPr>
          <w:rFonts w:cstheme="minorHAnsi"/>
          <w:color w:val="000000"/>
          <w:szCs w:val="22"/>
          <w:lang w:eastAsia="en-GB"/>
        </w:rPr>
        <w:t>Small and medium sized energy (trading) firms will exit the market due to prohibitive compliance and prudential capital and liquidity requirements. Larger firms will curtail or close their EU trading activity in the light of increased compliance and prudential capital costs. This would have material adverse impacts on the competitive outset of the Internal Market for Energy.</w:t>
      </w:r>
    </w:p>
    <w:p w:rsidR="005474D2" w:rsidRPr="005474D2" w:rsidRDefault="005474D2" w:rsidP="005474D2">
      <w:pPr>
        <w:pStyle w:val="ListParagraph"/>
        <w:numPr>
          <w:ilvl w:val="0"/>
          <w:numId w:val="32"/>
        </w:numPr>
        <w:spacing w:before="120" w:line="240" w:lineRule="auto"/>
        <w:ind w:left="357" w:hanging="357"/>
        <w:rPr>
          <w:rFonts w:cstheme="minorHAnsi"/>
          <w:color w:val="000000"/>
          <w:szCs w:val="22"/>
          <w:lang w:eastAsia="en-GB"/>
        </w:rPr>
      </w:pPr>
      <w:r w:rsidRPr="005474D2">
        <w:rPr>
          <w:rFonts w:cstheme="minorHAnsi"/>
          <w:color w:val="000000"/>
          <w:szCs w:val="22"/>
          <w:lang w:eastAsia="en-GB"/>
        </w:rPr>
        <w:t>Trading activity will, wherever possible, be routed via other international markets to avoid disproportionate licensing and capital costs. Trade will also migrate to purely bilateral, physical markets and products. Trading entities may seek to move outside of the European Union.</w:t>
      </w:r>
    </w:p>
    <w:p w:rsidR="005474D2" w:rsidRPr="005474D2" w:rsidRDefault="005474D2" w:rsidP="005474D2">
      <w:pPr>
        <w:pStyle w:val="ListParagraph"/>
        <w:numPr>
          <w:ilvl w:val="0"/>
          <w:numId w:val="32"/>
        </w:numPr>
        <w:spacing w:before="120" w:line="240" w:lineRule="auto"/>
        <w:ind w:left="357" w:hanging="357"/>
        <w:rPr>
          <w:rFonts w:cstheme="minorHAnsi"/>
          <w:color w:val="000000"/>
          <w:szCs w:val="22"/>
          <w:lang w:eastAsia="en-GB"/>
        </w:rPr>
      </w:pPr>
      <w:r w:rsidRPr="005474D2">
        <w:rPr>
          <w:rFonts w:cstheme="minorHAnsi"/>
          <w:color w:val="000000"/>
          <w:szCs w:val="22"/>
          <w:lang w:eastAsia="en-GB"/>
        </w:rPr>
        <w:t>The energy groups that will remain will have to reallocate capital within their businesses to meet the capital and liquidity ratios for their trading unit. This will “trap” liquidity in the trading unit or force consolidation of asset (generation) businesses with trading businesses in order to utilise the liquidity. Perversely, this would see financial authorities overseeing gas fields, nuclear plants, coal power plants and lignite mines etc. to oversee a minority trading business and simultaneously undermining energy regulators’ needs for effective business separation.</w:t>
      </w:r>
    </w:p>
    <w:p w:rsidR="005474D2" w:rsidRPr="005474D2" w:rsidRDefault="005474D2" w:rsidP="005474D2">
      <w:pPr>
        <w:pStyle w:val="ListParagraph"/>
        <w:numPr>
          <w:ilvl w:val="0"/>
          <w:numId w:val="32"/>
        </w:numPr>
        <w:spacing w:before="120" w:line="240" w:lineRule="auto"/>
        <w:ind w:left="357" w:hanging="357"/>
        <w:rPr>
          <w:rFonts w:cstheme="minorHAnsi"/>
          <w:color w:val="000000"/>
          <w:szCs w:val="22"/>
          <w:lang w:eastAsia="en-GB"/>
        </w:rPr>
      </w:pPr>
      <w:r w:rsidRPr="005474D2">
        <w:rPr>
          <w:rFonts w:cstheme="minorHAnsi"/>
          <w:color w:val="000000"/>
          <w:szCs w:val="22"/>
          <w:lang w:eastAsia="en-GB"/>
        </w:rPr>
        <w:t>Despite the need for increased liquidity in many European energy and commodity markets (e.g., as desired by Ofgem in the UK power market or as highlighted by ACER for the European gas markets in the recent Gas Target Model analysis) liquidity will dry out. The fall in liquidity will significantly increase the costs of risk management for energy companies and massively reduce opportunities for commodity risk management by industrial customers, resulting in additional competitive disadvantages on top of the ones already suffered by the European industry.</w:t>
      </w:r>
    </w:p>
    <w:p w:rsidR="005474D2" w:rsidRPr="005474D2" w:rsidRDefault="005474D2" w:rsidP="005474D2">
      <w:pPr>
        <w:pStyle w:val="ListParagraph"/>
        <w:numPr>
          <w:ilvl w:val="0"/>
          <w:numId w:val="32"/>
        </w:numPr>
        <w:spacing w:before="120" w:line="240" w:lineRule="auto"/>
        <w:ind w:left="357" w:hanging="357"/>
        <w:rPr>
          <w:rFonts w:cstheme="minorHAnsi"/>
          <w:color w:val="000000"/>
          <w:szCs w:val="22"/>
          <w:lang w:eastAsia="en-GB"/>
        </w:rPr>
      </w:pPr>
      <w:r w:rsidRPr="005474D2">
        <w:rPr>
          <w:rFonts w:cstheme="minorHAnsi"/>
          <w:color w:val="000000"/>
          <w:szCs w:val="22"/>
          <w:lang w:eastAsia="en-GB"/>
        </w:rPr>
        <w:t>The damage to wholesale energy markets also directly undermines the political aims of the Internal Market for Energy and the 3rd Energy Package. Illiquid wholesale markets reduce market competition and efficiency in the production and retail markets and energy prices for consumers and industry will increase as a result. Increased risk, constrained investment capital and poor market price signals will also undermine investment, production and consumption decisions and degrade the security of energy supplies.</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 xml:space="preserve">These increased costs and risks come without any corresponding improvement in the risk profile or integrity of the financial markets from the perspective of energy trading firms. The energy markets are already effectively regulated, highly transparent and subject to the same high standards of conduct and integrity under REMIT. EMIR and the Market Abuse regime apply to the limited investment activity of energy groups.  </w:t>
      </w:r>
    </w:p>
    <w:p w:rsidR="005474D2" w:rsidRPr="005474D2" w:rsidRDefault="005474D2" w:rsidP="005474D2">
      <w:pPr>
        <w:spacing w:before="120"/>
        <w:rPr>
          <w:rFonts w:eastAsia="Times New Roman" w:cstheme="minorHAnsi"/>
          <w:color w:val="000000"/>
          <w:szCs w:val="22"/>
          <w:lang w:eastAsia="en-GB"/>
        </w:rPr>
      </w:pPr>
      <w:r w:rsidRPr="005474D2">
        <w:rPr>
          <w:rFonts w:eastAsia="Times New Roman" w:cstheme="minorHAnsi"/>
          <w:color w:val="000000"/>
          <w:szCs w:val="22"/>
          <w:lang w:eastAsia="en-GB"/>
        </w:rPr>
        <w:t>The requirements related to MiFID will not achieve a “level playing field” between financial and non-financial counterparties as ESMA claims, on the contrary, it will reduce it further. Trading commodities on own account poses no threat to bank savers and no requirement to protect investors. Nor do commodity traders have access to central bank liquidity to meet liquidity requirements. Imposing the same obligations on fundamentally different businesses makes the field unplayable.</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 xml:space="preserve">Should the disaggregation of energy commodities remain as proposed in the consultation, the level of the thresholds should at least be differentiated per commodity asset class, especially should ESMA maintain that breaching the threshold in any asset class imposes a license requirement, with the consequences that we illustrated above. Therefore the RTS should conservatively include relatively high thresholds in the beginning. </w:t>
      </w:r>
    </w:p>
    <w:p w:rsidR="005474D2"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lastRenderedPageBreak/>
        <w:t>In absence of reliable data on the size of the market at the time of drafting RTS and in consideration of the extreme consequences on energy markets, consumers and prices of applying incorrectly the MiFID II scheme to non-financial entities that are not relevant for financial markets, we believe</w:t>
      </w:r>
      <w:r w:rsidR="001B4161">
        <w:rPr>
          <w:rFonts w:eastAsia="Times New Roman" w:cstheme="minorHAnsi"/>
          <w:szCs w:val="22"/>
          <w:lang w:eastAsia="en-GB"/>
        </w:rPr>
        <w:t xml:space="preserve"> that a low-two-digit number (12</w:t>
      </w:r>
      <w:r w:rsidRPr="005474D2">
        <w:rPr>
          <w:rFonts w:eastAsia="Times New Roman" w:cstheme="minorHAnsi"/>
          <w:szCs w:val="22"/>
          <w:lang w:eastAsia="en-GB"/>
        </w:rPr>
        <w:t xml:space="preserve">-15%) it is more appropriate for this threshold. </w:t>
      </w:r>
    </w:p>
    <w:p w:rsidR="00577C33" w:rsidRPr="005474D2" w:rsidRDefault="005474D2" w:rsidP="005474D2">
      <w:pPr>
        <w:spacing w:before="120"/>
        <w:rPr>
          <w:rFonts w:eastAsia="Times New Roman" w:cstheme="minorHAnsi"/>
          <w:szCs w:val="22"/>
          <w:lang w:eastAsia="en-GB"/>
        </w:rPr>
      </w:pPr>
      <w:r w:rsidRPr="005474D2">
        <w:rPr>
          <w:rFonts w:eastAsia="Times New Roman" w:cstheme="minorHAnsi"/>
          <w:szCs w:val="22"/>
          <w:lang w:eastAsia="en-GB"/>
        </w:rPr>
        <w:t>Subsequently ESMA may revise the level of the threshold(s) on the basis of the evidence gathered. Finally, it shall be underlined that there is a special problem for an asset class for emission allowances as the trading of compliance-buyers cannot be said to be hedging. Consequently, such traders (electricity producers) may end up having a large market share just because they have to fulfil EU obligations. A way out of this problem could be if art. 2(1)e and art. 2(1)j could be used in conjunction and thereby extract trades made for compliance reasons from the calculation . Such recognition is better than to seek for a right (much higher) threshold as the right level to exempt compliance-buyers will give room for significant ‘speculative’ trading for others.</w:t>
      </w:r>
    </w:p>
    <w:permEnd w:id="2051758202"/>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Pr="00506EE0" w:rsidRDefault="00506EE0" w:rsidP="00506EE0">
      <w:pPr>
        <w:spacing w:before="120"/>
        <w:rPr>
          <w:rFonts w:eastAsia="Times New Roman" w:cstheme="minorHAnsi"/>
          <w:bCs/>
          <w:color w:val="000000"/>
          <w:szCs w:val="22"/>
          <w:lang w:eastAsia="en-GB"/>
        </w:rPr>
      </w:pPr>
      <w:permStart w:id="1882878455" w:edGrp="everyone"/>
      <w:r>
        <w:rPr>
          <w:rFonts w:eastAsia="Times New Roman" w:cstheme="minorHAnsi"/>
          <w:bCs/>
          <w:color w:val="000000"/>
          <w:szCs w:val="22"/>
          <w:lang w:eastAsia="en-GB"/>
        </w:rPr>
        <w:t>Eurogas believes that a de-</w:t>
      </w:r>
      <w:r w:rsidRPr="00506EE0">
        <w:rPr>
          <w:rFonts w:eastAsia="Times New Roman" w:cstheme="minorHAnsi"/>
          <w:bCs/>
          <w:color w:val="000000"/>
          <w:szCs w:val="22"/>
          <w:lang w:eastAsia="en-GB"/>
        </w:rPr>
        <w:t xml:space="preserve">minimis threshold would indeed be helpful. However the level should be raised as a consequence of a different approach as suggested in response to Q179. In case the market size threshold is set </w:t>
      </w:r>
      <w:r w:rsidRPr="00506EE0">
        <w:rPr>
          <w:rFonts w:eastAsia="Times New Roman" w:cstheme="minorHAnsi"/>
          <w:szCs w:val="22"/>
          <w:lang w:eastAsia="en-GB"/>
        </w:rPr>
        <w:t xml:space="preserve">at a low-two-digit level, </w:t>
      </w:r>
      <w:r>
        <w:rPr>
          <w:rFonts w:eastAsia="Times New Roman" w:cstheme="minorHAnsi"/>
          <w:bCs/>
          <w:color w:val="000000"/>
          <w:szCs w:val="22"/>
          <w:lang w:eastAsia="en-GB"/>
        </w:rPr>
        <w:t>the de-</w:t>
      </w:r>
      <w:r w:rsidRPr="00506EE0">
        <w:rPr>
          <w:rFonts w:eastAsia="Times New Roman" w:cstheme="minorHAnsi"/>
          <w:bCs/>
          <w:color w:val="000000"/>
          <w:szCs w:val="22"/>
          <w:lang w:eastAsia="en-GB"/>
        </w:rPr>
        <w:t>minimis threshold should be set at a more reasonable level in the range between 4-5%. This level should depend on the level of the threshold for the specific commodity asset class. Alternatively it can be set at the 50% of the level of the threshold for the market size test.</w:t>
      </w:r>
    </w:p>
    <w:permEnd w:id="1882878455"/>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06EE0" w:rsidRPr="00506EE0" w:rsidRDefault="00506EE0" w:rsidP="00506EE0">
      <w:pPr>
        <w:spacing w:before="120"/>
        <w:rPr>
          <w:rFonts w:eastAsia="Times New Roman" w:cstheme="minorHAnsi"/>
          <w:szCs w:val="22"/>
          <w:lang w:eastAsia="en-GB"/>
        </w:rPr>
      </w:pPr>
      <w:permStart w:id="900540943" w:edGrp="everyone"/>
      <w:r w:rsidRPr="00506EE0">
        <w:rPr>
          <w:rFonts w:eastAsia="Times New Roman" w:cstheme="minorHAnsi"/>
          <w:szCs w:val="22"/>
          <w:lang w:eastAsia="en-GB"/>
        </w:rPr>
        <w:t xml:space="preserve">In the draft RTS, “intragroup transactions” are defined by reference to Article 3 of EMIR. Under this Article, in order for an EU counterparty to qualify a contract with another counterparty in the same group that is established in a third country, it is required that the Commission has adopted an implementing act to deem that third country as being equivalent under EMIR Article 13(2).   </w:t>
      </w:r>
    </w:p>
    <w:p w:rsidR="00506EE0" w:rsidRPr="00506EE0" w:rsidRDefault="00506EE0" w:rsidP="00506EE0">
      <w:pPr>
        <w:spacing w:before="120"/>
        <w:rPr>
          <w:rFonts w:eastAsia="Times New Roman" w:cstheme="minorHAnsi"/>
          <w:szCs w:val="22"/>
          <w:lang w:eastAsia="en-GB"/>
        </w:rPr>
      </w:pPr>
      <w:r w:rsidRPr="00506EE0">
        <w:rPr>
          <w:rFonts w:eastAsia="Times New Roman" w:cstheme="minorHAnsi"/>
          <w:szCs w:val="22"/>
          <w:lang w:eastAsia="en-GB"/>
        </w:rPr>
        <w:t>In the absence of such equivalence assessments, and due to the uncertainty over when such assessments might eventually be made, we would consider it more appropriate to define an “intragroup” transaction as a transaction between two counterparties belonging to the same group, maintaining a generic reference to the term group as this is in line with the text of Level 1 and the need to avoid extraterritorial application of MiFID II, as expressed by ESMA in the consultation paper at point 30.</w:t>
      </w:r>
    </w:p>
    <w:p w:rsidR="00506EE0" w:rsidRPr="00506EE0" w:rsidRDefault="00506EE0" w:rsidP="00506EE0">
      <w:pPr>
        <w:spacing w:before="120"/>
        <w:rPr>
          <w:rFonts w:eastAsia="Times New Roman" w:cstheme="minorHAnsi"/>
          <w:szCs w:val="22"/>
          <w:lang w:eastAsia="en-GB"/>
        </w:rPr>
      </w:pPr>
      <w:r w:rsidRPr="00506EE0">
        <w:rPr>
          <w:rFonts w:eastAsia="Times New Roman" w:cstheme="minorHAnsi"/>
          <w:szCs w:val="22"/>
          <w:lang w:eastAsia="en-GB"/>
        </w:rPr>
        <w:t>Otherwise, in recognition of the possibility that such assessments may not be in place before 2017, we would urge that provisions be made in the technical standards for a transitional regime.</w:t>
      </w:r>
    </w:p>
    <w:p w:rsidR="00577C33" w:rsidRPr="00506EE0" w:rsidRDefault="00506EE0" w:rsidP="00506EE0">
      <w:pPr>
        <w:pStyle w:val="BodyText"/>
        <w:rPr>
          <w:rFonts w:eastAsia="Times New Roman" w:cstheme="minorHAnsi"/>
          <w:szCs w:val="22"/>
          <w:lang w:eastAsia="en-GB"/>
        </w:rPr>
      </w:pPr>
      <w:r w:rsidRPr="00506EE0">
        <w:rPr>
          <w:rFonts w:eastAsia="Times New Roman" w:cstheme="minorHAnsi"/>
          <w:szCs w:val="22"/>
          <w:lang w:eastAsia="en-GB"/>
        </w:rPr>
        <w:t>Finally we reiterate the need to exclude trading activity in relation to carbon EU-ETS compliance. See also our answer to Q171.</w:t>
      </w:r>
    </w:p>
    <w:permEnd w:id="900540943"/>
    <w:p w:rsidR="00577C33" w:rsidRDefault="00577C33" w:rsidP="00EC2C93">
      <w:pPr>
        <w:keepNext/>
      </w:pPr>
      <w:r>
        <w:lastRenderedPageBreak/>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06EE0" w:rsidRPr="00506EE0" w:rsidRDefault="00506EE0" w:rsidP="00506EE0">
      <w:pPr>
        <w:spacing w:before="120"/>
        <w:rPr>
          <w:rFonts w:eastAsia="Times New Roman" w:cstheme="minorHAnsi"/>
          <w:bCs/>
          <w:color w:val="000000"/>
          <w:szCs w:val="22"/>
          <w:lang w:eastAsia="en-GB"/>
        </w:rPr>
      </w:pPr>
      <w:permStart w:id="1022851538" w:edGrp="everyone"/>
      <w:r w:rsidRPr="00506EE0">
        <w:rPr>
          <w:rFonts w:eastAsia="Times New Roman" w:cstheme="minorHAnsi"/>
          <w:bCs/>
          <w:color w:val="000000"/>
          <w:szCs w:val="22"/>
          <w:lang w:eastAsia="en-GB"/>
        </w:rPr>
        <w:t>Eurogas strongly disagrees with the timeframe proposed by ESMA. We believe that ESMA requires a calculation that is practically impossible to make in the timeframe proposed. The intention in 2017 to use average data for 2016 is very difficult if not impossible to achieve for member firms. Average data for 2016 will only be available once 2016 has come to an end, i.e. on 2 January 2017 (since 1 January 2017 is a bank holiday in most if not all EU jurisdictions). MiFID II applies from 3 January 2017. The period of implementation of MIFID rules will be of a least one year and therefore it is unclear how a firm, can find out after 31 December 2016 that it is going to be licensed will be able to put in place all processes by 3</w:t>
      </w:r>
      <w:r w:rsidRPr="00506EE0">
        <w:rPr>
          <w:rFonts w:eastAsia="Times New Roman" w:cstheme="minorHAnsi"/>
          <w:bCs/>
          <w:color w:val="000000"/>
          <w:szCs w:val="22"/>
          <w:vertAlign w:val="superscript"/>
          <w:lang w:eastAsia="en-GB"/>
        </w:rPr>
        <w:t>rd</w:t>
      </w:r>
      <w:r w:rsidRPr="00506EE0">
        <w:rPr>
          <w:rFonts w:eastAsia="Times New Roman" w:cstheme="minorHAnsi"/>
          <w:bCs/>
          <w:color w:val="000000"/>
          <w:szCs w:val="22"/>
          <w:lang w:eastAsia="en-GB"/>
        </w:rPr>
        <w:t xml:space="preserve"> January 2017 (3 days later): accounting data for firms is only audited and published within the first half of the year following the account closing date (31.12 of each calendar year usually). Even if such data was made available a 3 days implementation and compliance period can’t be deemed reasonable or fair. </w:t>
      </w:r>
    </w:p>
    <w:p w:rsidR="00506EE0" w:rsidRPr="00506EE0" w:rsidRDefault="00506EE0" w:rsidP="00506EE0">
      <w:pPr>
        <w:spacing w:before="120"/>
        <w:rPr>
          <w:rFonts w:eastAsia="Times New Roman" w:cstheme="minorHAnsi"/>
          <w:bCs/>
          <w:color w:val="000000"/>
          <w:szCs w:val="22"/>
          <w:lang w:eastAsia="en-GB"/>
        </w:rPr>
      </w:pPr>
      <w:r w:rsidRPr="00506EE0">
        <w:rPr>
          <w:rFonts w:eastAsia="Times New Roman" w:cstheme="minorHAnsi"/>
          <w:bCs/>
          <w:color w:val="000000"/>
          <w:szCs w:val="22"/>
          <w:lang w:eastAsia="en-GB"/>
        </w:rPr>
        <w:t>We also doubt why ESMA wants to use data related to 2016 when MiFID II will not yet be in force. This is conferring MiFID II a retroactive effect, which is not the intended purpose of the directive. Deciding on retroactivity is a prerogative of the European legislator and not a power conferred to the executive authority.</w:t>
      </w:r>
    </w:p>
    <w:p w:rsidR="00506EE0" w:rsidRPr="00506EE0" w:rsidRDefault="00506EE0" w:rsidP="00506EE0">
      <w:pPr>
        <w:spacing w:before="120"/>
        <w:rPr>
          <w:rFonts w:eastAsia="Times New Roman" w:cstheme="minorHAnsi"/>
          <w:bCs/>
          <w:color w:val="000000"/>
          <w:szCs w:val="22"/>
          <w:lang w:eastAsia="en-GB"/>
        </w:rPr>
      </w:pPr>
      <w:r w:rsidRPr="00506EE0">
        <w:rPr>
          <w:rFonts w:eastAsia="Times New Roman" w:cstheme="minorHAnsi"/>
          <w:bCs/>
          <w:color w:val="000000"/>
          <w:szCs w:val="22"/>
          <w:lang w:eastAsia="en-GB"/>
        </w:rPr>
        <w:t>It is unclear also why the interim solution covers one year only (2016), whilst ESMA it has justified the proposal of calculation over a three years period saying that ‘</w:t>
      </w:r>
      <w:r w:rsidRPr="00506EE0">
        <w:rPr>
          <w:rFonts w:eastAsia="Times New Roman" w:cstheme="minorHAnsi"/>
          <w:bCs/>
          <w:i/>
          <w:color w:val="000000"/>
          <w:szCs w:val="22"/>
          <w:lang w:eastAsia="en-GB"/>
        </w:rPr>
        <w:t>the amount of capital employed and the size of the trading activity in financial instruments might fluctuate from year to year. Therefore, a firm may fall within the scope of MiFID II because it fulfils the relevant criteria one year but it may qualify for an exemption from MiFID II the following year</w:t>
      </w:r>
      <w:r w:rsidRPr="00506EE0">
        <w:rPr>
          <w:rFonts w:eastAsia="Times New Roman" w:cstheme="minorHAnsi"/>
          <w:bCs/>
          <w:color w:val="000000"/>
          <w:szCs w:val="22"/>
          <w:lang w:eastAsia="en-GB"/>
        </w:rPr>
        <w:t>’ and it justifies the rejection of the proposal for ‘a second chance’ on the basis of the fact that the procedure ‘</w:t>
      </w:r>
      <w:r w:rsidRPr="00506EE0">
        <w:rPr>
          <w:rFonts w:eastAsia="Times New Roman" w:cstheme="minorHAnsi"/>
          <w:bCs/>
          <w:i/>
          <w:color w:val="000000"/>
          <w:szCs w:val="22"/>
          <w:lang w:eastAsia="en-GB"/>
        </w:rPr>
        <w:t>relies on monthly inputs for 36 consecutive months seems to provide several chances to check the firm’s position against the thresholds and decide whether to reduce the trading in these instruments in order to fulfil the requirements to benefit from the exemption in the regular annual test’.</w:t>
      </w:r>
    </w:p>
    <w:p w:rsidR="00506EE0" w:rsidRPr="00506EE0" w:rsidRDefault="00506EE0" w:rsidP="00506EE0">
      <w:pPr>
        <w:spacing w:before="120"/>
        <w:rPr>
          <w:rFonts w:eastAsia="Times New Roman" w:cstheme="minorHAnsi"/>
          <w:bCs/>
          <w:color w:val="000000"/>
          <w:szCs w:val="22"/>
          <w:lang w:eastAsia="en-GB"/>
        </w:rPr>
      </w:pPr>
      <w:r w:rsidRPr="00506EE0">
        <w:rPr>
          <w:rFonts w:eastAsia="Times New Roman" w:cstheme="minorHAnsi"/>
          <w:bCs/>
          <w:color w:val="000000"/>
          <w:szCs w:val="22"/>
          <w:lang w:eastAsia="en-GB"/>
        </w:rPr>
        <w:t>On a practical point of view, it is impossible to acquire data of the balance sheet of the group (for the calculation of the first test) in 2 days after the end of the year. It is expected also to find some difficulty to validate the data from the TRs concerning both the market and the single person making use of the exemption.</w:t>
      </w:r>
    </w:p>
    <w:p w:rsidR="00506EE0" w:rsidRPr="00506EE0" w:rsidRDefault="00506EE0" w:rsidP="00506EE0">
      <w:pPr>
        <w:spacing w:before="120"/>
        <w:rPr>
          <w:rFonts w:eastAsia="Times New Roman" w:cstheme="minorHAnsi"/>
          <w:bCs/>
          <w:color w:val="000000"/>
          <w:szCs w:val="22"/>
          <w:lang w:eastAsia="en-GB"/>
        </w:rPr>
      </w:pPr>
      <w:r w:rsidRPr="00506EE0">
        <w:rPr>
          <w:rFonts w:eastAsia="Times New Roman" w:cstheme="minorHAnsi"/>
          <w:bCs/>
          <w:color w:val="000000"/>
          <w:szCs w:val="22"/>
          <w:lang w:eastAsia="en-GB"/>
        </w:rPr>
        <w:t>Finally, it is unclear why ESMA proposes a more complex process by proposing a ‘simple average of monthly input’. It would be much simpler to calculate the data either on the basis of the overall year (is it the sum of daily data submitted to TRs?) or the calculation of the outstanding value on the 31/12 of the year.</w:t>
      </w:r>
    </w:p>
    <w:p w:rsidR="00506EE0" w:rsidRPr="00506EE0" w:rsidRDefault="00506EE0" w:rsidP="00506EE0">
      <w:pPr>
        <w:spacing w:before="120"/>
        <w:rPr>
          <w:rFonts w:eastAsia="Times New Roman" w:cstheme="minorHAnsi"/>
          <w:bCs/>
          <w:color w:val="000000"/>
          <w:szCs w:val="22"/>
          <w:lang w:eastAsia="en-GB"/>
        </w:rPr>
      </w:pPr>
      <w:r w:rsidRPr="00506EE0">
        <w:rPr>
          <w:rFonts w:eastAsia="Times New Roman" w:cstheme="minorHAnsi"/>
          <w:bCs/>
          <w:color w:val="000000"/>
          <w:szCs w:val="22"/>
          <w:lang w:eastAsia="en-GB"/>
        </w:rPr>
        <w:t>Therefore, we believe that:</w:t>
      </w:r>
    </w:p>
    <w:p w:rsidR="00506EE0" w:rsidRPr="00506EE0" w:rsidRDefault="00506EE0" w:rsidP="00506EE0">
      <w:pPr>
        <w:pStyle w:val="ListParagraph"/>
        <w:numPr>
          <w:ilvl w:val="0"/>
          <w:numId w:val="32"/>
        </w:numPr>
        <w:spacing w:before="120" w:line="240" w:lineRule="auto"/>
        <w:ind w:left="357" w:hanging="357"/>
        <w:rPr>
          <w:rFonts w:cstheme="minorHAnsi"/>
          <w:color w:val="000000"/>
          <w:szCs w:val="22"/>
          <w:lang w:eastAsia="en-GB"/>
        </w:rPr>
      </w:pPr>
      <w:r w:rsidRPr="00506EE0">
        <w:rPr>
          <w:rFonts w:cstheme="minorHAnsi"/>
          <w:color w:val="000000"/>
          <w:szCs w:val="22"/>
          <w:lang w:eastAsia="en-GB"/>
        </w:rPr>
        <w:t>The calculation should start with 2017 data  i.e. notified to the NCA early in 2018. Alternatively, a ‘second chance’, at least concerning year 2016 and year 2017, should be given to avoid that fluctuations unduly penalises certain persons.</w:t>
      </w:r>
    </w:p>
    <w:p w:rsidR="00506EE0" w:rsidRPr="00506EE0" w:rsidRDefault="00506EE0" w:rsidP="00506EE0">
      <w:pPr>
        <w:pStyle w:val="ListParagraph"/>
        <w:numPr>
          <w:ilvl w:val="0"/>
          <w:numId w:val="32"/>
        </w:numPr>
        <w:spacing w:before="120" w:line="240" w:lineRule="auto"/>
        <w:ind w:left="357" w:hanging="357"/>
        <w:rPr>
          <w:rFonts w:cstheme="minorHAnsi"/>
          <w:color w:val="000000"/>
          <w:szCs w:val="22"/>
          <w:lang w:eastAsia="en-GB"/>
        </w:rPr>
      </w:pPr>
      <w:r w:rsidRPr="00506EE0">
        <w:rPr>
          <w:rFonts w:cstheme="minorHAnsi"/>
          <w:color w:val="000000"/>
          <w:szCs w:val="22"/>
          <w:lang w:eastAsia="en-GB"/>
        </w:rPr>
        <w:lastRenderedPageBreak/>
        <w:t xml:space="preserve">More time should be allowed for the notification. This should take place at the earliest at the end of June of each year. </w:t>
      </w:r>
    </w:p>
    <w:p w:rsidR="00506EE0" w:rsidRPr="00506EE0" w:rsidRDefault="00506EE0" w:rsidP="00506EE0">
      <w:pPr>
        <w:pStyle w:val="ListParagraph"/>
        <w:numPr>
          <w:ilvl w:val="0"/>
          <w:numId w:val="32"/>
        </w:numPr>
        <w:spacing w:before="120" w:line="240" w:lineRule="auto"/>
        <w:ind w:left="357" w:hanging="357"/>
        <w:rPr>
          <w:rFonts w:cstheme="minorHAnsi"/>
          <w:szCs w:val="22"/>
          <w:lang w:eastAsia="en-GB"/>
        </w:rPr>
      </w:pPr>
      <w:r w:rsidRPr="00506EE0">
        <w:rPr>
          <w:rFonts w:cstheme="minorHAnsi"/>
          <w:color w:val="000000"/>
          <w:szCs w:val="22"/>
          <w:lang w:eastAsia="en-GB"/>
        </w:rPr>
        <w:t xml:space="preserve">Once it a firm realises it is captured as a MiFID firm it should notify such to its NCA and be granted a period of 12 months to implement MiFID processes and reach full compliance. </w:t>
      </w:r>
      <w:r w:rsidRPr="00506EE0">
        <w:rPr>
          <w:rFonts w:cstheme="minorHAnsi"/>
          <w:szCs w:val="22"/>
          <w:lang w:eastAsia="en-GB"/>
        </w:rPr>
        <w:t xml:space="preserve">ESMA should consider that in certain countries performing activities regulated by MiFID without a license is punished as criminal offence. Therefore ESMA should set a process allowing discounting from the assessment of the ancillary activity exemption of entities within a group also activities of entities in the same group that are </w:t>
      </w:r>
      <w:r w:rsidRPr="00506EE0">
        <w:rPr>
          <w:rFonts w:cstheme="minorHAnsi"/>
          <w:i/>
          <w:szCs w:val="22"/>
          <w:lang w:eastAsia="en-GB"/>
        </w:rPr>
        <w:t>in the process to require or obtain</w:t>
      </w:r>
      <w:r w:rsidRPr="00506EE0">
        <w:rPr>
          <w:rFonts w:cstheme="minorHAnsi"/>
          <w:szCs w:val="22"/>
          <w:lang w:eastAsia="en-GB"/>
        </w:rPr>
        <w:t xml:space="preserve"> a MiFID license. This is necessary to ensure business continuity and avoid undue consequences.</w:t>
      </w:r>
    </w:p>
    <w:p w:rsidR="00577C33" w:rsidRPr="00506EE0" w:rsidRDefault="00506EE0" w:rsidP="00506EE0">
      <w:pPr>
        <w:pStyle w:val="BodyText"/>
        <w:rPr>
          <w:rFonts w:cstheme="minorHAnsi"/>
          <w:szCs w:val="22"/>
          <w:lang w:eastAsia="en-GB"/>
        </w:rPr>
      </w:pPr>
      <w:r w:rsidRPr="00506EE0">
        <w:rPr>
          <w:rFonts w:eastAsia="Times New Roman" w:cstheme="minorHAnsi"/>
          <w:bCs/>
          <w:color w:val="000000"/>
          <w:szCs w:val="22"/>
          <w:lang w:eastAsia="en-GB"/>
        </w:rPr>
        <w:t>Finally the draft RTS defines “capital” as capital ...as calculated from balance sheets and financial statements.  It also calls for the monthly calculations to be performed.  As firms generally only have their financial statements audited annually, we assume that the monthly calculations will not have to be performed on audited accounts.</w:t>
      </w:r>
    </w:p>
    <w:permEnd w:id="1022851538"/>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Pr="00506EE0" w:rsidRDefault="00506EE0" w:rsidP="00506EE0">
      <w:pPr>
        <w:keepNext/>
      </w:pPr>
      <w:permStart w:id="241008164" w:edGrp="everyone"/>
      <w:r>
        <w:rPr>
          <w:rFonts w:ascii="Arial" w:eastAsia="Times New Roman" w:hAnsi="Arial" w:cs="Arial"/>
          <w:bCs/>
          <w:color w:val="000000"/>
          <w:sz w:val="20"/>
        </w:rPr>
        <w:t xml:space="preserve"> </w:t>
      </w:r>
      <w:r>
        <w:t>TYPE YOUR TEXT HERE</w:t>
      </w:r>
    </w:p>
    <w:permEnd w:id="241008164"/>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Pr="00E90112" w:rsidRDefault="00506EE0" w:rsidP="00E90112">
      <w:pPr>
        <w:spacing w:before="120" w:line="240" w:lineRule="auto"/>
        <w:rPr>
          <w:rFonts w:ascii="Arial" w:eastAsia="Times New Roman" w:hAnsi="Arial" w:cs="Arial"/>
          <w:bCs/>
          <w:color w:val="000000"/>
          <w:sz w:val="20"/>
        </w:rPr>
      </w:pPr>
      <w:permStart w:id="386348822" w:edGrp="everyone"/>
      <w:r>
        <w:t>TYPE YOUR TEXT HERE</w:t>
      </w:r>
    </w:p>
    <w:permEnd w:id="386348822"/>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Pr="00A8013C" w:rsidRDefault="00506EE0" w:rsidP="00A8013C">
      <w:pPr>
        <w:spacing w:before="120" w:line="240" w:lineRule="auto"/>
        <w:rPr>
          <w:rFonts w:ascii="Arial" w:eastAsia="Times New Roman" w:hAnsi="Arial" w:cs="Arial"/>
          <w:i/>
          <w:color w:val="000000"/>
          <w:sz w:val="20"/>
        </w:rPr>
      </w:pPr>
      <w:permStart w:id="1657218919" w:edGrp="everyone"/>
      <w:r>
        <w:t>TYPE YOUR TEXT HERE</w:t>
      </w:r>
    </w:p>
    <w:permEnd w:id="1657218919"/>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06EE0" w:rsidP="00EC2C93">
      <w:pPr>
        <w:keepNext/>
      </w:pPr>
      <w:permStart w:id="1902131219" w:edGrp="everyone"/>
      <w:r>
        <w:t>TYPE YOUR TEXT HERE</w:t>
      </w:r>
    </w:p>
    <w:permEnd w:id="1902131219"/>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Pr="00A8013C" w:rsidRDefault="00506EE0" w:rsidP="00A8013C">
      <w:pPr>
        <w:spacing w:before="120" w:line="240" w:lineRule="auto"/>
        <w:rPr>
          <w:rFonts w:ascii="Arial" w:eastAsia="Times New Roman" w:hAnsi="Arial" w:cs="Arial"/>
          <w:color w:val="000000"/>
          <w:sz w:val="20"/>
        </w:rPr>
      </w:pPr>
      <w:permStart w:id="341264829" w:edGrp="everyone"/>
      <w:r>
        <w:t>TYPE YOUR TEXT HERE</w:t>
      </w:r>
    </w:p>
    <w:permEnd w:id="341264829"/>
    <w:p w:rsidR="00577C33" w:rsidRDefault="00577C33" w:rsidP="00EC2C93">
      <w:pPr>
        <w:keepNext/>
      </w:pPr>
      <w:r>
        <w:lastRenderedPageBreak/>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Pr="00A8013C" w:rsidRDefault="00506EE0" w:rsidP="00A8013C">
      <w:pPr>
        <w:spacing w:before="120" w:line="240" w:lineRule="auto"/>
        <w:rPr>
          <w:rFonts w:ascii="Arial" w:eastAsia="Times New Roman" w:hAnsi="Arial" w:cs="Arial"/>
          <w:color w:val="000000"/>
          <w:sz w:val="20"/>
        </w:rPr>
      </w:pPr>
      <w:permStart w:id="2049275367" w:edGrp="everyone"/>
      <w:r>
        <w:t>TYPE YOUR TEXT HERE</w:t>
      </w:r>
    </w:p>
    <w:permEnd w:id="204927536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Pr="00A8013C" w:rsidRDefault="00506EE0" w:rsidP="00A8013C">
      <w:pPr>
        <w:spacing w:before="120" w:line="240" w:lineRule="auto"/>
        <w:rPr>
          <w:rFonts w:ascii="Arial" w:eastAsia="Times New Roman" w:hAnsi="Arial" w:cs="Arial"/>
          <w:color w:val="000000"/>
          <w:sz w:val="20"/>
        </w:rPr>
      </w:pPr>
      <w:permStart w:id="459221108" w:edGrp="everyone"/>
      <w:r>
        <w:t>TYPE YOUR TEXT HERE</w:t>
      </w:r>
    </w:p>
    <w:permEnd w:id="45922110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Pr="00506EE0" w:rsidRDefault="00506EE0" w:rsidP="00506EE0">
      <w:pPr>
        <w:spacing w:before="120" w:line="240" w:lineRule="auto"/>
        <w:rPr>
          <w:rFonts w:ascii="Arial" w:eastAsia="Times New Roman" w:hAnsi="Arial" w:cs="Arial"/>
          <w:color w:val="000000"/>
          <w:sz w:val="20"/>
        </w:rPr>
      </w:pPr>
      <w:permStart w:id="506349302" w:edGrp="everyone"/>
      <w:r>
        <w:t>TYPE YOUR TEXT HERE</w:t>
      </w:r>
    </w:p>
    <w:permEnd w:id="506349302"/>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Pr="00A8013C" w:rsidRDefault="00506EE0" w:rsidP="00A8013C">
      <w:pPr>
        <w:spacing w:before="120" w:line="240" w:lineRule="auto"/>
        <w:rPr>
          <w:rFonts w:ascii="Arial" w:eastAsia="Times New Roman" w:hAnsi="Arial" w:cs="Arial"/>
          <w:color w:val="000000"/>
          <w:sz w:val="20"/>
        </w:rPr>
      </w:pPr>
      <w:permStart w:id="2092762461" w:edGrp="everyone"/>
      <w:r>
        <w:t>TYPE YOUR TEXT HERE</w:t>
      </w:r>
    </w:p>
    <w:permEnd w:id="2092762461"/>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Pr="00FB5E3C" w:rsidRDefault="00506EE0" w:rsidP="00FB5E3C">
      <w:pPr>
        <w:spacing w:before="120" w:line="240" w:lineRule="auto"/>
        <w:rPr>
          <w:rFonts w:ascii="Arial" w:eastAsia="Times New Roman" w:hAnsi="Arial" w:cs="Arial"/>
          <w:color w:val="000000"/>
          <w:sz w:val="20"/>
        </w:rPr>
      </w:pPr>
      <w:permStart w:id="1830697760" w:edGrp="everyone"/>
      <w:r>
        <w:t>TYPE YOUR TEXT HERE</w:t>
      </w:r>
    </w:p>
    <w:permEnd w:id="183069776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Pr="00FB5E3C" w:rsidRDefault="00506EE0" w:rsidP="00FB5E3C">
      <w:pPr>
        <w:spacing w:before="120" w:line="240" w:lineRule="auto"/>
        <w:rPr>
          <w:rFonts w:ascii="Arial" w:eastAsia="Times New Roman" w:hAnsi="Arial" w:cs="Arial"/>
          <w:color w:val="000000"/>
          <w:sz w:val="20"/>
        </w:rPr>
      </w:pPr>
      <w:permStart w:id="296448731" w:edGrp="everyone"/>
      <w:r>
        <w:t>TYPE YOUR TEXT HERE</w:t>
      </w:r>
    </w:p>
    <w:permEnd w:id="296448731"/>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Pr="00FB5E3C" w:rsidRDefault="00506EE0" w:rsidP="00FB5E3C">
      <w:pPr>
        <w:spacing w:before="120" w:line="240" w:lineRule="auto"/>
        <w:rPr>
          <w:rFonts w:ascii="Arial" w:eastAsia="Times New Roman" w:hAnsi="Arial" w:cs="Arial"/>
          <w:color w:val="000000"/>
          <w:sz w:val="20"/>
        </w:rPr>
      </w:pPr>
      <w:permStart w:id="1046218439" w:edGrp="everyone"/>
      <w:r>
        <w:t>TYPE YOUR TEXT HERE</w:t>
      </w:r>
    </w:p>
    <w:permEnd w:id="1046218439"/>
    <w:p w:rsidR="00577C33" w:rsidRDefault="00577C33" w:rsidP="00EC2C93">
      <w:pPr>
        <w:keepNext/>
      </w:pPr>
      <w:r>
        <w:lastRenderedPageBreak/>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06EE0" w:rsidP="00EC2C93">
      <w:pPr>
        <w:keepNext/>
      </w:pPr>
      <w:permStart w:id="682893004" w:edGrp="everyone"/>
      <w:r>
        <w:t>TYPE YOUR TEXT HERE</w:t>
      </w:r>
    </w:p>
    <w:permEnd w:id="6828930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Pr="00FB5E3C" w:rsidRDefault="00506EE0" w:rsidP="00FB5E3C">
      <w:pPr>
        <w:spacing w:before="120" w:line="240" w:lineRule="auto"/>
        <w:rPr>
          <w:rFonts w:ascii="Arial" w:eastAsia="Times New Roman" w:hAnsi="Arial" w:cs="Arial"/>
          <w:color w:val="000000"/>
          <w:sz w:val="20"/>
        </w:rPr>
      </w:pPr>
      <w:permStart w:id="2048018929" w:edGrp="everyone"/>
      <w:r>
        <w:t>TYPE YOUR TEXT HERE</w:t>
      </w:r>
    </w:p>
    <w:permEnd w:id="2048018929"/>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06EE0" w:rsidP="00EC2C93">
      <w:pPr>
        <w:keepNext/>
      </w:pPr>
      <w:permStart w:id="520575252" w:edGrp="everyone"/>
      <w:r>
        <w:t>TYPE YOUR TEXT HERE</w:t>
      </w:r>
    </w:p>
    <w:permEnd w:id="520575252"/>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Pr="00FB5E3C" w:rsidRDefault="00506EE0" w:rsidP="00FB5E3C">
      <w:pPr>
        <w:spacing w:before="120" w:line="240" w:lineRule="auto"/>
        <w:rPr>
          <w:rFonts w:ascii="Arial" w:eastAsia="Times New Roman" w:hAnsi="Arial" w:cs="Arial"/>
          <w:color w:val="000000"/>
          <w:sz w:val="20"/>
        </w:rPr>
      </w:pPr>
      <w:permStart w:id="151914269" w:edGrp="everyone"/>
      <w:r>
        <w:t>TYPE YOUR TEXT HERE</w:t>
      </w:r>
    </w:p>
    <w:permEnd w:id="151914269"/>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06EE0" w:rsidRDefault="00506EE0" w:rsidP="00EC2C93">
      <w:pPr>
        <w:keepNext/>
      </w:pPr>
      <w:permStart w:id="2035813702" w:edGrp="everyone"/>
      <w:r>
        <w:t>TYPE YOUR TEXT HERE</w:t>
      </w:r>
      <w:r w:rsidR="00FB5E3C">
        <w:t xml:space="preserve"> </w:t>
      </w:r>
    </w:p>
    <w:permEnd w:id="2035813702"/>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Pr="00FB5E3C" w:rsidRDefault="00506EE0" w:rsidP="00FB5E3C">
      <w:pPr>
        <w:spacing w:before="120" w:line="240" w:lineRule="auto"/>
        <w:rPr>
          <w:rFonts w:ascii="Arial" w:eastAsia="Times New Roman" w:hAnsi="Arial" w:cs="Arial"/>
          <w:color w:val="000000"/>
          <w:sz w:val="20"/>
        </w:rPr>
      </w:pPr>
      <w:permStart w:id="687016544" w:edGrp="everyone"/>
      <w:r>
        <w:t>TYPE YOUR TEXT HERE</w:t>
      </w:r>
    </w:p>
    <w:permEnd w:id="687016544"/>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06EE0" w:rsidP="00EC2C93">
      <w:pPr>
        <w:keepNext/>
      </w:pPr>
      <w:permStart w:id="314719666" w:edGrp="everyone"/>
      <w:r>
        <w:t>TYPE YOUR TEXT HERE</w:t>
      </w:r>
    </w:p>
    <w:permEnd w:id="314719666"/>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Pr="009B6BBA" w:rsidRDefault="00506EE0" w:rsidP="009B6BBA">
      <w:pPr>
        <w:spacing w:before="120" w:line="240" w:lineRule="auto"/>
        <w:rPr>
          <w:rFonts w:ascii="Arial" w:eastAsia="Times New Roman" w:hAnsi="Arial" w:cs="Arial"/>
          <w:color w:val="000000"/>
          <w:sz w:val="20"/>
        </w:rPr>
      </w:pPr>
      <w:permStart w:id="577657672" w:edGrp="everyone"/>
      <w:r>
        <w:t>TYPE YOUR TEXT HERE</w:t>
      </w:r>
    </w:p>
    <w:permEnd w:id="577657672"/>
    <w:p w:rsidR="00577C33" w:rsidRDefault="00577C33" w:rsidP="00EC2C93">
      <w:pPr>
        <w:keepNext/>
      </w:pPr>
      <w:r>
        <w:lastRenderedPageBreak/>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06EE0" w:rsidP="00EC2C93">
      <w:pPr>
        <w:keepNext/>
      </w:pPr>
      <w:permStart w:id="946569042" w:edGrp="everyone"/>
      <w:r>
        <w:t>TYPE YOUR TEXT HERE</w:t>
      </w:r>
    </w:p>
    <w:permEnd w:id="94656904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Pr="009B6BBA" w:rsidRDefault="00506EE0" w:rsidP="009B6BBA">
      <w:pPr>
        <w:spacing w:before="120" w:line="240" w:lineRule="auto"/>
        <w:rPr>
          <w:rFonts w:ascii="Arial" w:eastAsia="Times New Roman" w:hAnsi="Arial" w:cs="Arial"/>
          <w:color w:val="000000"/>
          <w:sz w:val="20"/>
        </w:rPr>
      </w:pPr>
      <w:permStart w:id="80091130" w:edGrp="everyone"/>
      <w:r>
        <w:t>TYPE YOUR TEXT HERE</w:t>
      </w:r>
    </w:p>
    <w:permEnd w:id="80091130"/>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Pr="009B6BBA" w:rsidRDefault="009B6BBA" w:rsidP="009B6BBA">
      <w:pPr>
        <w:spacing w:before="120" w:line="240" w:lineRule="auto"/>
        <w:rPr>
          <w:rFonts w:ascii="Arial" w:eastAsia="Times New Roman" w:hAnsi="Arial" w:cs="Arial"/>
          <w:color w:val="000000"/>
          <w:sz w:val="20"/>
        </w:rPr>
      </w:pPr>
      <w:permStart w:id="1543460201" w:edGrp="everyone"/>
      <w:r w:rsidRPr="00ED12A9">
        <w:rPr>
          <w:rFonts w:ascii="Arial" w:eastAsia="Times New Roman" w:hAnsi="Arial" w:cs="Arial"/>
          <w:color w:val="000000"/>
          <w:sz w:val="20"/>
        </w:rPr>
        <w:t> </w:t>
      </w:r>
      <w:r w:rsidR="00506EE0">
        <w:t>TYPE YOUR TEXT HERE</w:t>
      </w:r>
    </w:p>
    <w:permEnd w:id="154346020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41848548" w:edGrp="everyone"/>
      <w:r>
        <w:t>TYPE YOUR TEXT HERE</w:t>
      </w:r>
    </w:p>
    <w:permEnd w:id="2141848548"/>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06EE0" w:rsidP="00EC2C93">
      <w:pPr>
        <w:keepNext/>
      </w:pPr>
      <w:permStart w:id="324559635" w:edGrp="everyone"/>
      <w:r>
        <w:t>TYPE YOUR TEXT HERE</w:t>
      </w:r>
    </w:p>
    <w:permEnd w:id="324559635"/>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Pr="009B6BBA" w:rsidRDefault="00506EE0" w:rsidP="00506EE0">
      <w:pPr>
        <w:spacing w:before="120" w:line="240" w:lineRule="auto"/>
        <w:rPr>
          <w:rFonts w:ascii="Arial" w:eastAsia="Times New Roman" w:hAnsi="Arial" w:cs="Arial"/>
          <w:color w:val="000000"/>
          <w:sz w:val="20"/>
        </w:rPr>
      </w:pPr>
      <w:permStart w:id="1742289052" w:edGrp="everyone"/>
      <w:r>
        <w:t>TYPE YOUR TEXT HERE</w:t>
      </w:r>
    </w:p>
    <w:permEnd w:id="1742289052"/>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557401963" w:edGrp="everyone"/>
      <w:r>
        <w:t>TYPE YOUR TEXT HERE</w:t>
      </w:r>
    </w:p>
    <w:permEnd w:id="557401963"/>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Pr="009B6BBA" w:rsidRDefault="00506EE0" w:rsidP="009B6BBA">
      <w:pPr>
        <w:spacing w:before="120" w:line="240" w:lineRule="auto"/>
        <w:rPr>
          <w:rFonts w:ascii="Arial" w:eastAsia="Times New Roman" w:hAnsi="Arial" w:cs="Arial"/>
          <w:color w:val="000000"/>
          <w:sz w:val="20"/>
        </w:rPr>
      </w:pPr>
      <w:permStart w:id="1390757931" w:edGrp="everyone"/>
      <w:r>
        <w:t>TYPE YOUR TEXT HERE</w:t>
      </w:r>
    </w:p>
    <w:permEnd w:id="1390757931"/>
    <w:p w:rsidR="00577C33" w:rsidRDefault="00577C33" w:rsidP="00EC2C93">
      <w:pPr>
        <w:keepNext/>
      </w:pPr>
      <w:r>
        <w:lastRenderedPageBreak/>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Pr="009B6BBA" w:rsidRDefault="00506EE0" w:rsidP="009B6BBA">
      <w:pPr>
        <w:spacing w:before="120" w:line="240" w:lineRule="auto"/>
        <w:rPr>
          <w:rFonts w:ascii="Arial" w:eastAsia="Times New Roman" w:hAnsi="Arial" w:cs="Arial"/>
          <w:color w:val="000000"/>
          <w:sz w:val="20"/>
        </w:rPr>
      </w:pPr>
      <w:permStart w:id="659779732" w:edGrp="everyone"/>
      <w:r>
        <w:t>TYPE YOUR TEXT HERE</w:t>
      </w:r>
    </w:p>
    <w:permEnd w:id="659779732"/>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Pr="009B6BBA" w:rsidRDefault="00506EE0" w:rsidP="009B6BBA">
      <w:pPr>
        <w:spacing w:before="120" w:line="240" w:lineRule="auto"/>
        <w:rPr>
          <w:rFonts w:ascii="Arial" w:eastAsia="Times New Roman" w:hAnsi="Arial" w:cs="Arial"/>
          <w:color w:val="000000"/>
          <w:sz w:val="20"/>
        </w:rPr>
      </w:pPr>
      <w:permStart w:id="1144210644" w:edGrp="everyone"/>
      <w:r>
        <w:t>TYPE YOUR TEXT HERE</w:t>
      </w:r>
    </w:p>
    <w:permEnd w:id="1144210644"/>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133136144" w:edGrp="everyone"/>
      <w:r>
        <w:t>TYPE YOUR TEXT HERE</w:t>
      </w:r>
    </w:p>
    <w:permEnd w:id="213313614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865644823" w:edGrp="everyone"/>
      <w:r>
        <w:t>TYPE YOUR TEXT HERE</w:t>
      </w:r>
    </w:p>
    <w:permEnd w:id="18656448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99116531" w:edGrp="everyone"/>
      <w:r>
        <w:t>TYPE YOUR TEXT HERE</w:t>
      </w:r>
    </w:p>
    <w:permEnd w:id="199116531"/>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815611521" w:edGrp="everyone"/>
      <w:r>
        <w:t>TYPE YOUR TEXT HERE</w:t>
      </w:r>
    </w:p>
    <w:permEnd w:id="181561152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46704712" w:edGrp="everyone"/>
      <w:r>
        <w:t>TYPE YOUR TEXT HERE</w:t>
      </w:r>
    </w:p>
    <w:permEnd w:id="246704712"/>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971194633" w:edGrp="everyone"/>
      <w:r>
        <w:t>TYPE YOUR TEXT HERE</w:t>
      </w:r>
    </w:p>
    <w:permEnd w:id="971194633"/>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690961071" w:edGrp="everyone"/>
      <w:r>
        <w:t>TYPE YOUR TEXT HERE</w:t>
      </w:r>
    </w:p>
    <w:permEnd w:id="1690961071"/>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839426793" w:edGrp="everyone"/>
      <w:r>
        <w:t>TYPE YOUR TEXT HERE</w:t>
      </w:r>
    </w:p>
    <w:permEnd w:id="1839426793"/>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444945387" w:edGrp="everyone"/>
      <w:r>
        <w:t>TYPE YOUR TEXT HERE</w:t>
      </w:r>
    </w:p>
    <w:permEnd w:id="444945387"/>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699538844" w:edGrp="everyone"/>
      <w:r>
        <w:t>TYPE YOUR TEXT HERE</w:t>
      </w:r>
    </w:p>
    <w:permEnd w:id="699538844"/>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821985142" w:edGrp="everyone"/>
      <w:r>
        <w:t>TYPE YOUR TEXT HERE</w:t>
      </w:r>
    </w:p>
    <w:permEnd w:id="182198514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586268" w:edGrp="everyone"/>
      <w:r>
        <w:t>TYPE YOUR TEXT HERE</w:t>
      </w:r>
    </w:p>
    <w:permEnd w:id="2586268"/>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352523462" w:edGrp="everyone"/>
      <w:r>
        <w:t>TYPE YOUR TEXT HERE</w:t>
      </w:r>
    </w:p>
    <w:permEnd w:id="352523462"/>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981618737" w:edGrp="everyone"/>
      <w:r>
        <w:t>TYPE YOUR TEXT HERE</w:t>
      </w:r>
    </w:p>
    <w:permEnd w:id="981618737"/>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408514870" w:edGrp="everyone"/>
      <w:r>
        <w:t>TYPE YOUR TEXT HERE</w:t>
      </w:r>
    </w:p>
    <w:permEnd w:id="1408514870"/>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7629380" w:edGrp="everyone"/>
      <w:r>
        <w:t>TYPE YOUR TEXT HERE</w:t>
      </w:r>
    </w:p>
    <w:permEnd w:id="17629380"/>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43336532" w:edGrp="everyone"/>
      <w:r>
        <w:t>TYPE YOUR TEXT HERE</w:t>
      </w:r>
    </w:p>
    <w:permEnd w:id="243336532"/>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247948380" w:edGrp="everyone"/>
      <w:r>
        <w:t>TYPE YOUR TEXT HERE</w:t>
      </w:r>
    </w:p>
    <w:permEnd w:id="124794838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640376438" w:edGrp="everyone"/>
      <w:r>
        <w:t>TYPE YOUR TEXT HERE</w:t>
      </w:r>
    </w:p>
    <w:permEnd w:id="64037643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933274642" w:edGrp="everyone"/>
      <w:r>
        <w:t>TYPE YOUR TEXT HERE</w:t>
      </w:r>
    </w:p>
    <w:permEnd w:id="1933274642"/>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518170164" w:edGrp="everyone"/>
      <w:r>
        <w:t>TYPE YOUR TEXT HERE</w:t>
      </w:r>
    </w:p>
    <w:permEnd w:id="1518170164"/>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084120227" w:edGrp="everyone"/>
      <w:r>
        <w:t>TYPE YOUR TEXT HERE</w:t>
      </w:r>
    </w:p>
    <w:permEnd w:id="2084120227"/>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586772171" w:edGrp="everyone"/>
      <w:r>
        <w:t>TYPE YOUR TEXT HERE</w:t>
      </w:r>
    </w:p>
    <w:permEnd w:id="586772171"/>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051421354" w:edGrp="everyone"/>
      <w:r>
        <w:t>TYPE YOUR TEXT HERE</w:t>
      </w:r>
    </w:p>
    <w:permEnd w:id="1051421354"/>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281123269" w:edGrp="everyone"/>
      <w:r>
        <w:t>TYPE YOUR TEXT HERE</w:t>
      </w:r>
    </w:p>
    <w:permEnd w:id="1281123269"/>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465456503" w:edGrp="everyone"/>
      <w:r>
        <w:t>TYPE YOUR TEXT HERE</w:t>
      </w:r>
    </w:p>
    <w:permEnd w:id="1465456503"/>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421293316" w:edGrp="everyone"/>
      <w:r>
        <w:t>TYPE YOUR TEXT HERE</w:t>
      </w:r>
    </w:p>
    <w:permEnd w:id="142129331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497959480" w:edGrp="everyone"/>
      <w:r>
        <w:t>TYPE YOUR TEXT HERE</w:t>
      </w:r>
    </w:p>
    <w:permEnd w:id="497959480"/>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640846794" w:edGrp="everyone"/>
      <w:r>
        <w:t>TYPE YOUR TEXT HERE</w:t>
      </w:r>
    </w:p>
    <w:permEnd w:id="164084679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276983040" w:edGrp="everyone"/>
      <w:r>
        <w:t>TYPE YOUR TEXT HERE</w:t>
      </w:r>
    </w:p>
    <w:permEnd w:id="127698304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481458787" w:edGrp="everyone"/>
      <w:r>
        <w:t>TYPE YOUR TEXT HERE</w:t>
      </w:r>
    </w:p>
    <w:permEnd w:id="1481458787"/>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06316904" w:edGrp="everyone"/>
      <w:r>
        <w:t>TYPE YOUR TEXT HERE</w:t>
      </w:r>
    </w:p>
    <w:permEnd w:id="10631690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632254595" w:edGrp="everyone"/>
      <w:r>
        <w:t>TYPE YOUR TEXT HERE</w:t>
      </w:r>
    </w:p>
    <w:permEnd w:id="1632254595"/>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AA" w:rsidRDefault="00F630AA" w:rsidP="007E7997">
      <w:pPr>
        <w:spacing w:line="240" w:lineRule="auto"/>
      </w:pPr>
      <w:r>
        <w:separator/>
      </w:r>
    </w:p>
  </w:endnote>
  <w:endnote w:type="continuationSeparator" w:id="0">
    <w:p w:rsidR="00F630AA" w:rsidRDefault="00F630AA"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DF" w:rsidRDefault="001856DF">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1856DF" w:rsidRDefault="001856DF" w:rsidP="00375BA2">
        <w:pPr>
          <w:pStyle w:val="Footer"/>
          <w:jc w:val="right"/>
        </w:pPr>
        <w:r>
          <w:fldChar w:fldCharType="begin"/>
        </w:r>
        <w:r>
          <w:instrText xml:space="preserve"> PAGE   \* MERGEFORMAT </w:instrText>
        </w:r>
        <w:r>
          <w:fldChar w:fldCharType="separate"/>
        </w:r>
        <w:r w:rsidR="007F6BF5">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AA" w:rsidRDefault="00F630AA" w:rsidP="007E7997">
      <w:pPr>
        <w:spacing w:line="240" w:lineRule="auto"/>
      </w:pPr>
      <w:r>
        <w:separator/>
      </w:r>
    </w:p>
  </w:footnote>
  <w:footnote w:type="continuationSeparator" w:id="0">
    <w:p w:rsidR="00F630AA" w:rsidRDefault="00F630AA" w:rsidP="007E7997">
      <w:pPr>
        <w:spacing w:line="240" w:lineRule="auto"/>
      </w:pPr>
      <w:r>
        <w:continuationSeparator/>
      </w:r>
    </w:p>
  </w:footnote>
  <w:footnote w:id="1">
    <w:p w:rsidR="001856DF" w:rsidRPr="00AA7A30" w:rsidRDefault="001856DF"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DF" w:rsidRDefault="001856DF">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DF" w:rsidRDefault="001856DF" w:rsidP="00B50534">
    <w:pPr>
      <w:pStyle w:val="Header"/>
      <w:jc w:val="right"/>
      <w:rPr>
        <w:b/>
        <w:color w:val="FF0000"/>
      </w:rPr>
    </w:pPr>
  </w:p>
  <w:p w:rsidR="001856DF" w:rsidRDefault="001856DF"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1856DF" w:rsidRPr="00B50534" w:rsidRDefault="001856DF"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BC8"/>
    <w:multiLevelType w:val="hybridMultilevel"/>
    <w:tmpl w:val="3C8E6708"/>
    <w:lvl w:ilvl="0" w:tplc="2F0E85B6">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0ED00139"/>
    <w:multiLevelType w:val="hybridMultilevel"/>
    <w:tmpl w:val="309C3F90"/>
    <w:lvl w:ilvl="0" w:tplc="0CFC74CE">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C0423A6"/>
    <w:multiLevelType w:val="hybridMultilevel"/>
    <w:tmpl w:val="7C44D6C4"/>
    <w:lvl w:ilvl="0" w:tplc="0CFC74CE">
      <w:numFmt w:val="bullet"/>
      <w:lvlText w:val="-"/>
      <w:lvlJc w:val="left"/>
      <w:pPr>
        <w:ind w:left="770" w:hanging="360"/>
      </w:pPr>
      <w:rPr>
        <w:rFonts w:ascii="Helvetica" w:eastAsia="Times New Roman" w:hAnsi="Helvetica"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DF92CB0"/>
    <w:multiLevelType w:val="hybridMultilevel"/>
    <w:tmpl w:val="1BBA1DEA"/>
    <w:lvl w:ilvl="0" w:tplc="70D8895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2">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18"/>
  </w:num>
  <w:num w:numId="4">
    <w:abstractNumId w:val="8"/>
  </w:num>
  <w:num w:numId="5">
    <w:abstractNumId w:val="16"/>
  </w:num>
  <w:num w:numId="6">
    <w:abstractNumId w:val="12"/>
  </w:num>
  <w:num w:numId="7">
    <w:abstractNumId w:val="1"/>
  </w:num>
  <w:num w:numId="8">
    <w:abstractNumId w:val="9"/>
  </w:num>
  <w:num w:numId="9">
    <w:abstractNumId w:val="6"/>
  </w:num>
  <w:num w:numId="10">
    <w:abstractNumId w:val="4"/>
  </w:num>
  <w:num w:numId="11">
    <w:abstractNumId w:val="17"/>
  </w:num>
  <w:num w:numId="12">
    <w:abstractNumId w:val="10"/>
  </w:num>
  <w:num w:numId="13">
    <w:abstractNumId w:val="19"/>
  </w:num>
  <w:num w:numId="14">
    <w:abstractNumId w:val="13"/>
  </w:num>
  <w:num w:numId="15">
    <w:abstractNumId w:val="15"/>
  </w:num>
  <w:num w:numId="16">
    <w:abstractNumId w:val="3"/>
  </w:num>
  <w:num w:numId="17">
    <w:abstractNumId w:val="23"/>
  </w:num>
  <w:num w:numId="18">
    <w:abstractNumId w:val="5"/>
  </w:num>
  <w:num w:numId="19">
    <w:abstractNumId w:val="21"/>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num>
  <w:num w:numId="32">
    <w:abstractNumId w:val="20"/>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4F1A"/>
    <w:rsid w:val="0006528D"/>
    <w:rsid w:val="000932BC"/>
    <w:rsid w:val="000A3D10"/>
    <w:rsid w:val="000B5D3D"/>
    <w:rsid w:val="000C0CE0"/>
    <w:rsid w:val="000D1038"/>
    <w:rsid w:val="00130EF9"/>
    <w:rsid w:val="001319C7"/>
    <w:rsid w:val="00136584"/>
    <w:rsid w:val="00144AAD"/>
    <w:rsid w:val="0017613C"/>
    <w:rsid w:val="001856DF"/>
    <w:rsid w:val="00192A12"/>
    <w:rsid w:val="001B2151"/>
    <w:rsid w:val="001B3CFF"/>
    <w:rsid w:val="001B4161"/>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04EE5"/>
    <w:rsid w:val="00435FE9"/>
    <w:rsid w:val="00445696"/>
    <w:rsid w:val="00455213"/>
    <w:rsid w:val="00484BC5"/>
    <w:rsid w:val="00486D05"/>
    <w:rsid w:val="00487944"/>
    <w:rsid w:val="00506EE0"/>
    <w:rsid w:val="00526E5D"/>
    <w:rsid w:val="005474D2"/>
    <w:rsid w:val="00565193"/>
    <w:rsid w:val="0057799E"/>
    <w:rsid w:val="00577C33"/>
    <w:rsid w:val="0059703C"/>
    <w:rsid w:val="005B6B12"/>
    <w:rsid w:val="005D2DE7"/>
    <w:rsid w:val="005E7969"/>
    <w:rsid w:val="0060516A"/>
    <w:rsid w:val="0063565E"/>
    <w:rsid w:val="00636E02"/>
    <w:rsid w:val="00642297"/>
    <w:rsid w:val="00644A34"/>
    <w:rsid w:val="00662882"/>
    <w:rsid w:val="00665A7C"/>
    <w:rsid w:val="00671363"/>
    <w:rsid w:val="00686618"/>
    <w:rsid w:val="006A7A10"/>
    <w:rsid w:val="006B0DA4"/>
    <w:rsid w:val="006B1B6B"/>
    <w:rsid w:val="006D48A6"/>
    <w:rsid w:val="006F53E8"/>
    <w:rsid w:val="00706072"/>
    <w:rsid w:val="00754B57"/>
    <w:rsid w:val="00797E0C"/>
    <w:rsid w:val="007C7790"/>
    <w:rsid w:val="007E7997"/>
    <w:rsid w:val="007F6BF5"/>
    <w:rsid w:val="00811A37"/>
    <w:rsid w:val="00830D00"/>
    <w:rsid w:val="00846692"/>
    <w:rsid w:val="00867DB2"/>
    <w:rsid w:val="0089075A"/>
    <w:rsid w:val="008C767A"/>
    <w:rsid w:val="008D5C28"/>
    <w:rsid w:val="009243C8"/>
    <w:rsid w:val="00940EFD"/>
    <w:rsid w:val="009663D9"/>
    <w:rsid w:val="0099526D"/>
    <w:rsid w:val="009B6BBA"/>
    <w:rsid w:val="009C7694"/>
    <w:rsid w:val="009D7294"/>
    <w:rsid w:val="009E2EC8"/>
    <w:rsid w:val="009E5107"/>
    <w:rsid w:val="00A026A4"/>
    <w:rsid w:val="00A410CC"/>
    <w:rsid w:val="00A42B43"/>
    <w:rsid w:val="00A501F5"/>
    <w:rsid w:val="00A53AF0"/>
    <w:rsid w:val="00A54123"/>
    <w:rsid w:val="00A800EF"/>
    <w:rsid w:val="00A8013C"/>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852A9"/>
    <w:rsid w:val="00C978C6"/>
    <w:rsid w:val="00CB50EF"/>
    <w:rsid w:val="00CB791A"/>
    <w:rsid w:val="00CD47B2"/>
    <w:rsid w:val="00CE49F8"/>
    <w:rsid w:val="00D0504D"/>
    <w:rsid w:val="00D14F6A"/>
    <w:rsid w:val="00D2259D"/>
    <w:rsid w:val="00D22F2F"/>
    <w:rsid w:val="00D4480C"/>
    <w:rsid w:val="00D46275"/>
    <w:rsid w:val="00D50F26"/>
    <w:rsid w:val="00D73338"/>
    <w:rsid w:val="00D978C6"/>
    <w:rsid w:val="00DF1ED8"/>
    <w:rsid w:val="00DF3785"/>
    <w:rsid w:val="00E24D42"/>
    <w:rsid w:val="00E3456B"/>
    <w:rsid w:val="00E640E2"/>
    <w:rsid w:val="00E90112"/>
    <w:rsid w:val="00EA2103"/>
    <w:rsid w:val="00EC2C93"/>
    <w:rsid w:val="00EC6BD8"/>
    <w:rsid w:val="00ED74D7"/>
    <w:rsid w:val="00EF667D"/>
    <w:rsid w:val="00F226E0"/>
    <w:rsid w:val="00F401BC"/>
    <w:rsid w:val="00F53CBE"/>
    <w:rsid w:val="00F5412D"/>
    <w:rsid w:val="00F630AA"/>
    <w:rsid w:val="00F67EBD"/>
    <w:rsid w:val="00F80FAB"/>
    <w:rsid w:val="00F93015"/>
    <w:rsid w:val="00FB24ED"/>
    <w:rsid w:val="00FB5E3C"/>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Body Texte"/>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Body Texte"/>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74E2-1E19-471F-93EA-BC8FC04C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58</Pages>
  <Words>16823</Words>
  <Characters>95893</Characters>
  <Application>Microsoft Office Word</Application>
  <DocSecurity>8</DocSecurity>
  <Lines>799</Lines>
  <Paragraphs>224</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Edison</Company>
  <LinksUpToDate>false</LinksUpToDate>
  <CharactersWithSpaces>112492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Saraine Ifill</cp:lastModifiedBy>
  <cp:revision>2</cp:revision>
  <dcterms:created xsi:type="dcterms:W3CDTF">2015-03-02T14:28:00Z</dcterms:created>
  <dcterms:modified xsi:type="dcterms:W3CDTF">2015-03-02T14:28:00Z</dcterms:modified>
</cp:coreProperties>
</file>