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DF6653"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39615372" w:edGrp="everyone" w:colFirst="1" w:colLast="1"/>
            <w:r w:rsidRPr="00AB6D88">
              <w:rPr>
                <w:rFonts w:ascii="Arial" w:hAnsi="Arial" w:cs="Arial"/>
              </w:rPr>
              <w:t>Name of the company / organisation</w:t>
            </w:r>
          </w:p>
        </w:tc>
        <w:sdt>
          <w:sdtPr>
            <w:rPr>
              <w:rStyle w:val="PlaceholderText"/>
              <w:rFonts w:ascii="Arial" w:hAnsi="Arial" w:cs="Arial"/>
            </w:rPr>
            <w:id w:val="-1905066999"/>
            <w:showingPlcHdr/>
            <w:text/>
          </w:sdtPr>
          <w:sdtContent>
            <w:permStart w:id="1491817105" w:edGrp="everyone" w:displacedByCustomXml="prev"/>
            <w:tc>
              <w:tcPr>
                <w:tcW w:w="5595" w:type="dxa"/>
                <w:shd w:val="clear" w:color="auto" w:fill="auto"/>
              </w:tcPr>
              <w:p w:rsidR="000632C2" w:rsidRPr="00AB6D88" w:rsidRDefault="000632C2" w:rsidP="009E5107">
                <w:pPr>
                  <w:rPr>
                    <w:rStyle w:val="PlaceholderText"/>
                    <w:rFonts w:ascii="Arial" w:hAnsi="Arial" w:cs="Arial"/>
                  </w:rPr>
                </w:pPr>
                <w:r w:rsidRPr="00AB6D88">
                  <w:rPr>
                    <w:rStyle w:val="PlaceholderText"/>
                    <w:rFonts w:ascii="Arial" w:hAnsi="Arial" w:cs="Arial"/>
                  </w:rPr>
                  <w:t>Click here to enter text.</w:t>
                </w:r>
              </w:p>
            </w:tc>
            <w:permEnd w:id="1491817105"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60538070" w:edGrp="everyone" w:colFirst="1" w:colLast="1"/>
            <w:permEnd w:id="33961537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41011277" w:edGrp="everyone" w:colFirst="1" w:colLast="1"/>
            <w:permEnd w:id="460538070"/>
            <w:r w:rsidRPr="00AB6D88">
              <w:rPr>
                <w:rFonts w:ascii="Arial" w:hAnsi="Arial" w:cs="Arial"/>
              </w:rPr>
              <w:t>Activity:</w:t>
            </w:r>
          </w:p>
        </w:tc>
        <w:tc>
          <w:tcPr>
            <w:tcW w:w="5595" w:type="dxa"/>
            <w:shd w:val="clear" w:color="auto" w:fill="auto"/>
          </w:tcPr>
          <w:p w:rsidR="000632C2" w:rsidRPr="00AB6D88" w:rsidRDefault="00DF6653"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528062280" w:edGrp="everyone"/>
                <w:r w:rsidR="000632C2" w:rsidRPr="00AB6D88">
                  <w:rPr>
                    <w:rStyle w:val="PlaceholderText"/>
                    <w:rFonts w:ascii="Arial" w:hAnsi="Arial" w:cs="Arial"/>
                  </w:rPr>
                  <w:t>Choose an item.</w:t>
                </w:r>
                <w:permEnd w:id="1528062280"/>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03382154" w:edGrp="everyone" w:colFirst="1" w:colLast="1"/>
            <w:permEnd w:id="124101127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59724508" w:edGrp="everyone" w:colFirst="1" w:colLast="1"/>
            <w:permEnd w:id="1003382154"/>
            <w:r w:rsidRPr="00AB6D88">
              <w:rPr>
                <w:rFonts w:ascii="Arial" w:hAnsi="Arial" w:cs="Arial"/>
              </w:rPr>
              <w:t>Country/Region</w:t>
            </w:r>
          </w:p>
        </w:tc>
        <w:permStart w:id="1453132175"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305478329"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ceholderText"/>
                    <w:rFonts w:ascii="Arial" w:hAnsi="Arial" w:cs="Arial"/>
                  </w:rPr>
                  <w:t>Choose an item.</w:t>
                </w:r>
              </w:p>
            </w:tc>
            <w:permEnd w:id="1305478329" w:displacedByCustomXml="next"/>
          </w:sdtContent>
        </w:sdt>
        <w:permEnd w:id="1453132175" w:displacedByCustomXml="prev"/>
      </w:tr>
      <w:permEnd w:id="1959724508"/>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227061728" w:edGrp="everyone"/>
      <w:r>
        <w:t>TYPE YOUR TEXT HERE</w:t>
      </w:r>
    </w:p>
    <w:permEnd w:id="122706172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16732426" w:edGrp="everyone"/>
      <w:r>
        <w:t>TYPE YOUR TEXT HERE</w:t>
      </w:r>
    </w:p>
    <w:permEnd w:id="216732426"/>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267158673" w:edGrp="everyone"/>
      <w:r>
        <w:t>TYPE YOUR TEXT HERE</w:t>
      </w:r>
    </w:p>
    <w:permEnd w:id="126715867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869164693" w:edGrp="everyone"/>
      <w:r>
        <w:t>TYPE YOUR TEXT HERE</w:t>
      </w:r>
    </w:p>
    <w:permEnd w:id="1869164693"/>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419272" w:edGrp="everyone"/>
      <w:r>
        <w:t>TYPE YOUR TEXT HERE</w:t>
      </w:r>
    </w:p>
    <w:permEnd w:id="41927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609886794" w:edGrp="everyone"/>
      <w:r>
        <w:t>TYPE YOUR TEXT HERE</w:t>
      </w:r>
    </w:p>
    <w:permEnd w:id="60988679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970869269" w:edGrp="everyone"/>
      <w:r>
        <w:t>TYPE YOUR TEXT HERE</w:t>
      </w:r>
    </w:p>
    <w:permEnd w:id="970869269"/>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403977696" w:edGrp="everyone"/>
      <w:r>
        <w:t>TYPE YOUR TEXT HERE</w:t>
      </w:r>
    </w:p>
    <w:permEnd w:id="40397769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71224165" w:edGrp="everyone"/>
      <w:r>
        <w:t>TYPE YOUR TEXT HERE</w:t>
      </w:r>
    </w:p>
    <w:permEnd w:id="1171224165"/>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777478965" w:edGrp="everyone"/>
      <w:r>
        <w:t>TYPE YOUR TEXT HERE</w:t>
      </w:r>
    </w:p>
    <w:permEnd w:id="77747896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457679068" w:edGrp="everyone"/>
      <w:r>
        <w:t>TYPE YOUR TEXT HERE</w:t>
      </w:r>
    </w:p>
    <w:permEnd w:id="1457679068"/>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133356414" w:edGrp="everyone"/>
      <w:r>
        <w:t>TYPE YOUR TEXT HERE</w:t>
      </w:r>
    </w:p>
    <w:permEnd w:id="213335641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909341774" w:edGrp="everyone"/>
      <w:r>
        <w:t>TYPE YOUR TEXT HERE</w:t>
      </w:r>
    </w:p>
    <w:permEnd w:id="909341774"/>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052682942" w:edGrp="everyone"/>
      <w:r>
        <w:t>TYPE YOUR TEXT HERE</w:t>
      </w:r>
    </w:p>
    <w:permEnd w:id="205268294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749627629" w:edGrp="everyone"/>
      <w:r>
        <w:t>TYPE YOUR TEXT HERE</w:t>
      </w:r>
    </w:p>
    <w:permEnd w:id="749627629"/>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672957559" w:edGrp="everyone"/>
      <w:r>
        <w:t>TYPE YOUR TEXT HERE</w:t>
      </w:r>
    </w:p>
    <w:permEnd w:id="167295755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236577" w:edGrp="everyone"/>
      <w:r>
        <w:t>TYPE YOUR TEXT HERE</w:t>
      </w:r>
    </w:p>
    <w:permEnd w:id="223657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047284608" w:edGrp="everyone"/>
      <w:r>
        <w:t>TYPE YOUR TEXT HERE</w:t>
      </w:r>
    </w:p>
    <w:permEnd w:id="1047284608"/>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038004827" w:edGrp="everyone"/>
      <w:r>
        <w:t>TYPE YOUR TEXT HERE</w:t>
      </w:r>
    </w:p>
    <w:permEnd w:id="20380048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939286318" w:edGrp="everyone"/>
      <w:r>
        <w:t>TYPE YOUR TEXT HERE</w:t>
      </w:r>
    </w:p>
    <w:permEnd w:id="93928631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34183070" w:edGrp="everyone"/>
      <w:r>
        <w:t>TYPE YOUR TEXT HERE</w:t>
      </w:r>
    </w:p>
    <w:permEnd w:id="134183070"/>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7437443" w:edGrp="everyone"/>
      <w:r>
        <w:t>TYPE YOUR TEXT HERE</w:t>
      </w:r>
    </w:p>
    <w:permEnd w:id="743744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538906768" w:edGrp="everyone"/>
      <w:r>
        <w:t>TYPE YOUR TEXT HERE</w:t>
      </w:r>
    </w:p>
    <w:permEnd w:id="53890676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866975908" w:edGrp="everyone"/>
      <w:r>
        <w:t>TYPE YOUR TEXT HERE</w:t>
      </w:r>
    </w:p>
    <w:permEnd w:id="86697590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608066646" w:edGrp="everyone"/>
      <w:r>
        <w:t>TYPE YOUR TEXT HERE</w:t>
      </w:r>
    </w:p>
    <w:permEnd w:id="160806664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614818039" w:edGrp="everyone"/>
      <w:r>
        <w:t>TYPE YOUR TEXT HERE</w:t>
      </w:r>
    </w:p>
    <w:permEnd w:id="61481803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646383443" w:edGrp="everyone"/>
      <w:r>
        <w:t>TYPE YOUR TEXT HERE</w:t>
      </w:r>
    </w:p>
    <w:permEnd w:id="646383443"/>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96055149" w:edGrp="everyone"/>
      <w:r>
        <w:t>TYPE YOUR TEXT HERE</w:t>
      </w:r>
    </w:p>
    <w:permEnd w:id="49605514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37511704" w:edGrp="everyone"/>
      <w:r>
        <w:t>TYPE YOUR TEXT HERE</w:t>
      </w:r>
    </w:p>
    <w:permEnd w:id="33751170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450524124" w:edGrp="everyone"/>
      <w:r>
        <w:t>TYPE YOUR TEXT HERE</w:t>
      </w:r>
    </w:p>
    <w:permEnd w:id="450524124"/>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828082565" w:edGrp="everyone"/>
      <w:r>
        <w:t>TYPE YOUR TEXT HERE</w:t>
      </w:r>
    </w:p>
    <w:permEnd w:id="182808256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586118926" w:edGrp="everyone"/>
      <w:r>
        <w:t>TYPE YOUR TEXT HERE</w:t>
      </w:r>
    </w:p>
    <w:permEnd w:id="586118926"/>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984720212" w:edGrp="everyone"/>
      <w:r>
        <w:t>TYPE YOUR TEXT HERE</w:t>
      </w:r>
    </w:p>
    <w:permEnd w:id="1984720212"/>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32848064" w:edGrp="everyone"/>
      <w:r>
        <w:t>TYPE YOUR TEXT HERE</w:t>
      </w:r>
    </w:p>
    <w:permEnd w:id="132848064"/>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164771876" w:edGrp="everyone"/>
      <w:r>
        <w:t>TYPE YOUR TEXT HERE</w:t>
      </w:r>
    </w:p>
    <w:permEnd w:id="116477187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851794216" w:edGrp="everyone"/>
      <w:r>
        <w:t>TYPE YOUR TEXT HERE</w:t>
      </w:r>
    </w:p>
    <w:permEnd w:id="185179421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685257521" w:edGrp="everyone"/>
      <w:r>
        <w:t>TYPE YOUR TEXT HERE</w:t>
      </w:r>
    </w:p>
    <w:permEnd w:id="685257521"/>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311779067" w:edGrp="everyone"/>
      <w:r>
        <w:t>TYPE YOUR TEXT HERE</w:t>
      </w:r>
    </w:p>
    <w:permEnd w:id="131177906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004370252" w:edGrp="everyone"/>
      <w:r>
        <w:t>TYPE YOUR TEXT HERE</w:t>
      </w:r>
    </w:p>
    <w:permEnd w:id="2004370252"/>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577927974" w:edGrp="everyone"/>
      <w:r>
        <w:t>TYPE YOUR TEXT HERE</w:t>
      </w:r>
    </w:p>
    <w:permEnd w:id="57792797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226697117" w:edGrp="everyone"/>
      <w:r>
        <w:t>TYPE YOUR TEXT HERE</w:t>
      </w:r>
    </w:p>
    <w:permEnd w:id="22669711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416513903" w:edGrp="everyone"/>
      <w:r>
        <w:t>TYPE YOUR TEXT HERE</w:t>
      </w:r>
    </w:p>
    <w:permEnd w:id="41651390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99437717" w:edGrp="everyone"/>
      <w:r>
        <w:t>TYPE YOUR TEXT HERE</w:t>
      </w:r>
    </w:p>
    <w:permEnd w:id="29943771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15176918" w:edGrp="everyone"/>
      <w:r>
        <w:t>TYPE YOUR TEXT HERE</w:t>
      </w:r>
    </w:p>
    <w:permEnd w:id="21517691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750463159" w:edGrp="everyone"/>
      <w:r>
        <w:t>TYPE YOUR TEXT HERE</w:t>
      </w:r>
    </w:p>
    <w:permEnd w:id="75046315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879654076" w:edGrp="everyone"/>
      <w:r>
        <w:t>TYPE YOUR TEXT HERE</w:t>
      </w:r>
    </w:p>
    <w:permEnd w:id="1879654076"/>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241928307" w:edGrp="everyone"/>
      <w:r>
        <w:t>TYPE YOUR TEXT HERE</w:t>
      </w:r>
    </w:p>
    <w:permEnd w:id="124192830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84559580" w:edGrp="everyone"/>
      <w:r>
        <w:t>TYPE YOUR TEXT HERE</w:t>
      </w:r>
    </w:p>
    <w:permEnd w:id="28455958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47551138" w:edGrp="everyone"/>
      <w:r>
        <w:t>TYPE YOUR TEXT HERE</w:t>
      </w:r>
    </w:p>
    <w:permEnd w:id="1847551138"/>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466069878" w:edGrp="everyone"/>
      <w:r>
        <w:t>TYPE YOUR TEXT HERE</w:t>
      </w:r>
    </w:p>
    <w:permEnd w:id="146606987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006241222" w:edGrp="everyone"/>
      <w:r>
        <w:t>TYPE YOUR TEXT HERE</w:t>
      </w:r>
    </w:p>
    <w:permEnd w:id="1006241222"/>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376196911" w:edGrp="everyone"/>
      <w:r>
        <w:t>TYPE YOUR TEXT HERE</w:t>
      </w:r>
    </w:p>
    <w:permEnd w:id="137619691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05749776" w:edGrp="everyone"/>
      <w:r>
        <w:t>TYPE YOUR TEXT HERE</w:t>
      </w:r>
    </w:p>
    <w:permEnd w:id="50574977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485647279" w:edGrp="everyone"/>
      <w:r>
        <w:t>TYPE YOUR TEXT HERE</w:t>
      </w:r>
    </w:p>
    <w:permEnd w:id="148564727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386691977" w:edGrp="everyone"/>
      <w:r>
        <w:t>TYPE YOUR TEXT HERE</w:t>
      </w:r>
    </w:p>
    <w:permEnd w:id="386691977"/>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507861198" w:edGrp="everyone"/>
      <w:r>
        <w:t>TYPE YOUR TEXT HERE</w:t>
      </w:r>
    </w:p>
    <w:permEnd w:id="50786119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573270710" w:edGrp="everyone"/>
      <w:r>
        <w:t>TYPE YOUR TEXT HERE</w:t>
      </w:r>
    </w:p>
    <w:permEnd w:id="57327071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1416448" w:edGrp="everyone"/>
      <w:r>
        <w:t>TYPE YOUR TEXT HERE</w:t>
      </w:r>
    </w:p>
    <w:permEnd w:id="161416448"/>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807287232" w:edGrp="everyone"/>
      <w:r>
        <w:t>TYPE YOUR TEXT HERE</w:t>
      </w:r>
    </w:p>
    <w:permEnd w:id="80728723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278738604" w:edGrp="everyone"/>
      <w:r>
        <w:t>TYPE YOUR TEXT HERE</w:t>
      </w:r>
    </w:p>
    <w:permEnd w:id="278738604"/>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874911112" w:edGrp="everyone"/>
      <w:r>
        <w:t>TYPE YOUR TEXT HERE</w:t>
      </w:r>
    </w:p>
    <w:permEnd w:id="874911112"/>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128286767" w:edGrp="everyone"/>
      <w:r>
        <w:t>TYPE YOUR TEXT HERE</w:t>
      </w:r>
    </w:p>
    <w:permEnd w:id="112828676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70772085" w:edGrp="everyone"/>
      <w:r>
        <w:t>TYPE YOUR TEXT HERE</w:t>
      </w:r>
    </w:p>
    <w:permEnd w:id="147077208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18098948" w:edGrp="everyone"/>
      <w:r>
        <w:t>TYPE YOUR TEXT HERE</w:t>
      </w:r>
    </w:p>
    <w:permEnd w:id="71809894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2079145704" w:edGrp="everyone"/>
      <w:r>
        <w:t>TYPE YOUR TEXT HERE</w:t>
      </w:r>
    </w:p>
    <w:permEnd w:id="207914570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46001748" w:edGrp="everyone"/>
      <w:r>
        <w:t>TYPE YOUR TEXT HERE</w:t>
      </w:r>
    </w:p>
    <w:permEnd w:id="124600174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27676990" w:edGrp="everyone"/>
      <w:r>
        <w:t>TYPE YOUR TEXT HERE</w:t>
      </w:r>
    </w:p>
    <w:permEnd w:id="2767699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75316714" w:edGrp="everyone"/>
      <w:r>
        <w:t>TYPE YOUR TEXT HERE</w:t>
      </w:r>
    </w:p>
    <w:permEnd w:id="775316714"/>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46334965" w:edGrp="everyone"/>
      <w:r>
        <w:t>TYPE YOUR TEXT HERE</w:t>
      </w:r>
    </w:p>
    <w:permEnd w:id="4633496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108367396" w:edGrp="everyone"/>
      <w:r>
        <w:t>TYPE YOUR TEXT HERE</w:t>
      </w:r>
    </w:p>
    <w:permEnd w:id="2108367396"/>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32849296" w:edGrp="everyone"/>
      <w:r>
        <w:t>TYPE YOUR TEXT HERE</w:t>
      </w:r>
    </w:p>
    <w:permEnd w:id="163284929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690781710" w:edGrp="everyone"/>
      <w:r>
        <w:t>TYPE YOUR TEXT HERE</w:t>
      </w:r>
    </w:p>
    <w:permEnd w:id="69078171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37566545" w:edGrp="everyone"/>
      <w:r>
        <w:t>TYPE YOUR TEXT HERE</w:t>
      </w:r>
    </w:p>
    <w:permEnd w:id="83756654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270359604" w:edGrp="everyone"/>
      <w:r>
        <w:t>TYPE YOUR TEXT HERE</w:t>
      </w:r>
    </w:p>
    <w:permEnd w:id="270359604"/>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910320477" w:edGrp="everyone"/>
      <w:r>
        <w:t>TYPE YOUR TEXT HERE</w:t>
      </w:r>
    </w:p>
    <w:permEnd w:id="91032047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059205491" w:edGrp="everyone"/>
      <w:r>
        <w:t>TYPE YOUR TEXT HERE</w:t>
      </w:r>
    </w:p>
    <w:permEnd w:id="1059205491"/>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262434352" w:edGrp="everyone"/>
      <w:r>
        <w:t>TYPE YOUR TEXT HERE</w:t>
      </w:r>
    </w:p>
    <w:permEnd w:id="126243435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328205292" w:edGrp="everyone"/>
      <w:r>
        <w:t>TYPE YOUR TEXT HERE</w:t>
      </w:r>
    </w:p>
    <w:permEnd w:id="32820529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790001522" w:edGrp="everyone"/>
      <w:r>
        <w:t>TYPE YOUR TEXT HERE</w:t>
      </w:r>
    </w:p>
    <w:permEnd w:id="179000152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727015074" w:edGrp="everyone"/>
      <w:r>
        <w:t>TYPE YOUR TEXT HERE</w:t>
      </w:r>
    </w:p>
    <w:permEnd w:id="72701507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502737235" w:edGrp="everyone"/>
      <w:r>
        <w:t>TYPE YOUR TEXT HERE</w:t>
      </w:r>
    </w:p>
    <w:permEnd w:id="50273723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602484973" w:edGrp="everyone"/>
      <w:r>
        <w:t>TYPE YOUR TEXT HERE</w:t>
      </w:r>
    </w:p>
    <w:permEnd w:id="60248497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923830942" w:edGrp="everyone"/>
      <w:r>
        <w:t>TYPE YOUR TEXT HERE</w:t>
      </w:r>
    </w:p>
    <w:permEnd w:id="192383094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24801332" w:edGrp="everyone"/>
      <w:r>
        <w:t>TYPE YOUR TEXT HERE</w:t>
      </w:r>
    </w:p>
    <w:permEnd w:id="12480133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594953383" w:edGrp="everyone"/>
      <w:r>
        <w:t>TYPE YOUR TEXT HERE</w:t>
      </w:r>
    </w:p>
    <w:permEnd w:id="159495338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635201293" w:edGrp="everyone"/>
      <w:r>
        <w:t>TYPE YOUR TEXT HERE</w:t>
      </w:r>
    </w:p>
    <w:permEnd w:id="63520129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896163790" w:edGrp="everyone"/>
      <w:r>
        <w:t>TYPE YOUR TEXT HERE</w:t>
      </w:r>
    </w:p>
    <w:permEnd w:id="189616379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958089795" w:edGrp="everyone"/>
      <w:r>
        <w:t>TYPE YOUR TEXT HERE</w:t>
      </w:r>
    </w:p>
    <w:permEnd w:id="195808979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524238926" w:edGrp="everyone"/>
      <w:r>
        <w:t>TYPE YOUR TEXT HERE</w:t>
      </w:r>
    </w:p>
    <w:permEnd w:id="52423892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793081181" w:edGrp="everyone"/>
      <w:r>
        <w:t>TYPE YOUR TEXT HERE</w:t>
      </w:r>
    </w:p>
    <w:permEnd w:id="793081181"/>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216031881" w:edGrp="everyone"/>
      <w:r>
        <w:t>TYPE YOUR TEXT HERE</w:t>
      </w:r>
    </w:p>
    <w:permEnd w:id="121603188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750278382" w:edGrp="everyone"/>
      <w:r>
        <w:t>TYPE YOUR TEXT HERE</w:t>
      </w:r>
    </w:p>
    <w:permEnd w:id="75027838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880836553" w:edGrp="everyone"/>
      <w:r>
        <w:t>TYPE YOUR TEXT HERE</w:t>
      </w:r>
    </w:p>
    <w:permEnd w:id="1880836553"/>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83116093" w:edGrp="everyone"/>
      <w:r>
        <w:t>TYPE YOUR TEXT HERE</w:t>
      </w:r>
    </w:p>
    <w:permEnd w:id="28311609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999183312" w:edGrp="everyone"/>
      <w:r>
        <w:t>TYPE YOUR TEXT HERE</w:t>
      </w:r>
    </w:p>
    <w:permEnd w:id="1999183312"/>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849687346" w:edGrp="everyone"/>
      <w:r>
        <w:t>TYPE YOUR TEXT HERE</w:t>
      </w:r>
    </w:p>
    <w:permEnd w:id="84968734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48833404" w:edGrp="everyone"/>
      <w:r>
        <w:t>TYPE YOUR TEXT HERE</w:t>
      </w:r>
    </w:p>
    <w:permEnd w:id="4883340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46659331" w:edGrp="everyone"/>
      <w:r>
        <w:t>TYPE YOUR TEXT HERE</w:t>
      </w:r>
    </w:p>
    <w:permEnd w:id="546659331"/>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800989967" w:edGrp="everyone"/>
      <w:r>
        <w:t>TYPE YOUR TEXT HERE</w:t>
      </w:r>
    </w:p>
    <w:permEnd w:id="80098996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44455393" w:edGrp="everyone"/>
      <w:r>
        <w:t>TYPE YOUR TEXT HERE</w:t>
      </w:r>
    </w:p>
    <w:permEnd w:id="14445539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341146929" w:edGrp="everyone"/>
      <w:r>
        <w:t>TYPE YOUR TEXT HERE</w:t>
      </w:r>
    </w:p>
    <w:permEnd w:id="34114692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463040986" w:edGrp="everyone"/>
      <w:r>
        <w:t>TYPE YOUR TEXT HERE</w:t>
      </w:r>
    </w:p>
    <w:permEnd w:id="1463040986"/>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81849072" w:edGrp="everyone"/>
      <w:r>
        <w:t>TYPE YOUR TEXT HERE</w:t>
      </w:r>
    </w:p>
    <w:permEnd w:id="681849072"/>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965310799" w:edGrp="everyone"/>
      <w:r>
        <w:t>TYPE YOUR TEXT HERE</w:t>
      </w:r>
    </w:p>
    <w:permEnd w:id="196531079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46684928" w:edGrp="everyone"/>
      <w:r>
        <w:t>TYPE YOUR TEXT HERE</w:t>
      </w:r>
    </w:p>
    <w:permEnd w:id="146684928"/>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403709316" w:edGrp="everyone"/>
      <w:r>
        <w:t>TYPE YOUR TEXT HERE</w:t>
      </w:r>
    </w:p>
    <w:permEnd w:id="40370931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83653888" w:edGrp="everyone"/>
      <w:r>
        <w:t>TYPE YOUR TEXT HERE</w:t>
      </w:r>
    </w:p>
    <w:permEnd w:id="18365388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239944254" w:edGrp="everyone"/>
      <w:r>
        <w:t>TYPE YOUR TEXT HERE</w:t>
      </w:r>
    </w:p>
    <w:permEnd w:id="123994425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244270847" w:edGrp="everyone"/>
      <w:r>
        <w:t>TYPE YOUR TEXT HERE</w:t>
      </w:r>
    </w:p>
    <w:permEnd w:id="124427084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554270075" w:edGrp="everyone"/>
      <w:r>
        <w:t>TYPE YOUR TEXT HERE</w:t>
      </w:r>
    </w:p>
    <w:permEnd w:id="554270075"/>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44575104" w:edGrp="everyone"/>
      <w:r>
        <w:t>TYPE YOUR TEXT HERE</w:t>
      </w:r>
    </w:p>
    <w:permEnd w:id="144575104"/>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904428322" w:edGrp="everyone"/>
      <w:r>
        <w:t>TYPE YOUR TEXT HERE</w:t>
      </w:r>
    </w:p>
    <w:permEnd w:id="190442832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428439350" w:edGrp="everyone"/>
      <w:r>
        <w:t>TYPE YOUR TEXT HERE</w:t>
      </w:r>
    </w:p>
    <w:permEnd w:id="42843935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0803796" w:edGrp="everyone"/>
      <w:r>
        <w:t>TYPE YOUR TEXT HERE</w:t>
      </w:r>
    </w:p>
    <w:permEnd w:id="120803796"/>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946498061" w:edGrp="everyone"/>
      <w:r>
        <w:t>TYPE YOUR TEXT HERE</w:t>
      </w:r>
    </w:p>
    <w:permEnd w:id="94649806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139910151" w:edGrp="everyone"/>
      <w:r>
        <w:t>TYPE YOUR TEXT HERE</w:t>
      </w:r>
    </w:p>
    <w:permEnd w:id="213991015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330854741" w:edGrp="everyone"/>
      <w:r>
        <w:t>TYPE YOUR TEXT HERE</w:t>
      </w:r>
    </w:p>
    <w:permEnd w:id="330854741"/>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995387125" w:edGrp="everyone"/>
      <w:r>
        <w:t>TYPE YOUR TEXT HERE</w:t>
      </w:r>
    </w:p>
    <w:permEnd w:id="199538712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690583363" w:edGrp="everyone"/>
      <w:r>
        <w:t>TYPE YOUR TEXT HERE</w:t>
      </w:r>
    </w:p>
    <w:permEnd w:id="69058336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24299743" w:edGrp="everyone"/>
      <w:r>
        <w:t>TYPE YOUR TEXT HERE</w:t>
      </w:r>
    </w:p>
    <w:permEnd w:id="122429974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26314505" w:edGrp="everyone"/>
      <w:r>
        <w:t>TYPE YOUR TEXT HERE</w:t>
      </w:r>
    </w:p>
    <w:permEnd w:id="112631450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801731171" w:edGrp="everyone"/>
      <w:r>
        <w:t>TYPE YOUR TEXT HERE</w:t>
      </w:r>
    </w:p>
    <w:permEnd w:id="180173117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643168" w:edGrp="everyone"/>
      <w:r>
        <w:t>TYPE YOUR TEXT HERE</w:t>
      </w:r>
    </w:p>
    <w:permEnd w:id="13643168"/>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19249067" w:edGrp="everyone"/>
      <w:r>
        <w:t>TYPE YOUR TEXT HERE</w:t>
      </w:r>
    </w:p>
    <w:permEnd w:id="319249067"/>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415977250" w:edGrp="everyone"/>
      <w:r>
        <w:t>TYPE YOUR TEXT HERE</w:t>
      </w:r>
    </w:p>
    <w:permEnd w:id="141597725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628513537" w:edGrp="everyone"/>
      <w:r>
        <w:t>TYPE YOUR TEXT HERE</w:t>
      </w:r>
    </w:p>
    <w:permEnd w:id="1628513537"/>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05263886" w:edGrp="everyone"/>
      <w:r>
        <w:t>TYPE YOUR TEXT HERE</w:t>
      </w:r>
    </w:p>
    <w:permEnd w:id="20526388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885523230" w:edGrp="everyone"/>
      <w:r>
        <w:t>TYPE YOUR TEXT HERE</w:t>
      </w:r>
    </w:p>
    <w:permEnd w:id="88552323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177295217" w:edGrp="everyone"/>
      <w:r>
        <w:t>TYPE YOUR TEXT HERE</w:t>
      </w:r>
    </w:p>
    <w:permEnd w:id="117729521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83807883" w:edGrp="everyone"/>
      <w:r>
        <w:t>TYPE YOUR TEXT HERE</w:t>
      </w:r>
    </w:p>
    <w:permEnd w:id="128380788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470185541" w:edGrp="everyone"/>
      <w:r>
        <w:t>TYPE YOUR TEXT HERE</w:t>
      </w:r>
    </w:p>
    <w:permEnd w:id="147018554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755477996" w:edGrp="everyone"/>
      <w:r>
        <w:t>TYPE YOUR TEXT HERE</w:t>
      </w:r>
    </w:p>
    <w:permEnd w:id="1755477996"/>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93708184" w:edGrp="everyone"/>
      <w:r>
        <w:t>TYPE YOUR TEXT HERE</w:t>
      </w:r>
    </w:p>
    <w:permEnd w:id="493708184"/>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575541139" w:edGrp="everyone"/>
      <w:r>
        <w:t>TYPE YOUR TEXT HERE</w:t>
      </w:r>
    </w:p>
    <w:permEnd w:id="575541139"/>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791497887" w:edGrp="everyone"/>
      <w:r>
        <w:t>TYPE YOUR TEXT HERE</w:t>
      </w:r>
    </w:p>
    <w:permEnd w:id="791497887"/>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87408187" w:edGrp="everyone"/>
      <w:r>
        <w:t>TYPE YOUR TEXT HERE</w:t>
      </w:r>
    </w:p>
    <w:permEnd w:id="1487408187"/>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315535451" w:edGrp="everyone"/>
      <w:r>
        <w:t>TYPE YOUR TEXT HERE</w:t>
      </w:r>
    </w:p>
    <w:permEnd w:id="1315535451"/>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206994579" w:edGrp="everyone"/>
      <w:r>
        <w:t>TYPE YOUR TEXT HERE</w:t>
      </w:r>
    </w:p>
    <w:permEnd w:id="1206994579"/>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226978922" w:edGrp="everyone"/>
      <w:r>
        <w:t>TYPE YOUR TEXT HERE</w:t>
      </w:r>
    </w:p>
    <w:permEnd w:id="1226978922"/>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0815729" w:edGrp="everyone"/>
      <w:r>
        <w:t>TYPE YOUR TEXT HERE</w:t>
      </w:r>
    </w:p>
    <w:permEnd w:id="148081572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670129502" w:edGrp="everyone"/>
      <w:r>
        <w:t>TYPE YOUR TEXT HERE</w:t>
      </w:r>
    </w:p>
    <w:permEnd w:id="670129502"/>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144852932" w:edGrp="everyone"/>
      <w:r>
        <w:t>TYPE YOUR TEXT HERE</w:t>
      </w:r>
    </w:p>
    <w:permEnd w:id="114485293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129063170" w:edGrp="everyone"/>
      <w:r>
        <w:t>TYPE YOUR TEXT HERE</w:t>
      </w:r>
    </w:p>
    <w:permEnd w:id="112906317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367199065" w:edGrp="everyone"/>
      <w:r>
        <w:t>TYPE YOUR TEXT HERE</w:t>
      </w:r>
    </w:p>
    <w:permEnd w:id="36719906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736140649" w:edGrp="everyone"/>
      <w:r>
        <w:t>TYPE YOUR TEXT HERE</w:t>
      </w:r>
    </w:p>
    <w:permEnd w:id="1736140649"/>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118511811" w:edGrp="everyone"/>
      <w:r>
        <w:t>TYPE YOUR TEXT HERE</w:t>
      </w:r>
    </w:p>
    <w:permEnd w:id="111851181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672816254" w:edGrp="everyone"/>
      <w:r>
        <w:t>TYPE YOUR TEXT HERE</w:t>
      </w:r>
    </w:p>
    <w:permEnd w:id="67281625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57623994" w:edGrp="everyone"/>
      <w:r>
        <w:t>TYPE YOUR TEXT HERE</w:t>
      </w:r>
    </w:p>
    <w:permEnd w:id="185762399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81872024" w:edGrp="everyone"/>
      <w:r>
        <w:t>TYPE YOUR TEXT HERE</w:t>
      </w:r>
    </w:p>
    <w:permEnd w:id="1581872024"/>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09633834" w:edGrp="everyone"/>
      <w:r>
        <w:t>TYPE YOUR TEXT HERE</w:t>
      </w:r>
    </w:p>
    <w:permEnd w:id="140963383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806489910" w:edGrp="everyone"/>
      <w:r>
        <w:t>TYPE YOUR TEXT HERE</w:t>
      </w:r>
    </w:p>
    <w:permEnd w:id="806489910"/>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352229646" w:edGrp="everyone"/>
      <w:r>
        <w:t>TYPE YOUR TEXT HERE</w:t>
      </w:r>
    </w:p>
    <w:permEnd w:id="1352229646"/>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527126163" w:edGrp="everyone"/>
      <w:r>
        <w:t>TYPE YOUR TEXT HERE</w:t>
      </w:r>
    </w:p>
    <w:permEnd w:id="52712616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407977257" w:edGrp="everyone"/>
      <w:r>
        <w:t>TYPE YOUR TEXT HERE</w:t>
      </w:r>
    </w:p>
    <w:permEnd w:id="140797725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101945853" w:edGrp="everyone"/>
      <w:r>
        <w:t>TYPE YOUR TEXT HERE</w:t>
      </w:r>
    </w:p>
    <w:permEnd w:id="110194585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94272466" w:edGrp="everyone"/>
      <w:r>
        <w:t>TYPE YOUR TEXT HERE</w:t>
      </w:r>
    </w:p>
    <w:permEnd w:id="94272466"/>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52109974" w:edGrp="everyone"/>
      <w:r>
        <w:t>TYPE YOUR TEXT HERE</w:t>
      </w:r>
    </w:p>
    <w:permEnd w:id="52109974"/>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513379330" w:edGrp="everyone"/>
      <w:r>
        <w:t>TYPE YOUR TEXT HERE</w:t>
      </w:r>
    </w:p>
    <w:permEnd w:id="1513379330"/>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36762753" w:edGrp="everyone"/>
      <w:r>
        <w:t>TYPE YOUR TEXT HERE</w:t>
      </w:r>
    </w:p>
    <w:permEnd w:id="636762753"/>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43371327" w:edGrp="everyone"/>
      <w:r>
        <w:t>TYPE YOUR TEXT HERE</w:t>
      </w:r>
    </w:p>
    <w:permEnd w:id="543371327"/>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06493385" w:edGrp="everyone"/>
      <w:r>
        <w:t>TYPE YOUR TEXT HERE</w:t>
      </w:r>
    </w:p>
    <w:permEnd w:id="1606493385"/>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642346348" w:edGrp="everyone"/>
      <w:r>
        <w:t>TYPE YOUR TEXT HERE</w:t>
      </w:r>
    </w:p>
    <w:permEnd w:id="164234634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850015609" w:edGrp="everyone"/>
      <w:r>
        <w:t>TYPE YOUR TEXT HERE</w:t>
      </w:r>
    </w:p>
    <w:permEnd w:id="85001560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88923086" w:edGrp="everyone"/>
      <w:r>
        <w:t>TYPE YOUR TEXT HERE</w:t>
      </w:r>
    </w:p>
    <w:permEnd w:id="208892308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2018987973" w:edGrp="everyone"/>
      <w:r>
        <w:t>TYPE YOUR TEXT HERE</w:t>
      </w:r>
    </w:p>
    <w:permEnd w:id="20189879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320370415" w:edGrp="everyone"/>
      <w:r>
        <w:t>TYPE YOUR TEXT HERE</w:t>
      </w:r>
    </w:p>
    <w:permEnd w:id="32037041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91981626" w:edGrp="everyone"/>
      <w:r>
        <w:t>TYPE YOUR TEXT HERE</w:t>
      </w:r>
    </w:p>
    <w:permEnd w:id="199198162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660954585" w:edGrp="everyone"/>
      <w:r>
        <w:t>TYPE YOUR TEXT HERE</w:t>
      </w:r>
    </w:p>
    <w:permEnd w:id="166095458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DF6653" w:rsidRPr="00AC2218" w:rsidRDefault="00DF6653" w:rsidP="00DF6653">
      <w:pPr>
        <w:spacing w:before="120" w:after="120" w:line="240" w:lineRule="auto"/>
        <w:rPr>
          <w:rFonts w:cstheme="minorHAnsi"/>
          <w:color w:val="000000"/>
          <w:lang w:val="en-US"/>
        </w:rPr>
      </w:pPr>
      <w:permStart w:id="2112377087" w:edGrp="everyone"/>
      <w:r w:rsidRPr="00AC2218">
        <w:rPr>
          <w:rFonts w:eastAsia="Times New Roman" w:cstheme="minorHAnsi"/>
          <w:color w:val="000000"/>
          <w:lang w:val="en-US"/>
        </w:rPr>
        <w:t xml:space="preserve">We do not agree. First of all in relation to the overall application of the thresholds, ESMA proposes that both tests should be met in order to remain exempted from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w:t>
      </w:r>
      <w:r w:rsidRPr="00AC2218">
        <w:rPr>
          <w:rFonts w:cstheme="minorHAnsi"/>
          <w:color w:val="000000"/>
          <w:lang w:val="en-US"/>
        </w:rPr>
        <w:t xml:space="preserve"> Based on the Directive and level 1 text, we believe instead that the tests should be failed cumulatively in order not to rely on the ancillary activity exemption (i.e. be subject to a </w:t>
      </w:r>
      <w:proofErr w:type="spellStart"/>
      <w:r w:rsidRPr="00AC2218">
        <w:rPr>
          <w:rFonts w:cstheme="minorHAnsi"/>
          <w:color w:val="000000"/>
          <w:lang w:val="en-US"/>
        </w:rPr>
        <w:t>MiFID</w:t>
      </w:r>
      <w:proofErr w:type="spellEnd"/>
      <w:r w:rsidRPr="00AC2218">
        <w:rPr>
          <w:rFonts w:cstheme="minorHAnsi"/>
          <w:color w:val="000000"/>
          <w:lang w:val="en-US"/>
        </w:rPr>
        <w:t xml:space="preserve"> license). </w:t>
      </w:r>
    </w:p>
    <w:p w:rsidR="00DF6653" w:rsidRPr="00AC2218" w:rsidRDefault="00DF6653" w:rsidP="00DF6653">
      <w:pPr>
        <w:spacing w:before="120" w:after="120" w:line="240" w:lineRule="auto"/>
        <w:rPr>
          <w:rFonts w:cstheme="minorHAnsi"/>
          <w:color w:val="000000"/>
          <w:lang w:val="en-US"/>
        </w:rPr>
      </w:pPr>
      <w:r w:rsidRPr="00AC2218">
        <w:rPr>
          <w:rFonts w:cstheme="minorHAnsi"/>
          <w:color w:val="000000"/>
          <w:lang w:val="en-US"/>
        </w:rPr>
        <w:t xml:space="preserve">The article 2.4 in </w:t>
      </w:r>
      <w:proofErr w:type="spellStart"/>
      <w:r w:rsidRPr="00AC2218">
        <w:rPr>
          <w:rFonts w:cstheme="minorHAnsi"/>
          <w:color w:val="000000"/>
          <w:lang w:val="en-US"/>
        </w:rPr>
        <w:t>MiFID</w:t>
      </w:r>
      <w:proofErr w:type="spellEnd"/>
      <w:r w:rsidRPr="00AC2218">
        <w:rPr>
          <w:rFonts w:cstheme="minorHAnsi"/>
          <w:color w:val="000000"/>
          <w:lang w:val="en-US"/>
        </w:rPr>
        <w:t xml:space="preserve"> II level 1 text stipulates</w:t>
      </w:r>
      <w:proofErr w:type="gramStart"/>
      <w:r w:rsidRPr="00AC2218">
        <w:rPr>
          <w:rFonts w:cstheme="minorHAnsi"/>
          <w:color w:val="000000"/>
          <w:lang w:val="en-US"/>
        </w:rPr>
        <w:t xml:space="preserve">: </w:t>
      </w:r>
      <w:r w:rsidRPr="00AC2218">
        <w:rPr>
          <w:rFonts w:cstheme="minorHAnsi"/>
          <w:i/>
          <w:color w:val="000000"/>
          <w:lang w:val="en-US"/>
        </w:rPr>
        <w:t>”</w:t>
      </w:r>
      <w:proofErr w:type="gramEnd"/>
      <w:r w:rsidRPr="00AC2218">
        <w:rPr>
          <w:rFonts w:cstheme="minorHAnsi"/>
          <w:i/>
          <w:color w:val="000000"/>
          <w:lang w:val="en-US"/>
        </w:rPr>
        <w:t xml:space="preserve"> Those criteria shall take into account </w:t>
      </w:r>
      <w:r w:rsidRPr="00AC2218">
        <w:rPr>
          <w:rFonts w:cstheme="minorHAnsi"/>
          <w:b/>
          <w:i/>
          <w:color w:val="000000"/>
          <w:u w:val="single"/>
          <w:lang w:val="en-US"/>
        </w:rPr>
        <w:t>at least</w:t>
      </w:r>
      <w:r w:rsidRPr="00AC2218">
        <w:rPr>
          <w:rFonts w:cstheme="minorHAnsi"/>
          <w:i/>
          <w:color w:val="000000"/>
          <w:lang w:val="en-US"/>
        </w:rPr>
        <w:t xml:space="preserve"> the following element</w:t>
      </w:r>
      <w:r w:rsidRPr="00AC2218">
        <w:rPr>
          <w:rFonts w:cstheme="minorHAnsi"/>
          <w:b/>
          <w:i/>
          <w:color w:val="000000"/>
          <w:u w:val="single"/>
          <w:lang w:val="en-US"/>
        </w:rPr>
        <w:t>s</w:t>
      </w:r>
      <w:r w:rsidRPr="00AC2218">
        <w:rPr>
          <w:rFonts w:cstheme="minorHAnsi"/>
          <w:i/>
          <w:color w:val="000000"/>
          <w:lang w:val="en-US"/>
        </w:rPr>
        <w:t xml:space="preserve">:” </w:t>
      </w:r>
      <w:r w:rsidRPr="00AC2218">
        <w:rPr>
          <w:rFonts w:cstheme="minorHAnsi"/>
          <w:color w:val="000000"/>
          <w:lang w:val="en-US"/>
        </w:rPr>
        <w:t xml:space="preserve">(the term “element” being used in plural form, meaning both of the elements), however </w:t>
      </w:r>
      <w:r w:rsidRPr="00AC2218">
        <w:rPr>
          <w:rFonts w:eastAsia="Times New Roman" w:cstheme="minorHAnsi"/>
          <w:lang w:val="en-US"/>
        </w:rPr>
        <w:t>point 20.i of the CP goes far beyond stating that</w:t>
      </w:r>
      <w:r w:rsidRPr="00AC2218">
        <w:rPr>
          <w:rFonts w:cstheme="minorHAnsi"/>
          <w:lang w:val="en-US"/>
        </w:rPr>
        <w:t xml:space="preserve">: </w:t>
      </w:r>
      <w:r w:rsidRPr="00AC2218">
        <w:rPr>
          <w:rFonts w:eastAsia="Times New Roman" w:cstheme="minorHAnsi"/>
          <w:i/>
          <w:lang w:val="en-US"/>
        </w:rPr>
        <w:t xml:space="preserve">“A firm </w:t>
      </w:r>
      <w:r w:rsidRPr="00AC2218">
        <w:rPr>
          <w:rFonts w:eastAsia="Times New Roman" w:cstheme="minorHAnsi"/>
          <w:b/>
          <w:i/>
          <w:lang w:val="en-US"/>
        </w:rPr>
        <w:t>will be captured</w:t>
      </w:r>
      <w:r w:rsidRPr="00AC2218">
        <w:rPr>
          <w:rFonts w:eastAsia="Times New Roman" w:cstheme="minorHAnsi"/>
          <w:i/>
          <w:lang w:val="en-US"/>
        </w:rPr>
        <w:t xml:space="preserve"> by the scope of </w:t>
      </w:r>
      <w:proofErr w:type="spellStart"/>
      <w:r w:rsidRPr="00AC2218">
        <w:rPr>
          <w:rFonts w:eastAsia="Times New Roman" w:cstheme="minorHAnsi"/>
          <w:i/>
          <w:lang w:val="en-US"/>
        </w:rPr>
        <w:t>MiFID</w:t>
      </w:r>
      <w:proofErr w:type="spellEnd"/>
      <w:r w:rsidRPr="00AC2218">
        <w:rPr>
          <w:rFonts w:eastAsia="Times New Roman" w:cstheme="minorHAnsi"/>
          <w:i/>
          <w:lang w:val="en-US"/>
        </w:rPr>
        <w:t xml:space="preserve"> II if it either exceeds the threshold set in the ancillary activity test or if it exceeds the threshold set in the trading activity test “</w:t>
      </w:r>
    </w:p>
    <w:p w:rsidR="00DF6653"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Secondly, according to Directive 2014/65/EU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w:t>
      </w:r>
      <w:r w:rsidRPr="00AC2218">
        <w:rPr>
          <w:rFonts w:eastAsia="Times New Roman" w:cstheme="minorHAnsi"/>
          <w:i/>
          <w:color w:val="000000"/>
          <w:lang w:val="en-US"/>
        </w:rPr>
        <w:t xml:space="preserve">the capital employed (…) is to be considered. </w:t>
      </w:r>
      <w:proofErr w:type="gramStart"/>
      <w:r w:rsidRPr="00AC2218">
        <w:rPr>
          <w:rFonts w:eastAsia="Times New Roman" w:cstheme="minorHAnsi"/>
          <w:i/>
          <w:color w:val="000000"/>
          <w:lang w:val="en-US"/>
        </w:rPr>
        <w:t xml:space="preserve">However, that factor </w:t>
      </w:r>
      <w:r w:rsidRPr="00AC2218">
        <w:rPr>
          <w:rFonts w:eastAsia="Times New Roman" w:cstheme="minorHAnsi"/>
          <w:b/>
          <w:i/>
          <w:color w:val="000000"/>
          <w:lang w:val="en-US"/>
        </w:rPr>
        <w:t>shall in no case be sufficient</w:t>
      </w:r>
      <w:r w:rsidRPr="00AC2218">
        <w:rPr>
          <w:rFonts w:eastAsia="Times New Roman" w:cstheme="minorHAnsi"/>
          <w:i/>
          <w:color w:val="000000"/>
          <w:lang w:val="en-US"/>
        </w:rPr>
        <w:t xml:space="preserve"> to demonstrate that the activity is ancillary to the main business of the group’</w:t>
      </w:r>
      <w:r w:rsidRPr="00AC2218">
        <w:rPr>
          <w:rFonts w:eastAsia="Times New Roman" w:cstheme="minorHAnsi"/>
          <w:color w:val="000000"/>
          <w:lang w:val="en-US"/>
        </w:rPr>
        <w:t xml:space="preserve"> (Article 2.4</w:t>
      </w:r>
      <w:r>
        <w:rPr>
          <w:rFonts w:eastAsia="Times New Roman" w:cstheme="minorHAnsi"/>
          <w:color w:val="000000"/>
          <w:lang w:val="en-US"/>
        </w:rPr>
        <w:t>, 3</w:t>
      </w:r>
      <w:r w:rsidRPr="000D4795">
        <w:rPr>
          <w:rFonts w:eastAsia="Times New Roman" w:cstheme="minorHAnsi"/>
          <w:color w:val="000000"/>
          <w:vertAlign w:val="superscript"/>
          <w:lang w:val="en-US"/>
        </w:rPr>
        <w:t>rd</w:t>
      </w:r>
      <w:r>
        <w:rPr>
          <w:rFonts w:eastAsia="Times New Roman" w:cstheme="minorHAnsi"/>
          <w:color w:val="000000"/>
          <w:lang w:val="en-US"/>
        </w:rPr>
        <w:t xml:space="preserve"> paragraph when the legislator describes the minority test to be performed</w:t>
      </w:r>
      <w:r w:rsidRPr="00AC2218">
        <w:rPr>
          <w:rFonts w:eastAsia="Times New Roman" w:cstheme="minorHAnsi"/>
          <w:color w:val="000000"/>
          <w:lang w:val="en-US"/>
        </w:rPr>
        <w:t>).</w:t>
      </w:r>
      <w:proofErr w:type="gramEnd"/>
      <w:r w:rsidRPr="00AC2218">
        <w:rPr>
          <w:rFonts w:eastAsia="Times New Roman" w:cstheme="minorHAnsi"/>
          <w:color w:val="000000"/>
          <w:lang w:val="en-US"/>
        </w:rPr>
        <w:t xml:space="preserve"> In other words the level 1 text insists again that the breach </w:t>
      </w:r>
      <w:proofErr w:type="gramStart"/>
      <w:r w:rsidRPr="00AC2218">
        <w:rPr>
          <w:rFonts w:eastAsia="Times New Roman" w:cstheme="minorHAnsi"/>
          <w:color w:val="000000"/>
          <w:lang w:val="en-US"/>
        </w:rPr>
        <w:t xml:space="preserve">of </w:t>
      </w:r>
      <w:r>
        <w:rPr>
          <w:rFonts w:eastAsia="Times New Roman" w:cstheme="minorHAnsi"/>
          <w:color w:val="000000"/>
          <w:lang w:val="en-US"/>
        </w:rPr>
        <w:t xml:space="preserve"> the</w:t>
      </w:r>
      <w:proofErr w:type="gramEnd"/>
      <w:r>
        <w:rPr>
          <w:rFonts w:eastAsia="Times New Roman" w:cstheme="minorHAnsi"/>
          <w:color w:val="000000"/>
          <w:lang w:val="en-US"/>
        </w:rPr>
        <w:t xml:space="preserve"> capital employed test</w:t>
      </w:r>
      <w:r w:rsidRPr="00AC2218">
        <w:rPr>
          <w:rFonts w:eastAsia="Times New Roman" w:cstheme="minorHAnsi"/>
          <w:color w:val="000000"/>
          <w:lang w:val="en-US"/>
        </w:rPr>
        <w:t xml:space="preserve"> </w:t>
      </w:r>
      <w:r>
        <w:rPr>
          <w:rFonts w:eastAsia="Times New Roman" w:cstheme="minorHAnsi"/>
          <w:color w:val="000000"/>
          <w:lang w:val="en-US"/>
        </w:rPr>
        <w:t xml:space="preserve">only </w:t>
      </w:r>
      <w:r w:rsidRPr="00AC2218">
        <w:rPr>
          <w:rFonts w:eastAsia="Times New Roman" w:cstheme="minorHAnsi"/>
          <w:color w:val="000000"/>
          <w:lang w:val="en-US"/>
        </w:rPr>
        <w:t xml:space="preserve">will not be enough to demonstrate </w:t>
      </w:r>
      <w:r>
        <w:rPr>
          <w:rFonts w:eastAsia="Times New Roman" w:cstheme="minorHAnsi"/>
          <w:color w:val="000000"/>
          <w:lang w:val="en-US"/>
        </w:rPr>
        <w:t>the “minority of activities”</w:t>
      </w:r>
      <w:r w:rsidRPr="00AC2218">
        <w:rPr>
          <w:rFonts w:eastAsia="Times New Roman" w:cstheme="minorHAnsi"/>
          <w:color w:val="000000"/>
          <w:lang w:val="en-US"/>
        </w:rPr>
        <w:t xml:space="preserve">. This is also confirmed when reading Recital 20. </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We are concerned about the macroeconomic impact that ESMA’s proposals will have, if implemented.  As ESMA acknowledges in the consultation paper, there are a number of secondary effects on firms that will fall into 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scope, due to the interactions with other EU legislation such as EMIR, CRD.  </w:t>
      </w:r>
    </w:p>
    <w:p w:rsidR="00DF6653"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Further, ESMA has not been able to quantify the effects of the proposals as “no data is available to run a simulation with different threshold levels”.  It is therefore impossible to predict the post-2017 landscape of commodity markets resulting from the interplay between the proposals and firms’ strategic responses to them that will be taken in advance especially if the framework remains so uncertain. </w:t>
      </w:r>
    </w:p>
    <w:p w:rsidR="00DF6653" w:rsidRPr="00446F79" w:rsidRDefault="00DF6653" w:rsidP="00DF6653">
      <w:pPr>
        <w:spacing w:before="120" w:line="240" w:lineRule="auto"/>
        <w:rPr>
          <w:rFonts w:eastAsia="Times New Roman" w:cstheme="minorHAnsi"/>
          <w:color w:val="000000"/>
          <w:lang w:val="en-US"/>
        </w:rPr>
      </w:pPr>
      <w:r w:rsidRPr="00446F79">
        <w:rPr>
          <w:rFonts w:eastAsia="Times New Roman" w:cstheme="minorHAnsi"/>
          <w:color w:val="000000"/>
          <w:lang w:val="en-US"/>
        </w:rPr>
        <w:t xml:space="preserve">For example the uncertainty surrounding the market size in 2016 is beginning to impact firm’s decisions to trade gas  for winter 2015 (Oct 2015 – March 2016) or electricity for 2016.  A reduction in market liquidity for this period would lead to firms experiencing difficulties in hedging next periods. </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This uncertainty poses a degree of risk to commodity markets, the wider economy, and also to market participants, which they can really only manage away by exiting or strongly restricting their presence in EU markets.  </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With less intermediation in commodity derivative markets producers and consumers of commodities will encounter difficulties in hedging within EU markets and market disruption may occur. This will result in producing and manufacturing entities having to bear increased risks (price volatility, interest, currency risks and credit risks) and these elements will be factored into the prices of their products.</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We urge ESMA to consider a </w:t>
      </w:r>
      <w:r>
        <w:rPr>
          <w:rFonts w:eastAsia="Times New Roman" w:cstheme="minorHAnsi"/>
          <w:color w:val="000000"/>
          <w:lang w:val="en-US"/>
        </w:rPr>
        <w:t>cautious and phased</w:t>
      </w:r>
      <w:r w:rsidRPr="00AC2218">
        <w:rPr>
          <w:rFonts w:eastAsia="Times New Roman" w:cstheme="minorHAnsi"/>
          <w:color w:val="000000"/>
          <w:lang w:val="en-US"/>
        </w:rPr>
        <w:t xml:space="preserve"> approach by setting relatively high thresholds </w:t>
      </w:r>
      <w:r>
        <w:rPr>
          <w:rFonts w:eastAsia="Times New Roman" w:cstheme="minorHAnsi"/>
          <w:color w:val="000000"/>
          <w:lang w:val="en-US"/>
        </w:rPr>
        <w:t>for an initial period</w:t>
      </w:r>
      <w:r w:rsidRPr="00AC2218">
        <w:rPr>
          <w:rFonts w:eastAsia="Times New Roman" w:cstheme="minorHAnsi"/>
          <w:color w:val="000000"/>
          <w:lang w:val="en-US"/>
        </w:rPr>
        <w:t xml:space="preserve"> and adjust them to proportionate levels (as required by Recital 20)</w:t>
      </w:r>
      <w:r>
        <w:rPr>
          <w:rFonts w:eastAsia="Times New Roman" w:cstheme="minorHAnsi"/>
          <w:color w:val="000000"/>
          <w:lang w:val="en-US"/>
        </w:rPr>
        <w:t xml:space="preserve"> on the basis of the experience,</w:t>
      </w:r>
      <w:r w:rsidRPr="00AC2218">
        <w:rPr>
          <w:rFonts w:eastAsia="Times New Roman" w:cstheme="minorHAnsi"/>
          <w:color w:val="000000"/>
          <w:lang w:val="en-US"/>
        </w:rPr>
        <w:t xml:space="preserve"> after evidence is produced and the macro-economic impact</w:t>
      </w:r>
      <w:r>
        <w:rPr>
          <w:rFonts w:eastAsia="Times New Roman" w:cstheme="minorHAnsi"/>
          <w:color w:val="000000"/>
          <w:lang w:val="en-US"/>
        </w:rPr>
        <w:t xml:space="preserve"> is fully taken into account</w:t>
      </w:r>
      <w:r w:rsidRPr="00AC2218">
        <w:rPr>
          <w:rFonts w:eastAsia="Times New Roman" w:cstheme="minorHAnsi"/>
          <w:color w:val="000000"/>
          <w:lang w:val="en-US"/>
        </w:rPr>
        <w:t>. This approach has been taken by the CFTC in the U.S., where the de-</w:t>
      </w:r>
      <w:proofErr w:type="spellStart"/>
      <w:r w:rsidRPr="00AC2218">
        <w:rPr>
          <w:rFonts w:eastAsia="Times New Roman" w:cstheme="minorHAnsi"/>
          <w:color w:val="000000"/>
          <w:lang w:val="en-US"/>
        </w:rPr>
        <w:t>minimis</w:t>
      </w:r>
      <w:proofErr w:type="spellEnd"/>
      <w:r w:rsidRPr="00AC2218">
        <w:rPr>
          <w:rFonts w:eastAsia="Times New Roman" w:cstheme="minorHAnsi"/>
          <w:color w:val="000000"/>
          <w:lang w:val="en-US"/>
        </w:rPr>
        <w:t xml:space="preserve"> threshold for Swap Dealers has been set at a higher level initially, and lowered after a period of time.  </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lastRenderedPageBreak/>
        <w:t xml:space="preserve">Such an approach would allow markets and their participants to adapt and evolve at a more measured pace, and reduces the risk of large-scale market disruption, “liquidity flight”, and regulatory arbitrage. </w:t>
      </w:r>
    </w:p>
    <w:permEnd w:id="211237708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DF6653" w:rsidRPr="00AC2218" w:rsidRDefault="00DF6653" w:rsidP="00DF6653">
      <w:pPr>
        <w:spacing w:after="120" w:line="240" w:lineRule="auto"/>
        <w:rPr>
          <w:rFonts w:eastAsiaTheme="minorHAnsi" w:cstheme="minorHAnsi"/>
          <w:color w:val="000000"/>
          <w:lang w:val="en-US"/>
        </w:rPr>
      </w:pPr>
      <w:permStart w:id="225837826" w:edGrp="everyone"/>
      <w:r w:rsidRPr="00AC2218">
        <w:rPr>
          <w:rFonts w:eastAsiaTheme="minorHAnsi" w:cstheme="minorHAnsi"/>
          <w:color w:val="000000"/>
          <w:lang w:val="en-US"/>
        </w:rPr>
        <w:t xml:space="preserve">Yes, we agree. This is appropriate and in line with our response to the Discussion Paper. </w:t>
      </w:r>
    </w:p>
    <w:p w:rsidR="00577C33" w:rsidRPr="00DF6653" w:rsidRDefault="00DF6653" w:rsidP="00DF6653">
      <w:pPr>
        <w:spacing w:after="120" w:line="240" w:lineRule="auto"/>
        <w:rPr>
          <w:rFonts w:eastAsia="Times New Roman" w:cstheme="minorHAnsi"/>
          <w:lang w:val="en-US"/>
        </w:rPr>
      </w:pPr>
      <w:r w:rsidRPr="00AC2218">
        <w:rPr>
          <w:rFonts w:eastAsia="Times New Roman" w:cstheme="minorHAnsi"/>
          <w:color w:val="000000"/>
          <w:lang w:val="en-US"/>
        </w:rPr>
        <w:t xml:space="preserve">Nevertheless, we would like to highlight the following issue: </w:t>
      </w:r>
      <w:r w:rsidRPr="00AC2218">
        <w:rPr>
          <w:rFonts w:eastAsia="Times New Roman" w:cstheme="minorHAnsi"/>
          <w:color w:val="000000"/>
          <w:u w:val="single"/>
          <w:lang w:val="en-US"/>
        </w:rPr>
        <w:t>due to the very low threshold</w:t>
      </w:r>
      <w:r w:rsidRPr="00AC2218">
        <w:rPr>
          <w:rFonts w:eastAsia="Times New Roman" w:cstheme="minorHAnsi"/>
          <w:color w:val="000000"/>
          <w:lang w:val="en-US"/>
        </w:rPr>
        <w:t xml:space="preserve"> </w:t>
      </w:r>
      <w:r w:rsidRPr="00AC2218">
        <w:rPr>
          <w:rFonts w:eastAsia="Times New Roman" w:cstheme="minorHAnsi"/>
          <w:lang w:val="en-US"/>
        </w:rPr>
        <w:t>we fear that the formula could favor global groups having assets/activities all around the world instead of pure EU-based companies with fewer assets. Such global companies would be able to include in the denominator th</w:t>
      </w:r>
      <w:r>
        <w:rPr>
          <w:rFonts w:eastAsia="Times New Roman" w:cstheme="minorHAnsi"/>
          <w:lang w:val="en-US"/>
        </w:rPr>
        <w:t>eir activities around the world</w:t>
      </w:r>
      <w:r w:rsidRPr="00AC2218">
        <w:rPr>
          <w:rFonts w:eastAsia="Times New Roman" w:cstheme="minorHAnsi"/>
          <w:lang w:val="en-US"/>
        </w:rPr>
        <w:t>. We agree it is fair that activity outside EU should be taken into account, but in theory only to the extend it is EU-related, which we, however, recognize would be very difficult to assess. Otherwise, global companies might be exempted while similar EU based companies having the similar business would not. However, in order to have a well-functioning setup, EURELECTRIC supports the proposed formula. At the same time, we shall - also for this reason - urge for a higher threshold as this will significantly reduce the problem.</w:t>
      </w:r>
    </w:p>
    <w:permEnd w:id="22583782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DF6653" w:rsidP="00EC2C93">
      <w:pPr>
        <w:keepNext/>
      </w:pPr>
      <w:permStart w:id="1685328472" w:edGrp="everyone"/>
      <w:r w:rsidRPr="00AC2218">
        <w:rPr>
          <w:rFonts w:eastAsia="Times New Roman" w:cstheme="minorHAnsi"/>
          <w:color w:val="000000"/>
          <w:lang w:val="en-US"/>
        </w:rPr>
        <w:t xml:space="preserve">Yes, we consider the revised method appropriate and relatively easier to implement. </w:t>
      </w:r>
      <w:permEnd w:id="1685328472"/>
      <w:r w:rsidR="00577C33">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DF6653" w:rsidRPr="00AC2218" w:rsidRDefault="00DF6653" w:rsidP="00DF6653">
      <w:pPr>
        <w:spacing w:before="120" w:after="120" w:line="240" w:lineRule="auto"/>
        <w:rPr>
          <w:rFonts w:eastAsia="Times New Roman" w:cstheme="minorHAnsi"/>
          <w:color w:val="000000"/>
          <w:lang w:val="en-US"/>
        </w:rPr>
      </w:pPr>
      <w:permStart w:id="526679646" w:edGrp="everyone"/>
      <w:r w:rsidRPr="00AC2218">
        <w:rPr>
          <w:rFonts w:eastAsia="Times New Roman" w:cstheme="minorHAnsi"/>
          <w:color w:val="000000"/>
          <w:lang w:val="en-US"/>
        </w:rPr>
        <w:t xml:space="preserve">Yes, we agree. Setting up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licensed firm is one of the internal organization possibilities for those non-financial groups that do not meet 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exemption requirements under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for each of their entities and this should be allowed. </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We also consider that activity undertaken by a subsidiary of the group that can invoke any other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Article 2 exemption in its own right should logically not be accounted for in the numerator. For instance this is the case for compliance-buyers of emission allowances which would be exempted as such under 2.1(e), but still would have to count emission allowances for the ancillary activity test, or for group treasury financing activities excluded under Art.2.1(b) and (d).</w:t>
      </w:r>
      <w:r>
        <w:rPr>
          <w:rFonts w:eastAsia="Times New Roman" w:cstheme="minorHAnsi"/>
          <w:color w:val="000000"/>
          <w:lang w:val="en-US"/>
        </w:rPr>
        <w:t xml:space="preserve"> Being assessed twice for the same activities in such a manner is disproportionate and inconsistent with the stated aims and policy reasons behind </w:t>
      </w:r>
      <w:proofErr w:type="spellStart"/>
      <w:r>
        <w:rPr>
          <w:rFonts w:eastAsia="Times New Roman" w:cstheme="minorHAnsi"/>
          <w:color w:val="000000"/>
          <w:lang w:val="en-US"/>
        </w:rPr>
        <w:t>MiFID</w:t>
      </w:r>
      <w:proofErr w:type="spellEnd"/>
      <w:r>
        <w:rPr>
          <w:rFonts w:eastAsia="Times New Roman" w:cstheme="minorHAnsi"/>
          <w:color w:val="000000"/>
          <w:lang w:val="en-US"/>
        </w:rPr>
        <w:t xml:space="preserve"> II.</w:t>
      </w:r>
    </w:p>
    <w:permEnd w:id="526679646"/>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lastRenderedPageBreak/>
        <w:t>&lt;ESMA_QUESTION_CP_MIFID_172&gt;</w:t>
      </w:r>
    </w:p>
    <w:p w:rsidR="00DF6653" w:rsidRPr="00AC2218" w:rsidRDefault="00DF6653" w:rsidP="00DF6653">
      <w:pPr>
        <w:spacing w:before="120" w:line="240" w:lineRule="auto"/>
        <w:rPr>
          <w:rFonts w:eastAsia="Times New Roman" w:cstheme="minorHAnsi"/>
          <w:color w:val="000000"/>
          <w:lang w:val="en-US"/>
        </w:rPr>
      </w:pPr>
      <w:permStart w:id="2116776967" w:edGrp="everyone"/>
      <w:r w:rsidRPr="00AC2218">
        <w:rPr>
          <w:rFonts w:eastAsia="Times New Roman" w:cstheme="minorHAnsi"/>
          <w:color w:val="000000"/>
          <w:lang w:val="en-US"/>
        </w:rPr>
        <w:t xml:space="preserve">We believe that the calculation </w:t>
      </w:r>
      <w:r>
        <w:rPr>
          <w:rFonts w:eastAsia="Times New Roman" w:cstheme="minorHAnsi"/>
          <w:color w:val="000000"/>
          <w:lang w:val="en-US"/>
        </w:rPr>
        <w:t xml:space="preserve">in relation to the ancillary activity (numerator) </w:t>
      </w:r>
      <w:r w:rsidRPr="00AC2218">
        <w:rPr>
          <w:rFonts w:eastAsia="Times New Roman" w:cstheme="minorHAnsi"/>
          <w:color w:val="000000"/>
          <w:lang w:val="en-US"/>
        </w:rPr>
        <w:t xml:space="preserve">should be done at </w:t>
      </w:r>
      <w:r w:rsidRPr="00AC2218">
        <w:rPr>
          <w:rFonts w:eastAsia="Times New Roman" w:cstheme="minorHAnsi"/>
          <w:i/>
          <w:color w:val="000000"/>
          <w:lang w:val="en-US"/>
        </w:rPr>
        <w:t>person</w:t>
      </w:r>
      <w:r w:rsidRPr="00AC2218">
        <w:rPr>
          <w:rFonts w:eastAsia="Times New Roman" w:cstheme="minorHAnsi"/>
          <w:color w:val="000000"/>
          <w:lang w:val="en-US"/>
        </w:rPr>
        <w:t xml:space="preserve"> level as per the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mandate. We believe that the thresholds proposed are extremely low even if applied at the level of a person. Therefore it is difficult to see how the threshold proposed could be revised further in case the calculation will be done at person level rather than at group level.</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A calculation ‘at group level’ is not in our view in line with the level 1 text because the licensing regime in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applies to persons and the exemption from such regime applies at person level, as clearly defined in level 1 (article 2.1). </w:t>
      </w:r>
    </w:p>
    <w:p w:rsidR="00DF6653" w:rsidRPr="00AC2218" w:rsidRDefault="00DF6653" w:rsidP="00DF6653">
      <w:pPr>
        <w:spacing w:before="120" w:line="240" w:lineRule="auto"/>
        <w:rPr>
          <w:rFonts w:eastAsia="Times New Roman" w:cstheme="minorHAnsi"/>
          <w:color w:val="000000"/>
          <w:lang w:val="en-US"/>
        </w:rPr>
      </w:pPr>
      <w:r>
        <w:rPr>
          <w:rFonts w:eastAsia="Times New Roman" w:cstheme="minorHAnsi"/>
          <w:color w:val="000000"/>
          <w:lang w:val="en-US"/>
        </w:rPr>
        <w:t>More importantly,</w:t>
      </w:r>
      <w:r w:rsidRPr="00AC2218">
        <w:rPr>
          <w:rFonts w:eastAsia="Times New Roman" w:cstheme="minorHAnsi"/>
          <w:color w:val="000000"/>
          <w:lang w:val="en-US"/>
        </w:rPr>
        <w:t xml:space="preserve"> the calculations and the consequences of failing the tests would affect all persons within the group and not only those persons involved in investment services/activities at disproportionate levels. A full dependence between different entities within a group engaged in different activities, but still counting towards the thresholds, is not appropriate.</w:t>
      </w:r>
    </w:p>
    <w:p w:rsidR="00DF6653" w:rsidRPr="00AC2218" w:rsidRDefault="00DF6653" w:rsidP="00DF6653">
      <w:pPr>
        <w:spacing w:before="120" w:line="240" w:lineRule="auto"/>
        <w:rPr>
          <w:rFonts w:eastAsia="Times New Roman" w:cstheme="minorHAnsi"/>
          <w:color w:val="000000"/>
          <w:lang w:val="en-US"/>
        </w:rPr>
      </w:pPr>
      <w:r>
        <w:rPr>
          <w:rFonts w:eastAsia="Times New Roman" w:cstheme="minorHAnsi"/>
          <w:color w:val="000000"/>
          <w:lang w:val="en-US"/>
        </w:rPr>
        <w:t xml:space="preserve">Additionally, </w:t>
      </w:r>
      <w:r w:rsidRPr="00AC2218">
        <w:rPr>
          <w:rFonts w:eastAsia="Times New Roman" w:cstheme="minorHAnsi"/>
          <w:color w:val="000000"/>
          <w:lang w:val="en-US"/>
        </w:rPr>
        <w:t>it may require additional processes to be put in place at the parent company level for the calculation and accounting of the thresholds proposed for the ancillary activity test that are not always possible considering different national and international regimes applicable to group entities (e.g. accounting, classification of privileged transactions, calculation of trading activity).</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Nevertheless, if ESMA maintains the proposal to consider a ‘group-level’ calculation, it is necessary that it clarifies in the RTS how the process should work in practice. </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ESMA should consider that performing activities regulated by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without a license may be punished with fines and as criminal offence. We read the draft RTS in a way that, following a breach of the trading activity or capital test by one entity within a group, every other unregulated entity within such group, wherever located in the EU will be required to obtain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license because they all need to take into account the activities ‘at group level’. This will be the case until the group has been able to restructure itself in order to ring fence its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activities from for example its production and maintenance activities.</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Therefore it is crucial that ESMA provides a process allowing the exclusion from the assessment of the ancillary activity exemption for activities performed by entities in the process to require or obtain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 This is necessary to ensure business continuity and avoid undue consequences.</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We interpret the term ‘sum of capital employed...by the group in the European Union’ as capital employed by all the entities of the group which are incorporated or otherwise domiciled in a Member State of the European Union and it should include only activities as dealing on European regulated platforms, unless exempted, and/or with EU counterparties (see also response to Q177 on the definition of size of the trading activity).</w:t>
      </w:r>
    </w:p>
    <w:p w:rsidR="00DF6653" w:rsidRPr="00AC2218"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Finally we do not understand the reference in Recital (9) of the draft RTS 28 and point 74 (p.525) of the consultation paper to third countries entities wishing to benefit from the exemption in article 2.1(j).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does not require entities wishing to benefit from the exemption to establish a branch in the European Union. Therefore we believe that those entities should be able to make a self-assessment and should be required to notify ESMA only upon request. </w:t>
      </w:r>
    </w:p>
    <w:p w:rsidR="00DF6653" w:rsidRPr="00DF6653" w:rsidRDefault="00DF6653" w:rsidP="00DF665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Any arrangement that would require third country entities to set a branch in the EU for dealing on own account in commodity derivatives increases the risk of EU and third country participants moving their commodity derivatives’ trading activity (speculative as well as hedging) outside of the EU. Reduced liquidity, competitiveness and effectiveness of EU markets would be the result and EU exchanges in particular would struggle with the </w:t>
      </w:r>
      <w:r w:rsidRPr="00AC2218">
        <w:rPr>
          <w:rFonts w:eastAsia="Times New Roman" w:cstheme="minorHAnsi"/>
          <w:color w:val="000000"/>
          <w:lang w:val="en-US"/>
        </w:rPr>
        <w:lastRenderedPageBreak/>
        <w:t>decreased levels of liquidity which we believe to be contrary to EU goals to promote growth and investment.</w:t>
      </w:r>
    </w:p>
    <w:p w:rsidR="00DF6653" w:rsidRDefault="00DF6653" w:rsidP="00DF6653">
      <w:pPr>
        <w:spacing w:after="120" w:line="240" w:lineRule="auto"/>
        <w:rPr>
          <w:rFonts w:cstheme="minorHAnsi"/>
          <w:color w:val="000000"/>
          <w:lang w:val="en-US"/>
        </w:rPr>
      </w:pPr>
    </w:p>
    <w:p w:rsidR="00DF6653" w:rsidRPr="00AC2218" w:rsidRDefault="00DF6653" w:rsidP="00DF6653">
      <w:pPr>
        <w:spacing w:after="120" w:line="240" w:lineRule="auto"/>
        <w:rPr>
          <w:rFonts w:cstheme="minorHAnsi"/>
          <w:color w:val="000000"/>
          <w:lang w:val="en-US"/>
        </w:rPr>
      </w:pPr>
      <w:r w:rsidRPr="00AC2218">
        <w:rPr>
          <w:rFonts w:cstheme="minorHAnsi"/>
          <w:color w:val="000000"/>
          <w:lang w:val="en-US"/>
        </w:rPr>
        <w:t xml:space="preserve">We consider the proposed thresholds as too low, for both group and person level. </w:t>
      </w:r>
    </w:p>
    <w:permEnd w:id="2116776967"/>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DF6653" w:rsidRPr="00AC2218" w:rsidRDefault="00DF6653" w:rsidP="00DF6653">
      <w:pPr>
        <w:spacing w:after="120" w:line="240" w:lineRule="auto"/>
        <w:rPr>
          <w:rFonts w:eastAsia="Times New Roman" w:cstheme="minorHAnsi"/>
          <w:lang w:val="en-US"/>
        </w:rPr>
      </w:pPr>
      <w:permStart w:id="1746607501" w:edGrp="everyone"/>
      <w:r w:rsidRPr="00AC2218">
        <w:rPr>
          <w:rFonts w:eastAsia="Times New Roman" w:cstheme="minorHAnsi"/>
          <w:lang w:val="en-US"/>
        </w:rPr>
        <w:t xml:space="preserve">No, we strongly disagree. </w:t>
      </w:r>
    </w:p>
    <w:p w:rsidR="00DF6653" w:rsidRPr="00AC2218" w:rsidRDefault="00DF6653" w:rsidP="00DF6653">
      <w:pPr>
        <w:spacing w:after="120" w:line="240" w:lineRule="auto"/>
        <w:rPr>
          <w:rFonts w:cstheme="minorHAnsi"/>
          <w:lang w:val="en-US"/>
        </w:rPr>
      </w:pPr>
      <w:r w:rsidRPr="00AC2218">
        <w:rPr>
          <w:rFonts w:eastAsia="Times New Roman" w:cstheme="minorHAnsi"/>
          <w:color w:val="000000"/>
          <w:lang w:val="en-US"/>
        </w:rPr>
        <w:t xml:space="preserve">We would like to highlight that when setting the thresholds, the level 1 text stipulates that ESMA must attain to the principle of </w:t>
      </w:r>
      <w:r w:rsidRPr="00AC2218">
        <w:rPr>
          <w:rFonts w:eastAsia="Times New Roman" w:cstheme="minorHAnsi"/>
          <w:i/>
          <w:color w:val="000000"/>
          <w:lang w:val="en-US"/>
        </w:rPr>
        <w:t>proportionality</w:t>
      </w:r>
      <w:r w:rsidRPr="00AC2218">
        <w:rPr>
          <w:rFonts w:eastAsia="Times New Roman" w:cstheme="minorHAnsi"/>
          <w:color w:val="000000"/>
          <w:lang w:val="en-US"/>
        </w:rPr>
        <w:t xml:space="preserve"> (</w:t>
      </w:r>
      <w:r w:rsidRPr="00AC2218">
        <w:rPr>
          <w:rFonts w:eastAsia="Times New Roman" w:cstheme="minorHAnsi"/>
          <w:lang w:val="en-US"/>
        </w:rPr>
        <w:t>(</w:t>
      </w:r>
      <w:r w:rsidRPr="00AC2218">
        <w:rPr>
          <w:rFonts w:eastAsia="Times New Roman" w:cstheme="minorHAnsi"/>
          <w:i/>
          <w:lang w:val="en-US"/>
        </w:rPr>
        <w:t xml:space="preserve">Those criteria should ensure that non-financial firms dealing in financial instruments in a </w:t>
      </w:r>
      <w:r w:rsidRPr="00AC2218">
        <w:rPr>
          <w:rFonts w:eastAsia="Times New Roman" w:cstheme="minorHAnsi"/>
          <w:i/>
          <w:u w:val="single"/>
          <w:lang w:val="en-US"/>
        </w:rPr>
        <w:t>disproportionate</w:t>
      </w:r>
      <w:r w:rsidRPr="00AC2218">
        <w:rPr>
          <w:rFonts w:eastAsia="Times New Roman" w:cstheme="minorHAnsi"/>
          <w:i/>
          <w:lang w:val="en-US"/>
        </w:rPr>
        <w:t xml:space="preserve"> manner compared with the level of investment in the main business are covered by the scope of this Directive, Recital 20</w:t>
      </w:r>
      <w:r w:rsidRPr="00AC2218">
        <w:rPr>
          <w:rFonts w:eastAsia="Times New Roman" w:cstheme="minorHAnsi"/>
          <w:lang w:val="en-US"/>
        </w:rPr>
        <w:t xml:space="preserve">). </w:t>
      </w:r>
      <w:r w:rsidRPr="00AC2218">
        <w:rPr>
          <w:rFonts w:cstheme="minorHAnsi"/>
          <w:lang w:val="en-US"/>
        </w:rPr>
        <w:t xml:space="preserve">At first sight, the proposed 5% threshold thus seems unreasonably low compared to the proportionality principle. Furthermore, the wording made by the co-legislators stipulates a “need for ancillary activities to constitute a minority of activities at a group level.” A minority cannot linguistically or logically be interpreted as only 5%. </w:t>
      </w:r>
    </w:p>
    <w:p w:rsidR="00DF6653" w:rsidRPr="00AC2218" w:rsidRDefault="00DF6653" w:rsidP="00DF6653">
      <w:pPr>
        <w:spacing w:after="120" w:line="240" w:lineRule="auto"/>
        <w:rPr>
          <w:rFonts w:cstheme="minorHAnsi"/>
          <w:lang w:val="en-US"/>
        </w:rPr>
      </w:pPr>
      <w:r w:rsidRPr="00AC2218">
        <w:rPr>
          <w:rFonts w:cstheme="minorHAnsi"/>
          <w:lang w:val="en-US"/>
        </w:rPr>
        <w:t xml:space="preserve">Having said that, we would like to stress that the main difficulty for energy companies is to assess the impact of such a low threshold given the lack of information on how on how this percentage has been set: </w:t>
      </w:r>
    </w:p>
    <w:p w:rsidR="00DF6653" w:rsidRPr="00AC2218" w:rsidRDefault="00DF6653" w:rsidP="00DF6653">
      <w:pPr>
        <w:pStyle w:val="ListParagraph"/>
        <w:numPr>
          <w:ilvl w:val="0"/>
          <w:numId w:val="30"/>
        </w:numPr>
        <w:spacing w:after="120" w:line="240" w:lineRule="auto"/>
        <w:contextualSpacing/>
        <w:rPr>
          <w:rFonts w:cstheme="minorHAnsi"/>
          <w:szCs w:val="22"/>
          <w:lang w:val="en-US" w:eastAsia="en-GB"/>
        </w:rPr>
      </w:pPr>
      <w:proofErr w:type="gramStart"/>
      <w:r w:rsidRPr="00AC2218">
        <w:rPr>
          <w:rFonts w:cstheme="minorHAnsi"/>
          <w:szCs w:val="22"/>
          <w:lang w:val="en-US" w:eastAsia="en-GB"/>
        </w:rPr>
        <w:t>the</w:t>
      </w:r>
      <w:proofErr w:type="gramEnd"/>
      <w:r w:rsidRPr="00AC2218">
        <w:rPr>
          <w:rFonts w:cstheme="minorHAnsi"/>
          <w:szCs w:val="22"/>
          <w:lang w:val="en-US" w:eastAsia="en-GB"/>
        </w:rPr>
        <w:t xml:space="preserve"> rationale behind the radical change in ESMA’s proposal (from 50% to 5%) is not explained in the consultation paper. The co-legislators intention is too narrow down the existing exemption but not to render it void, as it would be with the level of the threshold proposed; </w:t>
      </w:r>
    </w:p>
    <w:p w:rsidR="00DF6653" w:rsidRPr="00AC2218" w:rsidRDefault="00DF6653" w:rsidP="00DF6653">
      <w:pPr>
        <w:pStyle w:val="ListParagraph"/>
        <w:numPr>
          <w:ilvl w:val="0"/>
          <w:numId w:val="30"/>
        </w:numPr>
        <w:spacing w:after="120" w:line="240" w:lineRule="auto"/>
        <w:contextualSpacing/>
        <w:rPr>
          <w:rFonts w:cstheme="minorHAnsi"/>
          <w:szCs w:val="22"/>
          <w:lang w:val="en-US" w:eastAsia="en-GB"/>
        </w:rPr>
      </w:pPr>
      <w:r w:rsidRPr="00AC2218">
        <w:rPr>
          <w:rFonts w:cstheme="minorHAnsi"/>
          <w:szCs w:val="22"/>
          <w:lang w:val="en-US" w:eastAsia="en-GB"/>
        </w:rPr>
        <w:t xml:space="preserve">ESMA does not demonstrate evidence that such a low level is appropriate or legally founded with the level 1 text. The setting of the threshold seems indeed to be fully discretionary and is not backed by any impact assessment or other supporting analysis; </w:t>
      </w:r>
    </w:p>
    <w:p w:rsidR="00DF6653" w:rsidRPr="00DF6653" w:rsidRDefault="00DF6653" w:rsidP="00DF6653">
      <w:pPr>
        <w:pStyle w:val="ListParagraph"/>
        <w:numPr>
          <w:ilvl w:val="0"/>
          <w:numId w:val="30"/>
        </w:numPr>
        <w:spacing w:after="120" w:line="240" w:lineRule="auto"/>
        <w:contextualSpacing/>
        <w:rPr>
          <w:rFonts w:cstheme="minorHAnsi"/>
          <w:szCs w:val="22"/>
          <w:lang w:val="en-US" w:eastAsia="en-GB"/>
        </w:rPr>
      </w:pPr>
      <w:r w:rsidRPr="00AC2218">
        <w:rPr>
          <w:rFonts w:cstheme="minorHAnsi"/>
          <w:szCs w:val="22"/>
          <w:lang w:val="en-US" w:eastAsia="en-GB"/>
        </w:rPr>
        <w:t xml:space="preserve">ESMA is clearly highlighting in the consultation paper that they are considering the opinions of the minority of stakeholders, instead of the majority of the stakeholder’s arguments (i.e. point 37 if the Consultation Paper). </w:t>
      </w:r>
    </w:p>
    <w:p w:rsidR="00DF6653" w:rsidRPr="00AC2218" w:rsidRDefault="00DF6653" w:rsidP="00DF6653">
      <w:pPr>
        <w:spacing w:after="120"/>
        <w:rPr>
          <w:rFonts w:cstheme="minorHAnsi"/>
          <w:lang w:val="en-US"/>
        </w:rPr>
      </w:pPr>
      <w:r w:rsidRPr="00AC2218">
        <w:rPr>
          <w:rFonts w:cstheme="minorHAnsi"/>
          <w:lang w:val="en-US"/>
        </w:rPr>
        <w:t>We would thus like to get more information on the rationale behind the approach taken by ESMA. It is thus crucial to receive as soon as possible reliable data, information on the foundation of those thresholds, but also on the methodology used for the calculation, to allow companies to make their own assessment. In the absence of reliable additional information, market participants are likely to cautiously retract from markets to avoid breaching the very low threshold proposed.</w:t>
      </w:r>
    </w:p>
    <w:p w:rsidR="00DF6653" w:rsidRPr="00AC2218" w:rsidRDefault="00DF6653" w:rsidP="00DF6653">
      <w:pPr>
        <w:spacing w:after="120" w:line="240" w:lineRule="auto"/>
        <w:rPr>
          <w:rFonts w:eastAsia="Times New Roman" w:cstheme="minorHAnsi"/>
          <w:lang w:val="en-US"/>
        </w:rPr>
      </w:pPr>
      <w:r>
        <w:rPr>
          <w:rFonts w:eastAsia="Times New Roman" w:cstheme="minorHAnsi"/>
          <w:lang w:val="en-US"/>
        </w:rPr>
        <w:t>As already mentioned in our response to Q.168 - i</w:t>
      </w:r>
      <w:r w:rsidRPr="00AC2218">
        <w:rPr>
          <w:rFonts w:eastAsia="Times New Roman" w:cstheme="minorHAnsi"/>
          <w:lang w:val="en-US"/>
        </w:rPr>
        <w:t xml:space="preserve">n the absence of a proper analysis and reliable data </w:t>
      </w:r>
      <w:r w:rsidRPr="00AC2218">
        <w:rPr>
          <w:rFonts w:cstheme="minorHAnsi"/>
          <w:lang w:val="en-US"/>
        </w:rPr>
        <w:t>and given the potential severe impact on the industries in question (see more details in our response to Q179)</w:t>
      </w:r>
      <w:r>
        <w:rPr>
          <w:rFonts w:eastAsia="Times New Roman" w:cstheme="minorHAnsi"/>
          <w:lang w:val="en-US"/>
        </w:rPr>
        <w:t xml:space="preserve"> -</w:t>
      </w:r>
      <w:r w:rsidRPr="00AC2218">
        <w:rPr>
          <w:rFonts w:eastAsia="Times New Roman" w:cstheme="minorHAnsi"/>
          <w:lang w:val="en-US"/>
        </w:rPr>
        <w:t xml:space="preserve"> we thus believe that ESMA should set the threshold cautiously at a higher level </w:t>
      </w:r>
      <w:r>
        <w:rPr>
          <w:rFonts w:eastAsia="Times New Roman" w:cstheme="minorHAnsi"/>
          <w:lang w:val="en-US"/>
        </w:rPr>
        <w:t xml:space="preserve">for an initial period </w:t>
      </w:r>
      <w:r w:rsidRPr="00AC2218">
        <w:rPr>
          <w:rFonts w:eastAsia="Times New Roman" w:cstheme="minorHAnsi"/>
          <w:lang w:val="en-US"/>
        </w:rPr>
        <w:t xml:space="preserve">to avoid market disruption and severe consequences on the real economy. A subsequent revision should be </w:t>
      </w:r>
      <w:r>
        <w:rPr>
          <w:rFonts w:eastAsia="Times New Roman" w:cstheme="minorHAnsi"/>
          <w:lang w:val="en-US"/>
        </w:rPr>
        <w:t xml:space="preserve">based on the experience, after </w:t>
      </w:r>
      <w:r w:rsidRPr="00AC2218">
        <w:rPr>
          <w:rFonts w:eastAsia="Times New Roman" w:cstheme="minorHAnsi"/>
          <w:lang w:val="en-US"/>
        </w:rPr>
        <w:t>evidence</w:t>
      </w:r>
      <w:r>
        <w:rPr>
          <w:rFonts w:eastAsia="Times New Roman" w:cstheme="minorHAnsi"/>
          <w:lang w:val="en-US"/>
        </w:rPr>
        <w:t xml:space="preserve"> is produced and the macro-economic impact is fully taken into-account.</w:t>
      </w:r>
      <w:r w:rsidRPr="00AC2218">
        <w:rPr>
          <w:rFonts w:eastAsia="Times New Roman" w:cstheme="minorHAnsi"/>
          <w:lang w:val="en-US"/>
        </w:rPr>
        <w:t xml:space="preserve"> </w:t>
      </w:r>
    </w:p>
    <w:p w:rsidR="00DF6653" w:rsidRPr="00AC2218" w:rsidRDefault="00DF6653" w:rsidP="00DF6653">
      <w:pPr>
        <w:spacing w:after="120" w:line="240" w:lineRule="auto"/>
        <w:rPr>
          <w:rFonts w:eastAsia="Times New Roman" w:cstheme="minorHAnsi"/>
          <w:lang w:val="en-US"/>
        </w:rPr>
      </w:pPr>
      <w:r w:rsidRPr="00AC2218">
        <w:rPr>
          <w:rFonts w:eastAsia="Times New Roman" w:cstheme="minorHAnsi"/>
          <w:lang w:val="en-US"/>
        </w:rPr>
        <w:t xml:space="preserve">Finally, when defining the ancillary test, ESMA may want to consider the concept of the </w:t>
      </w:r>
      <w:r w:rsidRPr="00AC2218">
        <w:rPr>
          <w:rFonts w:eastAsia="Times New Roman" w:cstheme="minorHAnsi"/>
          <w:i/>
          <w:lang w:val="en-US"/>
        </w:rPr>
        <w:t>majority of the main business</w:t>
      </w:r>
      <w:r w:rsidRPr="00AC2218">
        <w:rPr>
          <w:rFonts w:eastAsia="Times New Roman" w:cstheme="minorHAnsi"/>
          <w:lang w:val="en-US"/>
        </w:rPr>
        <w:t xml:space="preserve"> in opposition to the </w:t>
      </w:r>
      <w:r w:rsidRPr="00AC2218">
        <w:rPr>
          <w:rFonts w:eastAsia="Times New Roman" w:cstheme="minorHAnsi"/>
          <w:i/>
          <w:lang w:val="en-US"/>
        </w:rPr>
        <w:t>minority of the investment activities</w:t>
      </w:r>
      <w:r w:rsidRPr="00AC2218">
        <w:rPr>
          <w:rFonts w:eastAsia="Times New Roman" w:cstheme="minorHAnsi"/>
          <w:lang w:val="en-US"/>
        </w:rPr>
        <w:t xml:space="preserve"> in order to define a more appropriate level. </w:t>
      </w:r>
    </w:p>
    <w:p w:rsidR="00DF6653" w:rsidRPr="00AC2218" w:rsidRDefault="00DF6653" w:rsidP="00DF6653">
      <w:pPr>
        <w:spacing w:after="120" w:line="240" w:lineRule="auto"/>
        <w:rPr>
          <w:rFonts w:eastAsia="Times New Roman" w:cstheme="minorHAnsi"/>
          <w:lang w:val="en-US"/>
        </w:rPr>
      </w:pPr>
      <w:r w:rsidRPr="00AC2218">
        <w:rPr>
          <w:rFonts w:eastAsia="Times New Roman" w:cstheme="minorHAnsi"/>
          <w:lang w:val="en-US"/>
        </w:rPr>
        <w:lastRenderedPageBreak/>
        <w:t xml:space="preserve">Based on the above mentioned, EURELECTRIC </w:t>
      </w:r>
      <w:r>
        <w:rPr>
          <w:rFonts w:eastAsia="Times New Roman" w:cstheme="minorHAnsi"/>
          <w:lang w:val="en-US"/>
        </w:rPr>
        <w:t xml:space="preserve">believes that </w:t>
      </w:r>
      <w:proofErr w:type="gramStart"/>
      <w:r>
        <w:rPr>
          <w:rFonts w:eastAsia="Times New Roman" w:cstheme="minorHAnsi"/>
          <w:lang w:val="en-US"/>
        </w:rPr>
        <w:t>a  more</w:t>
      </w:r>
      <w:proofErr w:type="gramEnd"/>
      <w:r>
        <w:rPr>
          <w:rFonts w:eastAsia="Times New Roman" w:cstheme="minorHAnsi"/>
          <w:lang w:val="en-US"/>
        </w:rPr>
        <w:t xml:space="preserve"> appropriate</w:t>
      </w:r>
      <w:r w:rsidRPr="00AC2218">
        <w:rPr>
          <w:rFonts w:eastAsia="Times New Roman" w:cstheme="minorHAnsi"/>
          <w:lang w:val="en-US"/>
        </w:rPr>
        <w:t xml:space="preserve"> threshold level</w:t>
      </w:r>
      <w:r>
        <w:rPr>
          <w:rFonts w:eastAsia="Times New Roman" w:cstheme="minorHAnsi"/>
          <w:lang w:val="en-US"/>
        </w:rPr>
        <w:t xml:space="preserve"> for the “capital employed test” </w:t>
      </w:r>
      <w:r w:rsidRPr="00AC2218">
        <w:rPr>
          <w:rFonts w:eastAsia="Times New Roman" w:cstheme="minorHAnsi"/>
          <w:lang w:val="en-US"/>
        </w:rPr>
        <w:t xml:space="preserve"> would be in the range of 20-25%. Such a range would be more appropriate and coherent with the principle of proportionality. In fact, where the main business covers between 75-80% of the capital employed it can be clearly identified as a majority of the business. Such a range would also better reflect the original intent of the </w:t>
      </w:r>
      <w:proofErr w:type="spellStart"/>
      <w:r w:rsidRPr="00AC2218">
        <w:rPr>
          <w:rFonts w:eastAsia="Times New Roman" w:cstheme="minorHAnsi"/>
          <w:lang w:val="en-US"/>
        </w:rPr>
        <w:t>MiFID</w:t>
      </w:r>
      <w:proofErr w:type="spellEnd"/>
      <w:r w:rsidRPr="00AC2218">
        <w:rPr>
          <w:rFonts w:eastAsia="Times New Roman" w:cstheme="minorHAnsi"/>
          <w:lang w:val="en-US"/>
        </w:rPr>
        <w:t xml:space="preserve"> II legislation because it would be a considerable narrowing of the existing exemptions.</w:t>
      </w:r>
    </w:p>
    <w:p w:rsidR="00DF6653" w:rsidRPr="00216421" w:rsidRDefault="00DF6653" w:rsidP="00DF6653">
      <w:pPr>
        <w:spacing w:before="120" w:line="240" w:lineRule="auto"/>
        <w:rPr>
          <w:rFonts w:eastAsia="Times New Roman" w:cstheme="minorHAnsi"/>
          <w:lang w:val="en-US"/>
        </w:rPr>
      </w:pPr>
      <w:r>
        <w:rPr>
          <w:rFonts w:eastAsia="Times New Roman" w:cstheme="minorHAnsi"/>
          <w:lang w:val="en-US"/>
        </w:rPr>
        <w:t>Indeed, t</w:t>
      </w:r>
      <w:r w:rsidRPr="00216421">
        <w:rPr>
          <w:rFonts w:eastAsia="Times New Roman" w:cstheme="minorHAnsi"/>
          <w:lang w:val="en-US"/>
        </w:rPr>
        <w:t xml:space="preserve">he range we propose is not based on evidence or analysis, but with the only intention to recommend a level sensibly high to avoid unintended consequences: if the thresholds will be ill-calibrated and will disproportionately bring commodity companies in scope of </w:t>
      </w:r>
      <w:proofErr w:type="spellStart"/>
      <w:r w:rsidRPr="00216421">
        <w:rPr>
          <w:rFonts w:eastAsia="Times New Roman" w:cstheme="minorHAnsi"/>
          <w:lang w:val="en-US"/>
        </w:rPr>
        <w:t>MiFID</w:t>
      </w:r>
      <w:proofErr w:type="spellEnd"/>
      <w:r>
        <w:rPr>
          <w:rFonts w:eastAsia="Times New Roman" w:cstheme="minorHAnsi"/>
          <w:lang w:val="en-US"/>
        </w:rPr>
        <w:t xml:space="preserve"> II</w:t>
      </w:r>
      <w:r w:rsidRPr="00216421">
        <w:rPr>
          <w:rFonts w:eastAsia="Times New Roman" w:cstheme="minorHAnsi"/>
          <w:lang w:val="en-US"/>
        </w:rPr>
        <w:t xml:space="preserve"> this will mainly lead to additional costs to be paid by energy </w:t>
      </w:r>
      <w:r>
        <w:rPr>
          <w:rFonts w:eastAsia="Times New Roman" w:cstheme="minorHAnsi"/>
          <w:lang w:val="en-US"/>
        </w:rPr>
        <w:t>customers</w:t>
      </w:r>
      <w:r w:rsidRPr="00216421">
        <w:rPr>
          <w:rFonts w:eastAsia="Times New Roman" w:cstheme="minorHAnsi"/>
          <w:lang w:val="en-US"/>
        </w:rPr>
        <w:t xml:space="preserve"> in terms of higher prices with a negative impact on the competitiveness of Europe.</w:t>
      </w:r>
    </w:p>
    <w:permEnd w:id="1746607501"/>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DF6653" w:rsidRPr="00AC2218" w:rsidRDefault="00DF6653" w:rsidP="00DF6653">
      <w:pPr>
        <w:pStyle w:val="CommentText"/>
        <w:spacing w:after="120"/>
        <w:jc w:val="both"/>
        <w:rPr>
          <w:rFonts w:asciiTheme="minorHAnsi" w:hAnsiTheme="minorHAnsi" w:cstheme="minorHAnsi"/>
          <w:color w:val="000000"/>
          <w:sz w:val="22"/>
          <w:szCs w:val="22"/>
          <w:lang w:val="en-US" w:eastAsia="en-GB"/>
        </w:rPr>
      </w:pPr>
      <w:permStart w:id="828909097" w:edGrp="everyone"/>
      <w:r w:rsidRPr="00AC2218">
        <w:rPr>
          <w:rFonts w:asciiTheme="minorHAnsi" w:hAnsiTheme="minorHAnsi" w:cstheme="minorHAnsi"/>
          <w:color w:val="000000"/>
          <w:sz w:val="22"/>
          <w:szCs w:val="22"/>
          <w:lang w:val="en-US" w:eastAsia="en-GB"/>
        </w:rPr>
        <w:t xml:space="preserve">Yes we agree. </w:t>
      </w:r>
    </w:p>
    <w:p w:rsidR="00DF6653" w:rsidRPr="00AC2218" w:rsidRDefault="00DF6653" w:rsidP="00DF6653">
      <w:pPr>
        <w:pStyle w:val="CommentText"/>
        <w:spacing w:after="120"/>
        <w:jc w:val="both"/>
        <w:rPr>
          <w:rFonts w:asciiTheme="minorHAnsi" w:hAnsiTheme="minorHAnsi" w:cstheme="minorHAnsi"/>
          <w:sz w:val="22"/>
          <w:szCs w:val="22"/>
          <w:lang w:val="en-GB"/>
        </w:rPr>
      </w:pPr>
      <w:r w:rsidRPr="00AC2218">
        <w:rPr>
          <w:rFonts w:asciiTheme="minorHAnsi" w:hAnsiTheme="minorHAnsi" w:cstheme="minorHAnsi"/>
          <w:color w:val="000000"/>
          <w:sz w:val="22"/>
          <w:szCs w:val="22"/>
          <w:lang w:val="en-US" w:eastAsia="en-GB"/>
        </w:rPr>
        <w:t>However we believe that it may be proving difficult to extrapolate privileged transactions from the ancillary activity as they are accounted and evidenced separately in the balance sheet. Two different metrics are compared</w:t>
      </w:r>
      <w:r w:rsidRPr="00AC2218">
        <w:rPr>
          <w:rFonts w:asciiTheme="minorHAnsi" w:hAnsiTheme="minorHAnsi" w:cstheme="minorHAnsi"/>
          <w:sz w:val="22"/>
          <w:szCs w:val="22"/>
          <w:lang w:val="en-GB"/>
        </w:rPr>
        <w:t xml:space="preserve"> </w:t>
      </w:r>
      <w:r w:rsidRPr="00AC2218">
        <w:rPr>
          <w:rFonts w:asciiTheme="minorHAnsi" w:hAnsiTheme="minorHAnsi" w:cstheme="minorHAnsi"/>
          <w:color w:val="000000"/>
          <w:sz w:val="22"/>
          <w:szCs w:val="22"/>
          <w:lang w:val="en-US" w:eastAsia="en-GB"/>
        </w:rPr>
        <w:t>i.e. GNV for the ancillary activity at the numerator and accounting values (accrual/fair value) at the denominator.</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Therefore ESMA shall recognize that different entities and groups may adopt on or more of the proxy methodologies suggested at point 41, depending on the group structure and the way in which privileged transactions are classified. </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If further guidance on the technical calculation was needed at a later stage (i.e. through Q&amp;A), it would be necessary to have an open consultation with stakeholders and a minimum time for implementation of any amended guideline in consideration of the severity of the potential consequences. </w:t>
      </w:r>
    </w:p>
    <w:permEnd w:id="828909097"/>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DF6653" w:rsidRPr="00AC2218" w:rsidRDefault="00DF6653" w:rsidP="00DF6653">
      <w:pPr>
        <w:spacing w:before="120" w:after="120" w:line="240" w:lineRule="auto"/>
        <w:rPr>
          <w:rFonts w:eastAsia="Times New Roman" w:cstheme="minorHAnsi"/>
          <w:color w:val="000000"/>
        </w:rPr>
      </w:pPr>
      <w:permStart w:id="564800738" w:edGrp="everyone"/>
      <w:r w:rsidRPr="00AC2218">
        <w:rPr>
          <w:rFonts w:eastAsia="Times New Roman" w:cstheme="minorHAnsi"/>
          <w:color w:val="000000"/>
        </w:rPr>
        <w:t xml:space="preserve">We partially agree. </w:t>
      </w:r>
    </w:p>
    <w:p w:rsidR="00DF6653" w:rsidRPr="00AC2218" w:rsidRDefault="00DF6653" w:rsidP="00DF6653">
      <w:pPr>
        <w:spacing w:before="120" w:after="120" w:line="240" w:lineRule="auto"/>
        <w:rPr>
          <w:rFonts w:eastAsia="Times New Roman" w:cstheme="minorHAnsi"/>
          <w:color w:val="000000"/>
        </w:rPr>
      </w:pPr>
      <w:r w:rsidRPr="00AC2218">
        <w:rPr>
          <w:rFonts w:eastAsia="Times New Roman" w:cstheme="minorHAnsi"/>
          <w:color w:val="000000"/>
        </w:rPr>
        <w:t xml:space="preserve">On the one hand, we agree that the capital employed in the main business (the denominator) should encompass equity, current debt and non-current debt. However we believe that provisions should also be included because they are part of the main business of the group. Replacing the terms current-debt and non-current debt with </w:t>
      </w:r>
      <w:r w:rsidRPr="00AC2218">
        <w:rPr>
          <w:rFonts w:eastAsia="Times New Roman" w:cstheme="minorHAnsi"/>
          <w:i/>
          <w:color w:val="000000"/>
        </w:rPr>
        <w:t xml:space="preserve">liabilities </w:t>
      </w:r>
      <w:r w:rsidRPr="00AC2218">
        <w:rPr>
          <w:rFonts w:eastAsia="Times New Roman" w:cstheme="minorHAnsi"/>
          <w:color w:val="000000"/>
        </w:rPr>
        <w:t>may help clarifying this point</w:t>
      </w:r>
      <w:r>
        <w:rPr>
          <w:rFonts w:eastAsia="Times New Roman" w:cstheme="minorHAnsi"/>
          <w:color w:val="000000"/>
        </w:rPr>
        <w:t>, because in accounting terms, liabilities include also provisions whereas the term debt does not</w:t>
      </w:r>
      <w:r w:rsidRPr="00AC2218">
        <w:rPr>
          <w:rFonts w:eastAsia="Times New Roman" w:cstheme="minorHAnsi"/>
          <w:color w:val="000000"/>
        </w:rPr>
        <w:t>.</w:t>
      </w:r>
    </w:p>
    <w:p w:rsidR="00DF6653" w:rsidRPr="00AC2218" w:rsidRDefault="00DF6653" w:rsidP="00DF6653">
      <w:pPr>
        <w:spacing w:before="120" w:after="120" w:line="240" w:lineRule="auto"/>
        <w:rPr>
          <w:rFonts w:eastAsia="Times New Roman" w:cstheme="minorHAnsi"/>
          <w:color w:val="000000"/>
        </w:rPr>
      </w:pPr>
      <w:r w:rsidRPr="00AC2218">
        <w:rPr>
          <w:rFonts w:eastAsia="Times New Roman" w:cstheme="minorHAnsi"/>
          <w:color w:val="000000"/>
        </w:rPr>
        <w:t xml:space="preserve">On the other hand, when calculating the capital employed in the ancillary activity, ESMA shall accept that different persons and groups may adopt one or more combination of the proxies suggested at point 41, because some elements may not be separately evidenced in the accounting statements or information flow due to the specific definitions applied in </w:t>
      </w:r>
      <w:proofErr w:type="spellStart"/>
      <w:r w:rsidRPr="00AC2218">
        <w:rPr>
          <w:rFonts w:eastAsia="Times New Roman" w:cstheme="minorHAnsi"/>
          <w:color w:val="000000"/>
        </w:rPr>
        <w:t>MiFID</w:t>
      </w:r>
      <w:proofErr w:type="spellEnd"/>
      <w:r w:rsidRPr="00AC2218">
        <w:rPr>
          <w:rFonts w:eastAsia="Times New Roman" w:cstheme="minorHAnsi"/>
          <w:color w:val="000000"/>
        </w:rPr>
        <w:t xml:space="preserve">. </w:t>
      </w:r>
    </w:p>
    <w:permEnd w:id="56480073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DF6653" w:rsidRPr="00AC2218" w:rsidRDefault="00DF6653" w:rsidP="00DF6653">
      <w:pPr>
        <w:spacing w:before="120" w:after="120" w:line="240" w:lineRule="auto"/>
        <w:rPr>
          <w:rFonts w:eastAsia="Times New Roman" w:cstheme="minorHAnsi"/>
          <w:color w:val="000000"/>
          <w:lang w:val="en-US"/>
        </w:rPr>
      </w:pPr>
      <w:permStart w:id="2073768765" w:edGrp="everyone"/>
      <w:r w:rsidRPr="00AC2218">
        <w:rPr>
          <w:rFonts w:eastAsia="Times New Roman" w:cstheme="minorHAnsi"/>
          <w:color w:val="000000"/>
          <w:lang w:val="en-US"/>
        </w:rPr>
        <w:t xml:space="preserve">Independently on ESMA’s final decision on the level of disaggregation of the commodity asset classes for such test (i.e. either sticking to the current approach of having a very granulated methodology or going for energy (gas, power, coal and oil/oil products) as one asset class, which for many reasons, we find most sensible to have), EURELECTRIC shall propose to use </w:t>
      </w:r>
      <w:r w:rsidRPr="00AC2218">
        <w:rPr>
          <w:rFonts w:eastAsia="Times New Roman" w:cstheme="minorHAnsi"/>
          <w:i/>
          <w:color w:val="000000"/>
          <w:lang w:val="en-US"/>
        </w:rPr>
        <w:t>volumes</w:t>
      </w:r>
      <w:r w:rsidRPr="00AC2218">
        <w:rPr>
          <w:rFonts w:eastAsia="Times New Roman" w:cstheme="minorHAnsi"/>
          <w:color w:val="000000"/>
          <w:lang w:val="en-US"/>
        </w:rPr>
        <w:t xml:space="preserve"> instead. Volumes are in general easier to deduct while price formulas of contracts based e.g. on future developments might sometimes involve more uncertainty in terms of GNV. Further, volumes are less volatile compared to price developments. Using GNV Companies may just because of price developments fluctuate into a higher level without any change in trading pattern.</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Irrespective of whether or not GNV or volumes are used it is crucial that companies have access to information on the size of the market(s). </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Accordingly, ESMA should already start publishing the market size for each commodity asset class for the year 2014 through collection of the data from Trade Repositories. Persons seeking to use the exemption should be enabled to make the required calculation through the data provided by TRs in order to foresee potential effects of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on their businesses and make according arrangements as they deem necessary from a company/group perspective. This should not exclude the possibility to use further data e.g. to identify privileged transactions. </w:t>
      </w:r>
    </w:p>
    <w:p w:rsidR="00DF6653" w:rsidRPr="00AC2218" w:rsidRDefault="00DF6653" w:rsidP="00DF6653">
      <w:pPr>
        <w:spacing w:before="120" w:line="240" w:lineRule="auto"/>
        <w:rPr>
          <w:rFonts w:eastAsia="Times New Roman" w:cs="Arial"/>
          <w:color w:val="000000"/>
        </w:rPr>
      </w:pPr>
      <w:r w:rsidRPr="00AC2218">
        <w:rPr>
          <w:rFonts w:eastAsia="Times New Roman" w:cstheme="minorHAnsi"/>
          <w:color w:val="000000"/>
          <w:lang w:val="en-US"/>
        </w:rPr>
        <w:t>Based on the above mentioned, EURELECTRIC shall strongly recommend that the RTS should include an obligation for ESMA to publish the market size of the commodity asset classes as a condition for the exemption process to apply. In the absence of reliable data market participants will simply not be able to calculate their positions relative to the market (because (</w:t>
      </w:r>
      <w:proofErr w:type="spellStart"/>
      <w:r w:rsidRPr="00AC2218">
        <w:rPr>
          <w:rFonts w:eastAsia="Times New Roman" w:cstheme="minorHAnsi"/>
          <w:color w:val="000000"/>
          <w:lang w:val="en-US"/>
        </w:rPr>
        <w:t>i</w:t>
      </w:r>
      <w:proofErr w:type="spellEnd"/>
      <w:r w:rsidRPr="00AC2218">
        <w:rPr>
          <w:rFonts w:eastAsia="Times New Roman" w:cstheme="minorHAnsi"/>
          <w:color w:val="000000"/>
          <w:lang w:val="en-US"/>
        </w:rPr>
        <w:t>) TRs don’t provide such data today, (ii) such calculation would require a contact from each firm to each single TR in the EU (iii) the provision of such  numbers, as part of a regulatory requirement should take place within a regulatory and non-commercial frame) and will therefore cautiously retract from markets to avoid inadvertently breaching the very low threshold proposed.</w:t>
      </w:r>
    </w:p>
    <w:permEnd w:id="207376876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DF6653" w:rsidRPr="00AC2218" w:rsidRDefault="00DF6653" w:rsidP="00DF6653">
      <w:pPr>
        <w:spacing w:before="120" w:line="240" w:lineRule="auto"/>
        <w:rPr>
          <w:rFonts w:eastAsia="Times New Roman" w:cs="Arial"/>
          <w:color w:val="000000"/>
        </w:rPr>
      </w:pPr>
      <w:permStart w:id="35604521" w:edGrp="everyone"/>
      <w:r w:rsidRPr="00AC2218">
        <w:rPr>
          <w:rFonts w:eastAsia="Times New Roman" w:cs="Arial"/>
          <w:color w:val="000000"/>
        </w:rPr>
        <w:t xml:space="preserve">We believe that the calculation </w:t>
      </w:r>
      <w:r>
        <w:rPr>
          <w:rFonts w:eastAsia="Times New Roman" w:cs="Arial"/>
          <w:color w:val="000000"/>
        </w:rPr>
        <w:t xml:space="preserve">in relation to the size of the trading activity (numerator) </w:t>
      </w:r>
      <w:r w:rsidRPr="00AC2218">
        <w:rPr>
          <w:rFonts w:eastAsia="Times New Roman" w:cs="Arial"/>
          <w:color w:val="000000"/>
        </w:rPr>
        <w:t xml:space="preserve">should be done at </w:t>
      </w:r>
      <w:r w:rsidRPr="00AC2218">
        <w:rPr>
          <w:rFonts w:eastAsia="Times New Roman" w:cs="Arial"/>
          <w:i/>
          <w:color w:val="000000"/>
        </w:rPr>
        <w:t xml:space="preserve">person </w:t>
      </w:r>
      <w:r w:rsidRPr="00AC2218">
        <w:rPr>
          <w:rFonts w:eastAsia="Times New Roman" w:cs="Arial"/>
          <w:color w:val="000000"/>
        </w:rPr>
        <w:t xml:space="preserve">level as per the </w:t>
      </w:r>
      <w:proofErr w:type="spellStart"/>
      <w:r w:rsidRPr="00AC2218">
        <w:rPr>
          <w:rFonts w:eastAsia="Times New Roman" w:cs="Arial"/>
          <w:color w:val="000000"/>
        </w:rPr>
        <w:t>MiFID</w:t>
      </w:r>
      <w:proofErr w:type="spellEnd"/>
      <w:r w:rsidRPr="00AC2218">
        <w:rPr>
          <w:rFonts w:eastAsia="Times New Roman" w:cs="Arial"/>
          <w:color w:val="000000"/>
        </w:rPr>
        <w:t xml:space="preserve"> II mandate.</w:t>
      </w:r>
      <w:r w:rsidRPr="00AC2218">
        <w:rPr>
          <w:rFonts w:eastAsia="Times New Roman" w:cs="Arial"/>
        </w:rPr>
        <w:t xml:space="preserve"> The threshold proposed is extremely low even if applied at the level of a person. Therefore we find it difficult to see how the threshold proposed could be revised further even in case the calculation should be done at person level rather than at group level.</w:t>
      </w:r>
    </w:p>
    <w:p w:rsidR="00DF6653" w:rsidRPr="00AC2218" w:rsidRDefault="00DF6653" w:rsidP="00DF6653">
      <w:pPr>
        <w:spacing w:before="120" w:line="240" w:lineRule="auto"/>
        <w:rPr>
          <w:rFonts w:eastAsiaTheme="minorHAnsi" w:cs="Arial"/>
          <w:color w:val="000000"/>
        </w:rPr>
      </w:pPr>
      <w:r w:rsidRPr="00AC2218">
        <w:rPr>
          <w:rFonts w:eastAsia="Times New Roman" w:cs="Arial"/>
          <w:color w:val="000000"/>
        </w:rPr>
        <w:t xml:space="preserve">A calculation ‘at group level’ is not in our view in line with the level 1 text because </w:t>
      </w:r>
      <w:r w:rsidRPr="00AC2218">
        <w:rPr>
          <w:rFonts w:cs="Arial"/>
          <w:color w:val="000000"/>
        </w:rPr>
        <w:t xml:space="preserve">the licensing regime in </w:t>
      </w:r>
      <w:proofErr w:type="spellStart"/>
      <w:r w:rsidRPr="00AC2218">
        <w:rPr>
          <w:rFonts w:cs="Arial"/>
          <w:color w:val="000000"/>
        </w:rPr>
        <w:t>MiFID</w:t>
      </w:r>
      <w:proofErr w:type="spellEnd"/>
      <w:r w:rsidRPr="00AC2218">
        <w:rPr>
          <w:rFonts w:cs="Arial"/>
          <w:color w:val="000000"/>
        </w:rPr>
        <w:t xml:space="preserve"> II applies to </w:t>
      </w:r>
      <w:r w:rsidRPr="00AC2218">
        <w:rPr>
          <w:rFonts w:cs="Arial"/>
          <w:i/>
          <w:color w:val="000000"/>
        </w:rPr>
        <w:t>persons</w:t>
      </w:r>
      <w:r w:rsidRPr="00AC2218">
        <w:rPr>
          <w:rFonts w:cs="Arial"/>
          <w:color w:val="000000"/>
        </w:rPr>
        <w:t xml:space="preserve"> and the exemption from such regime should apply at </w:t>
      </w:r>
      <w:r w:rsidRPr="00AC2218">
        <w:rPr>
          <w:rFonts w:cs="Arial"/>
          <w:i/>
          <w:color w:val="000000"/>
        </w:rPr>
        <w:t xml:space="preserve">person </w:t>
      </w:r>
      <w:r w:rsidRPr="00AC2218">
        <w:rPr>
          <w:rFonts w:cs="Arial"/>
          <w:color w:val="000000"/>
        </w:rPr>
        <w:t xml:space="preserve">level, as clearly defined in level 1 (article 2.1). </w:t>
      </w:r>
    </w:p>
    <w:p w:rsidR="00DF6653" w:rsidRPr="00AC2218" w:rsidRDefault="00DF6653" w:rsidP="00DF6653">
      <w:pPr>
        <w:spacing w:before="120" w:line="240" w:lineRule="auto"/>
        <w:rPr>
          <w:rFonts w:cs="Arial"/>
          <w:color w:val="000000"/>
        </w:rPr>
      </w:pPr>
      <w:r w:rsidRPr="00AC2218">
        <w:rPr>
          <w:rFonts w:cs="Arial"/>
          <w:color w:val="000000"/>
        </w:rPr>
        <w:t xml:space="preserve">Additionally, the calculations and the consequences of failing the tests would affect </w:t>
      </w:r>
      <w:r w:rsidRPr="00AC2218">
        <w:rPr>
          <w:rFonts w:cs="Arial"/>
          <w:i/>
          <w:color w:val="000000"/>
        </w:rPr>
        <w:t>all</w:t>
      </w:r>
      <w:r w:rsidRPr="00AC2218">
        <w:rPr>
          <w:rFonts w:cs="Arial"/>
          <w:color w:val="000000"/>
        </w:rPr>
        <w:t xml:space="preserve"> persons within the group and not only those persons involved in investment services/activities. A full dependence between different entities within a group engaged in different activities, but still counting towards the thresholds, is not appropriate.</w:t>
      </w:r>
    </w:p>
    <w:p w:rsidR="00DF6653" w:rsidRPr="00AC2218" w:rsidRDefault="00DF6653" w:rsidP="00DF6653">
      <w:pPr>
        <w:spacing w:before="120" w:line="240" w:lineRule="auto"/>
        <w:rPr>
          <w:rFonts w:cs="Arial"/>
          <w:color w:val="000000"/>
        </w:rPr>
      </w:pPr>
      <w:r w:rsidRPr="00AC2218">
        <w:rPr>
          <w:rFonts w:cs="Arial"/>
          <w:color w:val="000000"/>
        </w:rPr>
        <w:t xml:space="preserve">Finally it will create the need for additional processes at the parent company level that are not always possible considering different national and international regimes (e.g. accounting, classification of privileged transactions, </w:t>
      </w:r>
      <w:proofErr w:type="gramStart"/>
      <w:r w:rsidRPr="00AC2218">
        <w:rPr>
          <w:rFonts w:cs="Arial"/>
          <w:color w:val="000000"/>
        </w:rPr>
        <w:t>calculation</w:t>
      </w:r>
      <w:proofErr w:type="gramEnd"/>
      <w:r w:rsidRPr="00AC2218">
        <w:rPr>
          <w:rFonts w:cs="Arial"/>
          <w:color w:val="000000"/>
        </w:rPr>
        <w:t xml:space="preserve"> of trading activity).</w:t>
      </w:r>
    </w:p>
    <w:p w:rsidR="00DF6653" w:rsidRPr="00AC2218" w:rsidRDefault="00DF6653" w:rsidP="00DF6653">
      <w:pPr>
        <w:spacing w:before="120" w:line="240" w:lineRule="auto"/>
        <w:rPr>
          <w:rFonts w:eastAsia="Times New Roman" w:cs="Arial"/>
        </w:rPr>
      </w:pPr>
      <w:r w:rsidRPr="00AC2218">
        <w:rPr>
          <w:rFonts w:eastAsia="Times New Roman" w:cs="Arial"/>
        </w:rPr>
        <w:lastRenderedPageBreak/>
        <w:t xml:space="preserve">Nevertheless, if ESMA maintains the proposal to consider a ‘group-level’ calculation, it is necessary that it clarifies in the RTS how the process should work in practice. </w:t>
      </w:r>
    </w:p>
    <w:p w:rsidR="00DF6653" w:rsidRPr="00AC2218" w:rsidRDefault="00DF6653" w:rsidP="00DF6653">
      <w:pPr>
        <w:spacing w:before="120" w:line="240" w:lineRule="auto"/>
        <w:rPr>
          <w:rFonts w:eastAsia="Times New Roman" w:cs="Arial"/>
        </w:rPr>
      </w:pPr>
      <w:r w:rsidRPr="00AC2218">
        <w:rPr>
          <w:rFonts w:eastAsia="Times New Roman" w:cs="Arial"/>
        </w:rPr>
        <w:t xml:space="preserve">ESMA should consider that performing activities regulated by </w:t>
      </w:r>
      <w:proofErr w:type="spellStart"/>
      <w:r w:rsidRPr="00AC2218">
        <w:rPr>
          <w:rFonts w:eastAsia="Times New Roman" w:cs="Arial"/>
        </w:rPr>
        <w:t>MiFID</w:t>
      </w:r>
      <w:proofErr w:type="spellEnd"/>
      <w:r w:rsidRPr="00AC2218">
        <w:rPr>
          <w:rFonts w:eastAsia="Times New Roman" w:cs="Arial"/>
        </w:rPr>
        <w:t xml:space="preserve"> without a license may be punished with fines and as criminal offence. We read the draft RTS in a way that, following a breach of the trading activity or capital test by </w:t>
      </w:r>
      <w:r w:rsidRPr="00AC2218">
        <w:rPr>
          <w:rFonts w:eastAsia="Times New Roman" w:cs="Arial"/>
          <w:i/>
        </w:rPr>
        <w:t>one entity</w:t>
      </w:r>
      <w:r w:rsidRPr="00AC2218">
        <w:rPr>
          <w:rFonts w:eastAsia="Times New Roman" w:cs="Arial"/>
        </w:rPr>
        <w:t xml:space="preserve"> within a group, </w:t>
      </w:r>
      <w:r w:rsidRPr="00AC2218">
        <w:rPr>
          <w:rFonts w:eastAsia="Times New Roman" w:cs="Arial"/>
          <w:i/>
        </w:rPr>
        <w:t>every other</w:t>
      </w:r>
      <w:r w:rsidRPr="00AC2218">
        <w:rPr>
          <w:rFonts w:eastAsia="Times New Roman" w:cs="Arial"/>
        </w:rPr>
        <w:t xml:space="preserve"> </w:t>
      </w:r>
      <w:r w:rsidRPr="00AC2218">
        <w:rPr>
          <w:rFonts w:eastAsia="Times New Roman" w:cs="Arial"/>
          <w:i/>
        </w:rPr>
        <w:t>unregulated entity</w:t>
      </w:r>
      <w:r w:rsidRPr="00AC2218">
        <w:rPr>
          <w:rFonts w:eastAsia="Times New Roman" w:cs="Arial"/>
        </w:rPr>
        <w:t xml:space="preserve"> within such group will be required to obtain a </w:t>
      </w:r>
      <w:proofErr w:type="spellStart"/>
      <w:r w:rsidRPr="00AC2218">
        <w:rPr>
          <w:rFonts w:eastAsia="Times New Roman" w:cs="Arial"/>
        </w:rPr>
        <w:t>MiFID</w:t>
      </w:r>
      <w:proofErr w:type="spellEnd"/>
      <w:r w:rsidRPr="00AC2218">
        <w:rPr>
          <w:rFonts w:eastAsia="Times New Roman" w:cs="Arial"/>
        </w:rPr>
        <w:t xml:space="preserve"> II license because they all need to take into account the activities ‘at group level’. </w:t>
      </w:r>
    </w:p>
    <w:p w:rsidR="00DF6653" w:rsidRPr="00AC2218" w:rsidRDefault="00DF6653" w:rsidP="00DF6653">
      <w:pPr>
        <w:spacing w:before="120" w:line="240" w:lineRule="auto"/>
        <w:rPr>
          <w:rFonts w:eastAsia="Times New Roman" w:cs="Arial"/>
        </w:rPr>
      </w:pPr>
      <w:r w:rsidRPr="00AC2218">
        <w:rPr>
          <w:rFonts w:eastAsia="Times New Roman" w:cs="Arial"/>
        </w:rPr>
        <w:t xml:space="preserve">Therefore ESMA it is crucial that ESMA provide a process allowing excluding from the assessment of the ancillary activity exemption also activities of entities </w:t>
      </w:r>
      <w:r w:rsidRPr="00AC2218">
        <w:rPr>
          <w:rFonts w:eastAsia="Times New Roman" w:cs="Arial"/>
          <w:i/>
        </w:rPr>
        <w:t>in the process to require or obtain</w:t>
      </w:r>
      <w:r w:rsidRPr="00AC2218">
        <w:rPr>
          <w:rFonts w:eastAsia="Times New Roman" w:cs="Arial"/>
        </w:rPr>
        <w:t xml:space="preserve"> a </w:t>
      </w:r>
      <w:proofErr w:type="spellStart"/>
      <w:r w:rsidRPr="00AC2218">
        <w:rPr>
          <w:rFonts w:eastAsia="Times New Roman" w:cs="Arial"/>
        </w:rPr>
        <w:t>MiFID</w:t>
      </w:r>
      <w:proofErr w:type="spellEnd"/>
      <w:r w:rsidRPr="00AC2218">
        <w:rPr>
          <w:rFonts w:eastAsia="Times New Roman" w:cs="Arial"/>
        </w:rPr>
        <w:t xml:space="preserve"> license. This is necessary to ensure business continuity and avoid undue consequences.</w:t>
      </w:r>
    </w:p>
    <w:p w:rsidR="00DF6653" w:rsidRPr="00AC2218" w:rsidRDefault="00DF6653" w:rsidP="00DF6653">
      <w:pPr>
        <w:spacing w:before="120" w:line="240" w:lineRule="auto"/>
        <w:rPr>
          <w:rFonts w:eastAsia="Times New Roman" w:cs="Arial"/>
        </w:rPr>
      </w:pPr>
      <w:r w:rsidRPr="00AC2218">
        <w:rPr>
          <w:rFonts w:eastAsia="Times New Roman" w:cs="Arial"/>
        </w:rPr>
        <w:t>Furthermore, we read the term ‘</w:t>
      </w:r>
      <w:r w:rsidRPr="00AC2218">
        <w:rPr>
          <w:rFonts w:eastAsia="Times New Roman" w:cs="Arial"/>
          <w:i/>
        </w:rPr>
        <w:t>size of the trading activity...of the group in the European Union</w:t>
      </w:r>
      <w:r w:rsidRPr="00AC2218">
        <w:rPr>
          <w:rFonts w:eastAsia="Times New Roman" w:cs="Arial"/>
        </w:rPr>
        <w:t xml:space="preserve">’ (draft RTS 28 article 4) as the trading activities of entities in the group which are subject to the reporting obligation under Article 9 of EMIR. Indeed TRs would only contain data submitted by persons who are subject to the reporting obligation under Article 9 of EMIR. ESMA should give this clarification in the definitions (RTS 28, article 1). </w:t>
      </w:r>
    </w:p>
    <w:p w:rsidR="00DF6653" w:rsidRPr="00AC2218" w:rsidRDefault="00DF6653" w:rsidP="00DF6653">
      <w:pPr>
        <w:spacing w:before="120" w:line="240" w:lineRule="auto"/>
        <w:rPr>
          <w:rFonts w:eastAsia="Times New Roman" w:cs="Arial"/>
        </w:rPr>
      </w:pPr>
      <w:r w:rsidRPr="00AC2218">
        <w:rPr>
          <w:rFonts w:eastAsia="Times New Roman" w:cs="Arial"/>
        </w:rPr>
        <w:t xml:space="preserve">Finally, we would suggest that for the calculation of the numerator, trades executed on regulated markets and centrally cleared should be counted only partially (i.e. haircuts – account only for the percentage of the IM required). This would be in line with the G20 objectives aiming at moving traded to regulated venues. </w:t>
      </w:r>
    </w:p>
    <w:permEnd w:id="3560452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DF6653" w:rsidRPr="000D4795" w:rsidRDefault="00DF6653" w:rsidP="00DF6653">
      <w:pPr>
        <w:spacing w:before="120" w:line="240" w:lineRule="auto"/>
        <w:rPr>
          <w:rFonts w:eastAsia="Times New Roman" w:cs="Arial"/>
          <w:color w:val="000000"/>
          <w:lang w:val="en-US"/>
        </w:rPr>
      </w:pPr>
      <w:permStart w:id="1994003846" w:edGrp="everyone"/>
      <w:r w:rsidRPr="00AC2218">
        <w:rPr>
          <w:rFonts w:eastAsia="Times New Roman" w:cs="Arial"/>
          <w:color w:val="000000"/>
        </w:rPr>
        <w:t>No. We fear that a separate asset class for Freight has the risk to create a market that is too little. It is preferable to include freight into the asset classes of oil/oil products and coal, depending on how freight is used.</w:t>
      </w:r>
      <w:r w:rsidRPr="000D4795">
        <w:rPr>
          <w:rFonts w:eastAsia="Times New Roman" w:cs="Arial"/>
          <w:color w:val="000000"/>
          <w:lang w:val="en-US"/>
        </w:rPr>
        <w:t xml:space="preserve"> </w:t>
      </w:r>
      <w:r w:rsidRPr="00AC2218">
        <w:rPr>
          <w:rFonts w:eastAsia="Times New Roman" w:cs="Arial"/>
          <w:color w:val="000000"/>
        </w:rPr>
        <w:t xml:space="preserve">Many energy shippers will potentially fall under </w:t>
      </w:r>
      <w:proofErr w:type="spellStart"/>
      <w:r w:rsidRPr="00AC2218">
        <w:rPr>
          <w:rFonts w:eastAsia="Times New Roman" w:cs="Arial"/>
          <w:color w:val="000000"/>
        </w:rPr>
        <w:t>MiFID</w:t>
      </w:r>
      <w:proofErr w:type="spellEnd"/>
      <w:r w:rsidRPr="00AC2218">
        <w:rPr>
          <w:rFonts w:eastAsia="Times New Roman" w:cs="Arial"/>
          <w:color w:val="000000"/>
        </w:rPr>
        <w:t xml:space="preserve"> II with the current thresholds and none of the shipping market participants will be able to use the hedging exemption (i.e. deduction of hedging activity from the trading thresholds) as their business is not for hedging but shipping. Freight is ancillary to other commodity business, and accordingly it would be appropriate to have freight as part of the commodity in question, i.e. gas infrastructure within the asset class on gas, electricity transmission within the asset class on electricity, etc.  Alternatively, if freight has its own asset class but probably also if freight is part a</w:t>
      </w:r>
      <w:r>
        <w:rPr>
          <w:rFonts w:eastAsia="Times New Roman" w:cs="Arial"/>
          <w:color w:val="000000"/>
        </w:rPr>
        <w:t>n</w:t>
      </w:r>
      <w:r w:rsidRPr="00AC2218">
        <w:rPr>
          <w:rFonts w:eastAsia="Times New Roman" w:cs="Arial"/>
          <w:color w:val="000000"/>
        </w:rPr>
        <w:t xml:space="preserve"> ‘Other’ asset class a two digit threshold number is needed in order not to capture real economy business.</w:t>
      </w:r>
    </w:p>
    <w:p w:rsidR="00DF6653" w:rsidRPr="00AC2218" w:rsidRDefault="00DF6653" w:rsidP="00DF6653">
      <w:pPr>
        <w:spacing w:before="120" w:line="240" w:lineRule="auto"/>
        <w:rPr>
          <w:rFonts w:eastAsia="Times New Roman" w:cs="Arial"/>
          <w:color w:val="000000"/>
        </w:rPr>
      </w:pPr>
      <w:r w:rsidRPr="00AC2218">
        <w:rPr>
          <w:rFonts w:eastAsia="Times New Roman" w:cs="Arial"/>
          <w:color w:val="000000"/>
        </w:rPr>
        <w:t xml:space="preserve">Further, regarding C10 commodities, a single asset class will result in very difficult practical considerations for the calculation of the thresholds for the ancillary activity test, due to the fact that C10 refers to any exotic derivative, from renewable certificates to transportation rights or communication bandwidths…. </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 We would also like to stress here that we strongly disagree with the split of energy commodities and emission allowances into five commodity asset classes rather than being grouped into one single asset class only. The split is not least strange as ESMA uses the correlation as reason for breach of one asset class should trigger a person to be subject to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for all commodity asset classes.</w:t>
      </w:r>
    </w:p>
    <w:p w:rsidR="00DF6653" w:rsidRPr="00AC2218" w:rsidRDefault="00DF6653" w:rsidP="00DF6653">
      <w:pPr>
        <w:spacing w:before="120" w:after="120" w:line="240" w:lineRule="auto"/>
        <w:rPr>
          <w:rFonts w:eastAsia="Times New Roman" w:cstheme="minorHAnsi"/>
          <w:color w:val="000000"/>
          <w:lang w:val="en-US"/>
        </w:rPr>
      </w:pPr>
      <w:r w:rsidRPr="00AC2218">
        <w:rPr>
          <w:rFonts w:eastAsia="Times New Roman" w:cstheme="minorHAnsi"/>
          <w:color w:val="000000"/>
          <w:lang w:val="en-US"/>
        </w:rPr>
        <w:t>ESMA refers to the fact that “many” argued for wider categories “asking to merge the categories related energy into one”. Nonetheless ESMA fails to explain why this proposal, in line with the other commodities, has not been accepted for energy commodities asset classes and emission asset classes.</w:t>
      </w:r>
    </w:p>
    <w:p w:rsidR="00DF6653" w:rsidRPr="00AC2218" w:rsidRDefault="00DF6653" w:rsidP="00DF6653">
      <w:pPr>
        <w:spacing w:before="120" w:after="120" w:line="240" w:lineRule="auto"/>
        <w:rPr>
          <w:rFonts w:eastAsia="Times New Roman" w:cstheme="minorHAnsi"/>
          <w:color w:val="000000"/>
          <w:lang w:val="en-US"/>
        </w:rPr>
      </w:pPr>
      <w:r w:rsidRPr="00AC2218">
        <w:lastRenderedPageBreak/>
        <w:t xml:space="preserve">This would indeed ensure consistency with the approach followed for metal and agricultural commodities.  </w:t>
      </w:r>
    </w:p>
    <w:p w:rsidR="00DF6653" w:rsidRPr="00AC2218" w:rsidRDefault="00DF6653" w:rsidP="00DF6653">
      <w:pPr>
        <w:spacing w:before="120" w:after="120" w:line="240" w:lineRule="auto"/>
        <w:rPr>
          <w:rFonts w:cstheme="minorHAnsi"/>
          <w:lang w:val="en-US"/>
        </w:rPr>
      </w:pPr>
      <w:r w:rsidRPr="00AC2218">
        <w:rPr>
          <w:rFonts w:eastAsia="Times New Roman" w:cstheme="minorHAnsi"/>
          <w:color w:val="000000"/>
          <w:lang w:val="en-US"/>
        </w:rPr>
        <w:t xml:space="preserve">Specialized trading companies generally trade energy commodities together due to the fact that sometimes some markets are very illiquid and it is necessary to hedge the position with a high correlated product, the similar market participants and the fact that sometimes some commodities are used to produce another one. Furthermore, the existence of </w:t>
      </w:r>
      <w:proofErr w:type="spellStart"/>
      <w:r w:rsidRPr="00AC2218">
        <w:rPr>
          <w:rFonts w:eastAsia="Times New Roman" w:cstheme="minorHAnsi"/>
          <w:color w:val="000000"/>
          <w:lang w:val="en-US"/>
        </w:rPr>
        <w:t>derivates</w:t>
      </w:r>
      <w:proofErr w:type="spellEnd"/>
      <w:r w:rsidRPr="00AC2218">
        <w:rPr>
          <w:rFonts w:eastAsia="Times New Roman" w:cstheme="minorHAnsi"/>
          <w:color w:val="000000"/>
          <w:lang w:val="en-US"/>
        </w:rPr>
        <w:t xml:space="preserve"> that combine various commodities, </w:t>
      </w:r>
      <w:r w:rsidRPr="00AC2218">
        <w:rPr>
          <w:rFonts w:cstheme="minorHAnsi"/>
          <w:lang w:val="en-US"/>
        </w:rPr>
        <w:t xml:space="preserve">clean spark spread and dark spark spread, depict why it is necessary to create a sole category. </w:t>
      </w:r>
    </w:p>
    <w:p w:rsidR="00DF6653" w:rsidRPr="00AC2218" w:rsidRDefault="00DF6653" w:rsidP="00DF6653">
      <w:pPr>
        <w:spacing w:before="120" w:after="120" w:line="240" w:lineRule="auto"/>
        <w:rPr>
          <w:rFonts w:cstheme="minorHAnsi"/>
          <w:lang w:val="en-US"/>
        </w:rPr>
      </w:pPr>
      <w:r w:rsidRPr="00AC2218">
        <w:rPr>
          <w:rFonts w:cstheme="minorHAnsi"/>
          <w:lang w:val="en-US"/>
        </w:rPr>
        <w:t xml:space="preserve">We strongly disagree with the proposal that exceeding the threshold set for one commodity asset class but not another, will lead that person to be subject to </w:t>
      </w:r>
      <w:proofErr w:type="spellStart"/>
      <w:r w:rsidRPr="00AC2218">
        <w:rPr>
          <w:rFonts w:cstheme="minorHAnsi"/>
          <w:lang w:val="en-US"/>
        </w:rPr>
        <w:t>MiFID</w:t>
      </w:r>
      <w:proofErr w:type="spellEnd"/>
      <w:r w:rsidRPr="00AC2218">
        <w:rPr>
          <w:rFonts w:cstheme="minorHAnsi"/>
          <w:lang w:val="en-US"/>
        </w:rPr>
        <w:t xml:space="preserve"> II. This proposal would be reasonable only in case of a single energy commodity asset class. At a very least, believe that gas and electricity should be grouped in a single asset class considering the very similar regulation and common oversight to which they are subject in the European Union. Also in this this case volumes (i.e. energy traded) would be more appropriate than values to assess the market size.   </w:t>
      </w:r>
    </w:p>
    <w:p w:rsidR="00DF6653" w:rsidRDefault="00DF6653" w:rsidP="00DF6653">
      <w:pPr>
        <w:spacing w:before="120" w:after="120" w:line="240" w:lineRule="auto"/>
        <w:rPr>
          <w:rFonts w:eastAsia="Times New Roman" w:cstheme="minorHAnsi"/>
          <w:color w:val="000000"/>
          <w:lang w:val="en-US"/>
        </w:rPr>
      </w:pPr>
      <w:r w:rsidRPr="00AC2218">
        <w:rPr>
          <w:rFonts w:cstheme="minorHAnsi"/>
          <w:lang w:val="en-US"/>
        </w:rPr>
        <w:t xml:space="preserve">Furthermore, the fact that emission allowances represent a separate asset class is problematic. EUAs are indeed not bought to ‘reduce commercial risks’ but to comply with the ETS scheme. If they cannot be disregarded in the ‘market size test’, companies with an important carbon footprint may end up having a large market share – thus easily breaching the 0.5% threshold - just because they have to fulfill EU obligations. </w:t>
      </w:r>
      <w:r w:rsidRPr="00AC2218">
        <w:rPr>
          <w:rFonts w:eastAsia="Times New Roman" w:cstheme="minorHAnsi"/>
          <w:color w:val="000000"/>
          <w:lang w:val="en-US"/>
        </w:rPr>
        <w:t>By breaching the threshold in one single asset class (i.e. EUAs)</w:t>
      </w:r>
      <w:proofErr w:type="gramStart"/>
      <w:r w:rsidRPr="00AC2218">
        <w:rPr>
          <w:rFonts w:eastAsia="Times New Roman" w:cstheme="minorHAnsi"/>
          <w:color w:val="000000"/>
          <w:lang w:val="en-US"/>
        </w:rPr>
        <w:t>,</w:t>
      </w:r>
      <w:proofErr w:type="gramEnd"/>
      <w:r w:rsidRPr="00AC2218">
        <w:rPr>
          <w:rFonts w:eastAsia="Times New Roman" w:cstheme="minorHAnsi"/>
          <w:color w:val="000000"/>
          <w:lang w:val="en-US"/>
        </w:rPr>
        <w:t xml:space="preserve"> such companies then become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licensed. A way out of this problem could be of art. 2(1</w:t>
      </w:r>
      <w:proofErr w:type="gramStart"/>
      <w:r w:rsidRPr="00AC2218">
        <w:rPr>
          <w:rFonts w:eastAsia="Times New Roman" w:cstheme="minorHAnsi"/>
          <w:color w:val="000000"/>
          <w:lang w:val="en-US"/>
        </w:rPr>
        <w:t>)e</w:t>
      </w:r>
      <w:proofErr w:type="gramEnd"/>
      <w:r w:rsidRPr="00AC2218">
        <w:rPr>
          <w:rFonts w:eastAsia="Times New Roman" w:cstheme="minorHAnsi"/>
          <w:color w:val="000000"/>
          <w:lang w:val="en-US"/>
        </w:rPr>
        <w:t xml:space="preserve"> and art. 2(1</w:t>
      </w:r>
      <w:proofErr w:type="gramStart"/>
      <w:r w:rsidRPr="00AC2218">
        <w:rPr>
          <w:rFonts w:eastAsia="Times New Roman" w:cstheme="minorHAnsi"/>
          <w:color w:val="000000"/>
          <w:lang w:val="en-US"/>
        </w:rPr>
        <w:t>)</w:t>
      </w:r>
      <w:proofErr w:type="spellStart"/>
      <w:r w:rsidRPr="00AC2218">
        <w:rPr>
          <w:rFonts w:eastAsia="Times New Roman" w:cstheme="minorHAnsi"/>
          <w:color w:val="000000"/>
          <w:lang w:val="en-US"/>
        </w:rPr>
        <w:t>i</w:t>
      </w:r>
      <w:proofErr w:type="spellEnd"/>
      <w:proofErr w:type="gramEnd"/>
      <w:r w:rsidRPr="00AC2218">
        <w:rPr>
          <w:rFonts w:eastAsia="Times New Roman" w:cstheme="minorHAnsi"/>
          <w:color w:val="000000"/>
          <w:lang w:val="en-US"/>
        </w:rPr>
        <w:t xml:space="preserve"> could be used in conjunction and thereby extract trades made for compliance reasons from the calculation. Such recognition is better than to seek for a right (much higher) threshold as the right level to exempt compliance-buyers will give room for significant “speculative” trading for others.</w:t>
      </w:r>
    </w:p>
    <w:p w:rsidR="0027509C" w:rsidRPr="0027509C" w:rsidRDefault="0027509C" w:rsidP="0027509C">
      <w:pPr>
        <w:rPr>
          <w:rFonts w:eastAsia="Times New Roman"/>
        </w:rPr>
      </w:pPr>
      <w:r w:rsidRPr="0027509C">
        <w:rPr>
          <w:rFonts w:cstheme="minorHAnsi"/>
          <w:lang w:val="en-US"/>
        </w:rPr>
        <w:t>As a matter of precaution, we would like to clarify what ESMA means by the following statement 7.1.9 (page505) - “However, they are not able to make use of the exemption for dealing on own account in financial instruments other than commodity derivatives, emission allowances and derivatives thereof under Article 2(1</w:t>
      </w:r>
      <w:proofErr w:type="gramStart"/>
      <w:r w:rsidRPr="0027509C">
        <w:rPr>
          <w:rFonts w:cstheme="minorHAnsi"/>
          <w:lang w:val="en-US"/>
        </w:rPr>
        <w:t>)(</w:t>
      </w:r>
      <w:proofErr w:type="gramEnd"/>
      <w:r w:rsidRPr="0027509C">
        <w:rPr>
          <w:rFonts w:cstheme="minorHAnsi"/>
          <w:lang w:val="en-US"/>
        </w:rPr>
        <w:t xml:space="preserve">d) </w:t>
      </w:r>
      <w:proofErr w:type="spellStart"/>
      <w:r w:rsidRPr="0027509C">
        <w:rPr>
          <w:rFonts w:cstheme="minorHAnsi"/>
          <w:lang w:val="en-US"/>
        </w:rPr>
        <w:t>MiFID</w:t>
      </w:r>
      <w:proofErr w:type="spellEnd"/>
      <w:r w:rsidRPr="0027509C">
        <w:rPr>
          <w:rFonts w:cstheme="minorHAnsi"/>
          <w:lang w:val="en-US"/>
        </w:rPr>
        <w:t xml:space="preserve"> II if they are either a member or participant of a RM or MTF or if they have electronic access.” In our view such interpretation is not in line with the level 1 text or the political intentions clearly stated when the compromise was reached on this matter and reflected in recital 22.  The consequences would be very negative if</w:t>
      </w:r>
      <w:proofErr w:type="gramStart"/>
      <w:r w:rsidRPr="0027509C">
        <w:rPr>
          <w:rFonts w:cstheme="minorHAnsi"/>
          <w:lang w:val="en-US"/>
        </w:rPr>
        <w:t>  all</w:t>
      </w:r>
      <w:proofErr w:type="gramEnd"/>
      <w:r w:rsidRPr="0027509C">
        <w:rPr>
          <w:rFonts w:cstheme="minorHAnsi"/>
          <w:lang w:val="en-US"/>
        </w:rPr>
        <w:t xml:space="preserve"> NFCs will not be able to use the exemption in Art. 2(1)d just because  they al</w:t>
      </w:r>
      <w:r>
        <w:rPr>
          <w:rFonts w:cstheme="minorHAnsi"/>
          <w:lang w:val="en-US"/>
        </w:rPr>
        <w:t>so mitigate their treasury risk.</w:t>
      </w:r>
      <w:bookmarkStart w:id="19" w:name="_GoBack"/>
      <w:bookmarkEnd w:id="19"/>
    </w:p>
    <w:permEnd w:id="199400384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C15AD" w:rsidRPr="00AC2218" w:rsidRDefault="005C15AD" w:rsidP="005C15AD">
      <w:pPr>
        <w:spacing w:before="120" w:after="120" w:line="240" w:lineRule="auto"/>
        <w:rPr>
          <w:rFonts w:cstheme="minorHAnsi"/>
          <w:lang w:val="en-US"/>
        </w:rPr>
      </w:pPr>
      <w:permStart w:id="727279350" w:edGrp="everyone"/>
      <w:r w:rsidRPr="00AC2218">
        <w:rPr>
          <w:rFonts w:cstheme="minorHAnsi"/>
          <w:lang w:val="en-US"/>
        </w:rPr>
        <w:t>No, we strongly disagree. The threshold proposed seems so low that it would render the exemption worthless. It appears that ESMA intends to capture all non-financial entities that are engaged in financial markets beyond the privileged transactions.  Such an approach would transform the ancillary activity exemptio</w:t>
      </w:r>
      <w:r>
        <w:rPr>
          <w:rFonts w:cstheme="minorHAnsi"/>
          <w:lang w:val="en-US"/>
        </w:rPr>
        <w:t>n into a</w:t>
      </w:r>
      <w:r w:rsidRPr="00AC2218">
        <w:rPr>
          <w:rFonts w:cstheme="minorHAnsi"/>
          <w:lang w:val="en-US"/>
        </w:rPr>
        <w:t xml:space="preserve"> “hedging exemption”, which is different from the content of the level 1. </w:t>
      </w:r>
    </w:p>
    <w:p w:rsidR="005C15AD" w:rsidRPr="00AC2218" w:rsidRDefault="005C15AD" w:rsidP="005C15AD">
      <w:pPr>
        <w:spacing w:before="120" w:after="120" w:line="240" w:lineRule="auto"/>
        <w:rPr>
          <w:rFonts w:cstheme="minorHAnsi"/>
          <w:lang w:val="en-US"/>
        </w:rPr>
      </w:pPr>
      <w:r w:rsidRPr="00AC2218">
        <w:rPr>
          <w:rFonts w:cstheme="minorHAnsi"/>
          <w:lang w:val="en-US"/>
        </w:rPr>
        <w:t xml:space="preserve">As already mentioned for the capital employed test, the main difficulty for energy companies is to assess the impact of such a threshold given the lack of information available and on how this percentage has been set. ESMA indeed demonstrates no further foundation for such a low threshold (i.e. no impact assessment on threshold level as basis for this proposal) and does not provide evidence on how many persons would be captured by </w:t>
      </w:r>
      <w:proofErr w:type="spellStart"/>
      <w:r w:rsidRPr="00AC2218">
        <w:rPr>
          <w:rFonts w:cstheme="minorHAnsi"/>
          <w:lang w:val="en-US"/>
        </w:rPr>
        <w:t>MiFID</w:t>
      </w:r>
      <w:proofErr w:type="spellEnd"/>
      <w:r w:rsidRPr="00AC2218">
        <w:rPr>
          <w:rFonts w:cstheme="minorHAnsi"/>
          <w:lang w:val="en-US"/>
        </w:rPr>
        <w:t xml:space="preserve"> II as a </w:t>
      </w:r>
      <w:r w:rsidRPr="00AC2218">
        <w:rPr>
          <w:rFonts w:cstheme="minorHAnsi"/>
          <w:lang w:val="en-US"/>
        </w:rPr>
        <w:lastRenderedPageBreak/>
        <w:t xml:space="preserve">result of its proposal.  Furthermore, ESMA fails to provide evidence on the dimension (or at least an estimation) of the market size for each of the asset classes in which such a test is divided. </w:t>
      </w:r>
      <w:r w:rsidRPr="00AC2218">
        <w:t>Finally, the size of those markets can vary depending on what the rest of the market is doing. A company’s position via-a-vis the threshold is thus depending on a very relative figure.</w:t>
      </w:r>
      <w:r w:rsidRPr="00AC2218">
        <w:rPr>
          <w:rFonts w:cstheme="minorHAnsi"/>
          <w:lang w:val="en-US"/>
        </w:rPr>
        <w:t xml:space="preserve"> </w:t>
      </w:r>
    </w:p>
    <w:p w:rsidR="005C15AD" w:rsidRPr="00AC2218" w:rsidRDefault="005C15AD" w:rsidP="005C15AD">
      <w:pPr>
        <w:spacing w:before="120" w:after="120" w:line="240" w:lineRule="auto"/>
        <w:rPr>
          <w:rFonts w:cstheme="minorHAnsi"/>
          <w:lang w:val="en-US"/>
        </w:rPr>
      </w:pPr>
      <w:r w:rsidRPr="00AC2218">
        <w:rPr>
          <w:rFonts w:cstheme="minorHAnsi"/>
          <w:lang w:val="en-US"/>
        </w:rPr>
        <w:t xml:space="preserve">Again, we argue that this would prevent ESMA to attain the principle of </w:t>
      </w:r>
      <w:r w:rsidRPr="00AC2218">
        <w:rPr>
          <w:rFonts w:cstheme="minorHAnsi"/>
          <w:i/>
          <w:lang w:val="en-US"/>
        </w:rPr>
        <w:t xml:space="preserve">proportionality </w:t>
      </w:r>
      <w:r w:rsidRPr="00AC2218">
        <w:rPr>
          <w:rFonts w:cstheme="minorHAnsi"/>
          <w:lang w:val="en-US"/>
        </w:rPr>
        <w:t xml:space="preserve">defined in the level 1 text (Recital 20). </w:t>
      </w:r>
    </w:p>
    <w:p w:rsidR="005C15AD" w:rsidRPr="00AC2218" w:rsidRDefault="005C15AD" w:rsidP="005C15AD">
      <w:pPr>
        <w:spacing w:before="120" w:after="120" w:line="240" w:lineRule="auto"/>
        <w:rPr>
          <w:rFonts w:cstheme="minorHAnsi"/>
          <w:lang w:val="en-US"/>
        </w:rPr>
      </w:pPr>
      <w:r w:rsidRPr="00AC2218">
        <w:rPr>
          <w:rFonts w:cstheme="minorHAnsi"/>
          <w:lang w:val="en-US"/>
        </w:rPr>
        <w:t>We thus consider that a threshold of 0.5% is extremely and unreasonably low when compared to the proportionality principle. The co-legislators intention was to narrow down the existing exemption but not to render it void. We really believe that this threshold intends to capture almost all commodity trading entities.</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t>We believe that the ESMA’s proposals would see the vast majority of energy trading firms being regulated as financial entities, subject to detailed oversight by financial regulators and forced to comply with onerous and costly rules on licensing requirements, clearing and margining, capital and liquidity adequacy. This is also partly due to a wider definition of financial instruments stemming from MIFID II and ESMA’s proposal RTS</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t>These obligations trigger a cascade of material adverse and unintended impacts on energy markets, energy consumers, energy prices and thus the real economy:</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Small and medium sized energy (trading) firms will exit the market due to prohibitive compliance and prudential capital and liquidity requirements. Larger firms will curtail or close their EU trading activity in the light of increased compliance and prudential capital costs.</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Trading activity will, wherever possible, be routed via other international markets to avoid disproportionate licensing and capital costs. Trade will also migrate to purely bilateral, physical markets and products. Trading entities may seek to move outside of the European Union.</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energy groups that will remain will have to reallocate capital within their businesses to meet the capital and liquidity ratios for their trading unit. This will “trap” liquidity in the trading unit or force consolidation of asset (generation) businesses with trading businesses in order to utilise the liquidity. Perversely, this would see financial authorities overseeing gas fields, nuclear plants, coal power plants and lignite mines etc. to oversee a minority trading business and simultaneously undermining energy regulators’ needs for effective business separation.</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 xml:space="preserve">Despite the need for increased liquidity in many European energy and commodity markets (e.g., as desired by </w:t>
      </w:r>
      <w:proofErr w:type="spellStart"/>
      <w:r w:rsidRPr="00AC2218">
        <w:rPr>
          <w:rFonts w:cs="Arial"/>
          <w:color w:val="000000"/>
          <w:szCs w:val="22"/>
          <w:lang w:eastAsia="en-GB"/>
        </w:rPr>
        <w:t>Ofgem</w:t>
      </w:r>
      <w:proofErr w:type="spellEnd"/>
      <w:r w:rsidRPr="00AC2218">
        <w:rPr>
          <w:rFonts w:cs="Arial"/>
          <w:color w:val="000000"/>
          <w:szCs w:val="22"/>
          <w:lang w:eastAsia="en-GB"/>
        </w:rPr>
        <w:t xml:space="preserve"> in the UK power market or as highlighted by ACER for the European gas markets in the recent Gas Target Model analysis) liquidity will dry out. The fall in liquidity will significantly increase the costs of risk management for energy companies and massively reduce opportunities for commodity risk management by industrial customers</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damage to wholesale energy markets also directly undermines the political aims of the 3rd Energy Package and the Single European energy market. Illiquid wholesale markets reduce market competition and efficiency in the production and retail markets and energy prices for consumers and industry will increase as a result. Increased risk, constrained investment capital and poor market price signals will also undermine investment, production and consumption decisions and degrade the security of energy supplies.</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t xml:space="preserve">These increased costs and risks come without any corresponding improvement in the risk profile or integrity of the financial markets from the perspective of energy trading firms. The energy markets are already effectively regulated, highly transparent and subject to the same high standards of conduct and integrity under REMIT. EMIR and the Market Abuse regime apply to the investment activity of energy groups.  </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lastRenderedPageBreak/>
        <w:t xml:space="preserve">The requirements related to </w:t>
      </w:r>
      <w:proofErr w:type="spellStart"/>
      <w:r w:rsidRPr="00AC2218">
        <w:rPr>
          <w:rFonts w:eastAsia="Times New Roman" w:cs="Arial"/>
          <w:color w:val="000000"/>
        </w:rPr>
        <w:t>MiFID</w:t>
      </w:r>
      <w:proofErr w:type="spellEnd"/>
      <w:r w:rsidRPr="00AC2218">
        <w:rPr>
          <w:rFonts w:eastAsia="Times New Roman" w:cs="Arial"/>
          <w:color w:val="000000"/>
        </w:rPr>
        <w:t xml:space="preserve"> will not achieve a “level playing field” between financial and non-financial counterparties as ESMA claims. Trading commodities on own account poses no threat to bank savers and no requirement to protect investors. Nor do commodity traders have access to central bank liquidity to meet liquidity requirements. Imposing the same obligations on fundamentally different businesses makes the field unplayable.</w:t>
      </w:r>
    </w:p>
    <w:p w:rsidR="005C15AD" w:rsidRPr="00AC2218" w:rsidRDefault="005C15AD" w:rsidP="005C15AD">
      <w:pPr>
        <w:spacing w:before="120" w:line="240" w:lineRule="auto"/>
        <w:rPr>
          <w:rFonts w:eastAsia="Times New Roman" w:cs="Arial"/>
        </w:rPr>
      </w:pPr>
      <w:r w:rsidRPr="00AC2218">
        <w:rPr>
          <w:rFonts w:eastAsia="Times New Roman" w:cs="Arial"/>
        </w:rPr>
        <w:t xml:space="preserve">We believe that the level of the thresholds could be differentiated per commodity asset class, especially if the disaggregation of energy commodities remains as proposed in the consultation. This is even more reasoned if ESMA confirms that breaching the threshold in any asset class imposes a license requirement. Therefore the RTS should conservatively include relatively high thresholds in the beginning. </w:t>
      </w:r>
    </w:p>
    <w:p w:rsidR="005C15AD" w:rsidRPr="00AC2218" w:rsidRDefault="005C15AD" w:rsidP="005C15AD">
      <w:pPr>
        <w:spacing w:before="120" w:line="240" w:lineRule="auto"/>
        <w:rPr>
          <w:rFonts w:eastAsia="Times New Roman" w:cs="Arial"/>
        </w:rPr>
      </w:pPr>
      <w:r w:rsidRPr="00AC2218">
        <w:rPr>
          <w:rFonts w:eastAsia="Times New Roman" w:cs="Arial"/>
        </w:rPr>
        <w:t xml:space="preserve">In the absence of reliable data on the size of the market at the time of drafting RTS and in consideration of the extreme consequences on energy markets, consumers and prices of applying incorrectly the </w:t>
      </w:r>
      <w:proofErr w:type="spellStart"/>
      <w:r w:rsidRPr="00AC2218">
        <w:rPr>
          <w:rFonts w:eastAsia="Times New Roman" w:cs="Arial"/>
        </w:rPr>
        <w:t>MiFID</w:t>
      </w:r>
      <w:proofErr w:type="spellEnd"/>
      <w:r w:rsidRPr="00AC2218">
        <w:rPr>
          <w:rFonts w:eastAsia="Times New Roman" w:cs="Arial"/>
        </w:rPr>
        <w:t xml:space="preserve"> II scheme to non-financial entities that are not relevant for financial markets, we believe that a </w:t>
      </w:r>
      <w:r>
        <w:rPr>
          <w:rFonts w:eastAsia="Times New Roman" w:cs="Arial"/>
        </w:rPr>
        <w:t xml:space="preserve">more appropriate </w:t>
      </w:r>
      <w:r w:rsidRPr="00AC2218">
        <w:rPr>
          <w:rFonts w:eastAsia="Times New Roman" w:cs="Arial"/>
        </w:rPr>
        <w:t>threshold</w:t>
      </w:r>
      <w:r>
        <w:rPr>
          <w:rFonts w:eastAsia="Times New Roman" w:cs="Arial"/>
        </w:rPr>
        <w:t xml:space="preserve"> level for the “market size test”</w:t>
      </w:r>
      <w:r w:rsidRPr="00AC2218">
        <w:rPr>
          <w:rFonts w:eastAsia="Times New Roman" w:cs="Arial"/>
        </w:rPr>
        <w:t xml:space="preserve"> around 15%. </w:t>
      </w:r>
    </w:p>
    <w:p w:rsidR="005C15AD" w:rsidRDefault="005C15AD" w:rsidP="005C15AD">
      <w:pPr>
        <w:spacing w:before="120" w:line="240" w:lineRule="auto"/>
        <w:rPr>
          <w:rFonts w:eastAsia="Times New Roman" w:cs="Arial"/>
        </w:rPr>
      </w:pPr>
      <w:r w:rsidRPr="00AC2218">
        <w:rPr>
          <w:rFonts w:eastAsia="Times New Roman" w:cs="Arial"/>
        </w:rPr>
        <w:t>Subsequently ESMA may revise the level of the threshold(s) on the basis of the</w:t>
      </w:r>
      <w:r>
        <w:rPr>
          <w:rFonts w:eastAsia="Times New Roman" w:cs="Arial"/>
        </w:rPr>
        <w:t xml:space="preserve"> experience, after</w:t>
      </w:r>
      <w:r w:rsidRPr="00AC2218">
        <w:rPr>
          <w:rFonts w:eastAsia="Times New Roman" w:cs="Arial"/>
        </w:rPr>
        <w:t xml:space="preserve"> evidence</w:t>
      </w:r>
      <w:r>
        <w:rPr>
          <w:rFonts w:eastAsia="Times New Roman" w:cs="Arial"/>
        </w:rPr>
        <w:t xml:space="preserve"> is produced and the macro-economic impact is fully taken into account</w:t>
      </w:r>
      <w:r w:rsidRPr="00AC2218">
        <w:rPr>
          <w:rFonts w:eastAsia="Times New Roman" w:cs="Arial"/>
        </w:rPr>
        <w:t>.</w:t>
      </w:r>
    </w:p>
    <w:p w:rsidR="00577C33" w:rsidRPr="005C15AD" w:rsidRDefault="005C15AD" w:rsidP="005C15AD">
      <w:pPr>
        <w:spacing w:before="120" w:line="240" w:lineRule="auto"/>
        <w:rPr>
          <w:rFonts w:eastAsia="Times New Roman" w:cs="Arial"/>
        </w:rPr>
      </w:pPr>
      <w:r>
        <w:rPr>
          <w:rFonts w:eastAsia="Times New Roman" w:cs="Arial"/>
        </w:rPr>
        <w:t>The level we proposed is not based on evidence or analysis, but because it is a level sensibly higher to the one proposed by ESMA and with the aim to</w:t>
      </w:r>
      <w:r>
        <w:rPr>
          <w:rFonts w:eastAsia="Times New Roman" w:cs="Arial"/>
        </w:rPr>
        <w:t xml:space="preserve"> avoid unintended consequences.</w:t>
      </w:r>
    </w:p>
    <w:permEnd w:id="727279350"/>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C15AD" w:rsidRPr="00AC2218" w:rsidRDefault="005C15AD" w:rsidP="005C15AD">
      <w:pPr>
        <w:spacing w:before="120" w:line="240" w:lineRule="auto"/>
        <w:rPr>
          <w:rFonts w:eastAsia="Times New Roman" w:cs="Arial"/>
        </w:rPr>
      </w:pPr>
      <w:permStart w:id="208616845" w:edGrp="everyone"/>
      <w:r w:rsidRPr="00AC2218">
        <w:rPr>
          <w:rFonts w:eastAsia="Times New Roman" w:cs="Arial"/>
          <w:bCs/>
          <w:color w:val="000000"/>
        </w:rPr>
        <w:t>Yes</w:t>
      </w:r>
      <w:r w:rsidRPr="00AC2218">
        <w:rPr>
          <w:rFonts w:eastAsia="Times New Roman" w:cs="Arial"/>
        </w:rPr>
        <w:t>, we believe it is useful.</w:t>
      </w:r>
    </w:p>
    <w:p w:rsidR="005C15AD" w:rsidRPr="00AC2218" w:rsidRDefault="005C15AD" w:rsidP="005C15AD">
      <w:pPr>
        <w:spacing w:before="120" w:line="240" w:lineRule="auto"/>
      </w:pPr>
      <w:r w:rsidRPr="00AC2218">
        <w:rPr>
          <w:rFonts w:eastAsia="Times New Roman" w:cs="Arial"/>
        </w:rPr>
        <w:t>However, a threshold level of only 0.25% seems far too low compared to the (systemic) relevance of</w:t>
      </w:r>
      <w:r w:rsidRPr="00AC2218">
        <w:t xml:space="preserve"> NFCs to the financial system. EURELECTRIC shall propose a substantiated impact assessment is made or - if already made by ESMA – the results should be released in order to validate the assumptions. </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 xml:space="preserve">The level should be raised as a consequence of a different approach as suggested in response to Q179. This level should depend on the level of the threshold for the specific commodity asset class. This de </w:t>
      </w:r>
      <w:proofErr w:type="spellStart"/>
      <w:r w:rsidRPr="00AC2218">
        <w:rPr>
          <w:rFonts w:eastAsia="Times New Roman" w:cs="Arial"/>
          <w:bCs/>
          <w:color w:val="000000"/>
        </w:rPr>
        <w:t>minimis</w:t>
      </w:r>
      <w:proofErr w:type="spellEnd"/>
      <w:r w:rsidRPr="00AC2218">
        <w:rPr>
          <w:rFonts w:eastAsia="Times New Roman" w:cs="Arial"/>
          <w:bCs/>
          <w:color w:val="000000"/>
        </w:rPr>
        <w:t xml:space="preserve"> threshold should be set </w:t>
      </w:r>
      <w:r>
        <w:rPr>
          <w:rFonts w:eastAsia="Times New Roman" w:cs="Arial"/>
          <w:bCs/>
          <w:color w:val="000000"/>
        </w:rPr>
        <w:t xml:space="preserve">at </w:t>
      </w:r>
      <w:proofErr w:type="gramStart"/>
      <w:r>
        <w:rPr>
          <w:rFonts w:eastAsia="Times New Roman" w:cs="Arial"/>
          <w:bCs/>
          <w:color w:val="000000"/>
        </w:rPr>
        <w:t xml:space="preserve">around  </w:t>
      </w:r>
      <w:r w:rsidRPr="00AC2218">
        <w:rPr>
          <w:rFonts w:eastAsia="Times New Roman" w:cs="Arial"/>
          <w:bCs/>
          <w:color w:val="000000"/>
        </w:rPr>
        <w:t>4</w:t>
      </w:r>
      <w:proofErr w:type="gramEnd"/>
      <w:r w:rsidRPr="00AC2218">
        <w:rPr>
          <w:rFonts w:eastAsia="Times New Roman" w:cs="Arial"/>
          <w:bCs/>
          <w:color w:val="000000"/>
        </w:rPr>
        <w:t>-5%.</w:t>
      </w:r>
    </w:p>
    <w:permEnd w:id="20861684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C15AD" w:rsidRPr="00AC2218" w:rsidRDefault="005C15AD" w:rsidP="005C15AD">
      <w:pPr>
        <w:spacing w:before="120" w:line="240" w:lineRule="auto"/>
        <w:rPr>
          <w:rFonts w:eastAsia="Times New Roman" w:cs="Arial"/>
        </w:rPr>
      </w:pPr>
      <w:permStart w:id="1254504386" w:edGrp="everyone"/>
      <w:r w:rsidRPr="00AC2218">
        <w:rPr>
          <w:rFonts w:eastAsia="Times New Roman" w:cs="Arial"/>
        </w:rPr>
        <w:t xml:space="preserve">In the draft RTS, “intragroup transactions” are defined by reference to Article 3 of EMIR. </w:t>
      </w:r>
    </w:p>
    <w:p w:rsidR="005C15AD" w:rsidRPr="00AC2218" w:rsidRDefault="005C15AD" w:rsidP="005C15AD">
      <w:pPr>
        <w:spacing w:before="120" w:line="240" w:lineRule="auto"/>
        <w:rPr>
          <w:rFonts w:eastAsia="Times New Roman" w:cs="Arial"/>
        </w:rPr>
      </w:pPr>
      <w:r w:rsidRPr="00AC2218">
        <w:rPr>
          <w:rFonts w:eastAsia="Times New Roman" w:cs="Arial"/>
        </w:rPr>
        <w:t xml:space="preserve">Under this Article, in order for an EU counterparty to qualify a contract with another counterparty in the same group that is established in a third country, it is required that the Commission has adopted an implementing act to deem that third country as being equivalent under EMIR Article 13(2).   </w:t>
      </w:r>
    </w:p>
    <w:p w:rsidR="005C15AD" w:rsidRPr="00AC2218" w:rsidRDefault="005C15AD" w:rsidP="005C15AD">
      <w:pPr>
        <w:spacing w:before="120" w:line="240" w:lineRule="auto"/>
        <w:rPr>
          <w:rFonts w:eastAsia="Times New Roman" w:cs="Arial"/>
        </w:rPr>
      </w:pPr>
      <w:r w:rsidRPr="00AC2218">
        <w:rPr>
          <w:rFonts w:eastAsia="Times New Roman" w:cs="Arial"/>
        </w:rPr>
        <w:t xml:space="preserve">In the absence of such equivalence assessments currently and of any certainty over when such assessments might eventually be made, we would consider it more appropriate to define an “intragroup” transaction be defined as a transaction between two counterparties belonging to the same group maintaining a generic reference to the term group as this is in </w:t>
      </w:r>
      <w:r w:rsidRPr="00AC2218">
        <w:rPr>
          <w:rFonts w:eastAsia="Times New Roman" w:cs="Arial"/>
        </w:rPr>
        <w:lastRenderedPageBreak/>
        <w:t xml:space="preserve">line with the text of Level 1 and the need to avoid extraterritorial application of </w:t>
      </w:r>
      <w:proofErr w:type="spellStart"/>
      <w:r w:rsidRPr="00AC2218">
        <w:rPr>
          <w:rFonts w:eastAsia="Times New Roman" w:cs="Arial"/>
        </w:rPr>
        <w:t>MiFID</w:t>
      </w:r>
      <w:proofErr w:type="spellEnd"/>
      <w:r w:rsidRPr="00AC2218">
        <w:rPr>
          <w:rFonts w:eastAsia="Times New Roman" w:cs="Arial"/>
        </w:rPr>
        <w:t xml:space="preserve"> II, as expressed by ESMA in the consultation paper at point 30.</w:t>
      </w:r>
    </w:p>
    <w:p w:rsidR="005C15AD" w:rsidRPr="00AC2218" w:rsidRDefault="005C15AD" w:rsidP="005C15AD">
      <w:pPr>
        <w:spacing w:before="120" w:line="240" w:lineRule="auto"/>
        <w:rPr>
          <w:rFonts w:eastAsia="Times New Roman" w:cs="Arial"/>
        </w:rPr>
      </w:pPr>
      <w:r w:rsidRPr="00AC2218">
        <w:rPr>
          <w:rFonts w:eastAsia="Times New Roman" w:cs="Arial"/>
        </w:rPr>
        <w:t>Otherwise, in recognition of the possibility that such assessments may not be in place before 2017, we would urge that provisions be made in the technical standards for a transitional regime.</w:t>
      </w:r>
    </w:p>
    <w:p w:rsidR="005C15AD" w:rsidRPr="00AC2218" w:rsidRDefault="005C15AD" w:rsidP="005C15AD">
      <w:pPr>
        <w:spacing w:before="120" w:line="240" w:lineRule="auto"/>
        <w:rPr>
          <w:rFonts w:eastAsia="Times New Roman" w:cs="Arial"/>
        </w:rPr>
      </w:pPr>
      <w:r w:rsidRPr="00AC2218">
        <w:rPr>
          <w:rFonts w:eastAsia="Times New Roman" w:cs="Arial"/>
        </w:rPr>
        <w:t>Finally we reiterate the need to exclude trading activity in relation to carbon EU-ETS compliance. See also our answer to Q178.</w:t>
      </w:r>
    </w:p>
    <w:permEnd w:id="125450438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C15AD" w:rsidRPr="00AC2218" w:rsidRDefault="005C15AD" w:rsidP="005C15AD">
      <w:pPr>
        <w:spacing w:before="120" w:line="240" w:lineRule="auto"/>
        <w:rPr>
          <w:rFonts w:eastAsia="Times New Roman" w:cs="Arial"/>
          <w:bCs/>
          <w:color w:val="000000"/>
        </w:rPr>
      </w:pPr>
      <w:permStart w:id="1738162719" w:edGrp="everyone"/>
      <w:r w:rsidRPr="00AC2218">
        <w:rPr>
          <w:rFonts w:eastAsia="Times New Roman" w:cs="Arial"/>
          <w:bCs/>
          <w:color w:val="000000"/>
        </w:rPr>
        <w:t xml:space="preserve">No we disagree. </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 xml:space="preserve">We believe that ESMA requires a calculation that is practically impossible to make in the timeframe proposed. The intention in 2017 to use average data for 2016 is very difficult if not impossible to achieve for member firms. Average data for 2016 will only be available once 2016 has come to an end, i.e. on 2 January 2017 (since 1 January 2017 is a bank holiday in most if not all EU jurisdictions).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applies from 3 January 2017. The period of implementation of MIFID rules will be of a least one year and therefore it is unclear how a firm, can find out after 31 December 2016 that it is going to be licensed will be able to put in place all processes by 3</w:t>
      </w:r>
      <w:r w:rsidRPr="00AC2218">
        <w:rPr>
          <w:rFonts w:eastAsia="Times New Roman" w:cs="Arial"/>
          <w:bCs/>
          <w:color w:val="000000"/>
          <w:vertAlign w:val="superscript"/>
        </w:rPr>
        <w:t>rd</w:t>
      </w:r>
      <w:r w:rsidRPr="00AC2218">
        <w:rPr>
          <w:rFonts w:eastAsia="Times New Roman" w:cs="Arial"/>
          <w:bCs/>
          <w:color w:val="000000"/>
        </w:rPr>
        <w:t xml:space="preserve"> January 2017 (3 days later): accounting data for firms is only audited and published within the first half of the year following the account closing date (31.12 of each calendar year usually). Even if such data was made available a 3 days implementation and compliance period can’t be deemed reasonable or fair. </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 xml:space="preserve">We also doubt why ESMA wants to use data related to 2016 when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will not yet be in force. This is conferring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 retroactive effect, which is not the intended purpose of the directive. Deciding on retroactivity is a prerogative of the European legislator and not a power conferred to the executive authority.</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It is unclear also why the interim solution covers one year only (2016), whilst ESMA it has justified the proposal of calculation over a three years period saying that ‘</w:t>
      </w:r>
      <w:r w:rsidRPr="00AC2218">
        <w:rPr>
          <w:rFonts w:eastAsia="Times New Roman" w:cs="Arial"/>
          <w:bCs/>
          <w:i/>
          <w:color w:val="000000"/>
        </w:rPr>
        <w:t xml:space="preserve">the amount of capital employed and the size of the trading activity in financial instruments might fluctuate from year to year. Therefore, a firm may fall within the scope of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because it fulfils the relevant criteria one year but it may qualify for an exemption from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the following year</w:t>
      </w:r>
      <w:r w:rsidRPr="00AC2218">
        <w:rPr>
          <w:rFonts w:eastAsia="Times New Roman" w:cs="Arial"/>
          <w:bCs/>
          <w:color w:val="000000"/>
        </w:rPr>
        <w:t>’ and it justifies the rejection of the proposal for ‘a second chance’ on the basis of the fact that the procedure ‘</w:t>
      </w:r>
      <w:r w:rsidRPr="00AC2218">
        <w:rPr>
          <w:rFonts w:eastAsia="Times New Roman" w:cs="Arial"/>
          <w:bCs/>
          <w:i/>
          <w:color w:val="000000"/>
        </w:rPr>
        <w:t>relies on monthly inputs for 36 consecutive months seems to provide several chances to check the firm’s position against the thresholds and decide whether to reduce the trading in these instruments in order to fulfil the requirements to benefit from the exemption in the regular annual test’.</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On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Finally, it is unclear why ESMA proposes a more complex process by proposing a ‘simple average of monthly input’. It would be much simpler to calculate the data either on the basis of the overall year (is it the sum of daily data submitted to TRs?) or the calculation of the outstanding value on the 31/12 of the year.</w:t>
      </w:r>
    </w:p>
    <w:p w:rsidR="005C15AD" w:rsidRPr="00AC2218" w:rsidRDefault="005C15AD" w:rsidP="005C15AD">
      <w:pPr>
        <w:spacing w:before="120" w:line="240" w:lineRule="auto"/>
        <w:rPr>
          <w:rFonts w:eastAsia="Times New Roman" w:cs="Arial"/>
          <w:bCs/>
          <w:color w:val="000000"/>
        </w:rPr>
      </w:pPr>
      <w:r w:rsidRPr="00AC2218">
        <w:rPr>
          <w:rFonts w:eastAsia="Times New Roman" w:cs="Arial"/>
          <w:bCs/>
          <w:color w:val="000000"/>
        </w:rPr>
        <w:t>Therefore, we believe that:</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lastRenderedPageBreak/>
        <w:t>The calculation should start with 2017 data i.e. notified to the NCA early in 2018. Alternatively, a ‘second chance’, at least concerning year 2016 and year 2017, should be given to avoid that fluctuations unduly penalises certain persons.</w:t>
      </w:r>
      <w:r>
        <w:rPr>
          <w:rFonts w:cs="Arial"/>
          <w:color w:val="000000"/>
          <w:szCs w:val="22"/>
          <w:lang w:eastAsia="en-GB"/>
        </w:rPr>
        <w:t xml:space="preserve"> The outcome of such calculation can only be a “warning” to the entity/group that it needs to take reasonable steps to either monitor its situation closely to remain exempted or to apply for license.</w:t>
      </w:r>
    </w:p>
    <w:p w:rsidR="005C15AD" w:rsidRPr="00AC2218" w:rsidRDefault="005C15AD" w:rsidP="005C15AD">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 xml:space="preserve">More time should be allowed for the notification. This should take place at the earliest at the end of June of each year. </w:t>
      </w:r>
    </w:p>
    <w:p w:rsidR="005C15AD" w:rsidRPr="005C15AD" w:rsidRDefault="005C15AD" w:rsidP="005C15AD">
      <w:pPr>
        <w:pStyle w:val="ListParagraph"/>
        <w:numPr>
          <w:ilvl w:val="0"/>
          <w:numId w:val="31"/>
        </w:numPr>
        <w:spacing w:before="120" w:line="240" w:lineRule="auto"/>
        <w:ind w:left="357" w:hanging="357"/>
        <w:contextualSpacing/>
        <w:rPr>
          <w:rFonts w:cs="Arial"/>
          <w:szCs w:val="22"/>
          <w:lang w:eastAsia="en-GB"/>
        </w:rPr>
      </w:pPr>
      <w:r>
        <w:rPr>
          <w:rFonts w:cs="Arial"/>
          <w:color w:val="000000"/>
          <w:szCs w:val="22"/>
          <w:lang w:eastAsia="en-GB"/>
        </w:rPr>
        <w:t xml:space="preserve">Starting from 2018, </w:t>
      </w:r>
      <w:proofErr w:type="gramStart"/>
      <w:r>
        <w:rPr>
          <w:rFonts w:cs="Arial"/>
          <w:color w:val="000000"/>
          <w:szCs w:val="22"/>
          <w:lang w:eastAsia="en-GB"/>
        </w:rPr>
        <w:t>o</w:t>
      </w:r>
      <w:r w:rsidRPr="00AC2218">
        <w:rPr>
          <w:rFonts w:cs="Arial"/>
          <w:color w:val="000000"/>
          <w:szCs w:val="22"/>
          <w:lang w:eastAsia="en-GB"/>
        </w:rPr>
        <w:t>nce  a</w:t>
      </w:r>
      <w:proofErr w:type="gramEnd"/>
      <w:r w:rsidRPr="00AC2218">
        <w:rPr>
          <w:rFonts w:cs="Arial"/>
          <w:color w:val="000000"/>
          <w:szCs w:val="22"/>
          <w:lang w:eastAsia="en-GB"/>
        </w:rPr>
        <w:t xml:space="preserve"> firm realises it is captured as a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firm it should notify such to its NCA and be granted a period of 12 months to implement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processes and reach full compliance. </w:t>
      </w:r>
    </w:p>
    <w:p w:rsidR="005C15AD" w:rsidRPr="00AC2218" w:rsidRDefault="005C15AD" w:rsidP="005C15AD">
      <w:pPr>
        <w:pStyle w:val="ListParagraph"/>
        <w:numPr>
          <w:ilvl w:val="0"/>
          <w:numId w:val="0"/>
        </w:numPr>
        <w:spacing w:before="120"/>
        <w:rPr>
          <w:rFonts w:cs="Arial"/>
          <w:szCs w:val="22"/>
          <w:lang w:eastAsia="en-GB"/>
        </w:rPr>
      </w:pPr>
      <w:r w:rsidRPr="00AC2218">
        <w:rPr>
          <w:rFonts w:cs="Arial"/>
          <w:szCs w:val="22"/>
          <w:lang w:eastAsia="en-GB"/>
        </w:rPr>
        <w:t xml:space="preserve">ESMA should consider that in certain countries performing activities regulated by </w:t>
      </w:r>
      <w:proofErr w:type="spellStart"/>
      <w:r w:rsidRPr="00AC2218">
        <w:rPr>
          <w:rFonts w:cs="Arial"/>
          <w:szCs w:val="22"/>
          <w:lang w:eastAsia="en-GB"/>
        </w:rPr>
        <w:t>MiFID</w:t>
      </w:r>
      <w:proofErr w:type="spellEnd"/>
      <w:r w:rsidRPr="00AC2218">
        <w:rPr>
          <w:rFonts w:cs="Arial"/>
          <w:szCs w:val="22"/>
          <w:lang w:eastAsia="en-GB"/>
        </w:rPr>
        <w:t xml:space="preserve"> without a license is punished as criminal offence. Therefore ESMA should set a process allowing discounting from the assessment of the ancillary activity exemption of entities within a group also activities of entities in the same group that are </w:t>
      </w:r>
      <w:r w:rsidRPr="00AC2218">
        <w:rPr>
          <w:rFonts w:cs="Arial"/>
          <w:i/>
          <w:szCs w:val="22"/>
          <w:lang w:eastAsia="en-GB"/>
        </w:rPr>
        <w:t>in the process to require or obtain</w:t>
      </w:r>
      <w:r w:rsidRPr="00AC2218">
        <w:rPr>
          <w:rFonts w:cs="Arial"/>
          <w:szCs w:val="22"/>
          <w:lang w:eastAsia="en-GB"/>
        </w:rPr>
        <w:t xml:space="preserve"> a </w:t>
      </w:r>
      <w:proofErr w:type="spellStart"/>
      <w:r w:rsidRPr="00AC2218">
        <w:rPr>
          <w:rFonts w:cs="Arial"/>
          <w:szCs w:val="22"/>
          <w:lang w:eastAsia="en-GB"/>
        </w:rPr>
        <w:t>MiFID</w:t>
      </w:r>
      <w:proofErr w:type="spellEnd"/>
      <w:r w:rsidRPr="00AC2218">
        <w:rPr>
          <w:rFonts w:cs="Arial"/>
          <w:szCs w:val="22"/>
          <w:lang w:eastAsia="en-GB"/>
        </w:rPr>
        <w:t xml:space="preserve"> license. This is necessary to ensure business continuity and avoid undue consequences.</w:t>
      </w:r>
    </w:p>
    <w:permEnd w:id="173816271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45696975" w:edGrp="everyone"/>
      <w:r>
        <w:t>TYPE YOUR TEXT HERE</w:t>
      </w:r>
    </w:p>
    <w:permEnd w:id="4569697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716531976" w:edGrp="everyone"/>
      <w:r>
        <w:t>TYPE YOUR TEXT HERE</w:t>
      </w:r>
    </w:p>
    <w:permEnd w:id="171653197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68394766" w:edGrp="everyone"/>
      <w:r>
        <w:t>TYPE YOUR TEXT HERE</w:t>
      </w:r>
    </w:p>
    <w:permEnd w:id="116839476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70322268" w:edGrp="everyone"/>
      <w:r>
        <w:t>TYPE YOUR TEXT HERE</w:t>
      </w:r>
    </w:p>
    <w:permEnd w:id="147032226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lastRenderedPageBreak/>
        <w:t>&lt;ESMA_QUESTION_CP_MIFID_187&gt;</w:t>
      </w:r>
    </w:p>
    <w:p w:rsidR="00577C33" w:rsidRDefault="00577C33" w:rsidP="00EC2C93">
      <w:pPr>
        <w:keepNext/>
      </w:pPr>
      <w:permStart w:id="1495685408" w:edGrp="everyone"/>
      <w:r>
        <w:t>TYPE YOUR TEXT HERE</w:t>
      </w:r>
    </w:p>
    <w:permEnd w:id="1495685408"/>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525104419" w:edGrp="everyone"/>
      <w:r>
        <w:t>TYPE YOUR TEXT HERE</w:t>
      </w:r>
    </w:p>
    <w:permEnd w:id="1525104419"/>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996156015" w:edGrp="everyone"/>
      <w:r>
        <w:t>TYPE YOUR TEXT HERE</w:t>
      </w:r>
    </w:p>
    <w:permEnd w:id="99615601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070400356" w:edGrp="everyone"/>
      <w:r>
        <w:t>TYPE YOUR TEXT HERE</w:t>
      </w:r>
    </w:p>
    <w:permEnd w:id="107040035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976134515" w:edGrp="everyone"/>
      <w:r>
        <w:t>TYPE YOUR TEXT HERE</w:t>
      </w:r>
    </w:p>
    <w:permEnd w:id="1976134515"/>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560902970" w:edGrp="everyone"/>
      <w:r>
        <w:t>TYPE YOUR TEXT HERE</w:t>
      </w:r>
    </w:p>
    <w:permEnd w:id="156090297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586065794" w:edGrp="everyone"/>
      <w:r>
        <w:t>TYPE YOUR TEXT HERE</w:t>
      </w:r>
    </w:p>
    <w:permEnd w:id="158606579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lastRenderedPageBreak/>
        <w:t>&lt;ESMA_QUESTION_CP_MIFID_194&gt;</w:t>
      </w:r>
    </w:p>
    <w:p w:rsidR="00577C33" w:rsidRDefault="00577C33" w:rsidP="00EC2C93">
      <w:pPr>
        <w:keepNext/>
      </w:pPr>
      <w:permStart w:id="1353844757" w:edGrp="everyone"/>
      <w:r>
        <w:t>TYPE YOUR TEXT HERE</w:t>
      </w:r>
    </w:p>
    <w:permEnd w:id="135384475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1789490970" w:edGrp="everyone"/>
      <w:r>
        <w:t>TYPE YOUR TEXT HERE</w:t>
      </w:r>
    </w:p>
    <w:permEnd w:id="1789490970"/>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936715504" w:edGrp="everyone"/>
      <w:r>
        <w:t>TYPE YOUR TEXT HERE</w:t>
      </w:r>
    </w:p>
    <w:permEnd w:id="936715504"/>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340351438" w:edGrp="everyone"/>
      <w:r>
        <w:t>TYPE YOUR TEXT HERE</w:t>
      </w:r>
    </w:p>
    <w:permEnd w:id="1340351438"/>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140336450" w:edGrp="everyone"/>
      <w:r>
        <w:t>TYPE YOUR TEXT HERE</w:t>
      </w:r>
    </w:p>
    <w:permEnd w:id="1140336450"/>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327830092" w:edGrp="everyone"/>
      <w:r>
        <w:t>TYPE YOUR TEXT HERE</w:t>
      </w:r>
    </w:p>
    <w:permEnd w:id="32783009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C15AD" w:rsidRDefault="005C15AD" w:rsidP="005C15AD">
      <w:pPr>
        <w:spacing w:before="120" w:line="240" w:lineRule="auto"/>
        <w:rPr>
          <w:rFonts w:eastAsia="Times New Roman" w:cs="Arial"/>
          <w:color w:val="000000"/>
        </w:rPr>
      </w:pPr>
      <w:permStart w:id="130765876" w:edGrp="everyone"/>
      <w:r w:rsidRPr="00AC2218">
        <w:rPr>
          <w:rFonts w:eastAsia="Times New Roman" w:cs="Arial"/>
          <w:color w:val="000000"/>
        </w:rPr>
        <w:t xml:space="preserve">We agree with the proposed draft RTS on risk reducing positions. However we do not fully share the view of ESMA that </w:t>
      </w:r>
      <w:r w:rsidRPr="00AC2218">
        <w:rPr>
          <w:rFonts w:eastAsia="Times New Roman" w:cs="Arial"/>
          <w:i/>
          <w:color w:val="000000"/>
        </w:rPr>
        <w:t>each trade</w:t>
      </w:r>
      <w:r w:rsidRPr="00AC2218">
        <w:rPr>
          <w:rFonts w:eastAsia="Times New Roman" w:cs="Arial"/>
          <w:color w:val="000000"/>
        </w:rPr>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w:t>
      </w:r>
      <w:r w:rsidRPr="00A80B4D">
        <w:rPr>
          <w:rFonts w:eastAsia="Times New Roman" w:cs="Arial"/>
          <w:color w:val="000000"/>
        </w:rPr>
        <w:t>to the portfolio</w:t>
      </w:r>
      <w:r w:rsidRPr="00AC2218">
        <w:rPr>
          <w:rFonts w:eastAsia="Times New Roman" w:cs="Arial"/>
          <w:color w:val="000000"/>
        </w:rPr>
        <w:t xml:space="preserve"> and the distinction may not </w:t>
      </w:r>
      <w:r w:rsidRPr="00A80B4D">
        <w:rPr>
          <w:rFonts w:eastAsia="Times New Roman" w:cs="Arial"/>
          <w:color w:val="000000"/>
        </w:rPr>
        <w:t>always</w:t>
      </w:r>
      <w:r w:rsidRPr="00AC2218">
        <w:rPr>
          <w:rFonts w:eastAsia="Times New Roman" w:cs="Arial"/>
          <w:color w:val="000000"/>
        </w:rPr>
        <w:t xml:space="preserve"> be identifiable for each single trade.</w:t>
      </w:r>
    </w:p>
    <w:p w:rsidR="005C15AD" w:rsidRPr="00AC2218" w:rsidRDefault="005C15AD" w:rsidP="005C15AD">
      <w:pPr>
        <w:spacing w:before="120" w:line="240" w:lineRule="auto"/>
      </w:pPr>
      <w:r w:rsidRPr="00AC2218">
        <w:rPr>
          <w:rFonts w:eastAsia="Times New Roman" w:cs="Arial"/>
          <w:color w:val="000000"/>
        </w:rPr>
        <w:t xml:space="preserve">In general we note that the draft RTS on position limits do not contain definitions that are </w:t>
      </w:r>
      <w:proofErr w:type="gramStart"/>
      <w:r w:rsidRPr="00AC2218">
        <w:rPr>
          <w:rFonts w:eastAsia="Times New Roman" w:cs="Arial"/>
          <w:color w:val="000000"/>
        </w:rPr>
        <w:t>key</w:t>
      </w:r>
      <w:proofErr w:type="gramEnd"/>
      <w:r w:rsidRPr="00AC2218">
        <w:rPr>
          <w:rFonts w:eastAsia="Times New Roman" w:cs="Arial"/>
          <w:color w:val="000000"/>
        </w:rPr>
        <w:t xml:space="preserve"> to evaluate the full impact of the rules proposed.</w:t>
      </w:r>
    </w:p>
    <w:permEnd w:id="130765876"/>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lastRenderedPageBreak/>
        <w:t>&lt;ESMA_QUESTION_CP_MIFID_201&gt;</w:t>
      </w:r>
    </w:p>
    <w:p w:rsidR="00577C33" w:rsidRDefault="00577C33" w:rsidP="00EC2C93">
      <w:pPr>
        <w:keepNext/>
      </w:pPr>
      <w:permStart w:id="789656333" w:edGrp="everyone"/>
      <w:r>
        <w:t>TYPE YOUR TEXT HERE</w:t>
      </w:r>
    </w:p>
    <w:permEnd w:id="789656333"/>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336432694" w:edGrp="everyone"/>
      <w:r>
        <w:t>TYPE YOUR TEXT HERE</w:t>
      </w:r>
    </w:p>
    <w:permEnd w:id="1336432694"/>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279268419" w:edGrp="everyone"/>
      <w:r>
        <w:t>TYPE YOUR TEXT HERE</w:t>
      </w:r>
    </w:p>
    <w:permEnd w:id="127926841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361564600" w:edGrp="everyone"/>
      <w:r>
        <w:t>TYPE YOUR TEXT HERE</w:t>
      </w:r>
    </w:p>
    <w:permEnd w:id="36156460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32214089" w:edGrp="everyone"/>
      <w:r>
        <w:t>TYPE YOUR TEXT HERE</w:t>
      </w:r>
    </w:p>
    <w:permEnd w:id="2132214089"/>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385050127" w:edGrp="everyone"/>
      <w:r>
        <w:t>TYPE YOUR TEXT HERE</w:t>
      </w:r>
    </w:p>
    <w:permEnd w:id="385050127"/>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06656865" w:edGrp="everyone"/>
      <w:r>
        <w:t>TYPE YOUR TEXT HERE</w:t>
      </w:r>
    </w:p>
    <w:permEnd w:id="406656865"/>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C15AD" w:rsidRPr="00AC2218" w:rsidRDefault="005C15AD" w:rsidP="005C15AD">
      <w:pPr>
        <w:spacing w:before="120" w:line="240" w:lineRule="auto"/>
        <w:rPr>
          <w:rFonts w:eastAsia="Times New Roman" w:cs="Arial"/>
          <w:color w:val="000000"/>
        </w:rPr>
      </w:pPr>
      <w:permStart w:id="656606188" w:edGrp="everyone"/>
      <w:r w:rsidRPr="00AC2218">
        <w:rPr>
          <w:rFonts w:eastAsia="Times New Roman" w:cs="Arial"/>
          <w:color w:val="000000"/>
        </w:rPr>
        <w:t>No, we disagree.  We believe that the proposed procedure is extremely impractical if it has to be applied in all cases and may definitely hinder the ability of managing risks related to the commercial activity. Thirty calendar days for a silent or explicit approval are an infinite time compared with how commodity derivative markets work.</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lastRenderedPageBreak/>
        <w:t>We believe that an ‘ex-ante approval’ could be set as general rule. However it should be possible for companies to seek for an ‘ex-post approval’ in case the timing foreseen for an ex-ante approval would expose the applicant to undue risks.</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t xml:space="preserve">For instance this can be linked that the potential change in the value of the underlying assets, services, inputs, products, commodities that the applicant or its group owns, produces, manufactures, processes, provides, purchases, merchandises, leases, sells or incurs or reasonably anticipates owning, producing, manufacturing, processing, providing, purchasing, merchandising, leasing, selling or incurring in the normal course of its business; or also in case of substantial risks arising from the potential indirect impact on the value of assets, services, inputs, products, commodities or liabilities resulting from fluctuation of commodity prices, interest rates, inflation rates, foreign exchange rates or credit risk. Market participants shall notify the competent authority before breaching the position limit when possible; the notification should be based on a web service; </w:t>
      </w:r>
    </w:p>
    <w:p w:rsidR="005C15AD" w:rsidRPr="00AC2218" w:rsidRDefault="005C15AD" w:rsidP="005C15AD">
      <w:pPr>
        <w:spacing w:before="120" w:line="240" w:lineRule="auto"/>
        <w:rPr>
          <w:rFonts w:eastAsia="Times New Roman" w:cs="Arial"/>
          <w:color w:val="000000"/>
        </w:rPr>
      </w:pPr>
      <w:r w:rsidRPr="00AC2218">
        <w:rPr>
          <w:rFonts w:eastAsia="Times New Roman" w:cs="Arial"/>
          <w:color w:val="000000"/>
        </w:rPr>
        <w:t xml:space="preserve">Market participants entering into positions beyond position limits, when seeking an ex-post approval, should be able to demonstrate the risks that they would have otherwise incurred by not entering into that position. </w:t>
      </w:r>
    </w:p>
    <w:p w:rsidR="005C15AD" w:rsidRPr="00AC2218" w:rsidRDefault="005C15AD" w:rsidP="005C15AD">
      <w:pPr>
        <w:spacing w:before="120" w:after="120" w:line="240" w:lineRule="auto"/>
        <w:rPr>
          <w:rFonts w:eastAsia="Times New Roman" w:cstheme="minorHAnsi"/>
          <w:b/>
          <w:color w:val="000000"/>
        </w:rPr>
      </w:pPr>
      <w:r w:rsidRPr="00AC2218">
        <w:rPr>
          <w:rFonts w:eastAsia="Times New Roman" w:cs="Arial"/>
          <w:color w:val="000000"/>
        </w:rPr>
        <w:t>In case the competent authority does not agree with the assessment of the market participant, the market participant may be required to reduce its positions in a reasonable timeframe. This solution would allow markets to continue to work whilst allowing flexibility in the interpretation of the approval procedure.</w:t>
      </w:r>
    </w:p>
    <w:permEnd w:id="656606188"/>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838022802" w:edGrp="everyone"/>
      <w:r>
        <w:t>TYPE YOUR TEXT HERE</w:t>
      </w:r>
    </w:p>
    <w:permEnd w:id="83802280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904900016" w:edGrp="everyone"/>
      <w:r>
        <w:t>TYPE YOUR TEXT HERE</w:t>
      </w:r>
    </w:p>
    <w:permEnd w:id="1904900016"/>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326566371" w:edGrp="everyone"/>
      <w:r>
        <w:t>TYPE YOUR TEXT HERE</w:t>
      </w:r>
    </w:p>
    <w:permEnd w:id="32656637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559717486" w:edGrp="everyone"/>
      <w:r>
        <w:t>TYPE YOUR TEXT HERE</w:t>
      </w:r>
    </w:p>
    <w:permEnd w:id="1559717486"/>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982071017" w:edGrp="everyone"/>
      <w:r>
        <w:t>TYPE YOUR TEXT HERE</w:t>
      </w:r>
    </w:p>
    <w:permEnd w:id="982071017"/>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833381730" w:edGrp="everyone"/>
      <w:r>
        <w:t>TYPE YOUR TEXT HERE</w:t>
      </w:r>
    </w:p>
    <w:permEnd w:id="83338173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426591713" w:edGrp="everyone"/>
      <w:r>
        <w:t>TYPE YOUR TEXT HERE</w:t>
      </w:r>
    </w:p>
    <w:permEnd w:id="426591713"/>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848513806" w:edGrp="everyone"/>
      <w:r>
        <w:t>TYPE YOUR TEXT HERE</w:t>
      </w:r>
    </w:p>
    <w:permEnd w:id="1848513806"/>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19112309" w:edGrp="everyone"/>
      <w:r>
        <w:t>TYPE YOUR TEXT HERE</w:t>
      </w:r>
    </w:p>
    <w:permEnd w:id="201911230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715608573" w:edGrp="everyone"/>
      <w:r>
        <w:t>TYPE YOUR TEXT HERE</w:t>
      </w:r>
    </w:p>
    <w:permEnd w:id="715608573"/>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509192093" w:edGrp="everyone"/>
      <w:r>
        <w:t>TYPE YOUR TEXT HERE</w:t>
      </w:r>
    </w:p>
    <w:permEnd w:id="1509192093"/>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466578962" w:edGrp="everyone"/>
      <w:r>
        <w:t>TYPE YOUR TEXT HERE</w:t>
      </w:r>
    </w:p>
    <w:permEnd w:id="146657896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851981019" w:edGrp="everyone"/>
      <w:r>
        <w:t>TYPE YOUR TEXT HERE</w:t>
      </w:r>
    </w:p>
    <w:permEnd w:id="85198101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545279685" w:edGrp="everyone"/>
      <w:r>
        <w:t>TYPE YOUR TEXT HERE</w:t>
      </w:r>
    </w:p>
    <w:permEnd w:id="54527968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856295788" w:edGrp="everyone"/>
      <w:r>
        <w:t>TYPE YOUR TEXT HERE</w:t>
      </w:r>
    </w:p>
    <w:permEnd w:id="856295788"/>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008023813" w:edGrp="everyone"/>
      <w:r>
        <w:t>TYPE YOUR TEXT HERE</w:t>
      </w:r>
    </w:p>
    <w:permEnd w:id="100802381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16014510" w:edGrp="everyone"/>
      <w:r>
        <w:t>TYPE YOUR TEXT HERE</w:t>
      </w:r>
    </w:p>
    <w:permEnd w:id="11601451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105419588" w:edGrp="everyone"/>
      <w:r>
        <w:t>TYPE YOUR TEXT HERE</w:t>
      </w:r>
    </w:p>
    <w:permEnd w:id="1105419588"/>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790401234" w:edGrp="everyone"/>
      <w:r>
        <w:t>TYPE YOUR TEXT HERE</w:t>
      </w:r>
    </w:p>
    <w:permEnd w:id="179040123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043234608" w:edGrp="everyone"/>
      <w:r>
        <w:t>TYPE YOUR TEXT HERE</w:t>
      </w:r>
    </w:p>
    <w:permEnd w:id="204323460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656058222" w:edGrp="everyone"/>
      <w:r>
        <w:t>TYPE YOUR TEXT HERE</w:t>
      </w:r>
    </w:p>
    <w:permEnd w:id="165605822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612531809" w:edGrp="everyone"/>
      <w:r>
        <w:t>TYPE YOUR TEXT HERE</w:t>
      </w:r>
    </w:p>
    <w:permEnd w:id="61253180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016167449" w:edGrp="everyone"/>
      <w:r>
        <w:t>TYPE YOUR TEXT HERE</w:t>
      </w:r>
    </w:p>
    <w:permEnd w:id="2016167449"/>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28594792" w:edGrp="everyone"/>
      <w:r>
        <w:t>TYPE YOUR TEXT HERE</w:t>
      </w:r>
    </w:p>
    <w:permEnd w:id="228594792"/>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933588950" w:edGrp="everyone"/>
      <w:r>
        <w:t>TYPE YOUR TEXT HERE</w:t>
      </w:r>
    </w:p>
    <w:permEnd w:id="93358895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840609577" w:edGrp="everyone"/>
      <w:r>
        <w:t>TYPE YOUR TEXT HERE</w:t>
      </w:r>
    </w:p>
    <w:permEnd w:id="1840609577"/>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998259573" w:edGrp="everyone"/>
      <w:r>
        <w:t>TYPE YOUR TEXT HERE</w:t>
      </w:r>
    </w:p>
    <w:permEnd w:id="199825957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561190523" w:edGrp="everyone"/>
      <w:r>
        <w:t>TYPE YOUR TEXT HERE</w:t>
      </w:r>
    </w:p>
    <w:permEnd w:id="561190523"/>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303394463" w:edGrp="everyone"/>
      <w:r>
        <w:t>TYPE YOUR TEXT HERE</w:t>
      </w:r>
    </w:p>
    <w:permEnd w:id="30339446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867538858" w:edGrp="everyone"/>
      <w:r>
        <w:t>TYPE YOUR TEXT HERE</w:t>
      </w:r>
    </w:p>
    <w:permEnd w:id="1867538858"/>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701116249" w:edGrp="everyone"/>
      <w:r>
        <w:t>TYPE YOUR TEXT HERE</w:t>
      </w:r>
    </w:p>
    <w:permEnd w:id="701116249"/>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843492133" w:edGrp="everyone"/>
      <w:r>
        <w:t>TYPE YOUR TEXT HERE</w:t>
      </w:r>
    </w:p>
    <w:permEnd w:id="184349213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914037832" w:edGrp="everyone"/>
      <w:r>
        <w:t>TYPE YOUR TEXT HERE</w:t>
      </w:r>
    </w:p>
    <w:permEnd w:id="914037832"/>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464620289" w:edGrp="everyone"/>
      <w:r>
        <w:t>TYPE YOUR TEXT HERE</w:t>
      </w:r>
    </w:p>
    <w:permEnd w:id="146462028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48925457" w:edGrp="everyone"/>
      <w:r>
        <w:t>TYPE YOUR TEXT HERE</w:t>
      </w:r>
    </w:p>
    <w:permEnd w:id="104892545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388326986" w:edGrp="everyone"/>
      <w:r>
        <w:t>TYPE YOUR TEXT HERE</w:t>
      </w:r>
    </w:p>
    <w:permEnd w:id="1388326986"/>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062425883" w:edGrp="everyone"/>
      <w:r>
        <w:t>TYPE YOUR TEXT HERE</w:t>
      </w:r>
    </w:p>
    <w:permEnd w:id="1062425883"/>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53" w:rsidRDefault="00DF6653" w:rsidP="007E7997">
      <w:pPr>
        <w:spacing w:line="240" w:lineRule="auto"/>
      </w:pPr>
      <w:r>
        <w:separator/>
      </w:r>
    </w:p>
  </w:endnote>
  <w:endnote w:type="continuationSeparator" w:id="0">
    <w:p w:rsidR="00DF6653" w:rsidRDefault="00DF665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53" w:rsidRDefault="00DF665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DF6653" w:rsidRDefault="00DF6653" w:rsidP="00375BA2">
        <w:pPr>
          <w:pStyle w:val="Footer"/>
          <w:jc w:val="right"/>
        </w:pPr>
        <w:r>
          <w:fldChar w:fldCharType="begin"/>
        </w:r>
        <w:r>
          <w:instrText xml:space="preserve"> PAGE   \* MERGEFORMAT </w:instrText>
        </w:r>
        <w:r>
          <w:fldChar w:fldCharType="separate"/>
        </w:r>
        <w:r w:rsidR="0027509C">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53" w:rsidRDefault="00DF6653" w:rsidP="007E7997">
      <w:pPr>
        <w:spacing w:line="240" w:lineRule="auto"/>
      </w:pPr>
      <w:r>
        <w:separator/>
      </w:r>
    </w:p>
  </w:footnote>
  <w:footnote w:type="continuationSeparator" w:id="0">
    <w:p w:rsidR="00DF6653" w:rsidRDefault="00DF6653" w:rsidP="007E7997">
      <w:pPr>
        <w:spacing w:line="240" w:lineRule="auto"/>
      </w:pPr>
      <w:r>
        <w:continuationSeparator/>
      </w:r>
    </w:p>
  </w:footnote>
  <w:footnote w:id="1">
    <w:p w:rsidR="00DF6653" w:rsidRPr="00AA7A30" w:rsidRDefault="00DF665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53" w:rsidRDefault="00DF665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53" w:rsidRDefault="00DF6653" w:rsidP="00B50534">
    <w:pPr>
      <w:pStyle w:val="Header"/>
      <w:jc w:val="right"/>
      <w:rPr>
        <w:b/>
        <w:color w:val="FF0000"/>
      </w:rPr>
    </w:pPr>
  </w:p>
  <w:p w:rsidR="00DF6653" w:rsidRDefault="00DF665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DF6653" w:rsidRPr="00B50534" w:rsidRDefault="00DF665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0F7234B"/>
    <w:multiLevelType w:val="hybridMultilevel"/>
    <w:tmpl w:val="380A2D5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9"/>
  </w:num>
  <w:num w:numId="7">
    <w:abstractNumId w:val="0"/>
  </w:num>
  <w:num w:numId="8">
    <w:abstractNumId w:val="7"/>
  </w:num>
  <w:num w:numId="9">
    <w:abstractNumId w:val="4"/>
  </w:num>
  <w:num w:numId="10">
    <w:abstractNumId w:val="2"/>
  </w:num>
  <w:num w:numId="11">
    <w:abstractNumId w:val="15"/>
  </w:num>
  <w:num w:numId="12">
    <w:abstractNumId w:val="8"/>
  </w:num>
  <w:num w:numId="13">
    <w:abstractNumId w:val="17"/>
  </w:num>
  <w:num w:numId="14">
    <w:abstractNumId w:val="10"/>
  </w:num>
  <w:num w:numId="15">
    <w:abstractNumId w:val="12"/>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7509C"/>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C15AD"/>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072C6"/>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DF6653"/>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CommentText">
    <w:name w:val="annotation text"/>
    <w:basedOn w:val="Normal"/>
    <w:link w:val="CommentTextChar"/>
    <w:uiPriority w:val="99"/>
    <w:unhideWhenUsed/>
    <w:rsid w:val="00DF6653"/>
    <w:pPr>
      <w:spacing w:line="240" w:lineRule="auto"/>
      <w:jc w:val="left"/>
    </w:pPr>
    <w:rPr>
      <w:rFonts w:ascii="Times New Roman" w:eastAsia="Times New Roman" w:hAnsi="Times New Roman" w:cs="Times New Roman"/>
      <w:sz w:val="20"/>
      <w:lang w:val="de-DE" w:eastAsia="de-DE"/>
    </w:rPr>
  </w:style>
  <w:style w:type="character" w:customStyle="1" w:styleId="CommentTextChar">
    <w:name w:val="Comment Text Char"/>
    <w:basedOn w:val="DefaultParagraphFont"/>
    <w:link w:val="CommentText"/>
    <w:uiPriority w:val="99"/>
    <w:rsid w:val="00DF6653"/>
    <w:rPr>
      <w:rFonts w:ascii="Times New Roman" w:eastAsia="Times New Roman" w:hAnsi="Times New Roman" w:cs="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CommentText">
    <w:name w:val="annotation text"/>
    <w:basedOn w:val="Normal"/>
    <w:link w:val="CommentTextChar"/>
    <w:uiPriority w:val="99"/>
    <w:unhideWhenUsed/>
    <w:rsid w:val="00DF6653"/>
    <w:pPr>
      <w:spacing w:line="240" w:lineRule="auto"/>
      <w:jc w:val="left"/>
    </w:pPr>
    <w:rPr>
      <w:rFonts w:ascii="Times New Roman" w:eastAsia="Times New Roman" w:hAnsi="Times New Roman" w:cs="Times New Roman"/>
      <w:sz w:val="20"/>
      <w:lang w:val="de-DE" w:eastAsia="de-DE"/>
    </w:rPr>
  </w:style>
  <w:style w:type="character" w:customStyle="1" w:styleId="CommentTextChar">
    <w:name w:val="Comment Text Char"/>
    <w:basedOn w:val="DefaultParagraphFont"/>
    <w:link w:val="CommentText"/>
    <w:uiPriority w:val="99"/>
    <w:rsid w:val="00DF6653"/>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759327137">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54664767">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D085-84DF-4D18-B1C4-43FCDD83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57</Pages>
  <Words>17431</Words>
  <Characters>99363</Characters>
  <Application>Microsoft Office Word</Application>
  <DocSecurity>8</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Eurelectric</Company>
  <LinksUpToDate>false</LinksUpToDate>
  <CharactersWithSpaces>116561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Charlotte RENAUD</cp:lastModifiedBy>
  <cp:revision>2</cp:revision>
  <dcterms:created xsi:type="dcterms:W3CDTF">2015-03-02T21:44:00Z</dcterms:created>
  <dcterms:modified xsi:type="dcterms:W3CDTF">2015-03-02T21:44:00Z</dcterms:modified>
</cp:coreProperties>
</file>