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B62BBE"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134778231"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962751258" w:edGrp="everyone" w:displacedByCustomXml="prev"/>
            <w:tc>
              <w:tcPr>
                <w:tcW w:w="5595" w:type="dxa"/>
                <w:shd w:val="clear" w:color="auto" w:fill="auto"/>
              </w:tcPr>
              <w:p w:rsidR="000632C2" w:rsidRPr="00AB6D88" w:rsidRDefault="00312DBA" w:rsidP="00312DBA">
                <w:pPr>
                  <w:rPr>
                    <w:rStyle w:val="PlaceholderText"/>
                    <w:rFonts w:ascii="Arial" w:hAnsi="Arial" w:cs="Arial"/>
                  </w:rPr>
                </w:pPr>
                <w:r>
                  <w:rPr>
                    <w:rStyle w:val="PlaceholderText"/>
                    <w:rFonts w:ascii="Arial" w:hAnsi="Arial" w:cs="Arial"/>
                  </w:rPr>
                  <w:t>European Banking Federation</w:t>
                </w:r>
              </w:p>
            </w:tc>
            <w:permEnd w:id="1962751258"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34244697" w:edGrp="everyone" w:colFirst="1" w:colLast="1"/>
            <w:permEnd w:id="2134778231"/>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64228784" w:edGrp="everyone" w:colFirst="1" w:colLast="1"/>
            <w:permEnd w:id="234244697"/>
            <w:r w:rsidRPr="00AB6D88">
              <w:rPr>
                <w:rFonts w:ascii="Arial" w:hAnsi="Arial" w:cs="Arial"/>
              </w:rPr>
              <w:t>Activity:</w:t>
            </w:r>
          </w:p>
        </w:tc>
        <w:tc>
          <w:tcPr>
            <w:tcW w:w="5595" w:type="dxa"/>
            <w:shd w:val="clear" w:color="auto" w:fill="auto"/>
          </w:tcPr>
          <w:p w:rsidR="000632C2" w:rsidRPr="00AB6D88" w:rsidRDefault="00B62BBE"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144279703" w:edGrp="everyone"/>
                <w:r w:rsidR="00312DBA">
                  <w:rPr>
                    <w:rFonts w:ascii="Arial" w:hAnsi="Arial" w:cs="Arial"/>
                  </w:rPr>
                  <w:t>Banking sector</w:t>
                </w:r>
                <w:permEnd w:id="1144279703"/>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56067438" w:edGrp="everyone" w:colFirst="1" w:colLast="1"/>
            <w:permEnd w:id="1564228784"/>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Content>
            <w:tc>
              <w:tcPr>
                <w:tcW w:w="5595" w:type="dxa"/>
                <w:shd w:val="clear" w:color="auto" w:fill="auto"/>
              </w:tcPr>
              <w:p w:rsidR="000632C2" w:rsidRPr="00AB6D88" w:rsidRDefault="00312DBA"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68025485" w:edGrp="everyone" w:colFirst="1" w:colLast="1"/>
            <w:permEnd w:id="1256067438"/>
            <w:r w:rsidRPr="00AB6D88">
              <w:rPr>
                <w:rFonts w:ascii="Arial" w:hAnsi="Arial" w:cs="Arial"/>
              </w:rPr>
              <w:t>Country/Region</w:t>
            </w:r>
          </w:p>
        </w:tc>
        <w:permStart w:id="514543785"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307309984" w:edGrp="everyone" w:displacedByCustomXml="prev"/>
            <w:tc>
              <w:tcPr>
                <w:tcW w:w="5595" w:type="dxa"/>
                <w:shd w:val="clear" w:color="auto" w:fill="auto"/>
              </w:tcPr>
              <w:p w:rsidR="000632C2" w:rsidRPr="00AB6D88" w:rsidRDefault="00312DBA" w:rsidP="009E5107">
                <w:pPr>
                  <w:rPr>
                    <w:rFonts w:ascii="Arial" w:hAnsi="Arial" w:cs="Arial"/>
                  </w:rPr>
                </w:pPr>
                <w:r>
                  <w:rPr>
                    <w:rFonts w:ascii="Arial" w:hAnsi="Arial" w:cs="Arial"/>
                  </w:rPr>
                  <w:t>Europe</w:t>
                </w:r>
              </w:p>
            </w:tc>
            <w:permEnd w:id="307309984" w:displacedByCustomXml="next"/>
          </w:sdtContent>
        </w:sdt>
        <w:permEnd w:id="514543785" w:displacedByCustomXml="prev"/>
      </w:tr>
      <w:permEnd w:id="568025485"/>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429261413" w:edGrp="everyone"/>
      <w:r>
        <w:t>TYPE YOUR TEXT HERE</w:t>
      </w:r>
    </w:p>
    <w:permEnd w:id="429261413"/>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312DBA" w:rsidRPr="008F281E" w:rsidRDefault="00312DBA" w:rsidP="00312DBA">
      <w:pPr>
        <w:spacing w:line="360" w:lineRule="auto"/>
        <w:rPr>
          <w:rFonts w:asciiTheme="majorHAnsi" w:eastAsia="Calibri" w:hAnsiTheme="majorHAnsi" w:cs="Times New Roman"/>
        </w:rPr>
      </w:pPr>
      <w:permStart w:id="1709789658" w:edGrp="everyone"/>
      <w:r w:rsidRPr="008F281E">
        <w:rPr>
          <w:rFonts w:asciiTheme="majorHAnsi" w:eastAsia="Calibri" w:hAnsiTheme="majorHAnsi" w:cs="Times New Roman"/>
        </w:rPr>
        <w:t>Yes. In principle we agree with ESMA proposal. However we would like to point out:</w:t>
      </w:r>
    </w:p>
    <w:p w:rsidR="00312DBA" w:rsidRPr="008F281E" w:rsidRDefault="00312DBA" w:rsidP="00312DBA">
      <w:pPr>
        <w:numPr>
          <w:ilvl w:val="0"/>
          <w:numId w:val="30"/>
        </w:numPr>
        <w:spacing w:line="360" w:lineRule="auto"/>
        <w:contextualSpacing/>
        <w:rPr>
          <w:rFonts w:asciiTheme="majorHAnsi" w:eastAsia="Calibri" w:hAnsiTheme="majorHAnsi" w:cs="Times New Roman"/>
        </w:rPr>
      </w:pPr>
      <w:r w:rsidRPr="008F281E">
        <w:rPr>
          <w:rFonts w:asciiTheme="majorHAnsi" w:eastAsia="Calibri" w:hAnsiTheme="majorHAnsi" w:cs="Times New Roman"/>
        </w:rPr>
        <w:t>The information requirements, foreseen in the RTS 1, article 4, regarding the management body and persons who direct the business, are very detailed and may raise concerns over data privacy issues. In particular, information regarding address and contact details is very personal and requires continuous updating, and (2) information requirements regarding the non-financial interests (RTS 1, article 4(1</w:t>
      </w:r>
      <w:proofErr w:type="gramStart"/>
      <w:r w:rsidRPr="008F281E">
        <w:rPr>
          <w:rFonts w:asciiTheme="majorHAnsi" w:eastAsia="Calibri" w:hAnsiTheme="majorHAnsi" w:cs="Times New Roman"/>
        </w:rPr>
        <w:t>)(</w:t>
      </w:r>
      <w:proofErr w:type="gramEnd"/>
      <w:r w:rsidRPr="008F281E">
        <w:rPr>
          <w:rFonts w:asciiTheme="majorHAnsi" w:eastAsia="Calibri" w:hAnsiTheme="majorHAnsi" w:cs="Times New Roman"/>
        </w:rPr>
        <w:t>f)(v)) - including child or other relation with whom the person shares living accommodations - are very intrusive.</w:t>
      </w:r>
    </w:p>
    <w:p w:rsidR="00312DBA" w:rsidRPr="008F281E" w:rsidRDefault="00312DBA" w:rsidP="00312DBA">
      <w:pPr>
        <w:numPr>
          <w:ilvl w:val="0"/>
          <w:numId w:val="30"/>
        </w:numPr>
        <w:spacing w:line="360" w:lineRule="auto"/>
        <w:contextualSpacing/>
        <w:rPr>
          <w:rFonts w:asciiTheme="majorHAnsi" w:eastAsia="Calibri" w:hAnsiTheme="majorHAnsi" w:cs="Times New Roman"/>
        </w:rPr>
      </w:pPr>
      <w:r w:rsidRPr="008F281E">
        <w:rPr>
          <w:rFonts w:asciiTheme="majorHAnsi" w:eastAsia="Calibri" w:hAnsiTheme="majorHAnsi" w:cs="Times New Roman"/>
        </w:rPr>
        <w:t xml:space="preserve">The information requirements, foreseen in the RTS 1, article 6, regarding the firm’s organisation, in some circumstances, for example in newly established companies, are difficult to meet. In particular, the personal details of the heads of internal functions should be provided only when available at the time of application for authorisation and point c (ii) - requiring information about the resources allocated to the various planned activities - should take into account either the resources allocated or intended to be allocated. </w:t>
      </w:r>
    </w:p>
    <w:permEnd w:id="1709789658"/>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717117333" w:edGrp="everyone"/>
      <w:r>
        <w:t>TYPE YOUR TEXT HERE</w:t>
      </w:r>
    </w:p>
    <w:permEnd w:id="717117333"/>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460894763" w:edGrp="everyone"/>
      <w:r>
        <w:t>TYPE YOUR TEXT HERE</w:t>
      </w:r>
    </w:p>
    <w:permEnd w:id="1460894763"/>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lastRenderedPageBreak/>
        <w:t>&lt;ESMA_QUESTION_CP_MIFID_4&gt;</w:t>
      </w:r>
    </w:p>
    <w:p w:rsidR="00577C33" w:rsidRDefault="00577C33" w:rsidP="00EC2C93">
      <w:pPr>
        <w:keepNext/>
      </w:pPr>
      <w:permStart w:id="1241796147" w:edGrp="everyone"/>
      <w:r>
        <w:t>TYPE YOUR TEXT HERE</w:t>
      </w:r>
    </w:p>
    <w:permEnd w:id="1241796147"/>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54485537" w:edGrp="everyone"/>
      <w:r>
        <w:t>TYPE YOUR TEXT HERE</w:t>
      </w:r>
    </w:p>
    <w:permEnd w:id="154485537"/>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69034347" w:edGrp="everyone"/>
      <w:r>
        <w:t>TYPE YOUR TEXT HERE</w:t>
      </w:r>
    </w:p>
    <w:permEnd w:id="69034347"/>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Default="00577C33" w:rsidP="00EC2C93">
      <w:pPr>
        <w:keepNext/>
      </w:pPr>
      <w:permStart w:id="1570403084" w:edGrp="everyone"/>
      <w:r>
        <w:t>TYPE YOUR TEXT HERE</w:t>
      </w:r>
    </w:p>
    <w:permEnd w:id="1570403084"/>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312DBA" w:rsidRPr="005525BF" w:rsidRDefault="00312DBA" w:rsidP="00312DBA">
      <w:pPr>
        <w:pStyle w:val="PlainText"/>
        <w:spacing w:after="240"/>
        <w:jc w:val="both"/>
        <w:rPr>
          <w:rFonts w:asciiTheme="majorHAnsi" w:hAnsiTheme="majorHAnsi"/>
          <w:sz w:val="22"/>
          <w:szCs w:val="24"/>
        </w:rPr>
      </w:pPr>
      <w:permStart w:id="1655842009" w:edGrp="everyone"/>
      <w:r w:rsidRPr="005525BF">
        <w:rPr>
          <w:rFonts w:asciiTheme="majorHAnsi" w:hAnsiTheme="majorHAnsi"/>
          <w:sz w:val="22"/>
          <w:szCs w:val="24"/>
        </w:rPr>
        <w:t>In paragraph 3 of Section 2.2 of the Consultation Paper, ESMA requires the branch to provide information on financial instruments provided in the host Member States in addition to the investment services and ancillary services to be provided. Requirement to specify the financial instruments does not derive from MiFID article 34. Providing information on the ever-changing variety of financial instruments provided would be very cumbersome and not appropriate from both the investment firm’s and the NCA’s view</w:t>
      </w:r>
      <w:r>
        <w:rPr>
          <w:rFonts w:asciiTheme="majorHAnsi" w:hAnsiTheme="majorHAnsi"/>
          <w:sz w:val="22"/>
          <w:szCs w:val="24"/>
        </w:rPr>
        <w:t>.</w:t>
      </w:r>
      <w:r w:rsidRPr="005525BF">
        <w:rPr>
          <w:rFonts w:asciiTheme="majorHAnsi" w:hAnsiTheme="majorHAnsi"/>
          <w:sz w:val="22"/>
          <w:szCs w:val="24"/>
        </w:rPr>
        <w:t xml:space="preserve"> </w:t>
      </w:r>
    </w:p>
    <w:permEnd w:id="1655842009"/>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707740416" w:edGrp="everyone"/>
      <w:r>
        <w:t>TYPE YOUR TEXT HERE</w:t>
      </w:r>
    </w:p>
    <w:permEnd w:id="1707740416"/>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lastRenderedPageBreak/>
        <w:t>&lt;ESMA_QUESTION_CP_MIFID_10&gt;</w:t>
      </w:r>
    </w:p>
    <w:p w:rsidR="00312DBA" w:rsidRPr="005525BF" w:rsidRDefault="00312DBA" w:rsidP="00312DBA">
      <w:pPr>
        <w:pStyle w:val="PlainText"/>
        <w:spacing w:after="240"/>
        <w:jc w:val="both"/>
        <w:rPr>
          <w:rFonts w:asciiTheme="majorHAnsi" w:hAnsiTheme="majorHAnsi"/>
          <w:sz w:val="22"/>
          <w:szCs w:val="24"/>
        </w:rPr>
      </w:pPr>
      <w:permStart w:id="608388020" w:edGrp="everyone"/>
      <w:r w:rsidRPr="005525BF">
        <w:rPr>
          <w:rFonts w:asciiTheme="majorHAnsi" w:hAnsiTheme="majorHAnsi"/>
          <w:sz w:val="22"/>
          <w:szCs w:val="24"/>
        </w:rPr>
        <w:t xml:space="preserve">According to MiFID II level 1 recital 38 authorised credit institutions should not need an authorisation as investment firms in order to provide investment services or perform investment activities. According to art 4(2) investment services and activities are defined as activities listed in Section </w:t>
      </w:r>
      <w:proofErr w:type="gramStart"/>
      <w:r w:rsidRPr="005525BF">
        <w:rPr>
          <w:rFonts w:asciiTheme="majorHAnsi" w:hAnsiTheme="majorHAnsi"/>
          <w:sz w:val="22"/>
          <w:szCs w:val="24"/>
        </w:rPr>
        <w:t>A</w:t>
      </w:r>
      <w:proofErr w:type="gramEnd"/>
      <w:r w:rsidRPr="005525BF">
        <w:rPr>
          <w:rFonts w:asciiTheme="majorHAnsi" w:hAnsiTheme="majorHAnsi"/>
          <w:sz w:val="22"/>
          <w:szCs w:val="24"/>
        </w:rPr>
        <w:t xml:space="preserve"> of Annex 1 which includes operation of an MTF and OTF. Never the less ITS 4, art.1 (scope/which articles apply to credit institutions) does not include art. 8-11 (MTF and OTF) as well as credit institutions are not explicitly mentioned in art 8-11. </w:t>
      </w:r>
    </w:p>
    <w:p w:rsidR="00312DBA" w:rsidRPr="005525BF" w:rsidRDefault="00312DBA" w:rsidP="00312DBA">
      <w:pPr>
        <w:pStyle w:val="PlainText"/>
        <w:spacing w:after="240"/>
        <w:jc w:val="both"/>
        <w:rPr>
          <w:rFonts w:asciiTheme="majorHAnsi" w:hAnsiTheme="majorHAnsi"/>
          <w:sz w:val="22"/>
          <w:szCs w:val="24"/>
        </w:rPr>
      </w:pPr>
      <w:r w:rsidRPr="005525BF">
        <w:rPr>
          <w:rFonts w:asciiTheme="majorHAnsi" w:hAnsiTheme="majorHAnsi"/>
          <w:sz w:val="22"/>
          <w:szCs w:val="24"/>
        </w:rPr>
        <w:t xml:space="preserve">In general art 1 in both RTS 3 and ITS 4 (scope/which articles apply to credit institutions) are incorrect, as not every article applying to credit institutions are mentioned in the scope. As an example could be mentioned that ITS 4 art. 20 is not included in art 1 (scope/which articles apply to credit institutions) even though “credit institutions” are explicitly mentioned in </w:t>
      </w:r>
      <w:r>
        <w:rPr>
          <w:rFonts w:asciiTheme="majorHAnsi" w:hAnsiTheme="majorHAnsi"/>
          <w:sz w:val="22"/>
          <w:szCs w:val="24"/>
        </w:rPr>
        <w:t>A</w:t>
      </w:r>
      <w:r w:rsidRPr="005525BF">
        <w:rPr>
          <w:rFonts w:asciiTheme="majorHAnsi" w:hAnsiTheme="majorHAnsi"/>
          <w:sz w:val="22"/>
          <w:szCs w:val="24"/>
        </w:rPr>
        <w:t xml:space="preserve">rt 20. </w:t>
      </w:r>
    </w:p>
    <w:permEnd w:id="608388020"/>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413034569" w:edGrp="everyone"/>
      <w:r>
        <w:t>TYPE YOUR TEXT HERE</w:t>
      </w:r>
    </w:p>
    <w:permEnd w:id="413034569"/>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482627745" w:edGrp="everyone"/>
      <w:r>
        <w:t>TYPE YOUR TEXT HERE</w:t>
      </w:r>
    </w:p>
    <w:permEnd w:id="1482627745"/>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312DBA" w:rsidRPr="005525BF" w:rsidRDefault="00312DBA" w:rsidP="00312DBA">
      <w:pPr>
        <w:pStyle w:val="PlainText"/>
        <w:spacing w:after="240"/>
        <w:jc w:val="both"/>
        <w:rPr>
          <w:rFonts w:asciiTheme="majorHAnsi" w:hAnsiTheme="majorHAnsi"/>
          <w:sz w:val="22"/>
          <w:szCs w:val="24"/>
        </w:rPr>
      </w:pPr>
      <w:permStart w:id="448596889" w:edGrp="everyone"/>
      <w:r w:rsidRPr="005525BF">
        <w:rPr>
          <w:rFonts w:asciiTheme="majorHAnsi" w:hAnsiTheme="majorHAnsi"/>
          <w:sz w:val="22"/>
          <w:szCs w:val="24"/>
        </w:rPr>
        <w:t>Yes, we agree. This approach ensures an equality of treatment regard the information to be provided for a tied agent and the branch’s establishment.</w:t>
      </w:r>
    </w:p>
    <w:permEnd w:id="448596889"/>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577C33" w:rsidP="00EC2C93">
      <w:pPr>
        <w:keepNext/>
      </w:pPr>
      <w:permStart w:id="723455237" w:edGrp="everyone"/>
      <w:r>
        <w:t>TYPE YOUR TEXT HERE</w:t>
      </w:r>
    </w:p>
    <w:permEnd w:id="723455237"/>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368423414" w:edGrp="everyone"/>
      <w:r>
        <w:t>TYPE YOUR TEXT HERE</w:t>
      </w:r>
    </w:p>
    <w:permEnd w:id="1368423414"/>
    <w:p w:rsidR="00577C33" w:rsidRDefault="00577C33" w:rsidP="00EC2C93">
      <w:pPr>
        <w:keepNext/>
      </w:pPr>
      <w:r>
        <w:t>&lt;ESMA_QUESTION_CP_MIFID_15&gt;</w:t>
      </w:r>
    </w:p>
    <w:p w:rsidR="00577C33" w:rsidRDefault="00577C33" w:rsidP="0006528D">
      <w:pPr>
        <w:pStyle w:val="CPQuestions"/>
      </w:pPr>
      <w:r>
        <w:t xml:space="preserve">Is there any other information which should be requested as part of the notification process either under the freedom to provide investment services or </w:t>
      </w:r>
      <w:r>
        <w:lastRenderedPageBreak/>
        <w:t>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726694239" w:edGrp="everyone"/>
      <w:r>
        <w:t>TYPE YOUR TEXT HERE</w:t>
      </w:r>
    </w:p>
    <w:permEnd w:id="1726694239"/>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312DBA" w:rsidRPr="005525BF" w:rsidRDefault="00312DBA" w:rsidP="00312DBA">
      <w:pPr>
        <w:pStyle w:val="PlainText"/>
        <w:spacing w:after="240"/>
        <w:jc w:val="both"/>
        <w:rPr>
          <w:rFonts w:asciiTheme="majorHAnsi" w:hAnsiTheme="majorHAnsi"/>
          <w:sz w:val="22"/>
          <w:szCs w:val="24"/>
        </w:rPr>
      </w:pPr>
      <w:permStart w:id="1951212802" w:edGrp="everyone"/>
      <w:r w:rsidRPr="005525BF">
        <w:rPr>
          <w:rFonts w:asciiTheme="majorHAnsi" w:hAnsiTheme="majorHAnsi"/>
          <w:sz w:val="22"/>
          <w:szCs w:val="24"/>
        </w:rPr>
        <w:t>Yes. In principle we agree with ESMA proposal. However, we suggest modifying Part 4, in the Annex VI, to take into account a single passport notification for all tied agents that the branch intends to use.</w:t>
      </w:r>
    </w:p>
    <w:permEnd w:id="1951212802"/>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761923161" w:edGrp="everyone"/>
      <w:r>
        <w:t>TYPE YOUR TEXT HERE</w:t>
      </w:r>
    </w:p>
    <w:permEnd w:id="761923161"/>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540058331" w:edGrp="everyone"/>
      <w:r>
        <w:t>TYPE YOUR TEXT HERE</w:t>
      </w:r>
    </w:p>
    <w:permEnd w:id="1540058331"/>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312DBA" w:rsidRPr="005525BF" w:rsidRDefault="00312DBA" w:rsidP="00312DBA">
      <w:pPr>
        <w:pStyle w:val="PlainText"/>
        <w:spacing w:after="240"/>
        <w:jc w:val="both"/>
        <w:rPr>
          <w:rFonts w:asciiTheme="majorHAnsi" w:hAnsiTheme="majorHAnsi"/>
          <w:sz w:val="22"/>
          <w:szCs w:val="24"/>
        </w:rPr>
      </w:pPr>
      <w:permStart w:id="443960719" w:edGrp="everyone"/>
      <w:r w:rsidRPr="005525BF">
        <w:rPr>
          <w:rFonts w:asciiTheme="majorHAnsi" w:hAnsiTheme="majorHAnsi"/>
          <w:sz w:val="22"/>
          <w:szCs w:val="24"/>
        </w:rPr>
        <w:t>We find it should be mandatory to accept transmissions by electronic means in English. Seen in the light of the technological improvements and developments it would be outdated to make it optional to require transmission in paper. As regards the use of language, English is commonly accepted in the financial sector.</w:t>
      </w:r>
    </w:p>
    <w:permEnd w:id="44396071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312DBA" w:rsidRPr="005525BF" w:rsidRDefault="00312DBA" w:rsidP="00312DBA">
      <w:pPr>
        <w:pStyle w:val="PlainText"/>
        <w:spacing w:after="240"/>
        <w:jc w:val="both"/>
        <w:rPr>
          <w:rFonts w:asciiTheme="majorHAnsi" w:hAnsiTheme="majorHAnsi"/>
          <w:sz w:val="22"/>
          <w:szCs w:val="24"/>
        </w:rPr>
      </w:pPr>
      <w:permStart w:id="1047352823" w:edGrp="everyone"/>
      <w:r w:rsidRPr="005525BF">
        <w:rPr>
          <w:rFonts w:asciiTheme="majorHAnsi" w:hAnsiTheme="majorHAnsi"/>
          <w:sz w:val="22"/>
          <w:szCs w:val="24"/>
        </w:rPr>
        <w:t xml:space="preserve">Yes. This double notification is more accurate. </w:t>
      </w:r>
    </w:p>
    <w:permEnd w:id="1047352823"/>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lastRenderedPageBreak/>
        <w:t>&lt;ESMA_QUESTION_CP_MIFID_22&gt;</w:t>
      </w:r>
    </w:p>
    <w:p w:rsidR="00577C33" w:rsidRPr="00312DBA" w:rsidRDefault="00312DBA" w:rsidP="00312DBA">
      <w:pPr>
        <w:pStyle w:val="PlainText"/>
        <w:spacing w:after="240"/>
        <w:jc w:val="both"/>
        <w:rPr>
          <w:rFonts w:asciiTheme="majorHAnsi" w:hAnsiTheme="majorHAnsi"/>
          <w:sz w:val="22"/>
          <w:szCs w:val="24"/>
        </w:rPr>
      </w:pPr>
      <w:permStart w:id="764750521" w:edGrp="everyone"/>
      <w:r w:rsidRPr="005525BF">
        <w:rPr>
          <w:rFonts w:asciiTheme="majorHAnsi" w:hAnsiTheme="majorHAnsi"/>
          <w:sz w:val="22"/>
          <w:szCs w:val="24"/>
        </w:rPr>
        <w:t xml:space="preserve">In </w:t>
      </w:r>
      <w:r>
        <w:rPr>
          <w:rFonts w:asciiTheme="majorHAnsi" w:hAnsiTheme="majorHAnsi"/>
          <w:sz w:val="22"/>
          <w:szCs w:val="24"/>
        </w:rPr>
        <w:t>the EBF’s</w:t>
      </w:r>
      <w:r w:rsidRPr="005525BF">
        <w:rPr>
          <w:rFonts w:asciiTheme="majorHAnsi" w:hAnsiTheme="majorHAnsi"/>
          <w:sz w:val="22"/>
          <w:szCs w:val="24"/>
        </w:rPr>
        <w:t xml:space="preserve"> opinion, the submission of a separate passport notification for each tied agent, established in another Member State, could be onerous. For each Member State in which the investment firm intends to passport, it should be possible to provide a single passport notification including the information about all tied agent established in each Member State.</w:t>
      </w:r>
    </w:p>
    <w:permEnd w:id="76475052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Pr="00312DBA" w:rsidRDefault="00312DBA" w:rsidP="00312DBA">
      <w:pPr>
        <w:pStyle w:val="PlainText"/>
        <w:spacing w:after="240"/>
        <w:jc w:val="both"/>
        <w:rPr>
          <w:rFonts w:asciiTheme="majorHAnsi" w:hAnsiTheme="majorHAnsi"/>
          <w:sz w:val="22"/>
          <w:szCs w:val="24"/>
        </w:rPr>
      </w:pPr>
      <w:permStart w:id="1462525449" w:edGrp="everyone"/>
      <w:r w:rsidRPr="005525BF">
        <w:rPr>
          <w:rFonts w:asciiTheme="majorHAnsi" w:hAnsiTheme="majorHAnsi"/>
          <w:sz w:val="22"/>
          <w:szCs w:val="24"/>
        </w:rPr>
        <w:t>According to article 35(2</w:t>
      </w:r>
      <w:proofErr w:type="gramStart"/>
      <w:r w:rsidRPr="005525BF">
        <w:rPr>
          <w:rFonts w:asciiTheme="majorHAnsi" w:hAnsiTheme="majorHAnsi"/>
          <w:sz w:val="22"/>
          <w:szCs w:val="24"/>
        </w:rPr>
        <w:t>)(</w:t>
      </w:r>
      <w:proofErr w:type="gramEnd"/>
      <w:r w:rsidRPr="005525BF">
        <w:rPr>
          <w:rFonts w:asciiTheme="majorHAnsi" w:hAnsiTheme="majorHAnsi"/>
          <w:sz w:val="22"/>
          <w:szCs w:val="24"/>
        </w:rPr>
        <w:t>c) of MiFID 2, investment firms should provide information on the branch’s organisational structure and, whether applicable, the identity of the tied agents that the branch intends to use. In this regard, we believe it is onerous and excessive to require a separate notification processes for each tied agent, because the information on the branch’s organizational structure is sufficient to notify the identity of such tied agents.</w:t>
      </w:r>
    </w:p>
    <w:permEnd w:id="1462525449"/>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030582721" w:edGrp="everyone"/>
      <w:r>
        <w:t>TYPE YOUR TEXT HERE</w:t>
      </w:r>
    </w:p>
    <w:permEnd w:id="1030582721"/>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643462709" w:edGrp="everyone"/>
      <w:r>
        <w:t>TYPE YOUR TEXT HERE</w:t>
      </w:r>
    </w:p>
    <w:permEnd w:id="1643462709"/>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798699323" w:edGrp="everyone"/>
      <w:r>
        <w:t>TYPE YOUR TEXT HERE</w:t>
      </w:r>
    </w:p>
    <w:permEnd w:id="798699323"/>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551240341" w:edGrp="everyone"/>
      <w:r>
        <w:t>TYPE YOUR TEXT HERE</w:t>
      </w:r>
    </w:p>
    <w:permEnd w:id="1551240341"/>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669297762" w:edGrp="everyone"/>
      <w:r>
        <w:t>TYPE YOUR TEXT HERE</w:t>
      </w:r>
    </w:p>
    <w:permEnd w:id="1669297762"/>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464686623" w:edGrp="everyone"/>
      <w:r>
        <w:t>TYPE YOUR TEXT HERE</w:t>
      </w:r>
    </w:p>
    <w:permEnd w:id="1464686623"/>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312DBA" w:rsidRDefault="00312DBA" w:rsidP="00312DBA">
      <w:pPr>
        <w:keepNext/>
      </w:pPr>
      <w:permStart w:id="1696950474" w:edGrp="everyone"/>
      <w:r>
        <w:t>No. It is problematic that execution venues include market maker and Liquidity Provider, since these cannot be considered as execution venues. Market Makers and liquidity providers (pls. note there is no definition of liquidity provider) trade on venues and therefore the relevant information will be published by the respective venues. Also requiring SIs to provide the same amount of information as trading venues is disproportionate not at least with respect of the very different execution models, where SIs deals on own account when executing clients’ orders. There should be a distinction between bilateral (SI) vs. multilateral venues.</w:t>
      </w:r>
    </w:p>
    <w:p w:rsidR="00EE3FDE" w:rsidRDefault="00EE3FDE" w:rsidP="00312DBA">
      <w:pPr>
        <w:keepNext/>
      </w:pPr>
    </w:p>
    <w:p w:rsidR="00577C33" w:rsidRDefault="00312DBA" w:rsidP="00EC2C93">
      <w:pPr>
        <w:keepNext/>
      </w:pPr>
      <w:r>
        <w:t xml:space="preserve">Overall, ESMA is following a very prescriptive interpretation of how investment firms should comply with the illustration on whether best execution is achieved. </w:t>
      </w:r>
      <w:permEnd w:id="1696950474"/>
      <w:r w:rsidR="00577C33">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909710992" w:edGrp="everyone"/>
      <w:r>
        <w:t>TYPE YOUR TEXT HERE</w:t>
      </w:r>
    </w:p>
    <w:permEnd w:id="909710992"/>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312DBA" w:rsidRDefault="00312DBA" w:rsidP="00EC2C93">
      <w:pPr>
        <w:keepNext/>
      </w:pPr>
      <w:permStart w:id="53441890" w:edGrp="everyone"/>
      <w:r w:rsidRPr="00312DBA">
        <w:t xml:space="preserve">No. And please note that for SIs it is essential that the firm requirements are only in relation to liquid instruments. </w:t>
      </w:r>
    </w:p>
    <w:permEnd w:id="53441890"/>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312DBA" w:rsidP="00EC2C93">
      <w:pPr>
        <w:keepNext/>
      </w:pPr>
      <w:permStart w:id="772430995" w:edGrp="everyone"/>
      <w:r>
        <w:t>No.</w:t>
      </w:r>
    </w:p>
    <w:permEnd w:id="772430995"/>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&lt;ESMA_QUESTION_CP_MIFID_34&gt;</w:t>
      </w:r>
    </w:p>
    <w:p w:rsidR="00577C33" w:rsidRDefault="00312DBA" w:rsidP="00EC2C93">
      <w:pPr>
        <w:keepNext/>
      </w:pPr>
      <w:permStart w:id="577792938" w:edGrp="everyone"/>
      <w:r>
        <w:t>Yes.</w:t>
      </w:r>
    </w:p>
    <w:permEnd w:id="577792938"/>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312DBA" w:rsidRDefault="00312DBA" w:rsidP="00312DBA">
      <w:pPr>
        <w:keepNext/>
      </w:pPr>
      <w:permStart w:id="1425564110" w:edGrp="everyone"/>
      <w:r>
        <w:t>Yes. In principle we agree with ESMA’s proposal on the content of information on top five execution venues. However, we would like to point out that:</w:t>
      </w:r>
    </w:p>
    <w:p w:rsidR="00312DBA" w:rsidRDefault="00312DBA" w:rsidP="00312DBA">
      <w:pPr>
        <w:keepNext/>
      </w:pPr>
    </w:p>
    <w:p w:rsidR="00312DBA" w:rsidRDefault="00312DBA" w:rsidP="00312DBA">
      <w:pPr>
        <w:keepNext/>
      </w:pPr>
      <w:r>
        <w:t>•</w:t>
      </w:r>
      <w:r>
        <w:tab/>
        <w:t xml:space="preserve">It would be appropriate for investment firms to declare any interest in their top five venues. In this regard, we believe appropriate to disclose in the annual summary of execution quality assessment the existence of any close links (e.g. material shareholding that an investment firm holds in an execution venue). Instead, information on payments, discounts, rebates and non-monetary benefits received from execution venues (inducements) and the disclosure of conflicts of interest should be adequately addressed in other processes and procedures as already provided for in MiFID II. </w:t>
      </w:r>
    </w:p>
    <w:p w:rsidR="00312DBA" w:rsidRDefault="00312DBA" w:rsidP="00312DBA">
      <w:pPr>
        <w:keepNext/>
      </w:pPr>
    </w:p>
    <w:p w:rsidR="00312DBA" w:rsidRDefault="00312DBA" w:rsidP="00312DBA">
      <w:pPr>
        <w:keepNext/>
      </w:pPr>
      <w:r>
        <w:t>•</w:t>
      </w:r>
      <w:r>
        <w:tab/>
        <w:t>Calculating the monthly values on inducements and non-monetary benefits received from each execution venue and for each class of instrument can be very onerous. Moreover, monetary benefits cannot necessarily be allocated to a well-defined service or client.</w:t>
      </w:r>
    </w:p>
    <w:p w:rsidR="00312DBA" w:rsidRDefault="00312DBA" w:rsidP="00312DBA">
      <w:pPr>
        <w:keepNext/>
      </w:pPr>
    </w:p>
    <w:p w:rsidR="00312DBA" w:rsidRDefault="00312DBA" w:rsidP="00312DBA">
      <w:pPr>
        <w:keepNext/>
      </w:pPr>
      <w:r>
        <w:t>•</w:t>
      </w:r>
      <w:r>
        <w:tab/>
        <w:t xml:space="preserve">Given that some data are commercially sensitive, their public dissemination would compromise investment firms. Therefore, data should be made available only to the National Competent Authorities and to clients as per the core obligation in level 1 text. </w:t>
      </w:r>
    </w:p>
    <w:p w:rsidR="00312DBA" w:rsidRDefault="00312DBA" w:rsidP="00312DBA">
      <w:pPr>
        <w:keepNext/>
      </w:pPr>
    </w:p>
    <w:p w:rsidR="00577C33" w:rsidRDefault="00312DBA" w:rsidP="00312DBA">
      <w:pPr>
        <w:keepNext/>
      </w:pPr>
      <w:r>
        <w:t xml:space="preserve">However, the EBF reiterates that the proposed template to report on top five execution venues is of little use in the context of firms executing predominantly or exclusively OTC transactions, particularly in the case of transactions such as portfolio trades, SFTs, and other trades not contributing to the ordinary price formation. For these transactions it would be problematic to format the required data as required. For these types of transactions it is also questionable that the required data would in fact bring any benefit to the investor, as the criteria defining execution quality are often different than those applicable to ordinary transactions of purchase and sale. In the specific case of SFTs, such as securities lending, execution quality would be expressed predominantly as the performance of the lendable portfolio over a given period of time, considering factors such as duration of the trade, collateral quality, and counterparty rating, and would not be measured on a transaction by transaction basis. Firms executing the aforementioned transactions on OTC basis should be excluded from the application of RTS 7. Despite the definition of what should be considered “execution venue” for the purpose of best execution quality reporting is large (Art. 2(1) of the raft RTS 7), this definition remains nonetheless confusing, particularly concerning the use of the terms “market makers, or liquidity providers”. According to the ESMA proposal, “[…] where client orders that are executed OTC are reported to a third party, the identity of the firm submitting the trade report (which is the firm executing the order OTC) should be included as a venue in the list of top five venues, where relevant.” This approach blurs the definition between order execution and order transmission, as well as between facilitation of the execution (agency) and execution (principal). It would also distort the picture of how the </w:t>
      </w:r>
      <w:r>
        <w:lastRenderedPageBreak/>
        <w:t>execution is obtained, as the firms executing OTC transactions are not necessarily liquidity providers nor market makers, and often don’t assume any risk position on the trade executed for the client.</w:t>
      </w:r>
    </w:p>
    <w:permEnd w:id="1425564110"/>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312DBA" w:rsidRDefault="00312DBA" w:rsidP="00312DBA">
      <w:pPr>
        <w:keepNext/>
      </w:pPr>
      <w:permStart w:id="1524238394" w:edGrp="everyone"/>
      <w:r>
        <w:t>No, we do not fully agree. Not all firms distinguish between different categories of clients and will therefore not make such distinction in their reporting.</w:t>
      </w:r>
    </w:p>
    <w:p w:rsidR="00EE3FDE" w:rsidRDefault="00EE3FDE" w:rsidP="00312DBA">
      <w:pPr>
        <w:keepNext/>
      </w:pPr>
    </w:p>
    <w:p w:rsidR="00312DBA" w:rsidRDefault="00312DBA" w:rsidP="00312DBA">
      <w:pPr>
        <w:keepNext/>
      </w:pPr>
      <w:r>
        <w:t>However, the requirement to publish details in paragraph 35 seems to be going much above the level 1 mandate of MIFID.</w:t>
      </w:r>
    </w:p>
    <w:p w:rsidR="00EE3FDE" w:rsidRDefault="00EE3FDE" w:rsidP="00312DBA">
      <w:pPr>
        <w:keepNext/>
      </w:pPr>
    </w:p>
    <w:p w:rsidR="00312DBA" w:rsidRDefault="00312DBA" w:rsidP="00312DBA">
      <w:pPr>
        <w:keepNext/>
      </w:pPr>
      <w:r>
        <w:t xml:space="preserve">In addition, EBF also believes RTS 7 Article 6 goes beyond the Level 1 text. Article 6 should only apply to the quality of execution obtained in relation to the five execution venues (and not the quality of execution obtained by an investment firm more broadly on all execution venues). </w:t>
      </w:r>
    </w:p>
    <w:p w:rsidR="00EE3FDE" w:rsidRDefault="00EE3FDE" w:rsidP="00312DBA">
      <w:pPr>
        <w:keepNext/>
      </w:pPr>
    </w:p>
    <w:p w:rsidR="00312DBA" w:rsidRDefault="00312DBA" w:rsidP="00312DBA">
      <w:pPr>
        <w:keepNext/>
      </w:pPr>
      <w:r>
        <w:t>The EBF believes that it should be subject to competition to develop the detailed information/feedback to clients. ESMA should just require the information under the first four columns in Annex 1 to draft RTS 7, meaning:</w:t>
      </w:r>
    </w:p>
    <w:p w:rsidR="00312DBA" w:rsidRDefault="00312DBA" w:rsidP="00312DBA">
      <w:pPr>
        <w:keepNext/>
      </w:pPr>
      <w:r>
        <w:t>•</w:t>
      </w:r>
      <w:r>
        <w:tab/>
        <w:t>Volume of orders executed on this as percentage of total</w:t>
      </w:r>
    </w:p>
    <w:p w:rsidR="00312DBA" w:rsidRDefault="00312DBA" w:rsidP="00312DBA">
      <w:pPr>
        <w:keepNext/>
      </w:pPr>
      <w:r>
        <w:t>•</w:t>
      </w:r>
      <w:r>
        <w:tab/>
        <w:t>Numbers of orders executed on this execution venue</w:t>
      </w:r>
    </w:p>
    <w:p w:rsidR="00312DBA" w:rsidRDefault="00312DBA" w:rsidP="00312DBA">
      <w:pPr>
        <w:keepNext/>
      </w:pPr>
      <w:r>
        <w:t>•</w:t>
      </w:r>
      <w:r>
        <w:tab/>
        <w:t>Percentage of passive orders executed on execution venue</w:t>
      </w:r>
    </w:p>
    <w:p w:rsidR="00312DBA" w:rsidRDefault="00312DBA" w:rsidP="00312DBA">
      <w:pPr>
        <w:keepNext/>
      </w:pPr>
      <w:r>
        <w:t>•</w:t>
      </w:r>
      <w:r>
        <w:tab/>
        <w:t>Percentage of aggressive orders executed on execution venue</w:t>
      </w:r>
    </w:p>
    <w:p w:rsidR="00312DBA" w:rsidRDefault="00312DBA" w:rsidP="00312DBA">
      <w:pPr>
        <w:keepNext/>
      </w:pPr>
    </w:p>
    <w:p w:rsidR="00312DBA" w:rsidRDefault="00312DBA" w:rsidP="00312DBA">
      <w:pPr>
        <w:keepNext/>
      </w:pPr>
      <w:r>
        <w:t>In addition, for OTC transactions in general:</w:t>
      </w:r>
    </w:p>
    <w:p w:rsidR="00312DBA" w:rsidRDefault="00312DBA" w:rsidP="00312DBA">
      <w:pPr>
        <w:keepNext/>
      </w:pPr>
      <w:r>
        <w:t xml:space="preserve">EBF considers that for OTC transactions that are considered non-price forming firms should not be submitted to the obligations of the proposed RTS 7. The prosed regime is not relevant in the context of such transactions when they are executed on the OTC basis. The prosed template for the reporting on the top five execution venues is not relevant in the context of such transactions when they are executed on the OTC basis. </w:t>
      </w:r>
    </w:p>
    <w:p w:rsidR="00EE3FDE" w:rsidRDefault="00EE3FDE" w:rsidP="00312DBA">
      <w:pPr>
        <w:keepNext/>
      </w:pPr>
    </w:p>
    <w:p w:rsidR="00312DBA" w:rsidRDefault="00312DBA" w:rsidP="00312DBA">
      <w:pPr>
        <w:keepNext/>
      </w:pPr>
      <w:r>
        <w:t xml:space="preserve">The proposed extension of the term “execution venue” to liquidity providers and market makers would not always be applicable. We fear that firms executing orders would have to report themselves as the execution venue although they wouldn’t take any position or assume any risk. Also the fields about “closed ties” would be problematic to complete in such case, and the information about execution costs would reveal commercially sensitive information about fees and service costs. </w:t>
      </w:r>
    </w:p>
    <w:p w:rsidR="00EE3FDE" w:rsidRDefault="00EE3FDE" w:rsidP="00312DBA">
      <w:pPr>
        <w:keepNext/>
      </w:pPr>
    </w:p>
    <w:p w:rsidR="00312DBA" w:rsidRDefault="00312DBA" w:rsidP="00EC2C93">
      <w:pPr>
        <w:keepNext/>
      </w:pPr>
      <w:r>
        <w:t xml:space="preserve">The terms of passive and aggressive orders are generally difficult to contextualise in the OTC trading environment. They are pertinent in the context of an order book. Attempts can be made to adapt them to the context of voice trading, particularly RFQ, however it is questionable that the data on such type of execution would render any useful information in terms of execution quality once they are reformatted to fit into template modelled on order-book trading environment. We therefore consider that applying the information about top five </w:t>
      </w:r>
      <w:r>
        <w:lastRenderedPageBreak/>
        <w:t>execution venues in the proposed format would not provide any truly useful information to the investor and would even likely distort the picture of the execution obtained OTC.</w:t>
      </w:r>
    </w:p>
    <w:permEnd w:id="1524238394"/>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312DBA" w:rsidP="00EC2C93">
      <w:pPr>
        <w:keepNext/>
      </w:pPr>
      <w:permStart w:id="99032946" w:edGrp="everyone"/>
      <w:r w:rsidRPr="00312DBA">
        <w:t xml:space="preserve">Yes, this suggestion makes good sense and provides a general standard to be used by the venues in question. However, for equities, the Request for Quotes description is meaningless since the equity markets are order-driven and not price-driven. </w:t>
      </w:r>
      <w:permEnd w:id="99032946"/>
      <w:r w:rsidR="00577C33">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312DBA" w:rsidP="00EC2C93">
      <w:pPr>
        <w:keepNext/>
      </w:pPr>
      <w:permStart w:id="514267671" w:edGrp="everyone"/>
      <w:r w:rsidRPr="00312DBA">
        <w:t>Yes. In case the relevant market in terms of liquidity is the market with the highest turnover, EBF agrees with an annual revision and that calculation does not include transactions executed under some pre-trade waivers since these waivers (i.e. negotiated trade) are not order book trades.</w:t>
      </w:r>
    </w:p>
    <w:permEnd w:id="514267671"/>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312DBA" w:rsidRDefault="00312DBA" w:rsidP="00312DBA">
      <w:pPr>
        <w:keepNext/>
      </w:pPr>
      <w:permStart w:id="1261643116" w:edGrp="everyone"/>
      <w:r>
        <w:t xml:space="preserve">First of all, the EBF assumes that price conditions for negotiated transactions in liquid instruments should be understood as at or within the Volume Weighted Average Spread (VWAS). </w:t>
      </w:r>
    </w:p>
    <w:p w:rsidR="00312DBA" w:rsidRDefault="00312DBA" w:rsidP="00312DBA">
      <w:pPr>
        <w:keepNext/>
      </w:pPr>
      <w:r>
        <w:t xml:space="preserve">Secondly, EBF assumes that a transaction in a liquid share at or above Large-in-Scale which is concluded as a negotiated transaction and thereby within the rules of the relevant trading venue in question, must not be included in the calculation of the volume cap for NTW, but instead reported under the LIS pre-trade waiver. </w:t>
      </w:r>
    </w:p>
    <w:p w:rsidR="00577C33" w:rsidRDefault="00312DBA" w:rsidP="00312DBA">
      <w:pPr>
        <w:keepNext/>
      </w:pPr>
      <w:r>
        <w:t>Thirdly, the list of negotiated transactions not contributing to the price formation process should not be exhaustive as market evolves. However, if the list is deemed exhaustive, it must be subject to e.g. annual review since we do not share ESMAs view that the list is sufficient flexible as it stands now. It is important that the list can be reviewed on a continuously basis as markets evolve.</w:t>
      </w:r>
    </w:p>
    <w:permEnd w:id="1261643116"/>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lastRenderedPageBreak/>
        <w:t>&lt;ESMA_QUESTION_CP_MIFID_40&gt;</w:t>
      </w:r>
    </w:p>
    <w:p w:rsidR="00312DBA" w:rsidRDefault="00312DBA" w:rsidP="00EC2C93">
      <w:pPr>
        <w:keepNext/>
      </w:pPr>
      <w:permStart w:id="1566450225" w:edGrp="everyone"/>
      <w:r w:rsidRPr="00312DBA">
        <w:t xml:space="preserve">EBF does not see a need for a minimum size on orders under the order management facility waiver. ESMAs suggestion lacks justification and we find the present approach with no minimum size well-functioning. </w:t>
      </w:r>
    </w:p>
    <w:permEnd w:id="1566450225"/>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312DBA" w:rsidRPr="0038028B" w:rsidRDefault="00312DBA" w:rsidP="00312DBA">
      <w:pPr>
        <w:pStyle w:val="PlainText"/>
        <w:spacing w:after="240"/>
        <w:jc w:val="both"/>
        <w:rPr>
          <w:rFonts w:asciiTheme="majorHAnsi" w:hAnsiTheme="majorHAnsi"/>
          <w:sz w:val="22"/>
          <w:szCs w:val="24"/>
        </w:rPr>
      </w:pPr>
      <w:permStart w:id="346368259" w:edGrp="everyone"/>
      <w:r w:rsidRPr="0038028B">
        <w:rPr>
          <w:rFonts w:asciiTheme="majorHAnsi" w:hAnsiTheme="majorHAnsi"/>
          <w:sz w:val="22"/>
          <w:szCs w:val="24"/>
        </w:rPr>
        <w:t xml:space="preserve">Yes, since it is a harmonised approach throughout EU, EBF can accept this. </w:t>
      </w:r>
    </w:p>
    <w:permEnd w:id="346368259"/>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EE3FDE" w:rsidRDefault="009A4744" w:rsidP="00EC2C93">
      <w:pPr>
        <w:keepNext/>
      </w:pPr>
      <w:permStart w:id="849688273" w:edGrp="everyone"/>
      <w:r w:rsidRPr="009A4744">
        <w:t xml:space="preserve">Yes, since it is a harmonised approach throughout EU, EBF can accept this. </w:t>
      </w:r>
    </w:p>
    <w:permEnd w:id="849688273"/>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9A4744" w:rsidRPr="0038028B" w:rsidRDefault="009A4744" w:rsidP="009A4744">
      <w:pPr>
        <w:pStyle w:val="PlainText"/>
        <w:spacing w:after="240"/>
        <w:jc w:val="both"/>
        <w:rPr>
          <w:rFonts w:asciiTheme="majorHAnsi" w:hAnsiTheme="majorHAnsi"/>
          <w:sz w:val="22"/>
          <w:szCs w:val="24"/>
        </w:rPr>
      </w:pPr>
      <w:permStart w:id="693704232" w:edGrp="everyone"/>
      <w:r w:rsidRPr="0038028B">
        <w:rPr>
          <w:rFonts w:asciiTheme="majorHAnsi" w:hAnsiTheme="majorHAnsi"/>
          <w:sz w:val="22"/>
          <w:szCs w:val="24"/>
        </w:rPr>
        <w:t xml:space="preserve">Yes, since it is a harmonised approach throughout EU, EBF can accept this. </w:t>
      </w:r>
    </w:p>
    <w:permEnd w:id="69370423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9A4744" w:rsidP="00EC2C93">
      <w:pPr>
        <w:keepNext/>
      </w:pPr>
      <w:permStart w:id="2079326957" w:edGrp="everyone"/>
      <w:r w:rsidRPr="009A4744">
        <w:t xml:space="preserve">Yes, since it is a harmonised approach throughout EU, EBF can accept this. </w:t>
      </w:r>
      <w:permEnd w:id="2079326957"/>
      <w:r w:rsidR="00577C33">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lastRenderedPageBreak/>
        <w:t>&lt;ESMA_QUESTION_CP_MIFID_45&gt;</w:t>
      </w:r>
    </w:p>
    <w:p w:rsidR="009A4744" w:rsidRDefault="009A4744" w:rsidP="009A4744">
      <w:pPr>
        <w:keepNext/>
      </w:pPr>
      <w:permStart w:id="2018510143" w:edGrp="everyone"/>
      <w:r>
        <w:t xml:space="preserve">First of all, it needs to be clarified that when we are talking of SI’s, clients do not provide orders to SIs’. The SI provides firm quotes up to standard market size, which the client can accept. In that sense, we do not understand ESMA’s explanation on page 69, no. 5, since the SIs prices on equities are valid until changed by the SI. </w:t>
      </w:r>
    </w:p>
    <w:p w:rsidR="009A4744" w:rsidRDefault="009A4744" w:rsidP="009A4744">
      <w:pPr>
        <w:keepNext/>
      </w:pPr>
    </w:p>
    <w:p w:rsidR="009A4744" w:rsidRDefault="009A4744" w:rsidP="00EC2C93">
      <w:pPr>
        <w:keepNext/>
      </w:pPr>
      <w:r>
        <w:t>It should be voluntary whether an SI chooses to publish timestamp and not a requirement. By making this requirement, ESMA would go beyond level 1 and more importantly a new unnecessary rule would be created.</w:t>
      </w:r>
    </w:p>
    <w:permEnd w:id="2018510143"/>
    <w:p w:rsidR="00577C33" w:rsidRDefault="00577C33" w:rsidP="00EC2C93">
      <w:pPr>
        <w:keepNext/>
      </w:pPr>
      <w:proofErr w:type="gramStart"/>
      <w:r>
        <w:t>&lt;</w:t>
      </w:r>
      <w:proofErr w:type="gramEnd"/>
      <w:r>
        <w: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9A4744" w:rsidRDefault="009A4744" w:rsidP="00EC2C93">
      <w:pPr>
        <w:keepNext/>
      </w:pPr>
      <w:permStart w:id="1917941940" w:edGrp="everyone"/>
      <w:r w:rsidRPr="009A4744">
        <w:t>As for the question on when a price reflects prevailing conditions, we accept the proposed definition. The importance of being able to change the quotes cannot be under estimated.</w:t>
      </w:r>
    </w:p>
    <w:permEnd w:id="1917941940"/>
    <w:p w:rsidR="00577C33" w:rsidRDefault="00577C33" w:rsidP="00EC2C93">
      <w:pPr>
        <w:keepNext/>
      </w:pPr>
      <w:proofErr w:type="gramStart"/>
      <w:r>
        <w:t>&lt;</w:t>
      </w:r>
      <w:proofErr w:type="gramEnd"/>
      <w:r>
        <w: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9A4744" w:rsidRDefault="009A4744" w:rsidP="009A4744">
      <w:pPr>
        <w:keepNext/>
      </w:pPr>
      <w:permStart w:id="1137005945" w:edGrp="everyone"/>
      <w:r>
        <w:t xml:space="preserve">Yes, the EBF agrees with the proposed classes by average value of transactions and applicable standard market size since these are workable sizes which do reflect retail client orders sizes. </w:t>
      </w:r>
    </w:p>
    <w:p w:rsidR="00EE3FDE" w:rsidRDefault="00EE3FDE" w:rsidP="009A4744">
      <w:pPr>
        <w:keepNext/>
      </w:pPr>
    </w:p>
    <w:p w:rsidR="009A4744" w:rsidRDefault="009A4744" w:rsidP="00EC2C93">
      <w:pPr>
        <w:keepNext/>
      </w:pPr>
      <w:r>
        <w:t>We urge ESMA to develop a similar approach for non-equities which also reflect retail clients order sizes.</w:t>
      </w:r>
    </w:p>
    <w:permEnd w:id="1137005945"/>
    <w:p w:rsidR="00577C33" w:rsidRDefault="00577C33" w:rsidP="00EC2C93">
      <w:pPr>
        <w:keepNext/>
      </w:pPr>
      <w:proofErr w:type="gramStart"/>
      <w:r>
        <w:t>&lt;</w:t>
      </w:r>
      <w:proofErr w:type="gramEnd"/>
      <w:r>
        <w: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9A4744" w:rsidRDefault="009A4744" w:rsidP="009A4744">
      <w:pPr>
        <w:keepNext/>
      </w:pPr>
      <w:permStart w:id="437260666" w:edGrp="everyone"/>
      <w:r>
        <w:t xml:space="preserve">Yes, at present, the list reflects the relevant transactions. However, EBF does not support an exhaustive list since markets evolve. In case ESMA insist to keep an exhaustive list, there must be an annual review of the list, in order to ensure that the list at all times reflect the relevant transactions that do not contribute to the price discovery process in the context of the trading obligation for shares. </w:t>
      </w:r>
    </w:p>
    <w:p w:rsidR="009A4744" w:rsidRDefault="009A4744" w:rsidP="009A4744">
      <w:pPr>
        <w:keepNext/>
      </w:pPr>
    </w:p>
    <w:p w:rsidR="009A4744" w:rsidRDefault="009A4744" w:rsidP="00EC2C93">
      <w:pPr>
        <w:keepNext/>
      </w:pPr>
      <w:r>
        <w:t xml:space="preserve">With regard to "iv transactions executed in the context of an investment firm that provides portfolio management services and transfers the beneficial ownership of a share from one fund to another and where no other investment firm is involved", it is unclear what the word "fund" entails. Should fund be understood in its generic context "funds", so that it covers all portfolio management clients and their funds in their customer accounts, no matter the client’s legal status? Or is it limited to entities which legally are determined as a fund, such as an AIF or UCITS? The exception only provides a level playing field, if it the generic understanding, and then we will suggest to use the words "customer account" instead of </w:t>
      </w:r>
      <w:r>
        <w:lastRenderedPageBreak/>
        <w:t>"fund". We agree that this exception does not contribute to price discovery, and is to the benefit of portfolio management clients.</w:t>
      </w:r>
    </w:p>
    <w:permEnd w:id="437260666"/>
    <w:p w:rsidR="00577C33" w:rsidRDefault="00577C33" w:rsidP="00EC2C93">
      <w:pPr>
        <w:keepNext/>
      </w:pPr>
      <w:proofErr w:type="gramStart"/>
      <w:r>
        <w:t>&lt;</w:t>
      </w:r>
      <w:proofErr w:type="gramEnd"/>
      <w:r>
        <w: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9A4744" w:rsidP="00EC2C93">
      <w:pPr>
        <w:keepNext/>
      </w:pPr>
      <w:permStart w:id="535760436" w:edGrp="everyone"/>
      <w:r>
        <w:t>Yes.</w:t>
      </w:r>
    </w:p>
    <w:permEnd w:id="535760436"/>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9A4744" w:rsidP="00EC2C93">
      <w:pPr>
        <w:keepNext/>
      </w:pPr>
      <w:permStart w:id="1175411229" w:edGrp="everyone"/>
      <w:r>
        <w:t xml:space="preserve">No. </w:t>
      </w:r>
    </w:p>
    <w:permEnd w:id="117541122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9A4744" w:rsidRDefault="009A4744" w:rsidP="009A4744">
      <w:pPr>
        <w:keepNext/>
      </w:pPr>
      <w:permStart w:id="1651144667" w:edGrp="everyone"/>
      <w:r>
        <w:t xml:space="preserve">ESMA must be aware of the operational risk since the requirements for some transactions will include manual procedures when choosing the right flag(s) which must be handled within the time limit of 1 minute. This could e.g. be the case for “special dividend trades”. An additional risk is if several flags are required for one transaction and this cannot be handled automatically. </w:t>
      </w:r>
    </w:p>
    <w:p w:rsidR="009A4744" w:rsidRDefault="009A4744" w:rsidP="009A4744">
      <w:pPr>
        <w:keepNext/>
      </w:pPr>
    </w:p>
    <w:p w:rsidR="009A4744" w:rsidRDefault="009A4744" w:rsidP="009A4744">
      <w:pPr>
        <w:keepNext/>
      </w:pPr>
      <w:r>
        <w:t>In short, at least the B, X, G, S, T and P must be specified by the investment firm in question can therefore be subject to manual procedures, which require longer reporting time than 1 minute, i.e. 3 minutes as already in place.  If the longer reporting time is implemented, all these flags can be published without exposing the investment firm to undue risk.</w:t>
      </w:r>
    </w:p>
    <w:p w:rsidR="009A4744" w:rsidRDefault="009A4744" w:rsidP="009A4744">
      <w:pPr>
        <w:keepNext/>
      </w:pPr>
    </w:p>
    <w:p w:rsidR="009A4744" w:rsidRDefault="009A4744" w:rsidP="009A4744">
      <w:pPr>
        <w:keepNext/>
      </w:pPr>
      <w:r>
        <w:t xml:space="preserve">The L (Large-in-Scale) must not be published for the same reason as ESMA has approved “stubs”, i.e. publishing for part execution would lead to longer execution times and expose the investor to undue risk for the execution and more specifically price.  In addition, the H (algorithmic trades) should not be public either, since this could create an incentive to try to game the </w:t>
      </w:r>
      <w:proofErr w:type="spellStart"/>
      <w:r>
        <w:t>algo</w:t>
      </w:r>
      <w:proofErr w:type="spellEnd"/>
      <w:r>
        <w:t>.</w:t>
      </w:r>
    </w:p>
    <w:p w:rsidR="009A4744" w:rsidRDefault="009A4744" w:rsidP="009A4744">
      <w:pPr>
        <w:keepNext/>
      </w:pPr>
    </w:p>
    <w:p w:rsidR="009A4744" w:rsidRDefault="009A4744" w:rsidP="00EC2C93">
      <w:pPr>
        <w:keepNext/>
      </w:pPr>
      <w:r>
        <w:t>Overall, the EBF urges ESMA to develop guidelines with more in-depth information on how and in which situations the flags apply (with relevant examples).</w:t>
      </w:r>
    </w:p>
    <w:permEnd w:id="1651144667"/>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9A4744" w:rsidRDefault="009A4744" w:rsidP="009A4744">
      <w:pPr>
        <w:keepNext/>
      </w:pPr>
      <w:permStart w:id="1044862199" w:edGrp="everyone"/>
      <w:r>
        <w:t xml:space="preserve">EBF does not agree that the proposed definition of normal trading hours should include auctions since SIs will face considerable pricing risk during auctions due to the uncertainty of the market pricing during these phases. Auctions should be excluded. This definition would </w:t>
      </w:r>
      <w:r>
        <w:lastRenderedPageBreak/>
        <w:t>also be in line with the definition used for RTS 15 on market making. EBF urges for a consistent approach.</w:t>
      </w:r>
    </w:p>
    <w:p w:rsidR="009A4744" w:rsidRDefault="009A4744" w:rsidP="009A4744">
      <w:pPr>
        <w:keepNext/>
      </w:pPr>
    </w:p>
    <w:p w:rsidR="009A4744" w:rsidRDefault="009A4744" w:rsidP="009A4744">
      <w:pPr>
        <w:keepNext/>
      </w:pPr>
      <w:r>
        <w:t>EBF can accept the shortening of the maximum possible delay to one minute if other trades such as portfolio trades could benefit from longer demands due to the manual procedures. In addition, we question why transactions like portfolio trades, which do not contribute to the price discovery process, should be published at all?</w:t>
      </w:r>
    </w:p>
    <w:p w:rsidR="009A4744" w:rsidRDefault="009A4744" w:rsidP="009A4744">
      <w:pPr>
        <w:keepNext/>
      </w:pPr>
    </w:p>
    <w:p w:rsidR="009A4744" w:rsidRDefault="009A4744" w:rsidP="00EC2C93">
      <w:pPr>
        <w:keepNext/>
      </w:pPr>
      <w:r>
        <w:t xml:space="preserve">EBF would like to support the opinion that shortening the maximum possible delay to one minute will create significant challenge in the systems of banks which rely on manual processing. The intention to impose fully automated systems does not take into account differences in market participants’ scale, thus imposing disproportionally higher burden on smaller-scale participants. </w:t>
      </w:r>
    </w:p>
    <w:permEnd w:id="1044862199"/>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9A4744" w:rsidRDefault="009A4744" w:rsidP="00EC2C93">
      <w:pPr>
        <w:keepNext/>
      </w:pPr>
      <w:permStart w:id="1273525247" w:edGrp="everyone"/>
      <w:r w:rsidRPr="009A4744">
        <w:t>Yes, however, as for other lists made by ESMA, we do not support an exhaustive list, since markets evolve. However, if it is decided to continue with an exhaustive list, there should be a review clause included in order to ensuring that the list reflects the right transaction types at all times as markets evolve. And yes, transactions, which do not contributed to the price discovery process, should also be excluded from the reporting requirements, as also described in Q52.</w:t>
      </w:r>
    </w:p>
    <w:permEnd w:id="1273525247"/>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9A4744" w:rsidP="00EC2C93">
      <w:pPr>
        <w:keepNext/>
      </w:pPr>
      <w:permStart w:id="1482180437" w:edGrp="everyone"/>
      <w:r>
        <w:t>Yes.</w:t>
      </w:r>
    </w:p>
    <w:permEnd w:id="1482180437"/>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9A4744" w:rsidP="00EC2C93">
      <w:pPr>
        <w:keepNext/>
      </w:pPr>
      <w:permStart w:id="1729130399" w:edGrp="everyone"/>
      <w:r>
        <w:t>Yes.</w:t>
      </w:r>
    </w:p>
    <w:permEnd w:id="1729130399"/>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lastRenderedPageBreak/>
        <w:t>&lt;ESMA_QUESTION_CP_MIFID_56&gt;</w:t>
      </w:r>
    </w:p>
    <w:p w:rsidR="00577C33" w:rsidRDefault="00577C33" w:rsidP="00EC2C93">
      <w:pPr>
        <w:keepNext/>
      </w:pPr>
      <w:permStart w:id="34413739" w:edGrp="everyone"/>
      <w:r>
        <w:t>TYPE YOUR TEXT HERE</w:t>
      </w:r>
    </w:p>
    <w:permEnd w:id="34413739"/>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lastRenderedPageBreak/>
        <w:t>&lt;ESMA_QUESTION_CP_MIFID_57&gt;</w:t>
      </w:r>
    </w:p>
    <w:p w:rsidR="009A4744" w:rsidRDefault="009A4744" w:rsidP="009A4744">
      <w:pPr>
        <w:keepNext/>
      </w:pPr>
      <w:permStart w:id="706434040" w:edGrp="everyone"/>
      <w:r>
        <w:t xml:space="preserve">No, the EBF does not support ESMAs proposal for determining liquid market. The COFIA model used (with issue size as sole proxy) leads to suboptimal results, i.e. a lot of instruments are classified as liquid when they are really not. For example, ESMA thinks that a bond is liquid if it trades twice per day for 200 days of the year. This brings inappropriate instruments within the scope of the pre-trade/SI obligations and reduces the availability of the deferral regime for post trade. The results are particularly shrewd for covered bonds and corporate bonds (See page 104 table 5 in the Consultation Paper).  </w:t>
      </w:r>
    </w:p>
    <w:p w:rsidR="009A4744" w:rsidRDefault="009A4744" w:rsidP="009A4744">
      <w:pPr>
        <w:keepNext/>
      </w:pPr>
    </w:p>
    <w:p w:rsidR="009A4744" w:rsidRDefault="009A4744" w:rsidP="009A4744">
      <w:pPr>
        <w:keepNext/>
      </w:pPr>
      <w:r>
        <w:t>The table shows that in every proposed sub-class at least 40 % of the financial instruments classified as liquid are false positives! In other words the best hit ratio that ESMA’s proposal delivers is 60 %. For other categories this ratio is only 33 %. This result is by no means acceptable. It is imperative to ensure that illiquid instruments are not classified as liquid. If instruments were classified incorrectly, certain illiquid financial instruments would also be subject to transparency obligations and obligations to publish firm quotes. This would impose prohibitive risks on systematic internalisers and cause the market to dry up.</w:t>
      </w:r>
    </w:p>
    <w:p w:rsidR="009A4744" w:rsidRDefault="009A4744" w:rsidP="009A4744">
      <w:pPr>
        <w:keepNext/>
      </w:pPr>
    </w:p>
    <w:p w:rsidR="009A4744" w:rsidRDefault="009A4744" w:rsidP="009A4744">
      <w:pPr>
        <w:keepNext/>
      </w:pPr>
      <w:r>
        <w:t xml:space="preserve">As stated in the EBF’s reply to the Discussion Paper, it is essential that financial instruments are correctly classified as either “liquid” or “non-liquid”. Therefore the EBF supported the IBIA model for bonds (but agreed that COFIA model was more suitable for derivatives). However a COFIA model for bonds can only be accepted if the sub-classes are created so as to reflect instruments true liquidity. This model also presupposes regular re-assessment of both liquidity thresholds and classification of instruments. </w:t>
      </w:r>
    </w:p>
    <w:p w:rsidR="009A4744" w:rsidRDefault="009A4744" w:rsidP="009A4744">
      <w:pPr>
        <w:keepNext/>
      </w:pPr>
    </w:p>
    <w:p w:rsidR="009A4744" w:rsidRDefault="009A4744" w:rsidP="009A4744">
      <w:pPr>
        <w:keepNext/>
      </w:pPr>
      <w:r>
        <w:t xml:space="preserve">The EBF fears that unless the model for determining liquidity is changed, the regulation will have very negative effects on the liquidity of European bond markets which is hardly the intention. This risk is increased even more when combined with the very high levels of LIS and SSTI proposed by ESMA. </w:t>
      </w:r>
    </w:p>
    <w:p w:rsidR="009A4744" w:rsidRDefault="009A4744" w:rsidP="009A4744">
      <w:pPr>
        <w:keepNext/>
      </w:pPr>
    </w:p>
    <w:p w:rsidR="009A4744" w:rsidRDefault="009A4744" w:rsidP="009A4744">
      <w:pPr>
        <w:keepNext/>
      </w:pPr>
      <w:r>
        <w:t xml:space="preserve">In relation to the SSTI and LIS there is also a problem with the methodology that ESMA has used for determining the thresholds. A trade count approach has been adopted to determine LIS, but trades under a threshold have been excluded, which is problematic (e.g. for bonds ESMA has not counted trades with ticket size less than 100k, which is a high number of trades and thus skews the results – especially given the median trade size of corporate bonds is EUR 150k.). </w:t>
      </w:r>
    </w:p>
    <w:p w:rsidR="009A4744" w:rsidRDefault="009A4744" w:rsidP="009A4744">
      <w:pPr>
        <w:keepNext/>
      </w:pPr>
    </w:p>
    <w:p w:rsidR="009A4744" w:rsidRDefault="009A4744" w:rsidP="009A4744">
      <w:pPr>
        <w:keepNext/>
      </w:pPr>
      <w:r>
        <w:t xml:space="preserve">Moreover, the EBF wants to underline that the SSTI intends to protect liquidity providers from undue risk enabling them to hedge their positions and, for markets where retail investors are present, taking into account average retail size of transactions (Art. 9 MiFIR). However, the proposed SSTI thresholds (50 % of LIS) are much too high achieve this goal and will in fact have the effect of discouraging market makers/SIs from providing liquidity to the market. This is true across all asset classes and all sub-classes. In the opinion of EBF, the SSTI levels proposed by ESMA are therefore not fit for purpose and must be significantly lowered. </w:t>
      </w:r>
    </w:p>
    <w:p w:rsidR="009A4744" w:rsidRDefault="009A4744" w:rsidP="009A4744">
      <w:pPr>
        <w:keepNext/>
      </w:pPr>
    </w:p>
    <w:p w:rsidR="009A4744" w:rsidRDefault="009A4744" w:rsidP="009A4744">
      <w:pPr>
        <w:keepNext/>
      </w:pPr>
      <w:r>
        <w:t xml:space="preserve">We also note that ESMA does not motivate why it has proposed such a high percentage as 50 % of SSTI. </w:t>
      </w:r>
    </w:p>
    <w:p w:rsidR="009A4744" w:rsidRDefault="009A4744" w:rsidP="009A4744">
      <w:pPr>
        <w:keepNext/>
      </w:pPr>
    </w:p>
    <w:p w:rsidR="00577C33" w:rsidRDefault="009A4744" w:rsidP="00EC2C93">
      <w:pPr>
        <w:keepNext/>
      </w:pPr>
      <w:r>
        <w:lastRenderedPageBreak/>
        <w:t xml:space="preserve">If ESMA insists on a fixed threshold for SSTI that is linked to LIS, the percentage should be very low, i.e. a one digit number, maybe even below 1 % should be chosen. This would be more in line with the wording and spirit of level 1. (For corporate bonds a more appropriate size specific to the instrument might be in the region of €150k - €250k and for sovereign bonds SSTI could be €1m.  The ESMA proposal has SSTI for sovereign bonds at €5m and for corporate bonds €750k–€2.5m depending on the type.) </w:t>
      </w:r>
      <w:permEnd w:id="706434040"/>
      <w:r w:rsidR="00577C33">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9A4744" w:rsidRDefault="009A4744" w:rsidP="00EC2C93">
      <w:pPr>
        <w:keepNext/>
      </w:pPr>
      <w:permStart w:id="1580367031" w:edGrp="everyone"/>
      <w:r w:rsidRPr="009A4744">
        <w:t xml:space="preserve">Yes, we agree with the definitions. </w:t>
      </w:r>
    </w:p>
    <w:permEnd w:id="1580367031"/>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9A4744" w:rsidP="00EC2C93">
      <w:pPr>
        <w:keepNext/>
      </w:pPr>
      <w:permStart w:id="412253769" w:edGrp="everyone"/>
      <w:r w:rsidRPr="009A4744">
        <w:t>No, we do not agree.  The existence of a market-maker for securitised derivatives is not a proxy for liquidity. Maker-makers for securitised derivatives are there to ensure that investors can hand back instruments bought. The market-makers’ role is not comparable with market-makers at regulated markets. Eligible criteria for defining whether securitised derivatives are liquid are (1) trading does occur and (2) time since issuance.</w:t>
      </w:r>
    </w:p>
    <w:permEnd w:id="412253769"/>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9A4744" w:rsidP="00EC2C93">
      <w:pPr>
        <w:keepNext/>
      </w:pPr>
      <w:permStart w:id="1568231624" w:edGrp="everyone"/>
      <w:r w:rsidRPr="009A4744">
        <w:t xml:space="preserve">As stated in our reply to the Discussion Paper, the EBF takes the view that securitised derivatives which have features of bonds should be treated as such. </w:t>
      </w:r>
      <w:permEnd w:id="1568231624"/>
      <w:r w:rsidR="00577C33">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lastRenderedPageBreak/>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9A4744" w:rsidRDefault="009A4744" w:rsidP="00EC2C93">
      <w:pPr>
        <w:keepNext/>
      </w:pPr>
      <w:permStart w:id="585712267" w:edGrp="everyone"/>
      <w:r w:rsidRPr="009A4744">
        <w:t xml:space="preserve">See reply to Q 57. Also as regards interest rate derivatives, EBF takes the view that ESMA needs to revise its model for determining liquidity in order to avoid that so many illiquid instruments are wrongly classified as liquid. The thresholds for interest rate swaps are particularly low. In addition, ESMA should significantly lower the thresholds for SSTI to a one digit number, maybe even below 1 % of LIS. </w:t>
      </w:r>
    </w:p>
    <w:permEnd w:id="585712267"/>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426458445" w:edGrp="everyone"/>
      <w:r>
        <w:t>TYPE YOUR TEXT HERE</w:t>
      </w:r>
    </w:p>
    <w:permEnd w:id="1426458445"/>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EE3FDE" w:rsidP="00EC2C93">
      <w:pPr>
        <w:keepNext/>
      </w:pPr>
      <w:permStart w:id="120921830" w:edGrp="everyone"/>
      <w:r>
        <w:t>G</w:t>
      </w:r>
      <w:r w:rsidR="009A4744" w:rsidRPr="009A4744">
        <w:t>enerally index futures and options could be regard</w:t>
      </w:r>
      <w:r>
        <w:t>ed</w:t>
      </w:r>
      <w:bookmarkStart w:id="7" w:name="_GoBack"/>
      <w:bookmarkEnd w:id="7"/>
      <w:r w:rsidR="009A4744" w:rsidRPr="009A4744">
        <w:t xml:space="preserve"> as liquid provided there at least two market makers OR a certain level of outstanding balance. </w:t>
      </w:r>
      <w:permEnd w:id="120921830"/>
      <w:r w:rsidR="00577C33">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9A4744" w:rsidRDefault="009A4744" w:rsidP="00EC2C93">
      <w:pPr>
        <w:keepNext/>
      </w:pPr>
      <w:permStart w:id="726938864" w:edGrp="everyone"/>
      <w:r w:rsidRPr="009A4744">
        <w:t>See above Q63.</w:t>
      </w:r>
    </w:p>
    <w:permEnd w:id="726938864"/>
    <w:p w:rsidR="00577C33" w:rsidRDefault="00577C33" w:rsidP="00EC2C93">
      <w:pPr>
        <w:keepNext/>
      </w:pPr>
      <w:proofErr w:type="gramStart"/>
      <w:r>
        <w:t>&lt;</w:t>
      </w:r>
      <w:proofErr w:type="gramEnd"/>
      <w:r>
        <w: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9A4744" w:rsidP="00EC2C93">
      <w:pPr>
        <w:keepNext/>
      </w:pPr>
      <w:permStart w:id="898002985" w:edGrp="everyone"/>
      <w:r w:rsidRPr="009A4744">
        <w:t>See above Q63.</w:t>
      </w:r>
    </w:p>
    <w:permEnd w:id="898002985"/>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2127766976" w:edGrp="everyone"/>
      <w:r>
        <w:t>TYPE YOUR TEXT HERE</w:t>
      </w:r>
    </w:p>
    <w:permEnd w:id="2127766976"/>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351677419" w:edGrp="everyone"/>
      <w:r>
        <w:t>TYPE YOUR TEXT HERE</w:t>
      </w:r>
    </w:p>
    <w:permEnd w:id="351677419"/>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944592936" w:edGrp="everyone"/>
      <w:r>
        <w:t>TYPE YOUR TEXT HERE</w:t>
      </w:r>
    </w:p>
    <w:permEnd w:id="944592936"/>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2073895317" w:edGrp="everyone"/>
      <w:r>
        <w:t>TYPE YOUR TEXT HERE</w:t>
      </w:r>
    </w:p>
    <w:permEnd w:id="2073895317"/>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818757332" w:edGrp="everyone"/>
      <w:r>
        <w:t>TYPE YOUR TEXT HERE</w:t>
      </w:r>
    </w:p>
    <w:permEnd w:id="1818757332"/>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121390424" w:edGrp="everyone"/>
      <w:r>
        <w:t>TYPE YOUR TEXT HERE</w:t>
      </w:r>
    </w:p>
    <w:permEnd w:id="1121390424"/>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011969502" w:edGrp="everyone"/>
      <w:r>
        <w:t>TYPE YOUR TEXT HERE</w:t>
      </w:r>
    </w:p>
    <w:permEnd w:id="1011969502"/>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9A4744" w:rsidRDefault="009A4744" w:rsidP="009A4744">
      <w:pPr>
        <w:keepNext/>
      </w:pPr>
      <w:permStart w:id="1866676460" w:edGrp="everyone"/>
      <w:r>
        <w:t>No, the EBF does not consider it necessary to include the date and time of publication. In fact, this would be rather harmful.</w:t>
      </w:r>
    </w:p>
    <w:p w:rsidR="009A4744" w:rsidRDefault="009A4744" w:rsidP="009A4744">
      <w:pPr>
        <w:keepNext/>
      </w:pPr>
    </w:p>
    <w:p w:rsidR="009A4744" w:rsidRDefault="009A4744" w:rsidP="00EC2C93">
      <w:pPr>
        <w:keepNext/>
      </w:pPr>
      <w:r>
        <w:t>The EBF welcomes proposal by ESMA not to include SI-identification.</w:t>
      </w:r>
    </w:p>
    <w:permEnd w:id="1866676460"/>
    <w:p w:rsidR="00577C33" w:rsidRDefault="00577C33" w:rsidP="00EC2C93">
      <w:pPr>
        <w:keepNext/>
      </w:pPr>
      <w:proofErr w:type="gramStart"/>
      <w:r>
        <w:t>&lt;</w:t>
      </w:r>
      <w:proofErr w:type="gramEnd"/>
      <w:r>
        <w: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9A4744" w:rsidRDefault="009A4744" w:rsidP="00EC2C93">
      <w:pPr>
        <w:keepNext/>
      </w:pPr>
      <w:permStart w:id="1881283377" w:edGrp="everyone"/>
      <w:r w:rsidRPr="009A4744">
        <w:t xml:space="preserve">In the opinion of EBF, ESMA proposes too many flags which do not provide added value to the market, are costly to implement and some may even create unnecessary operational risks.  In particular the LIS flag and </w:t>
      </w:r>
      <w:proofErr w:type="spellStart"/>
      <w:r w:rsidRPr="009A4744">
        <w:t>algo</w:t>
      </w:r>
      <w:proofErr w:type="spellEnd"/>
      <w:r w:rsidRPr="009A4744">
        <w:t xml:space="preserve"> flag should be deleted as they could also expose liquidity provider to undue risk. </w:t>
      </w:r>
    </w:p>
    <w:permEnd w:id="1881283377"/>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9A4744" w:rsidRDefault="009A4744" w:rsidP="00EC2C93">
      <w:pPr>
        <w:keepNext/>
      </w:pPr>
      <w:permStart w:id="259002131" w:edGrp="everyone"/>
      <w:r w:rsidRPr="009A4744">
        <w:t>The EBF would suggest to set the time limit for reporting of OTC derivatives at 30 minutes until the end of 2017 and 15 minutes thereafter. Existing reporting mechanisms of trading platforms, infrastructure providers and back-offices are geared towards the US reporting timelines which have been in effect since 2012 (</w:t>
      </w:r>
      <w:proofErr w:type="spellStart"/>
      <w:r w:rsidRPr="009A4744">
        <w:t>cf</w:t>
      </w:r>
      <w:proofErr w:type="spellEnd"/>
      <w:r w:rsidRPr="009A4744">
        <w:t xml:space="preserve"> Part 45.12 section b-1 Dodd-Frank Act). Considering that in particular for OTC derivatives traded on voice trading systems a certain minimum time is required to verify trade details, and set up of trades in systems can take some time, the limits set by US CFTC standards of 15 minutes have proven to be ambitious but achievable. Shorter timeframes would likely result in operational issues like </w:t>
      </w:r>
      <w:proofErr w:type="spellStart"/>
      <w:r w:rsidRPr="009A4744">
        <w:t>mis</w:t>
      </w:r>
      <w:proofErr w:type="spellEnd"/>
      <w:r w:rsidRPr="009A4744">
        <w:t>-reporting of trades. We consider it in the common interest of markets, infrastructure and regulators to aim at a maximum of international harmonisation, in particular in the case of OTC derivatives, which is a global rather than a regional market.</w:t>
      </w:r>
    </w:p>
    <w:permEnd w:id="259002131"/>
    <w:p w:rsidR="00577C33" w:rsidRDefault="00577C33" w:rsidP="00EC2C93">
      <w:pPr>
        <w:keepNext/>
      </w:pPr>
      <w:proofErr w:type="gramStart"/>
      <w:r>
        <w:t>&lt;</w:t>
      </w:r>
      <w:proofErr w:type="gramEnd"/>
      <w:r>
        <w: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9A4744" w:rsidRDefault="009A4744" w:rsidP="00EC2C93">
      <w:pPr>
        <w:keepNext/>
      </w:pPr>
      <w:permStart w:id="1242068227" w:edGrp="everyone"/>
      <w:r w:rsidRPr="009A4744">
        <w:t xml:space="preserve">Yes, we agree that such transactions should be exempt. SFT are not primarily based on the market price of the respective instrument, but on the rates that apply in the respective repo or securities lending market. These are therefore transactions within the meaning of Article </w:t>
      </w:r>
      <w:r w:rsidRPr="009A4744">
        <w:lastRenderedPageBreak/>
        <w:t>21(5</w:t>
      </w:r>
      <w:proofErr w:type="gramStart"/>
      <w:r w:rsidRPr="009A4744">
        <w:t>)(</w:t>
      </w:r>
      <w:proofErr w:type="gramEnd"/>
      <w:r w:rsidRPr="009A4744">
        <w:t>b) of MiFIR whose price is determined by factors other than the current market valuation of the instrument.</w:t>
      </w:r>
    </w:p>
    <w:permEnd w:id="1242068227"/>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9A4744" w:rsidRDefault="009A4744" w:rsidP="009A4744">
      <w:pPr>
        <w:keepNext/>
      </w:pPr>
      <w:permStart w:id="287524842" w:edGrp="everyone"/>
      <w:r>
        <w:t xml:space="preserve">Regarding the deferral period set to 48 hours, we welcome ESMA’s intention to provide for a longer deferral period compared to the proposal in the Discussion Paper. However, we still think that a 48 hours period is too short. For bonds, deferral periods of at least two weeks are necessary, for structured finance products at least for four weeks. The SI often has to unwind large-volume transactions over a period of several days, especially in illiquid bonds. ESMA’s data show that the bulk of the financial instruments in question trade less than twice a week. If the market gains knowledge of the transaction after two trading days (or even less, if the 48 hours period covers a weekend or bank holiday), the SI would face unacceptable risks that it would not be able to hedge adequately. Other market participants could use the information against the SI. There would also be disadvantages for the client, as the SI would have to pass on the risks in the form of less favourable prices. The less liquid an instrument is, the greater are these risks. More granular deferral periods are necessary, in particular given that the post trade transparency regime also applies to illiquid instruments. For some instruments, deferral periods of several weeks would be appropriate. </w:t>
      </w:r>
    </w:p>
    <w:p w:rsidR="009A4744" w:rsidRDefault="009A4744" w:rsidP="009A4744">
      <w:pPr>
        <w:keepNext/>
      </w:pPr>
    </w:p>
    <w:p w:rsidR="009A4744" w:rsidRDefault="009A4744" w:rsidP="009A4744">
      <w:pPr>
        <w:keepNext/>
      </w:pPr>
      <w:r>
        <w:t xml:space="preserve">Moreover, the 48 hours should be changed to T + 2 (otherwise there will be problems with week-ends). </w:t>
      </w:r>
    </w:p>
    <w:p w:rsidR="009A4744" w:rsidRDefault="009A4744" w:rsidP="00EC2C93">
      <w:pPr>
        <w:keepNext/>
      </w:pPr>
    </w:p>
    <w:p w:rsidR="009A4744" w:rsidRDefault="009A4744" w:rsidP="00EC2C93">
      <w:pPr>
        <w:keepNext/>
      </w:pPr>
      <w:r>
        <w:t xml:space="preserve">The EBF does not support the very high levels of SSTI proposed by ESMA (see also Q 77). The SSTI intends to protect liquidity providers from undue risk enabling them to hedge their positions (art 9 MiFIR). However, the proposed SSTI thresholds (50 % of LIS) are much too high achieve this goal – across all asset classes and sub-classes. We therefore question whether the proposal is in line with the political agreement on level 1. In the opinion of EBF, a one-digit percentage, maybe even below 1% of LIS would be more appropriate and in line with the intentions of level 1. </w:t>
      </w:r>
    </w:p>
    <w:permEnd w:id="287524842"/>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w:t>
      </w:r>
      <w:r>
        <w:lastRenderedPageBreak/>
        <w:t>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472012311" w:edGrp="everyone"/>
      <w:r>
        <w:t>TYPE YOUR TEXT HERE</w:t>
      </w:r>
    </w:p>
    <w:permEnd w:id="1472012311"/>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156859222" w:edGrp="everyone"/>
      <w:r>
        <w:t>TYPE YOUR TEXT HERE</w:t>
      </w:r>
    </w:p>
    <w:permEnd w:id="1156859222"/>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lastRenderedPageBreak/>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9A4744" w:rsidP="00EC2C93">
      <w:pPr>
        <w:keepNext/>
      </w:pPr>
      <w:permStart w:id="626984473" w:edGrp="everyone"/>
      <w:r>
        <w:t>See Q63.</w:t>
      </w:r>
    </w:p>
    <w:permEnd w:id="626984473"/>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843338881" w:edGrp="everyone"/>
      <w:r>
        <w:t>TYPE YOUR TEXT HERE</w:t>
      </w:r>
    </w:p>
    <w:permEnd w:id="843338881"/>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w:t>
      </w:r>
      <w:r>
        <w:lastRenderedPageBreak/>
        <w:t>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95437413" w:edGrp="everyone"/>
      <w:r>
        <w:t>TYPE YOUR TEXT HERE</w:t>
      </w:r>
    </w:p>
    <w:permEnd w:id="195437413"/>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9A4744" w:rsidRDefault="009A4744" w:rsidP="009A4744">
      <w:pPr>
        <w:keepNext/>
      </w:pPr>
      <w:permStart w:id="1572147089" w:edGrp="everyone"/>
      <w:r>
        <w:t>We strongly disagree with ESMA’s proposal as set out in Art. 10(1)(a)(</w:t>
      </w:r>
      <w:proofErr w:type="spellStart"/>
      <w:r>
        <w:t>i</w:t>
      </w:r>
      <w:proofErr w:type="spellEnd"/>
      <w:r>
        <w:t xml:space="preserve">) of the draft RTS, i.e. that if exercising the right pursuant to Article 11(3)(a) of MiFIR, all the details of a transaction except for those relating to volume, namely quantity and quantity notation should be published.  In our view, not just the volume of a transaction but in principle the entire transaction should be subject to deferred publication. The point of deferred publication is to protect SIs and other investment firms against the risks associated with the market knowing that they have taken on a large position in financial instruments. For this reason, the deferral should cover all the transaction details. </w:t>
      </w:r>
    </w:p>
    <w:p w:rsidR="009A4744" w:rsidRDefault="009A4744" w:rsidP="009A4744">
      <w:pPr>
        <w:keepNext/>
      </w:pPr>
    </w:p>
    <w:p w:rsidR="009A4744" w:rsidRDefault="009A4744" w:rsidP="00EC2C93">
      <w:pPr>
        <w:keepNext/>
      </w:pPr>
      <w:r>
        <w:t>A requirement to immediately publish all the details of a transaction except its volume would not be in line with the wording of Article 11(3) of MiFIR, which merely stipulates that competent authorities may request deferred publication of “limited details of a transaction”. Only where an extended deferral period is granted does Article 11(3</w:t>
      </w:r>
      <w:proofErr w:type="gramStart"/>
      <w:r>
        <w:t>)(</w:t>
      </w:r>
      <w:proofErr w:type="gramEnd"/>
      <w:r>
        <w:t>b) of MiFIR allow (only) the deferred publication of the volume of a transaction. ESMA’s proposal that in every case of deferred publication all the details of a transaction except its volume should be published thus not only contradicts the regulatory purpose but also the wording and systematic approach of Article 11(3) of MiFIR. ESMA’s proposal would thus be generally incompatible with Article 11(3) of MiFIR.</w:t>
      </w:r>
    </w:p>
    <w:permEnd w:id="1572147089"/>
    <w:p w:rsidR="00577C33" w:rsidRDefault="00577C33" w:rsidP="00EC2C93">
      <w:pPr>
        <w:keepNext/>
      </w:pPr>
      <w:proofErr w:type="gramStart"/>
      <w:r>
        <w:t>&lt;</w:t>
      </w:r>
      <w:proofErr w:type="gramEnd"/>
      <w:r>
        <w: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574314271" w:edGrp="everyone"/>
      <w:r>
        <w:t>TYPE YOUR TEXT HERE</w:t>
      </w:r>
    </w:p>
    <w:permEnd w:id="1574314271"/>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624912237" w:edGrp="everyone"/>
      <w:r>
        <w:t>TYPE YOUR TEXT HERE</w:t>
      </w:r>
    </w:p>
    <w:permEnd w:id="1624912237"/>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lastRenderedPageBreak/>
        <w:t>&lt;ESMA_QUESTION_CP_MIFID_86&gt;</w:t>
      </w:r>
    </w:p>
    <w:p w:rsidR="009A4744" w:rsidRDefault="009A4744" w:rsidP="009A4744">
      <w:pPr>
        <w:keepNext/>
      </w:pPr>
      <w:permStart w:id="1103915206" w:edGrp="everyone"/>
      <w:r>
        <w:t>EBF does not have any comments to the methodology.</w:t>
      </w:r>
    </w:p>
    <w:p w:rsidR="009A4744" w:rsidRDefault="009A4744" w:rsidP="009A4744">
      <w:pPr>
        <w:keepNext/>
      </w:pPr>
    </w:p>
    <w:p w:rsidR="00577C33" w:rsidRDefault="009A4744" w:rsidP="00EC2C93">
      <w:pPr>
        <w:keepNext/>
      </w:pPr>
      <w:r>
        <w:t xml:space="preserve">However, as specified in Q39, EBF assumes that a transaction in a liquid share at or above Large-in-Scale which is concluded as a negotiated transaction and thereby within the rules of the relevant trading venue in question, may not be included in the calculation of the volume cap for NTW, but instead reported under the LIS pre-trade waiver. </w:t>
      </w:r>
      <w:permEnd w:id="1103915206"/>
      <w:r w:rsidR="00577C33">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234796510" w:edGrp="everyone"/>
      <w:r>
        <w:t>TYPE YOUR TEXT HERE</w:t>
      </w:r>
    </w:p>
    <w:permEnd w:id="1234796510"/>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716204182" w:edGrp="everyone"/>
      <w:r>
        <w:t>TYPE YOUR TEXT HERE</w:t>
      </w:r>
    </w:p>
    <w:permEnd w:id="1716204182"/>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274270945" w:edGrp="everyone"/>
      <w:r>
        <w:t>TYPE YOUR TEXT HERE</w:t>
      </w:r>
    </w:p>
    <w:permEnd w:id="274270945"/>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745752618" w:edGrp="everyone"/>
      <w:r>
        <w:t>TYPE YOUR TEXT HERE</w:t>
      </w:r>
    </w:p>
    <w:permEnd w:id="745752618"/>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687053127" w:edGrp="everyone"/>
      <w:r>
        <w:t>TYPE YOUR TEXT HERE</w:t>
      </w:r>
    </w:p>
    <w:permEnd w:id="1687053127"/>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054372816" w:edGrp="everyone"/>
      <w:r>
        <w:t>TYPE YOUR TEXT HERE</w:t>
      </w:r>
    </w:p>
    <w:permEnd w:id="1054372816"/>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9A4744" w:rsidRDefault="009A4744" w:rsidP="00EC2C93">
      <w:pPr>
        <w:keepNext/>
      </w:pPr>
      <w:permStart w:id="2041452024" w:edGrp="everyone"/>
      <w:r w:rsidRPr="009A4744">
        <w:t>Draft RTS 13 Art. 17 (1); Art. 20 (2) (h): We welcome that ESMA has clarified in the proposed RTS that kill switches are to be used as an emergency measure, i.e. only when absolutely necessary. However, we would like to point out that such a “kill switch” can lead to more risks because of its interconnectedness. Since it would be applied to e.g. equity trading and bond trading new and unwanted exposures might be created. This might result in risks for market integrity and stability. We ask ESMA to reconsider its approach.</w:t>
      </w:r>
    </w:p>
    <w:permEnd w:id="2041452024"/>
    <w:p w:rsidR="00577C33" w:rsidRDefault="00577C33" w:rsidP="00EC2C93">
      <w:pPr>
        <w:keepNext/>
      </w:pPr>
      <w:proofErr w:type="gramStart"/>
      <w:r>
        <w:t>&lt;</w:t>
      </w:r>
      <w:proofErr w:type="gramEnd"/>
      <w:r>
        <w: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B62BBE" w:rsidRDefault="00B62BBE" w:rsidP="00EC2C93">
      <w:pPr>
        <w:keepNext/>
      </w:pPr>
      <w:permStart w:id="1861971360" w:edGrp="everyone"/>
      <w:r w:rsidRPr="00B62BBE">
        <w:t>First of all, EBF request that firms only should apply to one set of rules, i.e. the ESMA present guidelines Systems and controls in an automated trading environment for trading platforms, investment firms and competent authorities are workable and should be implemented unchanged and serve as the only standard for testing and control as also indicated in the consultation paper page 347, no. 1. However, it is not exactly clear to which extend and where there have been any changes (ESMA only writes that “. ESMA has expanded on the guidelines by further specifying that compliance staff need to be in close contact with relevant trading personnel”) and we believe it is a fair requirement that ESMA specifies the changes in more detail (a delta review) in order for firms to assess the additional requirements relatively easy.</w:t>
      </w:r>
    </w:p>
    <w:permEnd w:id="1861971360"/>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B62BBE" w:rsidRDefault="00B62BBE" w:rsidP="00EC2C93">
      <w:pPr>
        <w:keepNext/>
      </w:pPr>
      <w:permStart w:id="1780374346" w:edGrp="everyone"/>
      <w:r w:rsidRPr="00B62BBE">
        <w:t xml:space="preserve">We welcome that all trading venues also are required to implement mandatory pre-trade control of orders since this is the crucial last “line of defence” in case investment firms’ own pre-trade control fails. </w:t>
      </w:r>
    </w:p>
    <w:permEnd w:id="1780374346"/>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963544804" w:edGrp="everyone"/>
      <w:r>
        <w:t>TYPE YOUR TEXT HERE</w:t>
      </w:r>
    </w:p>
    <w:permEnd w:id="1963544804"/>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lastRenderedPageBreak/>
        <w:t>&lt;ESMA_QUESTION_CP_MIFID_97&gt;</w:t>
      </w:r>
    </w:p>
    <w:p w:rsidR="00577C33" w:rsidRDefault="00577C33" w:rsidP="00EC2C93">
      <w:pPr>
        <w:keepNext/>
      </w:pPr>
      <w:permStart w:id="1849107010" w:edGrp="everyone"/>
      <w:r>
        <w:t>TYPE YOUR TEXT HERE</w:t>
      </w:r>
    </w:p>
    <w:permEnd w:id="1849107010"/>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B62BBE" w:rsidRDefault="00B62BBE" w:rsidP="00B62BBE">
      <w:pPr>
        <w:keepNext/>
      </w:pPr>
      <w:permStart w:id="72119013" w:edGrp="everyone"/>
      <w:r>
        <w:t>The EBF welcomes ESMA’s clarification in Art. 1 (1) Draft RTS specifying that investment firms in the sense of this RTS are only investment firms engaged in algorithmic trading. The EBF urges ESMA to add an analogous clarification concerning DEA clients.</w:t>
      </w:r>
    </w:p>
    <w:p w:rsidR="00B62BBE" w:rsidRDefault="00B62BBE" w:rsidP="00B62BBE">
      <w:pPr>
        <w:keepNext/>
      </w:pPr>
    </w:p>
    <w:p w:rsidR="00B62BBE" w:rsidRDefault="00B62BBE" w:rsidP="00B62BBE">
      <w:pPr>
        <w:keepNext/>
      </w:pPr>
      <w:r>
        <w:t>Recital 9 Draft RTS 13 and Art. 24 (</w:t>
      </w:r>
      <w:proofErr w:type="spellStart"/>
      <w:r>
        <w:t>i</w:t>
      </w:r>
      <w:proofErr w:type="spellEnd"/>
      <w:r>
        <w:t>) Draft RTS 13 should be deleted. It is not possible to check clients’ disciplinary history.</w:t>
      </w:r>
    </w:p>
    <w:p w:rsidR="00B62BBE" w:rsidRDefault="00B62BBE" w:rsidP="00B62BBE">
      <w:pPr>
        <w:keepNext/>
      </w:pPr>
    </w:p>
    <w:p w:rsidR="00B62BBE" w:rsidRDefault="00B62BBE" w:rsidP="00B62BBE">
      <w:pPr>
        <w:keepNext/>
      </w:pPr>
      <w:r>
        <w:t>Art. 8 Draft RTS 13 calls for a segregation of software, hardware and network infrastructure. Since the network infrastructure is part of the software or the hardware this is not possible. The word “network infrastructure” should be deleted.</w:t>
      </w:r>
    </w:p>
    <w:p w:rsidR="00B62BBE" w:rsidRDefault="00B62BBE" w:rsidP="00B62BBE">
      <w:pPr>
        <w:keepNext/>
      </w:pPr>
    </w:p>
    <w:p w:rsidR="00B62BBE" w:rsidRDefault="00B62BBE" w:rsidP="00EC2C93">
      <w:pPr>
        <w:keepNext/>
      </w:pPr>
      <w:r>
        <w:t>The requirement in Art. 13 Draft RTS 13 to conduct testing with at least as many algorithms as the firm used on its most active day of trading over the past 6 month period should be amended. What matters in a stress test is not the number of algorithms but the number of orders generated by them. A stress test in which a small number of algorithms generates a large number of orders is more meaningful than a stress test in which a large number of algorithms generates a relatively small number of orders.</w:t>
      </w:r>
    </w:p>
    <w:permEnd w:id="72119013"/>
    <w:p w:rsidR="00577C33" w:rsidRDefault="00577C33" w:rsidP="00EC2C93">
      <w:pPr>
        <w:keepNext/>
      </w:pPr>
      <w:proofErr w:type="gramStart"/>
      <w:r>
        <w:t>&lt;</w:t>
      </w:r>
      <w:proofErr w:type="gramEnd"/>
      <w:r>
        <w: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B62BBE" w:rsidRDefault="00B62BBE" w:rsidP="00B62BBE">
      <w:pPr>
        <w:keepNext/>
      </w:pPr>
      <w:permStart w:id="430313850" w:edGrp="everyone"/>
      <w:r>
        <w:t xml:space="preserve">The EBF is very concerned with article 27, 1, 3 section in MIFID which is further specified in ESMAs Technical Advice since the wording indicates that investments firms’ costs - when routing orders to different venues - should be included in the cost element in the best execution requirement. Is this correctly understood? </w:t>
      </w:r>
    </w:p>
    <w:p w:rsidR="00B62BBE" w:rsidRDefault="00B62BBE" w:rsidP="00B62BBE">
      <w:pPr>
        <w:keepNext/>
      </w:pPr>
    </w:p>
    <w:p w:rsidR="00B62BBE" w:rsidRDefault="00B62BBE" w:rsidP="00B62BBE">
      <w:pPr>
        <w:keepNext/>
      </w:pPr>
      <w:r>
        <w:t xml:space="preserve">If so, as we do agree to transparency on various cost, we do believe that including venue cost when determining best execution could imply an element of conflict of interest, since the investment firm will have an incentive to route to venues with the lowest costs and these are not necessarily the venues where clients get the best execution in respect of i.e. price, time and market impact. The investment firm should always focus on the best interest of clients. </w:t>
      </w:r>
    </w:p>
    <w:p w:rsidR="00B62BBE" w:rsidRDefault="00B62BBE" w:rsidP="00B62BBE">
      <w:pPr>
        <w:keepNext/>
      </w:pPr>
    </w:p>
    <w:p w:rsidR="00B62BBE" w:rsidRDefault="00B62BBE" w:rsidP="00EC2C93">
      <w:pPr>
        <w:keepNext/>
      </w:pPr>
      <w:r>
        <w:t>We therefore request ESMA to elaborate on this requirement with respect of the considerations listed above.</w:t>
      </w:r>
    </w:p>
    <w:permEnd w:id="430313850"/>
    <w:p w:rsidR="00577C33" w:rsidRDefault="00577C33" w:rsidP="00EC2C93">
      <w:pPr>
        <w:keepNext/>
      </w:pPr>
      <w:proofErr w:type="gramStart"/>
      <w:r>
        <w:t>&lt;</w:t>
      </w:r>
      <w:proofErr w:type="gramEnd"/>
      <w:r>
        <w: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676685247" w:edGrp="everyone"/>
      <w:r>
        <w:t>TYPE YOUR TEXT HERE</w:t>
      </w:r>
    </w:p>
    <w:permEnd w:id="1676685247"/>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716650820" w:edGrp="everyone"/>
      <w:r>
        <w:t>TYPE YOUR TEXT HERE</w:t>
      </w:r>
    </w:p>
    <w:permEnd w:id="71665082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923759668" w:edGrp="everyone"/>
      <w:r>
        <w:t>TYPE YOUR TEXT HERE</w:t>
      </w:r>
    </w:p>
    <w:permEnd w:id="923759668"/>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008762409" w:edGrp="everyone"/>
      <w:r>
        <w:t>TYPE YOUR TEXT HERE</w:t>
      </w:r>
    </w:p>
    <w:permEnd w:id="1008762409"/>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B62BBE" w:rsidRDefault="00B62BBE" w:rsidP="00B62BBE">
      <w:pPr>
        <w:keepNext/>
      </w:pPr>
      <w:permStart w:id="2132698151" w:edGrp="everyone"/>
      <w:r>
        <w:t xml:space="preserve">No. The Market Making requirements will be counterproductive for on-venue trading and liquidity. </w:t>
      </w:r>
    </w:p>
    <w:p w:rsidR="00B62BBE" w:rsidRDefault="00B62BBE" w:rsidP="00B62BBE">
      <w:pPr>
        <w:keepNext/>
      </w:pPr>
    </w:p>
    <w:p w:rsidR="00B62BBE" w:rsidRDefault="00B62BBE" w:rsidP="00B62BBE">
      <w:pPr>
        <w:keepNext/>
      </w:pPr>
      <w:r>
        <w:t>ESMA proposes that firms will be deemed market marker and must comply with certain binding agreements and commercial terms set by a trading venue, if they are posting firm, simultaneous two-way quotes of comparable size and at competitive prices for at least one instrument in no less than 30 % of the daily trading hours. However, these requirements will capture the traditional investment firms and leave behind the firms that should be captured, i.e. firms posting non-firm, one-way quotes etc. The proposal is not in line with the intention of the directive and will imply that investment firms will do what they can to avoid being captured, meaning less “firm, simultaneous two-way quotes of comparable size and at competitive prices” on the trading venues and much more SI trading. EBF does not believe this is a wanted outcome.</w:t>
      </w:r>
    </w:p>
    <w:p w:rsidR="00B62BBE" w:rsidRDefault="00B62BBE" w:rsidP="00B62BBE">
      <w:pPr>
        <w:keepNext/>
      </w:pPr>
    </w:p>
    <w:p w:rsidR="00B62BBE" w:rsidRDefault="00B62BBE" w:rsidP="00B62BBE">
      <w:pPr>
        <w:keepNext/>
      </w:pPr>
      <w:r>
        <w:t xml:space="preserve"> In addition, with the lower tick sizes, as ESMA also proposes, market makers as a whole will face a decrease in the payment the risk they are taking, which will accelerate this inappropriate development. </w:t>
      </w:r>
    </w:p>
    <w:p w:rsidR="00B62BBE" w:rsidRDefault="00B62BBE" w:rsidP="00B62BBE">
      <w:pPr>
        <w:keepNext/>
      </w:pPr>
    </w:p>
    <w:p w:rsidR="00B62BBE" w:rsidRDefault="00B62BBE" w:rsidP="00B62BBE">
      <w:pPr>
        <w:keepNext/>
      </w:pPr>
      <w:r>
        <w:t>This is not in the interest of neither investors, trading venues, investment firms nor the community as a whole.</w:t>
      </w:r>
    </w:p>
    <w:p w:rsidR="00B62BBE" w:rsidRDefault="00B62BBE" w:rsidP="00B62BBE">
      <w:pPr>
        <w:keepNext/>
      </w:pPr>
    </w:p>
    <w:p w:rsidR="00577C33" w:rsidRDefault="00B62BBE" w:rsidP="00EC2C93">
      <w:pPr>
        <w:keepNext/>
      </w:pPr>
      <w:r>
        <w:t xml:space="preserve">However, since the requirements on “two-way quotes ...” are set at level 1, the only option seem to be to increase the 30% threshold considerably to i.e. 80%-90% before the market maker are forced into binding, written agreements. Then the additional requirement for how </w:t>
      </w:r>
      <w:r>
        <w:lastRenderedPageBreak/>
        <w:t xml:space="preserve">long time the Market maker must provide firm quotes can be increased correspondingly. </w:t>
      </w:r>
      <w:permEnd w:id="2132698151"/>
      <w:r w:rsidR="00577C33">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B62BBE" w:rsidRDefault="00B62BBE" w:rsidP="00EC2C93">
      <w:pPr>
        <w:keepNext/>
      </w:pPr>
      <w:permStart w:id="973105336" w:edGrp="everyone"/>
      <w:r w:rsidRPr="00B62BBE">
        <w:t>No – see response to Q104. The threshold should be much higher in order not to force flow away from the trading venues, i.e. 80%-90%.</w:t>
      </w:r>
    </w:p>
    <w:permEnd w:id="973105336"/>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B62BBE" w:rsidRDefault="00B62BBE" w:rsidP="00EC2C93">
      <w:pPr>
        <w:keepNext/>
      </w:pPr>
      <w:permStart w:id="401364027" w:edGrp="everyone"/>
      <w:r w:rsidRPr="00B62BBE">
        <w:t>No – must correspond to the increased threshold on i.e. 80-90% before investment firms are forced to enter into binding written agreements.</w:t>
      </w:r>
    </w:p>
    <w:permEnd w:id="401364027"/>
    <w:p w:rsidR="00577C33" w:rsidRDefault="00577C33" w:rsidP="00EC2C93">
      <w:pPr>
        <w:keepNext/>
      </w:pPr>
      <w:proofErr w:type="gramStart"/>
      <w:r>
        <w:t>&lt;</w:t>
      </w:r>
      <w:proofErr w:type="gramEnd"/>
      <w:r>
        <w: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B62BBE" w:rsidRDefault="00B62BBE" w:rsidP="00EC2C93">
      <w:pPr>
        <w:keepNext/>
      </w:pPr>
      <w:permStart w:id="931360913" w:edGrp="everyone"/>
      <w:r w:rsidRPr="00B62BBE">
        <w:t xml:space="preserve">Yes. </w:t>
      </w:r>
    </w:p>
    <w:permEnd w:id="931360913"/>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B62BBE" w:rsidP="00EC2C93">
      <w:pPr>
        <w:keepNext/>
      </w:pPr>
      <w:permStart w:id="195521529" w:edGrp="everyone"/>
      <w:r>
        <w:t>No.</w:t>
      </w:r>
    </w:p>
    <w:permEnd w:id="195521529"/>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B62BBE" w:rsidRDefault="00B62BBE" w:rsidP="00EC2C93">
      <w:pPr>
        <w:keepNext/>
      </w:pPr>
      <w:permStart w:id="576138029" w:edGrp="everyone"/>
      <w:r w:rsidRPr="00B62BBE">
        <w:t>Yes, we agree with the RTS. It makes very good sense that the calculations of the thresholds are based on the same formula. However, EBF finds it strange that ESMA has not the mandate to set any thresholds or sanctions for the OTR. ESMA should be aware that this may result in very different threshold and sanctions across Europe. In other words, venues may have an incentive to compete on this parameter, which is not in the interest of well-functioning markets. ESMA should consider to develop guidelines on adequate thresholds, which support genuine orders.</w:t>
      </w:r>
    </w:p>
    <w:permEnd w:id="576138029"/>
    <w:p w:rsidR="00577C33" w:rsidRDefault="00577C33" w:rsidP="00EC2C93">
      <w:pPr>
        <w:keepNext/>
      </w:pPr>
      <w:proofErr w:type="gramStart"/>
      <w:r>
        <w:t>&lt;</w:t>
      </w:r>
      <w:proofErr w:type="gramEnd"/>
      <w:r>
        <w: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lastRenderedPageBreak/>
        <w:t>&lt;ESMA_QUESTION_CP_MIFID_110&gt;</w:t>
      </w:r>
    </w:p>
    <w:p w:rsidR="00577C33" w:rsidRDefault="00577C33" w:rsidP="00EC2C93">
      <w:pPr>
        <w:keepNext/>
      </w:pPr>
      <w:permStart w:id="1013848807" w:edGrp="everyone"/>
      <w:r>
        <w:t>TYPE YOUR TEXT HERE</w:t>
      </w:r>
    </w:p>
    <w:permEnd w:id="1013848807"/>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B62BBE" w:rsidRDefault="00B62BBE" w:rsidP="00EC2C93">
      <w:pPr>
        <w:keepNext/>
      </w:pPr>
      <w:permStart w:id="947460328" w:edGrp="everyone"/>
      <w:r w:rsidRPr="00B62BBE">
        <w:t>The definition is ok.</w:t>
      </w:r>
    </w:p>
    <w:permEnd w:id="947460328"/>
    <w:p w:rsidR="00577C33" w:rsidRDefault="00577C33" w:rsidP="00EC2C93">
      <w:pPr>
        <w:keepNext/>
      </w:pPr>
      <w:proofErr w:type="gramStart"/>
      <w:r>
        <w:t>&lt;</w:t>
      </w:r>
      <w:proofErr w:type="gramEnd"/>
      <w:r>
        <w: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246D41" w:rsidP="00EC2C93">
      <w:pPr>
        <w:keepNext/>
      </w:pPr>
      <w:permStart w:id="760883880" w:edGrp="everyone"/>
      <w:r>
        <w:t>No.</w:t>
      </w:r>
    </w:p>
    <w:permEnd w:id="760883880"/>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246D41" w:rsidP="00EC2C93">
      <w:pPr>
        <w:keepNext/>
      </w:pPr>
      <w:permStart w:id="549790462" w:edGrp="everyone"/>
      <w:r>
        <w:t>Yes.</w:t>
      </w:r>
    </w:p>
    <w:permEnd w:id="54979046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246D41" w:rsidRDefault="00246D41" w:rsidP="00EC2C93">
      <w:pPr>
        <w:keepNext/>
      </w:pPr>
      <w:permStart w:id="643059704" w:edGrp="everyone"/>
      <w:r w:rsidRPr="00246D41">
        <w:t>In order to ensure consistency, auctions should be excluded, cf. Q52.</w:t>
      </w:r>
    </w:p>
    <w:permEnd w:id="643059704"/>
    <w:p w:rsidR="00577C33" w:rsidRDefault="00577C33" w:rsidP="00EC2C93">
      <w:pPr>
        <w:keepNext/>
      </w:pPr>
      <w:proofErr w:type="gramStart"/>
      <w:r>
        <w:t>&lt;</w:t>
      </w:r>
      <w:proofErr w:type="gramEnd"/>
      <w:r>
        <w: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670256506" w:edGrp="everyone"/>
      <w:r>
        <w:t>TYPE YOUR TEXT HERE</w:t>
      </w:r>
    </w:p>
    <w:permEnd w:id="1670256506"/>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1356530866" w:edGrp="everyone"/>
      <w:r>
        <w:t>TYPE YOUR TEXT HERE</w:t>
      </w:r>
    </w:p>
    <w:permEnd w:id="1356530866"/>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42241527" w:edGrp="everyone"/>
      <w:r>
        <w:t>TYPE YOUR TEXT HERE</w:t>
      </w:r>
    </w:p>
    <w:permEnd w:id="1242241527"/>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lastRenderedPageBreak/>
        <w:t>&lt;ESMA_QUESTION_CP_MIFID_118&gt;</w:t>
      </w:r>
    </w:p>
    <w:p w:rsidR="00577C33" w:rsidRDefault="00577C33" w:rsidP="00EC2C93">
      <w:pPr>
        <w:keepNext/>
      </w:pPr>
      <w:permStart w:id="289624893" w:edGrp="everyone"/>
      <w:r>
        <w:t>TYPE YOUR TEXT HERE</w:t>
      </w:r>
    </w:p>
    <w:permEnd w:id="289624893"/>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246D41" w:rsidRDefault="00246D41" w:rsidP="00EC2C93">
      <w:pPr>
        <w:keepNext/>
      </w:pPr>
      <w:permStart w:id="1666014906" w:edGrp="everyone"/>
      <w:r w:rsidRPr="00246D41">
        <w:t xml:space="preserve">Not at present. </w:t>
      </w:r>
    </w:p>
    <w:permEnd w:id="1666014906"/>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77152076" w:edGrp="everyone"/>
      <w:r>
        <w:t>TYPE YOUR TEXT HERE</w:t>
      </w:r>
    </w:p>
    <w:permEnd w:id="77152076"/>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689026220" w:edGrp="everyone"/>
      <w:r>
        <w:t>TYPE YOUR TEXT HERE</w:t>
      </w:r>
    </w:p>
    <w:permEnd w:id="168902622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270049523" w:edGrp="everyone"/>
      <w:r>
        <w:t>TYPE YOUR TEXT HERE</w:t>
      </w:r>
    </w:p>
    <w:permEnd w:id="1270049523"/>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246D41" w:rsidRDefault="00246D41" w:rsidP="00246D41">
      <w:pPr>
        <w:keepNext/>
      </w:pPr>
      <w:permStart w:id="1472945677" w:edGrp="everyone"/>
      <w:r>
        <w:t>First of all, ESMA should use turnover as an indicator of liquidity since this is a much more correct proxy.</w:t>
      </w:r>
    </w:p>
    <w:p w:rsidR="00246D41" w:rsidRDefault="00246D41" w:rsidP="00246D41">
      <w:pPr>
        <w:keepNext/>
      </w:pPr>
    </w:p>
    <w:p w:rsidR="00246D41" w:rsidRDefault="00246D41" w:rsidP="00EC2C93">
      <w:pPr>
        <w:keepNext/>
      </w:pPr>
      <w:r>
        <w:t>Secondly, ESMA should choose the most relevant market in terms of liquidity since this cover the most liquid market and apply a consistent approach throughout the level 2 rules, as also previously stated.</w:t>
      </w:r>
    </w:p>
    <w:permEnd w:id="1472945677"/>
    <w:p w:rsidR="00577C33" w:rsidRDefault="00577C33" w:rsidP="00EC2C93">
      <w:pPr>
        <w:keepNext/>
      </w:pPr>
      <w:proofErr w:type="gramStart"/>
      <w:r>
        <w:t>&lt;</w:t>
      </w:r>
      <w:proofErr w:type="gramEnd"/>
      <w:r>
        <w: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lastRenderedPageBreak/>
        <w:t>&lt;ESMA_QUESTION_CP_MIFID_124&gt;</w:t>
      </w:r>
    </w:p>
    <w:p w:rsidR="00246D41" w:rsidRDefault="00246D41" w:rsidP="00EC2C93">
      <w:pPr>
        <w:keepNext/>
      </w:pPr>
      <w:permStart w:id="498613305" w:edGrp="everyone"/>
      <w:r w:rsidRPr="00246D41">
        <w:t>ESMAs proposal for tick sizes needs further adjustments since it will reduce tick sizes too much in liquid/less liquid shares and increase tick sizes too much in super liquid shares compared to the present situation.</w:t>
      </w:r>
    </w:p>
    <w:permEnd w:id="498613305"/>
    <w:p w:rsidR="00577C33" w:rsidRDefault="00577C33" w:rsidP="00EC2C93">
      <w:pPr>
        <w:keepNext/>
      </w:pPr>
      <w:proofErr w:type="gramStart"/>
      <w:r>
        <w:t>&lt;</w:t>
      </w:r>
      <w:proofErr w:type="gramEnd"/>
      <w:r>
        <w: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568150808" w:edGrp="everyone"/>
      <w:r>
        <w:t>TYPE YOUR TEXT HERE</w:t>
      </w:r>
    </w:p>
    <w:permEnd w:id="568150808"/>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2085176477" w:edGrp="everyone"/>
      <w:r>
        <w:t>TYPE YOUR TEXT HERE</w:t>
      </w:r>
    </w:p>
    <w:permEnd w:id="2085176477"/>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755057399" w:edGrp="everyone"/>
      <w:r>
        <w:t>TYPE YOUR TEXT HERE</w:t>
      </w:r>
    </w:p>
    <w:permEnd w:id="755057399"/>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56321132" w:edGrp="everyone"/>
      <w:r>
        <w:t>TYPE YOUR TEXT HERE</w:t>
      </w:r>
    </w:p>
    <w:permEnd w:id="156321132"/>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567959101" w:edGrp="everyone"/>
      <w:r>
        <w:t>TYPE YOUR TEXT HERE</w:t>
      </w:r>
    </w:p>
    <w:permEnd w:id="1567959101"/>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555966887" w:edGrp="everyone"/>
      <w:r>
        <w:t>TYPE YOUR TEXT HERE</w:t>
      </w:r>
    </w:p>
    <w:permEnd w:id="1555966887"/>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lastRenderedPageBreak/>
        <w:t>&lt;ESMA_QUESTION_CP_MIFID_131&gt;</w:t>
      </w:r>
    </w:p>
    <w:p w:rsidR="00577C33" w:rsidRDefault="00577C33" w:rsidP="00EC2C93">
      <w:pPr>
        <w:keepNext/>
      </w:pPr>
      <w:permStart w:id="128923811" w:edGrp="everyone"/>
      <w:r>
        <w:t>TYPE YOUR TEXT HERE</w:t>
      </w:r>
    </w:p>
    <w:permEnd w:id="128923811"/>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630300983" w:edGrp="everyone"/>
      <w:r>
        <w:t>TYPE YOUR TEXT HERE</w:t>
      </w:r>
    </w:p>
    <w:permEnd w:id="1630300983"/>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658842663" w:edGrp="everyone"/>
      <w:r>
        <w:t>TYPE YOUR TEXT HERE</w:t>
      </w:r>
    </w:p>
    <w:permEnd w:id="658842663"/>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093487312" w:edGrp="everyone"/>
      <w:r>
        <w:t>TYPE YOUR TEXT HERE</w:t>
      </w:r>
    </w:p>
    <w:permEnd w:id="1093487312"/>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833768356" w:edGrp="everyone"/>
      <w:r>
        <w:t>TYPE YOUR TEXT HERE</w:t>
      </w:r>
    </w:p>
    <w:permEnd w:id="1833768356"/>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92351032" w:edGrp="everyone"/>
      <w:r>
        <w:t>TYPE YOUR TEXT HERE</w:t>
      </w:r>
    </w:p>
    <w:permEnd w:id="1492351032"/>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521626787" w:edGrp="everyone"/>
      <w:r>
        <w:t>TYPE YOUR TEXT HERE</w:t>
      </w:r>
    </w:p>
    <w:permEnd w:id="1521626787"/>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798911715" w:edGrp="everyone"/>
      <w:r>
        <w:t>TYPE YOUR TEXT HERE</w:t>
      </w:r>
    </w:p>
    <w:permEnd w:id="1798911715"/>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529104057" w:edGrp="everyone"/>
      <w:r>
        <w:t>TYPE YOUR TEXT HERE</w:t>
      </w:r>
    </w:p>
    <w:permEnd w:id="1529104057"/>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043483881" w:edGrp="everyone"/>
      <w:r>
        <w:t>TYPE YOUR TEXT HERE</w:t>
      </w:r>
    </w:p>
    <w:permEnd w:id="1043483881"/>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944537582" w:edGrp="everyone"/>
      <w:r>
        <w:t>TYPE YOUR TEXT HERE</w:t>
      </w:r>
    </w:p>
    <w:permEnd w:id="1944537582"/>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68183699" w:edGrp="everyone"/>
      <w:r>
        <w:t>TYPE YOUR TEXT HERE</w:t>
      </w:r>
    </w:p>
    <w:permEnd w:id="168183699"/>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719470423" w:edGrp="everyone"/>
      <w:r>
        <w:t>TYPE YOUR TEXT HERE</w:t>
      </w:r>
    </w:p>
    <w:permEnd w:id="719470423"/>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318528848" w:edGrp="everyone"/>
      <w:r>
        <w:t>TYPE YOUR TEXT HERE</w:t>
      </w:r>
    </w:p>
    <w:permEnd w:id="318528848"/>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246D41" w:rsidRDefault="00246D41" w:rsidP="00246D41">
      <w:pPr>
        <w:keepNext/>
      </w:pPr>
      <w:permStart w:id="633370756" w:edGrp="everyone"/>
      <w:r>
        <w:t>No. The data disaggregation should not be divided into two levels (article 1 and 2 in RTS 22), where article 2 is not mandatory, due to article 3. The venues have the data and should be required to offer the unbundling as described in both articles since market participant need the information and should not dependent on an arbitrary evaluation by the venues. We all know that art. 2 and 3 will result in a battle to get the venues to provide the requested information.</w:t>
      </w:r>
    </w:p>
    <w:p w:rsidR="00246D41" w:rsidRDefault="00246D41" w:rsidP="00246D41">
      <w:pPr>
        <w:keepNext/>
      </w:pPr>
    </w:p>
    <w:p w:rsidR="00577C33" w:rsidRDefault="00246D41" w:rsidP="00246D41">
      <w:pPr>
        <w:keepNext/>
      </w:pPr>
      <w:r>
        <w:t>In case ESMA insist on a mandatory (art. 1) and a voluntary section (art. 2), we request that art. 2, a) and b) are moved to mandatory disaggregation (art. 1) AND that the article 3 is expanded with concrete measures to determine when there is “insufficient demand for additional disaggregation”. EBF urges that if 10% or more of the members of a venue or 10% or more of the market share in a given financial instrument request additional disaggregation according to art. 2 in RTS 22, this must be accommodated within 30 business days from the request is made. These thresholds must be included in the RTS.</w:t>
      </w:r>
    </w:p>
    <w:permEnd w:id="633370756"/>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lastRenderedPageBreak/>
        <w:t>&lt;ESMA_QUESTION_CP_MIFID_146&gt;</w:t>
      </w:r>
    </w:p>
    <w:p w:rsidR="00577C33" w:rsidRDefault="00577C33" w:rsidP="00EC2C93">
      <w:pPr>
        <w:keepNext/>
      </w:pPr>
      <w:permStart w:id="1065055154" w:edGrp="everyone"/>
      <w:r>
        <w:t>TYPE YOUR TEXT HERE</w:t>
      </w:r>
    </w:p>
    <w:permEnd w:id="106505515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606949644" w:edGrp="everyone"/>
      <w:r>
        <w:t>TYPE YOUR TEXT HERE</w:t>
      </w:r>
    </w:p>
    <w:permEnd w:id="1606949644"/>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1513835143" w:edGrp="everyone"/>
      <w:r>
        <w:t>TYPE YOUR TEXT HERE</w:t>
      </w:r>
    </w:p>
    <w:permEnd w:id="1513835143"/>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7711651" w:edGrp="everyone"/>
      <w:r>
        <w:t>TYPE YOUR TEXT HERE</w:t>
      </w:r>
    </w:p>
    <w:permEnd w:id="17711651"/>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45429211" w:edGrp="everyone"/>
      <w:r>
        <w:t>TYPE YOUR TEXT HERE</w:t>
      </w:r>
    </w:p>
    <w:permEnd w:id="145429211"/>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779500201" w:edGrp="everyone"/>
      <w:r>
        <w:t>TYPE YOUR TEXT HERE</w:t>
      </w:r>
    </w:p>
    <w:permEnd w:id="779500201"/>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762712319" w:edGrp="everyone"/>
      <w:r>
        <w:t>TYPE YOUR TEXT HERE</w:t>
      </w:r>
    </w:p>
    <w:permEnd w:id="762712319"/>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lastRenderedPageBreak/>
        <w:t>&lt;ESMA_QUESTION_CP_MIFID_153&gt;</w:t>
      </w:r>
    </w:p>
    <w:p w:rsidR="00577C33" w:rsidRDefault="00577C33" w:rsidP="00EC2C93">
      <w:pPr>
        <w:keepNext/>
      </w:pPr>
      <w:permStart w:id="867520328" w:edGrp="everyone"/>
      <w:r>
        <w:t>TYPE YOUR TEXT HERE</w:t>
      </w:r>
    </w:p>
    <w:permEnd w:id="867520328"/>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545628884" w:edGrp="everyone"/>
      <w:r>
        <w:t>TYPE YOUR TEXT HERE</w:t>
      </w:r>
    </w:p>
    <w:permEnd w:id="1545628884"/>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50201182" w:edGrp="everyone"/>
      <w:r>
        <w:t>TYPE YOUR TEXT HERE</w:t>
      </w:r>
    </w:p>
    <w:permEnd w:id="50201182"/>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546021313" w:edGrp="everyone"/>
      <w:r>
        <w:t>TYPE YOUR TEXT HERE</w:t>
      </w:r>
    </w:p>
    <w:permEnd w:id="1546021313"/>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2113431905" w:edGrp="everyone"/>
      <w:r>
        <w:t>TYPE YOUR TEXT HERE</w:t>
      </w:r>
    </w:p>
    <w:permEnd w:id="2113431905"/>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38365631" w:edGrp="everyone"/>
      <w:r>
        <w:t>TYPE YOUR TEXT HERE</w:t>
      </w:r>
    </w:p>
    <w:permEnd w:id="38365631"/>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521489563" w:edGrp="everyone"/>
      <w:r>
        <w:t>TYPE YOUR TEXT HERE</w:t>
      </w:r>
    </w:p>
    <w:permEnd w:id="521489563"/>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966026827" w:edGrp="everyone"/>
      <w:r>
        <w:t>TYPE YOUR TEXT HERE</w:t>
      </w:r>
    </w:p>
    <w:permEnd w:id="1966026827"/>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496132272" w:edGrp="everyone"/>
      <w:r>
        <w:t>TYPE YOUR TEXT HERE</w:t>
      </w:r>
    </w:p>
    <w:permEnd w:id="496132272"/>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787160096" w:edGrp="everyone"/>
      <w:r>
        <w:t>TYPE YOUR TEXT HERE</w:t>
      </w:r>
    </w:p>
    <w:permEnd w:id="787160096"/>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428022906" w:edGrp="everyone"/>
      <w:r>
        <w:t>TYPE YOUR TEXT HERE</w:t>
      </w:r>
    </w:p>
    <w:permEnd w:id="428022906"/>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34576339" w:edGrp="everyone"/>
      <w:r>
        <w:t>TYPE YOUR TEXT HERE</w:t>
      </w:r>
    </w:p>
    <w:permEnd w:id="134576339"/>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597921614" w:edGrp="everyone"/>
      <w:r>
        <w:t>TYPE YOUR TEXT HERE</w:t>
      </w:r>
    </w:p>
    <w:permEnd w:id="159792161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850021214" w:edGrp="everyone"/>
      <w:r>
        <w:t>TYPE YOUR TEXT HERE</w:t>
      </w:r>
    </w:p>
    <w:permEnd w:id="1850021214"/>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2011375087" w:edGrp="everyone"/>
      <w:r>
        <w:t>TYPE YOUR TEXT HERE</w:t>
      </w:r>
    </w:p>
    <w:permEnd w:id="2011375087"/>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956503269" w:edGrp="everyone"/>
      <w:r>
        <w:t>TYPE YOUR TEXT HERE</w:t>
      </w:r>
    </w:p>
    <w:permEnd w:id="956503269"/>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772385967" w:edGrp="everyone"/>
      <w:r>
        <w:t>TYPE YOUR TEXT HERE</w:t>
      </w:r>
    </w:p>
    <w:permEnd w:id="1772385967"/>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546585023" w:edGrp="everyone"/>
      <w:r>
        <w:t>TYPE YOUR TEXT HERE</w:t>
      </w:r>
    </w:p>
    <w:permEnd w:id="1546585023"/>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568624206" w:edGrp="everyone"/>
      <w:r>
        <w:t>TYPE YOUR TEXT HERE</w:t>
      </w:r>
    </w:p>
    <w:permEnd w:id="1568624206"/>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578034473" w:edGrp="everyone"/>
      <w:r>
        <w:t>TYPE YOUR TEXT HERE</w:t>
      </w:r>
    </w:p>
    <w:permEnd w:id="578034473"/>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886400564" w:edGrp="everyone"/>
      <w:r>
        <w:t>TYPE YOUR TEXT HERE</w:t>
      </w:r>
    </w:p>
    <w:permEnd w:id="886400564"/>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788207668" w:edGrp="everyone"/>
      <w:r>
        <w:t>TYPE YOUR TEXT HERE</w:t>
      </w:r>
    </w:p>
    <w:permEnd w:id="788207668"/>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601100316" w:edGrp="everyone"/>
      <w:r>
        <w:t>TYPE YOUR TEXT HERE</w:t>
      </w:r>
    </w:p>
    <w:permEnd w:id="601100316"/>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808135076" w:edGrp="everyone"/>
      <w:r>
        <w:t>TYPE YOUR TEXT HERE</w:t>
      </w:r>
    </w:p>
    <w:permEnd w:id="808135076"/>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2098405867" w:edGrp="everyone"/>
      <w:r>
        <w:t>TYPE YOUR TEXT HERE</w:t>
      </w:r>
    </w:p>
    <w:permEnd w:id="2098405867"/>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959585769" w:edGrp="everyone"/>
      <w:r>
        <w:t>TYPE YOUR TEXT HERE</w:t>
      </w:r>
    </w:p>
    <w:permEnd w:id="959585769"/>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809711860" w:edGrp="everyone"/>
      <w:r>
        <w:t>TYPE YOUR TEXT HERE</w:t>
      </w:r>
    </w:p>
    <w:permEnd w:id="1809711860"/>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9293917" w:edGrp="everyone"/>
      <w:r>
        <w:t>TYPE YOUR TEXT HERE</w:t>
      </w:r>
    </w:p>
    <w:permEnd w:id="19293917"/>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463748784" w:edGrp="everyone"/>
      <w:r>
        <w:t>TYPE YOUR TEXT HERE</w:t>
      </w:r>
    </w:p>
    <w:permEnd w:id="463748784"/>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799876639" w:edGrp="everyone"/>
      <w:r>
        <w:t>TYPE YOUR TEXT HERE</w:t>
      </w:r>
    </w:p>
    <w:permEnd w:id="799876639"/>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49117425" w:edGrp="everyone"/>
      <w:r>
        <w:t>TYPE YOUR TEXT HERE</w:t>
      </w:r>
    </w:p>
    <w:permEnd w:id="1949117425"/>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34833977" w:edGrp="everyone"/>
      <w:r>
        <w:t>TYPE YOUR TEXT HERE</w:t>
      </w:r>
    </w:p>
    <w:permEnd w:id="1934833977"/>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1563649" w:edGrp="everyone"/>
      <w:r>
        <w:t>TYPE YOUR TEXT HERE</w:t>
      </w:r>
    </w:p>
    <w:permEnd w:id="191563649"/>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535389193" w:edGrp="everyone"/>
      <w:r>
        <w:t>TYPE YOUR TEXT HERE</w:t>
      </w:r>
    </w:p>
    <w:permEnd w:id="1535389193"/>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75315702" w:edGrp="everyone"/>
      <w:r>
        <w:t>TYPE YOUR TEXT HERE</w:t>
      </w:r>
    </w:p>
    <w:permEnd w:id="175315702"/>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828710564" w:edGrp="everyone"/>
      <w:r>
        <w:t>TYPE YOUR TEXT HERE</w:t>
      </w:r>
    </w:p>
    <w:permEnd w:id="828710564"/>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27167219" w:edGrp="everyone"/>
      <w:r>
        <w:t>TYPE YOUR TEXT HERE</w:t>
      </w:r>
    </w:p>
    <w:permEnd w:id="1927167219"/>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878017041" w:edGrp="everyone"/>
      <w:r>
        <w:t>TYPE YOUR TEXT HERE</w:t>
      </w:r>
    </w:p>
    <w:permEnd w:id="878017041"/>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640965328" w:edGrp="everyone"/>
      <w:r>
        <w:t>TYPE YOUR TEXT HERE</w:t>
      </w:r>
    </w:p>
    <w:permEnd w:id="64096532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746799382" w:edGrp="everyone"/>
      <w:r>
        <w:t>TYPE YOUR TEXT HERE</w:t>
      </w:r>
    </w:p>
    <w:permEnd w:id="746799382"/>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26463641" w:edGrp="everyone"/>
      <w:r>
        <w:t>TYPE YOUR TEXT HERE</w:t>
      </w:r>
    </w:p>
    <w:permEnd w:id="2026463641"/>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530790410" w:edGrp="everyone"/>
      <w:r>
        <w:t>TYPE YOUR TEXT HERE</w:t>
      </w:r>
    </w:p>
    <w:permEnd w:id="1530790410"/>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441652482" w:edGrp="everyone"/>
      <w:r>
        <w:t>TYPE YOUR TEXT HERE</w:t>
      </w:r>
    </w:p>
    <w:permEnd w:id="441652482"/>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728912838" w:edGrp="everyone"/>
      <w:r>
        <w:t>TYPE YOUR TEXT HERE</w:t>
      </w:r>
    </w:p>
    <w:permEnd w:id="1728912838"/>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40451381" w:edGrp="everyone"/>
      <w:r>
        <w:t>TYPE YOUR TEXT HERE</w:t>
      </w:r>
    </w:p>
    <w:permEnd w:id="140451381"/>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850747993" w:edGrp="everyone"/>
      <w:r>
        <w:t>TYPE YOUR TEXT HERE</w:t>
      </w:r>
    </w:p>
    <w:permEnd w:id="850747993"/>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482755891" w:edGrp="everyone"/>
      <w:r>
        <w:t>TYPE YOUR TEXT HERE</w:t>
      </w:r>
    </w:p>
    <w:permEnd w:id="1482755891"/>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609325803" w:edGrp="everyone"/>
      <w:r>
        <w:t>TYPE YOUR TEXT HERE</w:t>
      </w:r>
    </w:p>
    <w:permEnd w:id="1609325803"/>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782380092" w:edGrp="everyone"/>
      <w:r>
        <w:t>TYPE YOUR TEXT HERE</w:t>
      </w:r>
    </w:p>
    <w:permEnd w:id="782380092"/>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312158337" w:edGrp="everyone"/>
      <w:r>
        <w:t>TYPE YOUR TEXT HERE</w:t>
      </w:r>
    </w:p>
    <w:permEnd w:id="312158337"/>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494495317" w:edGrp="everyone"/>
      <w:r>
        <w:t>TYPE YOUR TEXT HERE</w:t>
      </w:r>
    </w:p>
    <w:permEnd w:id="494495317"/>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118270593" w:edGrp="everyone"/>
      <w:r>
        <w:t>TYPE YOUR TEXT HERE</w:t>
      </w:r>
    </w:p>
    <w:permEnd w:id="111827059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969619460" w:edGrp="everyone"/>
      <w:r>
        <w:t>TYPE YOUR TEXT HERE</w:t>
      </w:r>
    </w:p>
    <w:permEnd w:id="969619460"/>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859412177" w:edGrp="everyone"/>
      <w:r>
        <w:t>TYPE YOUR TEXT HERE</w:t>
      </w:r>
    </w:p>
    <w:permEnd w:id="1859412177"/>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902018451" w:edGrp="everyone"/>
      <w:r>
        <w:t>TYPE YOUR TEXT HERE</w:t>
      </w:r>
    </w:p>
    <w:permEnd w:id="1902018451"/>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315387047" w:edGrp="everyone"/>
      <w:r>
        <w:t>TYPE YOUR TEXT HERE</w:t>
      </w:r>
    </w:p>
    <w:permEnd w:id="31538704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610895764" w:edGrp="everyone"/>
      <w:r>
        <w:t>TYPE YOUR TEXT HERE</w:t>
      </w:r>
    </w:p>
    <w:permEnd w:id="1610895764"/>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653800318" w:edGrp="everyone"/>
      <w:r>
        <w:t>TYPE YOUR TEXT HERE</w:t>
      </w:r>
    </w:p>
    <w:permEnd w:id="653800318"/>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925574354" w:edGrp="everyone"/>
      <w:r>
        <w:t>TYPE YOUR TEXT HERE</w:t>
      </w:r>
    </w:p>
    <w:permEnd w:id="925574354"/>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446642293" w:edGrp="everyone"/>
      <w:r>
        <w:t>TYPE YOUR TEXT HERE</w:t>
      </w:r>
    </w:p>
    <w:permEnd w:id="446642293"/>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41081F" w:rsidRDefault="0041081F" w:rsidP="0041081F">
      <w:pPr>
        <w:keepNext/>
      </w:pPr>
      <w:permStart w:id="636187739" w:edGrp="everyone"/>
      <w:r>
        <w:t xml:space="preserve">EBF favours an approach which enables investment firms to choose the suitable format themselves. If that is not possible, the formats </w:t>
      </w:r>
      <w:proofErr w:type="spellStart"/>
      <w:r>
        <w:t>FpML</w:t>
      </w:r>
      <w:proofErr w:type="spellEnd"/>
      <w:r>
        <w:t xml:space="preserve"> and XML should be available since they enable firms to report all transactions that will be reportable in future.</w:t>
      </w:r>
    </w:p>
    <w:p w:rsidR="0041081F" w:rsidRDefault="0041081F" w:rsidP="0041081F">
      <w:pPr>
        <w:keepNext/>
      </w:pPr>
    </w:p>
    <w:p w:rsidR="0041081F" w:rsidRDefault="0041081F" w:rsidP="0041081F">
      <w:pPr>
        <w:keepNext/>
      </w:pPr>
      <w:r>
        <w:t xml:space="preserve">Under the current MiFID 1 regime some firms with an obligation to report do so using the services of an Approved Reporting Mechanism (ARM).  It is assumed that the ARMS will continue to take transaction data from their client firms using the messaging standards currently in place albeit extended to cater for the additional data elements that are required under MiFIR (EU) 600/2014. </w:t>
      </w:r>
    </w:p>
    <w:p w:rsidR="0041081F" w:rsidRDefault="0041081F" w:rsidP="0041081F">
      <w:pPr>
        <w:keepNext/>
      </w:pPr>
    </w:p>
    <w:p w:rsidR="0041081F" w:rsidRDefault="0041081F" w:rsidP="00EC2C93">
      <w:pPr>
        <w:keepNext/>
      </w:pPr>
      <w:r>
        <w:t>Where new messaging requirements arise under MiFIR then firms would prefer to use standardised formats and not proprietary or customised formats allowing them to leverage existing technical capabilities and infrastructure.</w:t>
      </w:r>
    </w:p>
    <w:permEnd w:id="636187739"/>
    <w:p w:rsidR="00577C33" w:rsidRDefault="00577C33" w:rsidP="00EC2C93">
      <w:pPr>
        <w:keepNext/>
      </w:pPr>
      <w:proofErr w:type="gramStart"/>
      <w:r>
        <w:t>&lt;</w:t>
      </w:r>
      <w:proofErr w:type="gramEnd"/>
      <w:r>
        <w: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41081F" w:rsidRPr="00684D41" w:rsidRDefault="00577C33" w:rsidP="0041081F">
      <w:pPr>
        <w:pStyle w:val="PlainText"/>
        <w:spacing w:after="240"/>
        <w:jc w:val="both"/>
        <w:rPr>
          <w:rFonts w:asciiTheme="majorHAnsi" w:hAnsiTheme="majorHAnsi"/>
          <w:sz w:val="22"/>
          <w:szCs w:val="24"/>
        </w:rPr>
      </w:pPr>
      <w:permStart w:id="1517703949" w:edGrp="everyone"/>
      <w:r>
        <w:t>TYPE YOUR TEXT HERE</w:t>
      </w:r>
      <w:r w:rsidR="0041081F" w:rsidRPr="0041081F">
        <w:rPr>
          <w:rFonts w:asciiTheme="majorHAnsi" w:hAnsiTheme="majorHAnsi"/>
          <w:szCs w:val="24"/>
        </w:rPr>
        <w:t xml:space="preserve"> </w:t>
      </w:r>
      <w:r w:rsidR="0041081F" w:rsidRPr="00684D41">
        <w:rPr>
          <w:rFonts w:asciiTheme="majorHAnsi" w:hAnsiTheme="majorHAnsi"/>
          <w:sz w:val="22"/>
          <w:szCs w:val="24"/>
        </w:rPr>
        <w:t>Firms welcome ESMA’s efforts to define what constitutes a ‘transaction’ and ‘execution’ for the purposes of transaction reporting. We also welcome clarity on the activities that are not included in the definition.  However, firms have the following comments with regards to the definition:</w:t>
      </w:r>
    </w:p>
    <w:p w:rsidR="0041081F" w:rsidRDefault="0041081F" w:rsidP="0041081F">
      <w:pPr>
        <w:pStyle w:val="PlainText"/>
        <w:spacing w:after="240"/>
        <w:jc w:val="both"/>
        <w:rPr>
          <w:rFonts w:asciiTheme="majorHAnsi" w:hAnsiTheme="majorHAnsi"/>
          <w:sz w:val="22"/>
          <w:szCs w:val="24"/>
        </w:rPr>
      </w:pPr>
      <w:r>
        <w:rPr>
          <w:rFonts w:asciiTheme="majorHAnsi" w:hAnsiTheme="majorHAnsi"/>
          <w:sz w:val="22"/>
          <w:szCs w:val="24"/>
        </w:rPr>
        <w:t>W</w:t>
      </w:r>
      <w:r w:rsidRPr="00DD43ED">
        <w:rPr>
          <w:rFonts w:asciiTheme="majorHAnsi" w:hAnsiTheme="majorHAnsi"/>
          <w:sz w:val="22"/>
          <w:szCs w:val="24"/>
        </w:rPr>
        <w:t xml:space="preserve">ith regards to the merger of funds and/or other financial instruments, </w:t>
      </w:r>
      <w:r>
        <w:rPr>
          <w:rFonts w:asciiTheme="majorHAnsi" w:hAnsiTheme="majorHAnsi"/>
          <w:sz w:val="22"/>
          <w:szCs w:val="24"/>
        </w:rPr>
        <w:t xml:space="preserve">EBF </w:t>
      </w:r>
      <w:r w:rsidRPr="00DD43ED">
        <w:rPr>
          <w:rFonts w:asciiTheme="majorHAnsi" w:hAnsiTheme="majorHAnsi"/>
          <w:sz w:val="22"/>
          <w:szCs w:val="24"/>
        </w:rPr>
        <w:t xml:space="preserve">members </w:t>
      </w:r>
      <w:r>
        <w:rPr>
          <w:rFonts w:asciiTheme="majorHAnsi" w:hAnsiTheme="majorHAnsi"/>
          <w:sz w:val="22"/>
          <w:szCs w:val="24"/>
        </w:rPr>
        <w:t>consider</w:t>
      </w:r>
      <w:r w:rsidRPr="00DD43ED">
        <w:rPr>
          <w:rFonts w:asciiTheme="majorHAnsi" w:hAnsiTheme="majorHAnsi"/>
          <w:sz w:val="22"/>
          <w:szCs w:val="24"/>
        </w:rPr>
        <w:t xml:space="preserve"> it important that ESMA clarifies whether these are excluded from the scope of the definition of</w:t>
      </w:r>
      <w:r>
        <w:rPr>
          <w:rFonts w:asciiTheme="majorHAnsi" w:hAnsiTheme="majorHAnsi"/>
          <w:sz w:val="22"/>
          <w:szCs w:val="24"/>
        </w:rPr>
        <w:t xml:space="preserve"> ‘transaction’ as well as of ‘e</w:t>
      </w:r>
      <w:r w:rsidRPr="00DD43ED">
        <w:rPr>
          <w:rFonts w:asciiTheme="majorHAnsi" w:hAnsiTheme="majorHAnsi"/>
          <w:sz w:val="22"/>
          <w:szCs w:val="24"/>
        </w:rPr>
        <w:t xml:space="preserve">xecution’, for the purposes of transaction reporting. </w:t>
      </w:r>
      <w:r>
        <w:rPr>
          <w:rFonts w:asciiTheme="majorHAnsi" w:hAnsiTheme="majorHAnsi"/>
          <w:sz w:val="22"/>
          <w:szCs w:val="24"/>
        </w:rPr>
        <w:t xml:space="preserve">ESMA </w:t>
      </w:r>
      <w:r w:rsidRPr="00DD43ED">
        <w:rPr>
          <w:rFonts w:asciiTheme="majorHAnsi" w:hAnsiTheme="majorHAnsi"/>
          <w:sz w:val="22"/>
          <w:szCs w:val="24"/>
        </w:rPr>
        <w:t>s</w:t>
      </w:r>
      <w:r>
        <w:rPr>
          <w:rFonts w:asciiTheme="majorHAnsi" w:hAnsiTheme="majorHAnsi"/>
          <w:sz w:val="22"/>
          <w:szCs w:val="24"/>
        </w:rPr>
        <w:t>hould also provide important</w:t>
      </w:r>
      <w:r w:rsidRPr="00DD43ED">
        <w:rPr>
          <w:rFonts w:asciiTheme="majorHAnsi" w:hAnsiTheme="majorHAnsi"/>
          <w:sz w:val="22"/>
          <w:szCs w:val="24"/>
        </w:rPr>
        <w:t xml:space="preserve"> clarification on the exclusion of ‘redenomination’, ‘redetermination’ and/or ‘conversions’ of shares and other financial instruments.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With regards to transaction for clearing and settlement purposes, ESMA states in Article 3(3</w:t>
      </w:r>
      <w:proofErr w:type="gramStart"/>
      <w:r w:rsidRPr="00684D41">
        <w:rPr>
          <w:rFonts w:asciiTheme="majorHAnsi" w:hAnsiTheme="majorHAnsi"/>
          <w:sz w:val="22"/>
          <w:szCs w:val="24"/>
        </w:rPr>
        <w:t>)(</w:t>
      </w:r>
      <w:proofErr w:type="gramEnd"/>
      <w:r w:rsidRPr="00684D41">
        <w:rPr>
          <w:rFonts w:asciiTheme="majorHAnsi" w:hAnsiTheme="majorHAnsi"/>
          <w:sz w:val="22"/>
          <w:szCs w:val="24"/>
        </w:rPr>
        <w:t xml:space="preserve">b) of the draft RTS Article 32 that that contracts arising solely and exclusively for clearing or settlement purposes are excluded from the definition of a transaction.  However in the consultation paper (footnote 62), ESMA notes that where only the clearing broker has the client information then he will also have a transaction reporting obligation (although the only thing that the clearing broker does is clear the trade).  Firms are therefore concerned of the possible contradiction between footnote 6, conferring the transaction reporting obligation on the clearing brokers, yet specifically excluding clearing and settlement transactions in Article 3 (3)(b).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Ref 22 i: We interpret the wording so that it relates primarily to derivative transactions considered on the view of a client who has an interest and his agreement with his counterpart. However, the transaction cannot be simplified classified as either buying or </w:t>
      </w:r>
      <w:r w:rsidRPr="00684D41">
        <w:rPr>
          <w:rFonts w:asciiTheme="majorHAnsi" w:hAnsiTheme="majorHAnsi"/>
          <w:sz w:val="22"/>
          <w:szCs w:val="24"/>
        </w:rPr>
        <w:lastRenderedPageBreak/>
        <w:t xml:space="preserve">selling, see also Q217. It must be described how the decrease/increase should be reported when using the modification of contract –field in combination with seller/buyer info.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Ref 22 II: The text should be read in conjunction with 26 and is thus difficult to understand.</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Ref 22 iii: </w:t>
      </w:r>
      <w:r>
        <w:rPr>
          <w:rFonts w:asciiTheme="majorHAnsi" w:hAnsiTheme="majorHAnsi"/>
          <w:sz w:val="22"/>
          <w:szCs w:val="24"/>
        </w:rPr>
        <w:t>It is u</w:t>
      </w:r>
      <w:r w:rsidRPr="00684D41">
        <w:rPr>
          <w:rFonts w:asciiTheme="majorHAnsi" w:hAnsiTheme="majorHAnsi"/>
          <w:sz w:val="22"/>
          <w:szCs w:val="24"/>
        </w:rPr>
        <w:t xml:space="preserve">nclear what </w:t>
      </w:r>
      <w:proofErr w:type="gramStart"/>
      <w:r w:rsidRPr="00684D41">
        <w:rPr>
          <w:rFonts w:asciiTheme="majorHAnsi" w:hAnsiTheme="majorHAnsi"/>
          <w:sz w:val="22"/>
          <w:szCs w:val="24"/>
        </w:rPr>
        <w:t>is a transaction</w:t>
      </w:r>
      <w:proofErr w:type="gramEnd"/>
      <w:r>
        <w:rPr>
          <w:rFonts w:asciiTheme="majorHAnsi" w:hAnsiTheme="majorHAnsi"/>
          <w:sz w:val="22"/>
          <w:szCs w:val="24"/>
        </w:rPr>
        <w:t>.</w:t>
      </w:r>
      <w:r w:rsidRPr="00684D41">
        <w:rPr>
          <w:rFonts w:asciiTheme="majorHAnsi" w:hAnsiTheme="majorHAnsi"/>
          <w:sz w:val="22"/>
          <w:szCs w:val="24"/>
        </w:rPr>
        <w:t xml:space="preserve"> Is it the execution or the purchase/sale or both? Or should it be expressed "a purchase or a sale that follows the exercise of options.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Ref 22 </w:t>
      </w:r>
      <w:proofErr w:type="gramStart"/>
      <w:r w:rsidRPr="00684D41">
        <w:rPr>
          <w:rFonts w:asciiTheme="majorHAnsi" w:hAnsiTheme="majorHAnsi"/>
          <w:sz w:val="22"/>
          <w:szCs w:val="24"/>
        </w:rPr>
        <w:t>iv</w:t>
      </w:r>
      <w:proofErr w:type="gramEnd"/>
      <w:r w:rsidRPr="00684D41">
        <w:rPr>
          <w:rFonts w:asciiTheme="majorHAnsi" w:hAnsiTheme="majorHAnsi"/>
          <w:sz w:val="22"/>
          <w:szCs w:val="24"/>
        </w:rPr>
        <w:t>: If the rights are financial instruments they are reportable. If they are not financial instruments they are not reportable</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Ref 22 v: </w:t>
      </w:r>
      <w:r>
        <w:rPr>
          <w:rFonts w:asciiTheme="majorHAnsi" w:hAnsiTheme="majorHAnsi"/>
          <w:sz w:val="22"/>
          <w:szCs w:val="24"/>
        </w:rPr>
        <w:t>It is u</w:t>
      </w:r>
      <w:r w:rsidRPr="00684D41">
        <w:rPr>
          <w:rFonts w:asciiTheme="majorHAnsi" w:hAnsiTheme="majorHAnsi"/>
          <w:sz w:val="22"/>
          <w:szCs w:val="24"/>
        </w:rPr>
        <w:t>nclear what transfers between “funds” means</w:t>
      </w:r>
      <w:r>
        <w:rPr>
          <w:rFonts w:asciiTheme="majorHAnsi" w:hAnsiTheme="majorHAnsi"/>
          <w:sz w:val="22"/>
          <w:szCs w:val="24"/>
        </w:rPr>
        <w:t>. Does this refer specifically to</w:t>
      </w:r>
      <w:r w:rsidRPr="00684D41">
        <w:rPr>
          <w:rFonts w:asciiTheme="majorHAnsi" w:hAnsiTheme="majorHAnsi"/>
          <w:sz w:val="22"/>
          <w:szCs w:val="24"/>
        </w:rPr>
        <w:t xml:space="preserve"> investment funds</w:t>
      </w:r>
      <w:r>
        <w:rPr>
          <w:rFonts w:asciiTheme="majorHAnsi" w:hAnsiTheme="majorHAnsi"/>
          <w:sz w:val="22"/>
          <w:szCs w:val="24"/>
        </w:rPr>
        <w:t xml:space="preserve"> or to other types of funds</w:t>
      </w:r>
      <w:r w:rsidRPr="00684D41">
        <w:rPr>
          <w:rFonts w:asciiTheme="majorHAnsi" w:hAnsiTheme="majorHAnsi"/>
          <w:sz w:val="22"/>
          <w:szCs w:val="24"/>
        </w:rPr>
        <w:t xml:space="preserve">? </w:t>
      </w:r>
      <w:r>
        <w:rPr>
          <w:rFonts w:asciiTheme="majorHAnsi" w:hAnsiTheme="majorHAnsi"/>
          <w:sz w:val="22"/>
          <w:szCs w:val="24"/>
        </w:rPr>
        <w:t>ESMA should also provide clarity on w</w:t>
      </w:r>
      <w:r w:rsidRPr="00684D41">
        <w:rPr>
          <w:rFonts w:asciiTheme="majorHAnsi" w:hAnsiTheme="majorHAnsi"/>
          <w:sz w:val="22"/>
          <w:szCs w:val="24"/>
        </w:rPr>
        <w:t xml:space="preserve">hat is meant by </w:t>
      </w:r>
      <w:r>
        <w:rPr>
          <w:rFonts w:asciiTheme="majorHAnsi" w:hAnsiTheme="majorHAnsi"/>
          <w:sz w:val="22"/>
          <w:szCs w:val="24"/>
        </w:rPr>
        <w:t>‘</w:t>
      </w:r>
      <w:r w:rsidRPr="00684D41">
        <w:rPr>
          <w:rFonts w:asciiTheme="majorHAnsi" w:hAnsiTheme="majorHAnsi"/>
          <w:sz w:val="22"/>
          <w:szCs w:val="24"/>
        </w:rPr>
        <w:t>transfer</w:t>
      </w:r>
      <w:r>
        <w:rPr>
          <w:rFonts w:asciiTheme="majorHAnsi" w:hAnsiTheme="majorHAnsi"/>
          <w:sz w:val="22"/>
          <w:szCs w:val="24"/>
        </w:rPr>
        <w:t>’. Does this include switches between funds</w:t>
      </w:r>
      <w:r w:rsidRPr="00684D41">
        <w:rPr>
          <w:rFonts w:asciiTheme="majorHAnsi" w:hAnsiTheme="majorHAnsi"/>
          <w:sz w:val="22"/>
          <w:szCs w:val="24"/>
        </w:rPr>
        <w:t xml:space="preserve">?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Ref 22 </w:t>
      </w:r>
      <w:proofErr w:type="gramStart"/>
      <w:r w:rsidRPr="00684D41">
        <w:rPr>
          <w:rFonts w:asciiTheme="majorHAnsi" w:hAnsiTheme="majorHAnsi"/>
          <w:sz w:val="22"/>
          <w:szCs w:val="24"/>
        </w:rPr>
        <w:t>vi</w:t>
      </w:r>
      <w:proofErr w:type="gramEnd"/>
      <w:r w:rsidRPr="00684D41">
        <w:rPr>
          <w:rFonts w:asciiTheme="majorHAnsi" w:hAnsiTheme="majorHAnsi"/>
          <w:sz w:val="22"/>
          <w:szCs w:val="24"/>
        </w:rPr>
        <w:t>: The example raises many questions. What is meant by "in specie"?</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An interpretation of the wording of the sentence could be that in principle all forms of changes of ownership whether with or without payment are transactions and should as such be reported. Question arises then, who should be reported as buyer and who is the seller?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According to the wording gifts and pledges with transfer of ownership shall be considered as transactions also means departing from it to be a the commercial transaction in which one party sells and the other party buys and instead focuses on the actual transfer of ownership - which is an entirely different thing. You could even raise the question if this should be interpreted as, besides the regular transaction report you should also report when the actual change of ownership takes place meaning that even the custody bank should report, what is already reported, with the risk of double reporting?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It is also questionable whether information on gifts and transfers may represent the information necessary to prevent market abuse, which is one of the main purposes of the TRS reporting.</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In a direct holding </w:t>
      </w:r>
      <w:r>
        <w:rPr>
          <w:rFonts w:asciiTheme="majorHAnsi" w:hAnsiTheme="majorHAnsi"/>
          <w:sz w:val="22"/>
          <w:szCs w:val="24"/>
        </w:rPr>
        <w:t>CSD</w:t>
      </w:r>
      <w:r w:rsidRPr="00684D41">
        <w:rPr>
          <w:rFonts w:asciiTheme="majorHAnsi" w:hAnsiTheme="majorHAnsi"/>
          <w:sz w:val="22"/>
          <w:szCs w:val="24"/>
        </w:rPr>
        <w:t xml:space="preserve">, an investment firm may from time to time receive an order from an investor to transfer securities from one account to another. The investor have no obligation to inform the investment firm of the reason behind the transfer (gift, private contract note, private option exercise etc.), and the transfer is executed directly in the </w:t>
      </w:r>
      <w:r>
        <w:rPr>
          <w:rFonts w:asciiTheme="majorHAnsi" w:hAnsiTheme="majorHAnsi"/>
          <w:sz w:val="22"/>
          <w:szCs w:val="24"/>
        </w:rPr>
        <w:t>CSD</w:t>
      </w:r>
      <w:r w:rsidRPr="00684D41">
        <w:rPr>
          <w:rFonts w:asciiTheme="majorHAnsi" w:hAnsiTheme="majorHAnsi"/>
          <w:sz w:val="22"/>
          <w:szCs w:val="24"/>
        </w:rPr>
        <w:t>’s register, so the investment firm will have no record to base a transaction report on.</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Information about trading time is another example of information that is not available when reporting gifts or transfers. There are also different regulations in the various jurisdictions in relation to ownership which needs to be taken into account.</w:t>
      </w:r>
    </w:p>
    <w:permEnd w:id="1517703949"/>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41081F" w:rsidRPr="00684D41" w:rsidRDefault="0041081F" w:rsidP="0041081F">
      <w:pPr>
        <w:pStyle w:val="PlainText"/>
        <w:spacing w:after="240"/>
        <w:jc w:val="both"/>
        <w:rPr>
          <w:rFonts w:asciiTheme="majorHAnsi" w:hAnsiTheme="majorHAnsi"/>
          <w:sz w:val="22"/>
          <w:szCs w:val="24"/>
        </w:rPr>
      </w:pPr>
      <w:permStart w:id="1382881062" w:edGrp="everyone"/>
      <w:r w:rsidRPr="00684D41">
        <w:rPr>
          <w:rFonts w:asciiTheme="majorHAnsi" w:hAnsiTheme="majorHAnsi"/>
          <w:sz w:val="22"/>
          <w:szCs w:val="24"/>
        </w:rPr>
        <w:t>Firms welcome ESMA’s efforts to define what constitutes a ‘transaction’ and ‘execution’ for the purposes of transaction reporting. We also welcome clarity on the activities that are not included in the definition.  However, firms have the following comments with regards to the definition:</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lastRenderedPageBreak/>
        <w:t>With regards to transaction for clearing and settlement pur</w:t>
      </w:r>
      <w:r>
        <w:rPr>
          <w:rFonts w:asciiTheme="majorHAnsi" w:hAnsiTheme="majorHAnsi"/>
          <w:sz w:val="22"/>
          <w:szCs w:val="24"/>
        </w:rPr>
        <w:t>poses, ESMA states in Article 3(3</w:t>
      </w:r>
      <w:proofErr w:type="gramStart"/>
      <w:r>
        <w:rPr>
          <w:rFonts w:asciiTheme="majorHAnsi" w:hAnsiTheme="majorHAnsi"/>
          <w:sz w:val="22"/>
          <w:szCs w:val="24"/>
        </w:rPr>
        <w:t>)</w:t>
      </w:r>
      <w:r w:rsidRPr="00684D41">
        <w:rPr>
          <w:rFonts w:asciiTheme="majorHAnsi" w:hAnsiTheme="majorHAnsi"/>
          <w:sz w:val="22"/>
          <w:szCs w:val="24"/>
        </w:rPr>
        <w:t>(</w:t>
      </w:r>
      <w:proofErr w:type="gramEnd"/>
      <w:r w:rsidRPr="00684D41">
        <w:rPr>
          <w:rFonts w:asciiTheme="majorHAnsi" w:hAnsiTheme="majorHAnsi"/>
          <w:sz w:val="22"/>
          <w:szCs w:val="24"/>
        </w:rPr>
        <w:t>b) of the draft RTS Article 32 that that contracts arising solely and exclusively for clearing or settlement purposes are excluded from the definition of a transaction. However in the consultation paper (footnote 62), ESMA notes that where only the clearing broker has the client information then he will also have a transaction reporting obligation (although the only thing that the clearing broker does is clear the trade).  Firms are therefore concerned of the possible contradiction between footnote 6, conferring the transaction reporting obligation on the clearing brokers, yet specifically excluding clearing and settlement transactions in Article 3(3</w:t>
      </w:r>
      <w:proofErr w:type="gramStart"/>
      <w:r w:rsidRPr="00684D41">
        <w:rPr>
          <w:rFonts w:asciiTheme="majorHAnsi" w:hAnsiTheme="majorHAnsi"/>
          <w:sz w:val="22"/>
          <w:szCs w:val="24"/>
        </w:rPr>
        <w:t>)(</w:t>
      </w:r>
      <w:proofErr w:type="gramEnd"/>
      <w:r w:rsidRPr="00684D41">
        <w:rPr>
          <w:rFonts w:asciiTheme="majorHAnsi" w:hAnsiTheme="majorHAnsi"/>
          <w:sz w:val="22"/>
          <w:szCs w:val="24"/>
        </w:rPr>
        <w:t>b).</w:t>
      </w:r>
      <w:r>
        <w:rPr>
          <w:rFonts w:asciiTheme="majorHAnsi" w:hAnsiTheme="majorHAnsi"/>
          <w:sz w:val="22"/>
          <w:szCs w:val="24"/>
        </w:rPr>
        <w:t xml:space="preserve">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Ambiguities in the "Clarification or issues raised on inclusion of specific activity" especially 22-27 raises many question rather than clarifies. See also the comments to Q 214</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It is also questionable whether information on gifts and transfers may represent the information necessary to prevent market abuse, which is one of the main purposes of the TRS reporting. Suspected AML behaviour should be reported but in another regulated way.</w:t>
      </w:r>
    </w:p>
    <w:permEnd w:id="1382881062"/>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41081F" w:rsidRPr="00684D41" w:rsidRDefault="0041081F" w:rsidP="0041081F">
      <w:pPr>
        <w:pStyle w:val="PlainText"/>
        <w:spacing w:after="240"/>
        <w:jc w:val="both"/>
        <w:rPr>
          <w:rFonts w:asciiTheme="majorHAnsi" w:hAnsiTheme="majorHAnsi"/>
          <w:sz w:val="22"/>
          <w:szCs w:val="24"/>
        </w:rPr>
      </w:pPr>
      <w:permStart w:id="2003133009" w:edGrp="everyone"/>
      <w:r w:rsidRPr="00684D41">
        <w:rPr>
          <w:rFonts w:asciiTheme="majorHAnsi" w:hAnsiTheme="majorHAnsi"/>
          <w:sz w:val="22"/>
          <w:szCs w:val="24"/>
        </w:rPr>
        <w:t>Member firms see both advantages and weaknesses of the proposal.</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Firms would appreciate clarification on the inclusion/ exclusion of activities described as “issuance, allotment, subscriptions and placements” which appears to describe the outcome of primary market activities and are typically publically announced. These activities would appear to meet the criteria specified in under paragraph 26 for exclusion in that dates are generally known in advance, investors elect to participate in book building in advance of the primary issue and prices are standard across all investors.  Inclusion of grey market and secondary trading should continue to be reported for identification of market abuse.</w:t>
      </w:r>
    </w:p>
    <w:permEnd w:id="2003133009"/>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41081F" w:rsidRPr="00684D41" w:rsidRDefault="0041081F" w:rsidP="0041081F">
      <w:pPr>
        <w:pStyle w:val="PlainText"/>
        <w:spacing w:after="240"/>
        <w:jc w:val="both"/>
        <w:rPr>
          <w:rFonts w:asciiTheme="majorHAnsi" w:hAnsiTheme="majorHAnsi"/>
          <w:sz w:val="22"/>
          <w:szCs w:val="24"/>
        </w:rPr>
      </w:pPr>
      <w:permStart w:id="944061301" w:edGrp="everyone"/>
      <w:r w:rsidRPr="00684D41">
        <w:rPr>
          <w:rFonts w:asciiTheme="majorHAnsi" w:hAnsiTheme="majorHAnsi"/>
          <w:sz w:val="22"/>
          <w:szCs w:val="24"/>
        </w:rPr>
        <w:t xml:space="preserve">Yes. To ensure consistent population of these new fields, ESMA might wish to consider how these fields will be required to be populated in the case of certain classes of OTC derivative transactions where there are two legs to the transaction and where one leg is reportable (e.g. the equity leg of an OTC Equity Swap) and where the other leg isn’t reportable (e.g. the Interest Rate leg of an OTC swap).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However the changes must be supplemented with rules where transaction could not be classified as “Buyer” or “Seller” (e.g. derivatives, gifts etc.) and must be clarified with examples.</w:t>
      </w:r>
      <w:r>
        <w:rPr>
          <w:rFonts w:asciiTheme="majorHAnsi" w:hAnsiTheme="majorHAnsi"/>
          <w:sz w:val="22"/>
          <w:szCs w:val="24"/>
        </w:rPr>
        <w:t xml:space="preserve"> In this respect, the EBF urges ESMA to consult the industry on any level 3 measures.</w:t>
      </w:r>
    </w:p>
    <w:permEnd w:id="944061301"/>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lastRenderedPageBreak/>
        <w:t>&lt;ESMA_QUESTION_CP_MIFID_218&gt;</w:t>
      </w:r>
    </w:p>
    <w:p w:rsidR="0041081F" w:rsidRPr="00684D41" w:rsidRDefault="0041081F" w:rsidP="0041081F">
      <w:pPr>
        <w:pStyle w:val="PlainText"/>
        <w:spacing w:after="240"/>
        <w:jc w:val="both"/>
        <w:rPr>
          <w:rFonts w:asciiTheme="majorHAnsi" w:hAnsiTheme="majorHAnsi"/>
          <w:sz w:val="22"/>
          <w:szCs w:val="24"/>
        </w:rPr>
      </w:pPr>
      <w:permStart w:id="1372094340" w:edGrp="everyone"/>
      <w:r w:rsidRPr="00684D41">
        <w:rPr>
          <w:rFonts w:asciiTheme="majorHAnsi" w:hAnsiTheme="majorHAnsi"/>
          <w:sz w:val="22"/>
          <w:szCs w:val="24"/>
        </w:rPr>
        <w:t xml:space="preserve">In general, firms believe that, in order to achieve clarity as to the population of each transaction reporting fields, this will require detailed scenarios to be analysed and examples on how fields are expected to be populated for each of the scenarios. We will therefore encourage ESMA to work with the industry to put in place a transaction reporting guide, which will assist firms in achieving accurate reporting. </w:t>
      </w:r>
      <w:r>
        <w:rPr>
          <w:rFonts w:asciiTheme="majorHAnsi" w:hAnsiTheme="majorHAnsi"/>
          <w:sz w:val="22"/>
          <w:szCs w:val="24"/>
        </w:rPr>
        <w:t>In this respect the EBF urges ESMA to consult the industry on any level 3 measures.</w:t>
      </w:r>
      <w:r w:rsidRPr="00684D41">
        <w:rPr>
          <w:rFonts w:asciiTheme="majorHAnsi" w:hAnsiTheme="majorHAnsi"/>
          <w:sz w:val="22"/>
          <w:szCs w:val="24"/>
        </w:rPr>
        <w:t xml:space="preserve"> In the absence of such a guide, investment firms might end up interpreting the population of each field differently. Firms suggest that ESMA clearly identifies where fields are Mandatory / Optional and what values ESMA expects in the fields where data is applicable or does not exist for a specific transaction report.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Firms would welcome consistency of reference data requirements between orders and transaction reports so that storage of information can be centralised and not duplicated as this will increase costs to firms.  This is especially the case where the additional instrument data required by the NCAs would have been provided by the venues and available to NCAs already.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Field 11, 26, Country of residence. Where a natural person is a national of more than one EEA country, the country code of the first nationality when sorted alphabetically by its ISO 3166-1 2 character code and the highest priority identifier obtainable related to the first nationality shall be used. It is not uncommon that clients have multiple citizenships. However this is more seldom known by the investment firm. We assume that by the client supplied citizenship, previously certified by license or passport should not have to be ever questioned as the only one.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We would also point to the challenge and cost of continually updating information of identifiers in other countries. Tasks are usually not readily available. Usually, the data is highly classified. To check and update the data is thus a costly and administratively a heavy burden. We would also like to point out that one of the main objectives of the Financial EU directives and regulations is that the investment firms in Europe will compete among themselves throughout Europe and it should be easy for customers to purchase financial services from the investment firm of choice in all of Europe. The proposed regulation risks counteract this.</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Fields 8 – 19 Firms would like to reiterate their concern with amount of personal data that ESMA is suggesting to include in each transaction report. We believe that for natural persons the national ID number uniquely identifies each person and we therefore do not agree that additional information in order for competent authorities to monitor for market abuse.  Additional information might only add noise to the reports as it leaves more room for errors. For example, we question how including the date of birth of an individual in the reports is considered as an essential piece of information for market abuse purposes when that person is already uniquely identified by a national ID number. In addition, ESMA also requires the post code of the client to be identified in the reports. As ESMA is aware individuals can change addresses very often and could also have several addresses. We therefore think that requiring firms to include this additional information in the transaction reports is unreasonable and disproportionate.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In additions, these fields appear to only apply where the BUYING client of a Reporting Investment Firm is a natural person and not where the client of a Reporting Investment firm is another Investment Firm.</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lastRenderedPageBreak/>
        <w:t xml:space="preserve">Fields 21 – 34 appear to apply only where the SELLING client of a Reporting Investment Firm is a natural person and not where the client of a Reporting Investment firm is another Investment firm.  </w:t>
      </w:r>
    </w:p>
    <w:p w:rsidR="0041081F" w:rsidRDefault="0041081F" w:rsidP="0041081F">
      <w:pPr>
        <w:pStyle w:val="PlainText"/>
        <w:spacing w:after="240"/>
        <w:jc w:val="both"/>
        <w:rPr>
          <w:rFonts w:asciiTheme="majorHAnsi" w:hAnsiTheme="majorHAnsi"/>
          <w:sz w:val="22"/>
          <w:szCs w:val="24"/>
        </w:rPr>
      </w:pPr>
      <w:r w:rsidRPr="00187B80">
        <w:rPr>
          <w:rFonts w:asciiTheme="majorHAnsi" w:hAnsiTheme="majorHAnsi"/>
          <w:sz w:val="22"/>
          <w:szCs w:val="24"/>
        </w:rPr>
        <w:t>Field 41: Guidance will be necessary on how to treat average price transactions with regard to the trading time. We suggest to quote the booking time of the average price transaction and would ask ESMA to include this clarification in its Final Advice.</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In general, firms believe that, in order to achieve clarity as to the population of each transaction reporting fields, this will require detailed scenarios to be analysed and examples on how fields are expected to be populated for each of the scenarios We will therefore encourage ESMA to work with the industry to put in place a transaction reporting guide, which will assist firms in achieving accurate reporting.  In the absence of such a guide, investment firms might end up interpreting the population of each field differently. Firms suggest that ESMA clearly identifies where fields are Mandatory / Optional and what values ESMA expects in the fields where data is applicable or does not exist for a specific transaction report.   </w:t>
      </w:r>
    </w:p>
    <w:p w:rsidR="0041081F" w:rsidRPr="00187B80" w:rsidRDefault="0041081F" w:rsidP="0041081F">
      <w:pPr>
        <w:pStyle w:val="PlainText"/>
        <w:spacing w:after="240"/>
        <w:jc w:val="both"/>
        <w:rPr>
          <w:rFonts w:asciiTheme="majorHAnsi" w:hAnsiTheme="majorHAnsi"/>
          <w:sz w:val="22"/>
          <w:szCs w:val="24"/>
        </w:rPr>
      </w:pPr>
      <w:r w:rsidRPr="00187B80">
        <w:rPr>
          <w:rFonts w:asciiTheme="majorHAnsi" w:hAnsiTheme="majorHAnsi"/>
          <w:sz w:val="22"/>
          <w:szCs w:val="24"/>
        </w:rPr>
        <w:t>Fields 68-75: We would ask ESMA to clarify at which level it expects a decision maker to be, i.e. whether the respective desk head should be identified or more senior decision makers like board members.</w:t>
      </w:r>
    </w:p>
    <w:p w:rsidR="0041081F" w:rsidRDefault="0041081F" w:rsidP="0041081F">
      <w:pPr>
        <w:pStyle w:val="PlainText"/>
        <w:spacing w:after="240"/>
        <w:jc w:val="both"/>
        <w:rPr>
          <w:rFonts w:asciiTheme="majorHAnsi" w:hAnsiTheme="majorHAnsi"/>
          <w:sz w:val="22"/>
          <w:szCs w:val="24"/>
        </w:rPr>
      </w:pPr>
      <w:r w:rsidRPr="00187B80">
        <w:rPr>
          <w:rFonts w:asciiTheme="majorHAnsi" w:hAnsiTheme="majorHAnsi"/>
          <w:sz w:val="22"/>
          <w:szCs w:val="24"/>
        </w:rPr>
        <w:t>Field 76: It is our understanding that information received from the trading concerning waivers may be used for reporting purposes without further verification. We would ask ESMA to confirm.</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The content of field 77, Shirt selling indicator, is interpreted so that when the investment firm transmits an order to a broker the short sale indicator will be omitted. We support this approach as it is important to not forward the information of the seller’s position to anyone else but the client’s investment firm.</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Field 77, Short selling indicator: – Firms continue to determine ways of populating this field that will contain meaningful and useful information for NCAs when analysing transaction reports.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When reporting were the clients is short selling then Firms will have to rely on the clients accurately informing them of the fact that they are short selling. ESMA SSR regulations are specific to certain assets and market maker exemption. Firms recognise that they must retain sequencing information on orders and that this may inform when a short sell is being conducted by a particular trader but given the requirement to identify at an entity level and when MM exemption is/ is not applied, there are challenges where firms may have many orders happening across different trading desks/ locations that are over-riding each other with regards to short selling at an entity level especially when using a systemic approach such as a VWAP model.</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For firms own short selling there are practical difficulties with the firm to calculating continuously across the trading day whether a particular transaction was /  was not short, whether a borrow is in place or whether a borrow that was in place has had to be returned or where  settlement has failed . Additionally firms may hold assets in fungible lines for example global bonds that have </w:t>
      </w:r>
      <w:proofErr w:type="spellStart"/>
      <w:r w:rsidRPr="00684D41">
        <w:rPr>
          <w:rFonts w:asciiTheme="majorHAnsi" w:hAnsiTheme="majorHAnsi"/>
          <w:sz w:val="22"/>
          <w:szCs w:val="24"/>
        </w:rPr>
        <w:t>Euroclear</w:t>
      </w:r>
      <w:proofErr w:type="spellEnd"/>
      <w:r w:rsidRPr="00684D41">
        <w:rPr>
          <w:rFonts w:asciiTheme="majorHAnsi" w:hAnsiTheme="majorHAnsi"/>
          <w:sz w:val="22"/>
          <w:szCs w:val="24"/>
        </w:rPr>
        <w:t xml:space="preserve"> and DTC lines. Firms risk management systems and the issuer would see these as the same line of stock with a common ISIN but without clear guidance firms may under or over-disclose as a short sell.</w:t>
      </w:r>
    </w:p>
    <w:permEnd w:id="1372094340"/>
    <w:p w:rsidR="00577C33" w:rsidRDefault="00577C33" w:rsidP="00EC2C93">
      <w:pPr>
        <w:keepNext/>
      </w:pPr>
      <w:r>
        <w:lastRenderedPageBreak/>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340925548" w:edGrp="everyone"/>
      <w:r>
        <w:t>TYPE YOUR TEXT HERE</w:t>
      </w:r>
    </w:p>
    <w:permEnd w:id="34092554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41081F" w:rsidRDefault="0041081F" w:rsidP="0041081F">
      <w:pPr>
        <w:pStyle w:val="PlainText"/>
        <w:spacing w:after="240"/>
        <w:jc w:val="both"/>
        <w:rPr>
          <w:rFonts w:asciiTheme="majorHAnsi" w:hAnsiTheme="majorHAnsi"/>
          <w:sz w:val="22"/>
          <w:szCs w:val="24"/>
        </w:rPr>
      </w:pPr>
      <w:permStart w:id="278612089" w:edGrp="everyone"/>
      <w:r w:rsidRPr="00187B80">
        <w:rPr>
          <w:rFonts w:asciiTheme="majorHAnsi" w:hAnsiTheme="majorHAnsi"/>
          <w:sz w:val="22"/>
          <w:szCs w:val="24"/>
        </w:rPr>
        <w:t>Yes, we foresee problems. The information on waivers will have to be fed into the reports from databases of the front and middle office. This will cause time delays at least.</w:t>
      </w:r>
    </w:p>
    <w:permEnd w:id="27861208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41081F" w:rsidRDefault="0041081F" w:rsidP="0041081F">
      <w:pPr>
        <w:keepNext/>
      </w:pPr>
      <w:permStart w:id="1128022965" w:edGrp="everyone"/>
      <w:r>
        <w:t>The EBF agrees with the approach stated in Article 11. However, we would ask that Article 3 (3) (h) is amended to ensure that changes in compositions of baskets are also not reportable after a transaction has occurred:</w:t>
      </w:r>
    </w:p>
    <w:p w:rsidR="0041081F" w:rsidRDefault="0041081F" w:rsidP="0041081F">
      <w:pPr>
        <w:keepNext/>
      </w:pPr>
      <w:r>
        <w:t xml:space="preserve">“A change in the composition of an index or basket or sector after a transaction occurred”  </w:t>
      </w:r>
    </w:p>
    <w:permEnd w:id="1128022965"/>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41081F" w:rsidRPr="00684D41" w:rsidRDefault="0041081F" w:rsidP="0041081F">
      <w:pPr>
        <w:pStyle w:val="PlainText"/>
        <w:spacing w:after="240"/>
        <w:jc w:val="both"/>
        <w:rPr>
          <w:rFonts w:asciiTheme="majorHAnsi" w:hAnsiTheme="majorHAnsi"/>
          <w:sz w:val="22"/>
          <w:szCs w:val="24"/>
        </w:rPr>
      </w:pPr>
      <w:permStart w:id="1229986622" w:edGrp="everyone"/>
      <w:r w:rsidRPr="00684D41">
        <w:rPr>
          <w:rFonts w:asciiTheme="majorHAnsi" w:hAnsiTheme="majorHAnsi"/>
          <w:sz w:val="22"/>
          <w:szCs w:val="24"/>
        </w:rPr>
        <w:t xml:space="preserve">As per the comments made for Question 218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Field 58 does pose problems in terms of the potential large number of underlying ISINs that it might be feasible to populate in this field.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For example an Equity Swap on a bespoke basked of the FTSE250 index with the banking stocks removed – would result in a repeating group population of in excess of 200 lines.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Firms suggest that where ISINs are available to identify Baskets/Sectors/Indexes then these should be used as opposed to free form text which is likely to be widely different amongst firms.  </w:t>
      </w:r>
    </w:p>
    <w:permEnd w:id="1229986622"/>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41081F" w:rsidP="00EC2C93">
      <w:pPr>
        <w:keepNext/>
      </w:pPr>
      <w:permStart w:id="1680101583" w:edGrp="everyone"/>
      <w:r w:rsidRPr="00684D41">
        <w:rPr>
          <w:rFonts w:asciiTheme="majorHAnsi" w:hAnsiTheme="majorHAnsi"/>
          <w:szCs w:val="24"/>
        </w:rPr>
        <w:t xml:space="preserve">Firms believe that this applies to where the Sales activity is centred in a branch yet the trading activity is centred at an alternative location. </w:t>
      </w:r>
      <w:r w:rsidRPr="00187B80">
        <w:rPr>
          <w:rFonts w:asciiTheme="majorHAnsi" w:hAnsiTheme="majorHAnsi"/>
          <w:szCs w:val="24"/>
        </w:rPr>
        <w:t>We suggest to connect the responsibility of a branch to the order book where the client order has been executed.</w:t>
      </w:r>
      <w:r>
        <w:rPr>
          <w:rFonts w:asciiTheme="majorHAnsi" w:hAnsiTheme="majorHAnsi"/>
          <w:szCs w:val="24"/>
        </w:rPr>
        <w:t xml:space="preserve"> </w:t>
      </w:r>
      <w:permEnd w:id="1680101583"/>
      <w:r w:rsidR="00577C33">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lastRenderedPageBreak/>
        <w:t>&lt;ESMA_QUESTION_CP_MIFID_224&gt;</w:t>
      </w:r>
    </w:p>
    <w:p w:rsidR="0041081F" w:rsidRDefault="0041081F" w:rsidP="0041081F">
      <w:pPr>
        <w:keepNext/>
      </w:pPr>
      <w:permStart w:id="921729230" w:edGrp="everyone"/>
      <w:r>
        <w:t xml:space="preserve">The EBF agrees with the concerns expressed in the former consultation round regarding mandatory use of LEI code for legal persons. Obtaining LEI number and its maintenance is related with additional costs and time, which could impose disproportional burden to investment firm’s clients who are small -scale companies with small-scale transactions, thus limiting the ability of respective companies to enter into the transactions subject to reporting requirements. The requirement also disregards national company registration process that for the company so registered should give sufficient legal ability to enter into the contract. </w:t>
      </w:r>
    </w:p>
    <w:p w:rsidR="0041081F" w:rsidRDefault="0041081F" w:rsidP="0041081F">
      <w:pPr>
        <w:keepNext/>
      </w:pPr>
    </w:p>
    <w:p w:rsidR="00577C33" w:rsidRDefault="0041081F" w:rsidP="0041081F">
      <w:pPr>
        <w:keepNext/>
      </w:pPr>
      <w:r>
        <w:t>LEI code collection and validation requirement as well as the requirement that client can execute transaction only upon disclosure and authentication of the LEI not only impose additional burden on investment firm and increases costs, but could result in limited access to investment services for small-scale companies. The possibility to use national identifier should be re-considered.</w:t>
      </w:r>
    </w:p>
    <w:permEnd w:id="921729230"/>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41081F" w:rsidRPr="00684D41" w:rsidRDefault="0041081F" w:rsidP="0041081F">
      <w:pPr>
        <w:pStyle w:val="PlainText"/>
        <w:spacing w:after="240"/>
        <w:jc w:val="both"/>
        <w:rPr>
          <w:rFonts w:asciiTheme="majorHAnsi" w:hAnsiTheme="majorHAnsi"/>
          <w:sz w:val="22"/>
          <w:szCs w:val="24"/>
        </w:rPr>
      </w:pPr>
      <w:permStart w:id="89018346" w:edGrp="everyone"/>
      <w:r w:rsidRPr="00684D41">
        <w:rPr>
          <w:rFonts w:asciiTheme="majorHAnsi" w:hAnsiTheme="majorHAnsi"/>
          <w:sz w:val="22"/>
          <w:szCs w:val="24"/>
        </w:rPr>
        <w:t>Firms reiterate their response to question 214.</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Firms welcome ESMA’s efforts to define ‘transaction’ and ‘execution of a transaction’ for  transaction reporting purposes As stated in the draft RTS 32 Article 3, not all actions and transactions are included in the transaction reporting scope. As not all actions/transactions are reportable it would be impossible for competent authorities to use transaction reports to calculate firms’ exact positions. However, the draft RTS 32 Article 14(5) (a), seem to require investment firms to have adequate arrangements in place to ensure that the transaction reports submitted by the firm accurately reflect the changes in position of the firm. Firms are concerned that compliance with Article 14 (5) (a) as currently written will not be possible. I.e. some of the excluded transactions although occurring for example solely as a result of external events do in themselves have an impact on the positions of the firm and/or its clients.  ESMA further clarifies its rationale in excluding these transactions in Paragraphs 10 – 14 of the Consultation Paper.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Firms therefore suggest for Article 14 Paragraph (5</w:t>
      </w:r>
      <w:proofErr w:type="gramStart"/>
      <w:r w:rsidRPr="00684D41">
        <w:rPr>
          <w:rFonts w:asciiTheme="majorHAnsi" w:hAnsiTheme="majorHAnsi"/>
          <w:sz w:val="22"/>
          <w:szCs w:val="24"/>
        </w:rPr>
        <w:t>)(</w:t>
      </w:r>
      <w:proofErr w:type="gramEnd"/>
      <w:r w:rsidRPr="00684D41">
        <w:rPr>
          <w:rFonts w:asciiTheme="majorHAnsi" w:hAnsiTheme="majorHAnsi"/>
          <w:sz w:val="22"/>
          <w:szCs w:val="24"/>
        </w:rPr>
        <w:t>a) to be redrafted in order to take into consideration the limitation implied by Article 3.</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Firms also wish to reiterate that although best efforts will be made not to over-report; we do not think that over-reporting should be explicitly precluded in the RTS. When in doubt and will prefer to over-report instead of under-reporting. We do not think firms should be penalised (required to back report) for over-reporting as long as they make best efforts not to over-report and the information they send is complete and accurate. </w:t>
      </w:r>
    </w:p>
    <w:p w:rsidR="0041081F" w:rsidRPr="00684D41" w:rsidRDefault="0041081F" w:rsidP="0041081F">
      <w:pPr>
        <w:pStyle w:val="PlainText"/>
        <w:spacing w:after="240"/>
        <w:jc w:val="both"/>
        <w:rPr>
          <w:rFonts w:asciiTheme="majorHAnsi" w:hAnsiTheme="majorHAnsi"/>
          <w:sz w:val="22"/>
          <w:szCs w:val="24"/>
        </w:rPr>
      </w:pPr>
      <w:r w:rsidRPr="00684D41">
        <w:rPr>
          <w:rFonts w:asciiTheme="majorHAnsi" w:hAnsiTheme="majorHAnsi"/>
          <w:sz w:val="22"/>
          <w:szCs w:val="24"/>
        </w:rPr>
        <w:t xml:space="preserve">In addition firms would like to reiterate that in the absence of a golden source of reportable products, firms would then report on a best endeavours basis and err on the side of caution and report transactions where there is an element of doubt.  </w:t>
      </w:r>
    </w:p>
    <w:p w:rsidR="00577C33" w:rsidRDefault="0041081F" w:rsidP="0041081F">
      <w:pPr>
        <w:keepNext/>
      </w:pPr>
      <w:r w:rsidRPr="00684D41">
        <w:rPr>
          <w:rFonts w:asciiTheme="majorHAnsi" w:hAnsiTheme="majorHAnsi"/>
          <w:szCs w:val="24"/>
        </w:rPr>
        <w:lastRenderedPageBreak/>
        <w:t xml:space="preserve">In both cases there is therefore a risk of over reporting yet firms seek to assure ESMA that best efforts will be made not to do so.  </w:t>
      </w:r>
    </w:p>
    <w:permEnd w:id="89018346"/>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595278572" w:edGrp="everyone"/>
      <w:r>
        <w:t>TYPE YOUR TEXT HERE</w:t>
      </w:r>
    </w:p>
    <w:permEnd w:id="595278572"/>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7657012" w:edGrp="everyone"/>
      <w:r>
        <w:t>TYPE YOUR TEXT HERE</w:t>
      </w:r>
    </w:p>
    <w:permEnd w:id="17657012"/>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067347833" w:edGrp="everyone"/>
      <w:r>
        <w:t>TYPE YOUR TEXT HERE</w:t>
      </w:r>
    </w:p>
    <w:permEnd w:id="1067347833"/>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960596885" w:edGrp="everyone"/>
      <w:r>
        <w:t>TYPE YOUR TEXT HERE</w:t>
      </w:r>
    </w:p>
    <w:permEnd w:id="1960596885"/>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089634040" w:edGrp="everyone"/>
      <w:r>
        <w:t>TYPE YOUR TEXT HERE</w:t>
      </w:r>
    </w:p>
    <w:permEnd w:id="1089634040"/>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921122523" w:edGrp="everyone"/>
      <w:r>
        <w:t>TYPE YOUR TEXT HERE</w:t>
      </w:r>
    </w:p>
    <w:permEnd w:id="921122523"/>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807366951" w:edGrp="everyone"/>
      <w:r>
        <w:t>TYPE YOUR TEXT HERE</w:t>
      </w:r>
    </w:p>
    <w:permEnd w:id="80736695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lastRenderedPageBreak/>
        <w:t>&lt;ESMA_QUESTION_CP_MIFID_233&gt;</w:t>
      </w:r>
    </w:p>
    <w:p w:rsidR="00577C33" w:rsidRDefault="00577C33" w:rsidP="00EC2C93">
      <w:pPr>
        <w:keepNext/>
      </w:pPr>
      <w:permStart w:id="141056749" w:edGrp="everyone"/>
      <w:r>
        <w:t>TYPE YOUR TEXT HERE</w:t>
      </w:r>
    </w:p>
    <w:permEnd w:id="141056749"/>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609774429" w:edGrp="everyone"/>
      <w:r>
        <w:t>TYPE YOUR TEXT HERE</w:t>
      </w:r>
    </w:p>
    <w:permEnd w:id="1609774429"/>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656292284" w:edGrp="everyone"/>
      <w:r>
        <w:t>TYPE YOUR TEXT HERE</w:t>
      </w:r>
    </w:p>
    <w:permEnd w:id="65629228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6938702" w:edGrp="everyone"/>
      <w:r>
        <w:t>TYPE YOUR TEXT HERE</w:t>
      </w:r>
    </w:p>
    <w:permEnd w:id="16938702"/>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878875421" w:edGrp="everyone"/>
      <w:r>
        <w:t>TYPE YOUR TEXT HERE</w:t>
      </w:r>
    </w:p>
    <w:permEnd w:id="1878875421"/>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6719589" w:edGrp="everyone"/>
      <w:r>
        <w:t>TYPE YOUR TEXT HERE</w:t>
      </w:r>
    </w:p>
    <w:permEnd w:id="16719589"/>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312251047" w:edGrp="everyone"/>
      <w:r>
        <w:t>TYPE YOUR TEXT HERE</w:t>
      </w:r>
    </w:p>
    <w:permEnd w:id="1312251047"/>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30893903" w:edGrp="everyone"/>
      <w:r>
        <w:t>TYPE YOUR TEXT HERE</w:t>
      </w:r>
    </w:p>
    <w:permEnd w:id="30893903"/>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339444751" w:edGrp="everyone"/>
      <w:r>
        <w:t>TYPE YOUR TEXT HERE</w:t>
      </w:r>
    </w:p>
    <w:permEnd w:id="1339444751"/>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924678907" w:edGrp="everyone"/>
      <w:r>
        <w:t>TYPE YOUR TEXT HERE</w:t>
      </w:r>
    </w:p>
    <w:permEnd w:id="924678907"/>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639847559" w:edGrp="everyone"/>
      <w:r>
        <w:t>TYPE YOUR TEXT HERE</w:t>
      </w:r>
    </w:p>
    <w:permEnd w:id="1639847559"/>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392368679" w:edGrp="everyone"/>
      <w:r>
        <w:t>TYPE YOUR TEXT HERE</w:t>
      </w:r>
    </w:p>
    <w:permEnd w:id="392368679"/>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100576343" w:edGrp="everyone"/>
      <w:r>
        <w:t>TYPE YOUR TEXT HERE</w:t>
      </w:r>
    </w:p>
    <w:permEnd w:id="1100576343"/>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F3F" w:rsidRDefault="00815F3F" w:rsidP="007E7997">
      <w:pPr>
        <w:spacing w:line="240" w:lineRule="auto"/>
      </w:pPr>
      <w:r>
        <w:separator/>
      </w:r>
    </w:p>
  </w:endnote>
  <w:endnote w:type="continuationSeparator" w:id="0">
    <w:p w:rsidR="00815F3F" w:rsidRDefault="00815F3F"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BBE" w:rsidRDefault="00B62BBE">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B62BBE" w:rsidRDefault="00B62BBE" w:rsidP="00375BA2">
        <w:pPr>
          <w:pStyle w:val="Footer"/>
          <w:jc w:val="right"/>
        </w:pPr>
        <w:r>
          <w:fldChar w:fldCharType="begin"/>
        </w:r>
        <w:r>
          <w:instrText xml:space="preserve"> PAGE   \* MERGEFORMAT </w:instrText>
        </w:r>
        <w:r>
          <w:fldChar w:fldCharType="separate"/>
        </w:r>
        <w:r w:rsidR="00EE3FDE">
          <w:rPr>
            <w:noProof/>
          </w:rPr>
          <w:t>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F3F" w:rsidRDefault="00815F3F" w:rsidP="007E7997">
      <w:pPr>
        <w:spacing w:line="240" w:lineRule="auto"/>
      </w:pPr>
      <w:r>
        <w:separator/>
      </w:r>
    </w:p>
  </w:footnote>
  <w:footnote w:type="continuationSeparator" w:id="0">
    <w:p w:rsidR="00815F3F" w:rsidRDefault="00815F3F" w:rsidP="007E7997">
      <w:pPr>
        <w:spacing w:line="240" w:lineRule="auto"/>
      </w:pPr>
      <w:r>
        <w:continuationSeparator/>
      </w:r>
    </w:p>
  </w:footnote>
  <w:footnote w:id="1">
    <w:p w:rsidR="00B62BBE" w:rsidRPr="00AA7A30" w:rsidRDefault="00B62BBE"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BBE" w:rsidRDefault="00B62BBE">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BBE" w:rsidRDefault="00B62BBE" w:rsidP="00B50534">
    <w:pPr>
      <w:pStyle w:val="Header"/>
      <w:jc w:val="right"/>
      <w:rPr>
        <w:b/>
        <w:color w:val="FF0000"/>
      </w:rPr>
    </w:pPr>
  </w:p>
  <w:p w:rsidR="00B62BBE" w:rsidRDefault="00B62BBE"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C3CB3"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B62BBE" w:rsidRPr="00B50534" w:rsidRDefault="00B62BBE"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766029F"/>
    <w:multiLevelType w:val="hybridMultilevel"/>
    <w:tmpl w:val="79148E0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6"/>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5"/>
  </w:num>
  <w:num w:numId="12">
    <w:abstractNumId w:val="8"/>
  </w:num>
  <w:num w:numId="13">
    <w:abstractNumId w:val="17"/>
  </w:num>
  <w:num w:numId="14">
    <w:abstractNumId w:val="10"/>
  </w:num>
  <w:num w:numId="15">
    <w:abstractNumId w:val="12"/>
  </w:num>
  <w:num w:numId="16">
    <w:abstractNumId w:val="1"/>
  </w:num>
  <w:num w:numId="17">
    <w:abstractNumId w:val="20"/>
  </w:num>
  <w:num w:numId="18">
    <w:abstractNumId w:val="3"/>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46D41"/>
    <w:rsid w:val="002574D1"/>
    <w:rsid w:val="00287C8F"/>
    <w:rsid w:val="00296EA1"/>
    <w:rsid w:val="002E1C11"/>
    <w:rsid w:val="00312DBA"/>
    <w:rsid w:val="00314117"/>
    <w:rsid w:val="00317EDF"/>
    <w:rsid w:val="003279E7"/>
    <w:rsid w:val="0033324D"/>
    <w:rsid w:val="003454ED"/>
    <w:rsid w:val="00366D42"/>
    <w:rsid w:val="00375BA2"/>
    <w:rsid w:val="0038331A"/>
    <w:rsid w:val="003C4EB5"/>
    <w:rsid w:val="003F39B1"/>
    <w:rsid w:val="0041081F"/>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15F3F"/>
    <w:rsid w:val="00830D00"/>
    <w:rsid w:val="00846692"/>
    <w:rsid w:val="00867DB2"/>
    <w:rsid w:val="0089075A"/>
    <w:rsid w:val="008C767A"/>
    <w:rsid w:val="008D5C28"/>
    <w:rsid w:val="009243C8"/>
    <w:rsid w:val="00940EFD"/>
    <w:rsid w:val="009663D9"/>
    <w:rsid w:val="009906CF"/>
    <w:rsid w:val="0099526D"/>
    <w:rsid w:val="009A4744"/>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2BBE"/>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E3FDE"/>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CA9757-3A88-42F2-8EB4-569EAD9F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PlainText">
    <w:name w:val="Plain Text"/>
    <w:basedOn w:val="Normal"/>
    <w:link w:val="PlainTextChar"/>
    <w:uiPriority w:val="99"/>
    <w:unhideWhenUsed/>
    <w:rsid w:val="00312DBA"/>
    <w:pPr>
      <w:spacing w:line="240" w:lineRule="auto"/>
      <w:jc w:val="left"/>
    </w:pPr>
    <w:rPr>
      <w:rFonts w:ascii="Consolas" w:eastAsiaTheme="minorHAnsi" w:hAnsi="Consolas" w:cs="Consolas"/>
      <w:sz w:val="21"/>
      <w:szCs w:val="21"/>
      <w:lang w:eastAsia="en-GB"/>
    </w:rPr>
  </w:style>
  <w:style w:type="character" w:customStyle="1" w:styleId="PlainTextChar">
    <w:name w:val="Plain Text Char"/>
    <w:basedOn w:val="DefaultParagraphFont"/>
    <w:link w:val="PlainText"/>
    <w:uiPriority w:val="99"/>
    <w:rsid w:val="00312DBA"/>
    <w:rPr>
      <w:rFonts w:ascii="Consolas" w:eastAsiaTheme="minorHAnsi" w:hAnsi="Consolas" w:cs="Consolas"/>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122EC-47D2-4432-B2D5-D6D13E4A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158</TotalTime>
  <Pages>63</Pages>
  <Words>19652</Words>
  <Characters>112019</Characters>
  <Application>Microsoft Office Word</Application>
  <DocSecurity>8</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Simon Pettinger</cp:lastModifiedBy>
  <cp:revision>23</cp:revision>
  <dcterms:created xsi:type="dcterms:W3CDTF">2014-12-18T13:52:00Z</dcterms:created>
  <dcterms:modified xsi:type="dcterms:W3CDTF">2015-03-02T18:40:00Z</dcterms:modified>
</cp:coreProperties>
</file>