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022F2C"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4946151"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Content>
            <w:permStart w:id="1673815883" w:edGrp="everyone" w:displacedByCustomXml="prev"/>
            <w:tc>
              <w:tcPr>
                <w:tcW w:w="5595" w:type="dxa"/>
                <w:shd w:val="clear" w:color="auto" w:fill="auto"/>
              </w:tcPr>
              <w:p w:rsidR="000632C2" w:rsidRPr="00AB6D88" w:rsidRDefault="00717335" w:rsidP="00717335">
                <w:pPr>
                  <w:rPr>
                    <w:rStyle w:val="Platzhaltertext"/>
                    <w:rFonts w:ascii="Arial" w:hAnsi="Arial" w:cs="Arial"/>
                  </w:rPr>
                </w:pPr>
                <w:r>
                  <w:rPr>
                    <w:rStyle w:val="Platzhaltertext"/>
                    <w:rFonts w:ascii="Arial" w:hAnsi="Arial" w:cs="Arial"/>
                  </w:rPr>
                  <w:t>European Association of Public Banks</w:t>
                </w:r>
              </w:p>
            </w:tc>
            <w:permEnd w:id="167381588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68688522" w:edGrp="everyone" w:colFirst="1" w:colLast="1"/>
            <w:permEnd w:id="34946151"/>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717335"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32232281" w:edGrp="everyone" w:colFirst="1" w:colLast="1"/>
            <w:permEnd w:id="1768688522"/>
            <w:r w:rsidRPr="00AB6D88">
              <w:rPr>
                <w:rFonts w:ascii="Arial" w:hAnsi="Arial" w:cs="Arial"/>
              </w:rPr>
              <w:t>Activity:</w:t>
            </w:r>
          </w:p>
        </w:tc>
        <w:tc>
          <w:tcPr>
            <w:tcW w:w="5595" w:type="dxa"/>
            <w:shd w:val="clear" w:color="auto" w:fill="auto"/>
          </w:tcPr>
          <w:p w:rsidR="000632C2" w:rsidRPr="00AB6D88" w:rsidRDefault="00022F2C"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908408242" w:edGrp="everyone"/>
                <w:r w:rsidR="00717335">
                  <w:rPr>
                    <w:rFonts w:ascii="Arial" w:hAnsi="Arial" w:cs="Arial"/>
                  </w:rPr>
                  <w:t>Banking sector</w:t>
                </w:r>
                <w:permEnd w:id="908408242"/>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55443956" w:edGrp="everyone" w:colFirst="1" w:colLast="1"/>
            <w:permEnd w:id="632232281"/>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717335"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21780113" w:edGrp="everyone" w:colFirst="1" w:colLast="1"/>
            <w:permEnd w:id="1355443956"/>
            <w:r w:rsidRPr="00AB6D88">
              <w:rPr>
                <w:rFonts w:ascii="Arial" w:hAnsi="Arial" w:cs="Arial"/>
              </w:rPr>
              <w:t>Country/Region</w:t>
            </w:r>
          </w:p>
        </w:tc>
        <w:permStart w:id="48746024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724992993" w:edGrp="everyone" w:displacedByCustomXml="prev"/>
            <w:tc>
              <w:tcPr>
                <w:tcW w:w="5595" w:type="dxa"/>
                <w:shd w:val="clear" w:color="auto" w:fill="auto"/>
              </w:tcPr>
              <w:p w:rsidR="000632C2" w:rsidRPr="00AB6D88" w:rsidRDefault="00717335" w:rsidP="009E5107">
                <w:pPr>
                  <w:rPr>
                    <w:rFonts w:ascii="Arial" w:hAnsi="Arial" w:cs="Arial"/>
                  </w:rPr>
                </w:pPr>
                <w:r>
                  <w:rPr>
                    <w:rFonts w:ascii="Arial" w:hAnsi="Arial" w:cs="Arial"/>
                  </w:rPr>
                  <w:t>Belgium</w:t>
                </w:r>
              </w:p>
            </w:tc>
            <w:permEnd w:id="1724992993" w:displacedByCustomXml="next"/>
          </w:sdtContent>
        </w:sdt>
        <w:permEnd w:id="487460247" w:displacedByCustomXml="prev"/>
      </w:tr>
      <w:permEnd w:id="1821780113"/>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F06A5D" w:rsidRPr="00F06A5D" w:rsidRDefault="00F06A5D" w:rsidP="00F06A5D">
      <w:pPr>
        <w:rPr>
          <w:lang w:val="en-US" w:bidi="en-GB"/>
        </w:rPr>
      </w:pPr>
      <w:permStart w:id="1858106301" w:edGrp="everyone"/>
      <w:r w:rsidRPr="00F06A5D">
        <w:rPr>
          <w:lang w:val="en-US" w:bidi="en-GB"/>
        </w:rPr>
        <w:t>The European Association of Public Banks (EAPB) very much welcomes the opportunity to contribute to this challenging exercise and is very motivated to respond to the present consultation. Before detailing our advice hereafter linked to the individual questions, we would like to draw ESMA’s attention on some of our views on principle:</w:t>
      </w:r>
    </w:p>
    <w:p w:rsidR="00F06A5D" w:rsidRPr="00F06A5D" w:rsidRDefault="00F06A5D" w:rsidP="00F06A5D">
      <w:pPr>
        <w:rPr>
          <w:lang w:val="en-US" w:bidi="en-GB"/>
        </w:rPr>
      </w:pPr>
      <w:r w:rsidRPr="00F06A5D">
        <w:rPr>
          <w:lang w:val="en-US" w:bidi="en-GB"/>
        </w:rPr>
        <w:t xml:space="preserve">Certain dispositions should be more precisely refined and more concentrating on the core issues. This applies for instance to the information relating to the execution of orders (section 2.4.), and in particular to the Liquid Market definition for non-equity financial instruments (section 3.5.). Bearing in mind the </w:t>
      </w:r>
      <w:proofErr w:type="spellStart"/>
      <w:r w:rsidRPr="00F06A5D">
        <w:rPr>
          <w:lang w:val="en-US" w:bidi="en-GB"/>
        </w:rPr>
        <w:t>MiFIR’s</w:t>
      </w:r>
      <w:proofErr w:type="spellEnd"/>
      <w:r w:rsidRPr="00F06A5D">
        <w:rPr>
          <w:lang w:val="en-US" w:bidi="en-GB"/>
        </w:rPr>
        <w:t xml:space="preserve"> objective of an increased market transparency, this goal should not be achieved on the detriment of systematic internalisers. This is especially important in terms of the very sensitive liquid market definition, with a view to protect systematic internalisers from unduly restricting the market. In this respect, the scope is too wide and the proposed dispositions are too detailed. When studying the consultation paper, we got the impression of a high level of minutiae. We recall the proportionality principle which shall guide the rule-setting. Also, section 3.7 (Post-trade transparency requirements for non-equity instruments) can be shaped more targeted with regard to the thresholds of systematic internalisers. With respect to the general uncertainty in the perspective of thresholds, we strongly recommend a careful approach. We suggest starting with reserved thresholds during an initial time period of validity. Moreover, we recommend focusing in the same spirit sections 4.1 (</w:t>
      </w:r>
      <w:proofErr w:type="spellStart"/>
      <w:r w:rsidRPr="00F06A5D">
        <w:rPr>
          <w:lang w:val="en-US" w:bidi="en-GB"/>
        </w:rPr>
        <w:t>Organisational</w:t>
      </w:r>
      <w:proofErr w:type="spellEnd"/>
      <w:r w:rsidRPr="00F06A5D">
        <w:rPr>
          <w:lang w:val="en-US" w:bidi="en-GB"/>
        </w:rPr>
        <w:t xml:space="preserve"> requirements for investment firms), 8.2 (Obligation to report transactions) and 8.5 (</w:t>
      </w:r>
      <w:proofErr w:type="spellStart"/>
      <w:r w:rsidRPr="00F06A5D">
        <w:rPr>
          <w:lang w:val="en-US" w:bidi="en-GB"/>
        </w:rPr>
        <w:t>Synchronisation</w:t>
      </w:r>
      <w:proofErr w:type="spellEnd"/>
      <w:r w:rsidRPr="00F06A5D">
        <w:rPr>
          <w:lang w:val="en-US" w:bidi="en-GB"/>
        </w:rPr>
        <w:t xml:space="preserve"> of business clocks), in the light of the proportionality principle.</w:t>
      </w:r>
    </w:p>
    <w:p w:rsidR="00F06A5D" w:rsidRPr="00F06A5D" w:rsidRDefault="00F06A5D" w:rsidP="00F06A5D">
      <w:pPr>
        <w:rPr>
          <w:lang w:val="en-US" w:bidi="en-GB"/>
        </w:rPr>
      </w:pPr>
      <w:r w:rsidRPr="00F06A5D">
        <w:rPr>
          <w:lang w:val="en-US" w:bidi="en-GB"/>
        </w:rPr>
        <w:t>Finally, we recommend discussing further questions in close contact with practitioners, in particular as regards reporting.</w:t>
      </w:r>
    </w:p>
    <w:p w:rsidR="00F06A5D" w:rsidRPr="00F06A5D" w:rsidRDefault="00F06A5D" w:rsidP="00F06A5D">
      <w:pPr>
        <w:rPr>
          <w:lang w:val="en-US" w:bidi="en-GB"/>
        </w:rPr>
      </w:pPr>
      <w:r w:rsidRPr="00F06A5D">
        <w:rPr>
          <w:lang w:val="en-US" w:bidi="en-GB"/>
        </w:rPr>
        <w:t xml:space="preserve">The EAPB is fully prepared to continuing providing its advice and to working with ESMA on the implementation of </w:t>
      </w:r>
      <w:proofErr w:type="spellStart"/>
      <w:r w:rsidRPr="00F06A5D">
        <w:rPr>
          <w:lang w:val="en-US" w:bidi="en-GB"/>
        </w:rPr>
        <w:t>MiFIR</w:t>
      </w:r>
      <w:proofErr w:type="spellEnd"/>
      <w:r w:rsidRPr="00F06A5D">
        <w:rPr>
          <w:lang w:val="en-US" w:bidi="en-GB"/>
        </w:rPr>
        <w:t xml:space="preserve"> and </w:t>
      </w:r>
      <w:proofErr w:type="spellStart"/>
      <w:r w:rsidRPr="00F06A5D">
        <w:rPr>
          <w:lang w:val="en-US" w:bidi="en-GB"/>
        </w:rPr>
        <w:t>MiFID</w:t>
      </w:r>
      <w:proofErr w:type="spellEnd"/>
      <w:r w:rsidRPr="00F06A5D">
        <w:rPr>
          <w:lang w:val="en-US" w:bidi="en-GB"/>
        </w:rPr>
        <w:t>.</w:t>
      </w:r>
    </w:p>
    <w:p w:rsidR="009D1615" w:rsidRPr="00F06A5D" w:rsidRDefault="00F06A5D" w:rsidP="009D1615">
      <w:pPr>
        <w:rPr>
          <w:lang w:val="en-US" w:bidi="en-GB"/>
        </w:rPr>
      </w:pPr>
      <w:r w:rsidRPr="00F06A5D">
        <w:rPr>
          <w:lang w:val="en-US" w:bidi="en-GB"/>
        </w:rPr>
        <w:t xml:space="preserve">The EAPB gathers member organizations (financial institutions, funding agencies, </w:t>
      </w:r>
      <w:proofErr w:type="gramStart"/>
      <w:r w:rsidRPr="00F06A5D">
        <w:rPr>
          <w:lang w:val="en-US" w:bidi="en-GB"/>
        </w:rPr>
        <w:t>public</w:t>
      </w:r>
      <w:proofErr w:type="gramEnd"/>
      <w:r w:rsidRPr="00F06A5D">
        <w:rPr>
          <w:lang w:val="en-US" w:bidi="en-GB"/>
        </w:rPr>
        <w:t xml:space="preserve"> banks, associations of public banks and banks with similar interests) from 16 European Member States and countries, representing directly and indirectly the interests of over 90 financial institutions towards the EU and other European stakeholders. With a combined balance sheet total of about EUR 3,500 billion and a market share of around 15%, EAPB members constitute an essential part of the European financial sector.</w:t>
      </w:r>
      <w:bookmarkStart w:id="0" w:name="_GoBack"/>
      <w:bookmarkEnd w:id="0"/>
    </w:p>
    <w:permEnd w:id="1858106301"/>
    <w:p w:rsidR="001D47A5" w:rsidRPr="00C25863" w:rsidRDefault="001D47A5" w:rsidP="00E24D42">
      <w:r w:rsidRPr="00C25863">
        <w:lastRenderedPageBreak/>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708802789" w:edGrp="everyone"/>
      <w:r>
        <w:t>TYPE YOUR TEXT HERE</w:t>
      </w:r>
    </w:p>
    <w:permEnd w:id="70880278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745053565" w:edGrp="everyone"/>
      <w:r>
        <w:t>TYPE YOUR TEXT HERE</w:t>
      </w:r>
    </w:p>
    <w:permEnd w:id="174505356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713100179" w:edGrp="everyone"/>
      <w:r>
        <w:t>TYPE YOUR TEXT HERE</w:t>
      </w:r>
    </w:p>
    <w:permEnd w:id="713100179"/>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408773729" w:edGrp="everyone"/>
      <w:r>
        <w:t>TYPE YOUR TEXT HERE</w:t>
      </w:r>
    </w:p>
    <w:permEnd w:id="408773729"/>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144676606" w:edGrp="everyone"/>
      <w:r>
        <w:t>TYPE YOUR TEXT HERE</w:t>
      </w:r>
    </w:p>
    <w:permEnd w:id="1144676606"/>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834033523" w:edGrp="everyone"/>
      <w:r>
        <w:t>TYPE YOUR TEXT HERE</w:t>
      </w:r>
    </w:p>
    <w:permEnd w:id="183403352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892473839" w:edGrp="everyone"/>
      <w:r>
        <w:t>TYPE YOUR TEXT HERE</w:t>
      </w:r>
    </w:p>
    <w:permEnd w:id="89247383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608087969" w:edGrp="everyone"/>
      <w:r>
        <w:t>TYPE YOUR TEXT HERE</w:t>
      </w:r>
    </w:p>
    <w:permEnd w:id="1608087969"/>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10587439" w:edGrp="everyone"/>
      <w:r>
        <w:t>TYPE YOUR TEXT HERE</w:t>
      </w:r>
    </w:p>
    <w:permEnd w:id="210587439"/>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39136471" w:edGrp="everyone"/>
      <w:r>
        <w:t>TYPE YOUR TEXT HERE</w:t>
      </w:r>
    </w:p>
    <w:permEnd w:id="39136471"/>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30363904" w:edGrp="everyone"/>
      <w:r>
        <w:t>TYPE YOUR TEXT HERE</w:t>
      </w:r>
    </w:p>
    <w:permEnd w:id="1830363904"/>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723341637" w:edGrp="everyone"/>
      <w:r>
        <w:t>TYPE YOUR TEXT HERE</w:t>
      </w:r>
    </w:p>
    <w:permEnd w:id="172334163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002201122" w:edGrp="everyone"/>
      <w:r>
        <w:t>TYPE YOUR TEXT HERE</w:t>
      </w:r>
    </w:p>
    <w:permEnd w:id="10022011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68326787" w:edGrp="everyone"/>
      <w:r>
        <w:t>TYPE YOUR TEXT HERE</w:t>
      </w:r>
    </w:p>
    <w:permEnd w:id="268326787"/>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11639808" w:edGrp="everyone"/>
      <w:r>
        <w:t>TYPE YOUR TEXT HERE</w:t>
      </w:r>
    </w:p>
    <w:permEnd w:id="1211639808"/>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977964622" w:edGrp="everyone"/>
      <w:r>
        <w:t>TYPE YOUR TEXT HERE</w:t>
      </w:r>
    </w:p>
    <w:permEnd w:id="197796462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625420251" w:edGrp="everyone"/>
      <w:r>
        <w:t>TYPE YOUR TEXT HERE</w:t>
      </w:r>
    </w:p>
    <w:permEnd w:id="625420251"/>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911164791" w:edGrp="everyone"/>
      <w:r>
        <w:t>TYPE YOUR TEXT HERE</w:t>
      </w:r>
    </w:p>
    <w:permEnd w:id="911164791"/>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401154483" w:edGrp="everyone"/>
      <w:r>
        <w:t>TYPE YOUR TEXT HERE</w:t>
      </w:r>
    </w:p>
    <w:permEnd w:id="40115448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344655849" w:edGrp="everyone"/>
      <w:r>
        <w:t>TYPE YOUR TEXT HERE</w:t>
      </w:r>
    </w:p>
    <w:permEnd w:id="34465584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417428727" w:edGrp="everyone"/>
      <w:r>
        <w:t>TYPE YOUR TEXT HERE</w:t>
      </w:r>
    </w:p>
    <w:permEnd w:id="1417428727"/>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975805010" w:edGrp="everyone"/>
      <w:r>
        <w:t>TYPE YOUR TEXT HERE</w:t>
      </w:r>
    </w:p>
    <w:permEnd w:id="1975805010"/>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01721306" w:edGrp="everyone"/>
      <w:r>
        <w:t>TYPE YOUR TEXT HERE</w:t>
      </w:r>
    </w:p>
    <w:permEnd w:id="10172130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603410711" w:edGrp="everyone"/>
      <w:r>
        <w:t>TYPE YOUR TEXT HERE</w:t>
      </w:r>
    </w:p>
    <w:permEnd w:id="603410711"/>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474457732" w:edGrp="everyone"/>
      <w:r>
        <w:t>TYPE YOUR TEXT HERE</w:t>
      </w:r>
    </w:p>
    <w:permEnd w:id="147445773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891062905" w:edGrp="everyone"/>
      <w:r>
        <w:t>TYPE YOUR TEXT HERE</w:t>
      </w:r>
    </w:p>
    <w:permEnd w:id="189106290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686193099" w:edGrp="everyone"/>
      <w:r>
        <w:t>TYPE YOUR TEXT HERE</w:t>
      </w:r>
    </w:p>
    <w:permEnd w:id="68619309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670723673" w:edGrp="everyone"/>
      <w:r>
        <w:t>TYPE YOUR TEXT HERE</w:t>
      </w:r>
    </w:p>
    <w:permEnd w:id="1670723673"/>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96414167" w:edGrp="everyone"/>
      <w:r>
        <w:t>TYPE YOUR TEXT HERE</w:t>
      </w:r>
    </w:p>
    <w:permEnd w:id="196414167"/>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CE0485" w:rsidRPr="00CE0485" w:rsidRDefault="00CE0485" w:rsidP="00CE0485">
      <w:pPr>
        <w:keepNext/>
      </w:pPr>
      <w:permStart w:id="1385709280" w:edGrp="everyone"/>
      <w:r w:rsidRPr="00CE0485">
        <w:t xml:space="preserve">The EAPB considers inappropriate the broad based duty of systematic internalisers and market makers to provide the market with granular data concerning execution volumes und execution quality to the purposes of evaluating the execution quality of possible venues. The approach is not compliant with the principle of proportionality. </w:t>
      </w:r>
    </w:p>
    <w:p w:rsidR="00CE0485" w:rsidRPr="00CE0485" w:rsidRDefault="00CE0485" w:rsidP="00CE0485">
      <w:pPr>
        <w:keepNext/>
      </w:pPr>
    </w:p>
    <w:p w:rsidR="00CE0485" w:rsidRPr="00CE0485" w:rsidRDefault="00CE0485" w:rsidP="00CE0485">
      <w:pPr>
        <w:keepNext/>
      </w:pPr>
      <w:r w:rsidRPr="00CE0485">
        <w:t xml:space="preserve">The Regulation intends to ensure transparency and consideration in the 'best-ex' policies of executing institutions for those market segments that do not have to qualify as trading platforms, but nevertheless represent a significant liquidity pool in an instrument. The amount of turnover generated with a specific asset is insignificant for the drafting process of a policy. Thus, it appears inappropriate to oblige systematic internalisers and other participants of the OTC market, which could be qualified as “market makers” in a broad interpretation despite generating relatively small turnover figures (e.g. trading in illiquid assets once per week), to produce and disclose comprehensive documentation. </w:t>
      </w:r>
    </w:p>
    <w:p w:rsidR="00CE0485" w:rsidRPr="00CE0485" w:rsidRDefault="00CE0485" w:rsidP="00CE0485">
      <w:pPr>
        <w:keepNext/>
        <w:rPr>
          <w:b/>
          <w:lang w:bidi="en-GB"/>
        </w:rPr>
      </w:pPr>
      <w:r w:rsidRPr="00CE0485">
        <w:t>The EAPB therefore strongly recommends applying the proposed requirements exclusively to systematic internalisers with significant market shares. We do not consider it necessary to establish a percentage-based threshold, since market participants have an interest in presenting themselves as an execution venue with significant market share. The extension in the definition of an "execution venue" in Article 2(3) RTS 6 on systematic internalisers should therefore be combined with the requirement of a significant market share and the execution of a substantial volume of shares.</w:t>
      </w:r>
    </w:p>
    <w:permEnd w:id="138570928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B56CB6" w:rsidRPr="00B56CB6" w:rsidRDefault="00B56CB6" w:rsidP="00B56CB6">
      <w:pPr>
        <w:keepNext/>
        <w:rPr>
          <w:lang w:bidi="en-GB"/>
        </w:rPr>
      </w:pPr>
      <w:permStart w:id="510355616" w:edGrp="everyone"/>
      <w:r w:rsidRPr="00B56CB6">
        <w:rPr>
          <w:lang w:bidi="en-GB"/>
        </w:rPr>
        <w:t xml:space="preserve">The EAPB sees no need for a further splitting of trades. The existing </w:t>
      </w:r>
      <w:proofErr w:type="spellStart"/>
      <w:r w:rsidRPr="00B56CB6">
        <w:rPr>
          <w:lang w:bidi="en-GB"/>
        </w:rPr>
        <w:t>MiFID</w:t>
      </w:r>
      <w:proofErr w:type="spellEnd"/>
      <w:r w:rsidRPr="00B56CB6">
        <w:rPr>
          <w:lang w:bidi="en-GB"/>
        </w:rPr>
        <w:t xml:space="preserve"> I Best Execution Regime practically already divides the distribution into several ranges. An implementation of further ranges could lead to a disproportionate increase of ranges, not reflecting liquidity. It should be possible the handle different classes of financial instruments in specific ways. At least for the investors’ view it is quite important not to display high quality measures where real data is hardly available. Therefore it should further be possible to define relative thresholds.</w:t>
      </w:r>
    </w:p>
    <w:permEnd w:id="510355616"/>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lastRenderedPageBreak/>
        <w:t>&lt;ESMA_QUESTION_CP_MIFID_32&gt;</w:t>
      </w:r>
    </w:p>
    <w:p w:rsidR="004B123F" w:rsidRPr="004B123F" w:rsidRDefault="004B123F" w:rsidP="004B123F">
      <w:pPr>
        <w:keepNext/>
        <w:rPr>
          <w:lang w:bidi="en-GB"/>
        </w:rPr>
      </w:pPr>
      <w:permStart w:id="825436550" w:edGrp="everyone"/>
      <w:r w:rsidRPr="004B123F">
        <w:rPr>
          <w:lang w:bidi="en-GB"/>
        </w:rPr>
        <w:t>No, the EAPB doesn’t see other useful metrics.</w:t>
      </w:r>
    </w:p>
    <w:permEnd w:id="82543655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4B123F" w:rsidRPr="004B123F" w:rsidRDefault="004B123F" w:rsidP="004B123F">
      <w:pPr>
        <w:keepNext/>
        <w:rPr>
          <w:lang w:val="en-US"/>
        </w:rPr>
      </w:pPr>
      <w:permStart w:id="321666475" w:edGrp="everyone"/>
      <w:r w:rsidRPr="004B123F">
        <w:rPr>
          <w:lang w:bidi="en-GB"/>
        </w:rPr>
        <w:t xml:space="preserve">The EAPB generally sees no need to consider additional data. Only, </w:t>
      </w:r>
      <w:proofErr w:type="spellStart"/>
      <w:r w:rsidRPr="004B123F">
        <w:rPr>
          <w:lang w:bidi="en-GB"/>
        </w:rPr>
        <w:t>i</w:t>
      </w:r>
      <w:r w:rsidRPr="004B123F">
        <w:rPr>
          <w:lang w:val="en-US"/>
        </w:rPr>
        <w:t>n</w:t>
      </w:r>
      <w:proofErr w:type="spellEnd"/>
      <w:r w:rsidRPr="004B123F">
        <w:rPr>
          <w:lang w:val="en-US"/>
        </w:rPr>
        <w:t xml:space="preserve"> order to avoid misleading the investor, the reporting of trading data should address the </w:t>
      </w:r>
      <w:r w:rsidRPr="004B123F">
        <w:rPr>
          <w:b/>
          <w:lang w:val="en-US"/>
        </w:rPr>
        <w:t>type of the trading mechanism</w:t>
      </w:r>
      <w:r w:rsidRPr="004B123F">
        <w:rPr>
          <w:lang w:val="en-US"/>
        </w:rPr>
        <w:t>. E.g. in purely quote driven instrument types like warrants, figures like turnover volume will give no real information to the retail client while other measures like bid/ask-spreads or quote volumes are much more relevant. Therefore, the information guidelines should be clearly addressing instruments and market features. Due to the fact that in such instruments classes the counterpart either on exchanges, on MTFs or OTC is nearly in any case the issuer of the instrument, the entire turnover information of the different venues would give deep insight in the exposures of the issuers, which can´t be accepted by the market participants.</w:t>
      </w:r>
    </w:p>
    <w:p w:rsidR="004B123F" w:rsidRPr="004B123F" w:rsidRDefault="004B123F" w:rsidP="004B123F">
      <w:pPr>
        <w:keepNext/>
        <w:rPr>
          <w:lang w:val="en-US"/>
        </w:rPr>
      </w:pPr>
      <w:r w:rsidRPr="004B123F">
        <w:rPr>
          <w:lang w:val="en-US"/>
        </w:rPr>
        <w:t>The data, although measured on a daily basis, should be aggregated and published on a higher basis (e.g. monthly basis). In addition some KPIs should be defined which are quality measure which are not based on a single instrument level but rather on a certain group of instruments (like index member).</w:t>
      </w:r>
    </w:p>
    <w:permEnd w:id="32166647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244F38" w:rsidRPr="00244F38" w:rsidRDefault="00244F38" w:rsidP="00244F38">
      <w:pPr>
        <w:keepNext/>
        <w:rPr>
          <w:lang w:bidi="en-GB"/>
        </w:rPr>
      </w:pPr>
      <w:permStart w:id="357186851" w:edGrp="everyone"/>
      <w:r w:rsidRPr="00244F38">
        <w:rPr>
          <w:lang w:bidi="en-GB"/>
        </w:rPr>
        <w:t xml:space="preserve">No, the EAPB cannot agree with ESMA’s approach. For market makers as well as liquidity providers (in particular the latter, who lack a formal definition) it is not practicable to have the same reporting requirement and equal publication frequencies as a trading venue. So </w:t>
      </w:r>
      <w:proofErr w:type="gramStart"/>
      <w:r w:rsidRPr="00244F38">
        <w:rPr>
          <w:lang w:bidi="en-GB"/>
        </w:rPr>
        <w:t>both parties</w:t>
      </w:r>
      <w:proofErr w:type="gramEnd"/>
      <w:r w:rsidRPr="00244F38">
        <w:rPr>
          <w:lang w:bidi="en-GB"/>
        </w:rPr>
        <w:t>, market makers and liquidity providers should be deleted in the definition of an "execution venue" in Article 2(3) RTS 6. In addition, there has been no request for ESMA to define (and extend) the term execution venue.</w:t>
      </w:r>
    </w:p>
    <w:p w:rsidR="00244F38" w:rsidRPr="00244F38" w:rsidRDefault="00244F38" w:rsidP="00244F38">
      <w:pPr>
        <w:keepNext/>
        <w:rPr>
          <w:lang w:bidi="en-GB"/>
        </w:rPr>
      </w:pPr>
      <w:r w:rsidRPr="00244F38">
        <w:rPr>
          <w:lang w:bidi="en-GB"/>
        </w:rPr>
        <w:t xml:space="preserve">We strongly believe that the introduction of the term „execution venue“ in the level 1 text was meant by the standard setter as a convenient way to cover trading venues and systematic internalisers with one term. Concerning systematic internalisers, we repeat that the extension in the definition of an "execution venue" in Article 2(3) RTS 6 on systematic internalisers should be combined with the requirement of a significant market share and the execution of a substantial volume of shares (see Introduction above). </w:t>
      </w:r>
    </w:p>
    <w:p w:rsidR="00244F38" w:rsidRPr="00244F38" w:rsidRDefault="00244F38" w:rsidP="00244F38">
      <w:pPr>
        <w:keepNext/>
        <w:rPr>
          <w:lang w:bidi="en-GB"/>
        </w:rPr>
      </w:pPr>
      <w:r w:rsidRPr="00244F38">
        <w:rPr>
          <w:lang w:bidi="en-GB"/>
        </w:rPr>
        <w:t xml:space="preserve">An extension to market makers, except in the very narrow context of the definition of execution policies, is not supported by level 1. While the existing </w:t>
      </w:r>
      <w:proofErr w:type="spellStart"/>
      <w:r w:rsidRPr="00244F38">
        <w:rPr>
          <w:lang w:bidi="en-GB"/>
        </w:rPr>
        <w:t>MiFID</w:t>
      </w:r>
      <w:proofErr w:type="spellEnd"/>
      <w:r w:rsidRPr="00244F38">
        <w:rPr>
          <w:lang w:bidi="en-GB"/>
        </w:rPr>
        <w:t xml:space="preserve"> Implementation Directive 2006/73/EC provides a definition of „execution venue</w:t>
      </w:r>
      <w:proofErr w:type="gramStart"/>
      <w:r w:rsidRPr="00244F38">
        <w:rPr>
          <w:lang w:bidi="en-GB"/>
        </w:rPr>
        <w:t>“ which</w:t>
      </w:r>
      <w:proofErr w:type="gramEnd"/>
      <w:r w:rsidRPr="00244F38">
        <w:rPr>
          <w:lang w:bidi="en-GB"/>
        </w:rPr>
        <w:t xml:space="preserve"> includes market-makers, this applies only to a very narrow scope of application (Articles 44 and 46) and does not address such „execution venues“ directly. It seems highly problematic to recycle this definition in a completely different context. </w:t>
      </w:r>
    </w:p>
    <w:p w:rsidR="00244F38" w:rsidRPr="00244F38" w:rsidRDefault="00244F38" w:rsidP="00244F38">
      <w:pPr>
        <w:keepNext/>
        <w:rPr>
          <w:lang w:bidi="en-GB"/>
        </w:rPr>
      </w:pPr>
      <w:r w:rsidRPr="00244F38">
        <w:rPr>
          <w:lang w:bidi="en-GB"/>
        </w:rPr>
        <w:t>The extension to „market makers” and liquidity providers</w:t>
      </w:r>
      <w:proofErr w:type="gramStart"/>
      <w:r w:rsidRPr="00244F38">
        <w:rPr>
          <w:lang w:bidi="en-GB"/>
        </w:rPr>
        <w:t>“ directly</w:t>
      </w:r>
      <w:proofErr w:type="gramEnd"/>
      <w:r w:rsidRPr="00244F38">
        <w:rPr>
          <w:lang w:bidi="en-GB"/>
        </w:rPr>
        <w:t xml:space="preserve"> results in a number of highly negative consequences of the proposed reporting framework, which result in disproportionate costs for the suggested producers of reports and a drastic drop in the usability of any such reports provided. Since the best execution report would apply to all </w:t>
      </w:r>
      <w:r w:rsidRPr="00244F38">
        <w:rPr>
          <w:lang w:bidi="en-GB"/>
        </w:rPr>
        <w:lastRenderedPageBreak/>
        <w:t>instruments quoted by a liquidity provider, and investment firms would have to provide information on up to several hundred thousands of instruments, given the number of bonds available in the market, and the potentially infinite number of derivatives on which a quote could be given. We refer to the list of „liquid</w:t>
      </w:r>
      <w:proofErr w:type="gramStart"/>
      <w:r w:rsidRPr="00244F38">
        <w:rPr>
          <w:lang w:bidi="en-GB"/>
        </w:rPr>
        <w:t>“ financial</w:t>
      </w:r>
      <w:proofErr w:type="gramEnd"/>
      <w:r w:rsidRPr="00244F38">
        <w:rPr>
          <w:lang w:bidi="en-GB"/>
        </w:rPr>
        <w:t xml:space="preserve"> instruments published by ESMA in its consultation papers which already stretch over several hundred pages.</w:t>
      </w:r>
    </w:p>
    <w:p w:rsidR="00244F38" w:rsidRPr="00244F38" w:rsidRDefault="00244F38" w:rsidP="00244F38">
      <w:pPr>
        <w:keepNext/>
        <w:rPr>
          <w:lang w:bidi="en-GB"/>
        </w:rPr>
      </w:pPr>
    </w:p>
    <w:p w:rsidR="00244F38" w:rsidRPr="00244F38" w:rsidRDefault="00244F38" w:rsidP="00244F38">
      <w:pPr>
        <w:keepNext/>
        <w:rPr>
          <w:lang w:bidi="en-GB"/>
        </w:rPr>
      </w:pPr>
      <w:r w:rsidRPr="00244F38">
        <w:rPr>
          <w:lang w:bidi="en-GB"/>
        </w:rPr>
        <w:t xml:space="preserve">In most of these instruments, most of the time no transactions take place, a fact that ESMA should be aware of from the analysis it carried out on liquidity of financial instruments. Firstly, the result </w:t>
      </w:r>
      <w:proofErr w:type="gramStart"/>
      <w:r w:rsidRPr="00244F38">
        <w:rPr>
          <w:lang w:bidi="en-GB"/>
        </w:rPr>
        <w:t>is,</w:t>
      </w:r>
      <w:proofErr w:type="gramEnd"/>
      <w:r w:rsidRPr="00244F38">
        <w:rPr>
          <w:lang w:bidi="en-GB"/>
        </w:rPr>
        <w:t xml:space="preserve"> that reports with several hundred thousand records will be produced, but most numbers will actually be zero. While it already seems highly unlikely that any client of an investment firm would download reports from several dozens of investment firm’s webpages, having to process large data files like this actually exceeds the capability of many standard data access tools and will therefore make these reports even more difficult to use for any potentially interested user. Secondly, due the low number of transactions in the majority of financial instruments, these execution reports would actually contain nearly 100% of transactions of a given financial institution in most asset classes. Also, there is no distinction in reporting requirements between orders / executions for which actually a best execution requirement applies, and those where this is not the case, including proprietary transactions undertaken for hedging. This creates serious concerns regarding disclosure of commercially sensitive information.</w:t>
      </w:r>
    </w:p>
    <w:p w:rsidR="00244F38" w:rsidRPr="00244F38" w:rsidRDefault="00244F38" w:rsidP="00244F38">
      <w:pPr>
        <w:keepNext/>
        <w:rPr>
          <w:lang w:bidi="en-GB"/>
        </w:rPr>
      </w:pPr>
    </w:p>
    <w:p w:rsidR="00244F38" w:rsidRPr="00244F38" w:rsidRDefault="00244F38" w:rsidP="00244F38">
      <w:pPr>
        <w:keepNext/>
        <w:rPr>
          <w:lang w:bidi="en-GB"/>
        </w:rPr>
      </w:pPr>
      <w:r w:rsidRPr="00244F38">
        <w:rPr>
          <w:lang w:bidi="en-GB"/>
        </w:rPr>
        <w:t>The result of unmanageably large and largely meaningless reports could be very easily avoided by constraining the definition of „execution venues“ to the scope covered by level 1, i.e. trading venues and systematic internalisers under the above mentioned requirements. This will result automatically in a reduction of the reports to a size manageable for both producers and users, with a known universe of instruments (for SIs: those instruments for which an SI status has been assumed).</w:t>
      </w:r>
    </w:p>
    <w:permEnd w:id="357186851"/>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&lt;ESMA_QUESTION_CP_MIFID_35&gt;</w:t>
      </w:r>
    </w:p>
    <w:p w:rsidR="00244F38" w:rsidRPr="00244F38" w:rsidRDefault="00244F38" w:rsidP="00244F38">
      <w:pPr>
        <w:keepNext/>
        <w:rPr>
          <w:lang w:bidi="en-GB"/>
        </w:rPr>
      </w:pPr>
      <w:permStart w:id="565735205" w:edGrp="everyone"/>
      <w:r w:rsidRPr="00244F38">
        <w:rPr>
          <w:lang w:bidi="en-GB"/>
        </w:rPr>
        <w:t>The EAPB does not agree with ESMA’s approach. For market makers as well as liquidity providers (in particular the latter, who lack a formal definition) it is not practicable to have the same reporting requirement as a trading venue. So both market makers and liquidity providers should be deleted in the definition of an "execution venue" in Article 2(3) RTS 6. In addition, there has been no request for ESMA to define (and extend) the term execution venue.</w:t>
      </w:r>
    </w:p>
    <w:p w:rsidR="00244F38" w:rsidRPr="00244F38" w:rsidRDefault="00244F38" w:rsidP="00244F38">
      <w:pPr>
        <w:keepNext/>
        <w:rPr>
          <w:lang w:bidi="en-GB"/>
        </w:rPr>
      </w:pPr>
      <w:r w:rsidRPr="00244F38">
        <w:rPr>
          <w:lang w:bidi="en-GB"/>
        </w:rPr>
        <w:t xml:space="preserve">Where there is a requirement, it seems sensible it should apply to "liquid" (to be defined in more detail) instruments only. Providing data for illiquid instruments would be meaningless, in particular for most fixed-income instruments, and could be misused by participants instead of them making a proper determination of how to meet best execution requirements. </w:t>
      </w:r>
    </w:p>
    <w:p w:rsidR="00244F38" w:rsidRPr="00244F38" w:rsidRDefault="00244F38" w:rsidP="00244F38">
      <w:pPr>
        <w:keepNext/>
        <w:rPr>
          <w:lang w:bidi="en-GB"/>
        </w:rPr>
      </w:pPr>
      <w:r w:rsidRPr="00244F38">
        <w:rPr>
          <w:lang w:bidi="en-GB"/>
        </w:rPr>
        <w:t xml:space="preserve">Other asset classes: While this may be rather feasible for equities, it is questionable, whether for other asset classes, that generating this data would seem at best irrelevant and at worst confusing. Many other asset classes are not easily comparable so it is not clear what this would achieve. </w:t>
      </w:r>
    </w:p>
    <w:p w:rsidR="00244F38" w:rsidRPr="00244F38" w:rsidRDefault="00244F38" w:rsidP="00244F38">
      <w:pPr>
        <w:keepNext/>
        <w:rPr>
          <w:lang w:bidi="en-GB"/>
        </w:rPr>
      </w:pPr>
      <w:r w:rsidRPr="00244F38">
        <w:rPr>
          <w:lang w:bidi="en-GB"/>
        </w:rPr>
        <w:t xml:space="preserve">While on the one hand standardization is good, clients have different needs and those needs are better provided for by customized TCA reports. </w:t>
      </w:r>
    </w:p>
    <w:p w:rsidR="00244F38" w:rsidRPr="00244F38" w:rsidRDefault="00244F38" w:rsidP="00244F38">
      <w:pPr>
        <w:keepNext/>
        <w:rPr>
          <w:lang w:bidi="en-GB"/>
        </w:rPr>
      </w:pPr>
      <w:r w:rsidRPr="00244F38">
        <w:rPr>
          <w:lang w:bidi="en-GB"/>
        </w:rPr>
        <w:t xml:space="preserve">Publication of requests for quotes is not a good indicator or basis for comparison on best execution </w:t>
      </w:r>
    </w:p>
    <w:p w:rsidR="00244F38" w:rsidRPr="00244F38" w:rsidRDefault="00244F38" w:rsidP="00244F38">
      <w:pPr>
        <w:keepNext/>
        <w:rPr>
          <w:lang w:bidi="en-GB"/>
        </w:rPr>
      </w:pPr>
      <w:r w:rsidRPr="00244F38">
        <w:rPr>
          <w:lang w:bidi="en-GB"/>
        </w:rPr>
        <w:t>Some investment firms serving not only retail clients but also professional clients and eligible counterparties have different best execution policies for each client group. Therefore, it should be expressly permitted by ESMA to provide the required trade data/execution information for each execution policy in a segregated manner. Otherwise (in case of a consolidation of these data), the high volumes of institutional client's trades would lead to a distortion of the mingled data and would be rather misleading for either client group, in particular for retail clients. The same approach should expressly be applicable country-by-country as there may be local variations in the execution of orders.</w:t>
      </w:r>
    </w:p>
    <w:p w:rsidR="00244F38" w:rsidRPr="00244F38" w:rsidRDefault="00244F38" w:rsidP="00244F38">
      <w:pPr>
        <w:keepNext/>
        <w:rPr>
          <w:lang w:val="en-US"/>
        </w:rPr>
      </w:pPr>
      <w:r w:rsidRPr="00244F38">
        <w:rPr>
          <w:lang w:bidi="en-GB"/>
        </w:rPr>
        <w:t>It needs to be clarified by ESMA that self-directed, non-advised (execution only) trades shall not be included in the relevant trade data for the three client groups (retail, professional, eligible counterparties). As any self-directed orders encompassing client instructions as to the execution venues are not being executed by the investment firm according to its best execution principles it would be misleading to include them in the required trade data for the three client groups (retail, professional, eligible counterparties) to be published by the investment firm. Would execution data for such trades be included, this could influence who are the top five execution venues of the investment firm. As a result, the data where orders are executed in the best interest of the client would be distorted. Instead, the directed orders should exclusively be shown in the column "Percentage of orders at execution venue that are directed orders" and not in one of the three client columns.</w:t>
      </w:r>
      <w:r w:rsidRPr="00244F38">
        <w:rPr>
          <w:lang w:val="en-US"/>
        </w:rPr>
        <w:t xml:space="preserve"> </w:t>
      </w:r>
    </w:p>
    <w:p w:rsidR="00244F38" w:rsidRPr="00244F38" w:rsidRDefault="00244F38" w:rsidP="00244F38">
      <w:pPr>
        <w:keepNext/>
        <w:rPr>
          <w:lang w:bidi="en-GB"/>
        </w:rPr>
      </w:pPr>
      <w:r w:rsidRPr="00244F38">
        <w:rPr>
          <w:lang w:bidi="en-GB"/>
        </w:rPr>
        <w:t xml:space="preserve">Likewise, the designation of counterparty order flows seems redundant to us. An inappropriate differentiation does not result in any advantage on the part of the average retail client, and professional clients may retrieve the data in the form needed. We believe it would be excessive to designate eligible counterparties as proposed in Article 5 (6) of [draft] RTS 7. ESMA itself has determined in section 2.4, recital 29 iii of the Discussion Paper that the differentiation of customer orders shall only comprise retail clients and professional clients, but not eligible counterparties. In addition, such a differentiation would enlarge the requirements as set out in the Directive. Disclosures of this kind would allow for conclusions on the structure of order flows of the respective institution, and could thus distort competition. </w:t>
      </w:r>
      <w:r w:rsidRPr="00244F38">
        <w:rPr>
          <w:lang w:bidi="en-GB"/>
        </w:rPr>
        <w:lastRenderedPageBreak/>
        <w:t>The same applies to the whole of Article 5 of draft RTS 7, which clearly reaches too far from our perspective.</w:t>
      </w:r>
    </w:p>
    <w:p w:rsidR="00244F38" w:rsidRPr="00244F38" w:rsidRDefault="00244F38" w:rsidP="00244F38">
      <w:pPr>
        <w:keepNext/>
        <w:rPr>
          <w:lang w:bidi="en-GB"/>
        </w:rPr>
      </w:pPr>
      <w:r w:rsidRPr="00244F38">
        <w:rPr>
          <w:lang w:bidi="en-GB"/>
        </w:rPr>
        <w:t xml:space="preserve">Furthermore, we would like to stress that the proposed reporting/disclosure of trade information might be disadvantageous for retail clients as institutional clients could use the information to direct their trades in a beneficial manner if the information is made public on a website. The detailed information duties seem to apply to those institutions with a clear focus on retail business, or even those with retail business only. Regarding the customer base, such detailed information does not only appear exaggerated, but could have a misinforming character for retail customers, unable to comprehend the information provided. This might not be in line with the rationale of the directive as being consumer-protective. </w:t>
      </w:r>
    </w:p>
    <w:p w:rsidR="00244F38" w:rsidRPr="00244F38" w:rsidRDefault="00244F38" w:rsidP="00244F38">
      <w:pPr>
        <w:keepNext/>
        <w:rPr>
          <w:lang w:bidi="en-GB"/>
        </w:rPr>
      </w:pPr>
      <w:r w:rsidRPr="00244F38">
        <w:rPr>
          <w:lang w:bidi="en-GB"/>
        </w:rPr>
        <w:t xml:space="preserve">Referring to Article 4 in conjunction with recital 2 of draft RTS 7: the classification of shares into volume categories cannot be used to represent national markets, the inclusion of which is, however, in the explicit interest of the customer. A classification according to index categories or tradability at different stock exchanges has been successfully proven since the implementation of </w:t>
      </w:r>
      <w:proofErr w:type="spellStart"/>
      <w:r w:rsidRPr="00244F38">
        <w:rPr>
          <w:lang w:bidi="en-GB"/>
        </w:rPr>
        <w:t>MiFID</w:t>
      </w:r>
      <w:proofErr w:type="spellEnd"/>
      <w:r w:rsidRPr="00244F38">
        <w:rPr>
          <w:lang w:bidi="en-GB"/>
        </w:rPr>
        <w:t> I and should be allowed, besides the exclusive consideration of volume categories alone.</w:t>
      </w:r>
    </w:p>
    <w:p w:rsidR="00244F38" w:rsidRPr="00244F38" w:rsidRDefault="00244F38" w:rsidP="00244F38">
      <w:pPr>
        <w:keepNext/>
        <w:rPr>
          <w:lang w:bidi="en-GB"/>
        </w:rPr>
      </w:pPr>
      <w:r w:rsidRPr="00244F38">
        <w:rPr>
          <w:lang w:bidi="en-GB"/>
        </w:rPr>
        <w:t>ESMA proposes that investment firms be required to disclose the absolute number of transactions as well as the percentage ratio regarding all transactions executed at the five main execution venues (No. 29 of CP; recital 3 as well as Article 5 (4) of draft RTS 7).We expressly disagree with this proposal. The absolute number of transactions must be kept confidential since a public disclosure of this information could be disadvantageous for the respective institution in terms of free competition. In addition, we believe that appropriate transparency for investors is achieved by disclosing the percentage ratios alone: additional disclosure of the absolute number of transactions would provide no additional transparency for investors.</w:t>
      </w:r>
    </w:p>
    <w:p w:rsidR="00244F38" w:rsidRPr="00244F38" w:rsidRDefault="00244F38" w:rsidP="00244F38">
      <w:pPr>
        <w:keepNext/>
        <w:rPr>
          <w:lang w:bidi="en-GB"/>
        </w:rPr>
      </w:pPr>
      <w:r w:rsidRPr="00244F38">
        <w:rPr>
          <w:lang w:bidi="en-GB"/>
        </w:rPr>
        <w:t>Moreover, the information demanded in Article 5 (6), (7), and (10) of draft RTS 7 would allow for unwanted conclusions on the structure of order flows of the respective institution and could thus distort competition. We therefore reject the obligation to disclose such information. The same applies to the information demanded under Article 6, No. 1 (b) (ii-iii and v) of [draft] RTS7.</w:t>
      </w:r>
    </w:p>
    <w:permEnd w:id="56573520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244F38" w:rsidRPr="00244F38" w:rsidRDefault="00244F38" w:rsidP="00244F38">
      <w:pPr>
        <w:keepNext/>
        <w:rPr>
          <w:lang w:bidi="en-GB"/>
        </w:rPr>
      </w:pPr>
      <w:permStart w:id="1306744722" w:edGrp="everyone"/>
      <w:r w:rsidRPr="00244F38">
        <w:rPr>
          <w:lang w:bidi="en-GB"/>
        </w:rPr>
        <w:t>Moreover, it is not clear to us what is meant by “representative sample of client orders” in No. 35 sentence 1 of the Consultation Paper. We believe that every institution should be allowed to establish its own standards, which it considers adequate according to its order flow structure. Moreover, in a number of national authorities, compulsory back testing was introduced some time ago; the respective quality standards have been subject to numerous external audits.</w:t>
      </w:r>
    </w:p>
    <w:p w:rsidR="00244F38" w:rsidRPr="00244F38" w:rsidRDefault="00244F38" w:rsidP="00244F38">
      <w:pPr>
        <w:keepNext/>
        <w:rPr>
          <w:lang w:bidi="en-GB"/>
        </w:rPr>
      </w:pPr>
      <w:r w:rsidRPr="00244F38">
        <w:rPr>
          <w:lang w:bidi="en-GB"/>
        </w:rPr>
        <w:t xml:space="preserve">In addition, ESMA proposals do not take into account the interests of the decentralised financial services networks. </w:t>
      </w:r>
    </w:p>
    <w:p w:rsidR="00244F38" w:rsidRPr="00244F38" w:rsidRDefault="00244F38" w:rsidP="00244F38">
      <w:pPr>
        <w:keepNext/>
        <w:rPr>
          <w:lang w:bidi="en-GB"/>
        </w:rPr>
      </w:pPr>
      <w:r w:rsidRPr="00244F38">
        <w:rPr>
          <w:lang w:bidi="en-GB"/>
        </w:rPr>
        <w:t xml:space="preserve">The information on the five main execution venues (on a single-institution level) is of little benefit to clients, due to the heterogeneous order flow structures. It is only through aggregation of the order flow data by the central securities services provider designated by an individual institution for a specific product cluster that the client receives meaningful </w:t>
      </w:r>
      <w:r w:rsidRPr="00244F38">
        <w:rPr>
          <w:lang w:bidi="en-GB"/>
        </w:rPr>
        <w:lastRenderedPageBreak/>
        <w:t xml:space="preserve">information on the order flow structure and the routing behaviour of the respective financial services network regarding the five main execution venues. </w:t>
      </w:r>
    </w:p>
    <w:p w:rsidR="00244F38" w:rsidRPr="00244F38" w:rsidRDefault="00244F38" w:rsidP="00244F38">
      <w:pPr>
        <w:keepNext/>
        <w:rPr>
          <w:lang w:val="en-US"/>
        </w:rPr>
      </w:pPr>
      <w:r w:rsidRPr="00244F38">
        <w:rPr>
          <w:lang w:bidi="en-GB"/>
        </w:rPr>
        <w:t>Referring to the information on the Best-Execution-Policy's annual review, institutions which have reviewed, considered appropriate and adopted the policy of their central service provider, should be allowed to adopt, in standardised form, the central service provider's working result of his Policy review and to report on the results of such reviews.</w:t>
      </w:r>
    </w:p>
    <w:permEnd w:id="1306744722"/>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087664776" w:edGrp="everyone"/>
      <w:r>
        <w:t>TYPE YOUR TEXT HERE</w:t>
      </w:r>
    </w:p>
    <w:permEnd w:id="208766477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142010639" w:edGrp="everyone"/>
      <w:r>
        <w:t>TYPE YOUR TEXT HERE</w:t>
      </w:r>
    </w:p>
    <w:permEnd w:id="214201063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325680669" w:edGrp="everyone"/>
      <w:r>
        <w:t>TYPE YOUR TEXT HERE</w:t>
      </w:r>
    </w:p>
    <w:permEnd w:id="132568066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333648113" w:edGrp="everyone"/>
      <w:r>
        <w:t>TYPE YOUR TEXT HERE</w:t>
      </w:r>
    </w:p>
    <w:permEnd w:id="33364811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034228935" w:edGrp="everyone"/>
      <w:r>
        <w:t>TYPE YOUR TEXT HERE</w:t>
      </w:r>
    </w:p>
    <w:permEnd w:id="1034228935"/>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700732328" w:edGrp="everyone"/>
      <w:r>
        <w:t>TYPE YOUR TEXT HERE</w:t>
      </w:r>
    </w:p>
    <w:permEnd w:id="170073232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226058586" w:edGrp="everyone"/>
      <w:r>
        <w:t>TYPE YOUR TEXT HERE</w:t>
      </w:r>
    </w:p>
    <w:permEnd w:id="1226058586"/>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864699317" w:edGrp="everyone"/>
      <w:r>
        <w:t>TYPE YOUR TEXT HERE</w:t>
      </w:r>
    </w:p>
    <w:permEnd w:id="864699317"/>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994523617" w:edGrp="everyone"/>
      <w:r>
        <w:t>TYPE YOUR TEXT HERE</w:t>
      </w:r>
    </w:p>
    <w:permEnd w:id="199452361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130042273" w:edGrp="everyone"/>
      <w:r>
        <w:t>TYPE YOUR TEXT HERE</w:t>
      </w:r>
    </w:p>
    <w:permEnd w:id="113004227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9729ED" w:rsidRPr="009729ED" w:rsidRDefault="009729ED" w:rsidP="009729ED">
      <w:pPr>
        <w:keepNext/>
        <w:rPr>
          <w:lang w:val="en-US"/>
        </w:rPr>
      </w:pPr>
      <w:permStart w:id="1164200679" w:edGrp="everyone"/>
      <w:r w:rsidRPr="009729ED">
        <w:rPr>
          <w:lang w:val="en-US"/>
        </w:rPr>
        <w:t>We reject Option 2 as inappropriate. We like to refer to table 14 on page 97 of the Discussion Paper which showed that around 95% of all trades have a volume of up to EUR 10,000. The introduction of a class with an AVT of up to EUR 20,000 and a Standard Market Size (SMS) of EUR 10,000 would have the result that almost every trade would fall within the SMS. This would indeed lead to increased transparency but, as ESMA rightly points out, the goal of increased transparency through the SI regime must be weighed against the protection of SIs against unreasonable risks. The right equilibrium cannot be achieved if nearly all trades are below the SMS. Therefore, either Option 1 or 3 is preferable.</w:t>
      </w:r>
    </w:p>
    <w:permEnd w:id="1164200679"/>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7478B4" w:rsidRPr="007478B4" w:rsidRDefault="007478B4" w:rsidP="007478B4">
      <w:pPr>
        <w:keepNext/>
        <w:rPr>
          <w:lang w:bidi="en-GB"/>
        </w:rPr>
      </w:pPr>
      <w:permStart w:id="1722302777" w:edGrp="everyone"/>
      <w:r w:rsidRPr="007478B4">
        <w:rPr>
          <w:lang w:bidi="en-GB"/>
        </w:rPr>
        <w:t xml:space="preserve">The EAPB welcomes ESMA's intention to exempt so-called "significant distribution transactions" from the trading obligation. Having said this, we do not consider an abstract regulation to be sufficient, since this would fail to create the necessary reliability. ESMA should rather publish a non-exhaustive list of transactions that are excluded from the trading obligation. Examples that should be included are: (primary market) transactions in connection with the issuance of shares, including the underwriting of an issue; large-scale acquisitions/sales by an investment firm on the secondary market on behalf of an investor for </w:t>
      </w:r>
      <w:r w:rsidRPr="007478B4">
        <w:rPr>
          <w:lang w:bidi="en-GB"/>
        </w:rPr>
        <w:lastRenderedPageBreak/>
        <w:t>the purpose of acquiring/selling a large block of shares; transactions to implement other corporate actions, including share buybacks. These transactions are not covered by any of the exemptions as set out in Article 2 of the Draft RTS 8. Since these transactions do not contribute to the price discovery process, they should not be covered by the trading obligation.</w:t>
      </w:r>
    </w:p>
    <w:p w:rsidR="00577C33" w:rsidRDefault="007478B4" w:rsidP="00EC2C93">
      <w:pPr>
        <w:keepNext/>
      </w:pPr>
      <w:r w:rsidRPr="007478B4">
        <w:rPr>
          <w:lang w:bidi="en-GB"/>
        </w:rPr>
        <w:t xml:space="preserve">Furthermore, transactions that are traded on a risk-free principal basis should be exempt. Risk-free principal transactions are transactions commissioned by asset managers on behalf of their clients to investment firms. These individual transactions will be executed by the investment firm in an aggregated way as a total order, on a trading venue. Following the execution of the aggregated order on a trading venue, the total order will be split and allocated to the asset manager's individual clients. Accordingly, these transactions will be concluded between the investment firm and clients on an over-the-counter basis. These OTC transactions entered into with clients should not be subject to the trading obligation, since the investment firm will have already satisfied this requirement by virtue of its activity at the </w:t>
      </w:r>
      <w:permEnd w:id="1722302777"/>
      <w:r w:rsidR="00577C33">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96868625" w:edGrp="everyone"/>
      <w:r>
        <w:t>TYPE YOUR TEXT HERE</w:t>
      </w:r>
    </w:p>
    <w:permEnd w:id="596868625"/>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899907580" w:edGrp="everyone"/>
      <w:r>
        <w:t>TYPE YOUR TEXT HERE</w:t>
      </w:r>
    </w:p>
    <w:permEnd w:id="899907580"/>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502556696" w:edGrp="everyone"/>
      <w:r>
        <w:t>TYPE YOUR TEXT HERE</w:t>
      </w:r>
    </w:p>
    <w:permEnd w:id="502556696"/>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302944719" w:edGrp="everyone"/>
      <w:r>
        <w:t>TYPE YOUR TEXT HERE</w:t>
      </w:r>
    </w:p>
    <w:permEnd w:id="1302944719"/>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lastRenderedPageBreak/>
        <w:t>&lt;ESMA_QUESTION_CP_MIFID_53&gt;</w:t>
      </w:r>
    </w:p>
    <w:p w:rsidR="00577C33" w:rsidRDefault="00577C33" w:rsidP="00EC2C93">
      <w:pPr>
        <w:keepNext/>
      </w:pPr>
      <w:permStart w:id="1084824649" w:edGrp="everyone"/>
      <w:r>
        <w:t>TYPE YOUR TEXT HERE</w:t>
      </w:r>
    </w:p>
    <w:permEnd w:id="108482464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580746742" w:edGrp="everyone"/>
      <w:r>
        <w:t>TYPE YOUR TEXT HERE</w:t>
      </w:r>
    </w:p>
    <w:permEnd w:id="1580746742"/>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2058439180" w:edGrp="everyone"/>
      <w:r>
        <w:t>TYPE YOUR TEXT HERE</w:t>
      </w:r>
    </w:p>
    <w:permEnd w:id="205843918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730413957" w:edGrp="everyone"/>
      <w:r>
        <w:t>TYPE YOUR TEXT HERE</w:t>
      </w:r>
    </w:p>
    <w:permEnd w:id="73041395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1B1701" w:rsidRPr="001B1701" w:rsidRDefault="001B1701" w:rsidP="001B1701">
      <w:pPr>
        <w:keepNext/>
        <w:rPr>
          <w:b/>
          <w:u w:val="single"/>
          <w:lang w:bidi="en-GB"/>
        </w:rPr>
      </w:pPr>
      <w:permStart w:id="1681416297" w:edGrp="everyone"/>
      <w:r w:rsidRPr="001B1701">
        <w:rPr>
          <w:b/>
          <w:u w:val="single"/>
          <w:lang w:bidi="en-GB"/>
        </w:rPr>
        <w:t>General response:</w:t>
      </w:r>
    </w:p>
    <w:p w:rsidR="001B1701" w:rsidRPr="001B1701" w:rsidRDefault="001B1701" w:rsidP="001B1701">
      <w:pPr>
        <w:keepNext/>
        <w:rPr>
          <w:lang w:bidi="en-GB"/>
        </w:rPr>
      </w:pPr>
      <w:r w:rsidRPr="001B1701">
        <w:rPr>
          <w:lang w:bidi="en-GB"/>
        </w:rPr>
        <w:t xml:space="preserve">We strongly disagree with ESMA’s proposal. As a general remark, we urge ESMA to take adequate account of market realities when setting the thresholds. It would be wrong to set the thresholds at a level which aims at a certain coverage ratio (i.e. to set the threshold with the aim of having a certain percentage of bonds above the threshold). It is true that </w:t>
      </w:r>
      <w:proofErr w:type="spellStart"/>
      <w:r w:rsidRPr="001B1701">
        <w:rPr>
          <w:lang w:bidi="en-GB"/>
        </w:rPr>
        <w:t>MiFIR</w:t>
      </w:r>
      <w:proofErr w:type="spellEnd"/>
      <w:r w:rsidRPr="001B1701">
        <w:rPr>
          <w:lang w:bidi="en-GB"/>
        </w:rPr>
        <w:t xml:space="preserve"> aims at increasing market transparency in the non-equity market. However, it is equally true that </w:t>
      </w:r>
      <w:proofErr w:type="spellStart"/>
      <w:r w:rsidRPr="001B1701">
        <w:rPr>
          <w:lang w:bidi="en-GB"/>
        </w:rPr>
        <w:t>MiFIR</w:t>
      </w:r>
      <w:proofErr w:type="spellEnd"/>
      <w:r w:rsidRPr="001B1701">
        <w:rPr>
          <w:lang w:bidi="en-GB"/>
        </w:rPr>
        <w:t xml:space="preserve"> does not intend to create such transparency at the price of unreasonable risks, in </w:t>
      </w:r>
      <w:r w:rsidRPr="001B1701">
        <w:rPr>
          <w:lang w:bidi="en-GB"/>
        </w:rPr>
        <w:lastRenderedPageBreak/>
        <w:t>particular for systematic internalisers. Defining a liquid market wrongly would result in the risk for systematic internalisers of such instruments becoming prohibitive. Liquidity would then dry up completely. This is not in the interest of issuers or clients.</w:t>
      </w:r>
    </w:p>
    <w:p w:rsidR="001B1701" w:rsidRPr="001B1701" w:rsidRDefault="001B1701" w:rsidP="001B1701">
      <w:pPr>
        <w:keepNext/>
        <w:rPr>
          <w:lang w:bidi="en-GB"/>
        </w:rPr>
      </w:pPr>
      <w:r w:rsidRPr="001B1701">
        <w:rPr>
          <w:lang w:bidi="en-GB"/>
        </w:rPr>
        <w:t xml:space="preserve">We understand that ESMA decided to consider a bond or SFP as liquid if it trades at least on 200 days a year; it records at least 400 trades a year and EUR 100,000 of nominal is traded per day. These thresholds are clearly too low. In particular, a bond that is not traded (at least almost) on a daily basis on at least one venue in the EU cannot be regarded as “liquid”. </w:t>
      </w:r>
    </w:p>
    <w:p w:rsidR="001B1701" w:rsidRPr="001B1701" w:rsidRDefault="001B1701" w:rsidP="001B1701">
      <w:pPr>
        <w:keepNext/>
        <w:rPr>
          <w:lang w:bidi="en-GB"/>
        </w:rPr>
      </w:pPr>
      <w:r w:rsidRPr="001B1701">
        <w:rPr>
          <w:lang w:bidi="en-GB"/>
        </w:rPr>
        <w:t>We urge ESMA to take into consideration that a key feature of the life cycle of bonds is that trading takes place – if at all – in the first four weeks after issuance. To take this into account in the liquidity criteria, these first four weeks should be excluded when calculating the thresholds. The same goes for the “number of trading days” and the “average daily volume” criteria. This will ensure that only permanently liquid bonds are deemed liquid. We note that with respect to the liquidity criteria for derivatives, ESMA has also taken into account the life-cycle by referring to the time to maturity.</w:t>
      </w:r>
    </w:p>
    <w:p w:rsidR="001B1701" w:rsidRPr="001B1701" w:rsidRDefault="001B1701" w:rsidP="001B1701">
      <w:pPr>
        <w:keepNext/>
        <w:rPr>
          <w:lang w:bidi="en-GB"/>
        </w:rPr>
      </w:pPr>
      <w:r w:rsidRPr="001B1701">
        <w:rPr>
          <w:lang w:bidi="en-GB"/>
        </w:rPr>
        <w:t>The graphics on pages 105 et seq. of the Consultation Paper suffer from the fundamental flaw that they do not take into account the life cycle. If the first four weeks after the issuance were disregarded, these graphics would show a completely different picture.</w:t>
      </w:r>
    </w:p>
    <w:p w:rsidR="008B4523" w:rsidRDefault="008B4523" w:rsidP="001B1701">
      <w:pPr>
        <w:keepNext/>
        <w:rPr>
          <w:b/>
          <w:u w:val="single"/>
          <w:lang w:bidi="en-GB"/>
        </w:rPr>
      </w:pPr>
    </w:p>
    <w:p w:rsidR="001B1701" w:rsidRPr="001B1701" w:rsidRDefault="001B1701" w:rsidP="001B1701">
      <w:pPr>
        <w:keepNext/>
        <w:rPr>
          <w:b/>
          <w:u w:val="single"/>
          <w:lang w:bidi="en-GB"/>
        </w:rPr>
      </w:pPr>
      <w:r w:rsidRPr="001B1701">
        <w:rPr>
          <w:b/>
          <w:u w:val="single"/>
          <w:lang w:bidi="en-GB"/>
        </w:rPr>
        <w:t>In detail:</w:t>
      </w:r>
    </w:p>
    <w:p w:rsidR="001B1701" w:rsidRPr="001B1701" w:rsidRDefault="001B1701" w:rsidP="001B1701">
      <w:pPr>
        <w:keepNext/>
        <w:numPr>
          <w:ilvl w:val="0"/>
          <w:numId w:val="30"/>
        </w:numPr>
        <w:rPr>
          <w:lang w:bidi="en-GB"/>
        </w:rPr>
      </w:pPr>
      <w:r w:rsidRPr="001B1701">
        <w:rPr>
          <w:lang w:bidi="en-GB"/>
        </w:rPr>
        <w:t xml:space="preserve">Although we basically agree with the sub-classes proposed by ESMA, there should be a more granular approach for non EU sovereigns and corporate bonds. Under the current approach, </w:t>
      </w:r>
      <w:proofErr w:type="gramStart"/>
      <w:r w:rsidRPr="001B1701">
        <w:rPr>
          <w:lang w:bidi="en-GB"/>
        </w:rPr>
        <w:t>US</w:t>
      </w:r>
      <w:proofErr w:type="gramEnd"/>
      <w:r w:rsidRPr="001B1701">
        <w:rPr>
          <w:lang w:bidi="en-GB"/>
        </w:rPr>
        <w:t xml:space="preserve"> treasuries and Argentinian sovereigns would both fall under a non EU sovereign although the liquidity of both FIs is completely different. Corporate bonds issued in FX also show a very different degree of liquidity from those issued in euros.</w:t>
      </w:r>
    </w:p>
    <w:p w:rsidR="001B1701" w:rsidRPr="001B1701" w:rsidRDefault="001B1701" w:rsidP="001B1701">
      <w:pPr>
        <w:keepNext/>
        <w:rPr>
          <w:lang w:bidi="en-GB"/>
        </w:rPr>
      </w:pPr>
    </w:p>
    <w:p w:rsidR="001B1701" w:rsidRPr="001B1701" w:rsidRDefault="001B1701" w:rsidP="001B1701">
      <w:pPr>
        <w:keepNext/>
        <w:numPr>
          <w:ilvl w:val="0"/>
          <w:numId w:val="30"/>
        </w:numPr>
        <w:rPr>
          <w:lang w:bidi="en-GB"/>
        </w:rPr>
      </w:pPr>
      <w:r w:rsidRPr="001B1701">
        <w:rPr>
          <w:lang w:bidi="en-GB"/>
        </w:rPr>
        <w:t>It is crucial that ESMA sets parameters that enable a correct classification of each financial instrument. According to the CP, page 103, para. 49, even ESMA itself is aware that the chosen methodology implies that there will be some bonds belonging to a liquid class that are illiquid in reality. This is not acceptable. It is imperative to ensure that illiquid instruments are not classified as liquid. If instruments were classified incorrectly, certain illiquid financial instruments would also be subject to transparency obligations. This would impose prohibitive risks on systematic internalisers and cause the market to dry up. Such a market reaction - which would ultimately prevent efficient trading - should definitely be avoided.</w:t>
      </w:r>
    </w:p>
    <w:p w:rsidR="001B1701" w:rsidRPr="001B1701" w:rsidRDefault="001B1701" w:rsidP="001B1701">
      <w:pPr>
        <w:keepNext/>
        <w:rPr>
          <w:lang w:bidi="en-GB"/>
        </w:rPr>
      </w:pPr>
      <w:r w:rsidRPr="001B1701">
        <w:rPr>
          <w:lang w:bidi="en-GB"/>
        </w:rPr>
        <w:t xml:space="preserve">The calculations made by ESMA show very clearly that the parameters and/or the threshold values selected do not provide acceptable results: a hit rate of correctly classified "liquid" instruments of between 33.05% and a maximum of 60.00% is not good enough. Looking at it from the other side, this means that between 40.00% and 66.95% of financial instruments are being classified as liquid although they are not! </w:t>
      </w:r>
    </w:p>
    <w:p w:rsidR="001B1701" w:rsidRPr="001B1701" w:rsidRDefault="001B1701" w:rsidP="001B1701">
      <w:pPr>
        <w:keepNext/>
        <w:rPr>
          <w:lang w:bidi="en-GB"/>
        </w:rPr>
      </w:pPr>
      <w:r w:rsidRPr="001B1701">
        <w:rPr>
          <w:lang w:bidi="en-GB"/>
        </w:rPr>
        <w:t xml:space="preserve">In the most important asset class of EU sovereign bonds, this means specifically that 42.43% of all issues with a volume of more than EUR 2 billion are classified as liquid even though they are not (false positives). The result is even worse for covered bonds, with 73.55% of all issues wrongly classified as liquid. The presumption that wrong classification can be mitigated by the LIS and SSTI waivers/deferrals (para. 49) is wrong. It therefore remains crucial to categorise financial instruments in accordance with their actual liquidity.  </w:t>
      </w:r>
    </w:p>
    <w:p w:rsidR="001B1701" w:rsidRPr="001B1701" w:rsidRDefault="001B1701" w:rsidP="001B1701">
      <w:pPr>
        <w:keepNext/>
        <w:rPr>
          <w:lang w:bidi="en-GB"/>
        </w:rPr>
      </w:pPr>
      <w:r w:rsidRPr="001B1701">
        <w:rPr>
          <w:lang w:bidi="en-GB"/>
        </w:rPr>
        <w:lastRenderedPageBreak/>
        <w:t>We therefore call on ESMA to calibrate the parameters in such a way as to aim for a correct classification of at least 95% of all issues. We would suggest that in addition to the parameter "size of issuance", the "time since issuance" be included as a parameter. This would take account of the fact that the immediate period after issuance is marked by a particularly high level of volatility, which subsequently decreases sharply. This simple criterion, which does not require any calculations, can increase the hit rate substantially. Since we do not have access to the ESMA database we are unfortunately not able to make specific suggestions for the parameter "time since issuance". ESMA will have to look into for itself how the parameters might be adjusted to achieve a hit rate of at least 95% in all bond classes. This is all the more important as the liquidity classes determined by ESMA are to remain fixed until the RTS is reviewed. A lower hit rate would not be acceptable from a quality point of view, either.</w:t>
      </w:r>
    </w:p>
    <w:p w:rsidR="001B1701" w:rsidRPr="001B1701" w:rsidRDefault="001B1701" w:rsidP="001B1701">
      <w:pPr>
        <w:keepNext/>
        <w:numPr>
          <w:ilvl w:val="0"/>
          <w:numId w:val="30"/>
        </w:numPr>
        <w:rPr>
          <w:lang w:bidi="en-GB"/>
        </w:rPr>
      </w:pPr>
      <w:r w:rsidRPr="001B1701">
        <w:rPr>
          <w:lang w:bidi="en-GB"/>
        </w:rPr>
        <w:t>Yes. Please see our answer to Q57 (2) above.</w:t>
      </w:r>
    </w:p>
    <w:p w:rsidR="001B1701" w:rsidRPr="001B1701" w:rsidRDefault="001B1701" w:rsidP="001B1701">
      <w:pPr>
        <w:keepNext/>
        <w:rPr>
          <w:lang w:bidi="en-GB"/>
        </w:rPr>
      </w:pPr>
    </w:p>
    <w:p w:rsidR="001B1701" w:rsidRPr="001B1701" w:rsidRDefault="001B1701" w:rsidP="001B1701">
      <w:pPr>
        <w:keepNext/>
        <w:rPr>
          <w:b/>
          <w:u w:val="single"/>
          <w:lang w:bidi="en-GB"/>
        </w:rPr>
      </w:pPr>
      <w:r w:rsidRPr="001B1701">
        <w:rPr>
          <w:b/>
          <w:u w:val="single"/>
          <w:lang w:bidi="en-GB"/>
        </w:rPr>
        <w:t xml:space="preserve">Covered Bonds: </w:t>
      </w:r>
    </w:p>
    <w:p w:rsidR="001B1701" w:rsidRPr="001B1701" w:rsidRDefault="001B1701" w:rsidP="001B1701">
      <w:pPr>
        <w:keepNext/>
        <w:rPr>
          <w:lang w:bidi="en-GB"/>
        </w:rPr>
      </w:pPr>
      <w:r w:rsidRPr="001B1701">
        <w:rPr>
          <w:lang w:bidi="en-GB"/>
        </w:rPr>
        <w:t xml:space="preserve">As far as establishing the liquidity of covered bonds in the context of the </w:t>
      </w:r>
      <w:proofErr w:type="spellStart"/>
      <w:r w:rsidRPr="001B1701">
        <w:rPr>
          <w:lang w:bidi="en-GB"/>
        </w:rPr>
        <w:t>MiFID</w:t>
      </w:r>
      <w:proofErr w:type="spellEnd"/>
      <w:r w:rsidRPr="001B1701">
        <w:rPr>
          <w:lang w:bidi="en-GB"/>
        </w:rPr>
        <w:t xml:space="preserve"> is concerned, the EAPB sees further need for clarification. In chapter 3.5 note 48 (page 102), ESMA suggests as a result of its own calculations that covered bonds with an issuance volume of EUR 750 million be classified as liquid. This assumption does not, however, tally with the liquidity classification of covered bonds in accordance with Regulation (EU) no. 575/2013 (CRR) in the context of the LCR (</w:t>
      </w:r>
      <w:r w:rsidRPr="001B1701">
        <w:rPr>
          <w:i/>
          <w:lang w:bidi="en-GB"/>
        </w:rPr>
        <w:t>Liquidity Coverage Ratio</w:t>
      </w:r>
      <w:r w:rsidRPr="001B1701">
        <w:rPr>
          <w:lang w:bidi="en-GB"/>
        </w:rPr>
        <w:t xml:space="preserve">). According to article 11 (1) (f) (iv) of the Delegated Regulation (EU) 2015/61 of 10 October 2014 to supplement Regulation (EU) no. 575/2013 of the European Parliament and the Council with regard to liquidity coverage requirement for Credit Institutions, covered bonds within the context of the CRR are classified as liquid from an issuance volume of EUR 250 million and up. This assumption is based on an analysis by the European Banking Authority. A statement in the RTS would be required to the effect that the liquidity requirements pursuant to </w:t>
      </w:r>
      <w:proofErr w:type="spellStart"/>
      <w:r w:rsidRPr="001B1701">
        <w:rPr>
          <w:lang w:bidi="en-GB"/>
        </w:rPr>
        <w:t>MiFID</w:t>
      </w:r>
      <w:proofErr w:type="spellEnd"/>
      <w:r w:rsidRPr="001B1701">
        <w:rPr>
          <w:lang w:bidi="en-GB"/>
        </w:rPr>
        <w:t xml:space="preserve"> and CRR are based on different assumptions and calculation methods, and are therefore different. </w:t>
      </w:r>
    </w:p>
    <w:p w:rsidR="001B1701" w:rsidRPr="001B1701" w:rsidRDefault="001B1701" w:rsidP="001B1701">
      <w:pPr>
        <w:keepNext/>
        <w:rPr>
          <w:lang w:bidi="en-GB"/>
        </w:rPr>
      </w:pPr>
      <w:r w:rsidRPr="001B1701">
        <w:rPr>
          <w:lang w:bidi="en-GB"/>
        </w:rPr>
        <w:t xml:space="preserve">In addition, we wish to point out that the </w:t>
      </w:r>
      <w:proofErr w:type="spellStart"/>
      <w:r w:rsidRPr="001B1701">
        <w:rPr>
          <w:lang w:bidi="en-GB"/>
        </w:rPr>
        <w:t>MiFID</w:t>
      </w:r>
      <w:proofErr w:type="spellEnd"/>
      <w:r w:rsidRPr="001B1701">
        <w:rPr>
          <w:lang w:bidi="en-GB"/>
        </w:rPr>
        <w:t xml:space="preserve"> assumptions regarding the liquidity classification of covered bonds are higher than the assumptions for other bonds (</w:t>
      </w:r>
      <w:r w:rsidRPr="001B1701">
        <w:rPr>
          <w:i/>
          <w:lang w:bidi="en-GB"/>
        </w:rPr>
        <w:t>corporate bonds issued by financials</w:t>
      </w:r>
      <w:r w:rsidRPr="001B1701">
        <w:rPr>
          <w:lang w:bidi="en-GB"/>
        </w:rPr>
        <w:t>), which are classified as liquid from an issuance volume of EUR 500 million onwards. The assumption that such bonds are more liquid than covered bonds does not correspond to the general market perception.</w:t>
      </w:r>
    </w:p>
    <w:permEnd w:id="1681416297"/>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8B4523" w:rsidRPr="008B4523" w:rsidRDefault="008B4523" w:rsidP="008B4523">
      <w:pPr>
        <w:keepNext/>
        <w:rPr>
          <w:lang w:bidi="en-GB"/>
        </w:rPr>
      </w:pPr>
      <w:permStart w:id="62657620" w:edGrp="everyone"/>
      <w:r w:rsidRPr="008B4523">
        <w:rPr>
          <w:lang w:bidi="en-GB"/>
        </w:rPr>
        <w:t xml:space="preserve">We basically agree, but ESMA should keep in mind that the category of corporate bonds (7) does not include the </w:t>
      </w:r>
      <w:proofErr w:type="spellStart"/>
      <w:r w:rsidRPr="008B4523">
        <w:rPr>
          <w:lang w:bidi="en-GB"/>
        </w:rPr>
        <w:t>Societas</w:t>
      </w:r>
      <w:proofErr w:type="spellEnd"/>
      <w:r w:rsidRPr="008B4523">
        <w:rPr>
          <w:lang w:bidi="en-GB"/>
        </w:rPr>
        <w:t xml:space="preserve"> </w:t>
      </w:r>
      <w:proofErr w:type="spellStart"/>
      <w:r w:rsidRPr="008B4523">
        <w:rPr>
          <w:lang w:bidi="en-GB"/>
        </w:rPr>
        <w:t>Europaea</w:t>
      </w:r>
      <w:proofErr w:type="spellEnd"/>
      <w:r w:rsidRPr="008B4523">
        <w:rPr>
          <w:lang w:bidi="en-GB"/>
        </w:rPr>
        <w:t>.</w:t>
      </w:r>
    </w:p>
    <w:permEnd w:id="62657620"/>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lastRenderedPageBreak/>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8B4523" w:rsidRPr="008B4523" w:rsidRDefault="008B4523" w:rsidP="008B4523">
      <w:pPr>
        <w:keepNext/>
        <w:rPr>
          <w:lang w:bidi="en-GB"/>
        </w:rPr>
      </w:pPr>
      <w:permStart w:id="2041249821" w:edGrp="everyone"/>
      <w:r w:rsidRPr="008B4523">
        <w:rPr>
          <w:lang w:bidi="en-GB"/>
        </w:rPr>
        <w:t xml:space="preserve">No, we do not agree with ESMA's proposal. The existence of a market maker is not a suitable criterion for establishing liquidity when trading in securitised derivatives (certificates). This is because the market-maker model in securitized derivatives differs substantially from the market-maker model in a regulated market. In actual fact, the market maker in certificates is a market model designed to ensure that an investor can return the purchased financial instrument to the issuer. It therefore does not amount to active trading such as would be characteristic of systematic internalisation. At the same time, it should be noted that no other market participant apart from the issuer would buy back these financial instruments. </w:t>
      </w:r>
    </w:p>
    <w:p w:rsidR="008B4523" w:rsidRPr="008B4523" w:rsidRDefault="008B4523" w:rsidP="008B4523">
      <w:pPr>
        <w:keepNext/>
        <w:rPr>
          <w:lang w:bidi="en-GB"/>
        </w:rPr>
      </w:pPr>
      <w:r w:rsidRPr="008B4523">
        <w:rPr>
          <w:lang w:bidi="en-GB"/>
        </w:rPr>
        <w:t>Instead, the following parameters should be used as the criterion to determine which instruments are actually liquid:</w:t>
      </w:r>
    </w:p>
    <w:p w:rsidR="008B4523" w:rsidRPr="008B4523" w:rsidRDefault="008B4523" w:rsidP="008B4523">
      <w:pPr>
        <w:keepNext/>
        <w:rPr>
          <w:lang w:bidi="en-GB"/>
        </w:rPr>
      </w:pPr>
      <w:r w:rsidRPr="008B4523">
        <w:rPr>
          <w:lang w:bidi="en-GB"/>
        </w:rPr>
        <w:t>•</w:t>
      </w:r>
      <w:r w:rsidRPr="008B4523">
        <w:rPr>
          <w:lang w:bidi="en-GB"/>
        </w:rPr>
        <w:tab/>
      </w:r>
      <w:proofErr w:type="gramStart"/>
      <w:r w:rsidRPr="008B4523">
        <w:rPr>
          <w:lang w:bidi="en-GB"/>
        </w:rPr>
        <w:t>whether</w:t>
      </w:r>
      <w:proofErr w:type="gramEnd"/>
      <w:r w:rsidRPr="008B4523">
        <w:rPr>
          <w:lang w:bidi="en-GB"/>
        </w:rPr>
        <w:t xml:space="preserve"> actual trading takes place</w:t>
      </w:r>
    </w:p>
    <w:p w:rsidR="008B4523" w:rsidRPr="008B4523" w:rsidRDefault="008B4523" w:rsidP="008B4523">
      <w:pPr>
        <w:keepNext/>
        <w:rPr>
          <w:lang w:bidi="en-GB"/>
        </w:rPr>
      </w:pPr>
      <w:r w:rsidRPr="008B4523">
        <w:rPr>
          <w:lang w:bidi="en-GB"/>
        </w:rPr>
        <w:t>•</w:t>
      </w:r>
      <w:r w:rsidRPr="008B4523">
        <w:rPr>
          <w:lang w:bidi="en-GB"/>
        </w:rPr>
        <w:tab/>
      </w:r>
      <w:proofErr w:type="gramStart"/>
      <w:r w:rsidRPr="008B4523">
        <w:rPr>
          <w:lang w:bidi="en-GB"/>
        </w:rPr>
        <w:t>the</w:t>
      </w:r>
      <w:proofErr w:type="gramEnd"/>
      <w:r w:rsidRPr="008B4523">
        <w:rPr>
          <w:lang w:bidi="en-GB"/>
        </w:rPr>
        <w:t xml:space="preserve"> time since issuance.</w:t>
      </w:r>
    </w:p>
    <w:permEnd w:id="2041249821"/>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8B4523" w:rsidRPr="008B4523" w:rsidRDefault="008B4523" w:rsidP="008B4523">
      <w:pPr>
        <w:keepNext/>
        <w:rPr>
          <w:lang w:bidi="en-GB"/>
        </w:rPr>
      </w:pPr>
      <w:permStart w:id="2019979721" w:edGrp="everyone"/>
      <w:r w:rsidRPr="008B4523">
        <w:rPr>
          <w:lang w:bidi="en-GB"/>
        </w:rPr>
        <w:t>Yes, we agree with the definitions in section 2 of Annex III of RTS 9.</w:t>
      </w:r>
    </w:p>
    <w:permEnd w:id="201997972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&lt;ESMA_QUESTION_CP_MIFID_61&gt;</w:t>
      </w:r>
    </w:p>
    <w:p w:rsidR="008B4523" w:rsidRPr="008B4523" w:rsidRDefault="008B4523" w:rsidP="008B4523">
      <w:pPr>
        <w:keepNext/>
        <w:rPr>
          <w:lang w:bidi="en-GB"/>
        </w:rPr>
      </w:pPr>
      <w:permStart w:id="942618328" w:edGrp="everyone"/>
      <w:r w:rsidRPr="008B4523">
        <w:rPr>
          <w:lang w:bidi="en-GB"/>
        </w:rPr>
        <w:t>No. We do not agree with ESMA's proposals. We think that it is necessary to distinguish between exchange traded and non-exchange traded derivatives.</w:t>
      </w:r>
    </w:p>
    <w:p w:rsidR="008B4523" w:rsidRPr="008B4523" w:rsidRDefault="008B4523" w:rsidP="008B4523">
      <w:pPr>
        <w:keepNext/>
        <w:rPr>
          <w:lang w:bidi="en-GB"/>
        </w:rPr>
      </w:pPr>
      <w:r w:rsidRPr="008B4523">
        <w:rPr>
          <w:lang w:bidi="en-GB"/>
        </w:rPr>
        <w:t xml:space="preserve">Re (1) </w:t>
      </w:r>
    </w:p>
    <w:p w:rsidR="008B4523" w:rsidRPr="008B4523" w:rsidRDefault="008B4523" w:rsidP="008B4523">
      <w:pPr>
        <w:keepNext/>
        <w:rPr>
          <w:lang w:bidi="en-GB"/>
        </w:rPr>
      </w:pPr>
      <w:r w:rsidRPr="008B4523">
        <w:rPr>
          <w:lang w:bidi="en-GB"/>
        </w:rPr>
        <w:t>The methodology proposed to determine which classes of interest rate derivatives are classified as liquid results in a definition of the liquid market which is too broad. The methodology used assumes that, for example, euro-denominated swaps with payment swap fixed against variable are always plain vanilla transactions. However, a large number of transactions are structured to specific client or hedging requirements, and therefore it would be wrong to talk about liquidity with regard to these transactions (further criteria would need to be added, for example: different rollover dates, broken dates, amortising nominal, ascending/descending coupon, interest phases, cancellation rights, spreads on the variable side, upfront payments).</w:t>
      </w:r>
    </w:p>
    <w:p w:rsidR="008B4523" w:rsidRPr="008B4523" w:rsidRDefault="008B4523" w:rsidP="008B4523">
      <w:pPr>
        <w:keepNext/>
        <w:rPr>
          <w:lang w:bidi="en-GB"/>
        </w:rPr>
      </w:pPr>
    </w:p>
    <w:p w:rsidR="008B4523" w:rsidRPr="008B4523" w:rsidRDefault="008B4523" w:rsidP="008B4523">
      <w:pPr>
        <w:keepNext/>
        <w:rPr>
          <w:lang w:bidi="en-GB"/>
        </w:rPr>
      </w:pPr>
      <w:r w:rsidRPr="008B4523">
        <w:rPr>
          <w:lang w:bidi="en-GB"/>
        </w:rPr>
        <w:t xml:space="preserve">Re (2) </w:t>
      </w:r>
    </w:p>
    <w:p w:rsidR="008B4523" w:rsidRPr="008B4523" w:rsidRDefault="008B4523" w:rsidP="008B4523">
      <w:pPr>
        <w:keepNext/>
        <w:rPr>
          <w:lang w:bidi="en-GB"/>
        </w:rPr>
      </w:pPr>
      <w:r w:rsidRPr="008B4523">
        <w:rPr>
          <w:lang w:bidi="en-GB"/>
        </w:rPr>
        <w:t>We consider average frequency and size of transactions as useful indications, while size of spreads, which for derivatives often strongly depends on their respective risk sensitivities and is therefore not in a linear and simple relationship to notional, is generally not a useful parameter for the definition of liquidity of derivatives. This is particularly true for OTC derivatives, where many other factors besides liquidity determine bid-ask spreads.</w:t>
      </w:r>
    </w:p>
    <w:p w:rsidR="008B4523" w:rsidRPr="008B4523" w:rsidRDefault="008B4523" w:rsidP="008B4523">
      <w:pPr>
        <w:keepNext/>
        <w:rPr>
          <w:lang w:bidi="en-GB"/>
        </w:rPr>
      </w:pPr>
      <w:r w:rsidRPr="008B4523">
        <w:rPr>
          <w:lang w:bidi="en-GB"/>
        </w:rPr>
        <w:t xml:space="preserve">In the analysis of frequency and size, it is crucial to correctly group instruments. Often, there are relatively standardised and frequently reasonably liquid "plain vanilla" derivatives (e.g. FX forwards or interest rate swaps at standard tenors) which, using the criteria employed by ESMA, would be indistinguishable from highly customised transactions. </w:t>
      </w:r>
    </w:p>
    <w:p w:rsidR="008B4523" w:rsidRPr="008B4523" w:rsidRDefault="008B4523" w:rsidP="008B4523">
      <w:pPr>
        <w:keepNext/>
        <w:rPr>
          <w:lang w:bidi="en-GB"/>
        </w:rPr>
      </w:pPr>
    </w:p>
    <w:p w:rsidR="008B4523" w:rsidRPr="008B4523" w:rsidRDefault="008B4523" w:rsidP="008B4523">
      <w:pPr>
        <w:keepNext/>
        <w:rPr>
          <w:lang w:bidi="en-GB"/>
        </w:rPr>
      </w:pPr>
      <w:r w:rsidRPr="008B4523">
        <w:rPr>
          <w:lang w:bidi="en-GB"/>
        </w:rPr>
        <w:t>Re (3)</w:t>
      </w:r>
    </w:p>
    <w:p w:rsidR="008B4523" w:rsidRPr="008B4523" w:rsidRDefault="008B4523" w:rsidP="008B4523">
      <w:pPr>
        <w:keepNext/>
        <w:rPr>
          <w:lang w:bidi="en-GB"/>
        </w:rPr>
      </w:pPr>
      <w:proofErr w:type="gramStart"/>
      <w:r w:rsidRPr="008B4523">
        <w:rPr>
          <w:lang w:bidi="en-GB"/>
        </w:rPr>
        <w:t>s</w:t>
      </w:r>
      <w:proofErr w:type="gramEnd"/>
      <w:r w:rsidRPr="008B4523">
        <w:rPr>
          <w:lang w:bidi="en-GB"/>
        </w:rPr>
        <w:t xml:space="preserve">. also Q62 – we consider interest rate derivatives with standard tenors in the major currencies (EUR, USD) as reasonably liquid. In most other currencies, for intermediate tenors ("broken dates") or deviating structural features we only see limited liquidity in a few well-defined parts of a yield curve (e.g. 5 years, but not 4 years). We believe that an analysis taking into account the difference outlined in </w:t>
      </w:r>
      <w:proofErr w:type="gramStart"/>
      <w:r w:rsidRPr="008B4523">
        <w:rPr>
          <w:lang w:bidi="en-GB"/>
        </w:rPr>
        <w:t>Q61(</w:t>
      </w:r>
      <w:proofErr w:type="gramEnd"/>
      <w:r w:rsidRPr="008B4523">
        <w:rPr>
          <w:lang w:bidi="en-GB"/>
        </w:rPr>
        <w:t>2) and Q62 will clearly show this.</w:t>
      </w:r>
    </w:p>
    <w:permEnd w:id="942618328"/>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957B78" w:rsidRPr="00957B78" w:rsidRDefault="00957B78" w:rsidP="00957B78">
      <w:pPr>
        <w:keepNext/>
        <w:rPr>
          <w:lang w:bidi="en-GB"/>
        </w:rPr>
      </w:pPr>
      <w:permStart w:id="254547255" w:edGrp="everyone"/>
      <w:r w:rsidRPr="00957B78">
        <w:rPr>
          <w:lang w:bidi="en-GB"/>
        </w:rPr>
        <w:t>No, we do not agree. Please see our answer to Q61.</w:t>
      </w:r>
    </w:p>
    <w:p w:rsidR="00957B78" w:rsidRPr="00957B78" w:rsidRDefault="00957B78" w:rsidP="00957B78">
      <w:pPr>
        <w:keepNext/>
        <w:rPr>
          <w:lang w:bidi="en-GB"/>
        </w:rPr>
      </w:pPr>
      <w:r w:rsidRPr="00957B78">
        <w:rPr>
          <w:lang w:bidi="en-GB"/>
        </w:rPr>
        <w:t>Interest derivatives are regularly quoted for standard tenors (e.g. 5 years). Most trading takes place at these standard tenors. The stratification undertaken by ESMA in buckets [of x years to x+1 years] results in operational difficulties, as depending on day-count conventions, holidays etc. standard transactions may not be consistently attributed by counterparties to buckets, resulting in the application of wrong thresholds and reporting mismatches.</w:t>
      </w:r>
    </w:p>
    <w:p w:rsidR="00957B78" w:rsidRPr="00957B78" w:rsidRDefault="00957B78" w:rsidP="00957B78">
      <w:pPr>
        <w:keepNext/>
        <w:rPr>
          <w:lang w:bidi="en-GB"/>
        </w:rPr>
      </w:pPr>
      <w:r w:rsidRPr="00957B78">
        <w:rPr>
          <w:lang w:bidi="en-GB"/>
        </w:rPr>
        <w:t>We would ask ESMA to utilise their available data to validate the assertion that the vast majority of IRD transactions takes place at standard tenors.</w:t>
      </w:r>
    </w:p>
    <w:p w:rsidR="00957B78" w:rsidRPr="00957B78" w:rsidRDefault="00957B78" w:rsidP="00957B78">
      <w:pPr>
        <w:keepNext/>
        <w:rPr>
          <w:lang w:bidi="en-GB"/>
        </w:rPr>
      </w:pPr>
      <w:r w:rsidRPr="00957B78">
        <w:rPr>
          <w:lang w:bidi="en-GB"/>
        </w:rPr>
        <w:t xml:space="preserve">This issue is aggravated should the same classes be utilised for determining trading obligations, since liquidity in intermediate tenors (e.g. 3.342 years) is usually not available </w:t>
      </w:r>
      <w:r w:rsidRPr="00957B78">
        <w:rPr>
          <w:lang w:bidi="en-GB"/>
        </w:rPr>
        <w:lastRenderedPageBreak/>
        <w:t>and often linked to issuance activity, where issuers could suffer significant disadvantages if such hedging requirements were to go through trading platforms or be subject to pre-trade transparency requirements.</w:t>
      </w:r>
    </w:p>
    <w:p w:rsidR="00957B78" w:rsidRPr="00957B78" w:rsidRDefault="00957B78" w:rsidP="00957B78">
      <w:pPr>
        <w:keepNext/>
        <w:rPr>
          <w:lang w:bidi="en-GB"/>
        </w:rPr>
      </w:pPr>
      <w:r w:rsidRPr="00957B78">
        <w:rPr>
          <w:lang w:bidi="en-GB"/>
        </w:rPr>
        <w:t>We would therefore suggest distinguishing in the liquidity analysis between “standard tenors” (i.e. full years +/- 3 business days, and including standard dates agreed under “market agreed coupon” terms) and non-standard tenors (most other dates).</w:t>
      </w:r>
    </w:p>
    <w:p w:rsidR="00957B78" w:rsidRPr="00957B78" w:rsidRDefault="00957B78" w:rsidP="00957B78">
      <w:pPr>
        <w:keepNext/>
        <w:rPr>
          <w:lang w:bidi="en-GB"/>
        </w:rPr>
      </w:pPr>
      <w:r w:rsidRPr="00957B78">
        <w:rPr>
          <w:lang w:bidi="en-GB"/>
        </w:rPr>
        <w:t>For interest rate derivatives whose underlying is denominated in a foreign currency, threshold values in this foreign currency are required. Only this approach ensures that the threshold figures can be taken into account in operating terms whereas conversion would not be a practical approach.</w:t>
      </w:r>
    </w:p>
    <w:permEnd w:id="25454725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957B78" w:rsidRPr="00957B78" w:rsidRDefault="00957B78" w:rsidP="00957B78">
      <w:pPr>
        <w:keepNext/>
        <w:rPr>
          <w:lang w:bidi="en-GB"/>
        </w:rPr>
      </w:pPr>
      <w:permStart w:id="351551502" w:edGrp="everyone"/>
      <w:r w:rsidRPr="00957B78">
        <w:rPr>
          <w:lang w:bidi="en-GB"/>
        </w:rPr>
        <w:t>We believe that neither option 1 nor option 2 is sufficiently supported by the statistical survey presented by ESMA. ESMA's survey refers solely to listed futures and options and consequently does not include OTC-traded equity derivatives, which account for approx. 40% of the total nominal volume. If all equity derivatives with a term of up to six months were categorised as liquid, this would not take into account the illiquidity of OTC equity options with this term; consequently option 1 cannot be followed. The maturity-independent categorisation of all equity derivatives traded on venue as liquid, as suggested by option 2, would contradict ESMA's findings in charts 12-15 (pp. 129 CP), according to which most trading is accounted for by products with a term of up to three months. Against this backdrop, we support a differentiated approach based on the data collected by ESMA. Only listed futures and options with a term of no more than six months can thus be considered as liquid.</w:t>
      </w:r>
    </w:p>
    <w:permEnd w:id="35155150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957B78" w:rsidRPr="00957B78" w:rsidRDefault="00957B78" w:rsidP="00957B78">
      <w:pPr>
        <w:keepNext/>
        <w:rPr>
          <w:lang w:bidi="en-GB"/>
        </w:rPr>
      </w:pPr>
      <w:permStart w:id="1472823113" w:edGrp="everyone"/>
      <w:r w:rsidRPr="00957B78">
        <w:rPr>
          <w:lang w:bidi="en-GB"/>
        </w:rPr>
        <w:t>The ESMA survey only examined the data of listed derivatives (CP p. 127 (83)). This approach makes sense for standardised listed equity derivatives. It is not clear why ESMA has only looked at the data of listed equity derivatives and then transferred the results to all equity derivatives. For example, the hedging of certificates requires individual equity derivatives that are not traded on the stock market and are only available OTC. ESMA must therefore differentiate between standardised equity derivatives (e.g. specific maturities, at present every third Friday of the month for equities and every Friday for indices) and non-</w:t>
      </w:r>
      <w:r w:rsidRPr="00957B78">
        <w:rPr>
          <w:lang w:bidi="en-GB"/>
        </w:rPr>
        <w:lastRenderedPageBreak/>
        <w:t>standardised equity derivatives ("uneven" term, Asian option, barrier option...). Non-standardised equity derivatives should be classified as illiquid for the above-mentioned reasons and lower LIS/SSTI limits applied.</w:t>
      </w:r>
    </w:p>
    <w:permEnd w:id="147282311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957B78" w:rsidRPr="00957B78" w:rsidRDefault="00957B78" w:rsidP="00957B78">
      <w:pPr>
        <w:keepNext/>
        <w:rPr>
          <w:lang w:bidi="en-GB"/>
        </w:rPr>
      </w:pPr>
      <w:permStart w:id="2116357397" w:edGrp="everyone"/>
      <w:r w:rsidRPr="00957B78">
        <w:rPr>
          <w:lang w:bidi="en-GB"/>
        </w:rPr>
        <w:t>There should be a definition for “option” in Section 4 para. (1) so that only the standard options (European, American, call, put) are covered and not e.g. exotic options.</w:t>
      </w:r>
    </w:p>
    <w:p w:rsidR="00957B78" w:rsidRPr="00957B78" w:rsidRDefault="00957B78" w:rsidP="00957B78">
      <w:pPr>
        <w:keepNext/>
        <w:rPr>
          <w:lang w:bidi="en-GB"/>
        </w:rPr>
      </w:pPr>
      <w:proofErr w:type="gramStart"/>
      <w:r w:rsidRPr="00957B78">
        <w:rPr>
          <w:lang w:bidi="en-GB"/>
        </w:rPr>
        <w:t>Para.</w:t>
      </w:r>
      <w:proofErr w:type="gramEnd"/>
      <w:r w:rsidRPr="00957B78">
        <w:rPr>
          <w:lang w:bidi="en-GB"/>
        </w:rPr>
        <w:t xml:space="preserve"> (12) and (13) of Section 4 should both be split up into sub-sections for “volatility index” and “ETF” since these are completely different asset classes with different investors and should not be placed together in one category. </w:t>
      </w:r>
    </w:p>
    <w:p w:rsidR="00957B78" w:rsidRPr="00957B78" w:rsidRDefault="00957B78" w:rsidP="00957B78">
      <w:pPr>
        <w:keepNext/>
        <w:rPr>
          <w:lang w:bidi="en-GB"/>
        </w:rPr>
      </w:pPr>
      <w:r w:rsidRPr="00957B78">
        <w:rPr>
          <w:lang w:bidi="en-GB"/>
        </w:rPr>
        <w:t>Example:</w:t>
      </w:r>
    </w:p>
    <w:p w:rsidR="00957B78" w:rsidRPr="00957B78" w:rsidRDefault="00957B78" w:rsidP="00957B78">
      <w:pPr>
        <w:keepNext/>
        <w:rPr>
          <w:lang w:bidi="en-GB"/>
        </w:rPr>
      </w:pPr>
      <w:proofErr w:type="gramStart"/>
      <w:r w:rsidRPr="00957B78">
        <w:rPr>
          <w:lang w:bidi="en-GB"/>
        </w:rPr>
        <w:t>Para.</w:t>
      </w:r>
      <w:proofErr w:type="gramEnd"/>
      <w:r w:rsidRPr="00957B78">
        <w:rPr>
          <w:lang w:bidi="en-GB"/>
        </w:rPr>
        <w:t xml:space="preserve"> (12)(a) “Option on a volatility index” means an option whose underlying is a volatility index.</w:t>
      </w:r>
    </w:p>
    <w:p w:rsidR="00957B78" w:rsidRPr="00957B78" w:rsidRDefault="00957B78" w:rsidP="00957B78">
      <w:pPr>
        <w:keepNext/>
        <w:rPr>
          <w:lang w:bidi="en-GB"/>
        </w:rPr>
      </w:pPr>
      <w:proofErr w:type="gramStart"/>
      <w:r w:rsidRPr="00957B78">
        <w:rPr>
          <w:lang w:bidi="en-GB"/>
        </w:rPr>
        <w:t>Para.</w:t>
      </w:r>
      <w:proofErr w:type="gramEnd"/>
      <w:r w:rsidRPr="00957B78">
        <w:rPr>
          <w:lang w:bidi="en-GB"/>
        </w:rPr>
        <w:t xml:space="preserve"> (12)(b) “Option on an ETF” means an option on an ETF.</w:t>
      </w:r>
    </w:p>
    <w:permEnd w:id="211635739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292841992" w:edGrp="everyone"/>
      <w:r>
        <w:t>TYPE YOUR TEXT HERE</w:t>
      </w:r>
    </w:p>
    <w:permEnd w:id="129284199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318795997" w:edGrp="everyone"/>
      <w:r>
        <w:t>TYPE YOUR TEXT HERE</w:t>
      </w:r>
    </w:p>
    <w:permEnd w:id="31879599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84277756" w:edGrp="everyone"/>
      <w:r>
        <w:t>TYPE YOUR TEXT HERE</w:t>
      </w:r>
    </w:p>
    <w:permEnd w:id="784277756"/>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802510824" w:edGrp="everyone"/>
      <w:r>
        <w:t>TYPE YOUR TEXT HERE</w:t>
      </w:r>
    </w:p>
    <w:permEnd w:id="1802510824"/>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894253343" w:edGrp="everyone"/>
      <w:r>
        <w:t>TYPE YOUR TEXT HERE</w:t>
      </w:r>
    </w:p>
    <w:permEnd w:id="1894253343"/>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347617737" w:edGrp="everyone"/>
      <w:r>
        <w:t>TYPE YOUR TEXT HERE</w:t>
      </w:r>
    </w:p>
    <w:permEnd w:id="34761773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7B25DF" w:rsidRPr="007B25DF" w:rsidRDefault="007B25DF" w:rsidP="007B25DF">
      <w:pPr>
        <w:keepNext/>
        <w:rPr>
          <w:lang w:bidi="en-GB"/>
        </w:rPr>
      </w:pPr>
      <w:permStart w:id="1801323962" w:edGrp="everyone"/>
      <w:r w:rsidRPr="007B25DF">
        <w:rPr>
          <w:lang w:val="en-US"/>
        </w:rPr>
        <w:t xml:space="preserve">With regard to pre-trade transparency of the SI, the EAPB underlines the need to have a </w:t>
      </w:r>
      <w:r w:rsidRPr="007B25DF">
        <w:rPr>
          <w:i/>
          <w:lang w:val="en-US"/>
        </w:rPr>
        <w:t>specific</w:t>
      </w:r>
      <w:r w:rsidRPr="007B25DF">
        <w:rPr>
          <w:lang w:val="en-US"/>
        </w:rPr>
        <w:t xml:space="preserve"> SSTI and opposes to the 50 % LIS-solution because of being </w:t>
      </w:r>
      <w:r w:rsidRPr="007B25DF">
        <w:rPr>
          <w:i/>
          <w:lang w:val="en-US"/>
        </w:rPr>
        <w:t>unspecific</w:t>
      </w:r>
      <w:r w:rsidRPr="007B25DF">
        <w:rPr>
          <w:lang w:val="en-US"/>
        </w:rPr>
        <w:t>. For an explanation in detail, we refer to our answer to question 77 (2).</w:t>
      </w:r>
    </w:p>
    <w:permEnd w:id="1801323962"/>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DD7084" w:rsidRPr="00DD7084" w:rsidRDefault="00DD7084" w:rsidP="00DD7084">
      <w:pPr>
        <w:keepNext/>
        <w:rPr>
          <w:lang w:bidi="en-GB"/>
        </w:rPr>
      </w:pPr>
      <w:permStart w:id="1969241474" w:edGrp="everyone"/>
      <w:r w:rsidRPr="00DD7084">
        <w:rPr>
          <w:lang w:bidi="en-GB"/>
        </w:rPr>
        <w:t>The EAPB believes that it is unnecessary to include the date and time of publication among the fields included in Annex II, Table 1 of RTS 9. It is not clear what additional benefit market participants would have from this information. In fact, we note from ESMA’s summary of responses received on the Discussion Paper that the publication of time and date was not proposed by market participants.</w:t>
      </w:r>
    </w:p>
    <w:p w:rsidR="00DD7084" w:rsidRPr="00DD7084" w:rsidRDefault="00DD7084" w:rsidP="00DD7084">
      <w:pPr>
        <w:keepNext/>
        <w:rPr>
          <w:lang w:bidi="en-GB"/>
        </w:rPr>
      </w:pPr>
      <w:r w:rsidRPr="00DD7084">
        <w:rPr>
          <w:lang w:bidi="en-GB"/>
        </w:rPr>
        <w:t>All relevant information is included in Annex II Table 1; no more fields should be added.</w:t>
      </w:r>
    </w:p>
    <w:p w:rsidR="00DD7084" w:rsidRPr="00DD7084" w:rsidRDefault="00DD7084" w:rsidP="00DD7084">
      <w:pPr>
        <w:keepNext/>
        <w:rPr>
          <w:lang w:bidi="en-GB"/>
        </w:rPr>
      </w:pPr>
      <w:r w:rsidRPr="00DD7084">
        <w:rPr>
          <w:lang w:bidi="en-GB"/>
        </w:rPr>
        <w:t>In addition, we strongly welcome ESMA’s proposal not to require an SI to disclose its identity. Such disclosure would indeed, as ESMA concludes, expose the SI to unacceptable risks. In addition, such disclosure is not necessary to achieve market transparency.</w:t>
      </w:r>
    </w:p>
    <w:permEnd w:id="196924147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D812A7" w:rsidRPr="00D812A7" w:rsidRDefault="00D812A7" w:rsidP="00D812A7">
      <w:pPr>
        <w:keepNext/>
        <w:rPr>
          <w:lang w:bidi="en-GB"/>
        </w:rPr>
      </w:pPr>
      <w:permStart w:id="745481395" w:edGrp="everyone"/>
      <w:r w:rsidRPr="00D812A7">
        <w:rPr>
          <w:lang w:bidi="en-GB"/>
        </w:rPr>
        <w:t>No, the proposed table is superfluous to a great extent and too detailed. Identifiers should be restricted to the essential information, i.e. identifiers for transactions which were subject to waivers or which benefitted from the use of deferrals. Moreover, a single category of deferred publication could replace the flags for post-trade LIS (“L”), illiquid instrument trade (“I”) and post-trade size specific (“S”).</w:t>
      </w:r>
    </w:p>
    <w:permEnd w:id="74548139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D812A7" w:rsidRPr="00D812A7" w:rsidRDefault="00D812A7" w:rsidP="00D812A7">
      <w:pPr>
        <w:keepNext/>
        <w:rPr>
          <w:lang w:bidi="en-GB"/>
        </w:rPr>
      </w:pPr>
      <w:permStart w:id="1640188658" w:edGrp="everyone"/>
      <w:r w:rsidRPr="00D812A7">
        <w:rPr>
          <w:lang w:bidi="en-GB"/>
        </w:rPr>
        <w:t xml:space="preserve">A maximum delay of 15 minutes is actually in line with the requirements under the TRACE regime in the US (level playing field) and less susceptible to arbitrage or booking errors. We suggest that ESMA </w:t>
      </w:r>
      <w:proofErr w:type="gramStart"/>
      <w:r w:rsidRPr="00D812A7">
        <w:rPr>
          <w:lang w:bidi="en-GB"/>
        </w:rPr>
        <w:t>either sets</w:t>
      </w:r>
      <w:proofErr w:type="gramEnd"/>
      <w:r w:rsidRPr="00D812A7">
        <w:rPr>
          <w:lang w:bidi="en-GB"/>
        </w:rPr>
        <w:t xml:space="preserve"> a permanent maximum reporting period of 15 min or observes how the market develops under the new transparency regime and, based on the information gained from such observance, takes a decision after a new consultation.</w:t>
      </w:r>
    </w:p>
    <w:p w:rsidR="00D812A7" w:rsidRPr="00D812A7" w:rsidRDefault="00D812A7" w:rsidP="00D812A7">
      <w:pPr>
        <w:keepNext/>
        <w:rPr>
          <w:lang w:bidi="en-GB"/>
        </w:rPr>
      </w:pPr>
    </w:p>
    <w:p w:rsidR="00D812A7" w:rsidRPr="00D812A7" w:rsidRDefault="00D812A7" w:rsidP="00D812A7">
      <w:pPr>
        <w:keepNext/>
        <w:rPr>
          <w:lang w:bidi="en-GB"/>
        </w:rPr>
      </w:pPr>
      <w:r w:rsidRPr="00D812A7">
        <w:rPr>
          <w:lang w:bidi="en-GB"/>
        </w:rPr>
        <w:t xml:space="preserve">Moreover we would suggest setting the time limit for the reporting of OTC derivatives at 30 minutes until the end of 2017 and 15 minutes thereafter. Existing reporting mechanisms of </w:t>
      </w:r>
      <w:r w:rsidRPr="00D812A7">
        <w:rPr>
          <w:lang w:bidi="en-GB"/>
        </w:rPr>
        <w:lastRenderedPageBreak/>
        <w:t>trading platforms, infrastructure providers and back offices are geared towards the US reporting timelines which have been in effect since 2012 (cf. Part 45.12 section b-1 Dodd-Frank Act). Considering that in particular for OTC derivatives traded on voice trading systems a certain minimum time is required to verify trade details, and the setting up of trades in systems can take some time, the limits set by US CFTC standards of 15 minutes have proven to be ambitious but achievable. Shorter timeframes would likely result in operational issues such as reporting mismatches of trades. We consider it to be in the common interest of markets, infrastructure and regulators to aim at a maximum of international harmonisation, in particular in the case of OTC derivatives, which is a global rather than a regional market.</w:t>
      </w:r>
    </w:p>
    <w:permEnd w:id="1640188658"/>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9F6A21" w:rsidRPr="009F6A21" w:rsidRDefault="009F6A21" w:rsidP="009F6A21">
      <w:pPr>
        <w:keepNext/>
        <w:rPr>
          <w:lang w:bidi="en-GB"/>
        </w:rPr>
      </w:pPr>
      <w:permStart w:id="1982742598" w:edGrp="everyone"/>
      <w:r w:rsidRPr="009F6A21">
        <w:rPr>
          <w:lang w:bidi="en-GB"/>
        </w:rPr>
        <w:t>Yes, we agree that such transactions should be exempt. SFT are not primarily based on the market price of the respective instrument, but on the rates that apply in the respective repo or securities lending market. These are therefore transactions within the meaning of Article 21(5</w:t>
      </w:r>
      <w:proofErr w:type="gramStart"/>
      <w:r w:rsidRPr="009F6A21">
        <w:rPr>
          <w:lang w:bidi="en-GB"/>
        </w:rPr>
        <w:t>)(</w:t>
      </w:r>
      <w:proofErr w:type="gramEnd"/>
      <w:r w:rsidRPr="009F6A21">
        <w:rPr>
          <w:lang w:bidi="en-GB"/>
        </w:rPr>
        <w:t xml:space="preserve">b) </w:t>
      </w:r>
      <w:proofErr w:type="spellStart"/>
      <w:r w:rsidRPr="009F6A21">
        <w:rPr>
          <w:lang w:bidi="en-GB"/>
        </w:rPr>
        <w:t>MiFIR</w:t>
      </w:r>
      <w:proofErr w:type="spellEnd"/>
      <w:r w:rsidRPr="009F6A21">
        <w:rPr>
          <w:lang w:bidi="en-GB"/>
        </w:rPr>
        <w:t xml:space="preserve"> whose price is determined by factors other than the current market valuation of the instrument.</w:t>
      </w:r>
    </w:p>
    <w:p w:rsidR="009F6A21" w:rsidRPr="009F6A21" w:rsidRDefault="009F6A21" w:rsidP="009F6A21">
      <w:pPr>
        <w:keepNext/>
        <w:rPr>
          <w:lang w:bidi="en-GB"/>
        </w:rPr>
      </w:pPr>
    </w:p>
    <w:p w:rsidR="009F6A21" w:rsidRPr="009F6A21" w:rsidRDefault="009F6A21" w:rsidP="009F6A21">
      <w:pPr>
        <w:keepNext/>
        <w:rPr>
          <w:lang w:bidi="en-GB"/>
        </w:rPr>
      </w:pPr>
      <w:r w:rsidRPr="009F6A21">
        <w:rPr>
          <w:lang w:bidi="en-GB"/>
        </w:rPr>
        <w:t>Furthermore, portfolio compression trades should also be included in the list of the exempt trades because their price is not determined by current market valuation either.</w:t>
      </w:r>
    </w:p>
    <w:p w:rsidR="009F6A21" w:rsidRPr="009F6A21" w:rsidRDefault="009F6A21" w:rsidP="009F6A21">
      <w:pPr>
        <w:keepNext/>
        <w:rPr>
          <w:lang w:bidi="en-GB"/>
        </w:rPr>
      </w:pPr>
    </w:p>
    <w:p w:rsidR="009F6A21" w:rsidRPr="009F6A21" w:rsidRDefault="009F6A21" w:rsidP="009F6A21">
      <w:pPr>
        <w:keepNext/>
        <w:rPr>
          <w:lang w:bidi="en-GB"/>
        </w:rPr>
      </w:pPr>
      <w:r w:rsidRPr="009F6A21">
        <w:rPr>
          <w:lang w:bidi="en-GB"/>
        </w:rPr>
        <w:t>In our view, the RTS should provide that competent authorities may grant a waiver with respect to any type of transaction, if the price is determined by factors other than the current market valuation of the instrument. In particular, the RTS should not provide for an exhaustive list of such types of transactions. Even if it were possible to include all relevant types of transaction where the price is determined by factors other than the current market valuation and which are market practice today, an exhaustive list of transaction types would not take into account future market developments. Thus, transaction types which may be developed in the future would still be covered by the transparency requirement, even though their price would not be determined by market valuation.</w:t>
      </w:r>
    </w:p>
    <w:p w:rsidR="009F6A21" w:rsidRPr="009F6A21" w:rsidRDefault="009F6A21" w:rsidP="009F6A21">
      <w:pPr>
        <w:keepNext/>
        <w:rPr>
          <w:lang w:bidi="en-GB"/>
        </w:rPr>
      </w:pPr>
    </w:p>
    <w:p w:rsidR="009F6A21" w:rsidRPr="009F6A21" w:rsidRDefault="009F6A21" w:rsidP="009F6A21">
      <w:pPr>
        <w:keepNext/>
        <w:rPr>
          <w:lang w:bidi="en-GB"/>
        </w:rPr>
      </w:pPr>
      <w:r w:rsidRPr="009F6A21">
        <w:rPr>
          <w:lang w:bidi="en-GB"/>
        </w:rPr>
        <w:t>With regard to all types of financial instruments a general problem arises by the fact that there are certain types of transaction existing where the volume, but not the price (or vice versa), is fixed upon the execution of the transaction (for example, counterparties may execute a transaction in the morning under which the number of financial instruments to be delivered is determined according to the closing price of the relevant financial instrument). A publication of these trades with incomplete message fields would invite market abuse by other market participants. Only when all details to be published have been determined, should the trade be published. A special regulation to this effect is needed in Article 7(5) RTS 9.</w:t>
      </w:r>
    </w:p>
    <w:permEnd w:id="1982742598"/>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w:t>
      </w:r>
      <w:r>
        <w:lastRenderedPageBreak/>
        <w:t>thresholds from 2018 onwards including the level of granularity of the classes on which the recalculations will be performed.</w:t>
      </w:r>
    </w:p>
    <w:p w:rsidR="00577C33" w:rsidRDefault="00577C33" w:rsidP="00EC2C93">
      <w:pPr>
        <w:keepNext/>
      </w:pPr>
      <w:r>
        <w:t>&lt;ESMA_QUESTION_CP_MIFID_77&gt;</w:t>
      </w:r>
    </w:p>
    <w:p w:rsidR="00440E1B" w:rsidRPr="00440E1B" w:rsidRDefault="00440E1B" w:rsidP="00440E1B">
      <w:pPr>
        <w:keepNext/>
        <w:rPr>
          <w:lang w:bidi="en-GB"/>
        </w:rPr>
      </w:pPr>
      <w:permStart w:id="14749879" w:edGrp="everyone"/>
      <w:r w:rsidRPr="00440E1B">
        <w:rPr>
          <w:lang w:bidi="en-GB"/>
        </w:rPr>
        <w:t>(1) Regarding the setting of the deferral period to 48 hours, we welcome ESMA’s intention to provide for a longer deferral period compared to the proposal in the Discussion Paper. However, we still think that a 48 hour period is too short. For bonds, deferral periods of at least two weeks are necessary, for structured finance products at least four weeks. The SI often has to unwind large-volume transactions over a period of several days, esp. in illiquid bonds. ESMA’s data show that the bulk of the financial instruments in question trade less than twice a week. If the market gains knowledge of the transaction after two trading days (or even less, if the 48 hours period covers a weekend or bank holiday), the SI would face unacceptable risks that it would not be able to hedge adequately. Other market participants could use the information against the SI. There would also be disadvantages for the client, as the SI would have to pass on the risks in the form of less favourable prices. The less liquid an instrument is</w:t>
      </w:r>
      <w:proofErr w:type="gramStart"/>
      <w:r w:rsidRPr="00440E1B">
        <w:rPr>
          <w:lang w:bidi="en-GB"/>
        </w:rPr>
        <w:t>,</w:t>
      </w:r>
      <w:proofErr w:type="gramEnd"/>
      <w:r w:rsidRPr="00440E1B">
        <w:rPr>
          <w:lang w:bidi="en-GB"/>
        </w:rPr>
        <w:t xml:space="preserve"> the greater are these risks. More granular deferral periods are necessary, in particular given that the post trade transparency regime also applies to illiquid instruments. For some instruments, deferral periods of several weeks would be appropriate.</w:t>
      </w:r>
    </w:p>
    <w:p w:rsidR="00440E1B" w:rsidRPr="00440E1B" w:rsidRDefault="00440E1B" w:rsidP="00440E1B">
      <w:pPr>
        <w:keepNext/>
        <w:rPr>
          <w:lang w:bidi="en-GB"/>
        </w:rPr>
      </w:pPr>
    </w:p>
    <w:p w:rsidR="00440E1B" w:rsidRPr="00440E1B" w:rsidRDefault="00440E1B" w:rsidP="00440E1B">
      <w:pPr>
        <w:keepNext/>
        <w:rPr>
          <w:lang w:bidi="en-GB"/>
        </w:rPr>
      </w:pPr>
      <w:r w:rsidRPr="00440E1B">
        <w:rPr>
          <w:lang w:bidi="en-GB"/>
        </w:rPr>
        <w:t>In addition, the deferral period should take normal trading hours into account. Otherwise, a 48 hour deferral period which would commence on Friday evening would expire on Sunday evening. This would obviously not provide sufficient time for the SI to unwind large-volume transactions, in particular in less liquid instruments. We suggest using TARGET days as a reference for calculating the deferral period. A minimum deferral period of t+2 (resp. more for illiquid instruments) in TARGET days would provide for a practicable solution.</w:t>
      </w:r>
    </w:p>
    <w:p w:rsidR="00440E1B" w:rsidRPr="00440E1B" w:rsidRDefault="00440E1B" w:rsidP="00440E1B">
      <w:pPr>
        <w:keepNext/>
        <w:rPr>
          <w:lang w:bidi="en-GB"/>
        </w:rPr>
      </w:pPr>
    </w:p>
    <w:p w:rsidR="00440E1B" w:rsidRPr="00440E1B" w:rsidRDefault="00440E1B" w:rsidP="00440E1B">
      <w:pPr>
        <w:keepNext/>
        <w:rPr>
          <w:lang w:bidi="en-GB"/>
        </w:rPr>
      </w:pPr>
      <w:r w:rsidRPr="00440E1B">
        <w:rPr>
          <w:lang w:bidi="en-GB"/>
        </w:rPr>
        <w:t>(2) With regard to the determination of the SSTI threshold, we disagree with ESMA’s approach under which ESMA would determine the LIS threshold and subsequently set the SSTI at 50% of the LIS. This approach disregards the wording of the level 1 text. In particular, when determining the SSTI pursuant to Article 9(1</w:t>
      </w:r>
      <w:proofErr w:type="gramStart"/>
      <w:r w:rsidRPr="00440E1B">
        <w:rPr>
          <w:lang w:bidi="en-GB"/>
        </w:rPr>
        <w:t>)(</w:t>
      </w:r>
      <w:proofErr w:type="gramEnd"/>
      <w:r w:rsidRPr="00440E1B">
        <w:rPr>
          <w:lang w:bidi="en-GB"/>
        </w:rPr>
        <w:t xml:space="preserve">b) </w:t>
      </w:r>
      <w:proofErr w:type="spellStart"/>
      <w:r w:rsidRPr="00440E1B">
        <w:rPr>
          <w:lang w:bidi="en-GB"/>
        </w:rPr>
        <w:t>MiFIR</w:t>
      </w:r>
      <w:proofErr w:type="spellEnd"/>
      <w:r w:rsidRPr="00440E1B">
        <w:rPr>
          <w:lang w:bidi="en-GB"/>
        </w:rPr>
        <w:t xml:space="preserve">, Article 9(5)(d) (ii) </w:t>
      </w:r>
      <w:proofErr w:type="spellStart"/>
      <w:r w:rsidRPr="00440E1B">
        <w:rPr>
          <w:lang w:bidi="en-GB"/>
        </w:rPr>
        <w:t>MiFIR</w:t>
      </w:r>
      <w:proofErr w:type="spellEnd"/>
      <w:r w:rsidRPr="00440E1B">
        <w:rPr>
          <w:lang w:bidi="en-GB"/>
        </w:rPr>
        <w:t xml:space="preserve"> requires ESMA to take into account, where “a market in the financial instrument, or a class of financial instruments, consists in part of retail investors, the average value of transactions undertaken by those investors” (a similar wording is contained in Article 11(1)(c) </w:t>
      </w:r>
      <w:proofErr w:type="spellStart"/>
      <w:r w:rsidRPr="00440E1B">
        <w:rPr>
          <w:lang w:bidi="en-GB"/>
        </w:rPr>
        <w:t>MiFIR</w:t>
      </w:r>
      <w:proofErr w:type="spellEnd"/>
      <w:r w:rsidRPr="00440E1B">
        <w:rPr>
          <w:lang w:bidi="en-GB"/>
        </w:rPr>
        <w:t xml:space="preserve">). We do not think that setting the SSTI at 50% of the LIS takes this into account. For example, in Table 1 of Annex 3 RTS 9, ESMA suggests setting the SSTI for European Sovereign Bonds at 5 million. However, European Sovereign Bonds are a class of financial instrument which “consists in part of retail investors”. ESMA is therefore required to take into account the average value of transactions undertaken by those investors. Even though under the level 1 text, ESMA may also take into account other criteria, an SSTI of EUR 5 million clearly disregards the level 1 requirement of taking into account the average size of transactions entered into by retail investors. Therefore we argue in favour of an independent regulation of the SSTI. In its deliberations on Article 18(2) </w:t>
      </w:r>
      <w:proofErr w:type="spellStart"/>
      <w:r w:rsidRPr="00440E1B">
        <w:rPr>
          <w:lang w:bidi="en-GB"/>
        </w:rPr>
        <w:t>MiFIR</w:t>
      </w:r>
      <w:proofErr w:type="spellEnd"/>
      <w:r w:rsidRPr="00440E1B">
        <w:rPr>
          <w:lang w:bidi="en-GB"/>
        </w:rPr>
        <w:t xml:space="preserve">, the European Parliament once took EUR 100,000 as a typical volume for these kinds of trades (draft version of 27 September 2012), which would be also in line with the distinction already made in Article 3(2)(c) - (e) Directive 2003/71/EC (Prospectus Directive) between retail and wholesale trades. Additionally (and this also applies to the determination of the LIS), it would be wrong to set the thresholds at a level which aims at a certain coverage ratio (i.e. to set the threshold with the aim of having a certain percentage of bonds covered above the threshold). This </w:t>
      </w:r>
      <w:r w:rsidRPr="00440E1B">
        <w:rPr>
          <w:lang w:bidi="en-GB"/>
        </w:rPr>
        <w:lastRenderedPageBreak/>
        <w:t>approach would disregard the level 1 requirement that the aim of providing transparency in non-equities has to be balanced with the risks arising from such transparency for investment firms and does not reflect ESMA’s mandate to set the SSTI in accordance with Article 9(5</w:t>
      </w:r>
      <w:proofErr w:type="gramStart"/>
      <w:r w:rsidRPr="00440E1B">
        <w:rPr>
          <w:lang w:bidi="en-GB"/>
        </w:rPr>
        <w:t>)(</w:t>
      </w:r>
      <w:proofErr w:type="gramEnd"/>
      <w:r w:rsidRPr="00440E1B">
        <w:rPr>
          <w:lang w:bidi="en-GB"/>
        </w:rPr>
        <w:t xml:space="preserve">d) (ii) </w:t>
      </w:r>
      <w:proofErr w:type="spellStart"/>
      <w:r w:rsidRPr="00440E1B">
        <w:rPr>
          <w:lang w:bidi="en-GB"/>
        </w:rPr>
        <w:t>MiFIR</w:t>
      </w:r>
      <w:proofErr w:type="spellEnd"/>
      <w:r w:rsidRPr="00440E1B">
        <w:rPr>
          <w:lang w:bidi="en-GB"/>
        </w:rPr>
        <w:t>.</w:t>
      </w:r>
    </w:p>
    <w:p w:rsidR="00440E1B" w:rsidRPr="00440E1B" w:rsidRDefault="00440E1B" w:rsidP="00440E1B">
      <w:pPr>
        <w:keepNext/>
        <w:rPr>
          <w:lang w:bidi="en-GB"/>
        </w:rPr>
      </w:pPr>
      <w:r w:rsidRPr="00440E1B">
        <w:rPr>
          <w:lang w:bidi="en-GB"/>
        </w:rPr>
        <w:t xml:space="preserve">Moreover, this approach seems disproportionate when compared to that taken with equities (cf. RTS 8). For non-equities it would be appropriate to set the SSTI to a low single-digit percentage of the LIS threshold. </w:t>
      </w:r>
    </w:p>
    <w:p w:rsidR="00440E1B" w:rsidRPr="00440E1B" w:rsidRDefault="00440E1B" w:rsidP="00440E1B">
      <w:pPr>
        <w:keepNext/>
        <w:rPr>
          <w:lang w:bidi="en-GB"/>
        </w:rPr>
      </w:pPr>
      <w:r w:rsidRPr="00440E1B">
        <w:rPr>
          <w:lang w:bidi="en-GB"/>
        </w:rPr>
        <w:t>With respect to Article 11(3) RTS 9, the threshold determined in accordance to paragraph (2) should be rounded down and not up to avoid the unintended consequence of non-legitimised higher threshold values.</w:t>
      </w:r>
    </w:p>
    <w:p w:rsidR="00440E1B" w:rsidRPr="00440E1B" w:rsidRDefault="00440E1B" w:rsidP="00440E1B">
      <w:pPr>
        <w:keepNext/>
        <w:rPr>
          <w:lang w:bidi="en-GB"/>
        </w:rPr>
      </w:pPr>
    </w:p>
    <w:p w:rsidR="00440E1B" w:rsidRPr="00440E1B" w:rsidRDefault="00440E1B" w:rsidP="00440E1B">
      <w:pPr>
        <w:keepNext/>
        <w:rPr>
          <w:lang w:bidi="en-GB"/>
        </w:rPr>
      </w:pPr>
      <w:r w:rsidRPr="00440E1B">
        <w:rPr>
          <w:lang w:bidi="en-GB"/>
        </w:rPr>
        <w:t xml:space="preserve">(3) We agree with the proposed measures of volume for bonds and SFP, securitised derivatives, interest rate derivatives and foreign exchange derivatives. Concerning equity derivatives, ESMA’s proposal encompasses only options and futures. For </w:t>
      </w:r>
      <w:proofErr w:type="gramStart"/>
      <w:r w:rsidRPr="00440E1B">
        <w:rPr>
          <w:lang w:bidi="en-GB"/>
        </w:rPr>
        <w:t>those underlyings</w:t>
      </w:r>
      <w:proofErr w:type="gramEnd"/>
      <w:r w:rsidRPr="00440E1B">
        <w:rPr>
          <w:lang w:bidi="en-GB"/>
        </w:rPr>
        <w:t xml:space="preserve"> the proposed volume makes sense; for other underlyings the volume should be measured by the notional amount or reference value.</w:t>
      </w:r>
    </w:p>
    <w:p w:rsidR="00440E1B" w:rsidRPr="00440E1B" w:rsidRDefault="00440E1B" w:rsidP="00440E1B">
      <w:pPr>
        <w:keepNext/>
        <w:rPr>
          <w:lang w:bidi="en-GB"/>
        </w:rPr>
      </w:pPr>
    </w:p>
    <w:p w:rsidR="00440E1B" w:rsidRPr="00440E1B" w:rsidRDefault="00440E1B" w:rsidP="00440E1B">
      <w:pPr>
        <w:keepNext/>
        <w:rPr>
          <w:lang w:bidi="en-GB"/>
        </w:rPr>
      </w:pPr>
      <w:r w:rsidRPr="00440E1B">
        <w:rPr>
          <w:lang w:bidi="en-GB"/>
        </w:rPr>
        <w:t>(4) We reject the proposal to set identical thresholds for pre-trade and post-trade transparency. The risk incurred under the pre-trade transparency requirements is far higher than the post-trade requirements. Therefore the pre-trade threshold should be lower.</w:t>
      </w:r>
    </w:p>
    <w:p w:rsidR="00440E1B" w:rsidRPr="00440E1B" w:rsidRDefault="00440E1B" w:rsidP="00440E1B">
      <w:pPr>
        <w:keepNext/>
        <w:rPr>
          <w:lang w:bidi="en-GB"/>
        </w:rPr>
      </w:pPr>
    </w:p>
    <w:p w:rsidR="00440E1B" w:rsidRPr="00440E1B" w:rsidRDefault="00440E1B" w:rsidP="00440E1B">
      <w:pPr>
        <w:keepNext/>
        <w:rPr>
          <w:lang w:bidi="en-GB"/>
        </w:rPr>
      </w:pPr>
      <w:r w:rsidRPr="00440E1B">
        <w:rPr>
          <w:lang w:bidi="en-GB"/>
        </w:rPr>
        <w:t>(5) Should ESMA decide in favour of option 2 (system with recalculation), we would assume that all calculations are performed by ESMA itself.</w:t>
      </w:r>
    </w:p>
    <w:permEnd w:id="14749879"/>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w:t>
      </w:r>
      <w:r>
        <w:lastRenderedPageBreak/>
        <w:t>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E87DD5" w:rsidRPr="00E87DD5" w:rsidRDefault="00E87DD5" w:rsidP="00E87DD5">
      <w:pPr>
        <w:keepNext/>
        <w:rPr>
          <w:lang w:bidi="en-GB"/>
        </w:rPr>
      </w:pPr>
      <w:permStart w:id="1070233846" w:edGrp="everyone"/>
      <w:r w:rsidRPr="00E87DD5">
        <w:rPr>
          <w:lang w:bidi="en-GB"/>
        </w:rPr>
        <w:t xml:space="preserve">Our response to Q77, items (1) to (5) applies </w:t>
      </w:r>
      <w:r w:rsidRPr="00E87DD5">
        <w:rPr>
          <w:i/>
          <w:lang w:bidi="en-GB"/>
        </w:rPr>
        <w:t>mutatis mutandis</w:t>
      </w:r>
      <w:r w:rsidRPr="00E87DD5">
        <w:rPr>
          <w:lang w:bidi="en-GB"/>
        </w:rPr>
        <w:t xml:space="preserve">. Regarding the LIS thresholds, we agree with ESMA’s proposal except that the thresholds for </w:t>
      </w:r>
      <w:proofErr w:type="spellStart"/>
      <w:r w:rsidRPr="00E87DD5">
        <w:rPr>
          <w:lang w:bidi="en-GB"/>
        </w:rPr>
        <w:t>swaptions</w:t>
      </w:r>
      <w:proofErr w:type="spellEnd"/>
      <w:r w:rsidRPr="00E87DD5">
        <w:rPr>
          <w:lang w:bidi="en-GB"/>
        </w:rPr>
        <w:t xml:space="preserve"> (Tables 13 and 14 of Annex III draft RTS 9) should also take into account the time to maturity or tenor (as ESMA proposes with respect to the other interest derivative products).</w:t>
      </w:r>
    </w:p>
    <w:permEnd w:id="1070233846"/>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222466951" w:edGrp="everyone"/>
      <w:r>
        <w:t>TYPE YOUR TEXT HERE</w:t>
      </w:r>
    </w:p>
    <w:permEnd w:id="1222466951"/>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lastRenderedPageBreak/>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E87DD5" w:rsidRPr="00E87DD5" w:rsidRDefault="00E87DD5" w:rsidP="00E87DD5">
      <w:pPr>
        <w:keepNext/>
        <w:rPr>
          <w:lang w:val="en-US"/>
        </w:rPr>
      </w:pPr>
      <w:permStart w:id="851380979" w:edGrp="everyone"/>
      <w:r w:rsidRPr="00E87DD5">
        <w:rPr>
          <w:lang w:val="en-US"/>
        </w:rPr>
        <w:t xml:space="preserve">Our response to Q77 applies </w:t>
      </w:r>
      <w:r w:rsidRPr="00E87DD5">
        <w:rPr>
          <w:i/>
          <w:lang w:val="en-US"/>
        </w:rPr>
        <w:t>mutatis mutandis</w:t>
      </w:r>
      <w:r w:rsidRPr="00E87DD5">
        <w:rPr>
          <w:lang w:val="en-US"/>
        </w:rPr>
        <w:t xml:space="preserve">. </w:t>
      </w:r>
    </w:p>
    <w:permEnd w:id="85138097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E87DD5" w:rsidRPr="00E87DD5" w:rsidRDefault="00E87DD5" w:rsidP="00E87DD5">
      <w:pPr>
        <w:keepNext/>
        <w:rPr>
          <w:lang w:bidi="en-GB"/>
        </w:rPr>
      </w:pPr>
      <w:permStart w:id="1865221102" w:edGrp="everyone"/>
      <w:r w:rsidRPr="00E87DD5">
        <w:rPr>
          <w:lang w:bidi="en-GB"/>
        </w:rPr>
        <w:t xml:space="preserve">Our response to Q77 applies </w:t>
      </w:r>
      <w:r w:rsidRPr="00E87DD5">
        <w:rPr>
          <w:i/>
          <w:lang w:bidi="en-GB"/>
        </w:rPr>
        <w:t>mutatis mutandis</w:t>
      </w:r>
      <w:r w:rsidRPr="00E87DD5">
        <w:rPr>
          <w:lang w:bidi="en-GB"/>
        </w:rPr>
        <w:t>.</w:t>
      </w:r>
    </w:p>
    <w:permEnd w:id="1865221102"/>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w:t>
      </w:r>
      <w:r>
        <w:lastRenderedPageBreak/>
        <w:t>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071865399" w:edGrp="everyone"/>
      <w:r>
        <w:t>TYPE YOUR TEXT HERE</w:t>
      </w:r>
    </w:p>
    <w:permEnd w:id="107186539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E87DD5" w:rsidRPr="00E87DD5" w:rsidRDefault="00E87DD5" w:rsidP="00E87DD5">
      <w:pPr>
        <w:keepNext/>
        <w:rPr>
          <w:lang w:bidi="en-GB"/>
        </w:rPr>
      </w:pPr>
      <w:permStart w:id="1289368937" w:edGrp="everyone"/>
      <w:r w:rsidRPr="00E87DD5">
        <w:rPr>
          <w:lang w:bidi="en-GB"/>
        </w:rPr>
        <w:t>We strongly disagree with ESMA’s proposal as set out in Article 10(1</w:t>
      </w:r>
      <w:proofErr w:type="gramStart"/>
      <w:r w:rsidRPr="00E87DD5">
        <w:rPr>
          <w:lang w:bidi="en-GB"/>
        </w:rPr>
        <w:t>)(</w:t>
      </w:r>
      <w:proofErr w:type="gramEnd"/>
      <w:r w:rsidRPr="00E87DD5">
        <w:rPr>
          <w:lang w:bidi="en-GB"/>
        </w:rPr>
        <w:t>a)(</w:t>
      </w:r>
      <w:proofErr w:type="spellStart"/>
      <w:r w:rsidRPr="00E87DD5">
        <w:rPr>
          <w:lang w:bidi="en-GB"/>
        </w:rPr>
        <w:t>i</w:t>
      </w:r>
      <w:proofErr w:type="spellEnd"/>
      <w:r w:rsidRPr="00E87DD5">
        <w:rPr>
          <w:lang w:bidi="en-GB"/>
        </w:rPr>
        <w:t xml:space="preserve">) draft RTS 9, i.e. that if exercising the right pursuant to Article 11(3)(a) </w:t>
      </w:r>
      <w:proofErr w:type="spellStart"/>
      <w:r w:rsidRPr="00E87DD5">
        <w:rPr>
          <w:lang w:bidi="en-GB"/>
        </w:rPr>
        <w:t>MiFIR</w:t>
      </w:r>
      <w:proofErr w:type="spellEnd"/>
      <w:r w:rsidRPr="00E87DD5">
        <w:rPr>
          <w:lang w:bidi="en-GB"/>
        </w:rPr>
        <w:t xml:space="preserve">, all the details of a transaction except for those relating to volume, namely quantity and quantity notation should be published. In our view, not just the volume of a transaction but, in principle, the entire transaction should be subject to deferred publication. The point of deferred publication is to protect SIs and other investment firms against the risks associated with the market knowing that they have taken on a large position in financial instruments. For this reason, the deferral should cover all the transaction details. </w:t>
      </w:r>
    </w:p>
    <w:p w:rsidR="00E87DD5" w:rsidRPr="00E87DD5" w:rsidRDefault="00E87DD5" w:rsidP="00E87DD5">
      <w:pPr>
        <w:keepNext/>
        <w:rPr>
          <w:lang w:bidi="en-GB"/>
        </w:rPr>
      </w:pPr>
      <w:r w:rsidRPr="00E87DD5">
        <w:rPr>
          <w:lang w:bidi="en-GB"/>
        </w:rPr>
        <w:t xml:space="preserve">A requirement to publish immediately all the details of a transaction </w:t>
      </w:r>
      <w:proofErr w:type="gramStart"/>
      <w:r w:rsidRPr="00E87DD5">
        <w:rPr>
          <w:lang w:bidi="en-GB"/>
        </w:rPr>
        <w:t>except</w:t>
      </w:r>
      <w:proofErr w:type="gramEnd"/>
      <w:r w:rsidRPr="00E87DD5">
        <w:rPr>
          <w:lang w:bidi="en-GB"/>
        </w:rPr>
        <w:t xml:space="preserve"> its volume would not be in line with the wording of Article 11(3) </w:t>
      </w:r>
      <w:proofErr w:type="spellStart"/>
      <w:r w:rsidRPr="00E87DD5">
        <w:rPr>
          <w:lang w:bidi="en-GB"/>
        </w:rPr>
        <w:t>MiFIR</w:t>
      </w:r>
      <w:proofErr w:type="spellEnd"/>
      <w:r w:rsidRPr="00E87DD5">
        <w:rPr>
          <w:lang w:bidi="en-GB"/>
        </w:rPr>
        <w:t>, which merely stipulates that competent authorities may request deferred publication of “limited details of a transaction”. Only where an extended deferral period is granted Article 11(3</w:t>
      </w:r>
      <w:proofErr w:type="gramStart"/>
      <w:r w:rsidRPr="00E87DD5">
        <w:rPr>
          <w:lang w:bidi="en-GB"/>
        </w:rPr>
        <w:t>)(</w:t>
      </w:r>
      <w:proofErr w:type="gramEnd"/>
      <w:r w:rsidRPr="00E87DD5">
        <w:rPr>
          <w:lang w:bidi="en-GB"/>
        </w:rPr>
        <w:t xml:space="preserve">b) </w:t>
      </w:r>
      <w:proofErr w:type="spellStart"/>
      <w:r w:rsidRPr="00E87DD5">
        <w:rPr>
          <w:lang w:bidi="en-GB"/>
        </w:rPr>
        <w:t>MiFIR</w:t>
      </w:r>
      <w:proofErr w:type="spellEnd"/>
      <w:r w:rsidRPr="00E87DD5">
        <w:rPr>
          <w:lang w:bidi="en-GB"/>
        </w:rPr>
        <w:t xml:space="preserve"> allows the deferred publication of the volume of a transaction. ESMA’s proposal that in every case of deferred publication all the details of a transaction except its volume should be published thus not only contradicts the regulatory purpose but also the wording and systematic approach of Article 11(3) </w:t>
      </w:r>
      <w:proofErr w:type="spellStart"/>
      <w:r w:rsidRPr="00E87DD5">
        <w:rPr>
          <w:lang w:bidi="en-GB"/>
        </w:rPr>
        <w:t>MiFIR</w:t>
      </w:r>
      <w:proofErr w:type="spellEnd"/>
      <w:r w:rsidRPr="00E87DD5">
        <w:rPr>
          <w:lang w:bidi="en-GB"/>
        </w:rPr>
        <w:t xml:space="preserve">. ESMA’s proposal would thus be generally incompatible with Article 11(3) </w:t>
      </w:r>
      <w:proofErr w:type="spellStart"/>
      <w:r w:rsidRPr="00E87DD5">
        <w:rPr>
          <w:lang w:bidi="en-GB"/>
        </w:rPr>
        <w:t>MiFIR</w:t>
      </w:r>
      <w:proofErr w:type="spellEnd"/>
      <w:r w:rsidRPr="00E87DD5">
        <w:rPr>
          <w:lang w:bidi="en-GB"/>
        </w:rPr>
        <w:t>.</w:t>
      </w:r>
    </w:p>
    <w:permEnd w:id="1289368937"/>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7B25DF" w:rsidRPr="007B25DF" w:rsidRDefault="007B25DF" w:rsidP="007B25DF">
      <w:pPr>
        <w:keepNext/>
        <w:rPr>
          <w:lang w:val="en-US"/>
        </w:rPr>
      </w:pPr>
      <w:permStart w:id="468613695" w:edGrp="everyone"/>
      <w:r w:rsidRPr="007B25DF">
        <w:rPr>
          <w:lang w:val="en-US"/>
        </w:rPr>
        <w:t>(1) We agree with the proposed measures of volume for bonds and SFP, securitised derivatives, interest rate derivatives and foreign exchange derivatives. Concerning equity derivatives, ESMA’s proposal encompasses only options and futures. For those underlyings the proposed volume makes sense, for other underlyings the volume should be measured by the notional amount or reference value.</w:t>
      </w:r>
    </w:p>
    <w:p w:rsidR="007B25DF" w:rsidRPr="007B25DF" w:rsidRDefault="007B25DF" w:rsidP="007B25DF">
      <w:pPr>
        <w:keepNext/>
        <w:rPr>
          <w:lang w:val="en-US"/>
        </w:rPr>
      </w:pPr>
      <w:r w:rsidRPr="007B25DF">
        <w:rPr>
          <w:lang w:val="en-US"/>
        </w:rPr>
        <w:t>(2) We agree with using the reduction of the volume traded as the methodology to assess a drop in liquidity.</w:t>
      </w:r>
    </w:p>
    <w:p w:rsidR="007B25DF" w:rsidRPr="007B25DF" w:rsidRDefault="007B25DF" w:rsidP="007B25DF">
      <w:pPr>
        <w:keepNext/>
        <w:rPr>
          <w:lang w:val="en-US"/>
        </w:rPr>
      </w:pPr>
      <w:r w:rsidRPr="007B25DF">
        <w:rPr>
          <w:lang w:val="en-US"/>
        </w:rPr>
        <w:t xml:space="preserve">(3) We strongly disagree with the percentages determined for liquid and illiquid instruments to assess the drop in liquidity. We note that these percentages have been reduced as compared to the proposal in the Discussion Paper, while the observation period has been extended from 20 to 30 days. </w:t>
      </w:r>
    </w:p>
    <w:p w:rsidR="007B25DF" w:rsidRPr="007B25DF" w:rsidRDefault="007B25DF" w:rsidP="007B25DF">
      <w:pPr>
        <w:keepNext/>
        <w:rPr>
          <w:lang w:val="en-US"/>
        </w:rPr>
      </w:pPr>
      <w:r w:rsidRPr="007B25DF">
        <w:rPr>
          <w:lang w:val="en-US"/>
        </w:rPr>
        <w:t>A decline in liquidity, as measured by the daily turnover and amounting to 40% for liquid instruments and 20% for illiquid instruments would have a dramatic impact on the risks associated with the obligations of systematic internalisers.</w:t>
      </w:r>
    </w:p>
    <w:p w:rsidR="007B25DF" w:rsidRPr="007B25DF" w:rsidRDefault="007B25DF" w:rsidP="007B25DF">
      <w:pPr>
        <w:keepNext/>
        <w:rPr>
          <w:lang w:val="en-US"/>
        </w:rPr>
      </w:pPr>
      <w:r w:rsidRPr="007B25DF">
        <w:rPr>
          <w:lang w:val="en-US"/>
        </w:rPr>
        <w:t>In addition, the proposed period of 30 trading days, during which the decline in liquidity is measured, is too long. A suspension of pre-and post-trade transparency would only apply after the expiry of this period, as well as after obtaining the necessary opinion of ESMA (Art. 9 (4), Article 11 (2), Article 21 (4) MIFIR). This would mean that obligations applying to liquid instruments may still apply over a period of several weeks, even though these obligations may entail substantial risks for market participants due to the low liquidity.</w:t>
      </w:r>
    </w:p>
    <w:p w:rsidR="00577C33" w:rsidRDefault="007B25DF" w:rsidP="007B25DF">
      <w:pPr>
        <w:keepNext/>
      </w:pPr>
      <w:r w:rsidRPr="007B25DF">
        <w:rPr>
          <w:lang w:val="en-US"/>
        </w:rPr>
        <w:t>We welcome ESMA’s proposal that the suspension of transparency requirements can also be based on qualitative criteria. We would like to ask ESMA for clarification that under such quantitative criteria, a temporary suspension of the transparency obligations should be possible immediately after the occurrence of an event that is expected to lead to a significant drop in liquidity. Only in this way it can be prevented that market participants will not have to abide for a longer period by obligations</w:t>
      </w:r>
      <w:r>
        <w:rPr>
          <w:lang w:val="en-US"/>
        </w:rPr>
        <w:t xml:space="preserve"> </w:t>
      </w:r>
      <w:r w:rsidRPr="007B25DF">
        <w:rPr>
          <w:lang w:val="en-US"/>
        </w:rPr>
        <w:t>whose fulfilment is no longer reasonable in view of the sudden decline in liquidity</w:t>
      </w:r>
      <w:r>
        <w:rPr>
          <w:lang w:val="en-US"/>
        </w:rPr>
        <w:t>.</w:t>
      </w:r>
    </w:p>
    <w:permEnd w:id="468613695"/>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16860196" w:edGrp="everyone"/>
      <w:r>
        <w:t>TYPE YOUR TEXT HERE</w:t>
      </w:r>
    </w:p>
    <w:permEnd w:id="116860196"/>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031250475" w:edGrp="everyone"/>
      <w:r>
        <w:t>TYPE YOUR TEXT HERE</w:t>
      </w:r>
    </w:p>
    <w:permEnd w:id="203125047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lastRenderedPageBreak/>
        <w:t>&lt;ESMA_QUESTION_CP_MIFID_87&gt;</w:t>
      </w:r>
    </w:p>
    <w:p w:rsidR="00577C33" w:rsidRDefault="00577C33" w:rsidP="00EC2C93">
      <w:pPr>
        <w:keepNext/>
      </w:pPr>
      <w:permStart w:id="872054409" w:edGrp="everyone"/>
      <w:r>
        <w:t>TYPE YOUR TEXT HERE</w:t>
      </w:r>
    </w:p>
    <w:permEnd w:id="87205440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022F2C" w:rsidRPr="00022F2C" w:rsidRDefault="00022F2C" w:rsidP="00022F2C">
      <w:pPr>
        <w:keepNext/>
        <w:rPr>
          <w:lang w:bidi="en-GB"/>
        </w:rPr>
      </w:pPr>
      <w:permStart w:id="1031029595" w:edGrp="everyone"/>
      <w:r w:rsidRPr="00022F2C">
        <w:rPr>
          <w:lang w:bidi="en-GB"/>
        </w:rPr>
        <w:t>In general, we welcome ESMA’s approach to determine the trading obligation on a case-by-case basis. However, the open wording regarding liquidity criteria in the consultation paper and the RTS leaves room for and bears the risk that the trading obligation will extend to such instruments that are not traded on the most common trading venues or only on very few trading venues. This may result in the fact that market participants will have to connect to a number of trading venues – which means a very heavy effort in the business practice – because the trading venue they are already connected with may not offer trading in all instruments subject to the trading obligation.</w:t>
      </w:r>
    </w:p>
    <w:permEnd w:id="103102959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451456" w:rsidRPr="00451456" w:rsidRDefault="00451456" w:rsidP="00451456">
      <w:pPr>
        <w:keepNext/>
        <w:rPr>
          <w:lang w:bidi="en-GB"/>
        </w:rPr>
      </w:pPr>
      <w:permStart w:id="2027112362" w:edGrp="everyone"/>
      <w:r w:rsidRPr="00451456">
        <w:rPr>
          <w:lang w:bidi="en-GB"/>
        </w:rPr>
        <w:t>In order to avoid the formation of monopolies (meaning only one or very few trading venues offer trading in a specific derivative) all trading venues interested in offering trading specific derivatives subject to the trading obligation should be encouraged to offer trading in such derivatives at the point in time the trading obligation starts.</w:t>
      </w:r>
    </w:p>
    <w:p w:rsidR="00451456" w:rsidRPr="00451456" w:rsidRDefault="00451456" w:rsidP="00451456">
      <w:pPr>
        <w:keepNext/>
        <w:rPr>
          <w:lang w:bidi="en-GB"/>
        </w:rPr>
      </w:pPr>
      <w:r w:rsidRPr="00451456">
        <w:rPr>
          <w:lang w:bidi="en-GB"/>
        </w:rPr>
        <w:t xml:space="preserve">Draft RTS 11 sets forth that ESMA shall take into account the number and type of markets participants (Art. 4) and provides that the total number of market participants should be “not lower than two”. The EAPB doubts that such a low number of market participants trading in an instrument can and should be an indication for the liquidity of a product. We believe that the minimum of market participants active in a market should be at least five. </w:t>
      </w:r>
      <w:proofErr w:type="gramStart"/>
      <w:r w:rsidRPr="00451456">
        <w:rPr>
          <w:lang w:bidi="en-GB"/>
        </w:rPr>
        <w:t>Additionally, in Art.</w:t>
      </w:r>
      <w:proofErr w:type="gramEnd"/>
      <w:r w:rsidRPr="00451456">
        <w:rPr>
          <w:lang w:bidi="en-GB"/>
        </w:rPr>
        <w:t xml:space="preserve"> 4 of the RTS it should be clarified which market participants are deemed as being “active” market participants.</w:t>
      </w:r>
    </w:p>
    <w:p w:rsidR="00451456" w:rsidRPr="00451456" w:rsidRDefault="00451456" w:rsidP="00451456">
      <w:pPr>
        <w:keepNext/>
        <w:rPr>
          <w:lang w:bidi="en-GB"/>
        </w:rPr>
      </w:pPr>
      <w:r w:rsidRPr="00451456">
        <w:rPr>
          <w:lang w:bidi="en-GB"/>
        </w:rPr>
        <w:t>Besides, ESMA has not yet taken up the issue of bundled transactions (e.g. asset swaps, interest-rate swaps in connection with the issue of a jumbo Pfandbrief, etc.). Such transactions play an important role when it comes to managing proprietary investment portfolio risk and are concluded with virtually every bond issue. Should there be a trading obligation for their derivative components, these transactions can no longer be conducted on market terms. So either an exemption from the trading obligation has to be established or there must be the possibility to forward bilaterally negotiated derivatives contracts intended by the parties as part of a bundled transaction to a trading venue, e.g. an OTF, by means of a give-up, for instance. In the US, this possibility exists (cf. SEF Registration Requirements and Core Principle Rulemaking, Interpretation &amp; Guidance, Final Rule 78 FR 36606 of 4 June 2013).</w:t>
      </w:r>
    </w:p>
    <w:p w:rsidR="00451456" w:rsidRPr="00451456" w:rsidRDefault="00451456" w:rsidP="00451456">
      <w:pPr>
        <w:keepNext/>
        <w:rPr>
          <w:lang w:bidi="en-GB"/>
        </w:rPr>
      </w:pPr>
      <w:r w:rsidRPr="00451456">
        <w:rPr>
          <w:lang w:bidi="en-GB"/>
        </w:rPr>
        <w:t xml:space="preserve">In addition, from an operational perspective, a sufficiently long transition period should be allowed for introduction of the trading obligation, as both analysing a trading platform’s general terms and conditions of business/rulebooks and connectivity will impose a considerable burden in terms of the time and manpower required. Furthermore, when setting the implementation periods, it should be remembered that any generally applicable </w:t>
      </w:r>
      <w:r w:rsidRPr="00451456">
        <w:rPr>
          <w:lang w:bidi="en-GB"/>
        </w:rPr>
        <w:lastRenderedPageBreak/>
        <w:t>connectivity requirement on a certain date may lead to bottlenecks at venues similar to the situation triggered by mandatory connection to trade repositories on 12 February 2014 on occasion of the EMIR reporting requirement coming into force. The transition period should therefore be at least twelve months and, as with the clearing obligation under Article 4 of EMIR, should be staggered for different categories of market participants. Additionally, if ESMA, after the first types of derivatives have become subject to the trading obligation in early 2017, decides to introduce a trading obligation for further classes of derivatives, there must also be a sufficiently long transition period.</w:t>
      </w:r>
    </w:p>
    <w:p w:rsidR="00451456" w:rsidRPr="00451456" w:rsidRDefault="00451456" w:rsidP="00451456">
      <w:pPr>
        <w:keepNext/>
        <w:rPr>
          <w:lang w:bidi="en-GB"/>
        </w:rPr>
      </w:pPr>
      <w:r w:rsidRPr="00451456">
        <w:rPr>
          <w:lang w:bidi="en-GB"/>
        </w:rPr>
        <w:t xml:space="preserve">Direct access to trading venues requires considerable technical efforts (IT-Interfaces) and creates additional costs such as access fees and cost for technical equipment. Therefore, smaller or medium sized market participants may decide not to directly connect to a trading venue, but to use a broker instead. This may lead to a considerable price increase for certain products, with the result that smaller or medium size market participants will not be able to provide their commercial clients with such products at competitive prices and thus may have to withdraw from the markets. Currently it is not clear, whether commercial clients will be able to purchase such products from other market participants. </w:t>
      </w:r>
      <w:proofErr w:type="gramStart"/>
      <w:r w:rsidRPr="00451456">
        <w:rPr>
          <w:lang w:bidi="en-GB"/>
        </w:rPr>
        <w:t>Pursuant to Art.</w:t>
      </w:r>
      <w:proofErr w:type="gramEnd"/>
      <w:r w:rsidRPr="00451456">
        <w:rPr>
          <w:lang w:bidi="en-GB"/>
        </w:rPr>
        <w:t xml:space="preserve"> 32 No 3 </w:t>
      </w:r>
      <w:proofErr w:type="spellStart"/>
      <w:r w:rsidRPr="00451456">
        <w:rPr>
          <w:lang w:bidi="en-GB"/>
        </w:rPr>
        <w:t>MiFIR</w:t>
      </w:r>
      <w:proofErr w:type="spellEnd"/>
      <w:r w:rsidRPr="00451456">
        <w:rPr>
          <w:lang w:bidi="en-GB"/>
        </w:rPr>
        <w:t>, the RTS must consider possible effects of the trading obligation on commercial activities of non-financials. We ask ESMA to take such effects into consideration and include them in the RTS.</w:t>
      </w:r>
    </w:p>
    <w:p w:rsidR="00451456" w:rsidRPr="00451456" w:rsidRDefault="00451456" w:rsidP="00451456">
      <w:pPr>
        <w:keepNext/>
        <w:rPr>
          <w:lang w:bidi="en-GB"/>
        </w:rPr>
      </w:pPr>
      <w:r w:rsidRPr="00451456">
        <w:rPr>
          <w:lang w:bidi="en-GB"/>
        </w:rPr>
        <w:t>Finally, it is necessary to establish processes which allow for a quick “de-listing” of no longer liquid products. This issue could be addressed through a right to temporarily suspend the trading. It is of paramount importance that ESMA takes a clear position as to how to deal with this subject and that whatever approach ESMA choses to follow, this decision should be made public in a way for market participants to rely on with legal certainty.</w:t>
      </w:r>
    </w:p>
    <w:permEnd w:id="202711236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122F4A" w:rsidRPr="00122F4A" w:rsidRDefault="00122F4A" w:rsidP="00122F4A">
      <w:pPr>
        <w:keepNext/>
        <w:rPr>
          <w:lang w:bidi="en-GB"/>
        </w:rPr>
      </w:pPr>
      <w:permStart w:id="384007960" w:edGrp="everyone"/>
      <w:r w:rsidRPr="00122F4A">
        <w:rPr>
          <w:lang w:bidi="en-GB"/>
        </w:rPr>
        <w:t xml:space="preserve">Yes, the wording of Draft RTS 12 now exactly corresponds to the wording of the Delegated Regulation 285/2014 (supplementing EMIR). The scope of the trading obligation should not be extended beyond the scope of the clearing obligation. However, it should be avoided that an equivalence decision under Art 13(4) EMIR is taken according to which the clearing obligation does not apply, whereas the equivalence decision under Art 33 (3) </w:t>
      </w:r>
      <w:proofErr w:type="spellStart"/>
      <w:r w:rsidRPr="00122F4A">
        <w:rPr>
          <w:lang w:bidi="en-GB"/>
        </w:rPr>
        <w:t>MiFIR</w:t>
      </w:r>
      <w:proofErr w:type="spellEnd"/>
      <w:r w:rsidRPr="00122F4A">
        <w:rPr>
          <w:lang w:bidi="en-GB"/>
        </w:rPr>
        <w:t xml:space="preserve"> is not made at the same time (or prior to the decision under EMIR). Even though these are different decisions to be taken, their results will, in most cases, be aligned. Therefore, establishing a trading obligation only for an interim period does not seem reasonable. The RTS should therefore provide that only if ESMA deliberately chooses to adopt diverging equivalence decisions  under EMIR and </w:t>
      </w:r>
      <w:proofErr w:type="spellStart"/>
      <w:r w:rsidRPr="00122F4A">
        <w:rPr>
          <w:lang w:bidi="en-GB"/>
        </w:rPr>
        <w:t>MiFIR</w:t>
      </w:r>
      <w:proofErr w:type="spellEnd"/>
      <w:r w:rsidRPr="00122F4A">
        <w:rPr>
          <w:lang w:bidi="en-GB"/>
        </w:rPr>
        <w:t>, the trading obligation should apply, whereas the clearing obligation should not apply and vice versa.</w:t>
      </w:r>
    </w:p>
    <w:permEnd w:id="384007960"/>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577C33" w:rsidRDefault="00122F4A" w:rsidP="00EC2C93">
      <w:pPr>
        <w:keepNext/>
        <w:rPr>
          <w:lang w:bidi="en-GB"/>
        </w:rPr>
      </w:pPr>
      <w:permStart w:id="652364318" w:edGrp="everyone"/>
      <w:r w:rsidRPr="00122F4A">
        <w:rPr>
          <w:lang w:bidi="en-GB"/>
        </w:rPr>
        <w:t>No - these contracts were not identified or even discussed under EMIR as falling under the clearing obligation. Therefore, they should not be covered by the trading obligation either.</w:t>
      </w:r>
    </w:p>
    <w:permEnd w:id="652364318"/>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122F4A" w:rsidRPr="00122F4A" w:rsidRDefault="00122F4A" w:rsidP="00122F4A">
      <w:pPr>
        <w:keepNext/>
        <w:rPr>
          <w:lang w:bidi="en-GB"/>
        </w:rPr>
      </w:pPr>
      <w:permStart w:id="56517775" w:edGrp="everyone"/>
      <w:r w:rsidRPr="00122F4A">
        <w:rPr>
          <w:lang w:val="en-US"/>
        </w:rPr>
        <w:t xml:space="preserve">Due to the new rules, market participants will be required to set up the necessary infrastructure. </w:t>
      </w:r>
      <w:r w:rsidRPr="00122F4A">
        <w:rPr>
          <w:lang w:bidi="en-GB"/>
        </w:rPr>
        <w:t>Compared to the currently widely used telephone trading, extensive adaptions will be necessary with no noticeable upsides attached. We would estimate that EU-wide, 10,000 market participants will be affected, having to spend approximately EUR 0.5 Mio each in order to comply with the new requirements. The estimated total investment value of EUR 5 Billion will probably result in a price increase of 10bp for each contract.</w:t>
      </w:r>
    </w:p>
    <w:p w:rsidR="00122F4A" w:rsidRPr="00122F4A" w:rsidRDefault="00122F4A" w:rsidP="00122F4A">
      <w:pPr>
        <w:keepNext/>
        <w:rPr>
          <w:lang w:bidi="en-GB"/>
        </w:rPr>
      </w:pPr>
      <w:r w:rsidRPr="00122F4A">
        <w:rPr>
          <w:lang w:bidi="en-GB"/>
        </w:rPr>
        <w:t>In addition, these costs will be borne by the individual market participants whereas the benefit is for the market as a whole.</w:t>
      </w:r>
    </w:p>
    <w:permEnd w:id="56517775"/>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957B78" w:rsidRPr="00957B78" w:rsidRDefault="00957B78" w:rsidP="00957B78">
      <w:pPr>
        <w:keepNext/>
        <w:rPr>
          <w:lang w:val="en-US"/>
        </w:rPr>
      </w:pPr>
      <w:permStart w:id="1338927249" w:edGrp="everyone"/>
      <w:r w:rsidRPr="00957B78">
        <w:rPr>
          <w:u w:val="single"/>
          <w:lang w:val="en-US"/>
        </w:rPr>
        <w:t>Re Article 17 (1); Article 20 (2) (h) of draft RTS 13:</w:t>
      </w:r>
      <w:r w:rsidRPr="00957B78">
        <w:rPr>
          <w:lang w:val="en-US"/>
        </w:rPr>
        <w:t xml:space="preserve"> The EAPB  welcomes the fact that ESMA has clarified in the proposed RTS 13 that 'kill switches' are to be used as an emergency measure, i.e. only when absolutely necessary. Nonetheless, we would like to point out that making a kill switch available may involve significant risks – especially in respect to unrelated trading desks – e.g. equity or fixed-income trading – that would be affected by the use of a kill switch as well. This would lead to new risks affecting market integrity and stability, as well as create exposures – none of which were intended. Moreover, the kill functionality provided for Article 17 (1) draft RTS 13 is not compatible with the principle of proportionality. We believe that in line with the principle of proportionality, any emergency measure should only affect the trading-channel which has been identified as causing a problem. In fact, such a system already exists: the so-called 'kill-switch' (</w:t>
      </w:r>
      <w:proofErr w:type="spellStart"/>
      <w:r w:rsidRPr="00957B78">
        <w:rPr>
          <w:lang w:val="en-US"/>
        </w:rPr>
        <w:t>Leitweg-Schließung</w:t>
      </w:r>
      <w:proofErr w:type="spellEnd"/>
      <w:r w:rsidRPr="00957B78">
        <w:rPr>
          <w:lang w:val="en-US"/>
        </w:rPr>
        <w:t>) has proven itself in the market. This targeted emergency measure is just as suitable to achieve the desired objective – without having to cut trading-channels that are not exposed to any risks. Therefore, we would welcome a deletion of Article 17(1) draft RTS 13 whilst preserving the kill switch specification outlined in Article 17(2) draft RTS 13.</w:t>
      </w:r>
    </w:p>
    <w:p w:rsidR="00577C33" w:rsidRDefault="00957B78" w:rsidP="00EC2C93">
      <w:pPr>
        <w:keepNext/>
      </w:pPr>
      <w:r w:rsidRPr="00957B78">
        <w:rPr>
          <w:u w:val="single"/>
          <w:lang w:val="en-US"/>
        </w:rPr>
        <w:t>Re Article 20 (2) (</w:t>
      </w:r>
      <w:proofErr w:type="spellStart"/>
      <w:r w:rsidRPr="00957B78">
        <w:rPr>
          <w:u w:val="single"/>
          <w:lang w:val="en-US"/>
        </w:rPr>
        <w:t>i</w:t>
      </w:r>
      <w:proofErr w:type="spellEnd"/>
      <w:r w:rsidRPr="00957B78">
        <w:rPr>
          <w:u w:val="single"/>
          <w:lang w:val="en-US"/>
        </w:rPr>
        <w:t>) of draft RTS 13:</w:t>
      </w:r>
      <w:r w:rsidRPr="00957B78">
        <w:rPr>
          <w:lang w:val="en-US"/>
        </w:rPr>
        <w:t xml:space="preserve"> The requirement cannot be implemented in practice, since it is not always possible to trade all existing orders manually in an emergency.  Therefore we propose to replace the wording "trade all existing orders manually</w:t>
      </w:r>
      <w:proofErr w:type="gramStart"/>
      <w:r w:rsidRPr="00957B78">
        <w:rPr>
          <w:lang w:val="en-US"/>
        </w:rPr>
        <w:t>“ by</w:t>
      </w:r>
      <w:proofErr w:type="gramEnd"/>
      <w:r w:rsidRPr="00957B78">
        <w:rPr>
          <w:lang w:val="en-US"/>
        </w:rPr>
        <w:t xml:space="preserve"> "manage </w:t>
      </w:r>
      <w:permEnd w:id="1338927249"/>
      <w:r w:rsidR="00577C33">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4545C3" w:rsidRPr="004545C3" w:rsidRDefault="004545C3" w:rsidP="004545C3">
      <w:pPr>
        <w:keepNext/>
        <w:rPr>
          <w:lang w:val="en-US"/>
        </w:rPr>
      </w:pPr>
      <w:permStart w:id="1428638243" w:edGrp="everyone"/>
      <w:r w:rsidRPr="004545C3">
        <w:rPr>
          <w:lang w:val="en-US"/>
        </w:rPr>
        <w:t>No, we do not see a need for clarification.</w:t>
      </w:r>
    </w:p>
    <w:permEnd w:id="142863824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4545C3" w:rsidRPr="004545C3" w:rsidRDefault="004545C3" w:rsidP="004545C3">
      <w:pPr>
        <w:keepNext/>
        <w:rPr>
          <w:lang w:val="en-US"/>
        </w:rPr>
      </w:pPr>
      <w:permStart w:id="478181718" w:edGrp="everyone"/>
      <w:r w:rsidRPr="004545C3">
        <w:rPr>
          <w:lang w:val="en-US"/>
        </w:rPr>
        <w:t xml:space="preserve">Implementing general, real-time post-trade controls is considered excessive. Considering the principle of proportionality, timely controls of measures (beyond the required control of position limits) are deemed to be sufficient. </w:t>
      </w:r>
    </w:p>
    <w:permEnd w:id="478181718"/>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lastRenderedPageBreak/>
        <w:t>&lt;ESMA_QUESTION_CP_MIFID_96&gt;</w:t>
      </w:r>
    </w:p>
    <w:p w:rsidR="004545C3" w:rsidRPr="004545C3" w:rsidRDefault="004545C3" w:rsidP="004545C3">
      <w:pPr>
        <w:keepNext/>
        <w:rPr>
          <w:lang w:val="en-US"/>
        </w:rPr>
      </w:pPr>
      <w:permStart w:id="652023349" w:edGrp="everyone"/>
      <w:r w:rsidRPr="004545C3">
        <w:rPr>
          <w:lang w:val="en-US"/>
        </w:rPr>
        <w:t>As we understand it, this question refers to sections 41-43 of the consultation paper; however, draft RTS 13 does not include any concrete proposals.</w:t>
      </w:r>
    </w:p>
    <w:p w:rsidR="004545C3" w:rsidRPr="004545C3" w:rsidRDefault="004545C3" w:rsidP="004545C3">
      <w:pPr>
        <w:keepNext/>
        <w:rPr>
          <w:lang w:val="en-US"/>
        </w:rPr>
      </w:pPr>
      <w:r w:rsidRPr="004545C3">
        <w:rPr>
          <w:lang w:val="en-US"/>
        </w:rPr>
        <w:t>In para 41 of the consultation paper, ESMA demands that all orders be subjected to a market impact assessment as part of pre-trade controls. Such an ex-ante check cannot be implemented from an operational perspective; in particular, it is rendered impossible due to the fact that a single investment firm does not know the entire order book – or in fact, the whole market. Therefore we reject ESMA's consideration of introducing such a check, in addition to the requirement for determining "maximum order values" and "maximum order volumes". The determination of these maximum values appears sufficient for the purpose of the pre-trade controls.</w:t>
      </w:r>
    </w:p>
    <w:permEnd w:id="65202334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894CB4" w:rsidRPr="00894CB4" w:rsidRDefault="00894CB4" w:rsidP="00894CB4">
      <w:pPr>
        <w:keepNext/>
        <w:rPr>
          <w:lang w:val="en-US"/>
        </w:rPr>
      </w:pPr>
      <w:permStart w:id="343551479" w:edGrp="everyone"/>
      <w:r w:rsidRPr="00894CB4">
        <w:rPr>
          <w:lang w:val="en-US"/>
        </w:rPr>
        <w:t xml:space="preserve">We welcome ESMA's proposal in chapter 4.1, para 34 of the consultation paper, which offers some leeway – given the principle of proportionality – for investment firms to refrain from implementing automated alert systems. This would only appear appropriate for market manipulative behaviour like insider dealing, unlawful disclosure of inside information, or market manipulation by means of the employ of a fictitious device or any other form of deception or contrivance. </w:t>
      </w:r>
    </w:p>
    <w:p w:rsidR="00577C33" w:rsidRDefault="00894CB4" w:rsidP="00EC2C93">
      <w:pPr>
        <w:keepNext/>
      </w:pPr>
      <w:r w:rsidRPr="00894CB4">
        <w:rPr>
          <w:lang w:val="en-US"/>
        </w:rPr>
        <w:t xml:space="preserve">Besides, the requirements set out in Article 18 draft RTS 13 should be in line with the requirements laid down in the Market Abuse Regulation (EU) No 596/2014, to ensure a </w:t>
      </w:r>
      <w:permEnd w:id="343551479"/>
      <w:r w:rsidR="00577C33">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FD3F60" w:rsidRPr="00FD3F60" w:rsidRDefault="00FD3F60" w:rsidP="00FD3F60">
      <w:pPr>
        <w:keepNext/>
        <w:rPr>
          <w:lang w:val="en-US"/>
        </w:rPr>
      </w:pPr>
      <w:permStart w:id="901464673" w:edGrp="everyone"/>
      <w:r w:rsidRPr="00FD3F60">
        <w:rPr>
          <w:lang w:val="en-US"/>
        </w:rPr>
        <w:t xml:space="preserve">Article 17 of </w:t>
      </w:r>
      <w:proofErr w:type="spellStart"/>
      <w:r w:rsidRPr="00FD3F60">
        <w:rPr>
          <w:lang w:val="en-US"/>
        </w:rPr>
        <w:t>MiFID</w:t>
      </w:r>
      <w:proofErr w:type="spellEnd"/>
      <w:r w:rsidRPr="00FD3F60">
        <w:rPr>
          <w:lang w:val="en-US"/>
        </w:rPr>
        <w:t xml:space="preserve"> governs algorithmic trading. The purpose of the regulation planned by draft RTS 13 is to set out detailed specifications. Hence we welcome the clarifying definition in Article 1(1) draft RTS 13, which limits the concept of "investment firms" – for the purposes of this regulation – to investment firms engaged in algorithmic trading. We also believe such a clarification to be necessary for any facts involving DEA clients as well as trading venues which provide smart order routing algorithms for their customers. We therefore propose to extend the definition in Article 1 (1) draft RTS 13, as follows:</w:t>
      </w:r>
    </w:p>
    <w:p w:rsidR="00FD3F60" w:rsidRPr="00FD3F60" w:rsidRDefault="00FD3F60" w:rsidP="00FD3F60">
      <w:pPr>
        <w:keepNext/>
        <w:rPr>
          <w:lang w:val="en-US"/>
        </w:rPr>
      </w:pPr>
      <w:r w:rsidRPr="00FD3F60">
        <w:rPr>
          <w:lang w:val="en-US"/>
        </w:rPr>
        <w:t>“‘Investment firm' means an investment firm engaged in algorithmic trading. This engagement does not include the use of algorithms which are offered and operated by other investment firms or trading venues.”</w:t>
      </w:r>
    </w:p>
    <w:p w:rsidR="00FD3F60" w:rsidRPr="00FD3F60" w:rsidRDefault="00FD3F60" w:rsidP="00FD3F60">
      <w:pPr>
        <w:keepNext/>
        <w:rPr>
          <w:lang w:val="en-US"/>
        </w:rPr>
      </w:pPr>
    </w:p>
    <w:p w:rsidR="00FD3F60" w:rsidRPr="00FD3F60" w:rsidRDefault="00FD3F60" w:rsidP="00FD3F60">
      <w:pPr>
        <w:keepNext/>
        <w:rPr>
          <w:lang w:val="en-US"/>
        </w:rPr>
      </w:pPr>
      <w:r w:rsidRPr="00FD3F60">
        <w:rPr>
          <w:lang w:val="en-US"/>
        </w:rPr>
        <w:t>Recital 9 of draft RTS 13 requires that prospective DEA clients be checked as to their disciplinary history. This requirement cannot be implemented in practice, since it involves data that is not publicly available. The requirement should therefore be deleted. The same applies to Article 24 (</w:t>
      </w:r>
      <w:proofErr w:type="spellStart"/>
      <w:r w:rsidRPr="00FD3F60">
        <w:rPr>
          <w:lang w:val="en-US"/>
        </w:rPr>
        <w:t>i</w:t>
      </w:r>
      <w:proofErr w:type="spellEnd"/>
      <w:r w:rsidRPr="00FD3F60">
        <w:rPr>
          <w:lang w:val="en-US"/>
        </w:rPr>
        <w:t>) draft RTS 13.</w:t>
      </w:r>
    </w:p>
    <w:p w:rsidR="00FD3F60" w:rsidRPr="00FD3F60" w:rsidRDefault="00FD3F60" w:rsidP="00FD3F60">
      <w:pPr>
        <w:keepNext/>
        <w:rPr>
          <w:lang w:val="en-US"/>
        </w:rPr>
      </w:pPr>
      <w:r w:rsidRPr="00FD3F60">
        <w:rPr>
          <w:lang w:val="en-US"/>
        </w:rPr>
        <w:t xml:space="preserve">The scope of the last half-sentence in recital 13 draft RTS </w:t>
      </w:r>
      <w:proofErr w:type="gramStart"/>
      <w:r w:rsidRPr="00FD3F60">
        <w:rPr>
          <w:lang w:val="en-US"/>
        </w:rPr>
        <w:t>13,</w:t>
      </w:r>
      <w:proofErr w:type="gramEnd"/>
      <w:r w:rsidRPr="00FD3F60">
        <w:rPr>
          <w:lang w:val="en-US"/>
        </w:rPr>
        <w:t xml:space="preserve"> is too wide. As we understand it, the five-second period set out for real-time monitoring can only be related to the monitoring of algorithmic order submission and execution, as defined in Article 1 (2) draft RTS 13. </w:t>
      </w:r>
      <w:r w:rsidRPr="00FD3F60">
        <w:rPr>
          <w:lang w:val="en-US"/>
        </w:rPr>
        <w:lastRenderedPageBreak/>
        <w:t>Therefore, recital 13 should be re-worded to provide more clarity, or the second sentence deleted in order to avoid misunderstandings.</w:t>
      </w:r>
    </w:p>
    <w:p w:rsidR="00FD3F60" w:rsidRPr="00FD3F60" w:rsidRDefault="00FD3F60" w:rsidP="00FD3F60">
      <w:pPr>
        <w:keepNext/>
        <w:rPr>
          <w:lang w:val="en-US"/>
        </w:rPr>
      </w:pPr>
      <w:r w:rsidRPr="00FD3F60">
        <w:rPr>
          <w:lang w:val="en-US"/>
        </w:rPr>
        <w:t>Article 8 draft RTS 13 requires a separation of software, hardware and network infrastructure. However, since the network infrastructure forms part of software and/or hardware, the term "network infrastructure" should be deleted from Article 8 draft RTS 13.</w:t>
      </w:r>
    </w:p>
    <w:p w:rsidR="00FD3F60" w:rsidRPr="00FD3F60" w:rsidRDefault="00FD3F60" w:rsidP="00FD3F60">
      <w:pPr>
        <w:keepNext/>
        <w:rPr>
          <w:lang w:val="en-US"/>
        </w:rPr>
      </w:pPr>
      <w:r w:rsidRPr="00FD3F60">
        <w:rPr>
          <w:lang w:val="en-US"/>
        </w:rPr>
        <w:t xml:space="preserve">The requirement in Article 13 RTS 13 to conduct testing with at least as many algorithms as the firm used on its most active day of trading during the preceding six-month period should be amended. What matters in a stress test is not the number of algorithms but the number of orders they generate. A stress test in which a small number of algorithms </w:t>
      </w:r>
      <w:proofErr w:type="gramStart"/>
      <w:r w:rsidRPr="00FD3F60">
        <w:rPr>
          <w:lang w:val="en-US"/>
        </w:rPr>
        <w:t>generates</w:t>
      </w:r>
      <w:proofErr w:type="gramEnd"/>
      <w:r w:rsidRPr="00FD3F60">
        <w:rPr>
          <w:lang w:val="en-US"/>
        </w:rPr>
        <w:t xml:space="preserve"> a large number of orders is more meaningful than a stress test in which a large number of algorithms generate a relatively small number of orders.</w:t>
      </w:r>
    </w:p>
    <w:p w:rsidR="00FD3F60" w:rsidRPr="00FD3F60" w:rsidRDefault="00FD3F60" w:rsidP="00FD3F60">
      <w:pPr>
        <w:keepNext/>
        <w:rPr>
          <w:lang w:val="en-US"/>
        </w:rPr>
      </w:pPr>
      <w:r w:rsidRPr="00FD3F60">
        <w:rPr>
          <w:lang w:val="en-US"/>
        </w:rPr>
        <w:t>Including cyber-attacks in the stress testing environment, as envisaged in Article 13(d) draft RTS 13 appears to be appropriate. Nonetheless, a clarification is required that only relevant, internationally recognised standards are to be taken as benchmarks. We therefore propose using the following wording: “</w:t>
      </w:r>
      <w:proofErr w:type="gramStart"/>
      <w:r w:rsidRPr="00FD3F60">
        <w:rPr>
          <w:lang w:val="en-US"/>
        </w:rPr>
        <w:t>…(</w:t>
      </w:r>
      <w:proofErr w:type="gramEnd"/>
      <w:r w:rsidRPr="00FD3F60">
        <w:rPr>
          <w:lang w:val="en-US"/>
        </w:rPr>
        <w:t>d) performing penetration and vulnerability tests, which have to meet at least relevant, internationally recognised standards, to safeguard their systems against cyber-attacks.”</w:t>
      </w:r>
    </w:p>
    <w:permEnd w:id="90146467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FD3F60" w:rsidRPr="00FD3F60" w:rsidRDefault="00FD3F60" w:rsidP="00FD3F60">
      <w:pPr>
        <w:keepNext/>
        <w:rPr>
          <w:lang w:val="en-US"/>
        </w:rPr>
      </w:pPr>
      <w:permStart w:id="153646638" w:edGrp="everyone"/>
      <w:r w:rsidRPr="00FD3F60">
        <w:rPr>
          <w:lang w:val="en-US"/>
        </w:rPr>
        <w:t>No, we do not have any additional comments.</w:t>
      </w:r>
    </w:p>
    <w:permEnd w:id="15364663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52007250" w:edGrp="everyone"/>
      <w:r>
        <w:t>TYPE YOUR TEXT HERE</w:t>
      </w:r>
    </w:p>
    <w:permEnd w:id="15200725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17265198" w:edGrp="everyone"/>
      <w:r>
        <w:t>TYPE YOUR TEXT HERE</w:t>
      </w:r>
    </w:p>
    <w:permEnd w:id="217265198"/>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747321234" w:edGrp="everyone"/>
      <w:r>
        <w:t>TYPE YOUR TEXT HERE</w:t>
      </w:r>
    </w:p>
    <w:permEnd w:id="174732123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D760A5" w:rsidRPr="00D760A5" w:rsidRDefault="00D760A5" w:rsidP="00D760A5">
      <w:pPr>
        <w:keepNext/>
        <w:rPr>
          <w:lang w:bidi="en-GB"/>
        </w:rPr>
      </w:pPr>
      <w:permStart w:id="1670788174" w:edGrp="everyone"/>
      <w:r w:rsidRPr="00D760A5">
        <w:rPr>
          <w:lang w:bidi="en-GB"/>
        </w:rPr>
        <w:t>With respect to</w:t>
      </w:r>
      <w:r w:rsidRPr="00D760A5">
        <w:rPr>
          <w:u w:val="single"/>
          <w:lang w:bidi="en-GB"/>
        </w:rPr>
        <w:t xml:space="preserve"> Article 23 of the draft RTS 14:</w:t>
      </w:r>
      <w:r w:rsidRPr="00D760A5">
        <w:rPr>
          <w:lang w:bidi="en-GB"/>
        </w:rPr>
        <w:t xml:space="preserve"> these requirements apply to securities firms offering direct electronic access (DEA) to their customers. Therefore, these requirements </w:t>
      </w:r>
      <w:r w:rsidRPr="00D760A5">
        <w:rPr>
          <w:lang w:bidi="en-GB"/>
        </w:rPr>
        <w:lastRenderedPageBreak/>
        <w:t>should be moved to chapter IV of draft RTS 13. Otherwise, securities firms would need to impose specific requirements upon their DEA customers for every trading venue to which they provide access – leading to unreasonable efforts without corresponding benefits.</w:t>
      </w:r>
    </w:p>
    <w:permEnd w:id="1670788174"/>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097692468" w:edGrp="everyone"/>
      <w:r>
        <w:t>TYPE YOUR TEXT HERE</w:t>
      </w:r>
    </w:p>
    <w:permEnd w:id="2097692468"/>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538509869" w:edGrp="everyone"/>
      <w:r>
        <w:t>TYPE YOUR TEXT HERE</w:t>
      </w:r>
    </w:p>
    <w:permEnd w:id="538509869"/>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343563333" w:edGrp="everyone"/>
      <w:r>
        <w:t>TYPE YOUR TEXT HERE</w:t>
      </w:r>
    </w:p>
    <w:permEnd w:id="1343563333"/>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307760538" w:edGrp="everyone"/>
      <w:r>
        <w:t>TYPE YOUR TEXT HERE</w:t>
      </w:r>
    </w:p>
    <w:permEnd w:id="30776053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396979057" w:edGrp="everyone"/>
      <w:r>
        <w:t>TYPE YOUR TEXT HERE</w:t>
      </w:r>
    </w:p>
    <w:permEnd w:id="39697905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086690491" w:edGrp="everyone"/>
      <w:r>
        <w:t>TYPE YOUR TEXT HERE</w:t>
      </w:r>
    </w:p>
    <w:permEnd w:id="2086690491"/>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660631639" w:edGrp="everyone"/>
      <w:r>
        <w:t>TYPE YOUR TEXT HERE</w:t>
      </w:r>
    </w:p>
    <w:permEnd w:id="166063163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lastRenderedPageBreak/>
        <w:t>&lt;ESMA_QUESTION_CP_MIFID_111&gt;</w:t>
      </w:r>
    </w:p>
    <w:p w:rsidR="00577C33" w:rsidRDefault="00577C33" w:rsidP="00EC2C93">
      <w:pPr>
        <w:keepNext/>
      </w:pPr>
      <w:permStart w:id="125896520" w:edGrp="everyone"/>
      <w:r>
        <w:t>TYPE YOUR TEXT HERE</w:t>
      </w:r>
    </w:p>
    <w:permEnd w:id="1258965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945963302" w:edGrp="everyone"/>
      <w:r>
        <w:t>TYPE YOUR TEXT HERE</w:t>
      </w:r>
    </w:p>
    <w:permEnd w:id="1945963302"/>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056078290" w:edGrp="everyone"/>
      <w:r>
        <w:t>TYPE YOUR TEXT HERE</w:t>
      </w:r>
    </w:p>
    <w:permEnd w:id="105607829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149704344" w:edGrp="everyone"/>
      <w:r>
        <w:t>TYPE YOUR TEXT HERE</w:t>
      </w:r>
    </w:p>
    <w:permEnd w:id="114970434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406927700" w:edGrp="everyone"/>
      <w:r>
        <w:t>TYPE YOUR TEXT HERE</w:t>
      </w:r>
    </w:p>
    <w:permEnd w:id="40692770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242308531" w:edGrp="everyone"/>
      <w:r>
        <w:t>TYPE YOUR TEXT HERE</w:t>
      </w:r>
    </w:p>
    <w:permEnd w:id="124230853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559243701" w:edGrp="everyone"/>
      <w:r>
        <w:t>TYPE YOUR TEXT HERE</w:t>
      </w:r>
    </w:p>
    <w:permEnd w:id="55924370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625303699" w:edGrp="everyone"/>
      <w:r>
        <w:t>TYPE YOUR TEXT HERE</w:t>
      </w:r>
    </w:p>
    <w:permEnd w:id="625303699"/>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lastRenderedPageBreak/>
        <w:t>&lt;ESMA_QUESTION_CP_MIFID_119&gt;</w:t>
      </w:r>
    </w:p>
    <w:p w:rsidR="00577C33" w:rsidRDefault="00577C33" w:rsidP="00EC2C93">
      <w:pPr>
        <w:keepNext/>
      </w:pPr>
      <w:permStart w:id="1537016803" w:edGrp="everyone"/>
      <w:r>
        <w:t>TYPE YOUR TEXT HERE</w:t>
      </w:r>
    </w:p>
    <w:permEnd w:id="1537016803"/>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26204078" w:edGrp="everyone"/>
      <w:r>
        <w:t>TYPE YOUR TEXT HERE</w:t>
      </w:r>
    </w:p>
    <w:permEnd w:id="122620407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2075206173" w:edGrp="everyone"/>
      <w:r>
        <w:t>TYPE YOUR TEXT HERE</w:t>
      </w:r>
    </w:p>
    <w:permEnd w:id="2075206173"/>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016859709" w:edGrp="everyone"/>
      <w:r>
        <w:t>TYPE YOUR TEXT HERE</w:t>
      </w:r>
    </w:p>
    <w:permEnd w:id="101685970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811297109" w:edGrp="everyone"/>
      <w:r>
        <w:t>TYPE YOUR TEXT HERE</w:t>
      </w:r>
    </w:p>
    <w:permEnd w:id="81129710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637896946" w:edGrp="everyone"/>
      <w:r>
        <w:t>TYPE YOUR TEXT HERE</w:t>
      </w:r>
    </w:p>
    <w:permEnd w:id="163789694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246051063" w:edGrp="everyone"/>
      <w:r>
        <w:t>TYPE YOUR TEXT HERE</w:t>
      </w:r>
    </w:p>
    <w:permEnd w:id="246051063"/>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lastRenderedPageBreak/>
        <w:t>&lt;ESMA_QUESTION_CP_MIFID_126&gt;</w:t>
      </w:r>
    </w:p>
    <w:p w:rsidR="00577C33" w:rsidRDefault="00577C33" w:rsidP="00EC2C93">
      <w:pPr>
        <w:keepNext/>
      </w:pPr>
      <w:permStart w:id="1792693195" w:edGrp="everyone"/>
      <w:r>
        <w:t>TYPE YOUR TEXT HERE</w:t>
      </w:r>
    </w:p>
    <w:permEnd w:id="179269319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676752785" w:edGrp="everyone"/>
      <w:r>
        <w:t>TYPE YOUR TEXT HERE</w:t>
      </w:r>
    </w:p>
    <w:permEnd w:id="676752785"/>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32122715" w:edGrp="everyone"/>
      <w:r>
        <w:t>TYPE YOUR TEXT HERE</w:t>
      </w:r>
    </w:p>
    <w:permEnd w:id="3212271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189094106" w:edGrp="everyone"/>
      <w:r>
        <w:t>TYPE YOUR TEXT HERE</w:t>
      </w:r>
    </w:p>
    <w:permEnd w:id="118909410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765279256" w:edGrp="everyone"/>
      <w:r>
        <w:t>TYPE YOUR TEXT HERE</w:t>
      </w:r>
    </w:p>
    <w:permEnd w:id="76527925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2017471943" w:edGrp="everyone"/>
      <w:r>
        <w:t>TYPE YOUR TEXT HERE</w:t>
      </w:r>
    </w:p>
    <w:permEnd w:id="2017471943"/>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0449076" w:edGrp="everyone"/>
      <w:r>
        <w:t>TYPE YOUR TEXT HERE</w:t>
      </w:r>
    </w:p>
    <w:permEnd w:id="1044907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144631092" w:edGrp="everyone"/>
      <w:r>
        <w:t>TYPE YOUR TEXT HERE</w:t>
      </w:r>
    </w:p>
    <w:permEnd w:id="214463109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884244052" w:edGrp="everyone"/>
      <w:r>
        <w:t>TYPE YOUR TEXT HERE</w:t>
      </w:r>
    </w:p>
    <w:permEnd w:id="1884244052"/>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432429572" w:edGrp="everyone"/>
      <w:r>
        <w:t>TYPE YOUR TEXT HERE</w:t>
      </w:r>
    </w:p>
    <w:permEnd w:id="432429572"/>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643607717" w:edGrp="everyone"/>
      <w:r>
        <w:t>TYPE YOUR TEXT HERE</w:t>
      </w:r>
    </w:p>
    <w:permEnd w:id="1643607717"/>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2002256228" w:edGrp="everyone"/>
      <w:r>
        <w:t>TYPE YOUR TEXT HERE</w:t>
      </w:r>
    </w:p>
    <w:permEnd w:id="2002256228"/>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2227883" w:edGrp="everyone"/>
      <w:r>
        <w:t>TYPE YOUR TEXT HERE</w:t>
      </w:r>
    </w:p>
    <w:permEnd w:id="142227883"/>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844146172" w:edGrp="everyone"/>
      <w:r>
        <w:t>TYPE YOUR TEXT HERE</w:t>
      </w:r>
    </w:p>
    <w:permEnd w:id="1844146172"/>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949888440" w:edGrp="everyone"/>
      <w:r>
        <w:t>TYPE YOUR TEXT HERE</w:t>
      </w:r>
    </w:p>
    <w:permEnd w:id="94988844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683490141" w:edGrp="everyone"/>
      <w:r>
        <w:t>TYPE YOUR TEXT HERE</w:t>
      </w:r>
    </w:p>
    <w:permEnd w:id="683490141"/>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80685223" w:edGrp="everyone"/>
      <w:r>
        <w:t>TYPE YOUR TEXT HERE</w:t>
      </w:r>
    </w:p>
    <w:permEnd w:id="18068522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943741932" w:edGrp="everyone"/>
      <w:r>
        <w:t>TYPE YOUR TEXT HERE</w:t>
      </w:r>
    </w:p>
    <w:permEnd w:id="94374193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864891634" w:edGrp="everyone"/>
      <w:r>
        <w:t>TYPE YOUR TEXT HERE</w:t>
      </w:r>
    </w:p>
    <w:permEnd w:id="864891634"/>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347972378" w:edGrp="everyone"/>
      <w:r>
        <w:t>TYPE YOUR TEXT HERE</w:t>
      </w:r>
    </w:p>
    <w:permEnd w:id="134797237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&lt;ESMA_QUESTION_CP_MIFID_146&gt;</w:t>
      </w:r>
    </w:p>
    <w:p w:rsidR="004F3CD1" w:rsidRPr="004F3CD1" w:rsidRDefault="004F3CD1" w:rsidP="004F3CD1">
      <w:pPr>
        <w:keepNext/>
        <w:rPr>
          <w:lang w:bidi="en-GB"/>
        </w:rPr>
      </w:pPr>
      <w:permStart w:id="428871003" w:edGrp="everyone"/>
      <w:r w:rsidRPr="004F3CD1">
        <w:rPr>
          <w:lang w:bidi="en-GB"/>
        </w:rPr>
        <w:t>With re</w:t>
      </w:r>
      <w:r>
        <w:rPr>
          <w:lang w:bidi="en-GB"/>
        </w:rPr>
        <w:t>spect</w:t>
      </w:r>
      <w:r w:rsidRPr="004F3CD1">
        <w:rPr>
          <w:lang w:bidi="en-GB"/>
        </w:rPr>
        <w:t xml:space="preserve"> to Article 1(2) </w:t>
      </w:r>
      <w:r w:rsidR="00CE0485">
        <w:rPr>
          <w:lang w:bidi="en-GB"/>
        </w:rPr>
        <w:t xml:space="preserve">draft </w:t>
      </w:r>
      <w:r w:rsidRPr="004F3CD1">
        <w:rPr>
          <w:lang w:bidi="en-GB"/>
        </w:rPr>
        <w:t>RTS 23 last part of the sentence: “…informing the seller of the action taken”</w:t>
      </w:r>
      <w:r>
        <w:rPr>
          <w:lang w:bidi="en-GB"/>
        </w:rPr>
        <w:t>,</w:t>
      </w:r>
      <w:r w:rsidRPr="004F3CD1">
        <w:rPr>
          <w:lang w:bidi="en-GB"/>
        </w:rPr>
        <w:t xml:space="preserve"> the EAPB is opposed to the obligation that the SI should inform the seller. This information is obsolete and should therefore be deleted.</w:t>
      </w:r>
    </w:p>
    <w:p w:rsidR="004F3CD1" w:rsidRPr="004F3CD1" w:rsidRDefault="004F3CD1" w:rsidP="004F3CD1">
      <w:pPr>
        <w:keepNext/>
        <w:rPr>
          <w:lang w:bidi="en-GB"/>
        </w:rPr>
      </w:pPr>
      <w:r w:rsidRPr="004F3CD1">
        <w:rPr>
          <w:lang w:bidi="en-GB"/>
        </w:rPr>
        <w:t xml:space="preserve">Article 1(2) RTS 23 demands that a systematic </w:t>
      </w:r>
      <w:proofErr w:type="spellStart"/>
      <w:r w:rsidRPr="004F3CD1">
        <w:rPr>
          <w:lang w:bidi="en-GB"/>
        </w:rPr>
        <w:t>internaliser</w:t>
      </w:r>
      <w:proofErr w:type="spellEnd"/>
      <w:r w:rsidRPr="004F3CD1">
        <w:rPr>
          <w:lang w:bidi="en-GB"/>
        </w:rPr>
        <w:t xml:space="preserve"> (SI) not only report the transactions but also inform the seller about the report. The wording of the rule suggests that this information must be provided after each individual transaction. This leads to additional expenditure and unnecessary costs without offering anything in return. We therefore suggest that the SI be allowed to provide general information about their legal obligations. Article 2 RTS 23 could be worded as follows: “...that firm shall report the transaction. The systematic </w:t>
      </w:r>
      <w:proofErr w:type="spellStart"/>
      <w:r w:rsidRPr="004F3CD1">
        <w:rPr>
          <w:lang w:bidi="en-GB"/>
        </w:rPr>
        <w:t>internaliser</w:t>
      </w:r>
      <w:proofErr w:type="spellEnd"/>
      <w:r w:rsidRPr="004F3CD1">
        <w:rPr>
          <w:lang w:bidi="en-GB"/>
        </w:rPr>
        <w:t xml:space="preserve"> shall inform the seller about the reporting obligation and how the seller can identify that its counterparty acted as a systematic </w:t>
      </w:r>
      <w:proofErr w:type="spellStart"/>
      <w:r w:rsidRPr="004F3CD1">
        <w:rPr>
          <w:lang w:bidi="en-GB"/>
        </w:rPr>
        <w:t>internaliser</w:t>
      </w:r>
      <w:proofErr w:type="spellEnd"/>
      <w:r w:rsidRPr="004F3CD1">
        <w:rPr>
          <w:lang w:bidi="en-GB"/>
        </w:rPr>
        <w:t>.”</w:t>
      </w:r>
    </w:p>
    <w:p w:rsidR="004F3CD1" w:rsidRPr="004F3CD1" w:rsidRDefault="004F3CD1" w:rsidP="004F3CD1">
      <w:pPr>
        <w:keepNext/>
        <w:rPr>
          <w:lang w:bidi="en-GB"/>
        </w:rPr>
      </w:pPr>
    </w:p>
    <w:p w:rsidR="004F3CD1" w:rsidRPr="004F3CD1" w:rsidRDefault="004F3CD1" w:rsidP="004F3CD1">
      <w:pPr>
        <w:keepNext/>
        <w:rPr>
          <w:lang w:bidi="en-GB"/>
        </w:rPr>
      </w:pPr>
      <w:r w:rsidRPr="004F3CD1">
        <w:rPr>
          <w:lang w:bidi="en-GB"/>
        </w:rPr>
        <w:t xml:space="preserve">Article 1 RTS 23 should </w:t>
      </w:r>
      <w:proofErr w:type="spellStart"/>
      <w:r w:rsidRPr="004F3CD1">
        <w:rPr>
          <w:i/>
          <w:lang w:bidi="en-GB"/>
        </w:rPr>
        <w:t>expressis</w:t>
      </w:r>
      <w:proofErr w:type="spellEnd"/>
      <w:r w:rsidRPr="004F3CD1">
        <w:rPr>
          <w:i/>
          <w:lang w:bidi="en-GB"/>
        </w:rPr>
        <w:t xml:space="preserve"> </w:t>
      </w:r>
      <w:proofErr w:type="spellStart"/>
      <w:r w:rsidRPr="004F3CD1">
        <w:rPr>
          <w:i/>
          <w:lang w:bidi="en-GB"/>
        </w:rPr>
        <w:t>verbis</w:t>
      </w:r>
      <w:proofErr w:type="spellEnd"/>
      <w:r w:rsidRPr="004F3CD1">
        <w:rPr>
          <w:lang w:bidi="en-GB"/>
        </w:rPr>
        <w:t xml:space="preserve"> confirm the option to set up agreements with other firms to delegate their obligation to publish the information as indicated in recital 1of RTS 23 (“in the absence of any agreement to the contrary”).</w:t>
      </w:r>
    </w:p>
    <w:p w:rsidR="00577C33" w:rsidRDefault="00577C33" w:rsidP="00EC2C93">
      <w:pPr>
        <w:keepNext/>
      </w:pPr>
      <w:r>
        <w:t>TYPE YOUR TEXT HERE</w:t>
      </w:r>
    </w:p>
    <w:permEnd w:id="428871003"/>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458068684" w:edGrp="everyone"/>
      <w:r>
        <w:t>TYPE YOUR TEXT HERE</w:t>
      </w:r>
    </w:p>
    <w:permEnd w:id="145806868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2A1502" w:rsidRPr="002A1502" w:rsidRDefault="002A1502" w:rsidP="002A1502">
      <w:pPr>
        <w:keepNext/>
      </w:pPr>
      <w:permStart w:id="1977371819" w:edGrp="everyone"/>
      <w:r w:rsidRPr="002A1502">
        <w:t>The risks identified by ESMA based on which CCPs or trading venues may deny access are valid reasons for denying access. We support such precautions in light of the protection of markets and all market participants. However, since a permanent access denial would constitute a discrimination of market participants, we suggest that ESMA introduce terms into RTS 24 as to how and within which timeframe such risks must be mitigated in order to grant access to the CCP or trading venue. For the time of access denial the RTS should clearly set forth that the trading obligation does not apply to the market participant(s) concerned.</w:t>
      </w:r>
    </w:p>
    <w:p w:rsidR="002A1502" w:rsidRPr="002A1502" w:rsidRDefault="002A1502" w:rsidP="002A1502">
      <w:pPr>
        <w:keepNext/>
      </w:pPr>
    </w:p>
    <w:p w:rsidR="002A1502" w:rsidRPr="002A1502" w:rsidRDefault="002A1502" w:rsidP="002A1502">
      <w:pPr>
        <w:keepNext/>
      </w:pPr>
      <w:r w:rsidRPr="002A1502">
        <w:t>Following the lift of access denial to a CCP or trading venue, the affected market participants must be granted a transition period in order to provide for the technical requirements to ensure access to the CCP and/or trading venue.</w:t>
      </w:r>
    </w:p>
    <w:permEnd w:id="1977371819"/>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lastRenderedPageBreak/>
        <w:t>&lt;ESMA_QUESTION_CP_MIFID_149&gt;</w:t>
      </w:r>
    </w:p>
    <w:p w:rsidR="00577C33" w:rsidRDefault="00577C33" w:rsidP="00EC2C93">
      <w:pPr>
        <w:keepNext/>
      </w:pPr>
      <w:permStart w:id="1989172156" w:edGrp="everyone"/>
      <w:r>
        <w:t>TYPE YOUR TEXT HERE</w:t>
      </w:r>
    </w:p>
    <w:permEnd w:id="198917215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138906722" w:edGrp="everyone"/>
      <w:r>
        <w:t>TYPE YOUR TEXT HERE</w:t>
      </w:r>
    </w:p>
    <w:permEnd w:id="1138906722"/>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322795561" w:edGrp="everyone"/>
      <w:r>
        <w:t>TYPE YOUR TEXT HERE</w:t>
      </w:r>
    </w:p>
    <w:permEnd w:id="322795561"/>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848461756" w:edGrp="everyone"/>
      <w:r>
        <w:t>TYPE YOUR TEXT HERE</w:t>
      </w:r>
    </w:p>
    <w:permEnd w:id="184846175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99117850" w:edGrp="everyone"/>
      <w:r>
        <w:t>TYPE YOUR TEXT HERE</w:t>
      </w:r>
    </w:p>
    <w:permEnd w:id="1699117850"/>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329387242" w:edGrp="everyone"/>
      <w:r>
        <w:t>TYPE YOUR TEXT HERE</w:t>
      </w:r>
    </w:p>
    <w:permEnd w:id="329387242"/>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876171754" w:edGrp="everyone"/>
      <w:r>
        <w:t>TYPE YOUR TEXT HERE</w:t>
      </w:r>
    </w:p>
    <w:permEnd w:id="87617175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lastRenderedPageBreak/>
        <w:t>&lt;ESMA_QUESTION_CP_MIFID_156&gt;</w:t>
      </w:r>
    </w:p>
    <w:p w:rsidR="00577C33" w:rsidRDefault="00577C33" w:rsidP="00EC2C93">
      <w:pPr>
        <w:keepNext/>
      </w:pPr>
      <w:permStart w:id="400046707" w:edGrp="everyone"/>
      <w:r>
        <w:t>TYPE YOUR TEXT HERE</w:t>
      </w:r>
    </w:p>
    <w:permEnd w:id="400046707"/>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176790628" w:edGrp="everyone"/>
      <w:r>
        <w:t>TYPE YOUR TEXT HERE</w:t>
      </w:r>
    </w:p>
    <w:permEnd w:id="1176790628"/>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624890614" w:edGrp="everyone"/>
      <w:r>
        <w:t>TYPE YOUR TEXT HERE</w:t>
      </w:r>
    </w:p>
    <w:permEnd w:id="624890614"/>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631772501" w:edGrp="everyone"/>
      <w:r>
        <w:t>TYPE YOUR TEXT HERE</w:t>
      </w:r>
    </w:p>
    <w:permEnd w:id="631772501"/>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905530530" w:edGrp="everyone"/>
      <w:r>
        <w:t>TYPE YOUR TEXT HERE</w:t>
      </w:r>
    </w:p>
    <w:permEnd w:id="905530530"/>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221205052" w:edGrp="everyone"/>
      <w:r>
        <w:t>TYPE YOUR TEXT HERE</w:t>
      </w:r>
    </w:p>
    <w:permEnd w:id="221205052"/>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398879347" w:edGrp="everyone"/>
      <w:r>
        <w:t>TYPE YOUR TEXT HERE</w:t>
      </w:r>
    </w:p>
    <w:permEnd w:id="398879347"/>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95177973" w:edGrp="everyone"/>
      <w:r>
        <w:t>TYPE YOUR TEXT HERE</w:t>
      </w:r>
    </w:p>
    <w:permEnd w:id="9517797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901745420" w:edGrp="everyone"/>
      <w:r>
        <w:t>TYPE YOUR TEXT HERE</w:t>
      </w:r>
    </w:p>
    <w:permEnd w:id="190174542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313099526" w:edGrp="everyone"/>
      <w:r>
        <w:t>TYPE YOUR TEXT HERE</w:t>
      </w:r>
    </w:p>
    <w:permEnd w:id="131309952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425494396" w:edGrp="everyone"/>
      <w:r>
        <w:t>TYPE YOUR TEXT HERE</w:t>
      </w:r>
    </w:p>
    <w:permEnd w:id="142549439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718721" w:edGrp="everyone"/>
      <w:r>
        <w:t>TYPE YOUR TEXT HERE</w:t>
      </w:r>
    </w:p>
    <w:permEnd w:id="17718721"/>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689379406" w:edGrp="everyone"/>
      <w:r>
        <w:t>TYPE YOUR TEXT HERE</w:t>
      </w:r>
    </w:p>
    <w:permEnd w:id="689379406"/>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315427083" w:edGrp="everyone"/>
      <w:r>
        <w:t>TYPE YOUR TEXT HERE</w:t>
      </w:r>
    </w:p>
    <w:permEnd w:id="31542708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241939327" w:edGrp="everyone"/>
      <w:r>
        <w:t>TYPE YOUR TEXT HERE</w:t>
      </w:r>
    </w:p>
    <w:permEnd w:id="1241939327"/>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612597725" w:edGrp="everyone"/>
      <w:r>
        <w:t>TYPE YOUR TEXT HERE</w:t>
      </w:r>
    </w:p>
    <w:permEnd w:id="61259772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976526463" w:edGrp="everyone"/>
      <w:r>
        <w:t>TYPE YOUR TEXT HERE</w:t>
      </w:r>
    </w:p>
    <w:permEnd w:id="197652646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33835709" w:edGrp="everyone"/>
      <w:r>
        <w:t>TYPE YOUR TEXT HERE</w:t>
      </w:r>
    </w:p>
    <w:permEnd w:id="33835709"/>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31919444" w:edGrp="everyone"/>
      <w:r>
        <w:t>TYPE YOUR TEXT HERE</w:t>
      </w:r>
    </w:p>
    <w:permEnd w:id="31919444"/>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002117669" w:edGrp="everyone"/>
      <w:r>
        <w:t>TYPE YOUR TEXT HERE</w:t>
      </w:r>
    </w:p>
    <w:permEnd w:id="100211766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517686006" w:edGrp="everyone"/>
      <w:r>
        <w:t>TYPE YOUR TEXT HERE</w:t>
      </w:r>
    </w:p>
    <w:permEnd w:id="517686006"/>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19108955" w:edGrp="everyone"/>
      <w:r>
        <w:t>TYPE YOUR TEXT HERE</w:t>
      </w:r>
    </w:p>
    <w:permEnd w:id="119108955"/>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727269960" w:edGrp="everyone"/>
      <w:r>
        <w:t>TYPE YOUR TEXT HERE</w:t>
      </w:r>
    </w:p>
    <w:permEnd w:id="1727269960"/>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25198245" w:edGrp="everyone"/>
      <w:r>
        <w:t>TYPE YOUR TEXT HERE</w:t>
      </w:r>
    </w:p>
    <w:permEnd w:id="125198245"/>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46765167" w:edGrp="everyone"/>
      <w:r>
        <w:t>TYPE YOUR TEXT HERE</w:t>
      </w:r>
    </w:p>
    <w:permEnd w:id="184676516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78067340" w:edGrp="everyone"/>
      <w:r>
        <w:t>TYPE YOUR TEXT HERE</w:t>
      </w:r>
    </w:p>
    <w:permEnd w:id="17806734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802724914" w:edGrp="everyone"/>
      <w:r>
        <w:t>TYPE YOUR TEXT HERE</w:t>
      </w:r>
    </w:p>
    <w:permEnd w:id="1802724914"/>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707110499" w:edGrp="everyone"/>
      <w:r>
        <w:t>TYPE YOUR TEXT HERE</w:t>
      </w:r>
    </w:p>
    <w:permEnd w:id="1707110499"/>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148600769" w:edGrp="everyone"/>
      <w:r>
        <w:t>TYPE YOUR TEXT HERE</w:t>
      </w:r>
    </w:p>
    <w:permEnd w:id="114860076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048930141" w:edGrp="everyone"/>
      <w:r>
        <w:t>TYPE YOUR TEXT HERE</w:t>
      </w:r>
    </w:p>
    <w:permEnd w:id="204893014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185504657" w:edGrp="everyone"/>
      <w:r>
        <w:t>TYPE YOUR TEXT HERE</w:t>
      </w:r>
    </w:p>
    <w:permEnd w:id="118550465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93394591" w:edGrp="everyone"/>
      <w:r>
        <w:t>TYPE YOUR TEXT HERE</w:t>
      </w:r>
    </w:p>
    <w:permEnd w:id="9339459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2110666021" w:edGrp="everyone"/>
      <w:r>
        <w:t>TYPE YOUR TEXT HERE</w:t>
      </w:r>
    </w:p>
    <w:permEnd w:id="211066602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605642568" w:edGrp="everyone"/>
      <w:r>
        <w:t>TYPE YOUR TEXT HERE</w:t>
      </w:r>
    </w:p>
    <w:permEnd w:id="160564256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669677569" w:edGrp="everyone"/>
      <w:r>
        <w:t>TYPE YOUR TEXT HERE</w:t>
      </w:r>
    </w:p>
    <w:permEnd w:id="166967756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303774070" w:edGrp="everyone"/>
      <w:r>
        <w:t>TYPE YOUR TEXT HERE</w:t>
      </w:r>
    </w:p>
    <w:permEnd w:id="30377407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92234280" w:edGrp="everyone"/>
      <w:r>
        <w:t>TYPE YOUR TEXT HERE</w:t>
      </w:r>
    </w:p>
    <w:permEnd w:id="19223428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87335028" w:edGrp="everyone"/>
      <w:r>
        <w:t>TYPE YOUR TEXT HERE</w:t>
      </w:r>
    </w:p>
    <w:permEnd w:id="208733502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992898970" w:edGrp="everyone"/>
      <w:r>
        <w:t>TYPE YOUR TEXT HERE</w:t>
      </w:r>
    </w:p>
    <w:permEnd w:id="1992898970"/>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554524685" w:edGrp="everyone"/>
      <w:r>
        <w:t>TYPE YOUR TEXT HERE</w:t>
      </w:r>
    </w:p>
    <w:permEnd w:id="554524685"/>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482619835" w:edGrp="everyone"/>
      <w:r>
        <w:t>TYPE YOUR TEXT HERE</w:t>
      </w:r>
    </w:p>
    <w:permEnd w:id="48261983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857564944" w:edGrp="everyone"/>
      <w:r>
        <w:t>TYPE YOUR TEXT HERE</w:t>
      </w:r>
    </w:p>
    <w:permEnd w:id="1857564944"/>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971933485" w:edGrp="everyone"/>
      <w:r>
        <w:t>TYPE YOUR TEXT HERE</w:t>
      </w:r>
    </w:p>
    <w:permEnd w:id="197193348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79845568" w:edGrp="everyone"/>
      <w:r>
        <w:t>TYPE YOUR TEXT HERE</w:t>
      </w:r>
    </w:p>
    <w:permEnd w:id="7984556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282487714" w:edGrp="everyone"/>
      <w:r>
        <w:t>TYPE YOUR TEXT HERE</w:t>
      </w:r>
    </w:p>
    <w:permEnd w:id="1282487714"/>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533231063" w:edGrp="everyone"/>
      <w:r>
        <w:t>TYPE YOUR TEXT HERE</w:t>
      </w:r>
    </w:p>
    <w:permEnd w:id="1533231063"/>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088049665" w:edGrp="everyone"/>
      <w:r>
        <w:t>TYPE YOUR TEXT HERE</w:t>
      </w:r>
    </w:p>
    <w:permEnd w:id="2088049665"/>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041719704" w:edGrp="everyone"/>
      <w:r>
        <w:t>TYPE YOUR TEXT HERE</w:t>
      </w:r>
    </w:p>
    <w:permEnd w:id="1041719704"/>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358497701" w:edGrp="everyone"/>
      <w:r>
        <w:t>TYPE YOUR TEXT HERE</w:t>
      </w:r>
    </w:p>
    <w:permEnd w:id="35849770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602254978" w:edGrp="everyone"/>
      <w:r>
        <w:t>TYPE YOUR TEXT HERE</w:t>
      </w:r>
    </w:p>
    <w:permEnd w:id="160225497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39022719" w:edGrp="everyone"/>
      <w:r>
        <w:t>TYPE YOUR TEXT HERE</w:t>
      </w:r>
    </w:p>
    <w:permEnd w:id="39022719"/>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815621908" w:edGrp="everyone"/>
      <w:r>
        <w:t>TYPE YOUR TEXT HERE</w:t>
      </w:r>
    </w:p>
    <w:permEnd w:id="815621908"/>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084572988" w:edGrp="everyone"/>
      <w:r>
        <w:t>TYPE YOUR TEXT HERE</w:t>
      </w:r>
    </w:p>
    <w:permEnd w:id="1084572988"/>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318995473" w:edGrp="everyone"/>
      <w:r>
        <w:t>TYPE YOUR TEXT HERE</w:t>
      </w:r>
    </w:p>
    <w:permEnd w:id="131899547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783120872" w:edGrp="everyone"/>
      <w:r>
        <w:t>TYPE YOUR TEXT HERE</w:t>
      </w:r>
    </w:p>
    <w:permEnd w:id="1783120872"/>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2052722865" w:edGrp="everyone"/>
      <w:r>
        <w:t>TYPE YOUR TEXT HERE</w:t>
      </w:r>
    </w:p>
    <w:permEnd w:id="205272286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902516781" w:edGrp="everyone"/>
      <w:r>
        <w:t>TYPE YOUR TEXT HERE</w:t>
      </w:r>
    </w:p>
    <w:permEnd w:id="190251678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67233D" w:rsidRPr="0067233D" w:rsidRDefault="0067233D" w:rsidP="0067233D">
      <w:pPr>
        <w:keepNext/>
        <w:rPr>
          <w:lang w:bidi="en-GB"/>
        </w:rPr>
      </w:pPr>
      <w:permStart w:id="1464931117" w:edGrp="everyone"/>
      <w:r w:rsidRPr="0067233D">
        <w:rPr>
          <w:lang w:bidi="en-GB"/>
        </w:rPr>
        <w:t xml:space="preserve">The EAPB supports the use of XML – including XML subgroups such as </w:t>
      </w:r>
      <w:proofErr w:type="spellStart"/>
      <w:r w:rsidRPr="0067233D">
        <w:rPr>
          <w:lang w:bidi="en-GB"/>
        </w:rPr>
        <w:t>FpML</w:t>
      </w:r>
      <w:proofErr w:type="spellEnd"/>
      <w:r w:rsidRPr="0067233D">
        <w:rPr>
          <w:lang w:bidi="en-GB"/>
        </w:rPr>
        <w:t xml:space="preserve"> – for the purpose of transaction reporting. From today's perspective, XML and the associated subgroups represent suitable formats for fulfilling the extremely complex reporting obligations. </w:t>
      </w:r>
    </w:p>
    <w:p w:rsidR="00577C33" w:rsidRDefault="00577C33" w:rsidP="00EC2C93">
      <w:pPr>
        <w:keepNext/>
      </w:pPr>
    </w:p>
    <w:permEnd w:id="1464931117"/>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634534081" w:edGrp="everyone"/>
      <w:r>
        <w:t>TYPE YOUR TEXT HERE</w:t>
      </w:r>
    </w:p>
    <w:permEnd w:id="1634534081"/>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655533214" w:edGrp="everyone"/>
      <w:r>
        <w:t>TYPE YOUR TEXT HERE</w:t>
      </w:r>
    </w:p>
    <w:permEnd w:id="165553321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963202991" w:edGrp="everyone"/>
      <w:r>
        <w:t>TYPE YOUR TEXT HERE</w:t>
      </w:r>
    </w:p>
    <w:permEnd w:id="96320299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401677997" w:edGrp="everyone"/>
      <w:r>
        <w:t>TYPE YOUR TEXT HERE</w:t>
      </w:r>
    </w:p>
    <w:permEnd w:id="401677997"/>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7F221F" w:rsidRPr="007F221F" w:rsidRDefault="007F221F" w:rsidP="007F221F">
      <w:pPr>
        <w:keepNext/>
        <w:rPr>
          <w:u w:val="single"/>
          <w:lang w:bidi="en-GB"/>
        </w:rPr>
      </w:pPr>
      <w:permStart w:id="629677728" w:edGrp="everyone"/>
      <w:r w:rsidRPr="007F221F">
        <w:rPr>
          <w:u w:val="single"/>
          <w:lang w:bidi="en-GB"/>
        </w:rPr>
        <w:t>Regarding client identification (Article 6, annex I, table 1, fields 5 to 34)</w:t>
      </w:r>
    </w:p>
    <w:p w:rsidR="007F221F" w:rsidRDefault="007F221F" w:rsidP="00EC2C93">
      <w:pPr>
        <w:keepNext/>
      </w:pPr>
    </w:p>
    <w:p w:rsidR="007F221F" w:rsidRPr="007F221F" w:rsidRDefault="007F221F" w:rsidP="007F221F">
      <w:pPr>
        <w:keepNext/>
        <w:rPr>
          <w:lang w:bidi="en-GB"/>
        </w:rPr>
      </w:pPr>
      <w:r w:rsidRPr="007F221F">
        <w:rPr>
          <w:lang w:bidi="en-GB"/>
        </w:rPr>
        <w:t>In our view:</w:t>
      </w:r>
    </w:p>
    <w:p w:rsidR="007F221F" w:rsidRPr="007F221F" w:rsidRDefault="0097597E" w:rsidP="007F221F">
      <w:pPr>
        <w:keepNext/>
        <w:rPr>
          <w:lang w:bidi="en-GB"/>
        </w:rPr>
      </w:pPr>
      <w:r w:rsidRPr="007F221F">
        <w:rPr>
          <w:lang w:bidi="en-GB"/>
        </w:rPr>
        <w:t>The</w:t>
      </w:r>
      <w:r w:rsidR="007F221F" w:rsidRPr="007F221F">
        <w:rPr>
          <w:lang w:bidi="en-GB"/>
        </w:rPr>
        <w:t xml:space="preserve"> proposal of client identification of natural persons is not </w:t>
      </w:r>
      <w:r w:rsidRPr="007F221F">
        <w:rPr>
          <w:lang w:bidi="en-GB"/>
        </w:rPr>
        <w:t>appropriate</w:t>
      </w:r>
      <w:r w:rsidR="007F221F" w:rsidRPr="007F221F">
        <w:rPr>
          <w:lang w:bidi="en-GB"/>
        </w:rPr>
        <w:t xml:space="preserve">, especially because it is not in line with requirements according to the Third Anti-Money Laundering Directive to identify a client and the same time is not sufficient for </w:t>
      </w:r>
      <w:proofErr w:type="gramStart"/>
      <w:r w:rsidR="007F221F" w:rsidRPr="007F221F">
        <w:rPr>
          <w:lang w:bidi="en-GB"/>
        </w:rPr>
        <w:t>a unique</w:t>
      </w:r>
      <w:proofErr w:type="gramEnd"/>
      <w:r w:rsidR="007F221F" w:rsidRPr="007F221F">
        <w:rPr>
          <w:lang w:bidi="en-GB"/>
        </w:rPr>
        <w:t xml:space="preserve"> or accurate client </w:t>
      </w:r>
      <w:r w:rsidR="007F221F" w:rsidRPr="007F221F">
        <w:rPr>
          <w:lang w:bidi="en-GB"/>
        </w:rPr>
        <w:lastRenderedPageBreak/>
        <w:t xml:space="preserve">identification. To ascertain the intended </w:t>
      </w:r>
      <w:r w:rsidRPr="007F221F">
        <w:rPr>
          <w:lang w:bidi="en-GB"/>
        </w:rPr>
        <w:t>synchronisation</w:t>
      </w:r>
      <w:r w:rsidR="007F221F" w:rsidRPr="007F221F">
        <w:rPr>
          <w:lang w:bidi="en-GB"/>
        </w:rPr>
        <w:t xml:space="preserve"> of client identification of natural persons, we </w:t>
      </w:r>
      <w:r w:rsidRPr="007F221F">
        <w:rPr>
          <w:lang w:bidi="en-GB"/>
        </w:rPr>
        <w:t>propose</w:t>
      </w:r>
      <w:r w:rsidR="007F221F" w:rsidRPr="007F221F">
        <w:rPr>
          <w:lang w:bidi="en-GB"/>
        </w:rPr>
        <w:t xml:space="preserve"> to exclusively provide “CONCAT” for this identification;</w:t>
      </w:r>
    </w:p>
    <w:p w:rsidR="007F221F" w:rsidRPr="007F221F" w:rsidRDefault="0097597E" w:rsidP="007F221F">
      <w:pPr>
        <w:keepNext/>
        <w:rPr>
          <w:lang w:bidi="en-GB"/>
        </w:rPr>
      </w:pPr>
      <w:r w:rsidRPr="007F221F">
        <w:rPr>
          <w:lang w:bidi="en-GB"/>
        </w:rPr>
        <w:t>Additional</w:t>
      </w:r>
      <w:r w:rsidR="007F221F" w:rsidRPr="007F221F">
        <w:rPr>
          <w:lang w:bidi="en-GB"/>
        </w:rPr>
        <w:t xml:space="preserve"> information concerning the client’s identity </w:t>
      </w:r>
      <w:r w:rsidRPr="007F221F">
        <w:rPr>
          <w:lang w:bidi="en-GB"/>
        </w:rPr>
        <w:t>is</w:t>
      </w:r>
      <w:r w:rsidR="007F221F" w:rsidRPr="007F221F">
        <w:rPr>
          <w:lang w:bidi="en-GB"/>
        </w:rPr>
        <w:t xml:space="preserve"> not in line with Level 1. Furthermore such a requirement additionally to the client identification wouldn’t be proportionate. But proportionality is necessary to justify such a requirement also with respect of data protection law; </w:t>
      </w:r>
    </w:p>
    <w:p w:rsidR="007F221F" w:rsidRPr="007F221F" w:rsidRDefault="007F221F" w:rsidP="007F221F">
      <w:pPr>
        <w:keepNext/>
        <w:rPr>
          <w:lang w:bidi="en-GB"/>
        </w:rPr>
      </w:pPr>
      <w:proofErr w:type="gramStart"/>
      <w:r w:rsidRPr="007F221F">
        <w:rPr>
          <w:lang w:bidi="en-GB"/>
        </w:rPr>
        <w:t>a</w:t>
      </w:r>
      <w:proofErr w:type="gramEnd"/>
      <w:r w:rsidRPr="007F221F">
        <w:rPr>
          <w:lang w:bidi="en-GB"/>
        </w:rPr>
        <w:t xml:space="preserve"> designation with respect of decision makers is not provided at Level 1. The same applies with respect of additional information to the decision maker’s identity;</w:t>
      </w:r>
    </w:p>
    <w:p w:rsidR="007F221F" w:rsidRPr="007F221F" w:rsidRDefault="007F221F" w:rsidP="007F221F">
      <w:pPr>
        <w:keepNext/>
        <w:rPr>
          <w:lang w:bidi="en-GB"/>
        </w:rPr>
      </w:pPr>
      <w:proofErr w:type="gramStart"/>
      <w:r w:rsidRPr="007F221F">
        <w:rPr>
          <w:lang w:bidi="en-GB"/>
        </w:rPr>
        <w:t>a</w:t>
      </w:r>
      <w:proofErr w:type="gramEnd"/>
      <w:r w:rsidRPr="007F221F">
        <w:rPr>
          <w:lang w:bidi="en-GB"/>
        </w:rPr>
        <w:t xml:space="preserve"> fall back solution (like “CONCAT” for natural persons) is necessary with respect of many legal entities (especially in the scope of </w:t>
      </w:r>
      <w:proofErr w:type="spellStart"/>
      <w:r w:rsidRPr="007F221F">
        <w:rPr>
          <w:lang w:bidi="en-GB"/>
        </w:rPr>
        <w:t>MiFIR</w:t>
      </w:r>
      <w:proofErr w:type="spellEnd"/>
      <w:r w:rsidRPr="007F221F">
        <w:rPr>
          <w:lang w:bidi="en-GB"/>
        </w:rPr>
        <w:t>) which ar</w:t>
      </w:r>
      <w:r w:rsidR="0097597E">
        <w:rPr>
          <w:lang w:bidi="en-GB"/>
        </w:rPr>
        <w:t xml:space="preserve">e </w:t>
      </w:r>
      <w:r w:rsidRPr="007F221F">
        <w:rPr>
          <w:lang w:bidi="en-GB"/>
        </w:rPr>
        <w:t xml:space="preserve">not required to have a LEI. </w:t>
      </w:r>
    </w:p>
    <w:p w:rsidR="007F221F" w:rsidRDefault="007F221F" w:rsidP="00EC2C93">
      <w:pPr>
        <w:keepNext/>
      </w:pPr>
    </w:p>
    <w:p w:rsidR="007F221F" w:rsidRPr="007F221F" w:rsidRDefault="007F221F" w:rsidP="007F221F">
      <w:pPr>
        <w:keepNext/>
        <w:rPr>
          <w:u w:val="single"/>
          <w:lang w:bidi="en-GB"/>
        </w:rPr>
      </w:pPr>
      <w:r w:rsidRPr="007F221F">
        <w:rPr>
          <w:u w:val="single"/>
          <w:lang w:bidi="en-GB"/>
        </w:rPr>
        <w:t>In detail:</w:t>
      </w:r>
    </w:p>
    <w:p w:rsidR="007F221F" w:rsidRDefault="007F221F" w:rsidP="007F221F">
      <w:pPr>
        <w:keepNext/>
        <w:rPr>
          <w:lang w:bidi="en-GB"/>
        </w:rPr>
      </w:pPr>
      <w:r w:rsidRPr="007F221F">
        <w:rPr>
          <w:lang w:bidi="en-GB"/>
        </w:rPr>
        <w:t>The proposed concept of client identification of natural persons is not appropriate. It would be a completely new procedure, which is not in line with the identification duties in accordance with the Third Anti-Money Laundering Directive (2005/60/EC; AMLD). The national requirements and guidelines by the NCAs contain detailed provisions how clients must be identified in accordance with Article 8 (1) a) AMLD.</w:t>
      </w:r>
      <w:r>
        <w:rPr>
          <w:lang w:bidi="en-GB"/>
        </w:rPr>
        <w:t xml:space="preserve"> </w:t>
      </w:r>
      <w:r w:rsidRPr="007F221F">
        <w:rPr>
          <w:lang w:bidi="en-GB"/>
        </w:rPr>
        <w:t xml:space="preserve">Since clients are under no obligation to provide more extensive cooperation, they are free to present an identity card </w:t>
      </w:r>
      <w:r w:rsidRPr="007F221F">
        <w:rPr>
          <w:b/>
          <w:lang w:bidi="en-GB"/>
        </w:rPr>
        <w:t xml:space="preserve">or </w:t>
      </w:r>
      <w:r w:rsidRPr="007F221F">
        <w:rPr>
          <w:lang w:bidi="en-GB"/>
        </w:rPr>
        <w:t>another identity document recognised for AML purposes to the investment firm. To the extent that Annex II, Table 1 provides for a priority among different identification documents (cf. CZ, DE, DK, FI, FR, LT, LU, NL, NO, RO, SE, SK), such prioritisation, therefore, will not work in practice.</w:t>
      </w:r>
    </w:p>
    <w:p w:rsidR="007F221F" w:rsidRDefault="007F221F" w:rsidP="007F221F">
      <w:pPr>
        <w:keepNext/>
        <w:rPr>
          <w:lang w:bidi="en-GB"/>
        </w:rPr>
      </w:pPr>
    </w:p>
    <w:p w:rsidR="007F221F" w:rsidRPr="007F221F" w:rsidRDefault="007F221F" w:rsidP="007F221F">
      <w:pPr>
        <w:keepNext/>
        <w:rPr>
          <w:lang w:bidi="en-GB"/>
        </w:rPr>
      </w:pPr>
      <w:r w:rsidRPr="007F221F">
        <w:rPr>
          <w:lang w:bidi="en-GB"/>
        </w:rPr>
        <w:t xml:space="preserve">Moreover, especially for "all other countries" it is questionable whether the respective "national passport" would allow for a unique or accurate identification. For instance, it is questionable whether such documents always constitute an official photo ID. Furthermore, it is likely that they are issued only in the language of the respective country, </w:t>
      </w:r>
      <w:proofErr w:type="spellStart"/>
      <w:r w:rsidRPr="007F221F">
        <w:rPr>
          <w:lang w:bidi="en-GB"/>
        </w:rPr>
        <w:t>i.e</w:t>
      </w:r>
      <w:proofErr w:type="spellEnd"/>
      <w:r w:rsidRPr="007F221F">
        <w:rPr>
          <w:lang w:bidi="en-GB"/>
        </w:rPr>
        <w:t xml:space="preserve"> not also in English. Consequently, when a "national passport" is insufficient for identifying clients for AML purposes, "CONCAT" would have to apply as a </w:t>
      </w:r>
      <w:r w:rsidR="0097597E" w:rsidRPr="007F221F">
        <w:rPr>
          <w:lang w:bidi="en-GB"/>
        </w:rPr>
        <w:t>fall-back</w:t>
      </w:r>
      <w:r w:rsidRPr="007F221F">
        <w:rPr>
          <w:lang w:bidi="en-GB"/>
        </w:rPr>
        <w:t xml:space="preserve"> solution. </w:t>
      </w:r>
    </w:p>
    <w:p w:rsidR="007F221F" w:rsidRDefault="007F221F" w:rsidP="007F221F">
      <w:pPr>
        <w:keepNext/>
      </w:pPr>
    </w:p>
    <w:p w:rsidR="007F221F" w:rsidRPr="007F221F" w:rsidRDefault="007F221F" w:rsidP="007F221F">
      <w:pPr>
        <w:keepNext/>
        <w:rPr>
          <w:lang w:bidi="en-GB"/>
        </w:rPr>
      </w:pPr>
      <w:r w:rsidRPr="007F221F">
        <w:rPr>
          <w:lang w:bidi="en-GB"/>
        </w:rPr>
        <w:t>The same applies to UK and GR: for these countries, Annex II, Table 1 provides for the national insurance number (UK) or the 10-digit DSS investor share (GR) to be used as first priority. However, to date there has been no requirement (neither on European nor national level) to ask a client for such identification numbers, nor is there any duty upon clients to cooperate. Furthermore, it appears questionable whether these numbers would permit a unique or accurate identification.</w:t>
      </w:r>
      <w:r>
        <w:rPr>
          <w:lang w:bidi="en-GB"/>
        </w:rPr>
        <w:t xml:space="preserve"> </w:t>
      </w:r>
      <w:r w:rsidRPr="007F221F">
        <w:rPr>
          <w:lang w:bidi="en-GB"/>
        </w:rPr>
        <w:t xml:space="preserve">Since clients are not obliged to present national identity cards (prescribed as a second priority), as outlined above, again "CONCAT" would have to apply as a </w:t>
      </w:r>
      <w:r w:rsidR="0097597E" w:rsidRPr="007F221F">
        <w:rPr>
          <w:lang w:bidi="en-GB"/>
        </w:rPr>
        <w:t>fall-back</w:t>
      </w:r>
      <w:r w:rsidRPr="007F221F">
        <w:rPr>
          <w:lang w:bidi="en-GB"/>
        </w:rPr>
        <w:t xml:space="preserve"> solutions in these cases for UK and GR. </w:t>
      </w:r>
    </w:p>
    <w:p w:rsidR="007F221F" w:rsidRDefault="007F221F" w:rsidP="007F221F">
      <w:pPr>
        <w:keepNext/>
        <w:rPr>
          <w:lang w:bidi="en-GB"/>
        </w:rPr>
      </w:pPr>
    </w:p>
    <w:p w:rsidR="007F221F" w:rsidRPr="007F221F" w:rsidRDefault="007F221F" w:rsidP="007F221F">
      <w:pPr>
        <w:keepNext/>
        <w:rPr>
          <w:lang w:bidi="en-GB"/>
        </w:rPr>
      </w:pPr>
      <w:r w:rsidRPr="007F221F">
        <w:rPr>
          <w:lang w:bidi="en-GB"/>
        </w:rPr>
        <w:t>To the extent that Annex II, Table 1 requires (national) tax identification numbers (first priority for ES, IT and PT; second priority for PL), it is impossible to identify clients on the basis of these numbers alone, thus requiring additional identification – which, in practice, is carried out in line with AML identification requirements. Furthermore, the tax identification number must be requested from clients only for contractual relationships established after 1 January 2004. Therefore, for the vast majority of existing clients the national tax identification number is not avai</w:t>
      </w:r>
      <w:r w:rsidR="0097597E">
        <w:rPr>
          <w:lang w:bidi="en-GB"/>
        </w:rPr>
        <w:t>la</w:t>
      </w:r>
      <w:r w:rsidRPr="007F221F">
        <w:rPr>
          <w:lang w:bidi="en-GB"/>
        </w:rPr>
        <w:t xml:space="preserve">ble. But in all these cases, the client has been identified according AML identification requirements. Thus, it would be appropriate to resort to AML identification </w:t>
      </w:r>
      <w:r w:rsidRPr="007F221F">
        <w:rPr>
          <w:lang w:bidi="en-GB"/>
        </w:rPr>
        <w:lastRenderedPageBreak/>
        <w:t xml:space="preserve">duties only. Furthermore, also in all these cases a </w:t>
      </w:r>
      <w:r w:rsidR="0097597E" w:rsidRPr="007F221F">
        <w:rPr>
          <w:lang w:bidi="en-GB"/>
        </w:rPr>
        <w:t>fall-back</w:t>
      </w:r>
      <w:r w:rsidRPr="007F221F">
        <w:rPr>
          <w:lang w:bidi="en-GB"/>
        </w:rPr>
        <w:t xml:space="preserve"> option ("CONCAT") is required; this is lacking in ES, IT and PL so far.  </w:t>
      </w:r>
    </w:p>
    <w:p w:rsidR="007F221F" w:rsidRPr="007F221F" w:rsidRDefault="007F221F" w:rsidP="007F221F">
      <w:pPr>
        <w:keepNext/>
        <w:rPr>
          <w:lang w:bidi="en-GB"/>
        </w:rPr>
      </w:pPr>
      <w:r w:rsidRPr="007F221F">
        <w:rPr>
          <w:lang w:bidi="en-GB"/>
        </w:rPr>
        <w:t xml:space="preserve">Due to the reasons set out above, the planned procedure for identifying natural persons is not appropriate. Moreover, it would be disproportional to introduce an additional complex and at the same time insufficient identification procedure – besides the already existing, very complex AML identification requirements. In order to obtain the intended synchronisation of </w:t>
      </w:r>
      <w:proofErr w:type="gramStart"/>
      <w:r w:rsidRPr="007F221F">
        <w:rPr>
          <w:lang w:bidi="en-GB"/>
        </w:rPr>
        <w:t>clients</w:t>
      </w:r>
      <w:proofErr w:type="gramEnd"/>
      <w:r w:rsidRPr="007F221F">
        <w:rPr>
          <w:lang w:bidi="en-GB"/>
        </w:rPr>
        <w:t xml:space="preserve"> identification and having in mind that no priority between the </w:t>
      </w:r>
      <w:r w:rsidR="0097597E" w:rsidRPr="007F221F">
        <w:rPr>
          <w:lang w:bidi="en-GB"/>
        </w:rPr>
        <w:t>passports</w:t>
      </w:r>
      <w:r w:rsidRPr="007F221F">
        <w:rPr>
          <w:lang w:bidi="en-GB"/>
        </w:rPr>
        <w:t xml:space="preserve"> in line with the AML requirements exists, the EAPB proposes to exclusively use "CONCAT" for client identification of natural persons, with a country code added.  </w:t>
      </w:r>
    </w:p>
    <w:p w:rsidR="007F221F" w:rsidRPr="007F221F" w:rsidRDefault="007F221F" w:rsidP="007F221F">
      <w:pPr>
        <w:keepNext/>
        <w:rPr>
          <w:lang w:bidi="en-GB"/>
        </w:rPr>
      </w:pPr>
      <w:r w:rsidRPr="007F221F">
        <w:rPr>
          <w:lang w:bidi="en-GB"/>
        </w:rPr>
        <w:t xml:space="preserve">To the extent that ESMA requires "additional information regarding the identity of the client" on top of the "client designation", there is no basis for this in Level 1. Article 26 (3) </w:t>
      </w:r>
      <w:proofErr w:type="spellStart"/>
      <w:r w:rsidRPr="007F221F">
        <w:rPr>
          <w:lang w:bidi="en-GB"/>
        </w:rPr>
        <w:t>MiFIR</w:t>
      </w:r>
      <w:proofErr w:type="spellEnd"/>
      <w:r w:rsidRPr="007F221F">
        <w:rPr>
          <w:lang w:bidi="en-GB"/>
        </w:rPr>
        <w:t xml:space="preserve"> only requires "a designation to identify the clients...", but does not require additional information concerning the client's identity. To the extent that the authorisation to specify Level 1 also requires “details of the </w:t>
      </w:r>
      <w:proofErr w:type="spellStart"/>
      <w:r w:rsidRPr="007F221F">
        <w:rPr>
          <w:lang w:bidi="en-GB"/>
        </w:rPr>
        <w:t>the</w:t>
      </w:r>
      <w:proofErr w:type="spellEnd"/>
      <w:r w:rsidRPr="007F221F">
        <w:rPr>
          <w:lang w:bidi="en-GB"/>
        </w:rPr>
        <w:t xml:space="preserve"> identity of the client”, this is likely to be an </w:t>
      </w:r>
      <w:r w:rsidR="0097597E" w:rsidRPr="007F221F">
        <w:rPr>
          <w:lang w:bidi="en-GB"/>
        </w:rPr>
        <w:t>editorial</w:t>
      </w:r>
      <w:r w:rsidRPr="007F221F">
        <w:rPr>
          <w:lang w:bidi="en-GB"/>
        </w:rPr>
        <w:t xml:space="preserve"> mistake.  In any event, the authorisation to specify Level 1 cannot go </w:t>
      </w:r>
      <w:r w:rsidR="0097597E" w:rsidRPr="007F221F">
        <w:rPr>
          <w:lang w:bidi="en-GB"/>
        </w:rPr>
        <w:t>beyond</w:t>
      </w:r>
      <w:r w:rsidRPr="007F221F">
        <w:rPr>
          <w:lang w:bidi="en-GB"/>
        </w:rPr>
        <w:t xml:space="preserve"> </w:t>
      </w:r>
      <w:r w:rsidR="0097597E" w:rsidRPr="007F221F">
        <w:rPr>
          <w:lang w:bidi="en-GB"/>
        </w:rPr>
        <w:t>the Level</w:t>
      </w:r>
      <w:r w:rsidRPr="007F221F">
        <w:rPr>
          <w:lang w:bidi="en-GB"/>
        </w:rPr>
        <w:t xml:space="preserve"> 1 requirements themselves. Furthermore, such additional information – on top of client identification – would be disproportional, since it would fail to provide any added value for the automated reconciliation of transactions by the NCAs. Such information would also be disproportional, due to the fact that suspicious transactions are absolute exceptions. Consequently, as a less severe means, the NCA could request supplementary information about the client and/or the transaction, in line with current practice. Because of the </w:t>
      </w:r>
      <w:r w:rsidR="0097597E" w:rsidRPr="007F221F">
        <w:rPr>
          <w:lang w:bidi="en-GB"/>
        </w:rPr>
        <w:t>disproportionality</w:t>
      </w:r>
      <w:r w:rsidRPr="007F221F">
        <w:rPr>
          <w:lang w:bidi="en-GB"/>
        </w:rPr>
        <w:t>, requiring additional information about the client, besides client identification, also lacks the necessary justification under data protection law. Therefore, the EAPB demands that the requirement to obtain additional information about the client be deleted.</w:t>
      </w:r>
    </w:p>
    <w:p w:rsidR="007F221F" w:rsidRPr="007F221F" w:rsidRDefault="007F221F" w:rsidP="007F221F">
      <w:pPr>
        <w:keepNext/>
        <w:rPr>
          <w:lang w:bidi="en-GB"/>
        </w:rPr>
      </w:pPr>
    </w:p>
    <w:p w:rsidR="007F221F" w:rsidRPr="007F221F" w:rsidRDefault="007F221F" w:rsidP="007F221F">
      <w:pPr>
        <w:keepNext/>
        <w:rPr>
          <w:lang w:bidi="en-GB"/>
        </w:rPr>
      </w:pPr>
      <w:r w:rsidRPr="007F221F">
        <w:rPr>
          <w:lang w:bidi="en-GB"/>
        </w:rPr>
        <w:t xml:space="preserve">Due to the reasons set out above, Level 1 of </w:t>
      </w:r>
      <w:proofErr w:type="spellStart"/>
      <w:r w:rsidRPr="007F221F">
        <w:rPr>
          <w:lang w:bidi="en-GB"/>
        </w:rPr>
        <w:t>MiFIR</w:t>
      </w:r>
      <w:proofErr w:type="spellEnd"/>
      <w:r w:rsidRPr="007F221F">
        <w:rPr>
          <w:lang w:bidi="en-GB"/>
        </w:rPr>
        <w:t xml:space="preserve"> does not provide the basis for fields 14 to 19 and 29 to 34 (decision-makers). Article 26 (3) </w:t>
      </w:r>
      <w:proofErr w:type="spellStart"/>
      <w:r w:rsidRPr="007F221F">
        <w:rPr>
          <w:lang w:bidi="en-GB"/>
        </w:rPr>
        <w:t>MiFIR</w:t>
      </w:r>
      <w:proofErr w:type="spellEnd"/>
      <w:r w:rsidRPr="007F221F">
        <w:rPr>
          <w:lang w:bidi="en-GB"/>
        </w:rPr>
        <w:t xml:space="preserve"> merely requires "a designation of the clients </w:t>
      </w:r>
      <w:r w:rsidRPr="007F221F">
        <w:rPr>
          <w:b/>
          <w:lang w:bidi="en-GB"/>
        </w:rPr>
        <w:t>on whose behalf the investment firm executed that transaction</w:t>
      </w:r>
      <w:proofErr w:type="gramStart"/>
      <w:r w:rsidRPr="007F221F">
        <w:rPr>
          <w:lang w:bidi="en-GB"/>
        </w:rPr>
        <w:t>“ (</w:t>
      </w:r>
      <w:proofErr w:type="gramEnd"/>
      <w:r w:rsidRPr="007F221F">
        <w:rPr>
          <w:lang w:bidi="en-GB"/>
        </w:rPr>
        <w:t xml:space="preserve">highlights made by the authors of this statement) – not of the client who placed the order. The authorisation in Article 26 (9) (c) </w:t>
      </w:r>
      <w:proofErr w:type="spellStart"/>
      <w:r w:rsidRPr="007F221F">
        <w:rPr>
          <w:lang w:bidi="en-GB"/>
        </w:rPr>
        <w:t>MiFIR</w:t>
      </w:r>
      <w:proofErr w:type="spellEnd"/>
      <w:r w:rsidRPr="007F221F">
        <w:rPr>
          <w:lang w:bidi="en-GB"/>
        </w:rPr>
        <w:t xml:space="preserve"> also contains a corresponding restriction. Accordingly, fields 14 and 29, which require a designation of the client, are not covered by Level 1. Likewise, supplementary client details (fields 15 to 19 and 20 to 34) are without legal basis, since "decision-makers" are not mentioned in Article 26 (3) </w:t>
      </w:r>
      <w:proofErr w:type="gramStart"/>
      <w:r w:rsidRPr="007F221F">
        <w:rPr>
          <w:lang w:bidi="en-GB"/>
        </w:rPr>
        <w:t>nor</w:t>
      </w:r>
      <w:proofErr w:type="gramEnd"/>
      <w:r w:rsidRPr="007F221F">
        <w:rPr>
          <w:lang w:bidi="en-GB"/>
        </w:rPr>
        <w:t xml:space="preserve"> in Article 26 (9) (c) </w:t>
      </w:r>
      <w:proofErr w:type="spellStart"/>
      <w:r w:rsidRPr="007F221F">
        <w:rPr>
          <w:lang w:bidi="en-GB"/>
        </w:rPr>
        <w:t>MiFIR</w:t>
      </w:r>
      <w:proofErr w:type="spellEnd"/>
      <w:r w:rsidRPr="007F221F">
        <w:rPr>
          <w:lang w:bidi="en-GB"/>
        </w:rPr>
        <w:t xml:space="preserve">. Therefore, the EAPB demands the waiving of fields 14 to 19, and 29 to 34.  </w:t>
      </w:r>
    </w:p>
    <w:p w:rsidR="007F221F" w:rsidRPr="007F221F" w:rsidRDefault="007F221F" w:rsidP="007F221F">
      <w:pPr>
        <w:keepNext/>
        <w:rPr>
          <w:lang w:bidi="en-GB"/>
        </w:rPr>
      </w:pPr>
    </w:p>
    <w:p w:rsidR="007F221F" w:rsidRDefault="007F221F" w:rsidP="007F221F">
      <w:pPr>
        <w:keepNext/>
      </w:pPr>
      <w:r w:rsidRPr="007F221F">
        <w:rPr>
          <w:lang w:bidi="en-GB"/>
        </w:rPr>
        <w:t xml:space="preserve">Regarding the issue of identification on the basis </w:t>
      </w:r>
      <w:proofErr w:type="gramStart"/>
      <w:r w:rsidRPr="007F221F">
        <w:rPr>
          <w:lang w:bidi="en-GB"/>
        </w:rPr>
        <w:t>of an LEI</w:t>
      </w:r>
      <w:proofErr w:type="gramEnd"/>
      <w:r w:rsidRPr="007F221F">
        <w:rPr>
          <w:lang w:bidi="en-GB"/>
        </w:rPr>
        <w:t>, the EAPB refers to its response to Q224.</w:t>
      </w:r>
    </w:p>
    <w:permEnd w:id="629677728"/>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914376662" w:edGrp="everyone"/>
      <w:r>
        <w:t>TYPE YOUR TEXT HERE</w:t>
      </w:r>
    </w:p>
    <w:permEnd w:id="1914376662"/>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090009620" w:edGrp="everyone"/>
      <w:r>
        <w:t>TYPE YOUR TEXT HERE</w:t>
      </w:r>
    </w:p>
    <w:permEnd w:id="109000962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667055095" w:edGrp="everyone"/>
      <w:r>
        <w:t>TYPE YOUR TEXT HERE</w:t>
      </w:r>
    </w:p>
    <w:permEnd w:id="166705509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309019098" w:edGrp="everyone"/>
      <w:r>
        <w:t>TYPE YOUR TEXT HERE</w:t>
      </w:r>
    </w:p>
    <w:permEnd w:id="30901909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405485485" w:edGrp="everyone"/>
      <w:r>
        <w:t>TYPE YOUR TEXT HERE</w:t>
      </w:r>
    </w:p>
    <w:permEnd w:id="40548548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668770278" w:edGrp="everyone"/>
      <w:r>
        <w:t>TYPE YOUR TEXT HERE</w:t>
      </w:r>
    </w:p>
    <w:permEnd w:id="1668770278"/>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081686827" w:edGrp="everyone"/>
      <w:r>
        <w:t>TYPE YOUR TEXT HERE</w:t>
      </w:r>
    </w:p>
    <w:permEnd w:id="2081686827"/>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633034598" w:edGrp="everyone"/>
      <w:r>
        <w:t>TYPE YOUR TEXT HERE</w:t>
      </w:r>
    </w:p>
    <w:permEnd w:id="63303459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431045863" w:edGrp="everyone"/>
      <w:r>
        <w:t>TYPE YOUR TEXT HERE</w:t>
      </w:r>
    </w:p>
    <w:permEnd w:id="43104586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446134186" w:edGrp="everyone"/>
      <w:r>
        <w:t>TYPE YOUR TEXT HERE</w:t>
      </w:r>
    </w:p>
    <w:permEnd w:id="1446134186"/>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71961523" w:edGrp="everyone"/>
      <w:r>
        <w:t>TYPE YOUR TEXT HERE</w:t>
      </w:r>
    </w:p>
    <w:permEnd w:id="71961523"/>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585187729" w:edGrp="everyone"/>
      <w:r>
        <w:t>TYPE YOUR TEXT HERE</w:t>
      </w:r>
    </w:p>
    <w:permEnd w:id="58518772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77494055" w:edGrp="everyone"/>
      <w:r>
        <w:t>TYPE YOUR TEXT HERE</w:t>
      </w:r>
    </w:p>
    <w:permEnd w:id="177494055"/>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CF1632" w:rsidP="00EC2C93">
      <w:pPr>
        <w:keepNext/>
      </w:pPr>
      <w:permStart w:id="1776948020" w:edGrp="everyone"/>
      <w:r>
        <w:t>Yes.</w:t>
      </w:r>
    </w:p>
    <w:permEnd w:id="1776948020"/>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9D41F0" w:rsidRPr="009D41F0" w:rsidRDefault="009D41F0" w:rsidP="009D41F0">
      <w:pPr>
        <w:keepNext/>
        <w:rPr>
          <w:lang w:bidi="en-GB"/>
        </w:rPr>
      </w:pPr>
      <w:permStart w:id="428571640" w:edGrp="everyone"/>
      <w:r w:rsidRPr="009D41F0">
        <w:rPr>
          <w:lang w:bidi="en-GB"/>
        </w:rPr>
        <w:t xml:space="preserve">No. The EAPB indeed welcomes that ESMA no longer proposes a general requirement to convert systems to a one-microsecond standard. However, the link chosen in Article 3 (4) Draft RTS 36 ("the same time accuracy applied by the trading venue, one is member or participant of, or in the case of membership or participation of multiple trading venues, the same time accuracy to the most accurate trading venue of which one is a member or participant") is not appropriate, at least as far as the granularity of time is concerned. ESMA recognises that such requirement might be disproportionate for participants and members that do not engage in high-frequency algorithmic trading techniques or more broadly operate at a high latency (cf. No. 18 of the ESMA consultation paper). </w:t>
      </w:r>
    </w:p>
    <w:p w:rsidR="009D41F0" w:rsidRPr="009D41F0" w:rsidRDefault="009D41F0" w:rsidP="009D41F0">
      <w:pPr>
        <w:keepNext/>
        <w:rPr>
          <w:lang w:bidi="en-GB"/>
        </w:rPr>
      </w:pPr>
      <w:r w:rsidRPr="009D41F0">
        <w:rPr>
          <w:lang w:bidi="en-GB"/>
        </w:rPr>
        <w:t xml:space="preserve">The EAPB expressly supports this assessment by ESMA. Admission to a trading venue is not an appropriate criterion. The decision to seek admission is based on quite different aspects – such as the ability to act as a trading participant, to execute client orders, or to be able to offer own issued financial instruments via a trading venue. Also, trading venues have different trading systems, which members or participants of a trading venue do not necessarily use (all). </w:t>
      </w:r>
    </w:p>
    <w:p w:rsidR="009D41F0" w:rsidRPr="009D41F0" w:rsidRDefault="009D41F0" w:rsidP="009D41F0">
      <w:pPr>
        <w:keepNext/>
        <w:rPr>
          <w:lang w:bidi="en-GB"/>
        </w:rPr>
      </w:pPr>
      <w:r w:rsidRPr="009D41F0">
        <w:rPr>
          <w:lang w:bidi="en-GB"/>
        </w:rPr>
        <w:t xml:space="preserve">Therefore, the only suitable criterion for defining the degree of timing precision is whether the member or participant is engaged in high-frequency algorithmic trading ("HFAT"). Pursuant to </w:t>
      </w:r>
      <w:r w:rsidRPr="009D41F0">
        <w:rPr>
          <w:lang w:bidi="en-GB"/>
        </w:rPr>
        <w:lastRenderedPageBreak/>
        <w:t xml:space="preserve">Article 17 (2) No. 2 of </w:t>
      </w:r>
      <w:proofErr w:type="spellStart"/>
      <w:r w:rsidRPr="009D41F0">
        <w:rPr>
          <w:lang w:bidi="en-GB"/>
        </w:rPr>
        <w:t>MiFID</w:t>
      </w:r>
      <w:proofErr w:type="spellEnd"/>
      <w:r w:rsidRPr="009D41F0">
        <w:rPr>
          <w:lang w:bidi="en-GB"/>
        </w:rPr>
        <w:t xml:space="preserve"> II, NCAs must be notified of such activities. Only in this case, it is appropriate to require synchronisation of the member's/participant's clock time with the clock time set by the respective trading venue. If Article 3 (4) Draft RTS 36 were to be maintained, this would raise the risk that numerous members/participants will withdraw their admission to a trading venue, since the 'price' for admission would be too high, given the clock synchronisation requirements. As a consequence, such withdrawals might maker client order business more expensive since it would then be executed via brokers – i.e. the intermediary chain would be extended.  </w:t>
      </w:r>
    </w:p>
    <w:p w:rsidR="009D41F0" w:rsidRPr="009D41F0" w:rsidRDefault="009D41F0" w:rsidP="009D41F0">
      <w:pPr>
        <w:keepNext/>
        <w:rPr>
          <w:lang w:bidi="en-GB"/>
        </w:rPr>
      </w:pPr>
      <w:r w:rsidRPr="009D41F0">
        <w:rPr>
          <w:lang w:bidi="en-GB"/>
        </w:rPr>
        <w:t>In our opinion, there is no need to harmonise business clocks of Non-HFATs. Systems that are able to react within a fraction of a second of order entry and lifetime of the orders within that timeframe do not exist outside HFAT. With respect of voice trading, even a synchronisation down to one second is not necessary. For reasons of proportionality, the maximum degree of synchronisation for Non-HFATs should be limited to 1/100th of a second at least.</w:t>
      </w:r>
    </w:p>
    <w:p w:rsidR="009D41F0" w:rsidRPr="009D41F0" w:rsidRDefault="009D41F0" w:rsidP="009D41F0">
      <w:pPr>
        <w:keepNext/>
        <w:rPr>
          <w:lang w:bidi="en-GB"/>
        </w:rPr>
      </w:pPr>
      <w:r w:rsidRPr="009D41F0">
        <w:rPr>
          <w:lang w:bidi="en-GB"/>
        </w:rPr>
        <w:t xml:space="preserve">The EAPB heavily criticises that the scope of application is not set to be exhaustive (refer to Article 2 (2) Draft RTS 36: "....shall include but shall not be limited to the following: …”). The scope of application must be finalised on Levels 1 and 2 – a mandate to provide for further scenarios on Level 3, </w:t>
      </w:r>
      <w:proofErr w:type="spellStart"/>
      <w:r w:rsidRPr="009D41F0">
        <w:rPr>
          <w:lang w:bidi="en-GB"/>
        </w:rPr>
        <w:t>i</w:t>
      </w:r>
      <w:proofErr w:type="spellEnd"/>
      <w:r w:rsidRPr="009D41F0">
        <w:rPr>
          <w:lang w:bidi="en-GB"/>
        </w:rPr>
        <w:t>. e. via guidelines, would not be appropriate.</w:t>
      </w:r>
    </w:p>
    <w:permEnd w:id="428571640"/>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9D41F0" w:rsidRPr="009D41F0" w:rsidRDefault="009D41F0" w:rsidP="009D41F0">
      <w:pPr>
        <w:keepNext/>
        <w:rPr>
          <w:lang w:val="en-US"/>
        </w:rPr>
      </w:pPr>
      <w:permStart w:id="56170393" w:edGrp="everyone"/>
      <w:r w:rsidRPr="009D41F0">
        <w:rPr>
          <w:lang w:val="en-US"/>
        </w:rPr>
        <w:t>Our comments to Q 233 shall apply accordingly, i.e. this requirement should only apply if the member/participant of a trading venue is engaged in HFAT.</w:t>
      </w:r>
    </w:p>
    <w:permEnd w:id="5617039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742677353" w:edGrp="everyone"/>
      <w:r>
        <w:t>TYPE YOUR TEXT HERE</w:t>
      </w:r>
    </w:p>
    <w:permEnd w:id="1742677353"/>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633559439" w:edGrp="everyone"/>
      <w:r>
        <w:t>TYPE YOUR TEXT HERE</w:t>
      </w:r>
    </w:p>
    <w:permEnd w:id="1633559439"/>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lastRenderedPageBreak/>
        <w:t>&lt;ESMA_QUESTION_CP_MIFID_237&gt;</w:t>
      </w:r>
    </w:p>
    <w:p w:rsidR="00577C33" w:rsidRDefault="00577C33" w:rsidP="00EC2C93">
      <w:pPr>
        <w:keepNext/>
      </w:pPr>
      <w:permStart w:id="1311707518" w:edGrp="everyone"/>
      <w:r>
        <w:t>TYPE YOUR TEXT HERE</w:t>
      </w:r>
    </w:p>
    <w:permEnd w:id="1311707518"/>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607804588" w:edGrp="everyone"/>
      <w:r>
        <w:t>TYPE YOUR TEXT HERE</w:t>
      </w:r>
    </w:p>
    <w:permEnd w:id="160780458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122F4A" w:rsidRPr="00122F4A" w:rsidRDefault="00122F4A" w:rsidP="00122F4A">
      <w:pPr>
        <w:keepNext/>
        <w:rPr>
          <w:lang w:bidi="en-GB"/>
        </w:rPr>
      </w:pPr>
      <w:permStart w:id="369440127" w:edGrp="everyone"/>
      <w:r w:rsidRPr="00122F4A">
        <w:rPr>
          <w:lang w:bidi="en-GB"/>
        </w:rPr>
        <w:t>CCPs do not provide for limits for their clients, however, clients may deposit additional collateral with a CCP on a voluntary basis (recommended in case of segregate accounts). Under current practices, CCPs would inform their clients if additional collateral would be required for a specific transaction; the client would then post such additional collateral on an intraday basis. It is common practice of CCPs to perform several intraday checks as to which clients are required to post additional collateral.</w:t>
      </w:r>
    </w:p>
    <w:p w:rsidR="00577C33" w:rsidRDefault="00122F4A" w:rsidP="00EC2C93">
      <w:pPr>
        <w:keepNext/>
        <w:rPr>
          <w:lang w:bidi="en-GB"/>
        </w:rPr>
      </w:pPr>
      <w:r w:rsidRPr="00122F4A">
        <w:rPr>
          <w:lang w:bidi="en-GB"/>
        </w:rPr>
        <w:t>In cases of intermediated clearing using a clearing broker, it is not clear how a pre-trade check could be performed. It is current practice that clients of clearing brokers will post a collateral buffer with the broker, but not with the CCP. Nevertheless, we think that certain pre-checks may be useful. Not only the clients’ credit limits should be checked by the trading venue, but the limit of the clearing broker itself as well. Furthermore, it would be advisable to check the counterparty (including counterparty limit and contractual agreements like execution agreement). Finally, as long as there is no interoperability between CCPs, the trading venue should check which CCP should clear the transaction.</w:t>
      </w:r>
    </w:p>
    <w:permEnd w:id="36944012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29468387" w:edGrp="everyone"/>
      <w:r>
        <w:t>TYPE YOUR TEXT HERE</w:t>
      </w:r>
    </w:p>
    <w:permEnd w:id="229468387"/>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77352424" w:edGrp="everyone"/>
      <w:r>
        <w:t>TYPE YOUR TEXT HERE</w:t>
      </w:r>
    </w:p>
    <w:permEnd w:id="7735242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772881168" w:edGrp="everyone"/>
      <w:r>
        <w:t>TYPE YOUR TEXT HERE</w:t>
      </w:r>
    </w:p>
    <w:permEnd w:id="1772881168"/>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708541682" w:edGrp="everyone"/>
      <w:r>
        <w:t>TYPE YOUR TEXT HERE</w:t>
      </w:r>
    </w:p>
    <w:permEnd w:id="1708541682"/>
    <w:p w:rsidR="00577C33" w:rsidRDefault="00577C33" w:rsidP="00EC2C93">
      <w:pPr>
        <w:keepNext/>
      </w:pPr>
      <w:r>
        <w:t>&lt;ESMA_QUESTION_CP_MIFID_243&gt;</w:t>
      </w:r>
    </w:p>
    <w:p w:rsidR="00577C33" w:rsidRDefault="00577C33" w:rsidP="0006528D">
      <w:pPr>
        <w:pStyle w:val="CPQuestions"/>
      </w:pPr>
      <w:r>
        <w:t xml:space="preserve">Do you agree with the proposed draft RTS? Do you believe it addresses the stakeholders concerns on the lack of indirect clearing services offering? If not, please </w:t>
      </w:r>
      <w:r>
        <w:lastRenderedPageBreak/>
        <w:t>provide detailed explanations on the reasons why a particular provision would limit such a development as well as possible alternatives.</w:t>
      </w:r>
    </w:p>
    <w:p w:rsidR="00577C33" w:rsidRDefault="00577C33" w:rsidP="00EC2C93">
      <w:pPr>
        <w:keepNext/>
      </w:pPr>
      <w:r>
        <w:t>&lt;ESMA_QUESTION_CP_MIFID_244&gt;</w:t>
      </w:r>
    </w:p>
    <w:p w:rsidR="009C67CC" w:rsidRPr="009C67CC" w:rsidRDefault="009C67CC" w:rsidP="009C67CC">
      <w:pPr>
        <w:keepNext/>
        <w:rPr>
          <w:lang w:bidi="en-GB"/>
        </w:rPr>
      </w:pPr>
      <w:permStart w:id="598612356" w:edGrp="everyone"/>
      <w:r w:rsidRPr="009C67CC">
        <w:rPr>
          <w:lang w:bidi="en-GB"/>
        </w:rPr>
        <w:t xml:space="preserve">No. The EAPB agrees that deleting the requirement of portability addresses one major concern of market participants with respect to indirect clearing. </w:t>
      </w:r>
    </w:p>
    <w:p w:rsidR="009C67CC" w:rsidRPr="009C67CC" w:rsidRDefault="009C67CC" w:rsidP="009C67CC">
      <w:pPr>
        <w:keepNext/>
        <w:rPr>
          <w:lang w:bidi="en-GB"/>
        </w:rPr>
      </w:pPr>
      <w:r w:rsidRPr="009C67CC">
        <w:rPr>
          <w:lang w:bidi="en-GB"/>
        </w:rPr>
        <w:t>Furthermore, we believe that the proposed RTS leaves uncertainty on a particular question which is of major importance for market participants.</w:t>
      </w:r>
    </w:p>
    <w:p w:rsidR="009C67CC" w:rsidRPr="009C67CC" w:rsidRDefault="009C67CC" w:rsidP="009C67CC">
      <w:pPr>
        <w:keepNext/>
        <w:rPr>
          <w:lang w:bidi="en-GB"/>
        </w:rPr>
      </w:pPr>
      <w:r w:rsidRPr="009C67CC">
        <w:rPr>
          <w:lang w:bidi="en-GB"/>
        </w:rPr>
        <w:t xml:space="preserve">ETD </w:t>
      </w:r>
      <w:proofErr w:type="gramStart"/>
      <w:r w:rsidRPr="009C67CC">
        <w:rPr>
          <w:lang w:bidi="en-GB"/>
        </w:rPr>
        <w:t>are</w:t>
      </w:r>
      <w:proofErr w:type="gramEnd"/>
      <w:r w:rsidRPr="009C67CC">
        <w:rPr>
          <w:lang w:bidi="en-GB"/>
        </w:rPr>
        <w:t xml:space="preserve"> usually cleared by a Central Counterparty (“CCP”). However, only a minority of market participants maintains a clearing membership with the CCP or is a client registered at a particular regulated market (“RM”). </w:t>
      </w:r>
    </w:p>
    <w:p w:rsidR="009C67CC" w:rsidRPr="009C67CC" w:rsidRDefault="009C67CC" w:rsidP="009C67CC">
      <w:pPr>
        <w:keepNext/>
        <w:rPr>
          <w:lang w:bidi="en-GB"/>
        </w:rPr>
      </w:pPr>
      <w:r w:rsidRPr="009C67CC">
        <w:rPr>
          <w:lang w:bidi="en-GB"/>
        </w:rPr>
        <w:t>Most market participants are asking a Clearing Members ("CM") to execute a certain ETD on a particular RM. The CM receives for this service an execution fee (“commission”) from the market participant who has ordered the ETD. The CCP just distinguishes between those ETD a CM maintains for its own purposes and those a CM maintains for its customers (the market participants who have ordered the ETDs). If the CCP makes a payment to the CM with respect to the ETD which is maintained with respect to a customer’s order, the CM is obliged to forward it to the relevant customer. If the CCP has a claim against the CM with respect to the ETD which is maintained with respect to a customer’s order, the relevant customer is obliged to fulfil a corresponding reimbursement claim the CM has against the customer.</w:t>
      </w:r>
    </w:p>
    <w:p w:rsidR="009C67CC" w:rsidRPr="009C67CC" w:rsidRDefault="009C67CC" w:rsidP="009C67CC">
      <w:pPr>
        <w:keepNext/>
        <w:rPr>
          <w:lang w:bidi="en-GB"/>
        </w:rPr>
      </w:pPr>
      <w:r w:rsidRPr="009C67CC">
        <w:rPr>
          <w:lang w:bidi="en-GB"/>
        </w:rPr>
        <w:t>This concept has worked for decades now and is widely appreciated and accepted and we fear that ESMA’s proposal will now have a negative impact on ETD trades in some Member States.</w:t>
      </w:r>
    </w:p>
    <w:p w:rsidR="009C67CC" w:rsidRPr="009C67CC" w:rsidRDefault="009C67CC" w:rsidP="009C67CC">
      <w:pPr>
        <w:keepNext/>
        <w:rPr>
          <w:lang w:bidi="en-GB"/>
        </w:rPr>
      </w:pPr>
      <w:r w:rsidRPr="009C67CC">
        <w:rPr>
          <w:lang w:bidi="en-GB"/>
        </w:rPr>
        <w:t xml:space="preserve">Art. </w:t>
      </w:r>
      <w:proofErr w:type="gramStart"/>
      <w:r w:rsidRPr="009C67CC">
        <w:rPr>
          <w:lang w:bidi="en-GB"/>
        </w:rPr>
        <w:t>29 para.</w:t>
      </w:r>
      <w:proofErr w:type="gramEnd"/>
      <w:r w:rsidRPr="009C67CC">
        <w:rPr>
          <w:lang w:bidi="en-GB"/>
        </w:rPr>
        <w:t xml:space="preserve"> 1 </w:t>
      </w:r>
      <w:proofErr w:type="spellStart"/>
      <w:r w:rsidRPr="009C67CC">
        <w:rPr>
          <w:lang w:bidi="en-GB"/>
        </w:rPr>
        <w:t>MiFIR</w:t>
      </w:r>
      <w:proofErr w:type="spellEnd"/>
      <w:r w:rsidRPr="009C67CC">
        <w:rPr>
          <w:lang w:bidi="en-GB"/>
        </w:rPr>
        <w:t xml:space="preserve"> creates a clearing obligation for ETD. Since it refers to the “operator” of a RM rather than Financial Counterparties and Non-Financial Counterparties above the clearing threshold, one could get the impression that Art. </w:t>
      </w:r>
      <w:proofErr w:type="gramStart"/>
      <w:r w:rsidRPr="009C67CC">
        <w:rPr>
          <w:lang w:bidi="en-GB"/>
        </w:rPr>
        <w:t>29 para.</w:t>
      </w:r>
      <w:proofErr w:type="gramEnd"/>
      <w:r w:rsidRPr="009C67CC">
        <w:rPr>
          <w:lang w:bidi="en-GB"/>
        </w:rPr>
        <w:t xml:space="preserve"> 1 </w:t>
      </w:r>
      <w:proofErr w:type="spellStart"/>
      <w:r w:rsidRPr="009C67CC">
        <w:rPr>
          <w:lang w:bidi="en-GB"/>
        </w:rPr>
        <w:t>MiFIR</w:t>
      </w:r>
      <w:proofErr w:type="spellEnd"/>
      <w:r w:rsidRPr="009C67CC">
        <w:rPr>
          <w:lang w:bidi="en-GB"/>
        </w:rPr>
        <w:t xml:space="preserve"> does only have impact on operators of a RM.</w:t>
      </w:r>
    </w:p>
    <w:p w:rsidR="009C67CC" w:rsidRPr="009C67CC" w:rsidRDefault="009C67CC" w:rsidP="009C67CC">
      <w:pPr>
        <w:keepNext/>
        <w:rPr>
          <w:lang w:bidi="en-GB"/>
        </w:rPr>
      </w:pPr>
      <w:r w:rsidRPr="009C67CC">
        <w:rPr>
          <w:lang w:bidi="en-GB"/>
        </w:rPr>
        <w:t xml:space="preserve">Unfortunately the said provision is flanked by a provision about “indirect clearing arrangements” which seem to be superfluous if Art. </w:t>
      </w:r>
      <w:proofErr w:type="gramStart"/>
      <w:r w:rsidRPr="009C67CC">
        <w:rPr>
          <w:lang w:bidi="en-GB"/>
        </w:rPr>
        <w:t>29 para.</w:t>
      </w:r>
      <w:proofErr w:type="gramEnd"/>
      <w:r w:rsidRPr="009C67CC">
        <w:rPr>
          <w:lang w:bidi="en-GB"/>
        </w:rPr>
        <w:t xml:space="preserve"> 1 </w:t>
      </w:r>
      <w:proofErr w:type="spellStart"/>
      <w:r w:rsidRPr="009C67CC">
        <w:rPr>
          <w:lang w:bidi="en-GB"/>
        </w:rPr>
        <w:t>MiFIR</w:t>
      </w:r>
      <w:proofErr w:type="spellEnd"/>
      <w:r w:rsidRPr="009C67CC">
        <w:rPr>
          <w:lang w:bidi="en-GB"/>
        </w:rPr>
        <w:t xml:space="preserve"> would only have impact on the operators of a RM. For that reason, it would really be appreciated if ESMA could clarify that Art. 30 </w:t>
      </w:r>
      <w:proofErr w:type="spellStart"/>
      <w:r w:rsidRPr="009C67CC">
        <w:rPr>
          <w:lang w:bidi="en-GB"/>
        </w:rPr>
        <w:t>MiFIR</w:t>
      </w:r>
      <w:proofErr w:type="spellEnd"/>
      <w:r w:rsidRPr="009C67CC">
        <w:rPr>
          <w:lang w:bidi="en-GB"/>
        </w:rPr>
        <w:t xml:space="preserve"> does not require indirect clearing arrangements to be put in place but leaves it up to the parties to access ETD via the existing market practice especially known as brokerage agreements and undisclosed agencies. </w:t>
      </w:r>
    </w:p>
    <w:p w:rsidR="009C67CC" w:rsidRPr="009C67CC" w:rsidRDefault="009C67CC" w:rsidP="009C67CC">
      <w:pPr>
        <w:keepNext/>
        <w:rPr>
          <w:lang w:bidi="en-GB"/>
        </w:rPr>
      </w:pPr>
      <w:r w:rsidRPr="009C67CC">
        <w:rPr>
          <w:lang w:bidi="en-GB"/>
        </w:rPr>
        <w:t>In case EMSA does not follow this argumentation, we would propose to at least introduce clearing thresholds - corresponding to the relevant EMIR provisions, in particular Delegated Regulation 149/2013, Art. 11. The thresholds could even be set higher than in said Delegated Regulation 149/2013, since the risk related to ETD is lower than with regard to OTC trades. Furthermore, in order to establish a level playing field between OTC trades and ETD, transactions entered into for hedging purposes should be exempt from the obligation to establish (indirect) clearing relationships (Art. 10 (3) EMIR).</w:t>
      </w:r>
    </w:p>
    <w:permEnd w:id="598612356"/>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9C67CC" w:rsidRPr="009C67CC" w:rsidRDefault="009C67CC" w:rsidP="009C67CC">
      <w:pPr>
        <w:keepNext/>
        <w:rPr>
          <w:lang w:bidi="en-GB"/>
        </w:rPr>
      </w:pPr>
      <w:permStart w:id="1673756262" w:edGrp="everyone"/>
      <w:r w:rsidRPr="009C67CC">
        <w:rPr>
          <w:lang w:bidi="en-GB"/>
        </w:rPr>
        <w:t>No. The EAPB doubts that the segregation of positions within one gross account as provided for in Art. 3 of Draft RTS 38 will achieve the same protection as the full segregation of accounts as provided for under EMIR. In case an indirect client fails to provide sufficient collateral, the CCP will use any collateral contained in the gross account in order to hedge its positions, irrespective of which indirect client actually provided the collateral.</w:t>
      </w:r>
    </w:p>
    <w:permEnd w:id="1673756262"/>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2C" w:rsidRDefault="00022F2C" w:rsidP="007E7997">
      <w:pPr>
        <w:spacing w:line="240" w:lineRule="auto"/>
      </w:pPr>
      <w:r>
        <w:separator/>
      </w:r>
    </w:p>
  </w:endnote>
  <w:endnote w:type="continuationSeparator" w:id="0">
    <w:p w:rsidR="00022F2C" w:rsidRDefault="00022F2C"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2C" w:rsidRDefault="00022F2C">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022F2C" w:rsidRDefault="00022F2C" w:rsidP="00375BA2">
        <w:pPr>
          <w:pStyle w:val="Fuzeile"/>
          <w:jc w:val="right"/>
        </w:pPr>
        <w:r>
          <w:fldChar w:fldCharType="begin"/>
        </w:r>
        <w:r>
          <w:instrText xml:space="preserve"> PAGE   \* MERGEFORMAT </w:instrText>
        </w:r>
        <w:r>
          <w:fldChar w:fldCharType="separate"/>
        </w:r>
        <w:r w:rsidR="00F06A5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2C" w:rsidRDefault="00022F2C" w:rsidP="007E7997">
      <w:pPr>
        <w:spacing w:line="240" w:lineRule="auto"/>
      </w:pPr>
      <w:r>
        <w:separator/>
      </w:r>
    </w:p>
  </w:footnote>
  <w:footnote w:type="continuationSeparator" w:id="0">
    <w:p w:rsidR="00022F2C" w:rsidRDefault="00022F2C" w:rsidP="007E7997">
      <w:pPr>
        <w:spacing w:line="240" w:lineRule="auto"/>
      </w:pPr>
      <w:r>
        <w:continuationSeparator/>
      </w:r>
    </w:p>
  </w:footnote>
  <w:footnote w:id="1">
    <w:p w:rsidR="00022F2C" w:rsidRPr="00AA7A30" w:rsidRDefault="00022F2C"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2C" w:rsidRDefault="00022F2C">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2C" w:rsidRDefault="00022F2C" w:rsidP="00B50534">
    <w:pPr>
      <w:pStyle w:val="Kopfzeile"/>
      <w:jc w:val="right"/>
      <w:rPr>
        <w:b/>
        <w:color w:val="FF0000"/>
      </w:rPr>
    </w:pPr>
  </w:p>
  <w:p w:rsidR="00022F2C" w:rsidRDefault="00022F2C"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022F2C" w:rsidRPr="00B50534" w:rsidRDefault="00022F2C"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2D65790"/>
    <w:multiLevelType w:val="hybridMultilevel"/>
    <w:tmpl w:val="881650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7"/>
  </w:num>
  <w:num w:numId="5">
    <w:abstractNumId w:val="14"/>
  </w:num>
  <w:num w:numId="6">
    <w:abstractNumId w:val="10"/>
  </w:num>
  <w:num w:numId="7">
    <w:abstractNumId w:val="0"/>
  </w:num>
  <w:num w:numId="8">
    <w:abstractNumId w:val="8"/>
  </w:num>
  <w:num w:numId="9">
    <w:abstractNumId w:val="5"/>
  </w:num>
  <w:num w:numId="10">
    <w:abstractNumId w:val="3"/>
  </w:num>
  <w:num w:numId="11">
    <w:abstractNumId w:val="15"/>
  </w:num>
  <w:num w:numId="12">
    <w:abstractNumId w:val="9"/>
  </w:num>
  <w:num w:numId="13">
    <w:abstractNumId w:val="17"/>
  </w:num>
  <w:num w:numId="14">
    <w:abstractNumId w:val="11"/>
  </w:num>
  <w:num w:numId="15">
    <w:abstractNumId w:val="13"/>
  </w:num>
  <w:num w:numId="16">
    <w:abstractNumId w:val="2"/>
  </w:num>
  <w:num w:numId="17">
    <w:abstractNumId w:val="20"/>
  </w:num>
  <w:num w:numId="18">
    <w:abstractNumId w:val="4"/>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22F2C"/>
    <w:rsid w:val="000372BF"/>
    <w:rsid w:val="00044C5A"/>
    <w:rsid w:val="0005509E"/>
    <w:rsid w:val="000632C2"/>
    <w:rsid w:val="0006528D"/>
    <w:rsid w:val="000932BC"/>
    <w:rsid w:val="000A3D10"/>
    <w:rsid w:val="000B5D3D"/>
    <w:rsid w:val="000C0CE0"/>
    <w:rsid w:val="000D1038"/>
    <w:rsid w:val="00122F4A"/>
    <w:rsid w:val="00130EF9"/>
    <w:rsid w:val="001319C7"/>
    <w:rsid w:val="00136584"/>
    <w:rsid w:val="00144AAD"/>
    <w:rsid w:val="0017613C"/>
    <w:rsid w:val="00192A12"/>
    <w:rsid w:val="001B1701"/>
    <w:rsid w:val="001B2151"/>
    <w:rsid w:val="001B3CFF"/>
    <w:rsid w:val="001B4996"/>
    <w:rsid w:val="001D47A5"/>
    <w:rsid w:val="001F3D9D"/>
    <w:rsid w:val="00244F38"/>
    <w:rsid w:val="002574D1"/>
    <w:rsid w:val="00287C8F"/>
    <w:rsid w:val="00296EA1"/>
    <w:rsid w:val="002A1502"/>
    <w:rsid w:val="002E1C11"/>
    <w:rsid w:val="00314117"/>
    <w:rsid w:val="00317EDF"/>
    <w:rsid w:val="003279E7"/>
    <w:rsid w:val="0033324D"/>
    <w:rsid w:val="003454ED"/>
    <w:rsid w:val="00366D42"/>
    <w:rsid w:val="00375BA2"/>
    <w:rsid w:val="0038331A"/>
    <w:rsid w:val="003C4EB5"/>
    <w:rsid w:val="003F39B1"/>
    <w:rsid w:val="00435FE9"/>
    <w:rsid w:val="00440E1B"/>
    <w:rsid w:val="00445696"/>
    <w:rsid w:val="00451456"/>
    <w:rsid w:val="004545C3"/>
    <w:rsid w:val="00455213"/>
    <w:rsid w:val="00464D91"/>
    <w:rsid w:val="00484BC5"/>
    <w:rsid w:val="00486D05"/>
    <w:rsid w:val="00487944"/>
    <w:rsid w:val="004B123F"/>
    <w:rsid w:val="004F3CD1"/>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7233D"/>
    <w:rsid w:val="006A7A10"/>
    <w:rsid w:val="006B0DA4"/>
    <w:rsid w:val="006B1B6B"/>
    <w:rsid w:val="006D48A6"/>
    <w:rsid w:val="006F53E8"/>
    <w:rsid w:val="00706072"/>
    <w:rsid w:val="00717335"/>
    <w:rsid w:val="007478B4"/>
    <w:rsid w:val="00754B57"/>
    <w:rsid w:val="00797E0C"/>
    <w:rsid w:val="007B25DF"/>
    <w:rsid w:val="007E7997"/>
    <w:rsid w:val="007F221F"/>
    <w:rsid w:val="00830D00"/>
    <w:rsid w:val="00846692"/>
    <w:rsid w:val="00867DB2"/>
    <w:rsid w:val="0089075A"/>
    <w:rsid w:val="00894CB4"/>
    <w:rsid w:val="008B4523"/>
    <w:rsid w:val="008C767A"/>
    <w:rsid w:val="008D5C28"/>
    <w:rsid w:val="009243C8"/>
    <w:rsid w:val="00940EFD"/>
    <w:rsid w:val="00957B78"/>
    <w:rsid w:val="009663D9"/>
    <w:rsid w:val="009729ED"/>
    <w:rsid w:val="0097597E"/>
    <w:rsid w:val="0099526D"/>
    <w:rsid w:val="009C67CC"/>
    <w:rsid w:val="009C7694"/>
    <w:rsid w:val="009D1615"/>
    <w:rsid w:val="009D41F0"/>
    <w:rsid w:val="009D7294"/>
    <w:rsid w:val="009E5107"/>
    <w:rsid w:val="009F6A21"/>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56CB6"/>
    <w:rsid w:val="00B655D1"/>
    <w:rsid w:val="00B7286F"/>
    <w:rsid w:val="00B91B6E"/>
    <w:rsid w:val="00B944A7"/>
    <w:rsid w:val="00BB449C"/>
    <w:rsid w:val="00BC2561"/>
    <w:rsid w:val="00BC422A"/>
    <w:rsid w:val="00BE225E"/>
    <w:rsid w:val="00BF25CD"/>
    <w:rsid w:val="00C0358F"/>
    <w:rsid w:val="00C035F1"/>
    <w:rsid w:val="00C0696A"/>
    <w:rsid w:val="00C212A5"/>
    <w:rsid w:val="00C51F32"/>
    <w:rsid w:val="00C978C6"/>
    <w:rsid w:val="00CB50EF"/>
    <w:rsid w:val="00CB791A"/>
    <w:rsid w:val="00CD47B2"/>
    <w:rsid w:val="00CE0485"/>
    <w:rsid w:val="00CE49F8"/>
    <w:rsid w:val="00CF1632"/>
    <w:rsid w:val="00D14F6A"/>
    <w:rsid w:val="00D22F2F"/>
    <w:rsid w:val="00D46275"/>
    <w:rsid w:val="00D6147C"/>
    <w:rsid w:val="00D73338"/>
    <w:rsid w:val="00D760A5"/>
    <w:rsid w:val="00D812A7"/>
    <w:rsid w:val="00D978C6"/>
    <w:rsid w:val="00DD7084"/>
    <w:rsid w:val="00DF1ED8"/>
    <w:rsid w:val="00DF3785"/>
    <w:rsid w:val="00E24D42"/>
    <w:rsid w:val="00E3456B"/>
    <w:rsid w:val="00E640E2"/>
    <w:rsid w:val="00E87DD5"/>
    <w:rsid w:val="00EA2103"/>
    <w:rsid w:val="00EC2C93"/>
    <w:rsid w:val="00EC6BD8"/>
    <w:rsid w:val="00ED74D7"/>
    <w:rsid w:val="00EF667D"/>
    <w:rsid w:val="00F06A5D"/>
    <w:rsid w:val="00F226E0"/>
    <w:rsid w:val="00F401BC"/>
    <w:rsid w:val="00F53CBE"/>
    <w:rsid w:val="00F5412D"/>
    <w:rsid w:val="00F67EBD"/>
    <w:rsid w:val="00F80FAB"/>
    <w:rsid w:val="00FB24ED"/>
    <w:rsid w:val="00FD3F60"/>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Kommentarzeichen">
    <w:name w:val="annotation reference"/>
    <w:uiPriority w:val="99"/>
    <w:semiHidden/>
    <w:unhideWhenUsed/>
    <w:rsid w:val="00E87DD5"/>
    <w:rPr>
      <w:sz w:val="16"/>
      <w:szCs w:val="16"/>
    </w:rPr>
  </w:style>
  <w:style w:type="paragraph" w:styleId="Kommentartext">
    <w:name w:val="annotation text"/>
    <w:link w:val="KommentartextZchn"/>
    <w:uiPriority w:val="99"/>
    <w:unhideWhenUsed/>
    <w:rsid w:val="00E87DD5"/>
    <w:pPr>
      <w:spacing w:after="160" w:line="240" w:lineRule="auto"/>
    </w:pPr>
    <w:rPr>
      <w:rFonts w:eastAsiaTheme="minorHAnsi"/>
      <w:lang w:val="en-GB" w:eastAsia="en-GB" w:bidi="en-GB"/>
    </w:rPr>
  </w:style>
  <w:style w:type="character" w:customStyle="1" w:styleId="KommentartextZchn">
    <w:name w:val="Kommentartext Zchn"/>
    <w:basedOn w:val="Absatz-Standardschriftart"/>
    <w:link w:val="Kommentartext"/>
    <w:uiPriority w:val="99"/>
    <w:semiHidden/>
    <w:rsid w:val="00E87DD5"/>
    <w:rPr>
      <w:rFonts w:eastAsiaTheme="minorHAnsi"/>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Kommentarzeichen">
    <w:name w:val="annotation reference"/>
    <w:uiPriority w:val="99"/>
    <w:semiHidden/>
    <w:unhideWhenUsed/>
    <w:rsid w:val="00E87DD5"/>
    <w:rPr>
      <w:sz w:val="16"/>
      <w:szCs w:val="16"/>
    </w:rPr>
  </w:style>
  <w:style w:type="paragraph" w:styleId="Kommentartext">
    <w:name w:val="annotation text"/>
    <w:link w:val="KommentartextZchn"/>
    <w:uiPriority w:val="99"/>
    <w:unhideWhenUsed/>
    <w:rsid w:val="00E87DD5"/>
    <w:pPr>
      <w:spacing w:after="160" w:line="240" w:lineRule="auto"/>
    </w:pPr>
    <w:rPr>
      <w:rFonts w:eastAsiaTheme="minorHAnsi"/>
      <w:lang w:val="en-GB" w:eastAsia="en-GB" w:bidi="en-GB"/>
    </w:rPr>
  </w:style>
  <w:style w:type="character" w:customStyle="1" w:styleId="KommentartextZchn">
    <w:name w:val="Kommentartext Zchn"/>
    <w:basedOn w:val="Absatz-Standardschriftart"/>
    <w:link w:val="Kommentartext"/>
    <w:uiPriority w:val="99"/>
    <w:semiHidden/>
    <w:rsid w:val="00E87DD5"/>
    <w:rPr>
      <w:rFonts w:eastAsiaTheme="minorHAns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AA39-6C94-4A4B-ABA0-24238A67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69</Pages>
  <Words>21244</Words>
  <Characters>133840</Characters>
  <Application>Microsoft Office Word</Application>
  <DocSecurity>8</DocSecurity>
  <Lines>1115</Lines>
  <Paragraphs>309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VOEB</cp:lastModifiedBy>
  <cp:revision>35</cp:revision>
  <dcterms:created xsi:type="dcterms:W3CDTF">2015-02-27T11:30:00Z</dcterms:created>
  <dcterms:modified xsi:type="dcterms:W3CDTF">2015-03-02T19:04:00Z</dcterms:modified>
</cp:coreProperties>
</file>