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C0100E"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333544098" w:edGrp="everyone"/>
                <w:r w:rsidR="00395982">
                  <w:t>No</w:t>
                </w:r>
                <w:permEnd w:id="1333544098"/>
              </w:sdtContent>
            </w:sdt>
          </w:p>
        </w:tc>
      </w:tr>
      <w:tr w:rsidR="008627FF" w:rsidTr="008313E5">
        <w:tc>
          <w:tcPr>
            <w:tcW w:w="3510" w:type="dxa"/>
          </w:tcPr>
          <w:p w:rsidR="008627FF" w:rsidRDefault="008627FF" w:rsidP="008313E5">
            <w:r>
              <w:t>Activity:</w:t>
            </w:r>
          </w:p>
        </w:tc>
        <w:tc>
          <w:tcPr>
            <w:tcW w:w="6118" w:type="dxa"/>
          </w:tcPr>
          <w:p w:rsidR="008627FF" w:rsidRDefault="00C0100E"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49308996" w:edGrp="everyone"/>
                <w:r w:rsidR="00395982">
                  <w:t>Non-financial counterparty</w:t>
                </w:r>
                <w:permEnd w:id="249308996"/>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49047384" w:edGrp="everyone" w:displacedByCustomXml="prev"/>
            <w:tc>
              <w:tcPr>
                <w:tcW w:w="6118" w:type="dxa"/>
              </w:tcPr>
              <w:p w:rsidR="008627FF" w:rsidRDefault="00395982" w:rsidP="008313E5">
                <w:r>
                  <w:t>UK</w:t>
                </w:r>
              </w:p>
            </w:tc>
            <w:permEnd w:id="1749047384"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8627FF" w:rsidRDefault="008627FF" w:rsidP="008627FF">
      <w:permStart w:id="1986215135" w:edGrp="everyone"/>
      <w:r>
        <w:t>TYPE YOUR TEXT HERE</w:t>
      </w:r>
    </w:p>
    <w:permEnd w:id="1986215135"/>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136216277" w:edGrp="everyone"/>
      <w:r>
        <w:t>TYPE YOUR TEXT HERE</w:t>
      </w:r>
    </w:p>
    <w:permEnd w:id="136216277"/>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1754795077" w:edGrp="everyone"/>
      <w:r>
        <w:t>TYPE YOUR TEXT HERE</w:t>
      </w:r>
    </w:p>
    <w:permEnd w:id="1754795077"/>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395982" w:rsidP="00C8677B">
      <w:permStart w:id="1730570069" w:edGrp="everyone"/>
      <w:r w:rsidRPr="00395982">
        <w:t>No.  The CP and draft Regulations do not consider situations where there is more than one Disclosing Market Participant, for example where we jointly conduct market soundings with our financial advisers.  As proposed, we and each of them would be required to comply which would cause unnecessary duplic</w:t>
      </w:r>
      <w:r w:rsidRPr="00395982">
        <w:t>a</w:t>
      </w:r>
      <w:r w:rsidRPr="00395982">
        <w:t xml:space="preserve">tion and be particularly onerous for unregulated issuers, such as SABMiller </w:t>
      </w:r>
      <w:proofErr w:type="spellStart"/>
      <w:r w:rsidRPr="00395982">
        <w:t>plc</w:t>
      </w:r>
      <w:proofErr w:type="spellEnd"/>
      <w:r w:rsidRPr="00395982">
        <w:t>, who do not otherwise have the infrastructure to comply.</w:t>
      </w:r>
    </w:p>
    <w:permEnd w:id="1730570069"/>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395982" w:rsidP="00C8677B">
      <w:permStart w:id="1650943698" w:edGrp="everyone"/>
      <w:r w:rsidRPr="00395982">
        <w:t xml:space="preserve">No.  As noted above in relation to Q3, CP and draft Regulations do not consider situations where there is more than one Disclosing Market Participant, for example where we jointly conduct market soundings with our financial advisers.  As proposed, we and each of them would be required to comply which would cause unnecessary duplication and be particularly onerous for unregulated issuers, such as SABMiller </w:t>
      </w:r>
      <w:proofErr w:type="spellStart"/>
      <w:r w:rsidRPr="00395982">
        <w:t>plc</w:t>
      </w:r>
      <w:proofErr w:type="spellEnd"/>
      <w:r w:rsidRPr="00395982">
        <w:t>, who do not otherwise have the infrastructure to comply.  A solution would be for only one of the DMP’s to comply where they are acting jointly</w:t>
      </w:r>
      <w:r>
        <w:t>.</w:t>
      </w:r>
    </w:p>
    <w:permEnd w:id="1650943698"/>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395982" w:rsidP="00C8677B">
      <w:permStart w:id="61293291" w:edGrp="everyone"/>
      <w:r w:rsidRPr="00395982">
        <w:t xml:space="preserve">No.  As noted above in relation to Q3, CP and draft Regulations do not consider situations where there is more than one Disclosing Market Participant, for example where we jointly conduct market soundings with our financial advisers.  As proposed, we and each of them would be required to comply which would cause unnecessary duplication and be particularly onerous for unregulated issuers, such as SABMiller </w:t>
      </w:r>
      <w:proofErr w:type="spellStart"/>
      <w:r w:rsidRPr="00395982">
        <w:t>plc</w:t>
      </w:r>
      <w:proofErr w:type="spellEnd"/>
      <w:r w:rsidRPr="00395982">
        <w:t>, who do not otherwise have the infrastructure to comply.  A solution would be for only one of the DMP’s to comply where they are acting jointly</w:t>
      </w:r>
      <w:r>
        <w:t>.</w:t>
      </w:r>
    </w:p>
    <w:permEnd w:id="61293291"/>
    <w:p w:rsidR="00C8677B" w:rsidRDefault="00C8677B" w:rsidP="00C8677B">
      <w:r>
        <w:lastRenderedPageBreak/>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395982" w:rsidP="00C8677B">
      <w:permStart w:id="996428719" w:edGrp="everyone"/>
      <w:r w:rsidRPr="00395982">
        <w:t xml:space="preserve">No.  As noted above in relation to Q3, CP and draft Regulations do not consider situations where there is more than one Disclosing Market Participant, for example where we jointly conduct market soundings with our financial advisers.  As proposed, we and each of them would be required to comply which would cause unnecessary duplication and be particularly onerous for unregulated issuers, such as SABMiller </w:t>
      </w:r>
      <w:proofErr w:type="spellStart"/>
      <w:r w:rsidRPr="00395982">
        <w:t>plc</w:t>
      </w:r>
      <w:proofErr w:type="spellEnd"/>
      <w:r w:rsidRPr="00395982">
        <w:t>, who do not otherwise have the infrastructure to comply.  A solution would be for only one of the DMP’s to comply where they are acting jointly.</w:t>
      </w:r>
    </w:p>
    <w:permEnd w:id="996428719"/>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395982" w:rsidP="00C8677B">
      <w:permStart w:id="736115403" w:edGrp="everyone"/>
      <w:r w:rsidRPr="00395982">
        <w:t xml:space="preserve">No.  As noted above in relation to Q3, CP and draft Regulations do not consider situations where there is more than one Disclosing Market Participant, for example where we jointly conduct market soundings with our financial advisers.  As proposed, we and each of them would be required to comply which would cause unnecessary duplication and be particularly onerous for unregulated issuers, such as SABMiller </w:t>
      </w:r>
      <w:proofErr w:type="spellStart"/>
      <w:r w:rsidRPr="00395982">
        <w:t>plc</w:t>
      </w:r>
      <w:proofErr w:type="spellEnd"/>
      <w:r w:rsidRPr="00395982">
        <w:t>, who do not otherwise have the infrastructure to comply.  A solution would be for only one of the DMP’s to comply where they are acting jointly.  Installing recording equipment would be a significant cost.  A sol</w:t>
      </w:r>
      <w:r w:rsidRPr="00395982">
        <w:t>u</w:t>
      </w:r>
      <w:r w:rsidRPr="00395982">
        <w:t>tion would be for only one of the DMP’s to comply where they are acting jointly.</w:t>
      </w:r>
    </w:p>
    <w:permEnd w:id="736115403"/>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395982" w:rsidP="00C8677B">
      <w:permStart w:id="1396267219" w:edGrp="everyone"/>
      <w:r w:rsidRPr="00395982">
        <w:t xml:space="preserve">No.  As noted above in relation to Q3, in our view the draft Regulations do not contemplate a situation where an issuer participates in a market sounding.  There is an incorrect assumption in Article 11 of the draft Commission Delegated Regulation that employees within a DMP will only have access to inside information in connection with the market sounding.  Within SABMiller </w:t>
      </w:r>
      <w:proofErr w:type="spellStart"/>
      <w:r w:rsidRPr="00395982">
        <w:t>plc</w:t>
      </w:r>
      <w:proofErr w:type="spellEnd"/>
      <w:r w:rsidRPr="00395982">
        <w:t>, a number of different e</w:t>
      </w:r>
      <w:r w:rsidRPr="00395982">
        <w:t>m</w:t>
      </w:r>
      <w:r w:rsidRPr="00395982">
        <w:t>ployees will need access to the information for operational reasons, for example to negotiate the transa</w:t>
      </w:r>
      <w:r w:rsidRPr="00395982">
        <w:t>c</w:t>
      </w:r>
      <w:r w:rsidRPr="00395982">
        <w:t xml:space="preserve">tion that is the subject of the market sounding.  These employees should be excluded.  </w:t>
      </w:r>
    </w:p>
    <w:permEnd w:id="1396267219"/>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1798006593" w:edGrp="everyone"/>
      <w:r>
        <w:t>TYPE YOUR TEXT HERE</w:t>
      </w:r>
    </w:p>
    <w:permEnd w:id="1798006593"/>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494814349" w:edGrp="everyone"/>
      <w:r>
        <w:t>TYPE YOUR TEXT HERE</w:t>
      </w:r>
    </w:p>
    <w:permEnd w:id="1494814349"/>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537090818" w:edGrp="everyone"/>
      <w:r>
        <w:t>TYPE YOUR TEXT HERE</w:t>
      </w:r>
    </w:p>
    <w:permEnd w:id="537090818"/>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993741576" w:edGrp="everyone"/>
      <w:r>
        <w:t>TYPE YOUR TEXT HERE</w:t>
      </w:r>
    </w:p>
    <w:permEnd w:id="993741576"/>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1471876942" w:edGrp="everyone"/>
      <w:r>
        <w:t>TYPE YOUR TEXT HERE</w:t>
      </w:r>
    </w:p>
    <w:permEnd w:id="1471876942"/>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577925772" w:edGrp="everyone"/>
      <w:r>
        <w:t>TYPE YOUR TEXT HERE</w:t>
      </w:r>
    </w:p>
    <w:permEnd w:id="577925772"/>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763848220" w:edGrp="everyone"/>
      <w:r>
        <w:t>TYPE YOUR TEXT HERE</w:t>
      </w:r>
    </w:p>
    <w:permEnd w:id="1763848220"/>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263341773" w:edGrp="everyone"/>
      <w:r>
        <w:t>TYPE YOUR TEXT HERE</w:t>
      </w:r>
    </w:p>
    <w:permEnd w:id="1263341773"/>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C8677B" w:rsidP="00C8677B">
      <w:permStart w:id="1897006759" w:edGrp="everyone"/>
      <w:r>
        <w:t>TYPE YOUR TEXT HERE</w:t>
      </w:r>
    </w:p>
    <w:permEnd w:id="1897006759"/>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951680419" w:edGrp="everyone"/>
      <w:r>
        <w:t>TYPE YOUR TEXT HERE</w:t>
      </w:r>
    </w:p>
    <w:permEnd w:id="951680419"/>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1130061031" w:edGrp="everyone"/>
      <w:r>
        <w:t>TYPE YOUR TEXT HERE</w:t>
      </w:r>
    </w:p>
    <w:permEnd w:id="1130061031"/>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395982" w:rsidP="00C8677B">
      <w:permStart w:id="728184993" w:edGrp="everyone"/>
      <w:r w:rsidRPr="00395982">
        <w:t>No.  We believe that this level of detail for each notification is wholly disproportionate and would cause us to incur costs that are not justified by the remote risk of enforcement action.  In particular the requir</w:t>
      </w:r>
      <w:r w:rsidRPr="00395982">
        <w:t>e</w:t>
      </w:r>
      <w:r w:rsidRPr="00395982">
        <w:t>ments in Article 5(2)(e) and (f) of the draft Commission Implementing Regulation are particularly onerous as a decision to delay disclosure of inside information may involve discussions with multiple parties, both internal and external and in different time zones.  We believe it would be helpful to clarify in Article 5(2)(e) and (f) of the draft Commission Implementing Regulation that the notification need only include details of the initial decision to delay and any subsequent decision necessitated by a change in conditions.  Further we would suggest it is appropriate in Article 5(2</w:t>
      </w:r>
      <w:proofErr w:type="gramStart"/>
      <w:r w:rsidRPr="00395982">
        <w:t>)(</w:t>
      </w:r>
      <w:proofErr w:type="gramEnd"/>
      <w:r w:rsidRPr="00395982">
        <w:t>f) of the draft Commission Implementing Reg</w:t>
      </w:r>
      <w:r w:rsidRPr="00395982">
        <w:t>u</w:t>
      </w:r>
      <w:r w:rsidRPr="00395982">
        <w:t xml:space="preserve">lation to clarify that only the person or persons responsible for taking the decision to delay need be named.  </w:t>
      </w:r>
    </w:p>
    <w:permEnd w:id="728184993"/>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395982" w:rsidRDefault="00395982" w:rsidP="00395982">
      <w:permStart w:id="1287674844" w:edGrp="everyone"/>
      <w:r>
        <w:t xml:space="preserve">No.  In our view the prescribed record keeping requirements should be kept at a high level, focused on justification for delay, without detailed requirements that are wholly disproportionate and may not be appropriate to all issuers in relation to all categories of inside information.    </w:t>
      </w:r>
    </w:p>
    <w:p w:rsidR="00C8677B" w:rsidRDefault="00395982" w:rsidP="00395982">
      <w:r>
        <w:t>In particular: (i) it will be impossible to comply with Article 7(1)(a)(i) of the draft Commission Implemen</w:t>
      </w:r>
      <w:r>
        <w:t>t</w:t>
      </w:r>
      <w:r>
        <w:t xml:space="preserve">ing Regulation unless the test is changed to refer to the date of the issuer ‘becoming aware’ rather than the </w:t>
      </w:r>
      <w:r>
        <w:lastRenderedPageBreak/>
        <w:t>date the inside information “came into existence”; and (ii) it may not be possible to comply with the r</w:t>
      </w:r>
      <w:r>
        <w:t>e</w:t>
      </w:r>
      <w:r>
        <w:t>quirement in Article 7(1)(a)(iii) of the draft Commission Implementing Regulation where the inside info</w:t>
      </w:r>
      <w:r>
        <w:t>r</w:t>
      </w:r>
      <w:r>
        <w:t xml:space="preserve">mation relates to matters outside of our control.  </w:t>
      </w:r>
    </w:p>
    <w:permEnd w:id="128767484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8677B" w:rsidRDefault="00C0100E" w:rsidP="00C8677B">
      <w:permStart w:id="16920712" w:edGrp="everyone"/>
      <w:r w:rsidRPr="00C0100E">
        <w:t>No.  In our view requiring an individual’s name and employer would be sufficient to identify an individual and more information could be gathered if there is an investigation.  Requiring any more information would become an administrative burden, and particularly difficult to maintain in compliance with data protection legislation both within the EU and in the 70 or so countries around the world where we conduct business and where relevant employees may be based.</w:t>
      </w:r>
    </w:p>
    <w:permEnd w:id="16920712"/>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0100E" w:rsidP="00C8677B">
      <w:permStart w:id="1168066542" w:edGrp="everyone"/>
      <w:r w:rsidRPr="00C0100E">
        <w:t xml:space="preserve">No.  We agree that both approaches should be available, but we (as issuer) should be allowed flexibility to maintain one or more lists as is appropriate for our needs.  For example we would find it less burdensome to maintain both a general insider list, for those employees whose role (in senior management or the preparation of financial information, for example) means they regularly have access to inside information, and separate event based lists for employees in possession of inside information relating to a particular transaction or matter.  It is also much more relevant and useful for investigating authorities to have access to transaction specific insider lists when investigating, for example, untoward share price movements arising out of rumours or speculation about a transaction. </w:t>
      </w:r>
    </w:p>
    <w:permEnd w:id="1168066542"/>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755310651" w:edGrp="everyone"/>
      <w:r>
        <w:t>TYPE YOUR TEXT HERE</w:t>
      </w:r>
    </w:p>
    <w:permEnd w:id="755310651"/>
    <w:p w:rsidR="00C8677B" w:rsidRDefault="00C8677B" w:rsidP="00C8677B">
      <w:r>
        <w:t>&lt;</w:t>
      </w:r>
      <w:r w:rsidR="00CB6CDD">
        <w:t>ESMA_QUESTION_M</w:t>
      </w:r>
      <w:bookmarkStart w:id="4" w:name="_GoBack"/>
      <w:bookmarkEnd w:id="4"/>
      <w:r w:rsidR="00CB6CDD">
        <w:t>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0100E" w:rsidP="00C8677B">
      <w:permStart w:id="1198933858" w:edGrp="everyone"/>
      <w:r w:rsidRPr="00C0100E">
        <w:t>No.  While we agree with the content, it would be helpful if the “Description” column set out clearly the information required for each field, rather than using cross-references to other legislation.</w:t>
      </w:r>
    </w:p>
    <w:permEnd w:id="1198933858"/>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629621237" w:edGrp="everyone"/>
      <w:r>
        <w:t>TYPE YOUR TEXT HERE</w:t>
      </w:r>
    </w:p>
    <w:permEnd w:id="629621237"/>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1845718986" w:edGrp="everyone"/>
      <w:r>
        <w:t>TYPE YOUR TEXT HERE</w:t>
      </w:r>
    </w:p>
    <w:permEnd w:id="1845718986"/>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690759663" w:edGrp="everyone"/>
      <w:r>
        <w:t>TYPE YOUR TEXT HERE</w:t>
      </w:r>
    </w:p>
    <w:permEnd w:id="690759663"/>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1849371396" w:edGrp="everyone"/>
      <w:r>
        <w:t>TYPE YOUR TEXT HERE</w:t>
      </w:r>
    </w:p>
    <w:permEnd w:id="1849371396"/>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1798179822" w:edGrp="everyone"/>
      <w:r>
        <w:t>TYPE YOUR TEXT HERE</w:t>
      </w:r>
    </w:p>
    <w:permEnd w:id="1798179822"/>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409995181" w:edGrp="everyone"/>
      <w:r>
        <w:t>TYPE YOUR TEXT HERE</w:t>
      </w:r>
    </w:p>
    <w:permEnd w:id="409995181"/>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1283866312" w:edGrp="everyone"/>
      <w:r>
        <w:t>TYPE YOUR TEXT HERE</w:t>
      </w:r>
    </w:p>
    <w:permEnd w:id="1283866312"/>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391014994" w:edGrp="everyone"/>
      <w:r>
        <w:t>TYPE YOUR TEXT HERE</w:t>
      </w:r>
    </w:p>
    <w:permEnd w:id="391014994"/>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780218735" w:edGrp="everyone"/>
      <w:r>
        <w:t>TYPE YOUR TEXT HERE</w:t>
      </w:r>
    </w:p>
    <w:permEnd w:id="780218735"/>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285374615" w:edGrp="everyone"/>
      <w:r>
        <w:t>TYPE YOUR TEXT HERE</w:t>
      </w:r>
    </w:p>
    <w:permEnd w:id="1285374615"/>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C0100E">
            <w:rPr>
              <w:noProof/>
            </w:rPr>
            <w:t>13</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982"/>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064"/>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52AE"/>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100E"/>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DB2B-5C38-4045-A7A0-C305FA7DC770}">
  <ds:schemaRefs>
    <ds:schemaRef ds:uri="http://schemas.openxmlformats.org/officeDocument/2006/bibliography"/>
  </ds:schemaRefs>
</ds:datastoreItem>
</file>

<file path=customXml/itemProps2.xml><?xml version="1.0" encoding="utf-8"?>
<ds:datastoreItem xmlns:ds="http://schemas.openxmlformats.org/officeDocument/2006/customXml" ds:itemID="{2FDE4193-A223-4768-8136-547AE8DA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2508</Words>
  <Characters>14752</Characters>
  <Application>Microsoft Office Word</Application>
  <DocSecurity>8</DocSecurity>
  <Lines>122</Lines>
  <Paragraphs>34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17226</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Edward Perks</cp:lastModifiedBy>
  <cp:revision>4</cp:revision>
  <cp:lastPrinted>2014-05-08T15:06:00Z</cp:lastPrinted>
  <dcterms:created xsi:type="dcterms:W3CDTF">2014-10-13T08:27:00Z</dcterms:created>
  <dcterms:modified xsi:type="dcterms:W3CDTF">2014-10-14T08:34:00Z</dcterms:modified>
</cp:coreProperties>
</file>