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470AAB"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840401712" w:edGrp="everyone"/>
                <w:r w:rsidR="00F16DC4">
                  <w:t>Yes</w:t>
                </w:r>
                <w:permEnd w:id="1840401712"/>
              </w:sdtContent>
            </w:sdt>
          </w:p>
        </w:tc>
      </w:tr>
      <w:tr w:rsidR="008627FF" w:rsidTr="008313E5">
        <w:tc>
          <w:tcPr>
            <w:tcW w:w="3510" w:type="dxa"/>
          </w:tcPr>
          <w:p w:rsidR="008627FF" w:rsidRDefault="008627FF" w:rsidP="008313E5">
            <w:r>
              <w:t>Activity:</w:t>
            </w:r>
          </w:p>
        </w:tc>
        <w:tc>
          <w:tcPr>
            <w:tcW w:w="6118" w:type="dxa"/>
          </w:tcPr>
          <w:p w:rsidR="008627FF" w:rsidRDefault="00470AAB" w:rsidP="008313E5">
            <w:sdt>
              <w:sdtPr>
                <w:alias w:val="Activity"/>
                <w:tag w:val="Activity"/>
                <w:id w:val="1654095920"/>
                <w:placeholder>
                  <w:docPart w:val="FC2190542B92485096F7FC0D27709BC6"/>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133743935" w:edGrp="everyone"/>
                <w:r w:rsidR="008627FF" w:rsidRPr="000E3791">
                  <w:rPr>
                    <w:rStyle w:val="PlaceholderText"/>
                  </w:rPr>
                  <w:t>Choose an item.</w:t>
                </w:r>
                <w:permEnd w:id="2133743935"/>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35635718" w:edGrp="everyone" w:displacedByCustomXml="prev"/>
            <w:tc>
              <w:tcPr>
                <w:tcW w:w="6118" w:type="dxa"/>
              </w:tcPr>
              <w:p w:rsidR="008627FF" w:rsidRDefault="00F16DC4" w:rsidP="008313E5">
                <w:r>
                  <w:t>International</w:t>
                </w:r>
              </w:p>
            </w:tc>
            <w:permEnd w:id="435635718" w:displacedByCustomXml="next"/>
          </w:sdtContent>
        </w:sdt>
      </w:tr>
    </w:tbl>
    <w:p w:rsidR="008627FF" w:rsidRDefault="008627FF" w:rsidP="008627FF">
      <w:pPr>
        <w:pStyle w:val="Heading1"/>
        <w:numPr>
          <w:ilvl w:val="0"/>
          <w:numId w:val="0"/>
        </w:numPr>
      </w:pPr>
      <w:r w:rsidRPr="00321CD3">
        <w:br w:type="page"/>
      </w:r>
      <w:bookmarkStart w:id="3" w:name="_Toc392599420"/>
      <w:r w:rsidRPr="004C2CD3">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F16DC4" w:rsidRDefault="00F16DC4" w:rsidP="00F16DC4">
      <w:pPr>
        <w:jc w:val="both"/>
        <w:rPr>
          <w:rFonts w:ascii="Times New Roman" w:hAnsi="Times New Roman"/>
          <w:sz w:val="23"/>
          <w:szCs w:val="23"/>
          <w:lang w:val="en-US"/>
        </w:rPr>
      </w:pPr>
      <w:permStart w:id="26751572" w:edGrp="everyone"/>
      <w:r w:rsidRPr="0027688D">
        <w:rPr>
          <w:rFonts w:ascii="Times New Roman" w:hAnsi="Times New Roman"/>
          <w:sz w:val="23"/>
          <w:szCs w:val="23"/>
        </w:rPr>
        <w:t>On behalf of our members, the International Swaps and Derivatives Association (‘ISDA’) appreciates the opportunity to contribute to the discussion on European Securities and Markets Authority’s (E</w:t>
      </w:r>
      <w:r w:rsidRPr="0027688D">
        <w:rPr>
          <w:rFonts w:ascii="Times New Roman" w:hAnsi="Times New Roman"/>
          <w:sz w:val="23"/>
          <w:szCs w:val="23"/>
        </w:rPr>
        <w:t>S</w:t>
      </w:r>
      <w:r w:rsidRPr="0027688D">
        <w:rPr>
          <w:rFonts w:ascii="Times New Roman" w:hAnsi="Times New Roman"/>
          <w:sz w:val="23"/>
          <w:szCs w:val="23"/>
        </w:rPr>
        <w:t>MA) implementing measures under the Market Abuse Regulation (MAR)</w:t>
      </w:r>
      <w:r>
        <w:rPr>
          <w:rFonts w:ascii="Times New Roman" w:hAnsi="Times New Roman"/>
          <w:sz w:val="23"/>
          <w:szCs w:val="23"/>
        </w:rPr>
        <w:t xml:space="preserve">, including </w:t>
      </w:r>
      <w:r w:rsidRPr="007B30AD">
        <w:rPr>
          <w:rFonts w:ascii="Times New Roman" w:hAnsi="Times New Roman"/>
          <w:sz w:val="23"/>
          <w:szCs w:val="23"/>
        </w:rPr>
        <w:t xml:space="preserve">the Consultation Paper on Draft technical standards </w:t>
      </w:r>
      <w:r>
        <w:rPr>
          <w:rFonts w:ascii="Times New Roman" w:hAnsi="Times New Roman"/>
          <w:sz w:val="23"/>
          <w:szCs w:val="23"/>
        </w:rPr>
        <w:t xml:space="preserve">(CP on TS) and the CP on </w:t>
      </w:r>
      <w:r w:rsidRPr="007B30AD">
        <w:rPr>
          <w:rFonts w:ascii="Times New Roman" w:hAnsi="Times New Roman"/>
          <w:sz w:val="23"/>
          <w:szCs w:val="23"/>
        </w:rPr>
        <w:t>draft technical advice on possible del</w:t>
      </w:r>
      <w:r w:rsidRPr="007B30AD">
        <w:rPr>
          <w:rFonts w:ascii="Times New Roman" w:hAnsi="Times New Roman"/>
          <w:sz w:val="23"/>
          <w:szCs w:val="23"/>
        </w:rPr>
        <w:t>e</w:t>
      </w:r>
      <w:r w:rsidRPr="007B30AD">
        <w:rPr>
          <w:rFonts w:ascii="Times New Roman" w:hAnsi="Times New Roman"/>
          <w:sz w:val="23"/>
          <w:szCs w:val="23"/>
        </w:rPr>
        <w:t xml:space="preserve">gated acts </w:t>
      </w:r>
      <w:r>
        <w:rPr>
          <w:rFonts w:ascii="Times New Roman" w:hAnsi="Times New Roman"/>
          <w:sz w:val="23"/>
          <w:szCs w:val="23"/>
        </w:rPr>
        <w:t>(DA)</w:t>
      </w:r>
      <w:r w:rsidRPr="0027688D">
        <w:rPr>
          <w:rFonts w:ascii="Times New Roman" w:hAnsi="Times New Roman"/>
          <w:sz w:val="23"/>
          <w:szCs w:val="23"/>
        </w:rPr>
        <w:t xml:space="preserve">. </w:t>
      </w:r>
      <w:r w:rsidRPr="0027688D">
        <w:rPr>
          <w:rFonts w:ascii="Times New Roman" w:hAnsi="Times New Roman"/>
          <w:sz w:val="23"/>
          <w:szCs w:val="23"/>
          <w:lang w:val="en-US"/>
        </w:rPr>
        <w:t xml:space="preserve">We have aimed to provide as much constructive feedback as possible at this point in time. There are some questions </w:t>
      </w:r>
      <w:r>
        <w:rPr>
          <w:rFonts w:ascii="Times New Roman" w:hAnsi="Times New Roman"/>
          <w:sz w:val="23"/>
          <w:szCs w:val="23"/>
          <w:lang w:val="en-US"/>
        </w:rPr>
        <w:t>that we choose not to answer.</w:t>
      </w:r>
    </w:p>
    <w:p w:rsidR="00F16DC4" w:rsidRDefault="00F16DC4" w:rsidP="00F16DC4">
      <w:pPr>
        <w:jc w:val="both"/>
        <w:rPr>
          <w:rFonts w:ascii="Times New Roman" w:hAnsi="Times New Roman"/>
          <w:sz w:val="23"/>
          <w:szCs w:val="23"/>
        </w:rPr>
      </w:pPr>
    </w:p>
    <w:p w:rsidR="00F16DC4" w:rsidRDefault="00F16DC4" w:rsidP="00F16DC4">
      <w:pPr>
        <w:jc w:val="both"/>
        <w:rPr>
          <w:rFonts w:ascii="Times New Roman" w:hAnsi="Times New Roman"/>
          <w:sz w:val="23"/>
          <w:szCs w:val="23"/>
        </w:rPr>
      </w:pPr>
      <w:r w:rsidRPr="00383E73">
        <w:rPr>
          <w:rFonts w:ascii="Times New Roman" w:hAnsi="Times New Roman"/>
          <w:sz w:val="23"/>
          <w:szCs w:val="23"/>
        </w:rPr>
        <w:t>Since 1985, ISDA has worked to make the global over-the-counter (OTC) derivatives markets safer and more efficient. Today, ISDA has over 800 member institutions from 64 countries. These me</w:t>
      </w:r>
      <w:r w:rsidRPr="00383E73">
        <w:rPr>
          <w:rFonts w:ascii="Times New Roman" w:hAnsi="Times New Roman"/>
          <w:sz w:val="23"/>
          <w:szCs w:val="23"/>
        </w:rPr>
        <w:t>m</w:t>
      </w:r>
      <w:r w:rsidRPr="00383E73">
        <w:rPr>
          <w:rFonts w:ascii="Times New Roman" w:hAnsi="Times New Roman"/>
          <w:sz w:val="23"/>
          <w:szCs w:val="23"/>
        </w:rPr>
        <w:t xml:space="preserve">bers include a broad range of OTC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including exchanges, clearinghouses and repositories, as well as law firms, accounting firms and other service providers. Information about ISDA and its activities is available on the Association's web site: </w:t>
      </w:r>
      <w:hyperlink r:id="rId16" w:history="1">
        <w:r w:rsidRPr="003B2374">
          <w:rPr>
            <w:rStyle w:val="Hyperlink"/>
            <w:rFonts w:ascii="Times New Roman" w:hAnsi="Times New Roman"/>
            <w:sz w:val="23"/>
            <w:szCs w:val="23"/>
          </w:rPr>
          <w:t>www.isda.org</w:t>
        </w:r>
      </w:hyperlink>
      <w:r w:rsidRPr="00383E73">
        <w:rPr>
          <w:rFonts w:ascii="Times New Roman" w:hAnsi="Times New Roman"/>
          <w:sz w:val="23"/>
          <w:szCs w:val="23"/>
        </w:rPr>
        <w:t>.</w:t>
      </w:r>
    </w:p>
    <w:p w:rsidR="00F16DC4" w:rsidRPr="0027688D" w:rsidRDefault="00F16DC4" w:rsidP="00F16DC4">
      <w:pPr>
        <w:jc w:val="both"/>
        <w:rPr>
          <w:rFonts w:ascii="Times New Roman" w:hAnsi="Times New Roman"/>
          <w:sz w:val="23"/>
          <w:szCs w:val="23"/>
        </w:rPr>
      </w:pPr>
    </w:p>
    <w:p w:rsidR="00F16DC4" w:rsidRDefault="00F16DC4" w:rsidP="00F16DC4">
      <w:pPr>
        <w:jc w:val="both"/>
        <w:rPr>
          <w:rFonts w:ascii="Times New Roman" w:hAnsi="Times New Roman"/>
          <w:sz w:val="23"/>
          <w:szCs w:val="23"/>
        </w:rPr>
      </w:pPr>
      <w:r>
        <w:rPr>
          <w:rFonts w:ascii="Times New Roman" w:hAnsi="Times New Roman"/>
          <w:sz w:val="23"/>
          <w:szCs w:val="23"/>
        </w:rPr>
        <w:t>In general, w</w:t>
      </w:r>
      <w:r w:rsidRPr="0027688D">
        <w:rPr>
          <w:rFonts w:ascii="Times New Roman" w:hAnsi="Times New Roman"/>
          <w:sz w:val="23"/>
          <w:szCs w:val="23"/>
        </w:rPr>
        <w:t xml:space="preserve">e agree that the Regulation and its implementing measures should ensure an </w:t>
      </w:r>
      <w:r>
        <w:rPr>
          <w:rFonts w:ascii="Times New Roman" w:hAnsi="Times New Roman"/>
          <w:sz w:val="23"/>
          <w:szCs w:val="23"/>
        </w:rPr>
        <w:t>adequate</w:t>
      </w:r>
      <w:r w:rsidRPr="0027688D">
        <w:rPr>
          <w:rFonts w:ascii="Times New Roman" w:hAnsi="Times New Roman"/>
          <w:sz w:val="23"/>
          <w:szCs w:val="23"/>
        </w:rPr>
        <w:t xml:space="preserve"> implementation of the rules on market abuse and insider dealing. At the same time, we believe that any Level 2 legislation should not go beyond the mandate provided by the Regulation</w:t>
      </w:r>
      <w:r>
        <w:rPr>
          <w:rFonts w:ascii="Times New Roman" w:hAnsi="Times New Roman"/>
          <w:sz w:val="23"/>
          <w:szCs w:val="23"/>
        </w:rPr>
        <w:t xml:space="preserve"> </w:t>
      </w:r>
      <w:r w:rsidRPr="0027688D">
        <w:rPr>
          <w:rFonts w:ascii="Times New Roman" w:hAnsi="Times New Roman"/>
          <w:sz w:val="23"/>
          <w:szCs w:val="23"/>
        </w:rPr>
        <w:t>and should avoid over prescriptive</w:t>
      </w:r>
      <w:r>
        <w:rPr>
          <w:rFonts w:ascii="Times New Roman" w:hAnsi="Times New Roman"/>
          <w:sz w:val="23"/>
          <w:szCs w:val="23"/>
        </w:rPr>
        <w:t>,</w:t>
      </w:r>
      <w:r w:rsidRPr="0027688D">
        <w:rPr>
          <w:rFonts w:ascii="Times New Roman" w:hAnsi="Times New Roman"/>
          <w:sz w:val="23"/>
          <w:szCs w:val="23"/>
        </w:rPr>
        <w:t xml:space="preserve"> unduly burdensome </w:t>
      </w:r>
      <w:r>
        <w:rPr>
          <w:rFonts w:ascii="Times New Roman" w:hAnsi="Times New Roman"/>
          <w:sz w:val="23"/>
          <w:szCs w:val="23"/>
        </w:rPr>
        <w:t xml:space="preserve">or ineffective </w:t>
      </w:r>
      <w:r w:rsidRPr="0027688D">
        <w:rPr>
          <w:rFonts w:ascii="Times New Roman" w:hAnsi="Times New Roman"/>
          <w:sz w:val="23"/>
          <w:szCs w:val="23"/>
        </w:rPr>
        <w:t>requirements</w:t>
      </w:r>
      <w:r>
        <w:rPr>
          <w:rFonts w:ascii="Times New Roman" w:hAnsi="Times New Roman"/>
          <w:sz w:val="23"/>
          <w:szCs w:val="23"/>
        </w:rPr>
        <w:t xml:space="preserve"> for instance in relation to indicators of market manipulation, buy-backs and suspicious transactions reporting (in particular regarding automated surveillance)</w:t>
      </w:r>
      <w:r w:rsidRPr="0027688D">
        <w:rPr>
          <w:rFonts w:ascii="Times New Roman" w:hAnsi="Times New Roman"/>
          <w:sz w:val="23"/>
          <w:szCs w:val="23"/>
        </w:rPr>
        <w:t>. Implementing measures should also take into account the specifi</w:t>
      </w:r>
      <w:r w:rsidRPr="0027688D">
        <w:rPr>
          <w:rFonts w:ascii="Times New Roman" w:hAnsi="Times New Roman"/>
          <w:sz w:val="23"/>
          <w:szCs w:val="23"/>
        </w:rPr>
        <w:t>c</w:t>
      </w:r>
      <w:r w:rsidRPr="0027688D">
        <w:rPr>
          <w:rFonts w:ascii="Times New Roman" w:hAnsi="Times New Roman"/>
          <w:sz w:val="23"/>
          <w:szCs w:val="23"/>
        </w:rPr>
        <w:t>ities of different instruments and market participants</w:t>
      </w:r>
      <w:r>
        <w:rPr>
          <w:rFonts w:ascii="Times New Roman" w:hAnsi="Times New Roman"/>
          <w:sz w:val="23"/>
          <w:szCs w:val="23"/>
        </w:rPr>
        <w:t xml:space="preserve"> in many instances.</w:t>
      </w:r>
      <w:r w:rsidRPr="0027688D">
        <w:rPr>
          <w:rFonts w:ascii="Times New Roman" w:hAnsi="Times New Roman"/>
          <w:sz w:val="23"/>
          <w:szCs w:val="23"/>
        </w:rPr>
        <w:t xml:space="preserve"> </w:t>
      </w:r>
      <w:r>
        <w:rPr>
          <w:rFonts w:ascii="Times New Roman" w:hAnsi="Times New Roman"/>
          <w:sz w:val="23"/>
          <w:szCs w:val="23"/>
        </w:rPr>
        <w:t>Moreover</w:t>
      </w:r>
      <w:r w:rsidRPr="0027688D">
        <w:rPr>
          <w:rFonts w:ascii="Times New Roman" w:hAnsi="Times New Roman"/>
          <w:sz w:val="23"/>
          <w:szCs w:val="23"/>
        </w:rPr>
        <w:t xml:space="preserve"> </w:t>
      </w:r>
      <w:r>
        <w:rPr>
          <w:rFonts w:ascii="Times New Roman" w:hAnsi="Times New Roman"/>
          <w:sz w:val="23"/>
          <w:szCs w:val="23"/>
        </w:rPr>
        <w:t>legal certainty of the rules should be ensured (eg for market manipulation indicators,</w:t>
      </w:r>
      <w:r w:rsidRPr="008672F4">
        <w:rPr>
          <w:rFonts w:ascii="Times New Roman" w:hAnsi="Times New Roman"/>
          <w:sz w:val="23"/>
          <w:szCs w:val="23"/>
        </w:rPr>
        <w:t xml:space="preserve"> </w:t>
      </w:r>
      <w:r>
        <w:rPr>
          <w:rFonts w:ascii="Times New Roman" w:hAnsi="Times New Roman"/>
          <w:sz w:val="23"/>
          <w:szCs w:val="23"/>
        </w:rPr>
        <w:t>especially regarding specifications of legitimate behaviour and intent)</w:t>
      </w:r>
      <w:r w:rsidRPr="0027688D">
        <w:rPr>
          <w:rFonts w:ascii="Times New Roman" w:hAnsi="Times New Roman"/>
          <w:sz w:val="23"/>
          <w:szCs w:val="23"/>
        </w:rPr>
        <w:t>.</w:t>
      </w:r>
    </w:p>
    <w:p w:rsidR="00F16DC4" w:rsidRPr="0027688D" w:rsidRDefault="00F16DC4" w:rsidP="00F16DC4">
      <w:pPr>
        <w:jc w:val="both"/>
        <w:rPr>
          <w:rFonts w:ascii="Times New Roman" w:hAnsi="Times New Roman"/>
          <w:sz w:val="23"/>
          <w:szCs w:val="23"/>
        </w:rPr>
      </w:pPr>
    </w:p>
    <w:p w:rsidR="00F16DC4" w:rsidRDefault="00F16DC4" w:rsidP="00F16DC4">
      <w:pPr>
        <w:jc w:val="both"/>
        <w:rPr>
          <w:rFonts w:ascii="Times New Roman" w:hAnsi="Times New Roman"/>
          <w:sz w:val="23"/>
          <w:szCs w:val="23"/>
        </w:rPr>
      </w:pPr>
      <w:r w:rsidRPr="006E510B">
        <w:rPr>
          <w:rFonts w:ascii="Times New Roman" w:hAnsi="Times New Roman"/>
          <w:sz w:val="23"/>
          <w:szCs w:val="23"/>
        </w:rPr>
        <w:t>Another important issue for us is the coordination with other pieces of legislation and relevant i</w:t>
      </w:r>
      <w:r w:rsidRPr="006E510B">
        <w:rPr>
          <w:rFonts w:ascii="Times New Roman" w:hAnsi="Times New Roman"/>
          <w:sz w:val="23"/>
          <w:szCs w:val="23"/>
        </w:rPr>
        <w:t>m</w:t>
      </w:r>
      <w:r w:rsidRPr="006E510B">
        <w:rPr>
          <w:rFonts w:ascii="Times New Roman" w:hAnsi="Times New Roman"/>
          <w:sz w:val="23"/>
          <w:szCs w:val="23"/>
        </w:rPr>
        <w:t xml:space="preserve">plementation measures and practices, including the interface between MAR and the market abuse regime for European power and gas under </w:t>
      </w:r>
      <w:r w:rsidRPr="00AE177E">
        <w:rPr>
          <w:rFonts w:ascii="Times New Roman" w:hAnsi="Times New Roman"/>
          <w:sz w:val="23"/>
          <w:szCs w:val="23"/>
        </w:rPr>
        <w:t>Regulation on wholesale energy market integrity and transparency</w:t>
      </w:r>
      <w:r>
        <w:rPr>
          <w:rFonts w:ascii="Times New Roman" w:hAnsi="Times New Roman"/>
          <w:sz w:val="23"/>
          <w:szCs w:val="23"/>
        </w:rPr>
        <w:t xml:space="preserve"> (</w:t>
      </w:r>
      <w:r w:rsidRPr="006E510B">
        <w:rPr>
          <w:rFonts w:ascii="Times New Roman" w:hAnsi="Times New Roman"/>
          <w:sz w:val="23"/>
          <w:szCs w:val="23"/>
        </w:rPr>
        <w:t>REMIT</w:t>
      </w:r>
      <w:r>
        <w:rPr>
          <w:rFonts w:ascii="Times New Roman" w:hAnsi="Times New Roman"/>
          <w:sz w:val="23"/>
          <w:szCs w:val="23"/>
        </w:rPr>
        <w:t>)</w:t>
      </w:r>
      <w:r w:rsidRPr="006E510B">
        <w:rPr>
          <w:rFonts w:ascii="Times New Roman" w:hAnsi="Times New Roman"/>
          <w:sz w:val="23"/>
          <w:szCs w:val="23"/>
        </w:rPr>
        <w:t xml:space="preserve">, as well as monitoring of overlap and </w:t>
      </w:r>
      <w:r>
        <w:rPr>
          <w:rFonts w:ascii="Times New Roman" w:hAnsi="Times New Roman"/>
          <w:sz w:val="23"/>
          <w:szCs w:val="23"/>
        </w:rPr>
        <w:t xml:space="preserve">potential </w:t>
      </w:r>
      <w:r w:rsidRPr="006E510B">
        <w:rPr>
          <w:rFonts w:ascii="Times New Roman" w:hAnsi="Times New Roman"/>
          <w:sz w:val="23"/>
          <w:szCs w:val="23"/>
        </w:rPr>
        <w:t>conflict between MAR</w:t>
      </w:r>
      <w:r>
        <w:rPr>
          <w:rFonts w:ascii="Times New Roman" w:hAnsi="Times New Roman"/>
          <w:sz w:val="23"/>
          <w:szCs w:val="23"/>
        </w:rPr>
        <w:t xml:space="preserve"> </w:t>
      </w:r>
      <w:r w:rsidRPr="006E510B">
        <w:rPr>
          <w:rFonts w:ascii="Times New Roman" w:hAnsi="Times New Roman"/>
          <w:sz w:val="23"/>
          <w:szCs w:val="23"/>
        </w:rPr>
        <w:t xml:space="preserve">and </w:t>
      </w:r>
      <w:r>
        <w:rPr>
          <w:rFonts w:ascii="Times New Roman" w:hAnsi="Times New Roman"/>
          <w:sz w:val="23"/>
          <w:szCs w:val="23"/>
        </w:rPr>
        <w:t>t</w:t>
      </w:r>
      <w:r w:rsidRPr="00207AFB">
        <w:rPr>
          <w:rFonts w:ascii="Times New Roman" w:hAnsi="Times New Roman"/>
          <w:sz w:val="23"/>
          <w:szCs w:val="23"/>
        </w:rPr>
        <w:t xml:space="preserve">he </w:t>
      </w:r>
      <w:r>
        <w:rPr>
          <w:rFonts w:ascii="Times New Roman" w:hAnsi="Times New Roman"/>
          <w:sz w:val="23"/>
          <w:szCs w:val="23"/>
        </w:rPr>
        <w:t>M</w:t>
      </w:r>
      <w:r w:rsidRPr="00207AFB">
        <w:rPr>
          <w:rFonts w:ascii="Times New Roman" w:hAnsi="Times New Roman"/>
          <w:sz w:val="23"/>
          <w:szCs w:val="23"/>
        </w:rPr>
        <w:t>arkets in financial instruments</w:t>
      </w:r>
      <w:r>
        <w:rPr>
          <w:rFonts w:ascii="Times New Roman" w:hAnsi="Times New Roman"/>
          <w:sz w:val="23"/>
          <w:szCs w:val="23"/>
        </w:rPr>
        <w:t xml:space="preserve"> directive and regulation package</w:t>
      </w:r>
      <w:r w:rsidRPr="00207AFB">
        <w:rPr>
          <w:rFonts w:ascii="Times New Roman" w:hAnsi="Times New Roman"/>
          <w:sz w:val="23"/>
          <w:szCs w:val="23"/>
        </w:rPr>
        <w:t xml:space="preserve"> (MiFID 2)</w:t>
      </w:r>
      <w:r>
        <w:rPr>
          <w:rFonts w:ascii="Times New Roman" w:hAnsi="Times New Roman"/>
          <w:sz w:val="23"/>
          <w:szCs w:val="23"/>
        </w:rPr>
        <w:t xml:space="preserve"> as well as </w:t>
      </w:r>
      <w:r w:rsidRPr="00207AFB">
        <w:rPr>
          <w:rFonts w:ascii="Times New Roman" w:hAnsi="Times New Roman"/>
          <w:sz w:val="23"/>
          <w:szCs w:val="23"/>
        </w:rPr>
        <w:t>European Market Infrastructure Regulation (EMIR)</w:t>
      </w:r>
      <w:r>
        <w:rPr>
          <w:rFonts w:ascii="Times New Roman" w:hAnsi="Times New Roman"/>
          <w:sz w:val="23"/>
          <w:szCs w:val="23"/>
        </w:rPr>
        <w:t>, eg regarding suspicious transactions reporting</w:t>
      </w:r>
      <w:r w:rsidRPr="006E510B">
        <w:rPr>
          <w:rFonts w:ascii="Times New Roman" w:hAnsi="Times New Roman"/>
          <w:sz w:val="23"/>
          <w:szCs w:val="23"/>
        </w:rPr>
        <w:t>.</w:t>
      </w:r>
    </w:p>
    <w:p w:rsidR="00F16DC4" w:rsidRDefault="00F16DC4" w:rsidP="00F16DC4">
      <w:pPr>
        <w:jc w:val="both"/>
        <w:rPr>
          <w:rFonts w:ascii="Times New Roman" w:hAnsi="Times New Roman"/>
          <w:sz w:val="23"/>
          <w:szCs w:val="23"/>
        </w:rPr>
      </w:pPr>
    </w:p>
    <w:p w:rsidR="00F16DC4" w:rsidRDefault="00F16DC4" w:rsidP="00F16DC4">
      <w:pPr>
        <w:jc w:val="both"/>
        <w:rPr>
          <w:rFonts w:ascii="Times New Roman" w:hAnsi="Times New Roman"/>
          <w:sz w:val="23"/>
          <w:szCs w:val="23"/>
        </w:rPr>
      </w:pPr>
      <w:r>
        <w:rPr>
          <w:rFonts w:ascii="Times New Roman" w:hAnsi="Times New Roman"/>
          <w:sz w:val="23"/>
          <w:szCs w:val="23"/>
        </w:rPr>
        <w:t>Furthermore the proposed rules on the emission allowances markets participants (EAMP) thresholds would require several clarifications and corrections.</w:t>
      </w:r>
    </w:p>
    <w:p w:rsidR="00F16DC4" w:rsidRDefault="00F16DC4" w:rsidP="00F16DC4">
      <w:pPr>
        <w:jc w:val="both"/>
        <w:rPr>
          <w:rFonts w:ascii="Times New Roman" w:hAnsi="Times New Roman"/>
          <w:sz w:val="23"/>
          <w:szCs w:val="23"/>
        </w:rPr>
      </w:pPr>
    </w:p>
    <w:p w:rsidR="00F16DC4" w:rsidRDefault="00F16DC4" w:rsidP="00F16DC4">
      <w:pPr>
        <w:jc w:val="both"/>
        <w:rPr>
          <w:rFonts w:ascii="Times New Roman" w:hAnsi="Times New Roman"/>
          <w:sz w:val="23"/>
          <w:szCs w:val="23"/>
        </w:rPr>
      </w:pPr>
      <w:r w:rsidRPr="004F1F48">
        <w:rPr>
          <w:rFonts w:ascii="Times New Roman" w:hAnsi="Times New Roman"/>
          <w:sz w:val="23"/>
          <w:szCs w:val="23"/>
        </w:rPr>
        <w:t xml:space="preserve">With regard to </w:t>
      </w:r>
      <w:r w:rsidRPr="004F1F48">
        <w:rPr>
          <w:rFonts w:ascii="Times New Roman" w:hAnsi="Times New Roman"/>
          <w:sz w:val="23"/>
          <w:szCs w:val="23"/>
        </w:rPr>
        <w:tab/>
        <w:t xml:space="preserve">REMIT, effort should be made to avoid imposing disclosure requirements for inside information </w:t>
      </w:r>
      <w:r>
        <w:rPr>
          <w:rFonts w:ascii="Times New Roman" w:hAnsi="Times New Roman"/>
          <w:sz w:val="23"/>
          <w:szCs w:val="23"/>
        </w:rPr>
        <w:t xml:space="preserve">via MAR </w:t>
      </w:r>
      <w:r w:rsidRPr="004F1F48">
        <w:rPr>
          <w:rFonts w:ascii="Times New Roman" w:hAnsi="Times New Roman"/>
          <w:sz w:val="23"/>
          <w:szCs w:val="23"/>
        </w:rPr>
        <w:t>which effectively duplicate existing requirements already in place under R</w:t>
      </w:r>
      <w:r w:rsidRPr="004F1F48">
        <w:rPr>
          <w:rFonts w:ascii="Times New Roman" w:hAnsi="Times New Roman"/>
          <w:sz w:val="23"/>
          <w:szCs w:val="23"/>
        </w:rPr>
        <w:t>E</w:t>
      </w:r>
      <w:r w:rsidRPr="004F1F48">
        <w:rPr>
          <w:rFonts w:ascii="Times New Roman" w:hAnsi="Times New Roman"/>
          <w:sz w:val="23"/>
          <w:szCs w:val="23"/>
        </w:rPr>
        <w:t>MIT.</w:t>
      </w:r>
      <w:r>
        <w:rPr>
          <w:rFonts w:ascii="Times New Roman" w:hAnsi="Times New Roman"/>
          <w:sz w:val="23"/>
          <w:szCs w:val="23"/>
        </w:rPr>
        <w:t xml:space="preserve"> </w:t>
      </w:r>
    </w:p>
    <w:p w:rsidR="00F16DC4" w:rsidRDefault="00F16DC4" w:rsidP="00F16DC4">
      <w:pPr>
        <w:jc w:val="both"/>
        <w:rPr>
          <w:rFonts w:ascii="Times New Roman" w:hAnsi="Times New Roman"/>
          <w:sz w:val="23"/>
          <w:szCs w:val="23"/>
        </w:rPr>
      </w:pPr>
    </w:p>
    <w:p w:rsidR="008627FF" w:rsidRPr="00F16DC4" w:rsidRDefault="00F16DC4" w:rsidP="00F16DC4">
      <w:pPr>
        <w:jc w:val="both"/>
        <w:rPr>
          <w:rFonts w:ascii="Times New Roman" w:hAnsi="Times New Roman"/>
          <w:sz w:val="23"/>
          <w:szCs w:val="23"/>
        </w:rPr>
      </w:pPr>
      <w:r w:rsidRPr="0027688D">
        <w:rPr>
          <w:rFonts w:ascii="Times New Roman" w:hAnsi="Times New Roman"/>
          <w:sz w:val="23"/>
          <w:szCs w:val="23"/>
        </w:rPr>
        <w:t xml:space="preserve">We would also like to make a general comment </w:t>
      </w:r>
      <w:r>
        <w:rPr>
          <w:rFonts w:ascii="Times New Roman" w:hAnsi="Times New Roman"/>
          <w:sz w:val="23"/>
          <w:szCs w:val="23"/>
        </w:rPr>
        <w:t xml:space="preserve">that we firmly believe </w:t>
      </w:r>
      <w:r w:rsidRPr="0027688D">
        <w:rPr>
          <w:rFonts w:ascii="Times New Roman" w:hAnsi="Times New Roman"/>
          <w:sz w:val="23"/>
          <w:szCs w:val="23"/>
        </w:rPr>
        <w:t>contracts which are financial instruments as described in Sections C(4) to C(10) of Annex I to MiFID2 (derivatives) do not have an ‘issuer’ for the purposes of MAR whether they are entered into on or outside a trading venue. A person who is a counterparty to the contract (or enters into the contract as an agent for a counterparty to the contract), a central counterparty that clears that contract or the operator of a trading venue on which that contract is traded is not the issuer of the contract for the purposes of MAR. Similarly, emissions allowances as described in Section C (11) of MiFID2 do not have an ‘issuer’ for the pu</w:t>
      </w:r>
      <w:r w:rsidRPr="0027688D">
        <w:rPr>
          <w:rFonts w:ascii="Times New Roman" w:hAnsi="Times New Roman"/>
          <w:sz w:val="23"/>
          <w:szCs w:val="23"/>
        </w:rPr>
        <w:t>r</w:t>
      </w:r>
      <w:r w:rsidRPr="0027688D">
        <w:rPr>
          <w:rFonts w:ascii="Times New Roman" w:hAnsi="Times New Roman"/>
          <w:sz w:val="23"/>
          <w:szCs w:val="23"/>
        </w:rPr>
        <w:t>poses of MAR.</w:t>
      </w:r>
      <w:r>
        <w:rPr>
          <w:rFonts w:ascii="Times New Roman" w:hAnsi="Times New Roman"/>
          <w:sz w:val="23"/>
          <w:szCs w:val="23"/>
        </w:rPr>
        <w:t xml:space="preserve"> </w:t>
      </w:r>
      <w:r w:rsidRPr="0051018F">
        <w:rPr>
          <w:rFonts w:ascii="Times New Roman" w:hAnsi="Times New Roman"/>
          <w:sz w:val="23"/>
          <w:szCs w:val="23"/>
        </w:rPr>
        <w:t xml:space="preserve">We </w:t>
      </w:r>
      <w:r>
        <w:rPr>
          <w:rFonts w:ascii="Times New Roman" w:hAnsi="Times New Roman"/>
          <w:sz w:val="23"/>
          <w:szCs w:val="23"/>
        </w:rPr>
        <w:t>are</w:t>
      </w:r>
      <w:r w:rsidRPr="0051018F">
        <w:rPr>
          <w:rFonts w:ascii="Times New Roman" w:hAnsi="Times New Roman"/>
          <w:sz w:val="23"/>
          <w:szCs w:val="23"/>
        </w:rPr>
        <w:t xml:space="preserve"> respond</w:t>
      </w:r>
      <w:r>
        <w:rPr>
          <w:rFonts w:ascii="Times New Roman" w:hAnsi="Times New Roman"/>
          <w:sz w:val="23"/>
          <w:szCs w:val="23"/>
        </w:rPr>
        <w:t>ing</w:t>
      </w:r>
      <w:r w:rsidRPr="0051018F">
        <w:rPr>
          <w:rFonts w:ascii="Times New Roman" w:hAnsi="Times New Roman"/>
          <w:sz w:val="23"/>
          <w:szCs w:val="23"/>
        </w:rPr>
        <w:t xml:space="preserve"> to this consultation paper with that </w:t>
      </w:r>
      <w:r>
        <w:rPr>
          <w:rFonts w:ascii="Times New Roman" w:hAnsi="Times New Roman"/>
          <w:sz w:val="23"/>
          <w:szCs w:val="23"/>
        </w:rPr>
        <w:t xml:space="preserve">point </w:t>
      </w:r>
      <w:r w:rsidRPr="0051018F">
        <w:rPr>
          <w:rFonts w:ascii="Times New Roman" w:hAnsi="Times New Roman"/>
          <w:sz w:val="23"/>
          <w:szCs w:val="23"/>
        </w:rPr>
        <w:t>in mind.</w:t>
      </w:r>
    </w:p>
    <w:permEnd w:id="26751572"/>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2D626F" w:rsidRPr="000060D7" w:rsidRDefault="002D626F" w:rsidP="002D626F">
      <w:pPr>
        <w:jc w:val="both"/>
        <w:rPr>
          <w:rFonts w:ascii="Times New Roman" w:hAnsi="Times New Roman"/>
          <w:color w:val="000000" w:themeColor="text1"/>
          <w:sz w:val="23"/>
          <w:szCs w:val="23"/>
        </w:rPr>
      </w:pPr>
      <w:permStart w:id="1751664690" w:edGrp="everyone"/>
      <w:r w:rsidRPr="000060D7">
        <w:rPr>
          <w:rFonts w:ascii="Times New Roman" w:eastAsiaTheme="minorHAnsi" w:hAnsi="Times New Roman"/>
          <w:b/>
          <w:bCs/>
          <w:color w:val="000000" w:themeColor="text1"/>
          <w:sz w:val="23"/>
          <w:szCs w:val="23"/>
        </w:rPr>
        <w:t>Buy-backs undertaken through derivatives</w:t>
      </w:r>
    </w:p>
    <w:p w:rsidR="002D626F" w:rsidRPr="00247B85" w:rsidRDefault="002D626F" w:rsidP="002D626F">
      <w:pPr>
        <w:pStyle w:val="ListParagraph"/>
        <w:contextualSpacing w:val="0"/>
        <w:jc w:val="both"/>
        <w:rPr>
          <w:rFonts w:ascii="Times New Roman" w:eastAsiaTheme="minorHAnsi" w:hAnsi="Times New Roman"/>
          <w:b/>
          <w:bCs/>
          <w:color w:val="000000" w:themeColor="text1"/>
          <w:sz w:val="23"/>
          <w:szCs w:val="23"/>
          <w:u w:val="single"/>
        </w:rPr>
      </w:pPr>
    </w:p>
    <w:p w:rsidR="002D626F" w:rsidRDefault="002D626F" w:rsidP="002D626F">
      <w:pPr>
        <w:jc w:val="both"/>
        <w:rPr>
          <w:rFonts w:ascii="Times New Roman" w:hAnsi="Times New Roman"/>
          <w:bCs/>
          <w:color w:val="000000" w:themeColor="text1"/>
          <w:sz w:val="23"/>
          <w:szCs w:val="23"/>
        </w:rPr>
      </w:pPr>
      <w:r w:rsidRPr="00247B85">
        <w:rPr>
          <w:rFonts w:ascii="Times New Roman" w:hAnsi="Times New Roman"/>
          <w:bCs/>
          <w:color w:val="000000" w:themeColor="text1"/>
          <w:sz w:val="23"/>
          <w:szCs w:val="23"/>
        </w:rPr>
        <w:t xml:space="preserve">We do not support ESMA’s </w:t>
      </w:r>
      <w:r w:rsidRPr="00247B85">
        <w:rPr>
          <w:rFonts w:ascii="Times New Roman" w:hAnsi="Times New Roman"/>
          <w:color w:val="000000" w:themeColor="text1"/>
          <w:sz w:val="23"/>
          <w:szCs w:val="23"/>
        </w:rPr>
        <w:t>statement</w:t>
      </w:r>
      <w:r w:rsidRPr="00247B85">
        <w:rPr>
          <w:rFonts w:ascii="Times New Roman" w:hAnsi="Times New Roman"/>
          <w:bCs/>
          <w:color w:val="000000" w:themeColor="text1"/>
          <w:sz w:val="23"/>
          <w:szCs w:val="23"/>
        </w:rPr>
        <w:t xml:space="preserve"> that buy-backs with associated instruments such as derivatives do not fall under the safe harbour (</w:t>
      </w:r>
      <w:r w:rsidRPr="00247B85">
        <w:rPr>
          <w:rFonts w:ascii="Times New Roman" w:hAnsi="Times New Roman"/>
          <w:color w:val="000000" w:themeColor="text1"/>
          <w:sz w:val="23"/>
          <w:szCs w:val="23"/>
        </w:rPr>
        <w:t>the consultation paper Paragraph 9 and draft</w:t>
      </w:r>
      <w:r>
        <w:rPr>
          <w:rFonts w:ascii="Times New Roman" w:hAnsi="Times New Roman"/>
          <w:color w:val="000000" w:themeColor="text1"/>
          <w:sz w:val="23"/>
          <w:szCs w:val="23"/>
        </w:rPr>
        <w:t xml:space="preserve"> regulatory technical standards</w:t>
      </w:r>
      <w:r w:rsidRPr="00247B85">
        <w:rPr>
          <w:rFonts w:ascii="Times New Roman" w:hAnsi="Times New Roman"/>
          <w:color w:val="000000" w:themeColor="text1"/>
          <w:sz w:val="23"/>
          <w:szCs w:val="23"/>
        </w:rPr>
        <w:t xml:space="preserve"> </w:t>
      </w:r>
      <w:r>
        <w:rPr>
          <w:rFonts w:ascii="Times New Roman" w:hAnsi="Times New Roman"/>
          <w:color w:val="000000" w:themeColor="text1"/>
          <w:sz w:val="23"/>
          <w:szCs w:val="23"/>
        </w:rPr>
        <w:t>(</w:t>
      </w:r>
      <w:r w:rsidRPr="00247B85">
        <w:rPr>
          <w:rFonts w:ascii="Times New Roman" w:hAnsi="Times New Roman"/>
          <w:color w:val="000000" w:themeColor="text1"/>
          <w:sz w:val="23"/>
          <w:szCs w:val="23"/>
        </w:rPr>
        <w:t>RTS</w:t>
      </w:r>
      <w:r>
        <w:rPr>
          <w:rFonts w:ascii="Times New Roman" w:hAnsi="Times New Roman"/>
          <w:color w:val="000000" w:themeColor="text1"/>
          <w:sz w:val="23"/>
          <w:szCs w:val="23"/>
        </w:rPr>
        <w:t>)</w:t>
      </w:r>
      <w:r w:rsidRPr="00247B85">
        <w:rPr>
          <w:rFonts w:ascii="Times New Roman" w:hAnsi="Times New Roman"/>
          <w:color w:val="000000" w:themeColor="text1"/>
          <w:sz w:val="23"/>
          <w:szCs w:val="23"/>
        </w:rPr>
        <w:t xml:space="preserve"> Recital 2 and 3</w:t>
      </w:r>
      <w:r>
        <w:rPr>
          <w:rFonts w:ascii="Times New Roman" w:hAnsi="Times New Roman"/>
          <w:color w:val="000000" w:themeColor="text1"/>
          <w:sz w:val="23"/>
          <w:szCs w:val="23"/>
        </w:rPr>
        <w:t>)</w:t>
      </w:r>
      <w:r>
        <w:rPr>
          <w:rFonts w:ascii="Times New Roman" w:hAnsi="Times New Roman"/>
          <w:bCs/>
          <w:color w:val="000000" w:themeColor="text1"/>
          <w:sz w:val="23"/>
          <w:szCs w:val="23"/>
        </w:rPr>
        <w:t>.</w:t>
      </w:r>
    </w:p>
    <w:p w:rsidR="002D626F" w:rsidRPr="00247B85" w:rsidRDefault="002D626F" w:rsidP="002D626F">
      <w:pPr>
        <w:jc w:val="both"/>
        <w:rPr>
          <w:rFonts w:ascii="Times New Roman" w:hAnsi="Times New Roman"/>
          <w:bCs/>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Under the current MAD 1 regime (Art 8)</w:t>
      </w:r>
      <w:r>
        <w:rPr>
          <w:rFonts w:ascii="Times New Roman" w:hAnsi="Times New Roman"/>
          <w:color w:val="000000" w:themeColor="text1"/>
          <w:sz w:val="23"/>
          <w:szCs w:val="23"/>
        </w:rPr>
        <w:t>, the Commission</w:t>
      </w:r>
      <w:r w:rsidRPr="00247B85">
        <w:rPr>
          <w:rFonts w:ascii="Times New Roman" w:hAnsi="Times New Roman"/>
          <w:color w:val="000000" w:themeColor="text1"/>
          <w:sz w:val="23"/>
          <w:szCs w:val="23"/>
        </w:rPr>
        <w:t xml:space="preserve"> MAD implementing Regulation (2273/2003)  states that trading in own shares in buy-back programmes may be carried out through ‘derivatives financial instruments’ and also specifies what price limitation the issuer should comply with to fall under the safe harbour (Regulation 2272/2003, </w:t>
      </w:r>
      <w:r>
        <w:rPr>
          <w:rFonts w:ascii="Times New Roman" w:hAnsi="Times New Roman"/>
          <w:color w:val="000000" w:themeColor="text1"/>
          <w:sz w:val="23"/>
          <w:szCs w:val="23"/>
        </w:rPr>
        <w:t xml:space="preserve">Recital 8 and Article 5(1)). </w:t>
      </w:r>
      <w:r w:rsidRPr="00247B85">
        <w:rPr>
          <w:rFonts w:ascii="Times New Roman" w:hAnsi="Times New Roman"/>
          <w:color w:val="000000" w:themeColor="text1"/>
          <w:sz w:val="23"/>
          <w:szCs w:val="23"/>
        </w:rPr>
        <w:t xml:space="preserve">Given the wording of Article 5(1) of MAR is for all intents and purposes identical to the wording in Article 8 MAD 1 as concerns buy-backs, there is no textual nor discernible policy rationale presented for the exclusion of derivative financial instruments from the benefit of the buy-backs safe harbour. </w:t>
      </w:r>
    </w:p>
    <w:p w:rsidR="002D626F" w:rsidRDefault="002D626F" w:rsidP="002D626F">
      <w:pPr>
        <w:jc w:val="both"/>
        <w:rPr>
          <w:rFonts w:ascii="Times New Roman" w:hAnsi="Times New Roman"/>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We consider the phrase ‘trading in own shares’ to encompass trading in derivative financial instr</w:t>
      </w:r>
      <w:r w:rsidRPr="00247B85">
        <w:rPr>
          <w:rFonts w:ascii="Times New Roman" w:hAnsi="Times New Roman"/>
          <w:color w:val="000000" w:themeColor="text1"/>
          <w:sz w:val="23"/>
          <w:szCs w:val="23"/>
        </w:rPr>
        <w:t>u</w:t>
      </w:r>
      <w:r w:rsidRPr="00247B85">
        <w:rPr>
          <w:rFonts w:ascii="Times New Roman" w:hAnsi="Times New Roman"/>
          <w:color w:val="000000" w:themeColor="text1"/>
          <w:sz w:val="23"/>
          <w:szCs w:val="23"/>
        </w:rPr>
        <w:t xml:space="preserve">ments as in many cases these instruments will grant the issuer the right to purchase or take delivery of their own shares. There is still a change of ownership in the underlying shares with the issuer as the ultimate purchaser and thus there is no substantive difference in the economics </w:t>
      </w:r>
      <w:r>
        <w:rPr>
          <w:rFonts w:ascii="Times New Roman" w:hAnsi="Times New Roman"/>
          <w:color w:val="000000" w:themeColor="text1"/>
          <w:sz w:val="23"/>
          <w:szCs w:val="23"/>
        </w:rPr>
        <w:t xml:space="preserve">or market impact </w:t>
      </w:r>
      <w:r w:rsidRPr="00247B85">
        <w:rPr>
          <w:rFonts w:ascii="Times New Roman" w:hAnsi="Times New Roman"/>
          <w:color w:val="000000" w:themeColor="text1"/>
          <w:sz w:val="23"/>
          <w:szCs w:val="23"/>
        </w:rPr>
        <w:t>of an issuer undertaking a buy-back through a derivative financial instrument and solely effecting the buy-back via a direct purchase of the issuer’s shares</w:t>
      </w:r>
      <w:r>
        <w:rPr>
          <w:rFonts w:ascii="Times New Roman" w:hAnsi="Times New Roman"/>
          <w:color w:val="000000" w:themeColor="text1"/>
          <w:sz w:val="23"/>
          <w:szCs w:val="23"/>
        </w:rPr>
        <w:t>.</w:t>
      </w:r>
      <w:r w:rsidRPr="001E3F86">
        <w:rPr>
          <w:rFonts w:ascii="Times New Roman" w:hAnsi="Times New Roman"/>
          <w:color w:val="000000" w:themeColor="text1"/>
          <w:sz w:val="23"/>
          <w:szCs w:val="23"/>
        </w:rPr>
        <w:t xml:space="preserve"> </w:t>
      </w:r>
      <w:r>
        <w:rPr>
          <w:rFonts w:ascii="Times New Roman" w:hAnsi="Times New Roman"/>
          <w:color w:val="000000" w:themeColor="text1"/>
          <w:sz w:val="23"/>
          <w:szCs w:val="23"/>
        </w:rPr>
        <w:t>In addition,</w:t>
      </w:r>
      <w:r w:rsidRPr="00247B85">
        <w:rPr>
          <w:rFonts w:ascii="Times New Roman" w:hAnsi="Times New Roman"/>
          <w:color w:val="000000" w:themeColor="text1"/>
          <w:sz w:val="23"/>
          <w:szCs w:val="23"/>
        </w:rPr>
        <w:t xml:space="preserve"> trading in derivatives on own hares within buy back programmes may play a very important role of hedging, eg reducing exposure to adverse share price movements and managing market risk with a view to achieving the best outcome for shareholders.</w:t>
      </w:r>
    </w:p>
    <w:p w:rsidR="002D626F" w:rsidRPr="00247B85" w:rsidRDefault="002D626F" w:rsidP="002D626F">
      <w:pPr>
        <w:jc w:val="both"/>
        <w:rPr>
          <w:rFonts w:ascii="Times New Roman" w:hAnsi="Times New Roman"/>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ESMA’s justification for the exclusion of derivatives is that the Level 1 text only uses the word ‘shares’ and not ‘associated instruments’ (as a comparison with the stabilisation section which speci</w:t>
      </w:r>
      <w:r w:rsidRPr="00247B85">
        <w:rPr>
          <w:rFonts w:ascii="Times New Roman" w:hAnsi="Times New Roman"/>
          <w:color w:val="000000" w:themeColor="text1"/>
          <w:sz w:val="23"/>
          <w:szCs w:val="23"/>
        </w:rPr>
        <w:t>f</w:t>
      </w:r>
      <w:r w:rsidRPr="00247B85">
        <w:rPr>
          <w:rFonts w:ascii="Times New Roman" w:hAnsi="Times New Roman"/>
          <w:color w:val="000000" w:themeColor="text1"/>
          <w:sz w:val="23"/>
          <w:szCs w:val="23"/>
        </w:rPr>
        <w:t>ically references ‘associated instruments’), however, this is also the case under MAD 1. We do not agree with ESMA’s interpretation of the Level 1 text and we do not think that MAR excludes buy-back programmes which include the purchase of own shares undertaken through derivatives (just by virtue of the text being sil</w:t>
      </w:r>
      <w:r>
        <w:rPr>
          <w:rFonts w:ascii="Times New Roman" w:hAnsi="Times New Roman"/>
          <w:color w:val="000000" w:themeColor="text1"/>
          <w:sz w:val="23"/>
          <w:szCs w:val="23"/>
        </w:rPr>
        <w:t>ent on the derivative element).</w:t>
      </w:r>
    </w:p>
    <w:p w:rsidR="002D626F" w:rsidRPr="00247B85" w:rsidRDefault="002D626F" w:rsidP="002D626F">
      <w:pPr>
        <w:jc w:val="both"/>
        <w:rPr>
          <w:rFonts w:ascii="Times New Roman" w:hAnsi="Times New Roman"/>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Therefore, we believe that as long as the purpose, disclosure, price and volume requirements are complied with, trading in own shares in buy-back programmes even when undertaken through deriv</w:t>
      </w:r>
      <w:r w:rsidRPr="00247B85">
        <w:rPr>
          <w:rFonts w:ascii="Times New Roman" w:hAnsi="Times New Roman"/>
          <w:color w:val="000000" w:themeColor="text1"/>
          <w:sz w:val="23"/>
          <w:szCs w:val="23"/>
        </w:rPr>
        <w:t>a</w:t>
      </w:r>
      <w:r w:rsidRPr="00247B85">
        <w:rPr>
          <w:rFonts w:ascii="Times New Roman" w:hAnsi="Times New Roman"/>
          <w:color w:val="000000" w:themeColor="text1"/>
          <w:sz w:val="23"/>
          <w:szCs w:val="23"/>
        </w:rPr>
        <w:t xml:space="preserve">tives (both OTC and venue traded) should fall under the MAR safe harbour. </w:t>
      </w:r>
    </w:p>
    <w:p w:rsidR="002D626F" w:rsidRPr="00247B85" w:rsidRDefault="002D626F" w:rsidP="002D626F">
      <w:pPr>
        <w:jc w:val="both"/>
        <w:rPr>
          <w:rFonts w:ascii="Times New Roman" w:hAnsi="Times New Roman"/>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Consequently, we would suggest that the draft RTS Recitals 2 and 3 are removed and replaced by Recital 8 of</w:t>
      </w:r>
      <w:r>
        <w:rPr>
          <w:rFonts w:ascii="Times New Roman" w:hAnsi="Times New Roman"/>
          <w:color w:val="000000" w:themeColor="text1"/>
          <w:sz w:val="23"/>
          <w:szCs w:val="23"/>
        </w:rPr>
        <w:t xml:space="preserve"> the Regulation (2273/2003): ‘</w:t>
      </w:r>
      <w:r w:rsidRPr="00247B85">
        <w:rPr>
          <w:rFonts w:ascii="Times New Roman" w:hAnsi="Times New Roman"/>
          <w:color w:val="000000" w:themeColor="text1"/>
          <w:sz w:val="23"/>
          <w:szCs w:val="23"/>
        </w:rPr>
        <w:t>Trading in own shares in ‘buy-back’ programmes may be carried out through derivative financial instrument’.</w:t>
      </w:r>
    </w:p>
    <w:p w:rsidR="002D626F" w:rsidRPr="00247B85" w:rsidRDefault="002D626F" w:rsidP="002D626F">
      <w:pPr>
        <w:jc w:val="both"/>
        <w:rPr>
          <w:rFonts w:ascii="Times New Roman" w:hAnsi="Times New Roman"/>
          <w:color w:val="000000" w:themeColor="text1"/>
          <w:sz w:val="23"/>
          <w:szCs w:val="23"/>
        </w:rPr>
      </w:pPr>
    </w:p>
    <w:p w:rsidR="002D626F" w:rsidRPr="00247B85"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Moreover, in draft RTS Art 4. 2. second paragraph shall be added (as per Art 5.1 paragraph 3 of Regulation 2273/2003): ‘Where the issuer carries out the purchase of own shares through derivative financial instruments, the exercise price of those derivative financial instruments shall not be above the higher of the price of the last independent trade and the highest current independent bid.</w:t>
      </w:r>
      <w:r>
        <w:rPr>
          <w:rFonts w:ascii="Times New Roman" w:hAnsi="Times New Roman"/>
          <w:color w:val="000000" w:themeColor="text1"/>
          <w:sz w:val="23"/>
          <w:szCs w:val="23"/>
        </w:rPr>
        <w:t>’</w:t>
      </w:r>
      <w:r w:rsidRPr="00247B85">
        <w:rPr>
          <w:rFonts w:ascii="Times New Roman" w:hAnsi="Times New Roman"/>
          <w:color w:val="000000" w:themeColor="text1"/>
          <w:sz w:val="23"/>
          <w:szCs w:val="23"/>
        </w:rPr>
        <w:t xml:space="preserve"> </w:t>
      </w:r>
    </w:p>
    <w:p w:rsidR="002D626F" w:rsidRDefault="002D626F" w:rsidP="002D626F">
      <w:pPr>
        <w:jc w:val="both"/>
        <w:rPr>
          <w:rFonts w:ascii="Times New Roman" w:eastAsiaTheme="minorHAnsi" w:hAnsi="Times New Roman"/>
          <w:b/>
          <w:bCs/>
          <w:color w:val="000000" w:themeColor="text1"/>
          <w:sz w:val="23"/>
          <w:szCs w:val="23"/>
        </w:rPr>
      </w:pPr>
    </w:p>
    <w:p w:rsidR="002D626F" w:rsidRPr="00247B85" w:rsidRDefault="002D626F" w:rsidP="002D626F">
      <w:pPr>
        <w:jc w:val="both"/>
        <w:rPr>
          <w:rFonts w:ascii="Times New Roman" w:eastAsiaTheme="minorHAnsi" w:hAnsi="Times New Roman"/>
          <w:b/>
          <w:bCs/>
          <w:color w:val="000000" w:themeColor="text1"/>
          <w:sz w:val="23"/>
          <w:szCs w:val="23"/>
        </w:rPr>
      </w:pPr>
      <w:r w:rsidRPr="00247B85">
        <w:rPr>
          <w:rFonts w:ascii="Times New Roman" w:eastAsiaTheme="minorHAnsi" w:hAnsi="Times New Roman"/>
          <w:b/>
          <w:bCs/>
          <w:color w:val="000000" w:themeColor="text1"/>
          <w:sz w:val="23"/>
          <w:szCs w:val="23"/>
        </w:rPr>
        <w:t>OTC trades</w:t>
      </w:r>
    </w:p>
    <w:p w:rsidR="002D626F" w:rsidRPr="00247B85" w:rsidRDefault="002D626F" w:rsidP="002D626F">
      <w:pPr>
        <w:jc w:val="both"/>
        <w:rPr>
          <w:rFonts w:ascii="Times New Roman" w:eastAsiaTheme="minorHAnsi" w:hAnsi="Times New Roman"/>
          <w:b/>
          <w:bCs/>
          <w:color w:val="000000" w:themeColor="text1"/>
          <w:sz w:val="23"/>
          <w:szCs w:val="23"/>
          <w:u w:val="single"/>
        </w:rPr>
      </w:pPr>
    </w:p>
    <w:p w:rsidR="002D626F" w:rsidRPr="00247B85"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 xml:space="preserve">In paragraph 22 of the consultation paper ESMA suggests that only buy-back transactions carried out on a trading venue where the shares are admitted to trading or traded should benefit from the safe harbour. We do not think there is any legal basis that would allow ESMA to restrict the scope of the exemption and exclude OTC trading from the safe harbour. </w:t>
      </w:r>
      <w:r>
        <w:rPr>
          <w:rFonts w:ascii="Times New Roman" w:hAnsi="Times New Roman"/>
          <w:color w:val="000000" w:themeColor="text1"/>
          <w:sz w:val="23"/>
          <w:szCs w:val="23"/>
        </w:rPr>
        <w:t>A</w:t>
      </w:r>
      <w:r w:rsidRPr="00247B85">
        <w:rPr>
          <w:rFonts w:ascii="Times New Roman" w:hAnsi="Times New Roman"/>
          <w:color w:val="000000" w:themeColor="text1"/>
          <w:sz w:val="23"/>
          <w:szCs w:val="23"/>
        </w:rPr>
        <w:t xml:space="preserve">s long as the purpose, disclosure, price and volume requirements are complied with, trading in own shares in buy-back programmes should fall under the safe harbour whether the transactions have been carried out on a trading venue or not. Therefore draft RTS Article 4.1. should be modified to cover OTC trading. </w:t>
      </w:r>
    </w:p>
    <w:p w:rsidR="002D626F" w:rsidRDefault="002D626F" w:rsidP="002D626F">
      <w:pPr>
        <w:pStyle w:val="CommentText"/>
        <w:jc w:val="both"/>
        <w:rPr>
          <w:rFonts w:ascii="Times New Roman" w:hAnsi="Times New Roman"/>
          <w:b/>
          <w:bCs/>
          <w:color w:val="000000" w:themeColor="text1"/>
          <w:sz w:val="23"/>
          <w:szCs w:val="23"/>
        </w:rPr>
      </w:pPr>
    </w:p>
    <w:p w:rsidR="002D626F" w:rsidRPr="00247B85" w:rsidRDefault="002D626F" w:rsidP="002D626F">
      <w:pPr>
        <w:pStyle w:val="CommentText"/>
        <w:jc w:val="both"/>
        <w:rPr>
          <w:rFonts w:ascii="Times New Roman" w:hAnsi="Times New Roman"/>
          <w:b/>
          <w:bCs/>
          <w:color w:val="000000" w:themeColor="text1"/>
          <w:sz w:val="23"/>
          <w:szCs w:val="23"/>
        </w:rPr>
      </w:pPr>
      <w:r w:rsidRPr="00247B85">
        <w:rPr>
          <w:rFonts w:ascii="Times New Roman" w:hAnsi="Times New Roman"/>
          <w:b/>
          <w:bCs/>
          <w:color w:val="000000" w:themeColor="text1"/>
          <w:sz w:val="23"/>
          <w:szCs w:val="23"/>
        </w:rPr>
        <w:t>Volume limit for buy-backs</w:t>
      </w:r>
    </w:p>
    <w:p w:rsidR="002D626F" w:rsidRPr="00247B85" w:rsidRDefault="002D626F" w:rsidP="002D626F">
      <w:pPr>
        <w:pStyle w:val="CommentText"/>
        <w:jc w:val="both"/>
        <w:rPr>
          <w:rFonts w:ascii="Times New Roman" w:hAnsi="Times New Roman"/>
          <w:b/>
          <w:bCs/>
          <w:color w:val="000000" w:themeColor="text1"/>
          <w:sz w:val="23"/>
          <w:szCs w:val="23"/>
          <w:u w:val="single"/>
        </w:rPr>
      </w:pPr>
    </w:p>
    <w:p w:rsidR="002D626F" w:rsidRPr="00247B85"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 xml:space="preserve">We support maintaining the current regime of 50%. Although infrequently used, we believe it is sensible to retain the 50% rule for stocks with low liquidity. If buy-backs were to be conducted in illiquid stocks a higher threshold would be necessary for these stocks and therefore we believe it is important for MAR to be able to cater for these situations. Therefore Article 4.3 of draft RTS should reflect Art 5.3 of Regulation 2273/2003. </w:t>
      </w:r>
    </w:p>
    <w:p w:rsidR="002D626F" w:rsidRDefault="002D626F" w:rsidP="002D626F">
      <w:pPr>
        <w:pStyle w:val="CommentText"/>
        <w:jc w:val="both"/>
        <w:rPr>
          <w:rFonts w:ascii="Times New Roman" w:hAnsi="Times New Roman"/>
          <w:b/>
          <w:bCs/>
          <w:color w:val="000000" w:themeColor="text1"/>
          <w:sz w:val="23"/>
          <w:szCs w:val="23"/>
        </w:rPr>
      </w:pPr>
    </w:p>
    <w:p w:rsidR="002D626F" w:rsidRPr="00247B85" w:rsidRDefault="002D626F" w:rsidP="002D626F">
      <w:pPr>
        <w:pStyle w:val="CommentText"/>
        <w:jc w:val="both"/>
        <w:rPr>
          <w:rFonts w:ascii="Times New Roman" w:hAnsi="Times New Roman"/>
          <w:b/>
          <w:bCs/>
          <w:color w:val="000000" w:themeColor="text1"/>
          <w:sz w:val="23"/>
          <w:szCs w:val="23"/>
        </w:rPr>
      </w:pPr>
      <w:r w:rsidRPr="00247B85">
        <w:rPr>
          <w:rFonts w:ascii="Times New Roman" w:hAnsi="Times New Roman"/>
          <w:b/>
          <w:bCs/>
          <w:color w:val="000000" w:themeColor="text1"/>
          <w:sz w:val="23"/>
          <w:szCs w:val="23"/>
        </w:rPr>
        <w:t>Per venue volume limit</w:t>
      </w:r>
    </w:p>
    <w:p w:rsidR="002D626F" w:rsidRPr="00247B85" w:rsidRDefault="002D626F" w:rsidP="002D626F">
      <w:pPr>
        <w:pStyle w:val="CommentText"/>
        <w:jc w:val="both"/>
        <w:rPr>
          <w:rFonts w:ascii="Times New Roman" w:hAnsi="Times New Roman"/>
          <w:b/>
          <w:bCs/>
          <w:color w:val="000000" w:themeColor="text1"/>
          <w:sz w:val="23"/>
          <w:szCs w:val="23"/>
          <w:u w:val="single"/>
        </w:rPr>
      </w:pPr>
    </w:p>
    <w:p w:rsidR="002D626F" w:rsidRPr="00247B85"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We do not support ESMA’s proposal (in paragraph 28) with regards to the calculation of average daily volumes and think issuers should be allowed to use an aggregated calculation. Limiting the calculation per venue where a purchase is planned will restrict issuers to benefit from market fra</w:t>
      </w:r>
      <w:r w:rsidRPr="00247B85">
        <w:rPr>
          <w:rFonts w:ascii="Times New Roman" w:hAnsi="Times New Roman"/>
          <w:color w:val="000000" w:themeColor="text1"/>
          <w:sz w:val="23"/>
          <w:szCs w:val="23"/>
        </w:rPr>
        <w:t>g</w:t>
      </w:r>
      <w:r w:rsidRPr="00247B85">
        <w:rPr>
          <w:rFonts w:ascii="Times New Roman" w:hAnsi="Times New Roman"/>
          <w:color w:val="000000" w:themeColor="text1"/>
          <w:sz w:val="23"/>
          <w:szCs w:val="23"/>
        </w:rPr>
        <w:t>mentation and restrict firms to comply with their best execution obligations. Whereas an aggregated calculation is consistent with the Level 1 text and enables issuers to</w:t>
      </w:r>
      <w:r>
        <w:rPr>
          <w:rFonts w:ascii="Times New Roman" w:hAnsi="Times New Roman"/>
          <w:color w:val="000000" w:themeColor="text1"/>
          <w:sz w:val="23"/>
          <w:szCs w:val="23"/>
        </w:rPr>
        <w:t xml:space="preserve"> benefit from post-MiFID market </w:t>
      </w:r>
      <w:r w:rsidRPr="00247B85">
        <w:rPr>
          <w:rFonts w:ascii="Times New Roman" w:hAnsi="Times New Roman"/>
          <w:color w:val="000000" w:themeColor="text1"/>
          <w:sz w:val="23"/>
          <w:szCs w:val="23"/>
        </w:rPr>
        <w:t>fragmentation and achieve the best result for shareholders in terms of price and speed of completing a buyback programme.</w:t>
      </w:r>
    </w:p>
    <w:p w:rsidR="002D626F" w:rsidRDefault="002D626F" w:rsidP="002D626F">
      <w:pPr>
        <w:pStyle w:val="Body1"/>
        <w:ind w:left="0"/>
        <w:rPr>
          <w:rFonts w:ascii="Times New Roman" w:eastAsiaTheme="minorHAnsi" w:hAnsi="Times New Roman" w:cs="Times New Roman"/>
          <w:b/>
          <w:bCs/>
          <w:color w:val="000000" w:themeColor="text1"/>
          <w:sz w:val="23"/>
          <w:szCs w:val="23"/>
          <w:lang w:val="en-GB"/>
        </w:rPr>
      </w:pPr>
    </w:p>
    <w:p w:rsidR="002D626F" w:rsidRPr="00247B85" w:rsidRDefault="002D626F" w:rsidP="002D626F">
      <w:pPr>
        <w:pStyle w:val="Body1"/>
        <w:ind w:left="0"/>
        <w:rPr>
          <w:rFonts w:ascii="Times New Roman" w:eastAsiaTheme="minorHAnsi" w:hAnsi="Times New Roman" w:cs="Times New Roman"/>
          <w:b/>
          <w:bCs/>
          <w:color w:val="000000" w:themeColor="text1"/>
          <w:sz w:val="23"/>
          <w:szCs w:val="23"/>
          <w:lang w:val="en-GB"/>
        </w:rPr>
      </w:pPr>
      <w:r w:rsidRPr="00247B85">
        <w:rPr>
          <w:rFonts w:ascii="Times New Roman" w:eastAsiaTheme="minorHAnsi" w:hAnsi="Times New Roman" w:cs="Times New Roman"/>
          <w:b/>
          <w:bCs/>
          <w:color w:val="000000" w:themeColor="text1"/>
          <w:sz w:val="23"/>
          <w:szCs w:val="23"/>
          <w:lang w:val="en-GB"/>
        </w:rPr>
        <w:t>Disclosure to competent authorities</w:t>
      </w: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We do not support ESMA’s proposal that in case of multiple listings buy-back transactions should be reported to more than one competent authority across Europe. We do not think the Level 1 text pr</w:t>
      </w:r>
      <w:r w:rsidRPr="00247B85">
        <w:rPr>
          <w:rFonts w:ascii="Times New Roman" w:hAnsi="Times New Roman"/>
          <w:color w:val="000000" w:themeColor="text1"/>
          <w:sz w:val="23"/>
          <w:szCs w:val="23"/>
        </w:rPr>
        <w:t>e</w:t>
      </w:r>
      <w:r w:rsidRPr="00247B85">
        <w:rPr>
          <w:rFonts w:ascii="Times New Roman" w:hAnsi="Times New Roman"/>
          <w:color w:val="000000" w:themeColor="text1"/>
          <w:sz w:val="23"/>
          <w:szCs w:val="23"/>
        </w:rPr>
        <w:t xml:space="preserve">cludes firms from sending the reports to a single competent authority. </w:t>
      </w:r>
    </w:p>
    <w:p w:rsidR="002D626F" w:rsidRPr="00247B85" w:rsidRDefault="002D626F" w:rsidP="002D626F">
      <w:pPr>
        <w:jc w:val="both"/>
        <w:rPr>
          <w:rFonts w:ascii="Times New Roman" w:hAnsi="Times New Roman"/>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Article 5(3) of MAR states that issuers should report to the competent authority of the trading venue on which the shares have been admitted to trading or the trading venue on which the shares are tra</w:t>
      </w:r>
      <w:r w:rsidRPr="00247B85">
        <w:rPr>
          <w:rFonts w:ascii="Times New Roman" w:hAnsi="Times New Roman"/>
          <w:color w:val="000000" w:themeColor="text1"/>
          <w:sz w:val="23"/>
          <w:szCs w:val="23"/>
        </w:rPr>
        <w:t>d</w:t>
      </w:r>
      <w:r w:rsidRPr="00247B85">
        <w:rPr>
          <w:rFonts w:ascii="Times New Roman" w:hAnsi="Times New Roman"/>
          <w:color w:val="000000" w:themeColor="text1"/>
          <w:sz w:val="23"/>
          <w:szCs w:val="23"/>
        </w:rPr>
        <w:t>ed. We do not believe that the Level 1 text suggests that issuers have to report to the competent a</w:t>
      </w:r>
      <w:r w:rsidRPr="00247B85">
        <w:rPr>
          <w:rFonts w:ascii="Times New Roman" w:hAnsi="Times New Roman"/>
          <w:color w:val="000000" w:themeColor="text1"/>
          <w:sz w:val="23"/>
          <w:szCs w:val="23"/>
        </w:rPr>
        <w:t>u</w:t>
      </w:r>
      <w:r w:rsidRPr="00247B85">
        <w:rPr>
          <w:rFonts w:ascii="Times New Roman" w:hAnsi="Times New Roman"/>
          <w:color w:val="000000" w:themeColor="text1"/>
          <w:sz w:val="23"/>
          <w:szCs w:val="23"/>
        </w:rPr>
        <w:t xml:space="preserve">thority of </w:t>
      </w:r>
      <w:r w:rsidRPr="00247B85">
        <w:rPr>
          <w:rFonts w:ascii="Times New Roman" w:hAnsi="Times New Roman"/>
          <w:i/>
          <w:color w:val="000000" w:themeColor="text1"/>
          <w:sz w:val="23"/>
          <w:szCs w:val="23"/>
        </w:rPr>
        <w:t>each</w:t>
      </w:r>
      <w:r w:rsidRPr="00247B85">
        <w:rPr>
          <w:rFonts w:ascii="Times New Roman" w:hAnsi="Times New Roman"/>
          <w:color w:val="000000" w:themeColor="text1"/>
          <w:sz w:val="23"/>
          <w:szCs w:val="23"/>
        </w:rPr>
        <w:t xml:space="preserve"> trading venue.</w:t>
      </w:r>
    </w:p>
    <w:p w:rsidR="002D626F" w:rsidRPr="00247B85" w:rsidRDefault="002D626F" w:rsidP="002D626F">
      <w:pPr>
        <w:jc w:val="both"/>
        <w:rPr>
          <w:rFonts w:ascii="Times New Roman" w:hAnsi="Times New Roman"/>
          <w:color w:val="000000" w:themeColor="text1"/>
          <w:sz w:val="23"/>
          <w:szCs w:val="23"/>
        </w:rPr>
      </w:pPr>
    </w:p>
    <w:p w:rsid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In addition, our understanding is that Article 16(4) of MAR on the reporting of suspicious transa</w:t>
      </w:r>
      <w:r w:rsidRPr="00247B85">
        <w:rPr>
          <w:rFonts w:ascii="Times New Roman" w:hAnsi="Times New Roman"/>
          <w:color w:val="000000" w:themeColor="text1"/>
          <w:sz w:val="23"/>
          <w:szCs w:val="23"/>
        </w:rPr>
        <w:t>c</w:t>
      </w:r>
      <w:r w:rsidRPr="00247B85">
        <w:rPr>
          <w:rFonts w:ascii="Times New Roman" w:hAnsi="Times New Roman"/>
          <w:color w:val="000000" w:themeColor="text1"/>
          <w:sz w:val="23"/>
          <w:szCs w:val="23"/>
        </w:rPr>
        <w:t xml:space="preserve">tions and orders already requires competent authorities to have in place mechanisms to exchange information amongst them.  </w:t>
      </w:r>
    </w:p>
    <w:p w:rsidR="002D626F" w:rsidRPr="00247B85" w:rsidRDefault="002D626F" w:rsidP="002D626F">
      <w:pPr>
        <w:jc w:val="both"/>
        <w:rPr>
          <w:rFonts w:ascii="Times New Roman" w:hAnsi="Times New Roman"/>
          <w:color w:val="000000" w:themeColor="text1"/>
          <w:sz w:val="23"/>
          <w:szCs w:val="23"/>
        </w:rPr>
      </w:pPr>
    </w:p>
    <w:p w:rsidR="00C8677B" w:rsidRPr="002D626F" w:rsidRDefault="002D626F" w:rsidP="002D626F">
      <w:pPr>
        <w:jc w:val="both"/>
        <w:rPr>
          <w:rFonts w:ascii="Times New Roman" w:hAnsi="Times New Roman"/>
          <w:color w:val="000000" w:themeColor="text1"/>
          <w:sz w:val="23"/>
          <w:szCs w:val="23"/>
        </w:rPr>
      </w:pPr>
      <w:r w:rsidRPr="00247B85">
        <w:rPr>
          <w:rFonts w:ascii="Times New Roman" w:hAnsi="Times New Roman"/>
          <w:color w:val="000000" w:themeColor="text1"/>
          <w:sz w:val="23"/>
          <w:szCs w:val="23"/>
        </w:rPr>
        <w:t>The single competent authority could be determined on the basis of the issuer’s home Member State or the home state of the venue on which the s</w:t>
      </w:r>
      <w:r>
        <w:rPr>
          <w:rFonts w:ascii="Times New Roman" w:hAnsi="Times New Roman"/>
          <w:color w:val="000000" w:themeColor="text1"/>
          <w:sz w:val="23"/>
          <w:szCs w:val="23"/>
        </w:rPr>
        <w:t xml:space="preserve">hare was first traded, eg for </w:t>
      </w:r>
      <w:r w:rsidRPr="00247B85">
        <w:rPr>
          <w:rFonts w:ascii="Times New Roman" w:hAnsi="Times New Roman"/>
          <w:color w:val="000000" w:themeColor="text1"/>
          <w:sz w:val="23"/>
          <w:szCs w:val="23"/>
        </w:rPr>
        <w:t>third country issuers.</w:t>
      </w:r>
      <w:r>
        <w:rPr>
          <w:rFonts w:ascii="Times New Roman" w:hAnsi="Times New Roman"/>
          <w:color w:val="000000" w:themeColor="text1"/>
          <w:sz w:val="23"/>
          <w:szCs w:val="23"/>
        </w:rPr>
        <w:t xml:space="preserve"> </w:t>
      </w:r>
      <w:r w:rsidRPr="00247B85">
        <w:rPr>
          <w:rFonts w:ascii="Times New Roman" w:hAnsi="Times New Roman"/>
          <w:color w:val="000000" w:themeColor="text1"/>
          <w:sz w:val="23"/>
          <w:szCs w:val="23"/>
        </w:rPr>
        <w:t>This would avoid duplication of firms’ reporting to several competent authorities.</w:t>
      </w:r>
    </w:p>
    <w:permEnd w:id="1751664690"/>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1209020533" w:edGrp="everyone"/>
      <w:r>
        <w:t>TYPE YOUR TEXT HERE</w:t>
      </w:r>
    </w:p>
    <w:permEnd w:id="1209020533"/>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1313691385" w:edGrp="everyone"/>
      <w:r>
        <w:t>TYPE YOUR TEXT HERE</w:t>
      </w:r>
    </w:p>
    <w:permEnd w:id="1313691385"/>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790636654" w:edGrp="everyone"/>
      <w:r>
        <w:t>TYPE YOUR TEXT HERE</w:t>
      </w:r>
    </w:p>
    <w:permEnd w:id="790636654"/>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329584260" w:edGrp="everyone"/>
      <w:r>
        <w:t>TYPE YOUR TEXT HERE</w:t>
      </w:r>
    </w:p>
    <w:permEnd w:id="329584260"/>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1370182443" w:edGrp="everyone"/>
      <w:r>
        <w:t>TYPE YOUR TEXT HERE</w:t>
      </w:r>
    </w:p>
    <w:permEnd w:id="1370182443"/>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1108693185" w:edGrp="everyone"/>
      <w:r>
        <w:t>TYPE YOUR TEXT HERE</w:t>
      </w:r>
    </w:p>
    <w:permEnd w:id="1108693185"/>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986081378" w:edGrp="everyone"/>
      <w:r>
        <w:t>TYPE YOUR TEXT HERE</w:t>
      </w:r>
    </w:p>
    <w:permEnd w:id="986081378"/>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2D626F" w:rsidP="00C8677B">
      <w:permStart w:id="1680869982" w:edGrp="everyone"/>
      <w:r w:rsidRPr="006D57D8">
        <w:rPr>
          <w:rFonts w:ascii="Times New Roman" w:hAnsi="Times New Roman"/>
          <w:sz w:val="23"/>
          <w:szCs w:val="23"/>
        </w:rPr>
        <w:t>Regarding the application of AMP rules, we agree that appropriate consideration should be given to all transactions included in the scope of MAR, including OTC derivatives transactions, as being subject to the relevant re</w:t>
      </w:r>
      <w:r>
        <w:rPr>
          <w:rFonts w:ascii="Times New Roman" w:hAnsi="Times New Roman"/>
          <w:sz w:val="23"/>
          <w:szCs w:val="23"/>
        </w:rPr>
        <w:t xml:space="preserve">porting and transparency rules, </w:t>
      </w:r>
      <w:r w:rsidRPr="006D57D8">
        <w:rPr>
          <w:rFonts w:ascii="Times New Roman" w:hAnsi="Times New Roman"/>
          <w:sz w:val="23"/>
          <w:szCs w:val="23"/>
        </w:rPr>
        <w:t>eg. under EMIR, MiFID/R and the Transpa</w:t>
      </w:r>
      <w:r w:rsidRPr="006D57D8">
        <w:rPr>
          <w:rFonts w:ascii="Times New Roman" w:hAnsi="Times New Roman"/>
          <w:sz w:val="23"/>
          <w:szCs w:val="23"/>
        </w:rPr>
        <w:t>r</w:t>
      </w:r>
      <w:r w:rsidRPr="006D57D8">
        <w:rPr>
          <w:rFonts w:ascii="Times New Roman" w:hAnsi="Times New Roman"/>
          <w:sz w:val="23"/>
          <w:szCs w:val="23"/>
        </w:rPr>
        <w:t>ency Directive</w:t>
      </w:r>
      <w:r>
        <w:rPr>
          <w:rFonts w:ascii="Times New Roman" w:hAnsi="Times New Roman"/>
          <w:sz w:val="23"/>
          <w:szCs w:val="23"/>
        </w:rPr>
        <w:t xml:space="preserve"> (TD</w:t>
      </w:r>
      <w:r w:rsidRPr="006D57D8">
        <w:rPr>
          <w:rFonts w:ascii="Times New Roman" w:hAnsi="Times New Roman"/>
          <w:sz w:val="23"/>
          <w:szCs w:val="23"/>
        </w:rPr>
        <w:t>).</w:t>
      </w:r>
      <w:r>
        <w:rPr>
          <w:rFonts w:ascii="Times New Roman" w:hAnsi="Times New Roman"/>
          <w:sz w:val="23"/>
          <w:szCs w:val="23"/>
        </w:rPr>
        <w:t xml:space="preserve"> Therefore it might be considered whether the language of the relevant drat RTS and its Annex I should be reviewed, in particular where it includes vocabulary relevant only to venue traded securities.</w:t>
      </w:r>
    </w:p>
    <w:permEnd w:id="1680869982"/>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1960AA" w:rsidRDefault="001960AA" w:rsidP="00C8677B">
      <w:pPr>
        <w:rPr>
          <w:rFonts w:ascii="Times New Roman" w:hAnsi="Times New Roman"/>
          <w:sz w:val="24"/>
        </w:rPr>
      </w:pPr>
      <w:permStart w:id="1651071147" w:edGrp="everyone"/>
      <w:r w:rsidRPr="0016312B">
        <w:rPr>
          <w:rFonts w:ascii="Times New Roman" w:hAnsi="Times New Roman"/>
          <w:sz w:val="24"/>
        </w:rPr>
        <w:t xml:space="preserve">We </w:t>
      </w:r>
      <w:r w:rsidRPr="00C61AAC">
        <w:rPr>
          <w:rFonts w:ascii="Times New Roman" w:hAnsi="Times New Roman"/>
          <w:sz w:val="23"/>
          <w:szCs w:val="23"/>
        </w:rPr>
        <w:t>consider</w:t>
      </w:r>
      <w:r w:rsidRPr="0016312B">
        <w:rPr>
          <w:rFonts w:ascii="Times New Roman" w:hAnsi="Times New Roman"/>
          <w:sz w:val="24"/>
        </w:rPr>
        <w:t xml:space="preserve"> that all market participants, including those exempt from MiFID and those not su</w:t>
      </w:r>
      <w:r w:rsidRPr="0016312B">
        <w:rPr>
          <w:rFonts w:ascii="Times New Roman" w:hAnsi="Times New Roman"/>
          <w:sz w:val="24"/>
        </w:rPr>
        <w:t>b</w:t>
      </w:r>
      <w:r w:rsidRPr="0016312B">
        <w:rPr>
          <w:rFonts w:ascii="Times New Roman" w:hAnsi="Times New Roman"/>
          <w:sz w:val="24"/>
        </w:rPr>
        <w:t>ject to MiFID</w:t>
      </w:r>
      <w:r>
        <w:rPr>
          <w:rFonts w:ascii="Times New Roman" w:hAnsi="Times New Roman"/>
          <w:sz w:val="24"/>
        </w:rPr>
        <w:t>,</w:t>
      </w:r>
      <w:r w:rsidRPr="0016312B">
        <w:rPr>
          <w:rFonts w:ascii="Times New Roman" w:hAnsi="Times New Roman"/>
          <w:sz w:val="24"/>
        </w:rPr>
        <w:t xml:space="preserve"> should be also allowed to perform or execute an AMP provided that they are acting in conformity with the relevant rules and appropriately supervised.</w:t>
      </w:r>
      <w:r>
        <w:rPr>
          <w:rFonts w:ascii="Times New Roman" w:hAnsi="Times New Roman"/>
          <w:sz w:val="24"/>
        </w:rPr>
        <w:t xml:space="preserve"> This approach is co</w:t>
      </w:r>
      <w:r>
        <w:rPr>
          <w:rFonts w:ascii="Times New Roman" w:hAnsi="Times New Roman"/>
          <w:sz w:val="24"/>
        </w:rPr>
        <w:t>n</w:t>
      </w:r>
      <w:r>
        <w:rPr>
          <w:rFonts w:ascii="Times New Roman" w:hAnsi="Times New Roman"/>
          <w:sz w:val="24"/>
        </w:rPr>
        <w:t>sistent with the Level 1 text as the identity and status of the person performing an AMP are not among the criteria listed in Articles 13.2., 13.3. and 13.4. Consequently, this issue should remain outside the scope of the TS.</w:t>
      </w:r>
    </w:p>
    <w:permEnd w:id="1651071147"/>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1960AA" w:rsidRDefault="001960AA" w:rsidP="001960AA">
      <w:pPr>
        <w:jc w:val="both"/>
        <w:rPr>
          <w:rFonts w:ascii="Times New Roman" w:hAnsi="Times New Roman"/>
          <w:sz w:val="23"/>
          <w:szCs w:val="23"/>
        </w:rPr>
      </w:pPr>
      <w:permStart w:id="696132837" w:edGrp="everyone"/>
      <w:r w:rsidRPr="00A41242">
        <w:rPr>
          <w:rFonts w:ascii="Times New Roman" w:hAnsi="Times New Roman"/>
          <w:sz w:val="23"/>
          <w:szCs w:val="23"/>
        </w:rPr>
        <w:t>We agree.</w:t>
      </w:r>
    </w:p>
    <w:permEnd w:id="696132837"/>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1960AA" w:rsidRPr="00A41242" w:rsidRDefault="001960AA" w:rsidP="001960AA">
      <w:pPr>
        <w:jc w:val="both"/>
        <w:rPr>
          <w:rFonts w:ascii="Times New Roman" w:hAnsi="Times New Roman"/>
          <w:b/>
          <w:sz w:val="23"/>
          <w:szCs w:val="23"/>
        </w:rPr>
      </w:pPr>
      <w:permStart w:id="307956583" w:edGrp="everyone"/>
      <w:r w:rsidRPr="00A41242">
        <w:rPr>
          <w:rFonts w:ascii="Times New Roman" w:hAnsi="Times New Roman"/>
          <w:b/>
          <w:sz w:val="23"/>
          <w:szCs w:val="23"/>
        </w:rPr>
        <w:t>STOR submission moment</w:t>
      </w:r>
      <w:r w:rsidRPr="00A41242">
        <w:rPr>
          <w:rFonts w:ascii="Times New Roman" w:hAnsi="Times New Roman"/>
          <w:b/>
          <w:sz w:val="23"/>
          <w:szCs w:val="23"/>
        </w:rPr>
        <w:tab/>
      </w:r>
    </w:p>
    <w:p w:rsidR="001960AA" w:rsidRDefault="001960AA" w:rsidP="001960AA">
      <w:pPr>
        <w:jc w:val="both"/>
        <w:rPr>
          <w:rFonts w:ascii="Times New Roman" w:hAnsi="Times New Roman"/>
          <w:sz w:val="23"/>
          <w:szCs w:val="23"/>
        </w:rPr>
      </w:pPr>
    </w:p>
    <w:p w:rsidR="001960AA" w:rsidRDefault="001960AA" w:rsidP="001960AA">
      <w:pPr>
        <w:jc w:val="both"/>
        <w:rPr>
          <w:rFonts w:ascii="Times New Roman" w:hAnsi="Times New Roman"/>
          <w:sz w:val="23"/>
          <w:szCs w:val="23"/>
        </w:rPr>
      </w:pPr>
      <w:r w:rsidRPr="00A41242">
        <w:rPr>
          <w:rFonts w:ascii="Times New Roman" w:hAnsi="Times New Roman"/>
          <w:sz w:val="23"/>
          <w:szCs w:val="23"/>
        </w:rPr>
        <w:t xml:space="preserve">We agree with ESMA’s clarification that STORs should be submitted without delay once </w:t>
      </w:r>
      <w:r w:rsidRPr="00A41242">
        <w:rPr>
          <w:rFonts w:ascii="Times New Roman" w:hAnsi="Times New Roman"/>
          <w:i/>
          <w:sz w:val="23"/>
          <w:szCs w:val="23"/>
        </w:rPr>
        <w:t xml:space="preserve">reasonable suspicion has been formed, </w:t>
      </w:r>
      <w:r w:rsidRPr="00A41242">
        <w:rPr>
          <w:rFonts w:ascii="Times New Roman" w:hAnsi="Times New Roman"/>
          <w:sz w:val="23"/>
          <w:szCs w:val="23"/>
        </w:rPr>
        <w:t xml:space="preserve">and </w:t>
      </w:r>
      <w:r w:rsidRPr="00A41242">
        <w:rPr>
          <w:rFonts w:ascii="Times New Roman" w:hAnsi="Times New Roman"/>
          <w:i/>
          <w:sz w:val="23"/>
          <w:szCs w:val="23"/>
        </w:rPr>
        <w:t>not once</w:t>
      </w:r>
      <w:r w:rsidRPr="00A41242">
        <w:rPr>
          <w:rFonts w:ascii="Times New Roman" w:hAnsi="Times New Roman"/>
          <w:sz w:val="23"/>
          <w:szCs w:val="23"/>
        </w:rPr>
        <w:t xml:space="preserve"> the actual suspected </w:t>
      </w:r>
      <w:r w:rsidRPr="00A41242">
        <w:rPr>
          <w:rFonts w:ascii="Times New Roman" w:hAnsi="Times New Roman"/>
          <w:i/>
          <w:sz w:val="23"/>
          <w:szCs w:val="23"/>
        </w:rPr>
        <w:t>breach happened</w:t>
      </w:r>
      <w:r w:rsidRPr="00A41242">
        <w:rPr>
          <w:rFonts w:ascii="Times New Roman" w:hAnsi="Times New Roman"/>
          <w:sz w:val="23"/>
          <w:szCs w:val="23"/>
        </w:rPr>
        <w:t>. Therefore we stron</w:t>
      </w:r>
      <w:r w:rsidRPr="00A41242">
        <w:rPr>
          <w:rFonts w:ascii="Times New Roman" w:hAnsi="Times New Roman"/>
          <w:sz w:val="23"/>
          <w:szCs w:val="23"/>
        </w:rPr>
        <w:t>g</w:t>
      </w:r>
      <w:r w:rsidRPr="00A41242">
        <w:rPr>
          <w:rFonts w:ascii="Times New Roman" w:hAnsi="Times New Roman"/>
          <w:sz w:val="23"/>
          <w:szCs w:val="23"/>
        </w:rPr>
        <w:t xml:space="preserve">ly support the language of Art 7.1 of the draft RTS (‘the STORs are submitted without delay </w:t>
      </w:r>
      <w:r w:rsidRPr="00A41242">
        <w:rPr>
          <w:rFonts w:ascii="Times New Roman" w:hAnsi="Times New Roman"/>
          <w:i/>
          <w:sz w:val="23"/>
          <w:szCs w:val="23"/>
        </w:rPr>
        <w:t>once reasonable suspicion</w:t>
      </w:r>
      <w:r w:rsidRPr="00A41242">
        <w:rPr>
          <w:rFonts w:ascii="Times New Roman" w:hAnsi="Times New Roman"/>
          <w:sz w:val="23"/>
          <w:szCs w:val="23"/>
        </w:rPr>
        <w:t xml:space="preserve"> of actual or attempted market abuse </w:t>
      </w:r>
      <w:r w:rsidRPr="00A41242">
        <w:rPr>
          <w:rFonts w:ascii="Times New Roman" w:hAnsi="Times New Roman"/>
          <w:i/>
          <w:sz w:val="23"/>
          <w:szCs w:val="23"/>
        </w:rPr>
        <w:t>is formed’</w:t>
      </w:r>
      <w:r w:rsidRPr="00A41242">
        <w:rPr>
          <w:rFonts w:ascii="Times New Roman" w:hAnsi="Times New Roman"/>
          <w:sz w:val="23"/>
          <w:szCs w:val="23"/>
        </w:rPr>
        <w:t>).</w:t>
      </w:r>
    </w:p>
    <w:p w:rsidR="001960AA" w:rsidRPr="00A41242" w:rsidRDefault="001960AA" w:rsidP="001960AA">
      <w:pPr>
        <w:jc w:val="both"/>
        <w:rPr>
          <w:rFonts w:ascii="Times New Roman" w:hAnsi="Times New Roman"/>
          <w:sz w:val="23"/>
          <w:szCs w:val="23"/>
        </w:rPr>
      </w:pPr>
    </w:p>
    <w:p w:rsidR="001960AA" w:rsidRPr="00A41242" w:rsidRDefault="001960AA" w:rsidP="001960AA">
      <w:pPr>
        <w:jc w:val="both"/>
        <w:rPr>
          <w:rFonts w:ascii="Times New Roman" w:hAnsi="Times New Roman"/>
          <w:sz w:val="23"/>
          <w:szCs w:val="23"/>
        </w:rPr>
      </w:pPr>
      <w:r w:rsidRPr="00A41242">
        <w:rPr>
          <w:rFonts w:ascii="Times New Roman" w:hAnsi="Times New Roman"/>
          <w:sz w:val="23"/>
          <w:szCs w:val="23"/>
        </w:rPr>
        <w:t xml:space="preserve">However, we are concerned that the relevant Recital 3 does not fully reflect the approach taken in the Art 7.1. The first sentence of the Recital, indeed correctly reflects Art 7.1 (‘[…] </w:t>
      </w:r>
      <w:r w:rsidRPr="00A41242">
        <w:rPr>
          <w:rFonts w:ascii="Times New Roman" w:eastAsiaTheme="minorHAnsi" w:hAnsi="Times New Roman"/>
          <w:color w:val="000000"/>
          <w:sz w:val="23"/>
          <w:szCs w:val="23"/>
        </w:rPr>
        <w:t xml:space="preserve">as soon as possible </w:t>
      </w:r>
      <w:r w:rsidRPr="00A41242">
        <w:rPr>
          <w:rFonts w:ascii="Times New Roman" w:eastAsiaTheme="minorHAnsi" w:hAnsi="Times New Roman"/>
          <w:i/>
          <w:color w:val="000000"/>
          <w:sz w:val="23"/>
          <w:szCs w:val="23"/>
        </w:rPr>
        <w:t>once a reasonable suspicion is formed’</w:t>
      </w:r>
      <w:r w:rsidRPr="00A41242">
        <w:rPr>
          <w:rFonts w:ascii="Times New Roman" w:hAnsi="Times New Roman"/>
          <w:sz w:val="23"/>
          <w:szCs w:val="23"/>
        </w:rPr>
        <w:t>), but the last sentence of the Recital does not (‘[…]</w:t>
      </w:r>
      <w:r>
        <w:rPr>
          <w:rFonts w:ascii="Times New Roman" w:hAnsi="Times New Roman"/>
          <w:sz w:val="23"/>
          <w:szCs w:val="23"/>
        </w:rPr>
        <w:t xml:space="preserve"> </w:t>
      </w:r>
      <w:r w:rsidRPr="00A41242">
        <w:rPr>
          <w:rFonts w:ascii="Times New Roman" w:hAnsi="Times New Roman"/>
          <w:sz w:val="23"/>
          <w:szCs w:val="23"/>
        </w:rPr>
        <w:t xml:space="preserve">should be submitted within two weeks </w:t>
      </w:r>
      <w:r w:rsidRPr="00A41242">
        <w:rPr>
          <w:rFonts w:ascii="Times New Roman" w:hAnsi="Times New Roman"/>
          <w:i/>
          <w:sz w:val="23"/>
          <w:szCs w:val="23"/>
        </w:rPr>
        <w:t>of the actual suspected breach’</w:t>
      </w:r>
      <w:r w:rsidRPr="00A41242">
        <w:rPr>
          <w:rFonts w:ascii="Times New Roman" w:hAnsi="Times New Roman"/>
          <w:sz w:val="23"/>
          <w:szCs w:val="23"/>
        </w:rPr>
        <w:t xml:space="preserve">). We strongly recommend that this should be amended, as we </w:t>
      </w:r>
      <w:r>
        <w:rPr>
          <w:rFonts w:ascii="Times New Roman" w:hAnsi="Times New Roman"/>
          <w:sz w:val="23"/>
          <w:szCs w:val="23"/>
        </w:rPr>
        <w:t xml:space="preserve">are </w:t>
      </w:r>
      <w:r w:rsidRPr="00A41242">
        <w:rPr>
          <w:rFonts w:ascii="Times New Roman" w:hAnsi="Times New Roman"/>
          <w:sz w:val="23"/>
          <w:szCs w:val="23"/>
        </w:rPr>
        <w:t>suggest</w:t>
      </w:r>
      <w:r>
        <w:rPr>
          <w:rFonts w:ascii="Times New Roman" w:hAnsi="Times New Roman"/>
          <w:sz w:val="23"/>
          <w:szCs w:val="23"/>
        </w:rPr>
        <w:t>ing</w:t>
      </w:r>
      <w:r w:rsidRPr="00A41242">
        <w:rPr>
          <w:rFonts w:ascii="Times New Roman" w:hAnsi="Times New Roman"/>
          <w:sz w:val="23"/>
          <w:szCs w:val="23"/>
        </w:rPr>
        <w:t xml:space="preserve"> below.</w:t>
      </w:r>
    </w:p>
    <w:p w:rsidR="001960AA" w:rsidRDefault="001960AA" w:rsidP="001960AA">
      <w:pPr>
        <w:jc w:val="both"/>
        <w:rPr>
          <w:rFonts w:ascii="Times New Roman" w:hAnsi="Times New Roman"/>
          <w:b/>
          <w:sz w:val="23"/>
          <w:szCs w:val="23"/>
        </w:rPr>
      </w:pPr>
    </w:p>
    <w:p w:rsidR="001960AA" w:rsidRDefault="001960AA" w:rsidP="001960AA">
      <w:pPr>
        <w:jc w:val="both"/>
        <w:rPr>
          <w:rFonts w:ascii="Times New Roman" w:hAnsi="Times New Roman"/>
          <w:b/>
          <w:sz w:val="23"/>
          <w:szCs w:val="23"/>
        </w:rPr>
      </w:pPr>
      <w:r w:rsidRPr="00A41242">
        <w:rPr>
          <w:rFonts w:ascii="Times New Roman" w:hAnsi="Times New Roman"/>
          <w:b/>
          <w:sz w:val="23"/>
          <w:szCs w:val="23"/>
        </w:rPr>
        <w:t>Two weeks</w:t>
      </w:r>
    </w:p>
    <w:p w:rsidR="001960AA" w:rsidRPr="00A41242" w:rsidRDefault="001960AA" w:rsidP="001960AA">
      <w:pPr>
        <w:jc w:val="both"/>
        <w:rPr>
          <w:rFonts w:ascii="Times New Roman" w:hAnsi="Times New Roman"/>
          <w:b/>
          <w:sz w:val="23"/>
          <w:szCs w:val="23"/>
        </w:rPr>
      </w:pPr>
    </w:p>
    <w:p w:rsidR="001960AA" w:rsidRDefault="001960AA" w:rsidP="001960AA">
      <w:pPr>
        <w:jc w:val="both"/>
        <w:rPr>
          <w:rFonts w:ascii="Times New Roman" w:hAnsi="Times New Roman"/>
          <w:sz w:val="23"/>
          <w:szCs w:val="23"/>
        </w:rPr>
      </w:pPr>
      <w:r w:rsidRPr="00A41242">
        <w:rPr>
          <w:rFonts w:ascii="Times New Roman" w:hAnsi="Times New Roman"/>
          <w:sz w:val="23"/>
          <w:szCs w:val="23"/>
        </w:rPr>
        <w:t>Moreover, we believe that two weeks may not be enough to produce a good quality report in every circumstance, depending on the complexity of the transaction and  the incident that is subject to the report. Preparation of a STOR is not a mechanical process where boxes can be ticked within a speci</w:t>
      </w:r>
      <w:r w:rsidRPr="00A41242">
        <w:rPr>
          <w:rFonts w:ascii="Times New Roman" w:hAnsi="Times New Roman"/>
          <w:sz w:val="23"/>
          <w:szCs w:val="23"/>
        </w:rPr>
        <w:t>f</w:t>
      </w:r>
      <w:r w:rsidRPr="00A41242">
        <w:rPr>
          <w:rFonts w:ascii="Times New Roman" w:hAnsi="Times New Roman"/>
          <w:sz w:val="23"/>
          <w:szCs w:val="23"/>
        </w:rPr>
        <w:t>ic time period. It requires analysis and high quality is important. We believe that allowing for suff</w:t>
      </w:r>
      <w:r w:rsidRPr="00A41242">
        <w:rPr>
          <w:rFonts w:ascii="Times New Roman" w:hAnsi="Times New Roman"/>
          <w:sz w:val="23"/>
          <w:szCs w:val="23"/>
        </w:rPr>
        <w:t>i</w:t>
      </w:r>
      <w:r w:rsidRPr="00A41242">
        <w:rPr>
          <w:rFonts w:ascii="Times New Roman" w:hAnsi="Times New Roman"/>
          <w:sz w:val="23"/>
          <w:szCs w:val="23"/>
        </w:rPr>
        <w:t>cient time to prepare the STOR would be necessary for firms to comply with the Art 8.2</w:t>
      </w:r>
      <w:r>
        <w:rPr>
          <w:rFonts w:ascii="Times New Roman" w:hAnsi="Times New Roman"/>
          <w:sz w:val="23"/>
          <w:szCs w:val="23"/>
        </w:rPr>
        <w:t>.</w:t>
      </w:r>
      <w:r w:rsidRPr="00A41242">
        <w:rPr>
          <w:rFonts w:ascii="Times New Roman" w:hAnsi="Times New Roman"/>
          <w:sz w:val="23"/>
          <w:szCs w:val="23"/>
        </w:rPr>
        <w:t xml:space="preserve"> of the draft RTS, which requires that the person submitting STOR should complete as many information fields as possible in a clear and accurate manner, with a number of fields being obligatory.</w:t>
      </w:r>
    </w:p>
    <w:p w:rsidR="001960AA" w:rsidRPr="00A41242" w:rsidRDefault="001960AA" w:rsidP="001960AA">
      <w:pPr>
        <w:jc w:val="both"/>
        <w:rPr>
          <w:rFonts w:ascii="Times New Roman" w:hAnsi="Times New Roman"/>
          <w:sz w:val="23"/>
          <w:szCs w:val="23"/>
        </w:rPr>
      </w:pPr>
    </w:p>
    <w:p w:rsidR="001960AA" w:rsidRDefault="001960AA" w:rsidP="001960AA">
      <w:pPr>
        <w:jc w:val="both"/>
        <w:rPr>
          <w:rFonts w:ascii="Times New Roman" w:hAnsi="Times New Roman"/>
          <w:sz w:val="23"/>
          <w:szCs w:val="23"/>
        </w:rPr>
      </w:pPr>
      <w:r w:rsidRPr="00A41242">
        <w:rPr>
          <w:rFonts w:ascii="Times New Roman" w:hAnsi="Times New Roman"/>
          <w:sz w:val="23"/>
          <w:szCs w:val="23"/>
        </w:rPr>
        <w:t>We are convinced that the current system works and that the requirement that STORs should be submitted without delay (MAR Level 1), or as soon as possible (RTS Recital 3), once reasonable suspicion has been formed (RTS Art 7.1.) is sufficient and robust enough to ensure timely reporting. Moreover, Art. 9.2 of draft RTS facilitates reporting without delay by providing flexibility for ma</w:t>
      </w:r>
      <w:r w:rsidRPr="00A41242">
        <w:rPr>
          <w:rFonts w:ascii="Times New Roman" w:hAnsi="Times New Roman"/>
          <w:sz w:val="23"/>
          <w:szCs w:val="23"/>
        </w:rPr>
        <w:t>r</w:t>
      </w:r>
      <w:r w:rsidRPr="00A41242">
        <w:rPr>
          <w:rFonts w:ascii="Times New Roman" w:hAnsi="Times New Roman"/>
          <w:sz w:val="23"/>
          <w:szCs w:val="23"/>
        </w:rPr>
        <w:t>kets participants on how they can contact the regulator to provide initial information.</w:t>
      </w:r>
    </w:p>
    <w:p w:rsidR="001960AA" w:rsidRPr="00A41242" w:rsidRDefault="001960AA" w:rsidP="001960AA">
      <w:pPr>
        <w:jc w:val="both"/>
        <w:rPr>
          <w:rFonts w:ascii="Times New Roman" w:hAnsi="Times New Roman"/>
          <w:sz w:val="23"/>
          <w:szCs w:val="23"/>
        </w:rPr>
      </w:pPr>
    </w:p>
    <w:p w:rsidR="001960AA" w:rsidRPr="00A41242" w:rsidRDefault="001960AA" w:rsidP="001960AA">
      <w:pPr>
        <w:jc w:val="both"/>
        <w:rPr>
          <w:rFonts w:ascii="Times New Roman" w:hAnsi="Times New Roman"/>
          <w:sz w:val="23"/>
          <w:szCs w:val="23"/>
        </w:rPr>
      </w:pPr>
      <w:r w:rsidRPr="00A41242">
        <w:rPr>
          <w:rFonts w:ascii="Times New Roman" w:hAnsi="Times New Roman"/>
          <w:sz w:val="23"/>
          <w:szCs w:val="23"/>
        </w:rPr>
        <w:t xml:space="preserve">We do not think this two week limitation should be included in Recitals (Recital 3 of the draft RTS in Annex VI of the CP), even though only qualified as ‘general’ and ‘indicative’. We are concerned that in practice this would create a strong artificial and impracticable expectation from the competent authorities to receive all reports within two weeks since reasonable suspicion has been formed.  In addition, this would encourage ‘defensive reporting’, ie making reports where there are no reasonable grounds for suspecting that a transaction constitutes market abuse. </w:t>
      </w:r>
    </w:p>
    <w:p w:rsidR="001960AA" w:rsidRDefault="001960AA" w:rsidP="001960AA">
      <w:pPr>
        <w:jc w:val="both"/>
        <w:rPr>
          <w:rFonts w:ascii="Times New Roman" w:hAnsi="Times New Roman"/>
          <w:b/>
          <w:sz w:val="23"/>
          <w:szCs w:val="23"/>
        </w:rPr>
      </w:pPr>
    </w:p>
    <w:p w:rsidR="001960AA" w:rsidRPr="00A41242" w:rsidRDefault="001960AA" w:rsidP="001960AA">
      <w:pPr>
        <w:jc w:val="both"/>
        <w:rPr>
          <w:rFonts w:ascii="Times New Roman" w:eastAsiaTheme="minorHAnsi" w:hAnsi="Times New Roman"/>
          <w:b/>
          <w:i/>
          <w:iCs/>
          <w:sz w:val="23"/>
          <w:szCs w:val="23"/>
        </w:rPr>
      </w:pPr>
      <w:r w:rsidRPr="00A41242">
        <w:rPr>
          <w:rFonts w:ascii="Times New Roman" w:hAnsi="Times New Roman"/>
          <w:b/>
          <w:sz w:val="23"/>
          <w:szCs w:val="23"/>
        </w:rPr>
        <w:t xml:space="preserve">Submission moment and two weeks – </w:t>
      </w:r>
      <w:r>
        <w:rPr>
          <w:rFonts w:ascii="Times New Roman" w:hAnsi="Times New Roman"/>
          <w:b/>
          <w:sz w:val="23"/>
          <w:szCs w:val="23"/>
        </w:rPr>
        <w:t>r</w:t>
      </w:r>
      <w:r w:rsidRPr="00A41242">
        <w:rPr>
          <w:rFonts w:ascii="Times New Roman" w:hAnsi="Times New Roman"/>
          <w:b/>
          <w:sz w:val="23"/>
          <w:szCs w:val="23"/>
        </w:rPr>
        <w:t>ecital mark up suggestion</w:t>
      </w:r>
    </w:p>
    <w:p w:rsidR="001960AA" w:rsidRDefault="001960AA" w:rsidP="001960AA">
      <w:pPr>
        <w:jc w:val="both"/>
        <w:rPr>
          <w:rFonts w:ascii="Times New Roman" w:hAnsi="Times New Roman"/>
          <w:sz w:val="23"/>
          <w:szCs w:val="23"/>
        </w:rPr>
      </w:pPr>
    </w:p>
    <w:p w:rsidR="001960AA" w:rsidRDefault="001960AA" w:rsidP="001960AA">
      <w:pPr>
        <w:jc w:val="both"/>
        <w:rPr>
          <w:rFonts w:ascii="Times New Roman" w:hAnsi="Times New Roman"/>
          <w:sz w:val="23"/>
          <w:szCs w:val="23"/>
        </w:rPr>
      </w:pPr>
      <w:r w:rsidRPr="00A41242">
        <w:rPr>
          <w:rFonts w:ascii="Times New Roman" w:hAnsi="Times New Roman"/>
          <w:sz w:val="23"/>
          <w:szCs w:val="23"/>
        </w:rPr>
        <w:t>To conclude, we would strongly suggest that the last sentence of Recital 3 should be amended as follows or removed as a potential repetition of the first sentence.</w:t>
      </w:r>
    </w:p>
    <w:p w:rsidR="001960AA" w:rsidRPr="00A41242" w:rsidRDefault="001960AA" w:rsidP="001960AA">
      <w:pPr>
        <w:jc w:val="both"/>
        <w:rPr>
          <w:rFonts w:ascii="Times New Roman" w:hAnsi="Times New Roman"/>
          <w:sz w:val="23"/>
          <w:szCs w:val="23"/>
        </w:rPr>
      </w:pPr>
    </w:p>
    <w:p w:rsidR="001960AA" w:rsidRPr="00C8029F" w:rsidRDefault="001960AA" w:rsidP="001960AA">
      <w:pPr>
        <w:jc w:val="both"/>
        <w:rPr>
          <w:rFonts w:ascii="Times New Roman" w:hAnsi="Times New Roman"/>
          <w:strike/>
          <w:sz w:val="23"/>
          <w:szCs w:val="23"/>
        </w:rPr>
      </w:pPr>
      <w:r w:rsidRPr="00A41242">
        <w:rPr>
          <w:rFonts w:ascii="Times New Roman" w:hAnsi="Times New Roman"/>
          <w:sz w:val="23"/>
          <w:szCs w:val="23"/>
        </w:rPr>
        <w:t>‘Suspicious transaction and order reports should be submitted to the relevant competent authority as soon as possible once a reasonable suspicion is formed in relation to a trading behaviour. […] Gene</w:t>
      </w:r>
      <w:r w:rsidRPr="00A41242">
        <w:rPr>
          <w:rFonts w:ascii="Times New Roman" w:hAnsi="Times New Roman"/>
          <w:sz w:val="23"/>
          <w:szCs w:val="23"/>
        </w:rPr>
        <w:t>r</w:t>
      </w:r>
      <w:r w:rsidRPr="00A41242">
        <w:rPr>
          <w:rFonts w:ascii="Times New Roman" w:hAnsi="Times New Roman"/>
          <w:sz w:val="23"/>
          <w:szCs w:val="23"/>
        </w:rPr>
        <w:t xml:space="preserve">ally and indicatively, suspicious transaction and order reports should be submitted </w:t>
      </w:r>
      <w:r w:rsidRPr="00A41242">
        <w:rPr>
          <w:rFonts w:ascii="Times New Roman" w:hAnsi="Times New Roman"/>
          <w:strike/>
          <w:sz w:val="23"/>
          <w:szCs w:val="23"/>
        </w:rPr>
        <w:t xml:space="preserve">within two weeks of the actual suspected breach </w:t>
      </w:r>
      <w:r w:rsidRPr="00A41242">
        <w:rPr>
          <w:rFonts w:ascii="Times New Roman" w:hAnsi="Times New Roman"/>
          <w:i/>
          <w:sz w:val="23"/>
          <w:szCs w:val="23"/>
          <w:u w:val="single"/>
        </w:rPr>
        <w:t>as soon as possible once a reasonable suspicion is formed</w:t>
      </w:r>
      <w:r w:rsidRPr="00A41242">
        <w:rPr>
          <w:rFonts w:ascii="Times New Roman" w:hAnsi="Times New Roman"/>
          <w:sz w:val="23"/>
          <w:szCs w:val="23"/>
        </w:rPr>
        <w:t>.’</w:t>
      </w:r>
    </w:p>
    <w:p w:rsidR="001960AA" w:rsidRDefault="001960AA" w:rsidP="001960AA">
      <w:pPr>
        <w:jc w:val="both"/>
        <w:rPr>
          <w:rFonts w:ascii="Times New Roman" w:hAnsi="Times New Roman"/>
          <w:b/>
          <w:sz w:val="23"/>
          <w:szCs w:val="23"/>
        </w:rPr>
      </w:pPr>
    </w:p>
    <w:p w:rsidR="001960AA" w:rsidRPr="00A41242" w:rsidRDefault="001960AA" w:rsidP="001960AA">
      <w:pPr>
        <w:jc w:val="both"/>
        <w:rPr>
          <w:rFonts w:ascii="Times New Roman" w:hAnsi="Times New Roman"/>
          <w:b/>
          <w:sz w:val="23"/>
          <w:szCs w:val="23"/>
        </w:rPr>
      </w:pPr>
      <w:r w:rsidRPr="00A41242">
        <w:rPr>
          <w:rFonts w:ascii="Times New Roman" w:hAnsi="Times New Roman"/>
          <w:b/>
          <w:sz w:val="23"/>
          <w:szCs w:val="23"/>
        </w:rPr>
        <w:t>Phone</w:t>
      </w:r>
    </w:p>
    <w:p w:rsidR="001960AA" w:rsidRPr="00A41242" w:rsidRDefault="001960AA" w:rsidP="001960AA">
      <w:pPr>
        <w:jc w:val="both"/>
        <w:rPr>
          <w:rFonts w:ascii="Times New Roman" w:hAnsi="Times New Roman"/>
          <w:sz w:val="23"/>
          <w:szCs w:val="23"/>
        </w:rPr>
      </w:pPr>
    </w:p>
    <w:p w:rsidR="001960AA" w:rsidRPr="00A41242" w:rsidRDefault="001960AA" w:rsidP="001960AA">
      <w:pPr>
        <w:jc w:val="both"/>
        <w:rPr>
          <w:rFonts w:ascii="Times New Roman" w:hAnsi="Times New Roman"/>
          <w:i/>
          <w:sz w:val="23"/>
          <w:szCs w:val="23"/>
        </w:rPr>
      </w:pPr>
      <w:r w:rsidRPr="00A41242">
        <w:rPr>
          <w:rFonts w:ascii="Times New Roman" w:hAnsi="Times New Roman"/>
          <w:sz w:val="23"/>
          <w:szCs w:val="23"/>
        </w:rPr>
        <w:t>Regarding the reporting by phone, we are concerned that paragraph 189 of ESMA’s consultation is confusing and not necessary. We therefore suggest that such language is not maintained in any further considerations.</w:t>
      </w:r>
      <w:r w:rsidRPr="00A41242">
        <w:rPr>
          <w:rFonts w:ascii="Times New Roman" w:hAnsi="Times New Roman"/>
          <w:i/>
          <w:sz w:val="23"/>
          <w:szCs w:val="23"/>
        </w:rPr>
        <w:tab/>
      </w:r>
    </w:p>
    <w:p w:rsidR="001960AA" w:rsidRPr="00A41242" w:rsidRDefault="001960AA" w:rsidP="001960AA">
      <w:pPr>
        <w:jc w:val="both"/>
        <w:rPr>
          <w:rFonts w:ascii="Times New Roman" w:hAnsi="Times New Roman"/>
          <w:bCs/>
          <w:sz w:val="23"/>
          <w:szCs w:val="23"/>
          <w:lang w:eastAsia="en-GB"/>
        </w:rPr>
      </w:pPr>
    </w:p>
    <w:p w:rsidR="001960AA" w:rsidRDefault="001960AA" w:rsidP="001960AA">
      <w:pPr>
        <w:jc w:val="both"/>
        <w:rPr>
          <w:rFonts w:ascii="Times New Roman" w:hAnsi="Times New Roman"/>
          <w:sz w:val="23"/>
          <w:szCs w:val="23"/>
        </w:rPr>
      </w:pPr>
      <w:r w:rsidRPr="00A41242">
        <w:rPr>
          <w:rFonts w:ascii="Times New Roman" w:hAnsi="Times New Roman"/>
          <w:sz w:val="23"/>
          <w:szCs w:val="23"/>
        </w:rPr>
        <w:t xml:space="preserve">The paragraph is confusing because its language (‘STOR can be reported by telephone’) suggests that the </w:t>
      </w:r>
      <w:r w:rsidRPr="00A41242">
        <w:rPr>
          <w:rFonts w:ascii="Times New Roman" w:hAnsi="Times New Roman"/>
          <w:i/>
          <w:sz w:val="23"/>
          <w:szCs w:val="23"/>
        </w:rPr>
        <w:t xml:space="preserve">actual STOR (not initial information) </w:t>
      </w:r>
      <w:r w:rsidRPr="00A41242">
        <w:rPr>
          <w:rFonts w:ascii="Times New Roman" w:hAnsi="Times New Roman"/>
          <w:sz w:val="23"/>
          <w:szCs w:val="23"/>
        </w:rPr>
        <w:t xml:space="preserve">can be reported via telephone. This would potentially raise uncertainty on the details of such </w:t>
      </w:r>
      <w:r w:rsidRPr="00A41242">
        <w:rPr>
          <w:rFonts w:ascii="Times New Roman" w:hAnsi="Times New Roman"/>
          <w:i/>
          <w:sz w:val="23"/>
          <w:szCs w:val="23"/>
        </w:rPr>
        <w:t>a STOR telephone procedure</w:t>
      </w:r>
      <w:r w:rsidRPr="00A41242">
        <w:rPr>
          <w:rFonts w:ascii="Times New Roman" w:hAnsi="Times New Roman"/>
          <w:sz w:val="23"/>
          <w:szCs w:val="23"/>
        </w:rPr>
        <w:t xml:space="preserve"> and would be in contradiction with Art 8.1. of draft RTS, which requires that STOR is submitted using</w:t>
      </w:r>
      <w:r>
        <w:rPr>
          <w:rFonts w:ascii="Times New Roman" w:hAnsi="Times New Roman"/>
          <w:sz w:val="23"/>
          <w:szCs w:val="23"/>
        </w:rPr>
        <w:t xml:space="preserve"> the form in Annex I of the RTS</w:t>
      </w:r>
      <w:r w:rsidRPr="00A41242">
        <w:rPr>
          <w:rFonts w:ascii="Times New Roman" w:hAnsi="Times New Roman"/>
          <w:sz w:val="23"/>
          <w:szCs w:val="23"/>
        </w:rPr>
        <w:t>,</w:t>
      </w:r>
      <w:r>
        <w:rPr>
          <w:rFonts w:ascii="Times New Roman" w:hAnsi="Times New Roman"/>
          <w:sz w:val="23"/>
          <w:szCs w:val="23"/>
        </w:rPr>
        <w:t xml:space="preserve"> </w:t>
      </w:r>
      <w:r w:rsidRPr="00A41242">
        <w:rPr>
          <w:rFonts w:ascii="Times New Roman" w:hAnsi="Times New Roman"/>
          <w:sz w:val="23"/>
          <w:szCs w:val="23"/>
        </w:rPr>
        <w:t xml:space="preserve">and with Art 9.1. of draft RTS, which requires STOR to be submitted electronically and in a secure manner. </w:t>
      </w:r>
    </w:p>
    <w:p w:rsidR="001960AA" w:rsidRPr="00A41242" w:rsidRDefault="001960AA" w:rsidP="001960AA">
      <w:pPr>
        <w:jc w:val="both"/>
        <w:rPr>
          <w:rFonts w:ascii="Times New Roman" w:hAnsi="Times New Roman"/>
          <w:sz w:val="23"/>
          <w:szCs w:val="23"/>
        </w:rPr>
      </w:pPr>
    </w:p>
    <w:p w:rsidR="001960AA" w:rsidRDefault="001960AA" w:rsidP="001960AA">
      <w:pPr>
        <w:jc w:val="both"/>
        <w:rPr>
          <w:rFonts w:ascii="Times New Roman" w:hAnsi="Times New Roman"/>
          <w:sz w:val="23"/>
          <w:szCs w:val="23"/>
        </w:rPr>
      </w:pPr>
      <w:r w:rsidRPr="00A41242">
        <w:rPr>
          <w:rFonts w:ascii="Times New Roman" w:hAnsi="Times New Roman"/>
          <w:sz w:val="23"/>
          <w:szCs w:val="23"/>
        </w:rPr>
        <w:t>This paragraph is redundant, because Art 9.2. of the draft RTS  already provides sufficient flexibility for markets participants on how they can contact regulator to provide initial information, which we understand would include telephone.</w:t>
      </w:r>
    </w:p>
    <w:p w:rsidR="001960AA" w:rsidRPr="00A41242" w:rsidRDefault="001960AA" w:rsidP="001960AA">
      <w:pPr>
        <w:jc w:val="both"/>
        <w:rPr>
          <w:rFonts w:ascii="Times New Roman" w:hAnsi="Times New Roman"/>
          <w:sz w:val="23"/>
          <w:szCs w:val="23"/>
        </w:rPr>
      </w:pPr>
    </w:p>
    <w:p w:rsidR="00C8677B" w:rsidRPr="001960AA" w:rsidRDefault="001960AA" w:rsidP="001960AA">
      <w:pPr>
        <w:jc w:val="both"/>
        <w:rPr>
          <w:rFonts w:ascii="Times New Roman" w:hAnsi="Times New Roman"/>
          <w:sz w:val="23"/>
          <w:szCs w:val="23"/>
        </w:rPr>
      </w:pPr>
      <w:r w:rsidRPr="00A41242">
        <w:rPr>
          <w:rFonts w:ascii="Times New Roman" w:hAnsi="Times New Roman"/>
          <w:sz w:val="23"/>
          <w:szCs w:val="23"/>
        </w:rPr>
        <w:t>Furthermore, the language of paragraph 189 is confusing because it suggests that ‘In order to facil</w:t>
      </w:r>
      <w:r w:rsidRPr="00A41242">
        <w:rPr>
          <w:rFonts w:ascii="Times New Roman" w:hAnsi="Times New Roman"/>
          <w:sz w:val="23"/>
          <w:szCs w:val="23"/>
        </w:rPr>
        <w:t>i</w:t>
      </w:r>
      <w:r w:rsidRPr="00A41242">
        <w:rPr>
          <w:rFonts w:ascii="Times New Roman" w:hAnsi="Times New Roman"/>
          <w:sz w:val="23"/>
          <w:szCs w:val="23"/>
        </w:rPr>
        <w:t>tate timely submission, STOR can be reported via phone […]’. This could add confusion that this is a requirement to ensure submitting STOR ‘without delay’.</w:t>
      </w:r>
    </w:p>
    <w:permEnd w:id="307956583"/>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353439" w:rsidRDefault="00353439" w:rsidP="00353439">
      <w:pPr>
        <w:jc w:val="both"/>
        <w:rPr>
          <w:rFonts w:ascii="Times New Roman" w:hAnsi="Times New Roman"/>
          <w:b/>
          <w:sz w:val="23"/>
          <w:szCs w:val="23"/>
          <w:shd w:val="clear" w:color="auto" w:fill="FFFFFF" w:themeFill="background1"/>
        </w:rPr>
      </w:pPr>
      <w:permStart w:id="184702284" w:edGrp="everyone"/>
      <w:r w:rsidRPr="00A41242">
        <w:rPr>
          <w:rFonts w:ascii="Times New Roman" w:hAnsi="Times New Roman"/>
          <w:b/>
          <w:sz w:val="23"/>
          <w:szCs w:val="23"/>
          <w:shd w:val="clear" w:color="auto" w:fill="FFFFFF" w:themeFill="background1"/>
        </w:rPr>
        <w:t>Automated surveillance systems</w:t>
      </w:r>
    </w:p>
    <w:p w:rsidR="00353439" w:rsidRPr="00A41242" w:rsidRDefault="00353439" w:rsidP="00353439">
      <w:pPr>
        <w:jc w:val="both"/>
        <w:rPr>
          <w:rFonts w:ascii="Times New Roman" w:hAnsi="Times New Roman"/>
          <w:b/>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 xml:space="preserve">We do not agree with ESMA’s position on automated surveillance. We would encourage instead the development of rules that target outcomes (in this case, effective surveillance), and not processes. In particular, we welcome the recognition of the ‘human analysis,’ but we do not agree with the ESMA proposal for a </w:t>
      </w:r>
      <w:r w:rsidRPr="00A41242">
        <w:rPr>
          <w:rFonts w:ascii="Times New Roman" w:hAnsi="Times New Roman"/>
          <w:i/>
          <w:sz w:val="23"/>
          <w:szCs w:val="23"/>
          <w:shd w:val="clear" w:color="auto" w:fill="FFFFFF" w:themeFill="background1"/>
        </w:rPr>
        <w:t>mandatory</w:t>
      </w:r>
      <w:r w:rsidRPr="00A41242">
        <w:rPr>
          <w:rFonts w:ascii="Times New Roman" w:hAnsi="Times New Roman"/>
          <w:sz w:val="23"/>
          <w:szCs w:val="23"/>
          <w:shd w:val="clear" w:color="auto" w:fill="FFFFFF" w:themeFill="background1"/>
        </w:rPr>
        <w:t xml:space="preserve"> automated surveillance system. </w:t>
      </w:r>
    </w:p>
    <w:p w:rsidR="00353439" w:rsidRPr="00A41242" w:rsidRDefault="00353439" w:rsidP="00353439">
      <w:pPr>
        <w:jc w:val="both"/>
        <w:rPr>
          <w:rFonts w:ascii="Times New Roman" w:hAnsi="Times New Roman"/>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We think that an effective surveillance method greatly depends on the type and size of the organis</w:t>
      </w:r>
      <w:r w:rsidRPr="00A41242">
        <w:rPr>
          <w:rFonts w:ascii="Times New Roman" w:hAnsi="Times New Roman"/>
          <w:sz w:val="23"/>
          <w:szCs w:val="23"/>
          <w:shd w:val="clear" w:color="auto" w:fill="FFFFFF" w:themeFill="background1"/>
        </w:rPr>
        <w:t>a</w:t>
      </w:r>
      <w:r w:rsidRPr="00A41242">
        <w:rPr>
          <w:rFonts w:ascii="Times New Roman" w:hAnsi="Times New Roman"/>
          <w:sz w:val="23"/>
          <w:szCs w:val="23"/>
          <w:shd w:val="clear" w:color="auto" w:fill="FFFFFF" w:themeFill="background1"/>
        </w:rPr>
        <w:t xml:space="preserve">tions and therefore automated surveillance should not be mandatory for all market participants. In addition, the level of automation should be allowed to vary depending on </w:t>
      </w:r>
      <w:r w:rsidRPr="00A41242">
        <w:rPr>
          <w:rFonts w:ascii="Times New Roman" w:hAnsi="Times New Roman"/>
          <w:i/>
          <w:sz w:val="23"/>
          <w:szCs w:val="23"/>
          <w:shd w:val="clear" w:color="auto" w:fill="FFFFFF" w:themeFill="background1"/>
        </w:rPr>
        <w:t>the type of financial instr</w:t>
      </w:r>
      <w:r w:rsidRPr="00A41242">
        <w:rPr>
          <w:rFonts w:ascii="Times New Roman" w:hAnsi="Times New Roman"/>
          <w:i/>
          <w:sz w:val="23"/>
          <w:szCs w:val="23"/>
          <w:shd w:val="clear" w:color="auto" w:fill="FFFFFF" w:themeFill="background1"/>
        </w:rPr>
        <w:t>u</w:t>
      </w:r>
      <w:r w:rsidRPr="00A41242">
        <w:rPr>
          <w:rFonts w:ascii="Times New Roman" w:hAnsi="Times New Roman"/>
          <w:i/>
          <w:sz w:val="23"/>
          <w:szCs w:val="23"/>
          <w:shd w:val="clear" w:color="auto" w:fill="FFFFFF" w:themeFill="background1"/>
        </w:rPr>
        <w:t>ments and activities undertaken</w:t>
      </w:r>
      <w:r w:rsidRPr="00A41242">
        <w:rPr>
          <w:rFonts w:ascii="Times New Roman" w:hAnsi="Times New Roman"/>
          <w:sz w:val="23"/>
          <w:szCs w:val="23"/>
          <w:shd w:val="clear" w:color="auto" w:fill="FFFFFF" w:themeFill="background1"/>
        </w:rPr>
        <w:t>, as surveillance systems might not always be appropriate, feasible or effective in every circumstance.</w:t>
      </w:r>
    </w:p>
    <w:p w:rsidR="00353439" w:rsidRPr="00A41242" w:rsidRDefault="00353439" w:rsidP="00353439">
      <w:pPr>
        <w:jc w:val="both"/>
        <w:rPr>
          <w:rFonts w:ascii="Times New Roman" w:hAnsi="Times New Roman"/>
          <w:strike/>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There are cases where only human analysis can bring a suspicion of a transaction in breach of the market abuse regulation. For instance</w:t>
      </w:r>
      <w:r>
        <w:rPr>
          <w:rFonts w:ascii="Times New Roman" w:hAnsi="Times New Roman"/>
          <w:sz w:val="23"/>
          <w:szCs w:val="23"/>
          <w:shd w:val="clear" w:color="auto" w:fill="FFFFFF" w:themeFill="background1"/>
        </w:rPr>
        <w:t>,</w:t>
      </w:r>
      <w:r w:rsidRPr="00A41242">
        <w:rPr>
          <w:rFonts w:ascii="Times New Roman" w:hAnsi="Times New Roman"/>
          <w:sz w:val="23"/>
          <w:szCs w:val="23"/>
          <w:shd w:val="clear" w:color="auto" w:fill="FFFFFF" w:themeFill="background1"/>
        </w:rPr>
        <w:t xml:space="preserve"> for OTC derivatives cross-markets analysis is needed. Venue traded instruments and transactions on underlying instruments also need to be taken into account for any suspicion to be raised. We believe that this can be effectively carried out only by a front office expert and not by an automated survei</w:t>
      </w:r>
      <w:r w:rsidRPr="00A41242">
        <w:rPr>
          <w:rFonts w:ascii="Times New Roman" w:hAnsi="Times New Roman"/>
          <w:sz w:val="23"/>
          <w:szCs w:val="23"/>
          <w:shd w:val="clear" w:color="auto" w:fill="FFFFFF" w:themeFill="background1"/>
        </w:rPr>
        <w:t>l</w:t>
      </w:r>
      <w:r w:rsidRPr="00A41242">
        <w:rPr>
          <w:rFonts w:ascii="Times New Roman" w:hAnsi="Times New Roman"/>
          <w:sz w:val="23"/>
          <w:szCs w:val="23"/>
          <w:shd w:val="clear" w:color="auto" w:fill="FFFFFF" w:themeFill="background1"/>
        </w:rPr>
        <w:t>lance system. Moreover, where derivatives markets may be accessed by telephone trading, the pr</w:t>
      </w:r>
      <w:r w:rsidRPr="00A41242">
        <w:rPr>
          <w:rFonts w:ascii="Times New Roman" w:hAnsi="Times New Roman"/>
          <w:sz w:val="23"/>
          <w:szCs w:val="23"/>
          <w:shd w:val="clear" w:color="auto" w:fill="FFFFFF" w:themeFill="background1"/>
        </w:rPr>
        <w:t>o</w:t>
      </w:r>
      <w:r w:rsidRPr="00A41242">
        <w:rPr>
          <w:rFonts w:ascii="Times New Roman" w:hAnsi="Times New Roman"/>
          <w:sz w:val="23"/>
          <w:szCs w:val="23"/>
          <w:shd w:val="clear" w:color="auto" w:fill="FFFFFF" w:themeFill="background1"/>
        </w:rPr>
        <w:t>cess to analyse data would be manual and qualitative, not automated.  For instance this can be o</w:t>
      </w:r>
      <w:r w:rsidRPr="00A41242">
        <w:rPr>
          <w:rFonts w:ascii="Times New Roman" w:hAnsi="Times New Roman"/>
          <w:sz w:val="23"/>
          <w:szCs w:val="23"/>
          <w:shd w:val="clear" w:color="auto" w:fill="FFFFFF" w:themeFill="background1"/>
        </w:rPr>
        <w:t>b</w:t>
      </w:r>
      <w:r w:rsidRPr="00A41242">
        <w:rPr>
          <w:rFonts w:ascii="Times New Roman" w:hAnsi="Times New Roman"/>
          <w:sz w:val="23"/>
          <w:szCs w:val="23"/>
          <w:shd w:val="clear" w:color="auto" w:fill="FFFFFF" w:themeFill="background1"/>
        </w:rPr>
        <w:t>served on the London Metal Exchange, where commodities derivatives are traded, electronically, by floor and via telephone. This means that in order to ensure adequate surveillance different approaches are required for each execution mechanism. Similarly an automatic system would not ensure an effective surveillance when analysis needs to take into account both unexecuted and executed orders.</w:t>
      </w:r>
    </w:p>
    <w:p w:rsidR="00353439" w:rsidRPr="00A41242" w:rsidRDefault="00353439" w:rsidP="00353439">
      <w:pPr>
        <w:jc w:val="both"/>
        <w:rPr>
          <w:rFonts w:ascii="Times New Roman" w:hAnsi="Times New Roman"/>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Moreover, we would like to underline that Level 1 of MAR does not foresee a mandatory automated surveillance system.</w:t>
      </w:r>
    </w:p>
    <w:p w:rsidR="00353439" w:rsidRPr="00A41242" w:rsidRDefault="00353439" w:rsidP="00353439">
      <w:pPr>
        <w:jc w:val="both"/>
        <w:rPr>
          <w:rFonts w:ascii="Times New Roman" w:hAnsi="Times New Roman"/>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Furthermore, market participants should have room to design the systems that best ensure effective surveillance and apply automated systems only in cases, where such a system will be efficient and will bring additional benefits as compared to human analysis.</w:t>
      </w:r>
    </w:p>
    <w:p w:rsidR="00353439" w:rsidRPr="00A41242" w:rsidRDefault="00353439" w:rsidP="00353439">
      <w:pPr>
        <w:jc w:val="both"/>
        <w:rPr>
          <w:rFonts w:ascii="Times New Roman" w:hAnsi="Times New Roman"/>
          <w:sz w:val="23"/>
          <w:szCs w:val="23"/>
          <w:shd w:val="clear" w:color="auto" w:fill="FFFFFF" w:themeFill="background1"/>
        </w:rPr>
      </w:pPr>
    </w:p>
    <w:p w:rsidR="00353439" w:rsidRDefault="00353439" w:rsidP="00353439">
      <w:pPr>
        <w:jc w:val="both"/>
        <w:rPr>
          <w:rFonts w:ascii="Times New Roman" w:hAnsi="Times New Roman"/>
          <w:bCs/>
          <w:sz w:val="23"/>
          <w:szCs w:val="23"/>
        </w:rPr>
      </w:pPr>
      <w:r w:rsidRPr="00A41242">
        <w:rPr>
          <w:rFonts w:ascii="Times New Roman" w:hAnsi="Times New Roman"/>
          <w:sz w:val="23"/>
          <w:szCs w:val="23"/>
          <w:shd w:val="clear" w:color="auto" w:fill="FFFFFF" w:themeFill="background1"/>
        </w:rPr>
        <w:t>Therefore, we would welcome the ESMA’s RTS to specify that firms should establish and maintain appropriate automated surveillance systems ‘where appropriate and necessary’ to conduct effective monitoring of orders and transactions (see article 5(1) and Recital 1 of the proposed ESMA’s RTS). Please see the mark</w:t>
      </w:r>
      <w:r>
        <w:rPr>
          <w:rFonts w:ascii="Times New Roman" w:hAnsi="Times New Roman"/>
          <w:sz w:val="23"/>
          <w:szCs w:val="23"/>
          <w:shd w:val="clear" w:color="auto" w:fill="FFFFFF" w:themeFill="background1"/>
        </w:rPr>
        <w:t>-up</w:t>
      </w:r>
      <w:r w:rsidRPr="00A41242">
        <w:rPr>
          <w:rFonts w:ascii="Times New Roman" w:hAnsi="Times New Roman"/>
          <w:sz w:val="23"/>
          <w:szCs w:val="23"/>
          <w:shd w:val="clear" w:color="auto" w:fill="FFFFFF" w:themeFill="background1"/>
        </w:rPr>
        <w:t xml:space="preserve"> suggested below</w:t>
      </w:r>
      <w:r w:rsidRPr="00A41242">
        <w:rPr>
          <w:rFonts w:ascii="Times New Roman" w:hAnsi="Times New Roman"/>
          <w:bCs/>
          <w:sz w:val="23"/>
          <w:szCs w:val="23"/>
        </w:rPr>
        <w:t>.</w:t>
      </w:r>
    </w:p>
    <w:p w:rsidR="00353439" w:rsidRPr="00A41242" w:rsidRDefault="00353439" w:rsidP="00353439">
      <w:pPr>
        <w:jc w:val="both"/>
        <w:rPr>
          <w:rFonts w:ascii="Times New Roman" w:hAnsi="Times New Roman"/>
          <w:bCs/>
          <w:sz w:val="23"/>
          <w:szCs w:val="23"/>
        </w:rPr>
      </w:pPr>
    </w:p>
    <w:p w:rsidR="00353439" w:rsidRDefault="00353439" w:rsidP="00353439">
      <w:pPr>
        <w:jc w:val="both"/>
        <w:rPr>
          <w:rFonts w:ascii="Times New Roman" w:hAnsi="Times New Roman"/>
          <w:b/>
          <w:sz w:val="23"/>
          <w:szCs w:val="23"/>
          <w:shd w:val="clear" w:color="auto" w:fill="FFFFFF" w:themeFill="background1"/>
        </w:rPr>
      </w:pPr>
      <w:r w:rsidRPr="00A41242">
        <w:rPr>
          <w:rFonts w:ascii="Times New Roman" w:hAnsi="Times New Roman"/>
          <w:b/>
          <w:sz w:val="23"/>
          <w:szCs w:val="23"/>
          <w:shd w:val="clear" w:color="auto" w:fill="FFFFFF" w:themeFill="background1"/>
        </w:rPr>
        <w:t>Range of trading activities</w:t>
      </w:r>
    </w:p>
    <w:p w:rsidR="00353439" w:rsidRPr="00A41242" w:rsidRDefault="00353439" w:rsidP="00353439">
      <w:pPr>
        <w:jc w:val="both"/>
        <w:rPr>
          <w:rFonts w:ascii="Times New Roman" w:hAnsi="Times New Roman"/>
          <w:b/>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Moreover, we strongly disagree with the last sentence of the Article 5.1. of the relevant RTS (‘The automated system shall cover the full range of trading activities undertaken by the concerned pe</w:t>
      </w:r>
      <w:r w:rsidRPr="00A41242">
        <w:rPr>
          <w:rFonts w:ascii="Times New Roman" w:hAnsi="Times New Roman"/>
          <w:sz w:val="23"/>
          <w:szCs w:val="23"/>
          <w:shd w:val="clear" w:color="auto" w:fill="FFFFFF" w:themeFill="background1"/>
        </w:rPr>
        <w:t>r</w:t>
      </w:r>
      <w:r w:rsidRPr="00A41242">
        <w:rPr>
          <w:rFonts w:ascii="Times New Roman" w:hAnsi="Times New Roman"/>
          <w:sz w:val="23"/>
          <w:szCs w:val="23"/>
          <w:shd w:val="clear" w:color="auto" w:fill="FFFFFF" w:themeFill="background1"/>
        </w:rPr>
        <w:t>son</w:t>
      </w:r>
      <w:r>
        <w:rPr>
          <w:rFonts w:ascii="Times New Roman" w:hAnsi="Times New Roman"/>
          <w:sz w:val="23"/>
          <w:szCs w:val="23"/>
          <w:shd w:val="clear" w:color="auto" w:fill="FFFFFF" w:themeFill="background1"/>
        </w:rPr>
        <w:t>.</w:t>
      </w:r>
      <w:r w:rsidRPr="00A41242">
        <w:rPr>
          <w:rFonts w:ascii="Times New Roman" w:hAnsi="Times New Roman"/>
          <w:sz w:val="23"/>
          <w:szCs w:val="23"/>
          <w:shd w:val="clear" w:color="auto" w:fill="FFFFFF" w:themeFill="background1"/>
        </w:rPr>
        <w:t>’) and the corresponding paragraph 196 of ESMA’s explanation  (‘In any event, the automated system should cover the full range of trading activities undertaken by the firm[…]’). This is in co</w:t>
      </w:r>
      <w:r w:rsidRPr="00A41242">
        <w:rPr>
          <w:rFonts w:ascii="Times New Roman" w:hAnsi="Times New Roman"/>
          <w:sz w:val="23"/>
          <w:szCs w:val="23"/>
          <w:shd w:val="clear" w:color="auto" w:fill="FFFFFF" w:themeFill="background1"/>
        </w:rPr>
        <w:t>n</w:t>
      </w:r>
      <w:r w:rsidRPr="00A41242">
        <w:rPr>
          <w:rFonts w:ascii="Times New Roman" w:hAnsi="Times New Roman"/>
          <w:sz w:val="23"/>
          <w:szCs w:val="23"/>
          <w:shd w:val="clear" w:color="auto" w:fill="FFFFFF" w:themeFill="background1"/>
        </w:rPr>
        <w:t xml:space="preserve">tradiction with the scope of the MAR Level 1 text, as it does not include ‘the full range of trading activities undertaken by the concerned person.’ For instance, certain long term contracts of physical delivery of oil and gas are not covered by MAR. </w:t>
      </w:r>
    </w:p>
    <w:p w:rsidR="00353439" w:rsidRPr="00A41242" w:rsidRDefault="00353439" w:rsidP="00353439">
      <w:pPr>
        <w:jc w:val="both"/>
        <w:rPr>
          <w:rFonts w:ascii="Times New Roman" w:hAnsi="Times New Roman"/>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Therefore we suggest removing the last sentence of the Art 5.1. of the relevant RTS. Please see the mark up suggested below.</w:t>
      </w:r>
    </w:p>
    <w:p w:rsidR="00353439" w:rsidRPr="00A41242" w:rsidRDefault="00353439" w:rsidP="00353439">
      <w:pPr>
        <w:jc w:val="both"/>
        <w:rPr>
          <w:rFonts w:ascii="Times New Roman" w:hAnsi="Times New Roman"/>
          <w:sz w:val="23"/>
          <w:szCs w:val="23"/>
          <w:shd w:val="clear" w:color="auto" w:fill="FFFFFF" w:themeFill="background1"/>
        </w:rPr>
      </w:pPr>
    </w:p>
    <w:p w:rsidR="00353439" w:rsidRDefault="00353439" w:rsidP="00353439">
      <w:pPr>
        <w:jc w:val="both"/>
        <w:rPr>
          <w:rFonts w:ascii="Times New Roman" w:hAnsi="Times New Roman"/>
          <w:b/>
          <w:sz w:val="23"/>
          <w:szCs w:val="23"/>
          <w:shd w:val="clear" w:color="auto" w:fill="FFFFFF" w:themeFill="background1"/>
        </w:rPr>
      </w:pPr>
      <w:r w:rsidRPr="00A41242">
        <w:rPr>
          <w:rFonts w:ascii="Times New Roman" w:hAnsi="Times New Roman"/>
          <w:b/>
          <w:sz w:val="23"/>
          <w:szCs w:val="23"/>
          <w:shd w:val="clear" w:color="auto" w:fill="FFFFFF" w:themeFill="background1"/>
        </w:rPr>
        <w:t>‘Off the shelf’ systems</w:t>
      </w:r>
    </w:p>
    <w:p w:rsidR="00353439" w:rsidRPr="00A41242" w:rsidRDefault="00353439" w:rsidP="00353439">
      <w:pPr>
        <w:jc w:val="both"/>
        <w:rPr>
          <w:rFonts w:ascii="Times New Roman" w:hAnsi="Times New Roman"/>
          <w:b/>
          <w:sz w:val="23"/>
          <w:szCs w:val="23"/>
          <w:shd w:val="clear" w:color="auto" w:fill="FFFFFF" w:themeFill="background1"/>
        </w:rPr>
      </w:pPr>
    </w:p>
    <w:p w:rsidR="00353439" w:rsidRDefault="00353439" w:rsidP="00353439">
      <w:pPr>
        <w:jc w:val="both"/>
        <w:rPr>
          <w:rFonts w:ascii="Times New Roman" w:hAnsi="Times New Roman"/>
          <w:sz w:val="23"/>
          <w:szCs w:val="23"/>
          <w:shd w:val="clear" w:color="auto" w:fill="FFFFFF" w:themeFill="background1"/>
        </w:rPr>
      </w:pPr>
      <w:r w:rsidRPr="00A41242">
        <w:rPr>
          <w:rFonts w:ascii="Times New Roman" w:hAnsi="Times New Roman"/>
          <w:sz w:val="23"/>
          <w:szCs w:val="23"/>
          <w:shd w:val="clear" w:color="auto" w:fill="FFFFFF" w:themeFill="background1"/>
        </w:rPr>
        <w:t>Furthermore we strongly disagree with the suggestion that a surveillance system can be taken ‘off the shelf’ (second sentence in paragraph 196).  We believe that such off the shelf solution will always have to be adapted to the different business characteristics and is not as easily imple</w:t>
      </w:r>
      <w:r>
        <w:rPr>
          <w:rFonts w:ascii="Times New Roman" w:hAnsi="Times New Roman"/>
          <w:sz w:val="23"/>
          <w:szCs w:val="23"/>
          <w:shd w:val="clear" w:color="auto" w:fill="FFFFFF" w:themeFill="background1"/>
        </w:rPr>
        <w:t>mented as ESMA seem to suggest.</w:t>
      </w:r>
      <w:r w:rsidRPr="00A41242">
        <w:rPr>
          <w:rFonts w:ascii="Times New Roman" w:hAnsi="Times New Roman"/>
          <w:sz w:val="23"/>
          <w:szCs w:val="23"/>
          <w:shd w:val="clear" w:color="auto" w:fill="FFFFFF" w:themeFill="background1"/>
        </w:rPr>
        <w:t xml:space="preserve">  In our opinion, there is no such an off the shelf solution that could ensure effective surveillance. Human intervention and manual review are needed.</w:t>
      </w:r>
    </w:p>
    <w:p w:rsidR="00353439" w:rsidRPr="00A41242" w:rsidRDefault="00353439" w:rsidP="00353439">
      <w:pPr>
        <w:jc w:val="both"/>
        <w:rPr>
          <w:rFonts w:ascii="Times New Roman" w:hAnsi="Times New Roman"/>
          <w:sz w:val="23"/>
          <w:szCs w:val="23"/>
          <w:shd w:val="clear" w:color="auto" w:fill="FFFFFF" w:themeFill="background1"/>
        </w:rPr>
      </w:pPr>
    </w:p>
    <w:p w:rsidR="00353439" w:rsidRPr="00A41242" w:rsidRDefault="00353439" w:rsidP="00353439">
      <w:pPr>
        <w:autoSpaceDE w:val="0"/>
        <w:autoSpaceDN w:val="0"/>
        <w:adjustRightInd w:val="0"/>
        <w:jc w:val="both"/>
        <w:rPr>
          <w:rFonts w:ascii="Times New Roman" w:eastAsiaTheme="minorHAnsi" w:hAnsi="Times New Roman"/>
          <w:b/>
          <w:iCs/>
          <w:color w:val="000000"/>
          <w:sz w:val="23"/>
          <w:szCs w:val="23"/>
        </w:rPr>
      </w:pPr>
      <w:r w:rsidRPr="00A41242">
        <w:rPr>
          <w:rFonts w:ascii="Times New Roman" w:eastAsiaTheme="minorHAnsi" w:hAnsi="Times New Roman"/>
          <w:b/>
          <w:iCs/>
          <w:color w:val="000000"/>
          <w:sz w:val="23"/>
          <w:szCs w:val="23"/>
        </w:rPr>
        <w:t>Mark up suggestion – automated systems and range of activities</w:t>
      </w:r>
    </w:p>
    <w:p w:rsidR="00353439" w:rsidRPr="00A41242" w:rsidRDefault="00353439" w:rsidP="00353439">
      <w:pPr>
        <w:autoSpaceDE w:val="0"/>
        <w:autoSpaceDN w:val="0"/>
        <w:adjustRightInd w:val="0"/>
        <w:jc w:val="both"/>
        <w:rPr>
          <w:rFonts w:ascii="Times New Roman" w:eastAsiaTheme="minorHAnsi" w:hAnsi="Times New Roman"/>
          <w:b/>
          <w:iCs/>
          <w:color w:val="000000"/>
          <w:sz w:val="23"/>
          <w:szCs w:val="23"/>
        </w:rPr>
      </w:pPr>
    </w:p>
    <w:p w:rsidR="00353439" w:rsidRPr="00A41242" w:rsidRDefault="00353439" w:rsidP="00353439">
      <w:pPr>
        <w:jc w:val="both"/>
        <w:rPr>
          <w:rFonts w:ascii="Times New Roman" w:eastAsiaTheme="minorHAnsi" w:hAnsi="Times New Roman"/>
          <w:iCs/>
          <w:color w:val="000000"/>
          <w:sz w:val="23"/>
          <w:szCs w:val="23"/>
        </w:rPr>
      </w:pPr>
      <w:r w:rsidRPr="00A41242">
        <w:rPr>
          <w:rFonts w:ascii="Times New Roman" w:eastAsiaTheme="minorHAnsi" w:hAnsi="Times New Roman"/>
          <w:iCs/>
          <w:color w:val="000000"/>
          <w:sz w:val="23"/>
          <w:szCs w:val="23"/>
        </w:rPr>
        <w:t>Article 5</w:t>
      </w:r>
      <w:r w:rsidRPr="00A41242">
        <w:rPr>
          <w:rFonts w:ascii="Times New Roman" w:eastAsiaTheme="minorHAnsi" w:hAnsi="Times New Roman"/>
          <w:color w:val="000000"/>
          <w:sz w:val="23"/>
          <w:szCs w:val="23"/>
        </w:rPr>
        <w:t xml:space="preserve">, </w:t>
      </w:r>
      <w:r w:rsidRPr="005D00A9">
        <w:rPr>
          <w:rFonts w:ascii="Times New Roman" w:hAnsi="Times New Roman"/>
          <w:sz w:val="23"/>
          <w:szCs w:val="23"/>
          <w:shd w:val="clear" w:color="auto" w:fill="FFFFFF" w:themeFill="background1"/>
        </w:rPr>
        <w:t>Monitoring</w:t>
      </w:r>
      <w:r w:rsidRPr="00A41242">
        <w:rPr>
          <w:rFonts w:ascii="Times New Roman" w:eastAsiaTheme="minorHAnsi" w:hAnsi="Times New Roman"/>
          <w:iCs/>
          <w:color w:val="000000"/>
          <w:sz w:val="23"/>
          <w:szCs w:val="23"/>
        </w:rPr>
        <w:t xml:space="preserve"> and Detection </w:t>
      </w:r>
    </w:p>
    <w:p w:rsidR="00353439" w:rsidRDefault="00353439" w:rsidP="00353439">
      <w:pPr>
        <w:jc w:val="both"/>
        <w:rPr>
          <w:rFonts w:ascii="Times New Roman" w:eastAsiaTheme="minorHAnsi" w:hAnsi="Times New Roman"/>
          <w:color w:val="000000"/>
          <w:sz w:val="23"/>
          <w:szCs w:val="23"/>
        </w:rPr>
      </w:pPr>
      <w:r w:rsidRPr="00A41242">
        <w:rPr>
          <w:rFonts w:ascii="Times New Roman" w:eastAsiaTheme="minorHAnsi" w:hAnsi="Times New Roman"/>
          <w:color w:val="000000"/>
          <w:sz w:val="23"/>
          <w:szCs w:val="23"/>
        </w:rPr>
        <w:t xml:space="preserve">1. Persons </w:t>
      </w:r>
      <w:r w:rsidRPr="005D00A9">
        <w:rPr>
          <w:rFonts w:ascii="Times New Roman" w:hAnsi="Times New Roman"/>
          <w:sz w:val="23"/>
          <w:szCs w:val="23"/>
          <w:shd w:val="clear" w:color="auto" w:fill="FFFFFF" w:themeFill="background1"/>
        </w:rPr>
        <w:t>referred</w:t>
      </w:r>
      <w:r w:rsidRPr="00A41242">
        <w:rPr>
          <w:rFonts w:ascii="Times New Roman" w:eastAsiaTheme="minorHAnsi" w:hAnsi="Times New Roman"/>
          <w:color w:val="000000"/>
          <w:sz w:val="23"/>
          <w:szCs w:val="23"/>
        </w:rPr>
        <w:t xml:space="preserve"> to in Article 16(1) and (2) of Regulation (EU) 596/2014 shall establish and mai</w:t>
      </w:r>
      <w:r w:rsidRPr="00A41242">
        <w:rPr>
          <w:rFonts w:ascii="Times New Roman" w:eastAsiaTheme="minorHAnsi" w:hAnsi="Times New Roman"/>
          <w:color w:val="000000"/>
          <w:sz w:val="23"/>
          <w:szCs w:val="23"/>
        </w:rPr>
        <w:t>n</w:t>
      </w:r>
      <w:r w:rsidRPr="00A41242">
        <w:rPr>
          <w:rFonts w:ascii="Times New Roman" w:eastAsiaTheme="minorHAnsi" w:hAnsi="Times New Roman"/>
          <w:color w:val="000000"/>
          <w:sz w:val="23"/>
          <w:szCs w:val="23"/>
        </w:rPr>
        <w:t xml:space="preserve">tain appropriate automated surveillance systems </w:t>
      </w:r>
      <w:r w:rsidRPr="00A41242">
        <w:rPr>
          <w:rFonts w:ascii="Times New Roman" w:eastAsiaTheme="minorHAnsi" w:hAnsi="Times New Roman"/>
          <w:i/>
          <w:sz w:val="23"/>
          <w:szCs w:val="23"/>
          <w:u w:val="single"/>
        </w:rPr>
        <w:t>where appropriate and necessary</w:t>
      </w:r>
      <w:r w:rsidRPr="00A41242">
        <w:rPr>
          <w:rFonts w:ascii="Times New Roman" w:eastAsiaTheme="minorHAnsi" w:hAnsi="Times New Roman"/>
          <w:i/>
          <w:sz w:val="23"/>
          <w:szCs w:val="23"/>
        </w:rPr>
        <w:t xml:space="preserve"> </w:t>
      </w:r>
      <w:r w:rsidRPr="00A41242">
        <w:rPr>
          <w:rFonts w:ascii="Times New Roman" w:eastAsiaTheme="minorHAnsi" w:hAnsi="Times New Roman"/>
          <w:color w:val="000000"/>
          <w:sz w:val="23"/>
          <w:szCs w:val="23"/>
        </w:rPr>
        <w:t xml:space="preserve"> to conduct effe</w:t>
      </w:r>
      <w:r w:rsidRPr="00A41242">
        <w:rPr>
          <w:rFonts w:ascii="Times New Roman" w:eastAsiaTheme="minorHAnsi" w:hAnsi="Times New Roman"/>
          <w:color w:val="000000"/>
          <w:sz w:val="23"/>
          <w:szCs w:val="23"/>
        </w:rPr>
        <w:t>c</w:t>
      </w:r>
      <w:r w:rsidRPr="00A41242">
        <w:rPr>
          <w:rFonts w:ascii="Times New Roman" w:eastAsiaTheme="minorHAnsi" w:hAnsi="Times New Roman"/>
          <w:color w:val="000000"/>
          <w:sz w:val="23"/>
          <w:szCs w:val="23"/>
        </w:rPr>
        <w:t xml:space="preserve">tive monitoring of orders and transactions, including through the generation of alerts. Those persons shall explain to their competent authority, if requested, the extent to which the level of automation of their system is appropriate for and proportionate to the scale, size and nature of their business activity. </w:t>
      </w:r>
      <w:r w:rsidRPr="00A41242">
        <w:rPr>
          <w:rFonts w:ascii="Times New Roman" w:eastAsiaTheme="minorHAnsi" w:hAnsi="Times New Roman"/>
          <w:strike/>
          <w:color w:val="000000"/>
          <w:sz w:val="23"/>
          <w:szCs w:val="23"/>
        </w:rPr>
        <w:t>The automated system shall cover the full range of trading activities undertaken by the concerned person.</w:t>
      </w:r>
      <w:r w:rsidRPr="00A41242">
        <w:rPr>
          <w:rFonts w:ascii="Times New Roman" w:eastAsiaTheme="minorHAnsi" w:hAnsi="Times New Roman"/>
          <w:color w:val="000000"/>
          <w:sz w:val="23"/>
          <w:szCs w:val="23"/>
        </w:rPr>
        <w:t xml:space="preserve"> </w:t>
      </w:r>
    </w:p>
    <w:p w:rsidR="00905311" w:rsidRPr="00A41242" w:rsidRDefault="00905311" w:rsidP="00353439">
      <w:pPr>
        <w:jc w:val="both"/>
        <w:rPr>
          <w:rFonts w:ascii="Times New Roman" w:eastAsiaTheme="minorHAnsi" w:hAnsi="Times New Roman"/>
          <w:color w:val="000000"/>
          <w:sz w:val="23"/>
          <w:szCs w:val="23"/>
        </w:rPr>
      </w:pPr>
    </w:p>
    <w:p w:rsidR="00353439" w:rsidRPr="00A41242" w:rsidRDefault="00353439" w:rsidP="00353439">
      <w:pPr>
        <w:jc w:val="both"/>
        <w:rPr>
          <w:rFonts w:ascii="Times New Roman" w:hAnsi="Times New Roman"/>
          <w:sz w:val="23"/>
          <w:szCs w:val="23"/>
        </w:rPr>
      </w:pPr>
      <w:r w:rsidRPr="00A41242">
        <w:rPr>
          <w:rFonts w:ascii="Times New Roman" w:hAnsi="Times New Roman"/>
          <w:sz w:val="23"/>
          <w:szCs w:val="23"/>
        </w:rPr>
        <w:t xml:space="preserve">Recital 1, </w:t>
      </w:r>
      <w:r w:rsidRPr="005D00A9">
        <w:rPr>
          <w:rFonts w:ascii="Times New Roman" w:hAnsi="Times New Roman"/>
          <w:sz w:val="23"/>
          <w:szCs w:val="23"/>
          <w:shd w:val="clear" w:color="auto" w:fill="FFFFFF" w:themeFill="background1"/>
        </w:rPr>
        <w:t>second</w:t>
      </w:r>
      <w:r w:rsidRPr="00A41242">
        <w:rPr>
          <w:rFonts w:ascii="Times New Roman" w:hAnsi="Times New Roman"/>
          <w:sz w:val="23"/>
          <w:szCs w:val="23"/>
        </w:rPr>
        <w:t xml:space="preserve"> sentence:</w:t>
      </w:r>
    </w:p>
    <w:p w:rsidR="00353439" w:rsidRDefault="00353439" w:rsidP="00353439">
      <w:pPr>
        <w:jc w:val="both"/>
        <w:rPr>
          <w:rFonts w:ascii="Times New Roman" w:eastAsiaTheme="minorHAnsi" w:hAnsi="Times New Roman"/>
          <w:color w:val="000000"/>
          <w:sz w:val="23"/>
          <w:szCs w:val="23"/>
        </w:rPr>
      </w:pPr>
      <w:r w:rsidRPr="00A41242">
        <w:rPr>
          <w:rFonts w:ascii="Times New Roman" w:eastAsiaTheme="minorHAnsi" w:hAnsi="Times New Roman"/>
          <w:color w:val="000000"/>
          <w:sz w:val="23"/>
          <w:szCs w:val="23"/>
        </w:rPr>
        <w:t xml:space="preserve">This requires a </w:t>
      </w:r>
      <w:r w:rsidRPr="005D00A9">
        <w:rPr>
          <w:rFonts w:ascii="Times New Roman" w:hAnsi="Times New Roman"/>
          <w:sz w:val="23"/>
          <w:szCs w:val="23"/>
          <w:shd w:val="clear" w:color="auto" w:fill="FFFFFF" w:themeFill="background1"/>
        </w:rPr>
        <w:t>minimum</w:t>
      </w:r>
      <w:r w:rsidRPr="00A41242">
        <w:rPr>
          <w:rFonts w:ascii="Times New Roman" w:eastAsiaTheme="minorHAnsi" w:hAnsi="Times New Roman"/>
          <w:color w:val="000000"/>
          <w:sz w:val="23"/>
          <w:szCs w:val="23"/>
        </w:rPr>
        <w:t xml:space="preserve"> level of granularity in the surveillance approaches which involve, to be effective, both automated monitoring systems</w:t>
      </w:r>
      <w:r w:rsidRPr="00A41242">
        <w:rPr>
          <w:rFonts w:ascii="Times New Roman" w:eastAsiaTheme="minorHAnsi" w:hAnsi="Times New Roman"/>
          <w:color w:val="000000"/>
          <w:sz w:val="23"/>
          <w:szCs w:val="23"/>
          <w:u w:val="single"/>
        </w:rPr>
        <w:t>,</w:t>
      </w:r>
      <w:r>
        <w:rPr>
          <w:rFonts w:ascii="Times New Roman" w:eastAsiaTheme="minorHAnsi" w:hAnsi="Times New Roman"/>
          <w:i/>
          <w:sz w:val="23"/>
          <w:szCs w:val="23"/>
          <w:u w:val="single"/>
        </w:rPr>
        <w:t xml:space="preserve"> </w:t>
      </w:r>
      <w:r w:rsidRPr="00A41242">
        <w:rPr>
          <w:rFonts w:ascii="Times New Roman" w:eastAsiaTheme="minorHAnsi" w:hAnsi="Times New Roman"/>
          <w:i/>
          <w:sz w:val="23"/>
          <w:szCs w:val="23"/>
          <w:u w:val="single"/>
        </w:rPr>
        <w:t>where appropriate and necessary,</w:t>
      </w:r>
      <w:r w:rsidRPr="00A41242">
        <w:rPr>
          <w:rFonts w:ascii="Times New Roman" w:eastAsiaTheme="minorHAnsi" w:hAnsi="Times New Roman"/>
          <w:color w:val="000000"/>
          <w:sz w:val="23"/>
          <w:szCs w:val="23"/>
        </w:rPr>
        <w:t xml:space="preserve"> and human inputs from appropriately trained staff. </w:t>
      </w:r>
    </w:p>
    <w:permEnd w:id="184702284"/>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61009E" w:rsidRDefault="0061009E" w:rsidP="0061009E">
      <w:pPr>
        <w:jc w:val="both"/>
        <w:rPr>
          <w:rFonts w:ascii="Times New Roman" w:hAnsi="Times New Roman"/>
          <w:sz w:val="23"/>
          <w:szCs w:val="23"/>
        </w:rPr>
      </w:pPr>
      <w:permStart w:id="1919094810" w:edGrp="everyone"/>
      <w:r>
        <w:rPr>
          <w:rFonts w:ascii="Times New Roman" w:hAnsi="Times New Roman"/>
          <w:sz w:val="23"/>
          <w:szCs w:val="23"/>
        </w:rPr>
        <w:t>R</w:t>
      </w:r>
      <w:r w:rsidRPr="002F0C87">
        <w:rPr>
          <w:rFonts w:ascii="Times New Roman" w:hAnsi="Times New Roman"/>
          <w:sz w:val="23"/>
          <w:szCs w:val="23"/>
        </w:rPr>
        <w:t xml:space="preserve">eporting </w:t>
      </w:r>
      <w:r>
        <w:rPr>
          <w:rFonts w:ascii="Times New Roman" w:hAnsi="Times New Roman"/>
          <w:sz w:val="23"/>
          <w:szCs w:val="23"/>
        </w:rPr>
        <w:t xml:space="preserve">requirements </w:t>
      </w:r>
      <w:r w:rsidRPr="002F0C87">
        <w:rPr>
          <w:rFonts w:ascii="Times New Roman" w:hAnsi="Times New Roman"/>
          <w:sz w:val="23"/>
          <w:szCs w:val="23"/>
        </w:rPr>
        <w:t xml:space="preserve">under </w:t>
      </w:r>
      <w:r>
        <w:rPr>
          <w:rFonts w:ascii="Times New Roman" w:hAnsi="Times New Roman"/>
          <w:sz w:val="23"/>
          <w:szCs w:val="23"/>
        </w:rPr>
        <w:t xml:space="preserve">MAR  (especially suspicious transactions reporting) </w:t>
      </w:r>
      <w:r w:rsidRPr="002F0C87">
        <w:rPr>
          <w:rFonts w:ascii="Times New Roman" w:hAnsi="Times New Roman"/>
          <w:sz w:val="23"/>
          <w:szCs w:val="23"/>
        </w:rPr>
        <w:t>should be harm</w:t>
      </w:r>
      <w:r w:rsidRPr="002F0C87">
        <w:rPr>
          <w:rFonts w:ascii="Times New Roman" w:hAnsi="Times New Roman"/>
          <w:sz w:val="23"/>
          <w:szCs w:val="23"/>
        </w:rPr>
        <w:t>o</w:t>
      </w:r>
      <w:r w:rsidRPr="002F0C87">
        <w:rPr>
          <w:rFonts w:ascii="Times New Roman" w:hAnsi="Times New Roman"/>
          <w:sz w:val="23"/>
          <w:szCs w:val="23"/>
        </w:rPr>
        <w:t xml:space="preserve">nised where possible </w:t>
      </w:r>
      <w:r>
        <w:rPr>
          <w:rFonts w:ascii="Times New Roman" w:hAnsi="Times New Roman"/>
          <w:sz w:val="23"/>
          <w:szCs w:val="23"/>
        </w:rPr>
        <w:t xml:space="preserve">and appropriate </w:t>
      </w:r>
      <w:r w:rsidRPr="002F0C87">
        <w:rPr>
          <w:rFonts w:ascii="Times New Roman" w:hAnsi="Times New Roman"/>
          <w:sz w:val="23"/>
          <w:szCs w:val="23"/>
        </w:rPr>
        <w:t xml:space="preserve">with other European reporting regimes (e.g. EMIR, </w:t>
      </w:r>
      <w:r>
        <w:rPr>
          <w:rFonts w:ascii="Times New Roman" w:hAnsi="Times New Roman"/>
          <w:sz w:val="23"/>
          <w:szCs w:val="23"/>
        </w:rPr>
        <w:t xml:space="preserve">MiFID, </w:t>
      </w:r>
      <w:r w:rsidRPr="002F0C87">
        <w:rPr>
          <w:rFonts w:ascii="Times New Roman" w:hAnsi="Times New Roman"/>
          <w:sz w:val="23"/>
          <w:szCs w:val="23"/>
        </w:rPr>
        <w:t>REM</w:t>
      </w:r>
      <w:r>
        <w:rPr>
          <w:rFonts w:ascii="Times New Roman" w:hAnsi="Times New Roman"/>
          <w:sz w:val="23"/>
          <w:szCs w:val="23"/>
        </w:rPr>
        <w:t xml:space="preserve">IT) as this will aid efficient </w:t>
      </w:r>
      <w:r w:rsidRPr="002F0C87">
        <w:rPr>
          <w:rFonts w:ascii="Times New Roman" w:hAnsi="Times New Roman"/>
          <w:sz w:val="23"/>
          <w:szCs w:val="23"/>
        </w:rPr>
        <w:t xml:space="preserve">reporting </w:t>
      </w:r>
      <w:r>
        <w:rPr>
          <w:rFonts w:ascii="Times New Roman" w:hAnsi="Times New Roman"/>
          <w:sz w:val="23"/>
          <w:szCs w:val="23"/>
        </w:rPr>
        <w:t>across</w:t>
      </w:r>
      <w:r w:rsidRPr="002F0C87">
        <w:rPr>
          <w:rFonts w:ascii="Times New Roman" w:hAnsi="Times New Roman"/>
          <w:sz w:val="23"/>
          <w:szCs w:val="23"/>
        </w:rPr>
        <w:t xml:space="preserve"> products</w:t>
      </w:r>
      <w:r>
        <w:rPr>
          <w:rFonts w:ascii="Times New Roman" w:hAnsi="Times New Roman"/>
          <w:sz w:val="23"/>
          <w:szCs w:val="23"/>
        </w:rPr>
        <w:t xml:space="preserve"> covered by various regulations</w:t>
      </w:r>
      <w:r w:rsidRPr="002F0C87">
        <w:rPr>
          <w:rFonts w:ascii="Times New Roman" w:hAnsi="Times New Roman"/>
          <w:sz w:val="23"/>
          <w:szCs w:val="23"/>
        </w:rPr>
        <w:t>.</w:t>
      </w:r>
      <w:r>
        <w:rPr>
          <w:rFonts w:ascii="Times New Roman" w:hAnsi="Times New Roman"/>
          <w:sz w:val="23"/>
          <w:szCs w:val="23"/>
        </w:rPr>
        <w:t xml:space="preserve">  </w:t>
      </w:r>
    </w:p>
    <w:p w:rsidR="00074537" w:rsidRDefault="00074537" w:rsidP="0061009E">
      <w:pPr>
        <w:jc w:val="both"/>
        <w:rPr>
          <w:rFonts w:ascii="Times New Roman" w:hAnsi="Times New Roman"/>
          <w:sz w:val="23"/>
          <w:szCs w:val="23"/>
        </w:rPr>
      </w:pPr>
    </w:p>
    <w:p w:rsidR="0061009E" w:rsidRDefault="0061009E" w:rsidP="0061009E">
      <w:pPr>
        <w:jc w:val="both"/>
        <w:rPr>
          <w:rFonts w:ascii="Times New Roman" w:hAnsi="Times New Roman"/>
          <w:sz w:val="23"/>
          <w:szCs w:val="23"/>
        </w:rPr>
      </w:pPr>
      <w:r>
        <w:rPr>
          <w:rFonts w:ascii="Times New Roman" w:hAnsi="Times New Roman"/>
          <w:sz w:val="23"/>
          <w:szCs w:val="23"/>
        </w:rPr>
        <w:t>In particular w</w:t>
      </w:r>
      <w:r w:rsidRPr="002F0C87">
        <w:rPr>
          <w:rFonts w:ascii="Times New Roman" w:hAnsi="Times New Roman"/>
          <w:sz w:val="23"/>
          <w:szCs w:val="23"/>
        </w:rPr>
        <w:t>e would like to take note that</w:t>
      </w:r>
      <w:r>
        <w:rPr>
          <w:rFonts w:ascii="Times New Roman" w:hAnsi="Times New Roman"/>
          <w:sz w:val="23"/>
          <w:szCs w:val="23"/>
        </w:rPr>
        <w:t xml:space="preserve"> MAR requirements should be aligned with MiFID 2. A</w:t>
      </w:r>
      <w:r w:rsidRPr="002F0C87">
        <w:rPr>
          <w:rFonts w:ascii="Times New Roman" w:hAnsi="Times New Roman"/>
          <w:sz w:val="23"/>
          <w:szCs w:val="23"/>
        </w:rPr>
        <w:t xml:space="preserve">s discussed in the MiFID </w:t>
      </w:r>
      <w:r>
        <w:rPr>
          <w:rFonts w:ascii="Times New Roman" w:hAnsi="Times New Roman"/>
          <w:sz w:val="23"/>
          <w:szCs w:val="23"/>
        </w:rPr>
        <w:t>2</w:t>
      </w:r>
      <w:r w:rsidRPr="002F0C87">
        <w:rPr>
          <w:rFonts w:ascii="Times New Roman" w:hAnsi="Times New Roman"/>
          <w:sz w:val="23"/>
          <w:szCs w:val="23"/>
        </w:rPr>
        <w:t xml:space="preserve"> Discussion Paper on implementing measures, the purpose of transaction reporting under Article 26 MiFIR is to detect and investigate potential instances of market abuse and to monitor the fair and orderly functioning of markets and firm activities</w:t>
      </w:r>
      <w:r>
        <w:rPr>
          <w:rFonts w:ascii="Times New Roman" w:hAnsi="Times New Roman"/>
          <w:sz w:val="23"/>
          <w:szCs w:val="23"/>
        </w:rPr>
        <w:t xml:space="preserve"> (</w:t>
      </w:r>
      <w:r w:rsidRPr="00D65131">
        <w:rPr>
          <w:rFonts w:ascii="Times New Roman" w:hAnsi="Times New Roman"/>
          <w:sz w:val="23"/>
          <w:szCs w:val="23"/>
        </w:rPr>
        <w:t>ESMA Discussion Paper</w:t>
      </w:r>
      <w:r>
        <w:rPr>
          <w:rFonts w:ascii="Times New Roman" w:hAnsi="Times New Roman"/>
          <w:sz w:val="23"/>
          <w:szCs w:val="23"/>
        </w:rPr>
        <w:t xml:space="preserve"> on MiFID 2 Section 8.1. </w:t>
      </w:r>
      <w:hyperlink r:id="rId17" w:history="1">
        <w:r w:rsidRPr="00FD32F5">
          <w:rPr>
            <w:rStyle w:val="Hyperlink"/>
            <w:rFonts w:ascii="Times New Roman" w:hAnsi="Times New Roman"/>
            <w:sz w:val="23"/>
            <w:szCs w:val="23"/>
          </w:rPr>
          <w:t>http://www.esma.europa.eu/system/files/2014-548_discussion_paper_mifid-mifir.pdf</w:t>
        </w:r>
      </w:hyperlink>
      <w:r>
        <w:rPr>
          <w:rFonts w:ascii="Times New Roman" w:hAnsi="Times New Roman"/>
          <w:sz w:val="23"/>
          <w:szCs w:val="23"/>
        </w:rPr>
        <w:t xml:space="preserve"> and </w:t>
      </w:r>
      <w:r w:rsidRPr="00D65131">
        <w:rPr>
          <w:rFonts w:ascii="Times New Roman" w:hAnsi="Times New Roman"/>
          <w:sz w:val="23"/>
          <w:szCs w:val="23"/>
        </w:rPr>
        <w:t xml:space="preserve">ISDA response to the above consultation </w:t>
      </w:r>
      <w:hyperlink r:id="rId18" w:history="1">
        <w:r w:rsidRPr="00FD32F5">
          <w:rPr>
            <w:rStyle w:val="Hyperlink"/>
            <w:rFonts w:ascii="Times New Roman" w:hAnsi="Times New Roman"/>
            <w:sz w:val="23"/>
            <w:szCs w:val="23"/>
          </w:rPr>
          <w:t>http://www2.isda.org/mifid/</w:t>
        </w:r>
      </w:hyperlink>
      <w:r>
        <w:rPr>
          <w:rFonts w:ascii="Times New Roman" w:hAnsi="Times New Roman"/>
          <w:sz w:val="23"/>
          <w:szCs w:val="23"/>
        </w:rPr>
        <w:t>).</w:t>
      </w:r>
    </w:p>
    <w:p w:rsidR="00074537" w:rsidRDefault="00074537" w:rsidP="0061009E">
      <w:pPr>
        <w:jc w:val="both"/>
        <w:rPr>
          <w:rFonts w:ascii="Times New Roman" w:hAnsi="Times New Roman"/>
          <w:sz w:val="23"/>
          <w:szCs w:val="23"/>
        </w:rPr>
      </w:pPr>
    </w:p>
    <w:p w:rsidR="0061009E" w:rsidRPr="00A41242" w:rsidRDefault="0061009E" w:rsidP="0061009E">
      <w:pPr>
        <w:jc w:val="both"/>
        <w:rPr>
          <w:rFonts w:ascii="Times New Roman" w:hAnsi="Times New Roman"/>
          <w:sz w:val="23"/>
          <w:szCs w:val="23"/>
        </w:rPr>
      </w:pPr>
      <w:r>
        <w:rPr>
          <w:rFonts w:ascii="Times New Roman" w:hAnsi="Times New Roman"/>
          <w:sz w:val="23"/>
          <w:szCs w:val="23"/>
        </w:rPr>
        <w:t>Furthermore,</w:t>
      </w:r>
      <w:r w:rsidRPr="00A41242">
        <w:rPr>
          <w:rFonts w:ascii="Times New Roman" w:hAnsi="Times New Roman"/>
          <w:sz w:val="23"/>
          <w:szCs w:val="23"/>
        </w:rPr>
        <w:t xml:space="preserve"> we would like to reiterate several general concerns as mentioned in the recent MIFID </w:t>
      </w:r>
      <w:r>
        <w:rPr>
          <w:rFonts w:ascii="Times New Roman" w:hAnsi="Times New Roman"/>
          <w:sz w:val="23"/>
          <w:szCs w:val="23"/>
        </w:rPr>
        <w:t>2</w:t>
      </w:r>
      <w:r w:rsidRPr="00A41242">
        <w:rPr>
          <w:rFonts w:ascii="Times New Roman" w:hAnsi="Times New Roman"/>
          <w:sz w:val="23"/>
          <w:szCs w:val="23"/>
        </w:rPr>
        <w:t xml:space="preserve"> consultations responses, which are also pertinent for the MAR consultation paper:</w:t>
      </w:r>
    </w:p>
    <w:p w:rsidR="0061009E" w:rsidRPr="003F243C" w:rsidRDefault="0061009E" w:rsidP="0061009E">
      <w:pPr>
        <w:pStyle w:val="ListParagraph"/>
        <w:numPr>
          <w:ilvl w:val="0"/>
          <w:numId w:val="38"/>
        </w:numPr>
        <w:spacing w:after="200" w:line="276" w:lineRule="auto"/>
        <w:ind w:left="426"/>
        <w:jc w:val="both"/>
        <w:rPr>
          <w:rFonts w:ascii="Times New Roman" w:hAnsi="Times New Roman"/>
          <w:sz w:val="23"/>
          <w:szCs w:val="23"/>
        </w:rPr>
      </w:pPr>
      <w:r w:rsidRPr="00A41242">
        <w:rPr>
          <w:rFonts w:ascii="Times New Roman" w:hAnsi="Times New Roman"/>
          <w:sz w:val="23"/>
          <w:szCs w:val="23"/>
        </w:rPr>
        <w:t>Sufficient flexibility should be built into the reporting fields to allow reporting for the full range of financial instruments in scope. In this respect, ISDA notes that a number of fields appear to have been designed with transferrable securities in mind and so would be 'not applicable' for d</w:t>
      </w:r>
      <w:r w:rsidRPr="00A41242">
        <w:rPr>
          <w:rFonts w:ascii="Times New Roman" w:hAnsi="Times New Roman"/>
          <w:sz w:val="23"/>
          <w:szCs w:val="23"/>
        </w:rPr>
        <w:t>e</w:t>
      </w:r>
      <w:r w:rsidRPr="00A41242">
        <w:rPr>
          <w:rFonts w:ascii="Times New Roman" w:hAnsi="Times New Roman"/>
          <w:sz w:val="23"/>
          <w:szCs w:val="23"/>
        </w:rPr>
        <w:t>rivatives transactions. Considerable thought should be given to mandating values for any field and flexibility to allow for realities of market evolution be catered for in any decisions. E</w:t>
      </w:r>
      <w:r w:rsidRPr="00A41242">
        <w:rPr>
          <w:rFonts w:ascii="Times New Roman" w:hAnsi="Times New Roman"/>
          <w:sz w:val="23"/>
          <w:szCs w:val="23"/>
        </w:rPr>
        <w:t>n</w:t>
      </w:r>
      <w:r w:rsidRPr="00A41242">
        <w:rPr>
          <w:rFonts w:ascii="Times New Roman" w:hAnsi="Times New Roman"/>
          <w:sz w:val="23"/>
          <w:szCs w:val="23"/>
        </w:rPr>
        <w:t>dorsement by ESMA of ISDA best practices and ISDA taxonomies will aid clarity for ISDA members in populating fields consistently so that comparison of data sets is meaningful.</w:t>
      </w:r>
    </w:p>
    <w:p w:rsidR="0061009E" w:rsidRPr="00A41242" w:rsidRDefault="0061009E" w:rsidP="0061009E">
      <w:pPr>
        <w:pStyle w:val="ListParagraph"/>
        <w:numPr>
          <w:ilvl w:val="0"/>
          <w:numId w:val="38"/>
        </w:numPr>
        <w:spacing w:after="200" w:line="276" w:lineRule="auto"/>
        <w:ind w:left="426"/>
        <w:jc w:val="both"/>
        <w:rPr>
          <w:rFonts w:ascii="Times New Roman" w:hAnsi="Times New Roman"/>
          <w:sz w:val="23"/>
          <w:szCs w:val="23"/>
        </w:rPr>
      </w:pPr>
      <w:r w:rsidRPr="00A41242">
        <w:rPr>
          <w:rFonts w:ascii="Times New Roman" w:hAnsi="Times New Roman"/>
          <w:sz w:val="23"/>
          <w:szCs w:val="23"/>
        </w:rPr>
        <w:t xml:space="preserve">Firms </w:t>
      </w:r>
      <w:r>
        <w:rPr>
          <w:rFonts w:ascii="Times New Roman" w:hAnsi="Times New Roman"/>
          <w:sz w:val="23"/>
          <w:szCs w:val="23"/>
        </w:rPr>
        <w:t>should not have to report i</w:t>
      </w:r>
      <w:r w:rsidRPr="00A41242">
        <w:rPr>
          <w:rFonts w:ascii="Times New Roman" w:hAnsi="Times New Roman"/>
          <w:sz w:val="23"/>
          <w:szCs w:val="23"/>
        </w:rPr>
        <w:t>n STORs any redundant data which can be referenced using a relevant identifier from a 'golden source' of information. For example:</w:t>
      </w:r>
    </w:p>
    <w:p w:rsidR="0061009E" w:rsidRDefault="0061009E" w:rsidP="0061009E">
      <w:pPr>
        <w:pStyle w:val="ListParagraph"/>
        <w:numPr>
          <w:ilvl w:val="1"/>
          <w:numId w:val="38"/>
        </w:numPr>
        <w:spacing w:after="200" w:line="276" w:lineRule="auto"/>
        <w:ind w:left="851"/>
        <w:jc w:val="both"/>
        <w:rPr>
          <w:rFonts w:ascii="Times New Roman" w:hAnsi="Times New Roman"/>
          <w:sz w:val="23"/>
          <w:szCs w:val="23"/>
        </w:rPr>
      </w:pPr>
      <w:r>
        <w:rPr>
          <w:rFonts w:ascii="Times New Roman" w:hAnsi="Times New Roman"/>
          <w:sz w:val="23"/>
          <w:szCs w:val="23"/>
        </w:rPr>
        <w:t>If a</w:t>
      </w:r>
      <w:r w:rsidRPr="00A41242">
        <w:rPr>
          <w:rFonts w:ascii="Times New Roman" w:hAnsi="Times New Roman"/>
          <w:sz w:val="23"/>
          <w:szCs w:val="23"/>
        </w:rPr>
        <w:t xml:space="preserve"> </w:t>
      </w:r>
      <w:r w:rsidRPr="008651E3">
        <w:rPr>
          <w:rFonts w:ascii="Times New Roman" w:hAnsi="Times New Roman"/>
          <w:sz w:val="23"/>
          <w:szCs w:val="23"/>
        </w:rPr>
        <w:t>legal entity identifier</w:t>
      </w:r>
      <w:r w:rsidRPr="00A41242">
        <w:rPr>
          <w:rFonts w:ascii="Times New Roman" w:hAnsi="Times New Roman"/>
          <w:sz w:val="23"/>
          <w:szCs w:val="23"/>
        </w:rPr>
        <w:t xml:space="preserve"> </w:t>
      </w:r>
      <w:r>
        <w:rPr>
          <w:rFonts w:ascii="Times New Roman" w:hAnsi="Times New Roman"/>
          <w:sz w:val="23"/>
          <w:szCs w:val="23"/>
        </w:rPr>
        <w:t>(</w:t>
      </w:r>
      <w:r w:rsidRPr="00A41242">
        <w:rPr>
          <w:rFonts w:ascii="Times New Roman" w:hAnsi="Times New Roman"/>
          <w:sz w:val="23"/>
          <w:szCs w:val="23"/>
        </w:rPr>
        <w:t>LEI</w:t>
      </w:r>
      <w:r>
        <w:rPr>
          <w:rFonts w:ascii="Times New Roman" w:hAnsi="Times New Roman"/>
          <w:sz w:val="23"/>
          <w:szCs w:val="23"/>
        </w:rPr>
        <w:t>)</w:t>
      </w:r>
      <w:r w:rsidRPr="00A41242">
        <w:rPr>
          <w:rFonts w:ascii="Times New Roman" w:hAnsi="Times New Roman"/>
          <w:sz w:val="23"/>
          <w:szCs w:val="23"/>
        </w:rPr>
        <w:t xml:space="preserve"> is used to identify a counterparty, then other information about the counterparty should not need to be reported to the extent that ESMA and </w:t>
      </w:r>
      <w:r>
        <w:rPr>
          <w:rFonts w:ascii="Times New Roman" w:hAnsi="Times New Roman"/>
          <w:sz w:val="23"/>
          <w:szCs w:val="23"/>
        </w:rPr>
        <w:t>national competent authorities (</w:t>
      </w:r>
      <w:r w:rsidRPr="00A41242">
        <w:rPr>
          <w:rFonts w:ascii="Times New Roman" w:hAnsi="Times New Roman"/>
          <w:sz w:val="23"/>
          <w:szCs w:val="23"/>
        </w:rPr>
        <w:t>NCAs</w:t>
      </w:r>
      <w:r>
        <w:rPr>
          <w:rFonts w:ascii="Times New Roman" w:hAnsi="Times New Roman"/>
          <w:sz w:val="23"/>
          <w:szCs w:val="23"/>
        </w:rPr>
        <w:t xml:space="preserve"> or CAs)</w:t>
      </w:r>
      <w:r w:rsidRPr="00A41242">
        <w:rPr>
          <w:rFonts w:ascii="Times New Roman" w:hAnsi="Times New Roman"/>
          <w:sz w:val="23"/>
          <w:szCs w:val="23"/>
        </w:rPr>
        <w:t xml:space="preserve"> can source this information from the 'golden source' of information held about that counterparty.</w:t>
      </w:r>
    </w:p>
    <w:p w:rsidR="0061009E" w:rsidRPr="00A41242" w:rsidRDefault="0061009E" w:rsidP="0061009E">
      <w:pPr>
        <w:pStyle w:val="ListParagraph"/>
        <w:numPr>
          <w:ilvl w:val="1"/>
          <w:numId w:val="38"/>
        </w:numPr>
        <w:spacing w:after="200" w:line="276" w:lineRule="auto"/>
        <w:ind w:left="851"/>
        <w:jc w:val="both"/>
        <w:rPr>
          <w:rFonts w:ascii="Times New Roman" w:hAnsi="Times New Roman"/>
          <w:sz w:val="23"/>
          <w:szCs w:val="23"/>
        </w:rPr>
      </w:pPr>
      <w:r w:rsidRPr="00A41242">
        <w:rPr>
          <w:rFonts w:ascii="Times New Roman" w:hAnsi="Times New Roman"/>
          <w:sz w:val="23"/>
          <w:szCs w:val="23"/>
        </w:rPr>
        <w:t xml:space="preserve">Similarly, we do not think it is necessary for the national ID number to be included in the STORs as personal data such as the name, date of birth </w:t>
      </w:r>
      <w:proofErr w:type="spellStart"/>
      <w:r w:rsidRPr="00A41242">
        <w:rPr>
          <w:rFonts w:ascii="Times New Roman" w:hAnsi="Times New Roman"/>
          <w:sz w:val="23"/>
          <w:szCs w:val="23"/>
        </w:rPr>
        <w:t>etc</w:t>
      </w:r>
      <w:proofErr w:type="spellEnd"/>
      <w:r w:rsidRPr="00A41242">
        <w:rPr>
          <w:rFonts w:ascii="Times New Roman" w:hAnsi="Times New Roman"/>
          <w:sz w:val="23"/>
          <w:szCs w:val="23"/>
        </w:rPr>
        <w:t xml:space="preserve"> is already included in the STORs and is sufficient. </w:t>
      </w:r>
    </w:p>
    <w:p w:rsidR="0061009E" w:rsidRPr="00A41242" w:rsidRDefault="0061009E" w:rsidP="0061009E">
      <w:pPr>
        <w:pStyle w:val="ListParagraph"/>
        <w:numPr>
          <w:ilvl w:val="1"/>
          <w:numId w:val="38"/>
        </w:numPr>
        <w:spacing w:after="200" w:line="276" w:lineRule="auto"/>
        <w:ind w:left="851"/>
        <w:jc w:val="both"/>
        <w:rPr>
          <w:rFonts w:ascii="Times New Roman" w:hAnsi="Times New Roman"/>
          <w:sz w:val="23"/>
          <w:szCs w:val="23"/>
        </w:rPr>
      </w:pPr>
      <w:r w:rsidRPr="00A41242">
        <w:rPr>
          <w:rFonts w:ascii="Times New Roman" w:hAnsi="Times New Roman"/>
          <w:sz w:val="23"/>
          <w:szCs w:val="23"/>
        </w:rPr>
        <w:t>ESMA will hold instrument reference data for each financial instrument which has been gi</w:t>
      </w:r>
      <w:r w:rsidRPr="00A41242">
        <w:rPr>
          <w:rFonts w:ascii="Times New Roman" w:hAnsi="Times New Roman"/>
          <w:sz w:val="23"/>
          <w:szCs w:val="23"/>
        </w:rPr>
        <w:t>v</w:t>
      </w:r>
      <w:r w:rsidRPr="00A41242">
        <w:rPr>
          <w:rFonts w:ascii="Times New Roman" w:hAnsi="Times New Roman"/>
          <w:sz w:val="23"/>
          <w:szCs w:val="23"/>
        </w:rPr>
        <w:t>en an instrument identifier. Therefore, only the instrument identifier should be required on STORs as all other reference data can be sourced from the 'golden source' at ESMA.</w:t>
      </w:r>
    </w:p>
    <w:p w:rsidR="0061009E" w:rsidRDefault="0061009E" w:rsidP="0061009E">
      <w:pPr>
        <w:jc w:val="both"/>
        <w:rPr>
          <w:rFonts w:ascii="Times New Roman" w:hAnsi="Times New Roman"/>
          <w:sz w:val="23"/>
          <w:szCs w:val="23"/>
        </w:rPr>
      </w:pPr>
      <w:r w:rsidRPr="00A41242">
        <w:rPr>
          <w:rFonts w:ascii="Times New Roman" w:hAnsi="Times New Roman"/>
          <w:sz w:val="23"/>
          <w:szCs w:val="23"/>
        </w:rPr>
        <w:t>Regarding the proposals made in the MAR Consultation Paper we would like to welcome the sugge</w:t>
      </w:r>
      <w:r w:rsidRPr="00A41242">
        <w:rPr>
          <w:rFonts w:ascii="Times New Roman" w:hAnsi="Times New Roman"/>
          <w:sz w:val="23"/>
          <w:szCs w:val="23"/>
        </w:rPr>
        <w:t>s</w:t>
      </w:r>
      <w:r w:rsidRPr="00A41242">
        <w:rPr>
          <w:rFonts w:ascii="Times New Roman" w:hAnsi="Times New Roman"/>
          <w:sz w:val="23"/>
          <w:szCs w:val="23"/>
        </w:rPr>
        <w:t>tion of the inclusion of the free text where derivatives are concerned. We would also support the flexibility in the template where some fields can be left blank if information is not availab</w:t>
      </w:r>
      <w:r>
        <w:rPr>
          <w:rFonts w:ascii="Times New Roman" w:hAnsi="Times New Roman"/>
          <w:sz w:val="23"/>
          <w:szCs w:val="23"/>
        </w:rPr>
        <w:t xml:space="preserve">le or cannot be obtained </w:t>
      </w:r>
      <w:r w:rsidRPr="00A41242">
        <w:rPr>
          <w:rFonts w:ascii="Times New Roman" w:hAnsi="Times New Roman"/>
          <w:sz w:val="23"/>
          <w:szCs w:val="23"/>
        </w:rPr>
        <w:t>on a reasonable effort basis</w:t>
      </w:r>
      <w:r w:rsidRPr="00A473ED">
        <w:rPr>
          <w:rFonts w:ascii="Times New Roman" w:hAnsi="Times New Roman"/>
          <w:sz w:val="23"/>
          <w:szCs w:val="23"/>
        </w:rPr>
        <w:t xml:space="preserve"> </w:t>
      </w:r>
      <w:r>
        <w:rPr>
          <w:rFonts w:ascii="Times New Roman" w:hAnsi="Times New Roman"/>
          <w:sz w:val="23"/>
          <w:szCs w:val="23"/>
        </w:rPr>
        <w:t>at a given point of time.</w:t>
      </w:r>
    </w:p>
    <w:p w:rsidR="00074537" w:rsidRPr="00A41242" w:rsidRDefault="00074537" w:rsidP="0061009E">
      <w:pPr>
        <w:jc w:val="both"/>
        <w:rPr>
          <w:rFonts w:ascii="Times New Roman" w:hAnsi="Times New Roman"/>
          <w:sz w:val="23"/>
          <w:szCs w:val="23"/>
        </w:rPr>
      </w:pPr>
    </w:p>
    <w:p w:rsidR="0061009E" w:rsidRDefault="0061009E" w:rsidP="0061009E">
      <w:pPr>
        <w:jc w:val="both"/>
        <w:rPr>
          <w:rFonts w:ascii="Times New Roman" w:hAnsi="Times New Roman"/>
          <w:sz w:val="23"/>
          <w:szCs w:val="23"/>
        </w:rPr>
      </w:pPr>
      <w:r w:rsidRPr="00A41242">
        <w:rPr>
          <w:rFonts w:ascii="Times New Roman" w:hAnsi="Times New Roman"/>
          <w:sz w:val="23"/>
          <w:szCs w:val="23"/>
        </w:rPr>
        <w:t xml:space="preserve">We would also like to provide several particular comments on the template to report a STOR (Annex 1 of the relevant RTS). Certain </w:t>
      </w:r>
      <w:r>
        <w:rPr>
          <w:rFonts w:ascii="Times New Roman" w:hAnsi="Times New Roman"/>
          <w:sz w:val="23"/>
          <w:szCs w:val="23"/>
        </w:rPr>
        <w:t xml:space="preserve">suggested </w:t>
      </w:r>
      <w:r w:rsidRPr="00A41242">
        <w:rPr>
          <w:rFonts w:ascii="Times New Roman" w:hAnsi="Times New Roman"/>
          <w:sz w:val="23"/>
          <w:szCs w:val="23"/>
        </w:rPr>
        <w:t xml:space="preserve">additional elements to be reported for OTC derivatives might not be relevant or would require a clarification. As mentioned above, other regulations and the current market practice should equally be taken into account. </w:t>
      </w:r>
    </w:p>
    <w:p w:rsidR="00074537" w:rsidRPr="00A41242" w:rsidRDefault="00074537" w:rsidP="0061009E">
      <w:pPr>
        <w:jc w:val="both"/>
        <w:rPr>
          <w:rFonts w:ascii="Times New Roman" w:hAnsi="Times New Roman"/>
          <w:sz w:val="23"/>
          <w:szCs w:val="23"/>
        </w:rPr>
      </w:pPr>
    </w:p>
    <w:p w:rsidR="0061009E" w:rsidRPr="00A41242" w:rsidRDefault="0061009E" w:rsidP="0061009E">
      <w:pPr>
        <w:pStyle w:val="ListParagraph"/>
        <w:numPr>
          <w:ilvl w:val="0"/>
          <w:numId w:val="38"/>
        </w:numPr>
        <w:spacing w:after="200" w:line="276" w:lineRule="auto"/>
        <w:ind w:left="426"/>
        <w:jc w:val="both"/>
        <w:rPr>
          <w:rFonts w:ascii="Times New Roman" w:hAnsi="Times New Roman"/>
          <w:sz w:val="23"/>
          <w:szCs w:val="23"/>
        </w:rPr>
      </w:pPr>
      <w:r>
        <w:rPr>
          <w:rFonts w:ascii="Times New Roman" w:hAnsi="Times New Roman"/>
          <w:sz w:val="23"/>
          <w:szCs w:val="23"/>
        </w:rPr>
        <w:t>For instance, the ‘</w:t>
      </w:r>
      <w:r w:rsidRPr="00A41242">
        <w:rPr>
          <w:rFonts w:ascii="Times New Roman" w:hAnsi="Times New Roman"/>
          <w:sz w:val="23"/>
          <w:szCs w:val="23"/>
        </w:rPr>
        <w:t>type</w:t>
      </w:r>
      <w:r>
        <w:rPr>
          <w:rFonts w:ascii="Times New Roman" w:hAnsi="Times New Roman"/>
          <w:sz w:val="23"/>
          <w:szCs w:val="23"/>
        </w:rPr>
        <w:t>’</w:t>
      </w:r>
      <w:r w:rsidRPr="00A41242">
        <w:rPr>
          <w:rFonts w:ascii="Times New Roman" w:hAnsi="Times New Roman"/>
          <w:sz w:val="23"/>
          <w:szCs w:val="23"/>
        </w:rPr>
        <w:t xml:space="preserve"> of derivative should refer to </w:t>
      </w:r>
      <w:r>
        <w:rPr>
          <w:rFonts w:ascii="Times New Roman" w:hAnsi="Times New Roman"/>
          <w:sz w:val="23"/>
          <w:szCs w:val="23"/>
        </w:rPr>
        <w:t>a</w:t>
      </w:r>
      <w:r w:rsidRPr="00A41242">
        <w:rPr>
          <w:rFonts w:ascii="Times New Roman" w:hAnsi="Times New Roman"/>
          <w:sz w:val="23"/>
          <w:szCs w:val="23"/>
        </w:rPr>
        <w:t xml:space="preserve"> globally recognised and used industry standard. For this reason we would welcome ESMA endorsement of the ISDA taxonomy as a </w:t>
      </w:r>
      <w:r>
        <w:rPr>
          <w:rFonts w:ascii="Times New Roman" w:hAnsi="Times New Roman"/>
          <w:sz w:val="23"/>
          <w:szCs w:val="23"/>
        </w:rPr>
        <w:t>Unique Product Identifier (</w:t>
      </w:r>
      <w:r w:rsidRPr="00A41242">
        <w:rPr>
          <w:rFonts w:ascii="Times New Roman" w:hAnsi="Times New Roman"/>
          <w:sz w:val="23"/>
          <w:szCs w:val="23"/>
        </w:rPr>
        <w:t>UPI</w:t>
      </w:r>
      <w:r>
        <w:rPr>
          <w:rFonts w:ascii="Times New Roman" w:hAnsi="Times New Roman"/>
          <w:sz w:val="23"/>
          <w:szCs w:val="23"/>
        </w:rPr>
        <w:t>)</w:t>
      </w:r>
      <w:r w:rsidRPr="00A41242">
        <w:rPr>
          <w:rFonts w:ascii="Times New Roman" w:hAnsi="Times New Roman"/>
          <w:sz w:val="23"/>
          <w:szCs w:val="23"/>
        </w:rPr>
        <w:t>, as we suggested for MiFI</w:t>
      </w:r>
      <w:r>
        <w:rPr>
          <w:rFonts w:ascii="Times New Roman" w:hAnsi="Times New Roman"/>
          <w:sz w:val="23"/>
          <w:szCs w:val="23"/>
        </w:rPr>
        <w:t>R</w:t>
      </w:r>
      <w:r w:rsidRPr="00A41242">
        <w:rPr>
          <w:rFonts w:ascii="Times New Roman" w:hAnsi="Times New Roman"/>
          <w:sz w:val="23"/>
          <w:szCs w:val="23"/>
        </w:rPr>
        <w:t>, EMIR and REMIT reporting r</w:t>
      </w:r>
      <w:r w:rsidRPr="00A41242">
        <w:rPr>
          <w:rFonts w:ascii="Times New Roman" w:hAnsi="Times New Roman"/>
          <w:sz w:val="23"/>
          <w:szCs w:val="23"/>
        </w:rPr>
        <w:t>e</w:t>
      </w:r>
      <w:r w:rsidRPr="00A41242">
        <w:rPr>
          <w:rFonts w:ascii="Times New Roman" w:hAnsi="Times New Roman"/>
          <w:sz w:val="23"/>
          <w:szCs w:val="23"/>
        </w:rPr>
        <w:t>gimes.</w:t>
      </w:r>
    </w:p>
    <w:p w:rsidR="0061009E" w:rsidRPr="00A41242" w:rsidRDefault="0061009E" w:rsidP="0061009E">
      <w:pPr>
        <w:pStyle w:val="ListParagraph"/>
        <w:numPr>
          <w:ilvl w:val="0"/>
          <w:numId w:val="38"/>
        </w:numPr>
        <w:spacing w:after="200" w:line="276" w:lineRule="auto"/>
        <w:ind w:left="426"/>
        <w:jc w:val="both"/>
        <w:rPr>
          <w:rFonts w:ascii="Times New Roman" w:hAnsi="Times New Roman"/>
          <w:sz w:val="23"/>
          <w:szCs w:val="23"/>
        </w:rPr>
      </w:pPr>
      <w:r w:rsidRPr="00A41242">
        <w:rPr>
          <w:rFonts w:ascii="Times New Roman" w:hAnsi="Times New Roman"/>
          <w:sz w:val="23"/>
          <w:szCs w:val="23"/>
        </w:rPr>
        <w:t xml:space="preserve">We would </w:t>
      </w:r>
      <w:r>
        <w:rPr>
          <w:rFonts w:ascii="Times New Roman" w:hAnsi="Times New Roman"/>
          <w:sz w:val="23"/>
          <w:szCs w:val="23"/>
        </w:rPr>
        <w:t xml:space="preserve">also </w:t>
      </w:r>
      <w:r w:rsidRPr="00A41242">
        <w:rPr>
          <w:rFonts w:ascii="Times New Roman" w:hAnsi="Times New Roman"/>
          <w:sz w:val="23"/>
          <w:szCs w:val="23"/>
        </w:rPr>
        <w:t>welcome a clarification on the following elements requested: margin, up-front payment and nominal size/value of underlying security. In providing this clarity, ISDA would welcome indication how these fields are linked to the relevant reporting fields under EMIR and MiFID/R. The reporting requirements should be coordinated across the regulations.</w:t>
      </w:r>
    </w:p>
    <w:p w:rsidR="0061009E" w:rsidRPr="00A41242" w:rsidRDefault="0061009E" w:rsidP="0061009E">
      <w:pPr>
        <w:pStyle w:val="ListParagraph"/>
        <w:numPr>
          <w:ilvl w:val="0"/>
          <w:numId w:val="38"/>
        </w:numPr>
        <w:spacing w:after="200" w:line="276" w:lineRule="auto"/>
        <w:ind w:left="426"/>
        <w:jc w:val="both"/>
        <w:rPr>
          <w:rFonts w:ascii="Times New Roman" w:hAnsi="Times New Roman"/>
          <w:sz w:val="23"/>
          <w:szCs w:val="23"/>
        </w:rPr>
      </w:pPr>
      <w:r w:rsidRPr="00A41242">
        <w:rPr>
          <w:rFonts w:ascii="Times New Roman" w:hAnsi="Times New Roman"/>
          <w:sz w:val="23"/>
          <w:szCs w:val="23"/>
        </w:rPr>
        <w:t>Regarding the field ‘transaction terms’, we believe that certain examples are not relevant for OTC derivatives (eg. tick moves). We would suggest referring to and using EMIR reporting fields.</w:t>
      </w:r>
    </w:p>
    <w:p w:rsidR="0061009E" w:rsidRPr="0075533A" w:rsidRDefault="0061009E" w:rsidP="0061009E">
      <w:pPr>
        <w:pStyle w:val="ListParagraph"/>
        <w:numPr>
          <w:ilvl w:val="0"/>
          <w:numId w:val="38"/>
        </w:numPr>
        <w:spacing w:after="200" w:line="276" w:lineRule="auto"/>
        <w:ind w:left="426"/>
        <w:jc w:val="both"/>
        <w:rPr>
          <w:rFonts w:ascii="Times New Roman" w:hAnsi="Times New Roman"/>
          <w:sz w:val="23"/>
          <w:szCs w:val="23"/>
        </w:rPr>
      </w:pPr>
      <w:r w:rsidRPr="0075533A">
        <w:rPr>
          <w:rFonts w:ascii="Times New Roman" w:hAnsi="Times New Roman"/>
          <w:sz w:val="23"/>
          <w:szCs w:val="23"/>
        </w:rPr>
        <w:t>With regards to derivatives where the underlying is a basket or an index, we would suggest E</w:t>
      </w:r>
      <w:r w:rsidRPr="0075533A">
        <w:rPr>
          <w:rFonts w:ascii="Times New Roman" w:hAnsi="Times New Roman"/>
          <w:sz w:val="23"/>
          <w:szCs w:val="23"/>
        </w:rPr>
        <w:t>S</w:t>
      </w:r>
      <w:r w:rsidRPr="0075533A">
        <w:rPr>
          <w:rFonts w:ascii="Times New Roman" w:hAnsi="Times New Roman"/>
          <w:sz w:val="23"/>
          <w:szCs w:val="23"/>
        </w:rPr>
        <w:t>MA to follow the identification which will be required under the transaction reporting requir</w:t>
      </w:r>
      <w:r w:rsidRPr="0075533A">
        <w:rPr>
          <w:rFonts w:ascii="Times New Roman" w:hAnsi="Times New Roman"/>
          <w:sz w:val="23"/>
          <w:szCs w:val="23"/>
        </w:rPr>
        <w:t>e</w:t>
      </w:r>
      <w:r w:rsidRPr="0075533A">
        <w:rPr>
          <w:rFonts w:ascii="Times New Roman" w:hAnsi="Times New Roman"/>
          <w:sz w:val="23"/>
          <w:szCs w:val="23"/>
        </w:rPr>
        <w:t xml:space="preserve">ments under MIFIR. </w:t>
      </w:r>
    </w:p>
    <w:p w:rsidR="0061009E" w:rsidRDefault="0061009E" w:rsidP="0061009E">
      <w:pPr>
        <w:jc w:val="both"/>
        <w:rPr>
          <w:rFonts w:ascii="Times New Roman" w:hAnsi="Times New Roman"/>
          <w:sz w:val="23"/>
          <w:szCs w:val="23"/>
        </w:rPr>
      </w:pPr>
      <w:r w:rsidRPr="00A41242">
        <w:rPr>
          <w:rFonts w:ascii="Times New Roman" w:hAnsi="Times New Roman"/>
          <w:sz w:val="23"/>
          <w:szCs w:val="23"/>
        </w:rPr>
        <w:t>We remain available to discuss the mark up of the proposed template.</w:t>
      </w:r>
    </w:p>
    <w:p w:rsidR="00074537" w:rsidRPr="00A41242" w:rsidRDefault="00074537" w:rsidP="0061009E">
      <w:pPr>
        <w:jc w:val="both"/>
        <w:rPr>
          <w:rFonts w:ascii="Times New Roman" w:hAnsi="Times New Roman"/>
          <w:sz w:val="23"/>
          <w:szCs w:val="23"/>
        </w:rPr>
      </w:pPr>
    </w:p>
    <w:p w:rsidR="00C8677B" w:rsidRDefault="0061009E" w:rsidP="0061009E">
      <w:r w:rsidRPr="00A41242">
        <w:rPr>
          <w:rFonts w:ascii="Times New Roman" w:hAnsi="Times New Roman"/>
          <w:sz w:val="23"/>
          <w:szCs w:val="23"/>
        </w:rPr>
        <w:t>Furthermore</w:t>
      </w:r>
      <w:r>
        <w:rPr>
          <w:rFonts w:ascii="Times New Roman" w:hAnsi="Times New Roman"/>
          <w:sz w:val="23"/>
          <w:szCs w:val="23"/>
        </w:rPr>
        <w:t>,</w:t>
      </w:r>
      <w:r w:rsidRPr="00A41242">
        <w:rPr>
          <w:rFonts w:ascii="Times New Roman" w:hAnsi="Times New Roman"/>
          <w:sz w:val="23"/>
          <w:szCs w:val="23"/>
        </w:rPr>
        <w:t xml:space="preserve"> it might be considered </w:t>
      </w:r>
      <w:r>
        <w:rPr>
          <w:rFonts w:ascii="Times New Roman" w:hAnsi="Times New Roman"/>
          <w:sz w:val="23"/>
          <w:szCs w:val="23"/>
        </w:rPr>
        <w:t>if</w:t>
      </w:r>
      <w:r w:rsidRPr="00A41242">
        <w:rPr>
          <w:rFonts w:ascii="Times New Roman" w:hAnsi="Times New Roman"/>
          <w:sz w:val="23"/>
          <w:szCs w:val="23"/>
        </w:rPr>
        <w:t xml:space="preserve"> the language of the relevant drat RTS should be reviewed, in particular as to whether it includes vocabulary applicable to asset classes other than venue traded securities, eg OTC derivatives</w:t>
      </w:r>
      <w:r>
        <w:rPr>
          <w:rFonts w:ascii="Times New Roman" w:hAnsi="Times New Roman"/>
          <w:sz w:val="23"/>
          <w:szCs w:val="23"/>
        </w:rPr>
        <w:t>.</w:t>
      </w:r>
    </w:p>
    <w:permEnd w:id="1919094810"/>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3D70D1" w:rsidRPr="00A41242" w:rsidRDefault="003D70D1" w:rsidP="003D70D1">
      <w:pPr>
        <w:jc w:val="both"/>
        <w:rPr>
          <w:rFonts w:ascii="Times New Roman" w:hAnsi="Times New Roman"/>
          <w:sz w:val="23"/>
          <w:szCs w:val="23"/>
        </w:rPr>
      </w:pPr>
      <w:permStart w:id="1579711965" w:edGrp="everyone"/>
      <w:r w:rsidRPr="00A41242">
        <w:rPr>
          <w:rFonts w:ascii="Times New Roman" w:hAnsi="Times New Roman"/>
          <w:sz w:val="23"/>
          <w:szCs w:val="23"/>
        </w:rPr>
        <w:t>In relation to the content and the layout of the template, we would like to strongly support ESMA’s view that an ‘STOR should provide clearly presented and accurate information, sufficient to enable a competent authority to promptly assess the validly of the suspicion […]’ (paragraph 204). In this context, we would like to suggest reordering of the sections of the STOR template, in particular:</w:t>
      </w:r>
    </w:p>
    <w:p w:rsidR="003D70D1" w:rsidRPr="00A41242" w:rsidRDefault="003D70D1" w:rsidP="003D70D1">
      <w:pPr>
        <w:jc w:val="both"/>
        <w:rPr>
          <w:rFonts w:ascii="Times New Roman" w:hAnsi="Times New Roman"/>
          <w:sz w:val="23"/>
          <w:szCs w:val="23"/>
        </w:rPr>
      </w:pPr>
      <w:r w:rsidRPr="00A41242">
        <w:rPr>
          <w:rFonts w:ascii="Times New Roman" w:hAnsi="Times New Roman"/>
          <w:sz w:val="23"/>
          <w:szCs w:val="23"/>
        </w:rPr>
        <w:t>1) Section 2</w:t>
      </w:r>
    </w:p>
    <w:p w:rsidR="003D70D1" w:rsidRPr="00A41242" w:rsidRDefault="003D70D1" w:rsidP="003D70D1">
      <w:pPr>
        <w:jc w:val="both"/>
        <w:rPr>
          <w:rFonts w:ascii="Times New Roman" w:hAnsi="Times New Roman"/>
          <w:sz w:val="23"/>
          <w:szCs w:val="23"/>
        </w:rPr>
      </w:pPr>
      <w:r w:rsidRPr="00A41242">
        <w:rPr>
          <w:rFonts w:ascii="Times New Roman" w:hAnsi="Times New Roman"/>
          <w:sz w:val="23"/>
          <w:szCs w:val="23"/>
        </w:rPr>
        <w:t>2) Section 3</w:t>
      </w:r>
    </w:p>
    <w:p w:rsidR="003D70D1" w:rsidRPr="00A41242" w:rsidRDefault="003D70D1" w:rsidP="003D70D1">
      <w:pPr>
        <w:jc w:val="both"/>
        <w:rPr>
          <w:rFonts w:ascii="Times New Roman" w:hAnsi="Times New Roman"/>
          <w:sz w:val="23"/>
          <w:szCs w:val="23"/>
        </w:rPr>
      </w:pPr>
      <w:r w:rsidRPr="00A41242">
        <w:rPr>
          <w:rFonts w:ascii="Times New Roman" w:hAnsi="Times New Roman"/>
          <w:sz w:val="23"/>
          <w:szCs w:val="23"/>
        </w:rPr>
        <w:t>3) Section 1 and 5 (these sections should come together as the i</w:t>
      </w:r>
      <w:r>
        <w:rPr>
          <w:rFonts w:ascii="Times New Roman" w:hAnsi="Times New Roman"/>
          <w:sz w:val="23"/>
          <w:szCs w:val="23"/>
        </w:rPr>
        <w:t>nformation included in section 1</w:t>
      </w:r>
      <w:r w:rsidRPr="00A41242">
        <w:rPr>
          <w:rFonts w:ascii="Times New Roman" w:hAnsi="Times New Roman"/>
          <w:sz w:val="23"/>
          <w:szCs w:val="23"/>
        </w:rPr>
        <w:t xml:space="preserve"> is linked to the information included in the section 5)</w:t>
      </w:r>
    </w:p>
    <w:p w:rsidR="003D70D1" w:rsidRPr="00A41242" w:rsidRDefault="003D70D1" w:rsidP="003D70D1">
      <w:pPr>
        <w:jc w:val="both"/>
        <w:rPr>
          <w:rFonts w:ascii="Times New Roman" w:hAnsi="Times New Roman"/>
          <w:sz w:val="23"/>
          <w:szCs w:val="23"/>
        </w:rPr>
      </w:pPr>
      <w:r w:rsidRPr="00A41242">
        <w:rPr>
          <w:rFonts w:ascii="Times New Roman" w:hAnsi="Times New Roman"/>
          <w:sz w:val="23"/>
          <w:szCs w:val="23"/>
        </w:rPr>
        <w:t>4) Section 4</w:t>
      </w:r>
    </w:p>
    <w:p w:rsidR="003D70D1" w:rsidRDefault="003D70D1" w:rsidP="003D70D1">
      <w:pPr>
        <w:jc w:val="both"/>
        <w:rPr>
          <w:rFonts w:ascii="Times New Roman" w:hAnsi="Times New Roman"/>
          <w:sz w:val="23"/>
          <w:szCs w:val="23"/>
        </w:rPr>
      </w:pPr>
      <w:r>
        <w:rPr>
          <w:rFonts w:ascii="Times New Roman" w:hAnsi="Times New Roman"/>
          <w:sz w:val="23"/>
          <w:szCs w:val="23"/>
        </w:rPr>
        <w:t>5) Section 6</w:t>
      </w:r>
    </w:p>
    <w:permEnd w:id="1579711965"/>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3D70D1" w:rsidRDefault="003D70D1" w:rsidP="00A80A54">
      <w:pPr>
        <w:jc w:val="both"/>
        <w:rPr>
          <w:rFonts w:ascii="Times New Roman" w:hAnsi="Times New Roman"/>
          <w:sz w:val="23"/>
          <w:szCs w:val="23"/>
        </w:rPr>
      </w:pPr>
      <w:permStart w:id="1250913615" w:edGrp="everyone"/>
      <w:r w:rsidRPr="00A41242">
        <w:rPr>
          <w:rFonts w:ascii="Times New Roman" w:hAnsi="Times New Roman"/>
          <w:sz w:val="23"/>
          <w:szCs w:val="23"/>
        </w:rPr>
        <w:t>We are concerned that a near misses requirement</w:t>
      </w:r>
      <w:r>
        <w:rPr>
          <w:rFonts w:ascii="Times New Roman" w:hAnsi="Times New Roman"/>
          <w:sz w:val="23"/>
          <w:szCs w:val="23"/>
        </w:rPr>
        <w:t xml:space="preserve"> as currently drafted</w:t>
      </w:r>
      <w:r w:rsidRPr="00A41242">
        <w:rPr>
          <w:rFonts w:ascii="Times New Roman" w:hAnsi="Times New Roman"/>
          <w:sz w:val="23"/>
          <w:szCs w:val="23"/>
        </w:rPr>
        <w:t xml:space="preserve"> would impose complexity and IT development costs on reporting parties without improving the surveillance regime of suspicious transactions and orders as the element of subjectivity in the reporting of events will not be removed. Moreover, the absence of a clear definition of near misses also creates legal uncertainty as to what has to be reported.  It would result in onerous and misleading reporting. We would therefore suggest that that Article 10(2)(b) of the proposed Delegated Regulation is modified.</w:t>
      </w:r>
    </w:p>
    <w:p w:rsidR="003D70D1" w:rsidRPr="00A41242" w:rsidRDefault="003D70D1" w:rsidP="00A80A54">
      <w:pPr>
        <w:jc w:val="both"/>
        <w:rPr>
          <w:rFonts w:ascii="Times New Roman" w:hAnsi="Times New Roman"/>
          <w:sz w:val="23"/>
          <w:szCs w:val="23"/>
        </w:rPr>
      </w:pPr>
    </w:p>
    <w:p w:rsidR="003D70D1" w:rsidRDefault="003D70D1" w:rsidP="00A80A54">
      <w:pPr>
        <w:jc w:val="both"/>
        <w:rPr>
          <w:rFonts w:ascii="Times New Roman" w:hAnsi="Times New Roman"/>
          <w:sz w:val="23"/>
          <w:szCs w:val="23"/>
        </w:rPr>
      </w:pPr>
      <w:r w:rsidRPr="00A41242">
        <w:rPr>
          <w:rFonts w:ascii="Times New Roman" w:hAnsi="Times New Roman"/>
          <w:sz w:val="23"/>
          <w:szCs w:val="23"/>
        </w:rPr>
        <w:t xml:space="preserve">In particular, we agree that near misses need to be carefully defined as to not to include a too large population.  We welcome ESMA’s paragraph 214 of the CP which states that ‘near-misses’ should include cases where it has been </w:t>
      </w:r>
      <w:r w:rsidRPr="00A41242">
        <w:rPr>
          <w:rFonts w:ascii="Times New Roman" w:hAnsi="Times New Roman"/>
          <w:i/>
          <w:sz w:val="23"/>
          <w:szCs w:val="23"/>
        </w:rPr>
        <w:t>considered seriously</w:t>
      </w:r>
      <w:r w:rsidRPr="00A41242">
        <w:rPr>
          <w:rFonts w:ascii="Times New Roman" w:hAnsi="Times New Roman"/>
          <w:sz w:val="23"/>
          <w:szCs w:val="23"/>
        </w:rPr>
        <w:t xml:space="preserve"> whether to submit a report or not.  We would suggest the draft RTS to clearly reflect this and to only include transaction or</w:t>
      </w:r>
      <w:r>
        <w:rPr>
          <w:rFonts w:ascii="Times New Roman" w:hAnsi="Times New Roman"/>
          <w:sz w:val="23"/>
          <w:szCs w:val="23"/>
        </w:rPr>
        <w:t xml:space="preserve"> </w:t>
      </w:r>
      <w:r w:rsidRPr="00A41242">
        <w:rPr>
          <w:rFonts w:ascii="Times New Roman" w:hAnsi="Times New Roman"/>
          <w:sz w:val="23"/>
          <w:szCs w:val="23"/>
        </w:rPr>
        <w:t xml:space="preserve">orders which were </w:t>
      </w:r>
      <w:r w:rsidRPr="00A41242">
        <w:rPr>
          <w:rFonts w:ascii="Times New Roman" w:hAnsi="Times New Roman"/>
          <w:i/>
          <w:sz w:val="23"/>
          <w:szCs w:val="23"/>
        </w:rPr>
        <w:t>‘reasonably suspected’ to be suspicious or which were ‘seriously considered to be suspicious’ but following examination were not submitted</w:t>
      </w:r>
      <w:r w:rsidRPr="00A41242">
        <w:rPr>
          <w:rFonts w:ascii="Times New Roman" w:hAnsi="Times New Roman"/>
          <w:sz w:val="23"/>
          <w:szCs w:val="23"/>
        </w:rPr>
        <w:t>.</w:t>
      </w:r>
    </w:p>
    <w:p w:rsidR="003D70D1" w:rsidRPr="00A41242" w:rsidRDefault="003D70D1" w:rsidP="00A80A54">
      <w:pPr>
        <w:jc w:val="both"/>
        <w:rPr>
          <w:rFonts w:ascii="Times New Roman" w:hAnsi="Times New Roman"/>
          <w:sz w:val="23"/>
          <w:szCs w:val="23"/>
        </w:rPr>
      </w:pPr>
    </w:p>
    <w:p w:rsidR="003D70D1" w:rsidRPr="00A41242" w:rsidRDefault="003D70D1" w:rsidP="00A80A54">
      <w:pPr>
        <w:jc w:val="both"/>
        <w:rPr>
          <w:rFonts w:ascii="Times New Roman" w:hAnsi="Times New Roman"/>
          <w:sz w:val="23"/>
          <w:szCs w:val="23"/>
        </w:rPr>
      </w:pPr>
      <w:r w:rsidRPr="00A41242">
        <w:rPr>
          <w:rFonts w:ascii="Times New Roman" w:hAnsi="Times New Roman"/>
          <w:sz w:val="23"/>
          <w:szCs w:val="23"/>
        </w:rPr>
        <w:t>Art 10.2.b. of the relevant RTS:</w:t>
      </w:r>
    </w:p>
    <w:p w:rsidR="003D70D1" w:rsidRDefault="003D70D1" w:rsidP="00A80A54">
      <w:pPr>
        <w:jc w:val="both"/>
        <w:rPr>
          <w:rFonts w:ascii="Times New Roman" w:eastAsiaTheme="minorHAnsi" w:hAnsi="Times New Roman"/>
          <w:color w:val="000000"/>
          <w:sz w:val="23"/>
          <w:szCs w:val="23"/>
        </w:rPr>
      </w:pPr>
      <w:r w:rsidRPr="00A41242">
        <w:rPr>
          <w:rFonts w:ascii="Times New Roman" w:eastAsiaTheme="minorHAnsi" w:hAnsi="Times New Roman"/>
          <w:color w:val="000000"/>
          <w:sz w:val="23"/>
          <w:szCs w:val="23"/>
        </w:rPr>
        <w:t xml:space="preserve">‘details of </w:t>
      </w:r>
      <w:r w:rsidRPr="00F55DB8">
        <w:rPr>
          <w:rFonts w:ascii="Times New Roman" w:hAnsi="Times New Roman"/>
          <w:sz w:val="23"/>
          <w:szCs w:val="23"/>
        </w:rPr>
        <w:t>transactions</w:t>
      </w:r>
      <w:r w:rsidRPr="00A41242">
        <w:rPr>
          <w:rFonts w:ascii="Times New Roman" w:eastAsiaTheme="minorHAnsi" w:hAnsi="Times New Roman"/>
          <w:color w:val="000000"/>
          <w:sz w:val="23"/>
          <w:szCs w:val="23"/>
        </w:rPr>
        <w:t xml:space="preserve"> </w:t>
      </w:r>
      <w:r w:rsidRPr="00937B84">
        <w:rPr>
          <w:rFonts w:ascii="Times New Roman" w:hAnsi="Times New Roman"/>
          <w:sz w:val="23"/>
          <w:szCs w:val="23"/>
        </w:rPr>
        <w:t>and</w:t>
      </w:r>
      <w:r w:rsidRPr="00A41242">
        <w:rPr>
          <w:rFonts w:ascii="Times New Roman" w:eastAsiaTheme="minorHAnsi" w:hAnsi="Times New Roman"/>
          <w:color w:val="000000"/>
          <w:sz w:val="23"/>
          <w:szCs w:val="23"/>
        </w:rPr>
        <w:t xml:space="preserve"> orders which were identified as potentially suspicious, </w:t>
      </w:r>
      <w:r>
        <w:rPr>
          <w:rFonts w:ascii="Times New Roman" w:eastAsiaTheme="minorHAnsi" w:hAnsi="Times New Roman"/>
          <w:color w:val="000000"/>
          <w:sz w:val="23"/>
          <w:szCs w:val="23"/>
          <w:u w:val="single"/>
        </w:rPr>
        <w:t xml:space="preserve">and which were </w:t>
      </w:r>
      <w:r w:rsidRPr="00A41242">
        <w:rPr>
          <w:rFonts w:ascii="Times New Roman" w:eastAsiaTheme="minorHAnsi" w:hAnsi="Times New Roman"/>
          <w:color w:val="000000"/>
          <w:sz w:val="23"/>
          <w:szCs w:val="23"/>
          <w:u w:val="single"/>
        </w:rPr>
        <w:t xml:space="preserve">reasonably suspected </w:t>
      </w:r>
      <w:r>
        <w:rPr>
          <w:rFonts w:ascii="Times New Roman" w:eastAsiaTheme="minorHAnsi" w:hAnsi="Times New Roman"/>
          <w:color w:val="000000"/>
          <w:sz w:val="23"/>
          <w:szCs w:val="23"/>
          <w:u w:val="single"/>
        </w:rPr>
        <w:t xml:space="preserve">to be suspicious or which were </w:t>
      </w:r>
      <w:r w:rsidRPr="00A41242">
        <w:rPr>
          <w:rFonts w:ascii="Times New Roman" w:eastAsiaTheme="minorHAnsi" w:hAnsi="Times New Roman"/>
          <w:color w:val="000000"/>
          <w:sz w:val="23"/>
          <w:szCs w:val="23"/>
          <w:u w:val="single"/>
        </w:rPr>
        <w:t>seriously considered to be suspicious</w:t>
      </w:r>
      <w:r w:rsidRPr="00A41242">
        <w:rPr>
          <w:rFonts w:ascii="Times New Roman" w:hAnsi="Times New Roman"/>
          <w:sz w:val="23"/>
          <w:szCs w:val="23"/>
        </w:rPr>
        <w:t xml:space="preserve">, </w:t>
      </w:r>
      <w:r w:rsidRPr="00A41242">
        <w:rPr>
          <w:rFonts w:ascii="Times New Roman" w:eastAsiaTheme="minorHAnsi" w:hAnsi="Times New Roman"/>
          <w:color w:val="000000"/>
          <w:sz w:val="23"/>
          <w:szCs w:val="23"/>
        </w:rPr>
        <w:t>but fo</w:t>
      </w:r>
      <w:r w:rsidRPr="00A41242">
        <w:rPr>
          <w:rFonts w:ascii="Times New Roman" w:eastAsiaTheme="minorHAnsi" w:hAnsi="Times New Roman"/>
          <w:color w:val="000000"/>
          <w:sz w:val="23"/>
          <w:szCs w:val="23"/>
        </w:rPr>
        <w:t>l</w:t>
      </w:r>
      <w:r w:rsidRPr="00A41242">
        <w:rPr>
          <w:rFonts w:ascii="Times New Roman" w:eastAsiaTheme="minorHAnsi" w:hAnsi="Times New Roman"/>
          <w:color w:val="000000"/>
          <w:sz w:val="23"/>
          <w:szCs w:val="23"/>
        </w:rPr>
        <w:t xml:space="preserve">lowing examination were subsequently not submitted, including a summary of the reasons for not submitting a STOR;’ </w:t>
      </w:r>
    </w:p>
    <w:p w:rsidR="003D70D1" w:rsidRPr="00A41242" w:rsidRDefault="003D70D1" w:rsidP="00A80A54">
      <w:pPr>
        <w:jc w:val="both"/>
        <w:rPr>
          <w:rFonts w:ascii="Times New Roman" w:eastAsiaTheme="minorHAnsi" w:hAnsi="Times New Roman"/>
          <w:color w:val="000000"/>
          <w:sz w:val="23"/>
          <w:szCs w:val="23"/>
        </w:rPr>
      </w:pPr>
    </w:p>
    <w:p w:rsidR="00C8677B" w:rsidRDefault="003D70D1" w:rsidP="00C8677B">
      <w:r w:rsidRPr="00A41242">
        <w:rPr>
          <w:rFonts w:ascii="Times New Roman" w:hAnsi="Times New Roman"/>
          <w:sz w:val="23"/>
          <w:szCs w:val="23"/>
        </w:rPr>
        <w:t>Moreover, we would prefer the term ’near-misses’ to be replaced by words ‘</w:t>
      </w:r>
      <w:r w:rsidRPr="00A41242">
        <w:rPr>
          <w:rFonts w:ascii="Times New Roman" w:eastAsiaTheme="minorHAnsi" w:hAnsi="Times New Roman"/>
          <w:color w:val="000000"/>
          <w:sz w:val="23"/>
          <w:szCs w:val="23"/>
        </w:rPr>
        <w:t>potentially suspicious orders and transactions’</w:t>
      </w:r>
      <w:r w:rsidRPr="00A41242">
        <w:rPr>
          <w:rFonts w:ascii="Times New Roman" w:hAnsi="Times New Roman"/>
          <w:sz w:val="23"/>
          <w:szCs w:val="23"/>
        </w:rPr>
        <w:t xml:space="preserve"> </w:t>
      </w:r>
      <w:r>
        <w:rPr>
          <w:rFonts w:ascii="Times New Roman" w:hAnsi="Times New Roman"/>
          <w:sz w:val="23"/>
          <w:szCs w:val="23"/>
        </w:rPr>
        <w:t xml:space="preserve">in </w:t>
      </w:r>
      <w:r w:rsidRPr="00A41242">
        <w:rPr>
          <w:rFonts w:ascii="Times New Roman" w:hAnsi="Times New Roman"/>
          <w:sz w:val="23"/>
          <w:szCs w:val="23"/>
        </w:rPr>
        <w:t xml:space="preserve">any </w:t>
      </w:r>
      <w:r>
        <w:rPr>
          <w:rFonts w:ascii="Times New Roman" w:hAnsi="Times New Roman"/>
          <w:sz w:val="23"/>
          <w:szCs w:val="23"/>
        </w:rPr>
        <w:t xml:space="preserve">potential </w:t>
      </w:r>
      <w:r w:rsidRPr="00A41242">
        <w:rPr>
          <w:rFonts w:ascii="Times New Roman" w:hAnsi="Times New Roman"/>
          <w:sz w:val="23"/>
          <w:szCs w:val="23"/>
        </w:rPr>
        <w:t xml:space="preserve">explanatory or analytical language accompanying RTS </w:t>
      </w:r>
      <w:r>
        <w:rPr>
          <w:rFonts w:ascii="Times New Roman" w:hAnsi="Times New Roman"/>
          <w:sz w:val="23"/>
          <w:szCs w:val="23"/>
        </w:rPr>
        <w:t xml:space="preserve">if </w:t>
      </w:r>
      <w:r w:rsidRPr="00A41242">
        <w:rPr>
          <w:rFonts w:ascii="Times New Roman" w:hAnsi="Times New Roman"/>
          <w:sz w:val="23"/>
          <w:szCs w:val="23"/>
        </w:rPr>
        <w:t>published in the future</w:t>
      </w:r>
      <w:r>
        <w:rPr>
          <w:rFonts w:ascii="Times New Roman" w:hAnsi="Times New Roman"/>
          <w:sz w:val="23"/>
          <w:szCs w:val="23"/>
        </w:rPr>
        <w:t>.</w:t>
      </w:r>
      <w:r w:rsidRPr="00A41242">
        <w:rPr>
          <w:rFonts w:ascii="Times New Roman" w:hAnsi="Times New Roman"/>
          <w:sz w:val="23"/>
          <w:szCs w:val="23"/>
        </w:rPr>
        <w:t xml:space="preserve"> </w:t>
      </w:r>
      <w:r>
        <w:rPr>
          <w:rFonts w:ascii="Times New Roman" w:hAnsi="Times New Roman"/>
          <w:sz w:val="23"/>
          <w:szCs w:val="23"/>
        </w:rPr>
        <w:t xml:space="preserve">The language </w:t>
      </w:r>
      <w:r w:rsidRPr="00A41242">
        <w:rPr>
          <w:rFonts w:ascii="Times New Roman" w:hAnsi="Times New Roman"/>
          <w:sz w:val="23"/>
          <w:szCs w:val="23"/>
        </w:rPr>
        <w:t xml:space="preserve">should </w:t>
      </w:r>
      <w:r>
        <w:rPr>
          <w:rFonts w:ascii="Times New Roman" w:hAnsi="Times New Roman"/>
          <w:sz w:val="23"/>
          <w:szCs w:val="23"/>
        </w:rPr>
        <w:t xml:space="preserve">be </w:t>
      </w:r>
      <w:r w:rsidRPr="00A41242">
        <w:rPr>
          <w:rFonts w:ascii="Times New Roman" w:hAnsi="Times New Roman"/>
          <w:sz w:val="23"/>
          <w:szCs w:val="23"/>
        </w:rPr>
        <w:t xml:space="preserve">based </w:t>
      </w:r>
      <w:r>
        <w:rPr>
          <w:rFonts w:ascii="Times New Roman" w:hAnsi="Times New Roman"/>
          <w:sz w:val="23"/>
          <w:szCs w:val="23"/>
        </w:rPr>
        <w:t>on</w:t>
      </w:r>
      <w:r w:rsidRPr="00A41242">
        <w:rPr>
          <w:rFonts w:ascii="Times New Roman" w:hAnsi="Times New Roman"/>
          <w:sz w:val="23"/>
          <w:szCs w:val="23"/>
        </w:rPr>
        <w:t xml:space="preserve"> the </w:t>
      </w:r>
      <w:r>
        <w:rPr>
          <w:rFonts w:ascii="Times New Roman" w:hAnsi="Times New Roman"/>
          <w:sz w:val="23"/>
          <w:szCs w:val="23"/>
        </w:rPr>
        <w:t>wording</w:t>
      </w:r>
      <w:r w:rsidRPr="00A41242">
        <w:rPr>
          <w:rFonts w:ascii="Times New Roman" w:hAnsi="Times New Roman"/>
          <w:sz w:val="23"/>
          <w:szCs w:val="23"/>
        </w:rPr>
        <w:t xml:space="preserve"> used in Level 1 and 2. This would avoid confusion and legal uncertainty in the application of the </w:t>
      </w:r>
      <w:r>
        <w:rPr>
          <w:rFonts w:ascii="Times New Roman" w:hAnsi="Times New Roman"/>
          <w:sz w:val="23"/>
          <w:szCs w:val="23"/>
        </w:rPr>
        <w:t>L</w:t>
      </w:r>
      <w:r w:rsidRPr="00A41242">
        <w:rPr>
          <w:rFonts w:ascii="Times New Roman" w:hAnsi="Times New Roman"/>
          <w:sz w:val="23"/>
          <w:szCs w:val="23"/>
        </w:rPr>
        <w:t>evel 1 and 2 texts.</w:t>
      </w:r>
      <w:permEnd w:id="1250913615"/>
      <w:r w:rsidR="00C8677B">
        <w:t>&lt;</w:t>
      </w:r>
      <w:r w:rsidR="00CB6CDD">
        <w:t>ESMA_QUESTION_MAR_TS_</w:t>
      </w:r>
      <w:r w:rsidR="00C8677B">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4565DD" w:rsidRDefault="004565DD" w:rsidP="00A80A54">
      <w:pPr>
        <w:jc w:val="both"/>
        <w:rPr>
          <w:rFonts w:ascii="Times New Roman" w:hAnsi="Times New Roman"/>
          <w:bCs/>
          <w:iCs/>
          <w:color w:val="000000" w:themeColor="text1"/>
          <w:sz w:val="23"/>
          <w:szCs w:val="23"/>
          <w:lang w:eastAsia="en-GB"/>
        </w:rPr>
      </w:pPr>
      <w:permStart w:id="996869995" w:edGrp="everyone"/>
      <w:r w:rsidRPr="002859A4">
        <w:rPr>
          <w:rFonts w:ascii="Times New Roman" w:hAnsi="Times New Roman"/>
          <w:bCs/>
          <w:iCs/>
          <w:color w:val="000000" w:themeColor="text1"/>
          <w:sz w:val="23"/>
          <w:szCs w:val="23"/>
          <w:lang w:eastAsia="en-GB"/>
        </w:rPr>
        <w:t xml:space="preserve">Our responses to </w:t>
      </w:r>
      <w:r w:rsidRPr="003B0777">
        <w:rPr>
          <w:rFonts w:ascii="Times New Roman" w:hAnsi="Times New Roman"/>
          <w:color w:val="000000" w:themeColor="text1"/>
          <w:sz w:val="23"/>
          <w:szCs w:val="23"/>
        </w:rPr>
        <w:t>this</w:t>
      </w:r>
      <w:r w:rsidRPr="002859A4">
        <w:rPr>
          <w:rFonts w:ascii="Times New Roman" w:hAnsi="Times New Roman"/>
          <w:bCs/>
          <w:iCs/>
          <w:color w:val="000000" w:themeColor="text1"/>
          <w:sz w:val="23"/>
          <w:szCs w:val="23"/>
          <w:lang w:eastAsia="en-GB"/>
        </w:rPr>
        <w:t xml:space="preserve"> question concern only Article 17.2 regarding emission allowances markets participants.</w:t>
      </w:r>
    </w:p>
    <w:p w:rsidR="004565DD" w:rsidRPr="002859A4" w:rsidRDefault="004565DD" w:rsidP="00A80A54">
      <w:pPr>
        <w:jc w:val="both"/>
        <w:rPr>
          <w:rFonts w:ascii="Times New Roman" w:hAnsi="Times New Roman"/>
          <w:bCs/>
          <w:iCs/>
          <w:color w:val="000000" w:themeColor="text1"/>
          <w:sz w:val="23"/>
          <w:szCs w:val="23"/>
          <w:lang w:eastAsia="en-GB"/>
        </w:rPr>
      </w:pPr>
    </w:p>
    <w:p w:rsidR="004565DD" w:rsidRDefault="004565DD" w:rsidP="00A80A54">
      <w:pPr>
        <w:jc w:val="both"/>
        <w:rPr>
          <w:rFonts w:ascii="Times New Roman" w:hAnsi="Times New Roman"/>
          <w:bCs/>
          <w:iCs/>
          <w:color w:val="000000" w:themeColor="text1"/>
          <w:sz w:val="23"/>
          <w:szCs w:val="23"/>
          <w:lang w:eastAsia="en-GB"/>
        </w:rPr>
      </w:pPr>
      <w:r w:rsidRPr="002859A4">
        <w:rPr>
          <w:rFonts w:ascii="Times New Roman" w:hAnsi="Times New Roman"/>
          <w:bCs/>
          <w:iCs/>
          <w:color w:val="000000" w:themeColor="text1"/>
          <w:sz w:val="23"/>
          <w:szCs w:val="23"/>
          <w:lang w:eastAsia="en-GB"/>
        </w:rPr>
        <w:t xml:space="preserve">We would not agree. We believe that the regime of the TD should not apply to the instruments not covered by the TD. This is not required by MAR to cover other instruments with the TD regime. </w:t>
      </w:r>
    </w:p>
    <w:p w:rsidR="004565DD" w:rsidRPr="002859A4" w:rsidRDefault="004565DD" w:rsidP="00A80A54">
      <w:pPr>
        <w:jc w:val="both"/>
        <w:rPr>
          <w:rFonts w:ascii="Times New Roman" w:hAnsi="Times New Roman"/>
          <w:bCs/>
          <w:iCs/>
          <w:color w:val="000000" w:themeColor="text1"/>
          <w:sz w:val="23"/>
          <w:szCs w:val="23"/>
          <w:lang w:eastAsia="en-GB"/>
        </w:rPr>
      </w:pPr>
    </w:p>
    <w:p w:rsidR="0098735A" w:rsidRDefault="004565DD" w:rsidP="00A80A54">
      <w:pPr>
        <w:jc w:val="both"/>
        <w:rPr>
          <w:rFonts w:ascii="Times New Roman" w:hAnsi="Times New Roman"/>
          <w:bCs/>
          <w:iCs/>
          <w:color w:val="000000" w:themeColor="text1"/>
          <w:sz w:val="23"/>
          <w:szCs w:val="23"/>
          <w:lang w:eastAsia="en-GB"/>
        </w:rPr>
      </w:pPr>
      <w:r w:rsidRPr="002859A4">
        <w:rPr>
          <w:rFonts w:ascii="Times New Roman" w:hAnsi="Times New Roman"/>
          <w:color w:val="000000" w:themeColor="text1"/>
          <w:sz w:val="23"/>
          <w:szCs w:val="23"/>
        </w:rPr>
        <w:t xml:space="preserve">We are </w:t>
      </w:r>
      <w:r w:rsidRPr="003B0777">
        <w:rPr>
          <w:rFonts w:ascii="Times New Roman" w:hAnsi="Times New Roman"/>
          <w:color w:val="000000" w:themeColor="text1"/>
          <w:sz w:val="23"/>
          <w:szCs w:val="23"/>
        </w:rPr>
        <w:t>strongly</w:t>
      </w:r>
      <w:r w:rsidRPr="002859A4">
        <w:rPr>
          <w:rFonts w:ascii="Times New Roman" w:hAnsi="Times New Roman"/>
          <w:color w:val="000000" w:themeColor="text1"/>
          <w:sz w:val="23"/>
          <w:szCs w:val="23"/>
        </w:rPr>
        <w:t xml:space="preserve"> opposed to </w:t>
      </w:r>
      <w:r>
        <w:rPr>
          <w:rFonts w:ascii="Times New Roman" w:hAnsi="Times New Roman"/>
          <w:color w:val="000000" w:themeColor="text1"/>
          <w:sz w:val="23"/>
          <w:szCs w:val="23"/>
        </w:rPr>
        <w:t>any requirement to demonstrate ‘</w:t>
      </w:r>
      <w:r w:rsidRPr="002859A4">
        <w:rPr>
          <w:rFonts w:ascii="Times New Roman" w:hAnsi="Times New Roman"/>
          <w:color w:val="000000" w:themeColor="text1"/>
          <w:sz w:val="23"/>
          <w:szCs w:val="23"/>
        </w:rPr>
        <w:t>active dissemination</w:t>
      </w:r>
      <w:r>
        <w:rPr>
          <w:rFonts w:ascii="Times New Roman" w:hAnsi="Times New Roman"/>
          <w:color w:val="000000" w:themeColor="text1"/>
          <w:sz w:val="23"/>
          <w:szCs w:val="23"/>
        </w:rPr>
        <w:t>’</w:t>
      </w:r>
      <w:r w:rsidRPr="002859A4">
        <w:rPr>
          <w:rFonts w:ascii="Times New Roman" w:hAnsi="Times New Roman"/>
          <w:color w:val="000000" w:themeColor="text1"/>
          <w:sz w:val="23"/>
          <w:szCs w:val="23"/>
        </w:rPr>
        <w:t xml:space="preserve"> of inside info</w:t>
      </w:r>
      <w:r w:rsidRPr="002859A4">
        <w:rPr>
          <w:rFonts w:ascii="Times New Roman" w:hAnsi="Times New Roman"/>
          <w:color w:val="000000" w:themeColor="text1"/>
          <w:sz w:val="23"/>
          <w:szCs w:val="23"/>
        </w:rPr>
        <w:t>r</w:t>
      </w:r>
      <w:r w:rsidRPr="002859A4">
        <w:rPr>
          <w:rFonts w:ascii="Times New Roman" w:hAnsi="Times New Roman"/>
          <w:color w:val="000000" w:themeColor="text1"/>
          <w:sz w:val="23"/>
          <w:szCs w:val="23"/>
        </w:rPr>
        <w:t xml:space="preserve">mation. At present, many firms distribute inside information via their websites </w:t>
      </w:r>
      <w:r w:rsidRPr="002859A4">
        <w:rPr>
          <w:rFonts w:ascii="Times New Roman" w:hAnsi="Times New Roman"/>
          <w:iCs/>
          <w:color w:val="000000" w:themeColor="text1"/>
          <w:sz w:val="23"/>
          <w:szCs w:val="23"/>
        </w:rPr>
        <w:t>or ad-hoc transparency platforms</w:t>
      </w:r>
      <w:r w:rsidRPr="002859A4">
        <w:rPr>
          <w:rFonts w:ascii="Times New Roman" w:hAnsi="Times New Roman"/>
          <w:color w:val="000000" w:themeColor="text1"/>
          <w:sz w:val="23"/>
          <w:szCs w:val="23"/>
        </w:rPr>
        <w:t xml:space="preserve"> for REMIT purposes. The publication of inside information for REMIT purposes is already very transparent and fast because in practice, new publications are instantaneously (or near-instantaneously) picked up</w:t>
      </w:r>
      <w:r>
        <w:rPr>
          <w:rFonts w:ascii="Times New Roman" w:hAnsi="Times New Roman"/>
          <w:color w:val="000000" w:themeColor="text1"/>
          <w:sz w:val="23"/>
          <w:szCs w:val="23"/>
        </w:rPr>
        <w:t xml:space="preserve"> (and in this way disseminated)</w:t>
      </w:r>
      <w:r w:rsidRPr="002859A4">
        <w:rPr>
          <w:rFonts w:ascii="Times New Roman" w:hAnsi="Times New Roman"/>
          <w:color w:val="000000" w:themeColor="text1"/>
          <w:sz w:val="23"/>
          <w:szCs w:val="23"/>
        </w:rPr>
        <w:t xml:space="preserve"> by</w:t>
      </w:r>
      <w:r>
        <w:rPr>
          <w:rFonts w:ascii="Times New Roman" w:hAnsi="Times New Roman"/>
          <w:color w:val="000000" w:themeColor="text1"/>
          <w:sz w:val="23"/>
          <w:szCs w:val="23"/>
        </w:rPr>
        <w:t>:</w:t>
      </w:r>
      <w:r w:rsidRPr="002859A4">
        <w:rPr>
          <w:rFonts w:ascii="Times New Roman" w:hAnsi="Times New Roman"/>
          <w:color w:val="000000" w:themeColor="text1"/>
          <w:sz w:val="23"/>
          <w:szCs w:val="23"/>
        </w:rPr>
        <w:t xml:space="preserve"> web crawling programmes; </w:t>
      </w:r>
      <w:r w:rsidRPr="002859A4">
        <w:rPr>
          <w:rFonts w:ascii="Times New Roman" w:hAnsi="Times New Roman"/>
          <w:bCs/>
          <w:color w:val="000000" w:themeColor="text1"/>
          <w:sz w:val="23"/>
          <w:szCs w:val="23"/>
          <w:lang w:eastAsia="en-GB"/>
        </w:rPr>
        <w:t xml:space="preserve">free-access platforms run by </w:t>
      </w:r>
      <w:r w:rsidRPr="002859A4">
        <w:rPr>
          <w:rFonts w:ascii="Times New Roman" w:hAnsi="Times New Roman"/>
          <w:color w:val="000000" w:themeColor="text1"/>
          <w:sz w:val="23"/>
          <w:szCs w:val="23"/>
        </w:rPr>
        <w:t>transmission system operators</w:t>
      </w:r>
      <w:r w:rsidRPr="002859A4">
        <w:rPr>
          <w:rFonts w:ascii="Times New Roman" w:hAnsi="Times New Roman"/>
          <w:bCs/>
          <w:color w:val="000000" w:themeColor="text1"/>
          <w:sz w:val="23"/>
          <w:szCs w:val="23"/>
          <w:lang w:eastAsia="en-GB"/>
        </w:rPr>
        <w:t xml:space="preserve"> (TSOs), exchanges or other bodies; and </w:t>
      </w:r>
      <w:r w:rsidRPr="002859A4">
        <w:rPr>
          <w:rFonts w:ascii="Times New Roman" w:hAnsi="Times New Roman"/>
          <w:color w:val="000000" w:themeColor="text1"/>
          <w:sz w:val="23"/>
          <w:szCs w:val="23"/>
        </w:rPr>
        <w:t>n</w:t>
      </w:r>
      <w:r>
        <w:rPr>
          <w:rFonts w:ascii="Times New Roman" w:hAnsi="Times New Roman"/>
          <w:color w:val="000000" w:themeColor="text1"/>
          <w:sz w:val="23"/>
          <w:szCs w:val="23"/>
        </w:rPr>
        <w:t>ews provi</w:t>
      </w:r>
      <w:r>
        <w:rPr>
          <w:rFonts w:ascii="Times New Roman" w:hAnsi="Times New Roman"/>
          <w:color w:val="000000" w:themeColor="text1"/>
          <w:sz w:val="23"/>
          <w:szCs w:val="23"/>
        </w:rPr>
        <w:t>d</w:t>
      </w:r>
      <w:r>
        <w:rPr>
          <w:rFonts w:ascii="Times New Roman" w:hAnsi="Times New Roman"/>
          <w:color w:val="000000" w:themeColor="text1"/>
          <w:sz w:val="23"/>
          <w:szCs w:val="23"/>
        </w:rPr>
        <w:t>ers such as Bloomberg and</w:t>
      </w:r>
      <w:r w:rsidRPr="002859A4">
        <w:rPr>
          <w:rFonts w:ascii="Times New Roman" w:hAnsi="Times New Roman"/>
          <w:color w:val="000000" w:themeColor="text1"/>
          <w:sz w:val="23"/>
          <w:szCs w:val="23"/>
        </w:rPr>
        <w:t xml:space="preserve"> Reuters. We believe that these mechanisms ensure immediate, effective and equal access to complete information for all market participants. As such, any additional r</w:t>
      </w:r>
      <w:r w:rsidRPr="002859A4">
        <w:rPr>
          <w:rFonts w:ascii="Times New Roman" w:hAnsi="Times New Roman"/>
          <w:color w:val="000000" w:themeColor="text1"/>
          <w:sz w:val="23"/>
          <w:szCs w:val="23"/>
        </w:rPr>
        <w:t>e</w:t>
      </w:r>
      <w:r w:rsidRPr="002859A4">
        <w:rPr>
          <w:rFonts w:ascii="Times New Roman" w:hAnsi="Times New Roman"/>
          <w:color w:val="000000" w:themeColor="text1"/>
          <w:sz w:val="23"/>
          <w:szCs w:val="23"/>
        </w:rPr>
        <w:t>quirement to publish similar information elsewhere will be very onerous for market participants, and could actually be potentially misleading if published in different ways, while being of minimal benefit to price formation.</w:t>
      </w:r>
      <w:r w:rsidRPr="002859A4">
        <w:rPr>
          <w:rFonts w:ascii="Times New Roman" w:hAnsi="Times New Roman"/>
          <w:bCs/>
          <w:iCs/>
          <w:color w:val="000000" w:themeColor="text1"/>
          <w:sz w:val="23"/>
          <w:szCs w:val="23"/>
          <w:lang w:eastAsia="en-GB"/>
        </w:rPr>
        <w:t xml:space="preserve"> </w:t>
      </w:r>
    </w:p>
    <w:p w:rsidR="0098735A" w:rsidRDefault="0098735A" w:rsidP="00A80A54">
      <w:pPr>
        <w:jc w:val="both"/>
        <w:rPr>
          <w:rFonts w:ascii="Times New Roman" w:hAnsi="Times New Roman"/>
          <w:bCs/>
          <w:iCs/>
          <w:color w:val="000000" w:themeColor="text1"/>
          <w:sz w:val="23"/>
          <w:szCs w:val="23"/>
          <w:lang w:eastAsia="en-GB"/>
        </w:rPr>
      </w:pPr>
    </w:p>
    <w:p w:rsidR="004565DD" w:rsidRDefault="004565DD" w:rsidP="00A80A54">
      <w:pPr>
        <w:jc w:val="both"/>
        <w:rPr>
          <w:rFonts w:ascii="Times New Roman" w:hAnsi="Times New Roman"/>
          <w:bCs/>
          <w:iCs/>
          <w:color w:val="000000" w:themeColor="text1"/>
          <w:sz w:val="23"/>
          <w:szCs w:val="23"/>
          <w:lang w:eastAsia="en-GB"/>
        </w:rPr>
      </w:pPr>
      <w:r w:rsidRPr="002859A4">
        <w:rPr>
          <w:rFonts w:ascii="Times New Roman" w:hAnsi="Times New Roman"/>
          <w:bCs/>
          <w:iCs/>
          <w:color w:val="000000" w:themeColor="text1"/>
          <w:sz w:val="23"/>
          <w:szCs w:val="23"/>
          <w:lang w:eastAsia="en-GB"/>
        </w:rPr>
        <w:t>Moreover, we would like to highlight that neither ‘active distribution’ nor ‘di</w:t>
      </w:r>
      <w:r w:rsidRPr="002859A4">
        <w:rPr>
          <w:rFonts w:ascii="Times New Roman" w:hAnsi="Times New Roman"/>
          <w:bCs/>
          <w:iCs/>
          <w:color w:val="000000" w:themeColor="text1"/>
          <w:sz w:val="23"/>
          <w:szCs w:val="23"/>
          <w:lang w:eastAsia="en-GB"/>
        </w:rPr>
        <w:t>s</w:t>
      </w:r>
      <w:r w:rsidRPr="002859A4">
        <w:rPr>
          <w:rFonts w:ascii="Times New Roman" w:hAnsi="Times New Roman"/>
          <w:bCs/>
          <w:iCs/>
          <w:color w:val="000000" w:themeColor="text1"/>
          <w:sz w:val="23"/>
          <w:szCs w:val="23"/>
          <w:lang w:eastAsia="en-GB"/>
        </w:rPr>
        <w:t>semination’ (as referred under CP paragraph 234) are requirements under Article 17 of MAR, which only speaks about ‘di</w:t>
      </w:r>
      <w:r w:rsidRPr="002859A4">
        <w:rPr>
          <w:rFonts w:ascii="Times New Roman" w:hAnsi="Times New Roman"/>
          <w:bCs/>
          <w:iCs/>
          <w:color w:val="000000" w:themeColor="text1"/>
          <w:sz w:val="23"/>
          <w:szCs w:val="23"/>
          <w:lang w:eastAsia="en-GB"/>
        </w:rPr>
        <w:t>s</w:t>
      </w:r>
      <w:r w:rsidRPr="002859A4">
        <w:rPr>
          <w:rFonts w:ascii="Times New Roman" w:hAnsi="Times New Roman"/>
          <w:bCs/>
          <w:iCs/>
          <w:color w:val="000000" w:themeColor="text1"/>
          <w:sz w:val="23"/>
          <w:szCs w:val="23"/>
          <w:lang w:eastAsia="en-GB"/>
        </w:rPr>
        <w:t xml:space="preserve">closure’. Moreover, the only references to the TD in MAR concern: </w:t>
      </w:r>
      <w:proofErr w:type="spellStart"/>
      <w:r w:rsidRPr="002859A4">
        <w:rPr>
          <w:rFonts w:ascii="Times New Roman" w:hAnsi="Times New Roman"/>
          <w:bCs/>
          <w:iCs/>
          <w:color w:val="000000" w:themeColor="text1"/>
          <w:sz w:val="23"/>
          <w:szCs w:val="23"/>
          <w:lang w:eastAsia="en-GB"/>
        </w:rPr>
        <w:t>i</w:t>
      </w:r>
      <w:proofErr w:type="spellEnd"/>
      <w:r w:rsidRPr="002859A4">
        <w:rPr>
          <w:rFonts w:ascii="Times New Roman" w:hAnsi="Times New Roman"/>
          <w:bCs/>
          <w:iCs/>
          <w:color w:val="000000" w:themeColor="text1"/>
          <w:sz w:val="23"/>
          <w:szCs w:val="23"/>
          <w:lang w:eastAsia="en-GB"/>
        </w:rPr>
        <w:t>) the disclosure via</w:t>
      </w:r>
      <w:r>
        <w:rPr>
          <w:rFonts w:ascii="Times New Roman" w:hAnsi="Times New Roman"/>
          <w:bCs/>
          <w:iCs/>
          <w:color w:val="000000" w:themeColor="text1"/>
          <w:sz w:val="23"/>
          <w:szCs w:val="23"/>
          <w:lang w:eastAsia="en-GB"/>
        </w:rPr>
        <w:t xml:space="preserve"> </w:t>
      </w:r>
      <w:r w:rsidRPr="00D54A97">
        <w:rPr>
          <w:rFonts w:ascii="Times New Roman" w:hAnsi="Times New Roman"/>
          <w:bCs/>
          <w:iCs/>
          <w:color w:val="000000" w:themeColor="text1"/>
          <w:sz w:val="23"/>
          <w:szCs w:val="23"/>
          <w:lang w:eastAsia="en-GB"/>
        </w:rPr>
        <w:t>Officially Appointed Mechanism</w:t>
      </w:r>
      <w:r w:rsidRPr="002859A4">
        <w:rPr>
          <w:rFonts w:ascii="Times New Roman" w:hAnsi="Times New Roman"/>
          <w:bCs/>
          <w:iCs/>
          <w:color w:val="000000" w:themeColor="text1"/>
          <w:sz w:val="23"/>
          <w:szCs w:val="23"/>
          <w:lang w:eastAsia="en-GB"/>
        </w:rPr>
        <w:t xml:space="preserve"> </w:t>
      </w:r>
      <w:r>
        <w:rPr>
          <w:rFonts w:ascii="Times New Roman" w:hAnsi="Times New Roman"/>
          <w:bCs/>
          <w:iCs/>
          <w:color w:val="000000" w:themeColor="text1"/>
          <w:sz w:val="23"/>
          <w:szCs w:val="23"/>
          <w:lang w:eastAsia="en-GB"/>
        </w:rPr>
        <w:t>(</w:t>
      </w:r>
      <w:r w:rsidRPr="002859A4">
        <w:rPr>
          <w:rFonts w:ascii="Times New Roman" w:hAnsi="Times New Roman"/>
          <w:bCs/>
          <w:iCs/>
          <w:color w:val="000000" w:themeColor="text1"/>
          <w:sz w:val="23"/>
          <w:szCs w:val="23"/>
          <w:lang w:eastAsia="en-GB"/>
        </w:rPr>
        <w:t>OAM</w:t>
      </w:r>
      <w:r>
        <w:rPr>
          <w:rFonts w:ascii="Times New Roman" w:hAnsi="Times New Roman"/>
          <w:bCs/>
          <w:iCs/>
          <w:color w:val="000000" w:themeColor="text1"/>
          <w:sz w:val="23"/>
          <w:szCs w:val="23"/>
          <w:lang w:eastAsia="en-GB"/>
        </w:rPr>
        <w:t>)</w:t>
      </w:r>
      <w:r w:rsidRPr="002859A4">
        <w:rPr>
          <w:rFonts w:ascii="Times New Roman" w:hAnsi="Times New Roman"/>
          <w:bCs/>
          <w:iCs/>
          <w:color w:val="000000" w:themeColor="text1"/>
          <w:sz w:val="23"/>
          <w:szCs w:val="23"/>
          <w:lang w:eastAsia="en-GB"/>
        </w:rPr>
        <w:t xml:space="preserve"> for </w:t>
      </w:r>
      <w:r>
        <w:rPr>
          <w:rFonts w:ascii="Times New Roman" w:hAnsi="Times New Roman"/>
          <w:bCs/>
          <w:iCs/>
          <w:color w:val="000000" w:themeColor="text1"/>
          <w:sz w:val="23"/>
          <w:szCs w:val="23"/>
          <w:lang w:eastAsia="en-GB"/>
        </w:rPr>
        <w:t>regulated markets (</w:t>
      </w:r>
      <w:r w:rsidRPr="002859A4">
        <w:rPr>
          <w:rFonts w:ascii="Times New Roman" w:hAnsi="Times New Roman"/>
          <w:bCs/>
          <w:iCs/>
          <w:color w:val="000000" w:themeColor="text1"/>
          <w:sz w:val="23"/>
          <w:szCs w:val="23"/>
          <w:lang w:eastAsia="en-GB"/>
        </w:rPr>
        <w:t>RM</w:t>
      </w:r>
      <w:r>
        <w:rPr>
          <w:rFonts w:ascii="Times New Roman" w:hAnsi="Times New Roman"/>
          <w:bCs/>
          <w:iCs/>
          <w:color w:val="000000" w:themeColor="text1"/>
          <w:sz w:val="23"/>
          <w:szCs w:val="23"/>
          <w:lang w:eastAsia="en-GB"/>
        </w:rPr>
        <w:t>)</w:t>
      </w:r>
      <w:r w:rsidRPr="002859A4">
        <w:rPr>
          <w:rFonts w:ascii="Times New Roman" w:hAnsi="Times New Roman"/>
          <w:bCs/>
          <w:iCs/>
          <w:color w:val="000000" w:themeColor="text1"/>
          <w:sz w:val="23"/>
          <w:szCs w:val="23"/>
          <w:lang w:eastAsia="en-GB"/>
        </w:rPr>
        <w:t xml:space="preserve"> instruments (Article 17(1)); and ii) the determination of the competent national authority for the notification of manager’s transaction. </w:t>
      </w:r>
    </w:p>
    <w:p w:rsidR="0098735A" w:rsidRPr="002859A4" w:rsidRDefault="0098735A" w:rsidP="00A80A54">
      <w:pPr>
        <w:jc w:val="both"/>
        <w:rPr>
          <w:rFonts w:ascii="Times New Roman" w:hAnsi="Times New Roman"/>
          <w:bCs/>
          <w:iCs/>
          <w:color w:val="000000" w:themeColor="text1"/>
          <w:sz w:val="23"/>
          <w:szCs w:val="23"/>
          <w:lang w:eastAsia="en-GB"/>
        </w:rPr>
      </w:pPr>
    </w:p>
    <w:p w:rsidR="004565DD" w:rsidRDefault="004565DD" w:rsidP="00A80A54">
      <w:pPr>
        <w:jc w:val="both"/>
        <w:rPr>
          <w:rFonts w:ascii="Times New Roman" w:hAnsi="Times New Roman"/>
          <w:bCs/>
          <w:iCs/>
          <w:color w:val="000000" w:themeColor="text1"/>
          <w:sz w:val="23"/>
          <w:szCs w:val="23"/>
          <w:lang w:eastAsia="en-GB"/>
        </w:rPr>
      </w:pPr>
      <w:r w:rsidRPr="002859A4">
        <w:rPr>
          <w:rFonts w:ascii="Times New Roman" w:hAnsi="Times New Roman"/>
          <w:bCs/>
          <w:iCs/>
          <w:color w:val="000000" w:themeColor="text1"/>
          <w:sz w:val="23"/>
          <w:szCs w:val="23"/>
          <w:lang w:eastAsia="en-GB"/>
        </w:rPr>
        <w:t xml:space="preserve">From the </w:t>
      </w:r>
      <w:r w:rsidRPr="003B0777">
        <w:rPr>
          <w:rFonts w:ascii="Times New Roman" w:hAnsi="Times New Roman"/>
          <w:color w:val="000000" w:themeColor="text1"/>
          <w:sz w:val="23"/>
          <w:szCs w:val="23"/>
        </w:rPr>
        <w:t>perspective</w:t>
      </w:r>
      <w:r w:rsidRPr="002859A4">
        <w:rPr>
          <w:rFonts w:ascii="Times New Roman" w:hAnsi="Times New Roman"/>
          <w:bCs/>
          <w:iCs/>
          <w:color w:val="000000" w:themeColor="text1"/>
          <w:sz w:val="23"/>
          <w:szCs w:val="23"/>
          <w:lang w:eastAsia="en-GB"/>
        </w:rPr>
        <w:t xml:space="preserve"> of energy companies, the phrase ‘public disclosure’ in Article 17 of MAR mirrors the requireme</w:t>
      </w:r>
      <w:r>
        <w:rPr>
          <w:rFonts w:ascii="Times New Roman" w:hAnsi="Times New Roman"/>
          <w:bCs/>
          <w:iCs/>
          <w:color w:val="000000" w:themeColor="text1"/>
          <w:sz w:val="23"/>
          <w:szCs w:val="23"/>
          <w:lang w:eastAsia="en-GB"/>
        </w:rPr>
        <w:t>nt of Article 4 of REMIT where</w:t>
      </w:r>
      <w:r w:rsidRPr="002859A4">
        <w:rPr>
          <w:rFonts w:ascii="Times New Roman" w:hAnsi="Times New Roman"/>
          <w:bCs/>
          <w:iCs/>
          <w:color w:val="000000" w:themeColor="text1"/>
          <w:sz w:val="23"/>
          <w:szCs w:val="23"/>
          <w:lang w:eastAsia="en-GB"/>
        </w:rPr>
        <w:t xml:space="preserve"> ‘market participants should publicly disclose’ </w:t>
      </w:r>
      <w:r>
        <w:rPr>
          <w:rFonts w:ascii="Times New Roman" w:hAnsi="Times New Roman"/>
          <w:bCs/>
          <w:iCs/>
          <w:color w:val="000000" w:themeColor="text1"/>
          <w:sz w:val="23"/>
          <w:szCs w:val="23"/>
          <w:lang w:eastAsia="en-GB"/>
        </w:rPr>
        <w:t xml:space="preserve">inside information. </w:t>
      </w:r>
      <w:r w:rsidRPr="002859A4">
        <w:rPr>
          <w:rFonts w:ascii="Times New Roman" w:hAnsi="Times New Roman"/>
          <w:bCs/>
          <w:iCs/>
          <w:color w:val="000000" w:themeColor="text1"/>
          <w:sz w:val="23"/>
          <w:szCs w:val="23"/>
          <w:lang w:eastAsia="en-GB"/>
        </w:rPr>
        <w:t xml:space="preserve">We believe that the correct approach is to harmonise the relevant information disclosure requirements to the regime being developed under </w:t>
      </w:r>
      <w:r w:rsidRPr="00F032BC">
        <w:rPr>
          <w:rFonts w:ascii="Times New Roman" w:hAnsi="Times New Roman"/>
          <w:bCs/>
          <w:iCs/>
          <w:color w:val="000000" w:themeColor="text1"/>
          <w:sz w:val="23"/>
          <w:szCs w:val="23"/>
          <w:lang w:eastAsia="en-GB"/>
        </w:rPr>
        <w:t>REMIT, at least</w:t>
      </w:r>
      <w:r w:rsidRPr="002859A4">
        <w:rPr>
          <w:rFonts w:ascii="Times New Roman" w:hAnsi="Times New Roman"/>
          <w:bCs/>
          <w:iCs/>
          <w:color w:val="000000" w:themeColor="text1"/>
          <w:sz w:val="23"/>
          <w:szCs w:val="23"/>
          <w:lang w:eastAsia="en-GB"/>
        </w:rPr>
        <w:t xml:space="preserve"> for products not co</w:t>
      </w:r>
      <w:r w:rsidRPr="002859A4">
        <w:rPr>
          <w:rFonts w:ascii="Times New Roman" w:hAnsi="Times New Roman"/>
          <w:bCs/>
          <w:iCs/>
          <w:color w:val="000000" w:themeColor="text1"/>
          <w:sz w:val="23"/>
          <w:szCs w:val="23"/>
          <w:lang w:eastAsia="en-GB"/>
        </w:rPr>
        <w:t>v</w:t>
      </w:r>
      <w:r w:rsidRPr="002859A4">
        <w:rPr>
          <w:rFonts w:ascii="Times New Roman" w:hAnsi="Times New Roman"/>
          <w:bCs/>
          <w:iCs/>
          <w:color w:val="000000" w:themeColor="text1"/>
          <w:sz w:val="23"/>
          <w:szCs w:val="23"/>
          <w:lang w:eastAsia="en-GB"/>
        </w:rPr>
        <w:t xml:space="preserve">ered by the TD. </w:t>
      </w:r>
      <w:r w:rsidRPr="00730E23">
        <w:rPr>
          <w:rFonts w:ascii="Times New Roman" w:hAnsi="Times New Roman"/>
          <w:bCs/>
          <w:iCs/>
          <w:color w:val="000000" w:themeColor="text1"/>
          <w:sz w:val="23"/>
          <w:szCs w:val="23"/>
          <w:lang w:eastAsia="en-GB"/>
        </w:rPr>
        <w:t xml:space="preserve">Agency for the Cooperation of Energy Regulators (ACER) </w:t>
      </w:r>
      <w:r w:rsidRPr="002859A4">
        <w:rPr>
          <w:rFonts w:ascii="Times New Roman" w:hAnsi="Times New Roman"/>
          <w:bCs/>
          <w:iCs/>
          <w:color w:val="000000" w:themeColor="text1"/>
          <w:sz w:val="23"/>
          <w:szCs w:val="23"/>
          <w:lang w:eastAsia="en-GB"/>
        </w:rPr>
        <w:t>already provides guid</w:t>
      </w:r>
      <w:r w:rsidRPr="002859A4">
        <w:rPr>
          <w:rFonts w:ascii="Times New Roman" w:hAnsi="Times New Roman"/>
          <w:bCs/>
          <w:iCs/>
          <w:color w:val="000000" w:themeColor="text1"/>
          <w:sz w:val="23"/>
          <w:szCs w:val="23"/>
          <w:lang w:eastAsia="en-GB"/>
        </w:rPr>
        <w:t>e</w:t>
      </w:r>
      <w:r w:rsidRPr="002859A4">
        <w:rPr>
          <w:rFonts w:ascii="Times New Roman" w:hAnsi="Times New Roman"/>
          <w:bCs/>
          <w:iCs/>
          <w:color w:val="000000" w:themeColor="text1"/>
          <w:sz w:val="23"/>
          <w:szCs w:val="23"/>
          <w:lang w:eastAsia="en-GB"/>
        </w:rPr>
        <w:t>lines on technical means of the disclosure. We think that it would be a disproportionate administrative burden to require one party to report the same information under two different administrative proc</w:t>
      </w:r>
      <w:r w:rsidRPr="002859A4">
        <w:rPr>
          <w:rFonts w:ascii="Times New Roman" w:hAnsi="Times New Roman"/>
          <w:bCs/>
          <w:iCs/>
          <w:color w:val="000000" w:themeColor="text1"/>
          <w:sz w:val="23"/>
          <w:szCs w:val="23"/>
          <w:lang w:eastAsia="en-GB"/>
        </w:rPr>
        <w:t>e</w:t>
      </w:r>
      <w:r w:rsidRPr="002859A4">
        <w:rPr>
          <w:rFonts w:ascii="Times New Roman" w:hAnsi="Times New Roman"/>
          <w:bCs/>
          <w:iCs/>
          <w:color w:val="000000" w:themeColor="text1"/>
          <w:sz w:val="23"/>
          <w:szCs w:val="23"/>
          <w:lang w:eastAsia="en-GB"/>
        </w:rPr>
        <w:t>dures. Moreover, we believe that this would be in contradiction with the Recital 51 of MAR which aims at avoiding the duplication of procedures for EAMPs.</w:t>
      </w:r>
    </w:p>
    <w:p w:rsidR="0098735A" w:rsidRPr="002859A4" w:rsidRDefault="0098735A" w:rsidP="00A80A54">
      <w:pPr>
        <w:jc w:val="both"/>
        <w:rPr>
          <w:rFonts w:ascii="Times New Roman" w:hAnsi="Times New Roman"/>
          <w:bCs/>
          <w:iCs/>
          <w:color w:val="000000" w:themeColor="text1"/>
          <w:sz w:val="23"/>
          <w:szCs w:val="23"/>
          <w:lang w:eastAsia="en-GB"/>
        </w:rPr>
      </w:pPr>
    </w:p>
    <w:p w:rsidR="00C8677B" w:rsidRDefault="004565DD" w:rsidP="00C8677B">
      <w:r w:rsidRPr="002859A4">
        <w:rPr>
          <w:rFonts w:ascii="Times New Roman" w:hAnsi="Times New Roman"/>
          <w:bCs/>
          <w:iCs/>
          <w:color w:val="000000" w:themeColor="text1"/>
          <w:sz w:val="23"/>
          <w:szCs w:val="23"/>
          <w:lang w:eastAsia="en-GB"/>
        </w:rPr>
        <w:t xml:space="preserve">Regarding the </w:t>
      </w:r>
      <w:r w:rsidRPr="003B0777">
        <w:rPr>
          <w:rFonts w:ascii="Times New Roman" w:hAnsi="Times New Roman"/>
          <w:color w:val="000000" w:themeColor="text1"/>
          <w:sz w:val="23"/>
          <w:szCs w:val="23"/>
        </w:rPr>
        <w:t>language</w:t>
      </w:r>
      <w:r w:rsidRPr="002859A4">
        <w:rPr>
          <w:rFonts w:ascii="Times New Roman" w:hAnsi="Times New Roman"/>
          <w:bCs/>
          <w:iCs/>
          <w:color w:val="000000" w:themeColor="text1"/>
          <w:sz w:val="23"/>
          <w:szCs w:val="23"/>
          <w:lang w:eastAsia="en-GB"/>
        </w:rPr>
        <w:t xml:space="preserve">, we support the proposed rules for emission allowances. We believe that inside information should be disclosed in a language accepted by the competent authority of the home Member State as well as English. We consider </w:t>
      </w:r>
      <w:r>
        <w:rPr>
          <w:rFonts w:ascii="Times New Roman" w:hAnsi="Times New Roman"/>
          <w:bCs/>
          <w:iCs/>
          <w:color w:val="000000" w:themeColor="text1"/>
          <w:sz w:val="23"/>
          <w:szCs w:val="23"/>
          <w:lang w:eastAsia="en-GB"/>
        </w:rPr>
        <w:t xml:space="preserve">that </w:t>
      </w:r>
      <w:r w:rsidRPr="002859A4">
        <w:rPr>
          <w:rFonts w:ascii="Times New Roman" w:hAnsi="Times New Roman"/>
          <w:bCs/>
          <w:iCs/>
          <w:color w:val="000000" w:themeColor="text1"/>
          <w:sz w:val="23"/>
          <w:szCs w:val="23"/>
          <w:lang w:eastAsia="en-GB"/>
        </w:rPr>
        <w:t>the publication of the information in English is relatively much more important for ‘fast access and complete, correct and timely assessment of the information by the public’ than the introduction of duplicative, unnecessary and potentially mislea</w:t>
      </w:r>
      <w:r w:rsidRPr="002859A4">
        <w:rPr>
          <w:rFonts w:ascii="Times New Roman" w:hAnsi="Times New Roman"/>
          <w:bCs/>
          <w:iCs/>
          <w:color w:val="000000" w:themeColor="text1"/>
          <w:sz w:val="23"/>
          <w:szCs w:val="23"/>
          <w:lang w:eastAsia="en-GB"/>
        </w:rPr>
        <w:t>d</w:t>
      </w:r>
      <w:r w:rsidRPr="002859A4">
        <w:rPr>
          <w:rFonts w:ascii="Times New Roman" w:hAnsi="Times New Roman"/>
          <w:bCs/>
          <w:iCs/>
          <w:color w:val="000000" w:themeColor="text1"/>
          <w:sz w:val="23"/>
          <w:szCs w:val="23"/>
          <w:lang w:eastAsia="en-GB"/>
        </w:rPr>
        <w:t xml:space="preserve">ing </w:t>
      </w:r>
      <w:r>
        <w:rPr>
          <w:rFonts w:ascii="Times New Roman" w:hAnsi="Times New Roman"/>
          <w:bCs/>
          <w:iCs/>
          <w:color w:val="000000" w:themeColor="text1"/>
          <w:sz w:val="23"/>
          <w:szCs w:val="23"/>
          <w:lang w:eastAsia="en-GB"/>
        </w:rPr>
        <w:t>parallel to REMIT reporting regime under MAR</w:t>
      </w:r>
      <w:r w:rsidRPr="002859A4">
        <w:rPr>
          <w:rFonts w:ascii="Times New Roman" w:hAnsi="Times New Roman"/>
          <w:bCs/>
          <w:iCs/>
          <w:color w:val="000000" w:themeColor="text1"/>
          <w:sz w:val="23"/>
          <w:szCs w:val="23"/>
          <w:lang w:eastAsia="en-GB"/>
        </w:rPr>
        <w:t>.</w:t>
      </w:r>
      <w:permEnd w:id="996869995"/>
      <w:r w:rsidR="00C8677B">
        <w:t>&lt;</w:t>
      </w:r>
      <w:r w:rsidR="00CB6CDD">
        <w:t>ESMA_QUESTION_MAR_TS_</w:t>
      </w:r>
      <w:r w:rsidR="00C8677B">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B70792" w:rsidRDefault="00B70792" w:rsidP="00B70792">
      <w:pPr>
        <w:jc w:val="both"/>
        <w:rPr>
          <w:rFonts w:ascii="Times New Roman" w:hAnsi="Times New Roman"/>
          <w:color w:val="000000" w:themeColor="text1"/>
          <w:sz w:val="23"/>
          <w:szCs w:val="23"/>
        </w:rPr>
      </w:pPr>
      <w:permStart w:id="530591023" w:edGrp="everyone"/>
      <w:r w:rsidRPr="002859A4">
        <w:rPr>
          <w:rFonts w:ascii="Times New Roman" w:hAnsi="Times New Roman"/>
          <w:color w:val="000000" w:themeColor="text1"/>
          <w:sz w:val="23"/>
          <w:szCs w:val="23"/>
        </w:rPr>
        <w:t xml:space="preserve">We are convinced that potential investors in emission allowances and related derivatives products have effective access to inside information related to emission allowances that have been publicly disclosed meeting REMIT standards. </w:t>
      </w:r>
    </w:p>
    <w:p w:rsidR="00B70792" w:rsidRPr="002859A4" w:rsidRDefault="00B70792" w:rsidP="00B70792">
      <w:pPr>
        <w:jc w:val="both"/>
        <w:rPr>
          <w:rFonts w:ascii="Times New Roman" w:hAnsi="Times New Roman"/>
          <w:color w:val="000000" w:themeColor="text1"/>
          <w:sz w:val="23"/>
          <w:szCs w:val="23"/>
        </w:rPr>
      </w:pPr>
    </w:p>
    <w:p w:rsidR="00B70792" w:rsidRDefault="00B70792" w:rsidP="00B70792">
      <w:pPr>
        <w:jc w:val="both"/>
        <w:rPr>
          <w:rFonts w:ascii="Times New Roman" w:hAnsi="Times New Roman"/>
          <w:bCs/>
          <w:color w:val="000000" w:themeColor="text1"/>
          <w:sz w:val="23"/>
          <w:szCs w:val="23"/>
          <w:lang w:eastAsia="en-GB"/>
        </w:rPr>
      </w:pPr>
      <w:r w:rsidRPr="002859A4">
        <w:rPr>
          <w:rFonts w:ascii="Times New Roman" w:hAnsi="Times New Roman"/>
          <w:color w:val="000000" w:themeColor="text1"/>
          <w:sz w:val="23"/>
          <w:szCs w:val="23"/>
        </w:rPr>
        <w:t>To reiterate the points made above on the feasibility of the REMIT disclosure system, a</w:t>
      </w:r>
      <w:r w:rsidRPr="002859A4">
        <w:rPr>
          <w:rFonts w:ascii="Times New Roman" w:hAnsi="Times New Roman"/>
          <w:bCs/>
          <w:color w:val="000000" w:themeColor="text1"/>
          <w:sz w:val="23"/>
          <w:szCs w:val="23"/>
          <w:lang w:eastAsia="en-GB"/>
        </w:rPr>
        <w:t>ll this info</w:t>
      </w:r>
      <w:r w:rsidRPr="002859A4">
        <w:rPr>
          <w:rFonts w:ascii="Times New Roman" w:hAnsi="Times New Roman"/>
          <w:bCs/>
          <w:color w:val="000000" w:themeColor="text1"/>
          <w:sz w:val="23"/>
          <w:szCs w:val="23"/>
          <w:lang w:eastAsia="en-GB"/>
        </w:rPr>
        <w:t>r</w:t>
      </w:r>
      <w:r w:rsidRPr="002859A4">
        <w:rPr>
          <w:rFonts w:ascii="Times New Roman" w:hAnsi="Times New Roman"/>
          <w:bCs/>
          <w:color w:val="000000" w:themeColor="text1"/>
          <w:sz w:val="23"/>
          <w:szCs w:val="23"/>
          <w:lang w:eastAsia="en-GB"/>
        </w:rPr>
        <w:t xml:space="preserve">mation is currently published on company websites or free-access platforms run by </w:t>
      </w:r>
      <w:r>
        <w:rPr>
          <w:rFonts w:ascii="Times New Roman" w:hAnsi="Times New Roman"/>
          <w:bCs/>
          <w:color w:val="000000" w:themeColor="text1"/>
          <w:sz w:val="23"/>
          <w:szCs w:val="23"/>
          <w:lang w:eastAsia="en-GB"/>
        </w:rPr>
        <w:t>TSOs</w:t>
      </w:r>
      <w:r w:rsidRPr="002859A4">
        <w:rPr>
          <w:rFonts w:ascii="Times New Roman" w:hAnsi="Times New Roman"/>
          <w:bCs/>
          <w:color w:val="000000" w:themeColor="text1"/>
          <w:sz w:val="23"/>
          <w:szCs w:val="23"/>
          <w:lang w:eastAsia="en-GB"/>
        </w:rPr>
        <w:t xml:space="preserve">, exchanges or other bodies. </w:t>
      </w:r>
    </w:p>
    <w:p w:rsidR="00B70792" w:rsidRPr="002859A4" w:rsidRDefault="00B70792" w:rsidP="00B70792">
      <w:pPr>
        <w:jc w:val="both"/>
        <w:rPr>
          <w:rFonts w:ascii="Times New Roman" w:hAnsi="Times New Roman"/>
          <w:bCs/>
          <w:color w:val="000000" w:themeColor="text1"/>
          <w:sz w:val="23"/>
          <w:szCs w:val="23"/>
          <w:lang w:eastAsia="en-GB"/>
        </w:rPr>
      </w:pPr>
    </w:p>
    <w:p w:rsidR="00B70792" w:rsidRDefault="00B70792" w:rsidP="00B70792">
      <w:pPr>
        <w:jc w:val="both"/>
        <w:rPr>
          <w:rFonts w:ascii="Times New Roman" w:hAnsi="Times New Roman"/>
          <w:bCs/>
          <w:color w:val="000000" w:themeColor="text1"/>
          <w:sz w:val="23"/>
          <w:szCs w:val="23"/>
          <w:lang w:eastAsia="en-GB"/>
        </w:rPr>
      </w:pPr>
      <w:r w:rsidRPr="002859A4">
        <w:rPr>
          <w:rFonts w:ascii="Times New Roman" w:hAnsi="Times New Roman"/>
          <w:color w:val="000000" w:themeColor="text1"/>
          <w:sz w:val="23"/>
          <w:szCs w:val="23"/>
        </w:rPr>
        <w:t xml:space="preserve">We strongly believe that </w:t>
      </w:r>
      <w:r w:rsidRPr="002859A4">
        <w:rPr>
          <w:rFonts w:ascii="Times New Roman" w:hAnsi="Times New Roman"/>
          <w:bCs/>
          <w:color w:val="000000" w:themeColor="text1"/>
          <w:sz w:val="23"/>
          <w:szCs w:val="23"/>
          <w:lang w:eastAsia="en-GB"/>
        </w:rPr>
        <w:t>ESMA should effectively monitor and closely cooperate with energy regul</w:t>
      </w:r>
      <w:r w:rsidRPr="002859A4">
        <w:rPr>
          <w:rFonts w:ascii="Times New Roman" w:hAnsi="Times New Roman"/>
          <w:bCs/>
          <w:color w:val="000000" w:themeColor="text1"/>
          <w:sz w:val="23"/>
          <w:szCs w:val="23"/>
          <w:lang w:eastAsia="en-GB"/>
        </w:rPr>
        <w:t>a</w:t>
      </w:r>
      <w:r w:rsidRPr="002859A4">
        <w:rPr>
          <w:rFonts w:ascii="Times New Roman" w:hAnsi="Times New Roman"/>
          <w:bCs/>
          <w:color w:val="000000" w:themeColor="text1"/>
          <w:sz w:val="23"/>
          <w:szCs w:val="23"/>
          <w:lang w:eastAsia="en-GB"/>
        </w:rPr>
        <w:t xml:space="preserve">tors and market participants working on the implementation of REMIT to ensure that access to this information remains easy for all EAMPs, other than energy companies covered by REMIT. </w:t>
      </w:r>
    </w:p>
    <w:p w:rsidR="00B70792" w:rsidRPr="002859A4" w:rsidRDefault="00B70792" w:rsidP="00B70792">
      <w:pPr>
        <w:jc w:val="both"/>
        <w:rPr>
          <w:rFonts w:ascii="Times New Roman" w:hAnsi="Times New Roman"/>
          <w:bCs/>
          <w:color w:val="000000" w:themeColor="text1"/>
          <w:sz w:val="23"/>
          <w:szCs w:val="23"/>
          <w:lang w:eastAsia="en-GB"/>
        </w:rPr>
      </w:pPr>
    </w:p>
    <w:p w:rsidR="00B70792" w:rsidRPr="002859A4" w:rsidRDefault="00B70792" w:rsidP="00B70792">
      <w:pPr>
        <w:jc w:val="both"/>
        <w:rPr>
          <w:rFonts w:ascii="Times New Roman" w:hAnsi="Times New Roman"/>
          <w:color w:val="000000" w:themeColor="text1"/>
          <w:sz w:val="23"/>
          <w:szCs w:val="23"/>
        </w:rPr>
      </w:pPr>
      <w:r w:rsidRPr="002859A4">
        <w:rPr>
          <w:rFonts w:ascii="Times New Roman" w:hAnsi="Times New Roman"/>
          <w:color w:val="000000" w:themeColor="text1"/>
          <w:sz w:val="23"/>
          <w:szCs w:val="23"/>
        </w:rPr>
        <w:t xml:space="preserve">Appropriate application of the REMIT regime would be much more effective for fast, efficient, full and equal access to information </w:t>
      </w:r>
      <w:r w:rsidRPr="002859A4">
        <w:rPr>
          <w:rFonts w:ascii="Times New Roman" w:hAnsi="Times New Roman"/>
          <w:bCs/>
          <w:color w:val="000000" w:themeColor="text1"/>
          <w:sz w:val="23"/>
          <w:szCs w:val="23"/>
          <w:lang w:eastAsia="en-GB"/>
        </w:rPr>
        <w:t>rather than establishment of a paral</w:t>
      </w:r>
      <w:r>
        <w:rPr>
          <w:rFonts w:ascii="Times New Roman" w:hAnsi="Times New Roman"/>
          <w:bCs/>
          <w:color w:val="000000" w:themeColor="text1"/>
          <w:sz w:val="23"/>
          <w:szCs w:val="23"/>
          <w:lang w:eastAsia="en-GB"/>
        </w:rPr>
        <w:t>lel reporting regime under MAR.</w:t>
      </w:r>
    </w:p>
    <w:p w:rsidR="00B70792" w:rsidRDefault="00B70792" w:rsidP="00B70792">
      <w:pPr>
        <w:jc w:val="both"/>
        <w:rPr>
          <w:rFonts w:ascii="Times New Roman" w:hAnsi="Times New Roman"/>
          <w:color w:val="000000" w:themeColor="text1"/>
          <w:sz w:val="23"/>
          <w:szCs w:val="23"/>
        </w:rPr>
      </w:pPr>
      <w:r w:rsidRPr="002859A4">
        <w:rPr>
          <w:rFonts w:ascii="Times New Roman" w:hAnsi="Times New Roman"/>
          <w:color w:val="000000" w:themeColor="text1"/>
          <w:sz w:val="23"/>
          <w:szCs w:val="23"/>
        </w:rPr>
        <w:t>Moreover, mandating the publication of information already published under REMIT, would lead to the duplication of disclosures and counter Recital 51of MAR.</w:t>
      </w:r>
    </w:p>
    <w:p w:rsidR="00B70792" w:rsidRPr="002859A4" w:rsidRDefault="00B70792" w:rsidP="00B70792">
      <w:pPr>
        <w:jc w:val="both"/>
        <w:rPr>
          <w:rFonts w:ascii="Times New Roman" w:hAnsi="Times New Roman"/>
          <w:color w:val="000000" w:themeColor="text1"/>
          <w:sz w:val="23"/>
          <w:szCs w:val="23"/>
        </w:rPr>
      </w:pPr>
    </w:p>
    <w:p w:rsidR="00B70792" w:rsidRPr="002859A4" w:rsidRDefault="00B70792" w:rsidP="00B70792">
      <w:pPr>
        <w:jc w:val="both"/>
        <w:rPr>
          <w:rFonts w:ascii="Times New Roman" w:hAnsi="Times New Roman"/>
          <w:color w:val="000000" w:themeColor="text1"/>
          <w:sz w:val="23"/>
          <w:szCs w:val="23"/>
        </w:rPr>
      </w:pPr>
      <w:r w:rsidRPr="002859A4">
        <w:rPr>
          <w:rFonts w:ascii="Times New Roman" w:hAnsi="Times New Roman"/>
          <w:color w:val="000000" w:themeColor="text1"/>
          <w:sz w:val="23"/>
          <w:szCs w:val="23"/>
        </w:rPr>
        <w:t xml:space="preserve">We very strongly support the approach based on Recital 51 of MAR, which states: </w:t>
      </w:r>
    </w:p>
    <w:p w:rsidR="00B70792" w:rsidRPr="002859A4" w:rsidRDefault="00B70792" w:rsidP="00B70792">
      <w:pPr>
        <w:jc w:val="both"/>
        <w:rPr>
          <w:rFonts w:ascii="Times New Roman" w:hAnsi="Times New Roman"/>
          <w:color w:val="000000" w:themeColor="text1"/>
          <w:sz w:val="23"/>
          <w:szCs w:val="23"/>
        </w:rPr>
      </w:pPr>
      <w:r>
        <w:rPr>
          <w:rFonts w:ascii="Times New Roman" w:hAnsi="Times New Roman"/>
          <w:color w:val="000000" w:themeColor="text1"/>
          <w:sz w:val="23"/>
          <w:szCs w:val="23"/>
        </w:rPr>
        <w:t>‘</w:t>
      </w:r>
      <w:r w:rsidRPr="002859A4">
        <w:rPr>
          <w:rFonts w:ascii="Times New Roman" w:hAnsi="Times New Roman"/>
          <w:color w:val="000000" w:themeColor="text1"/>
          <w:sz w:val="23"/>
          <w:szCs w:val="23"/>
        </w:rPr>
        <w:t>Where emission allowance market participants already comply with equivalent inside information disclosure requirements, notably pursuant to Regulation (EU) No 1227/2011 [REMIT], the obligation to disclose inside information concerning emission allowances should not lead to the duplication of mandatory disclosures with substantially the same content</w:t>
      </w:r>
      <w:r>
        <w:rPr>
          <w:rFonts w:ascii="Times New Roman" w:hAnsi="Times New Roman"/>
          <w:color w:val="000000" w:themeColor="text1"/>
          <w:sz w:val="23"/>
          <w:szCs w:val="23"/>
        </w:rPr>
        <w:t>’</w:t>
      </w:r>
      <w:r w:rsidRPr="002859A4">
        <w:rPr>
          <w:rFonts w:ascii="Times New Roman" w:hAnsi="Times New Roman"/>
          <w:color w:val="000000" w:themeColor="text1"/>
          <w:sz w:val="23"/>
          <w:szCs w:val="23"/>
        </w:rPr>
        <w:t>.</w:t>
      </w:r>
    </w:p>
    <w:permEnd w:id="530591023"/>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463889" w:rsidRDefault="00B70792" w:rsidP="00C8677B">
      <w:pPr>
        <w:rPr>
          <w:rFonts w:ascii="Times New Roman" w:hAnsi="Times New Roman"/>
          <w:color w:val="000000" w:themeColor="text1"/>
          <w:sz w:val="23"/>
          <w:szCs w:val="23"/>
        </w:rPr>
      </w:pPr>
      <w:permStart w:id="2094555922" w:edGrp="everyone"/>
      <w:r w:rsidRPr="002859A4">
        <w:rPr>
          <w:rFonts w:ascii="Times New Roman" w:hAnsi="Times New Roman"/>
          <w:color w:val="000000" w:themeColor="text1"/>
          <w:sz w:val="23"/>
          <w:szCs w:val="23"/>
        </w:rPr>
        <w:t>The practical implication of the information disclosure regime proposed by ESMA in the situation at question is double reporting, to which we are strongly opposed.</w:t>
      </w:r>
      <w:r>
        <w:rPr>
          <w:rFonts w:ascii="Times New Roman" w:hAnsi="Times New Roman"/>
          <w:color w:val="000000" w:themeColor="text1"/>
          <w:sz w:val="23"/>
          <w:szCs w:val="23"/>
        </w:rPr>
        <w:t xml:space="preserve"> </w:t>
      </w:r>
      <w:r w:rsidRPr="002859A4">
        <w:rPr>
          <w:rFonts w:ascii="Times New Roman" w:hAnsi="Times New Roman"/>
          <w:color w:val="000000" w:themeColor="text1"/>
          <w:sz w:val="23"/>
          <w:szCs w:val="23"/>
        </w:rPr>
        <w:t>We would like to reiterate here the importance of Recital 51.</w:t>
      </w:r>
    </w:p>
    <w:permEnd w:id="2094555922"/>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171719" w:rsidRPr="002859A4" w:rsidRDefault="00171719" w:rsidP="00171719">
      <w:pPr>
        <w:jc w:val="both"/>
        <w:rPr>
          <w:rFonts w:ascii="Times New Roman" w:hAnsi="Times New Roman"/>
          <w:color w:val="000000" w:themeColor="text1"/>
          <w:sz w:val="23"/>
          <w:szCs w:val="23"/>
        </w:rPr>
      </w:pPr>
      <w:permStart w:id="100347152" w:edGrp="everyone"/>
      <w:r w:rsidRPr="002859A4">
        <w:rPr>
          <w:rFonts w:ascii="Times New Roman" w:hAnsi="Times New Roman"/>
          <w:color w:val="000000" w:themeColor="text1"/>
          <w:sz w:val="23"/>
          <w:szCs w:val="23"/>
        </w:rPr>
        <w:t>In general</w:t>
      </w:r>
      <w:r w:rsidRPr="002859A4">
        <w:rPr>
          <w:rFonts w:ascii="Times New Roman" w:hAnsi="Times New Roman"/>
          <w:i/>
          <w:color w:val="000000" w:themeColor="text1"/>
          <w:sz w:val="23"/>
          <w:szCs w:val="23"/>
        </w:rPr>
        <w:t xml:space="preserve"> </w:t>
      </w:r>
      <w:r w:rsidRPr="002859A4">
        <w:rPr>
          <w:rFonts w:ascii="Times New Roman" w:hAnsi="Times New Roman"/>
          <w:color w:val="000000" w:themeColor="text1"/>
          <w:sz w:val="23"/>
          <w:szCs w:val="23"/>
        </w:rPr>
        <w:t>we agree. However, the TS should not make the provision of an explanation to the national competent authority mandatory. By stating that ‘Member States may provide that a record of such an explanation is to be provided only upon the request of the competent authority’ Article 17.4 of the Level 1 text leaves this matter to the exclusive discretion of Member States. The current draft of the TS might be read as consistent with such interpretation, but this is not entirely clear. We would we</w:t>
      </w:r>
      <w:r w:rsidRPr="002859A4">
        <w:rPr>
          <w:rFonts w:ascii="Times New Roman" w:hAnsi="Times New Roman"/>
          <w:color w:val="000000" w:themeColor="text1"/>
          <w:sz w:val="23"/>
          <w:szCs w:val="23"/>
        </w:rPr>
        <w:t>l</w:t>
      </w:r>
      <w:r w:rsidRPr="002859A4">
        <w:rPr>
          <w:rFonts w:ascii="Times New Roman" w:hAnsi="Times New Roman"/>
          <w:color w:val="000000" w:themeColor="text1"/>
          <w:sz w:val="23"/>
          <w:szCs w:val="23"/>
        </w:rPr>
        <w:t>come more clarity about the need for further national legislation or guidance on this point.</w:t>
      </w:r>
    </w:p>
    <w:permEnd w:id="100347152"/>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171719" w:rsidRDefault="00171719" w:rsidP="00C8677B">
      <w:pPr>
        <w:rPr>
          <w:rFonts w:ascii="Times New Roman" w:hAnsi="Times New Roman"/>
          <w:color w:val="000000" w:themeColor="text1"/>
          <w:sz w:val="23"/>
          <w:szCs w:val="23"/>
        </w:rPr>
      </w:pPr>
      <w:permStart w:id="1874471654" w:edGrp="everyone"/>
      <w:r w:rsidRPr="002859A4">
        <w:rPr>
          <w:rFonts w:ascii="Times New Roman" w:hAnsi="Times New Roman"/>
          <w:color w:val="000000" w:themeColor="text1"/>
          <w:sz w:val="23"/>
          <w:szCs w:val="23"/>
        </w:rPr>
        <w:t>We agree.</w:t>
      </w:r>
    </w:p>
    <w:permEnd w:id="187447165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F546C8" w:rsidRDefault="00F546C8" w:rsidP="00F546C8">
      <w:pPr>
        <w:jc w:val="both"/>
        <w:rPr>
          <w:rFonts w:ascii="Times New Roman" w:hAnsi="Times New Roman"/>
          <w:sz w:val="23"/>
          <w:szCs w:val="23"/>
        </w:rPr>
      </w:pPr>
      <w:permStart w:id="1522664176" w:edGrp="everyone"/>
      <w:r w:rsidRPr="00E52415">
        <w:rPr>
          <w:rFonts w:ascii="Times New Roman" w:hAnsi="Times New Roman"/>
          <w:sz w:val="23"/>
          <w:szCs w:val="23"/>
        </w:rPr>
        <w:t xml:space="preserve">We would not support the proposal, in particular regarding the inclusion of personal details such as national identification numbers (eg passport numbers), birth place, surname of birth, home address, mobile numbers and personal e-mail addresses in the insider list. </w:t>
      </w:r>
    </w:p>
    <w:p w:rsidR="00F546C8" w:rsidRDefault="00F546C8" w:rsidP="00F546C8">
      <w:pPr>
        <w:jc w:val="both"/>
        <w:rPr>
          <w:rFonts w:ascii="Times New Roman" w:hAnsi="Times New Roman"/>
          <w:sz w:val="23"/>
          <w:szCs w:val="23"/>
        </w:rPr>
      </w:pPr>
    </w:p>
    <w:p w:rsidR="00F546C8" w:rsidRDefault="00F546C8" w:rsidP="00F546C8">
      <w:pPr>
        <w:jc w:val="both"/>
        <w:rPr>
          <w:rFonts w:ascii="Times New Roman" w:hAnsi="Times New Roman"/>
          <w:sz w:val="23"/>
          <w:szCs w:val="23"/>
        </w:rPr>
      </w:pPr>
      <w:r w:rsidRPr="00E52415">
        <w:rPr>
          <w:rFonts w:ascii="Times New Roman" w:hAnsi="Times New Roman"/>
          <w:sz w:val="23"/>
          <w:szCs w:val="23"/>
        </w:rPr>
        <w:t>The inclusion of personal details in the insider list seems disproportionate and inadequate to the task of protecting the integrity of financial market as this information could be rapidly made available upon request.</w:t>
      </w:r>
      <w:r>
        <w:rPr>
          <w:rFonts w:ascii="Times New Roman" w:hAnsi="Times New Roman"/>
          <w:sz w:val="23"/>
          <w:szCs w:val="23"/>
        </w:rPr>
        <w:t xml:space="preserve"> </w:t>
      </w:r>
      <w:r w:rsidRPr="00B07483">
        <w:rPr>
          <w:rFonts w:ascii="Times New Roman" w:hAnsi="Times New Roman"/>
          <w:sz w:val="23"/>
          <w:szCs w:val="23"/>
        </w:rPr>
        <w:t>In particular, we would like to underline the there is a need to clearly distinguish b</w:t>
      </w:r>
      <w:r w:rsidRPr="00B07483">
        <w:rPr>
          <w:rFonts w:ascii="Times New Roman" w:hAnsi="Times New Roman"/>
          <w:sz w:val="23"/>
          <w:szCs w:val="23"/>
        </w:rPr>
        <w:t>e</w:t>
      </w:r>
      <w:r w:rsidRPr="00B07483">
        <w:rPr>
          <w:rFonts w:ascii="Times New Roman" w:hAnsi="Times New Roman"/>
          <w:sz w:val="23"/>
          <w:szCs w:val="23"/>
        </w:rPr>
        <w:t>tween the requirements to keep a list that enables identification of the relevant person and then the subsequent ability to identify an individual to a regulator by an issuer.  We do not think the detail needed for the later should or needs to be kept on an insider list as a matter of course.  It does howe</w:t>
      </w:r>
      <w:r w:rsidRPr="00B07483">
        <w:rPr>
          <w:rFonts w:ascii="Times New Roman" w:hAnsi="Times New Roman"/>
          <w:sz w:val="23"/>
          <w:szCs w:val="23"/>
        </w:rPr>
        <w:t>v</w:t>
      </w:r>
      <w:r w:rsidRPr="00B07483">
        <w:rPr>
          <w:rFonts w:ascii="Times New Roman" w:hAnsi="Times New Roman"/>
          <w:sz w:val="23"/>
          <w:szCs w:val="23"/>
        </w:rPr>
        <w:t>er need to be available to a regulator on request.</w:t>
      </w:r>
    </w:p>
    <w:p w:rsidR="00F546C8" w:rsidRPr="00E52415" w:rsidRDefault="00F546C8" w:rsidP="00F546C8">
      <w:pPr>
        <w:jc w:val="both"/>
        <w:rPr>
          <w:rFonts w:ascii="Times New Roman" w:hAnsi="Times New Roman"/>
          <w:sz w:val="23"/>
          <w:szCs w:val="23"/>
        </w:rPr>
      </w:pPr>
    </w:p>
    <w:p w:rsidR="00F546C8" w:rsidRDefault="00F546C8" w:rsidP="00F546C8">
      <w:pPr>
        <w:jc w:val="both"/>
        <w:rPr>
          <w:rFonts w:ascii="Times New Roman" w:hAnsi="Times New Roman"/>
          <w:sz w:val="23"/>
          <w:szCs w:val="23"/>
        </w:rPr>
      </w:pPr>
      <w:r w:rsidRPr="00E52415">
        <w:rPr>
          <w:rFonts w:ascii="Times New Roman" w:hAnsi="Times New Roman"/>
          <w:sz w:val="23"/>
          <w:szCs w:val="23"/>
        </w:rPr>
        <w:t xml:space="preserve">Providing the provision of the proposed amount of personal details of employees </w:t>
      </w:r>
      <w:r>
        <w:rPr>
          <w:rFonts w:ascii="Times New Roman" w:hAnsi="Times New Roman"/>
          <w:sz w:val="23"/>
          <w:szCs w:val="23"/>
        </w:rPr>
        <w:t xml:space="preserve">in insider lists </w:t>
      </w:r>
      <w:r w:rsidRPr="00E52415">
        <w:rPr>
          <w:rFonts w:ascii="Times New Roman" w:hAnsi="Times New Roman"/>
          <w:sz w:val="23"/>
          <w:szCs w:val="23"/>
        </w:rPr>
        <w:t xml:space="preserve">would raise privacy concerns under the EC Data Protection Directive (1995/46) and consequently legal uncertainties and compliance risks.  </w:t>
      </w:r>
    </w:p>
    <w:p w:rsidR="00F546C8" w:rsidRDefault="00F546C8" w:rsidP="00F546C8">
      <w:pPr>
        <w:jc w:val="both"/>
        <w:rPr>
          <w:rFonts w:ascii="Times New Roman" w:hAnsi="Times New Roman"/>
          <w:sz w:val="23"/>
          <w:szCs w:val="23"/>
        </w:rPr>
      </w:pPr>
    </w:p>
    <w:p w:rsidR="00F546C8" w:rsidRDefault="00F546C8" w:rsidP="00F546C8">
      <w:pPr>
        <w:jc w:val="both"/>
        <w:rPr>
          <w:rFonts w:ascii="Times New Roman" w:hAnsi="Times New Roman"/>
          <w:sz w:val="23"/>
          <w:szCs w:val="23"/>
        </w:rPr>
      </w:pPr>
      <w:r>
        <w:rPr>
          <w:rFonts w:ascii="Times New Roman" w:hAnsi="Times New Roman"/>
          <w:sz w:val="23"/>
          <w:szCs w:val="23"/>
        </w:rPr>
        <w:t>Moreover, i</w:t>
      </w:r>
      <w:r w:rsidRPr="00E52415">
        <w:rPr>
          <w:rFonts w:ascii="Times New Roman" w:hAnsi="Times New Roman"/>
          <w:sz w:val="23"/>
          <w:szCs w:val="23"/>
        </w:rPr>
        <w:t>ndividuals acting with the intent of executing insider trading or market manipulation would easily be able to circumvent these controls; therefore we are questioning the value of this information for an effective detecting of manipulative behaviour.</w:t>
      </w:r>
    </w:p>
    <w:p w:rsidR="00F546C8" w:rsidRPr="00E52415" w:rsidRDefault="00F546C8" w:rsidP="00F546C8">
      <w:pPr>
        <w:jc w:val="both"/>
        <w:rPr>
          <w:rFonts w:ascii="Times New Roman" w:hAnsi="Times New Roman"/>
          <w:sz w:val="23"/>
          <w:szCs w:val="23"/>
        </w:rPr>
      </w:pPr>
    </w:p>
    <w:p w:rsidR="00F546C8" w:rsidRDefault="00F546C8" w:rsidP="00F546C8">
      <w:pPr>
        <w:jc w:val="both"/>
        <w:rPr>
          <w:rFonts w:ascii="Times New Roman" w:hAnsi="Times New Roman"/>
          <w:sz w:val="23"/>
          <w:szCs w:val="23"/>
        </w:rPr>
      </w:pPr>
      <w:r>
        <w:rPr>
          <w:rFonts w:ascii="Times New Roman" w:hAnsi="Times New Roman"/>
          <w:sz w:val="23"/>
          <w:szCs w:val="23"/>
        </w:rPr>
        <w:t>Furthermore, w</w:t>
      </w:r>
      <w:r w:rsidRPr="00E52415">
        <w:rPr>
          <w:rFonts w:ascii="Times New Roman" w:hAnsi="Times New Roman"/>
          <w:sz w:val="23"/>
          <w:szCs w:val="23"/>
        </w:rPr>
        <w:t xml:space="preserve">e believe that the initial aim of the proposals was to simplify and ease the burden on the companies, and the detailed requirements </w:t>
      </w:r>
      <w:r>
        <w:rPr>
          <w:rFonts w:ascii="Times New Roman" w:hAnsi="Times New Roman"/>
          <w:sz w:val="23"/>
          <w:szCs w:val="23"/>
        </w:rPr>
        <w:t xml:space="preserve">on insider lists </w:t>
      </w:r>
      <w:r w:rsidRPr="00E52415">
        <w:rPr>
          <w:rFonts w:ascii="Times New Roman" w:hAnsi="Times New Roman"/>
          <w:sz w:val="23"/>
          <w:szCs w:val="23"/>
        </w:rPr>
        <w:t>may challenge the realisation of this objective, without effectively helping with detection of market abuse.</w:t>
      </w:r>
    </w:p>
    <w:permEnd w:id="1522664176"/>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1265176191" w:edGrp="everyone"/>
      <w:r>
        <w:t>TYPE YOUR TEXT HERE</w:t>
      </w:r>
    </w:p>
    <w:permEnd w:id="1265176191"/>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778251968" w:edGrp="everyone"/>
      <w:r>
        <w:t>TYPE YOUR TEXT HERE</w:t>
      </w:r>
    </w:p>
    <w:permEnd w:id="778251968"/>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470AAB" w:rsidRDefault="00470AAB" w:rsidP="00470AAB">
      <w:pPr>
        <w:jc w:val="both"/>
        <w:rPr>
          <w:rFonts w:ascii="Times New Roman" w:hAnsi="Times New Roman"/>
          <w:sz w:val="23"/>
          <w:szCs w:val="23"/>
        </w:rPr>
      </w:pPr>
      <w:permStart w:id="854281028" w:edGrp="everyone"/>
      <w:r w:rsidRPr="0040498A">
        <w:rPr>
          <w:rFonts w:ascii="Times New Roman" w:hAnsi="Times New Roman"/>
          <w:sz w:val="23"/>
          <w:szCs w:val="23"/>
        </w:rPr>
        <w:t>We welcome the requirement to use the data standard defined under MiFIR implementing texts</w:t>
      </w:r>
      <w:r>
        <w:rPr>
          <w:rFonts w:ascii="Times New Roman" w:hAnsi="Times New Roman"/>
          <w:sz w:val="23"/>
          <w:szCs w:val="23"/>
        </w:rPr>
        <w:t xml:space="preserve"> as well as international standards such as the Legal Entity Identifier if applicable and </w:t>
      </w:r>
      <w:r w:rsidRPr="00725FD4">
        <w:rPr>
          <w:rFonts w:ascii="Times New Roman" w:hAnsi="Times New Roman"/>
          <w:sz w:val="23"/>
          <w:szCs w:val="23"/>
        </w:rPr>
        <w:t xml:space="preserve">available. </w:t>
      </w:r>
    </w:p>
    <w:p w:rsidR="00C8677B" w:rsidRDefault="00470AAB" w:rsidP="00470AAB">
      <w:r w:rsidRPr="00725FD4">
        <w:rPr>
          <w:rFonts w:ascii="Times New Roman" w:hAnsi="Times New Roman"/>
          <w:sz w:val="23"/>
          <w:szCs w:val="23"/>
        </w:rPr>
        <w:t xml:space="preserve">However, </w:t>
      </w:r>
      <w:r>
        <w:rPr>
          <w:rFonts w:ascii="Times New Roman" w:hAnsi="Times New Roman"/>
          <w:sz w:val="23"/>
          <w:szCs w:val="23"/>
        </w:rPr>
        <w:t>we believe the template proposed by ESMA requires too granular information to be provi</w:t>
      </w:r>
      <w:r>
        <w:rPr>
          <w:rFonts w:ascii="Times New Roman" w:hAnsi="Times New Roman"/>
          <w:sz w:val="23"/>
          <w:szCs w:val="23"/>
        </w:rPr>
        <w:t>d</w:t>
      </w:r>
      <w:r>
        <w:rPr>
          <w:rFonts w:ascii="Times New Roman" w:hAnsi="Times New Roman"/>
          <w:sz w:val="23"/>
          <w:szCs w:val="23"/>
        </w:rPr>
        <w:t xml:space="preserve">ed and </w:t>
      </w:r>
      <w:r w:rsidRPr="00725FD4">
        <w:rPr>
          <w:rFonts w:ascii="Times New Roman" w:hAnsi="Times New Roman"/>
          <w:sz w:val="23"/>
          <w:szCs w:val="23"/>
        </w:rPr>
        <w:t xml:space="preserve">we do not think the inclusion of the national ID number </w:t>
      </w:r>
      <w:r>
        <w:rPr>
          <w:rFonts w:ascii="Times New Roman" w:hAnsi="Times New Roman"/>
          <w:sz w:val="23"/>
          <w:szCs w:val="23"/>
        </w:rPr>
        <w:t xml:space="preserve">will </w:t>
      </w:r>
      <w:r w:rsidRPr="00725FD4">
        <w:rPr>
          <w:rFonts w:ascii="Times New Roman" w:hAnsi="Times New Roman"/>
          <w:sz w:val="23"/>
          <w:szCs w:val="23"/>
        </w:rPr>
        <w:t>add any information to the info</w:t>
      </w:r>
      <w:r w:rsidRPr="00725FD4">
        <w:rPr>
          <w:rFonts w:ascii="Times New Roman" w:hAnsi="Times New Roman"/>
          <w:sz w:val="23"/>
          <w:szCs w:val="23"/>
        </w:rPr>
        <w:t>r</w:t>
      </w:r>
      <w:r w:rsidRPr="00725FD4">
        <w:rPr>
          <w:rFonts w:ascii="Times New Roman" w:hAnsi="Times New Roman"/>
          <w:sz w:val="23"/>
          <w:szCs w:val="23"/>
        </w:rPr>
        <w:t>mation alr</w:t>
      </w:r>
      <w:r>
        <w:rPr>
          <w:rFonts w:ascii="Times New Roman" w:hAnsi="Times New Roman"/>
          <w:sz w:val="23"/>
          <w:szCs w:val="23"/>
        </w:rPr>
        <w:t>eady required to be included (i</w:t>
      </w:r>
      <w:r w:rsidRPr="00725FD4">
        <w:rPr>
          <w:rFonts w:ascii="Times New Roman" w:hAnsi="Times New Roman"/>
          <w:sz w:val="23"/>
          <w:szCs w:val="23"/>
        </w:rPr>
        <w:t>e</w:t>
      </w:r>
      <w:r>
        <w:rPr>
          <w:rFonts w:ascii="Times New Roman" w:hAnsi="Times New Roman"/>
          <w:sz w:val="23"/>
          <w:szCs w:val="23"/>
        </w:rPr>
        <w:t xml:space="preserve">, name, address, telephone number </w:t>
      </w:r>
      <w:proofErr w:type="spellStart"/>
      <w:r>
        <w:rPr>
          <w:rFonts w:ascii="Times New Roman" w:hAnsi="Times New Roman"/>
          <w:sz w:val="23"/>
          <w:szCs w:val="23"/>
        </w:rPr>
        <w:t>etc</w:t>
      </w:r>
      <w:proofErr w:type="spellEnd"/>
      <w:r w:rsidRPr="00725FD4">
        <w:rPr>
          <w:rFonts w:ascii="Times New Roman" w:hAnsi="Times New Roman"/>
          <w:sz w:val="23"/>
          <w:szCs w:val="23"/>
        </w:rPr>
        <w:t>)</w:t>
      </w:r>
      <w:r>
        <w:rPr>
          <w:rFonts w:ascii="Times New Roman" w:hAnsi="Times New Roman"/>
          <w:sz w:val="23"/>
          <w:szCs w:val="23"/>
        </w:rPr>
        <w:t>.</w:t>
      </w:r>
    </w:p>
    <w:permEnd w:id="85428102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470AAB" w:rsidRDefault="00470AAB" w:rsidP="00470AAB">
      <w:pPr>
        <w:jc w:val="both"/>
        <w:rPr>
          <w:rFonts w:ascii="Times New Roman" w:hAnsi="Times New Roman"/>
          <w:sz w:val="23"/>
          <w:szCs w:val="23"/>
        </w:rPr>
      </w:pPr>
      <w:permStart w:id="1000550150" w:edGrp="everyone"/>
      <w:r>
        <w:rPr>
          <w:rFonts w:ascii="Times New Roman" w:hAnsi="Times New Roman"/>
          <w:sz w:val="23"/>
          <w:szCs w:val="23"/>
        </w:rPr>
        <w:t>We support the AFME response on this section.</w:t>
      </w:r>
    </w:p>
    <w:permEnd w:id="1000550150"/>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470AAB" w:rsidRDefault="00470AAB" w:rsidP="00470AAB">
      <w:pPr>
        <w:jc w:val="both"/>
        <w:rPr>
          <w:rFonts w:ascii="Times New Roman" w:hAnsi="Times New Roman"/>
          <w:sz w:val="23"/>
          <w:szCs w:val="23"/>
        </w:rPr>
      </w:pPr>
      <w:permStart w:id="1214256594" w:edGrp="everyone"/>
      <w:r>
        <w:rPr>
          <w:rFonts w:ascii="Times New Roman" w:hAnsi="Times New Roman"/>
          <w:sz w:val="23"/>
          <w:szCs w:val="23"/>
        </w:rPr>
        <w:t>We support the AFME response on this section.</w:t>
      </w:r>
    </w:p>
    <w:permEnd w:id="1214256594"/>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470AAB" w:rsidRDefault="00470AAB" w:rsidP="00470AAB">
      <w:pPr>
        <w:jc w:val="both"/>
        <w:rPr>
          <w:rFonts w:ascii="Times New Roman" w:hAnsi="Times New Roman"/>
          <w:sz w:val="23"/>
          <w:szCs w:val="23"/>
        </w:rPr>
      </w:pPr>
      <w:permStart w:id="1277646068" w:edGrp="everyone"/>
      <w:r>
        <w:rPr>
          <w:rFonts w:ascii="Times New Roman" w:hAnsi="Times New Roman"/>
          <w:sz w:val="23"/>
          <w:szCs w:val="23"/>
        </w:rPr>
        <w:t>We support the AFME response on this section.</w:t>
      </w:r>
    </w:p>
    <w:permEnd w:id="1277646068"/>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470AAB" w:rsidRDefault="00470AAB" w:rsidP="00470AAB">
      <w:pPr>
        <w:jc w:val="both"/>
        <w:rPr>
          <w:rFonts w:ascii="Times New Roman" w:hAnsi="Times New Roman"/>
          <w:sz w:val="23"/>
          <w:szCs w:val="23"/>
        </w:rPr>
      </w:pPr>
      <w:permStart w:id="1194097" w:edGrp="everyone"/>
      <w:r>
        <w:rPr>
          <w:rFonts w:ascii="Times New Roman" w:hAnsi="Times New Roman"/>
          <w:sz w:val="23"/>
          <w:szCs w:val="23"/>
        </w:rPr>
        <w:t>We support the AFME response on this section.</w:t>
      </w:r>
    </w:p>
    <w:permEnd w:id="1194097"/>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470AAB" w:rsidRDefault="00470AAB" w:rsidP="00470AAB">
      <w:pPr>
        <w:jc w:val="both"/>
        <w:rPr>
          <w:rFonts w:ascii="Times New Roman" w:hAnsi="Times New Roman"/>
          <w:sz w:val="23"/>
          <w:szCs w:val="23"/>
        </w:rPr>
      </w:pPr>
      <w:permStart w:id="10380304" w:edGrp="everyone"/>
      <w:r>
        <w:rPr>
          <w:rFonts w:ascii="Times New Roman" w:hAnsi="Times New Roman"/>
          <w:sz w:val="23"/>
          <w:szCs w:val="23"/>
        </w:rPr>
        <w:t>We support the AFME response on this section.</w:t>
      </w:r>
    </w:p>
    <w:permEnd w:id="10380304"/>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470AAB" w:rsidRDefault="00470AAB" w:rsidP="00470AAB">
      <w:pPr>
        <w:jc w:val="both"/>
        <w:rPr>
          <w:rFonts w:ascii="Times New Roman" w:hAnsi="Times New Roman"/>
          <w:sz w:val="23"/>
          <w:szCs w:val="23"/>
        </w:rPr>
      </w:pPr>
      <w:permStart w:id="1763335006" w:edGrp="everyone"/>
      <w:r>
        <w:rPr>
          <w:rFonts w:ascii="Times New Roman" w:hAnsi="Times New Roman"/>
          <w:sz w:val="23"/>
          <w:szCs w:val="23"/>
        </w:rPr>
        <w:t>We support the AFME response on this section.</w:t>
      </w:r>
    </w:p>
    <w:permEnd w:id="1763335006"/>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470AAB" w:rsidRDefault="00470AAB" w:rsidP="00470AAB">
      <w:pPr>
        <w:jc w:val="both"/>
        <w:rPr>
          <w:rFonts w:ascii="Times New Roman" w:hAnsi="Times New Roman"/>
          <w:sz w:val="23"/>
          <w:szCs w:val="23"/>
        </w:rPr>
      </w:pPr>
      <w:permStart w:id="781801085" w:edGrp="everyone"/>
      <w:r>
        <w:rPr>
          <w:rFonts w:ascii="Times New Roman" w:hAnsi="Times New Roman"/>
          <w:sz w:val="23"/>
          <w:szCs w:val="23"/>
        </w:rPr>
        <w:t>We support the AFME response on this section.</w:t>
      </w:r>
    </w:p>
    <w:permEnd w:id="781801085"/>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470AAB" w:rsidRDefault="00470AAB" w:rsidP="00470AAB">
      <w:pPr>
        <w:jc w:val="both"/>
        <w:rPr>
          <w:rFonts w:ascii="Times New Roman" w:hAnsi="Times New Roman"/>
          <w:sz w:val="23"/>
          <w:szCs w:val="23"/>
        </w:rPr>
      </w:pPr>
      <w:permStart w:id="1323788780" w:edGrp="everyone"/>
      <w:r>
        <w:rPr>
          <w:rFonts w:ascii="Times New Roman" w:hAnsi="Times New Roman"/>
          <w:sz w:val="23"/>
          <w:szCs w:val="23"/>
        </w:rPr>
        <w:t>We support the AFME response on this section.</w:t>
      </w:r>
    </w:p>
    <w:permEnd w:id="1323788780"/>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470AAB" w:rsidRDefault="00470AAB" w:rsidP="00470AAB">
      <w:pPr>
        <w:jc w:val="both"/>
        <w:rPr>
          <w:rFonts w:ascii="Times New Roman" w:hAnsi="Times New Roman"/>
          <w:sz w:val="23"/>
          <w:szCs w:val="23"/>
        </w:rPr>
      </w:pPr>
      <w:permStart w:id="290991507" w:edGrp="everyone"/>
      <w:r>
        <w:rPr>
          <w:rFonts w:ascii="Times New Roman" w:hAnsi="Times New Roman"/>
          <w:sz w:val="23"/>
          <w:szCs w:val="23"/>
        </w:rPr>
        <w:t>We support the AFME response on this section.</w:t>
      </w:r>
    </w:p>
    <w:p w:rsidR="00C8677B" w:rsidRDefault="00C8677B" w:rsidP="00C8677B"/>
    <w:permEnd w:id="290991507"/>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470AAB" w:rsidRDefault="00470AAB" w:rsidP="00470AAB">
      <w:pPr>
        <w:jc w:val="both"/>
        <w:rPr>
          <w:rFonts w:ascii="Times New Roman" w:hAnsi="Times New Roman"/>
          <w:sz w:val="23"/>
          <w:szCs w:val="23"/>
        </w:rPr>
      </w:pPr>
      <w:permStart w:id="993403246" w:edGrp="everyone"/>
      <w:r>
        <w:rPr>
          <w:rFonts w:ascii="Times New Roman" w:hAnsi="Times New Roman"/>
          <w:sz w:val="23"/>
          <w:szCs w:val="23"/>
        </w:rPr>
        <w:t>We support the AFME response on this section.</w:t>
      </w:r>
    </w:p>
    <w:p w:rsidR="00C8677B" w:rsidRDefault="00C8677B" w:rsidP="00C8677B">
      <w:bookmarkStart w:id="4" w:name="_GoBack"/>
      <w:bookmarkEnd w:id="4"/>
      <w:permEnd w:id="993403246"/>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9"/>
      <w:headerReference w:type="first" r:id="rId20"/>
      <w:footerReference w:type="first" r:id="rId21"/>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470AAB">
            <w:rPr>
              <w:noProof/>
            </w:rPr>
            <w:t>24</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B45"/>
    <w:multiLevelType w:val="hybridMultilevel"/>
    <w:tmpl w:val="D61693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8C46AEF"/>
    <w:multiLevelType w:val="hybridMultilevel"/>
    <w:tmpl w:val="3DE6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3"/>
  </w:num>
  <w:num w:numId="5">
    <w:abstractNumId w:val="4"/>
  </w:num>
  <w:num w:numId="6">
    <w:abstractNumId w:val="25"/>
  </w:num>
  <w:num w:numId="7">
    <w:abstractNumId w:val="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0"/>
  </w:num>
  <w:num w:numId="15">
    <w:abstractNumId w:val="22"/>
  </w:num>
  <w:num w:numId="16">
    <w:abstractNumId w:val="11"/>
  </w:num>
  <w:num w:numId="17">
    <w:abstractNumId w:val="2"/>
  </w:num>
  <w:num w:numId="18">
    <w:abstractNumId w:val="15"/>
  </w:num>
  <w:num w:numId="19">
    <w:abstractNumId w:val="16"/>
  </w:num>
  <w:num w:numId="20">
    <w:abstractNumId w:val="18"/>
  </w:num>
  <w:num w:numId="21">
    <w:abstractNumId w:val="26"/>
  </w:num>
  <w:num w:numId="22">
    <w:abstractNumId w:val="34"/>
  </w:num>
  <w:num w:numId="23">
    <w:abstractNumId w:val="24"/>
  </w:num>
  <w:num w:numId="24">
    <w:abstractNumId w:val="10"/>
  </w:num>
  <w:num w:numId="25">
    <w:abstractNumId w:val="29"/>
  </w:num>
  <w:num w:numId="26">
    <w:abstractNumId w:val="28"/>
  </w:num>
  <w:num w:numId="27">
    <w:abstractNumId w:val="20"/>
  </w:num>
  <w:num w:numId="28">
    <w:abstractNumId w:val="33"/>
  </w:num>
  <w:num w:numId="29">
    <w:abstractNumId w:val="36"/>
  </w:num>
  <w:num w:numId="30">
    <w:abstractNumId w:val="8"/>
  </w:num>
  <w:num w:numId="31">
    <w:abstractNumId w:val="5"/>
  </w:num>
  <w:num w:numId="32">
    <w:abstractNumId w:val="21"/>
  </w:num>
  <w:num w:numId="33">
    <w:abstractNumId w:val="3"/>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2"/>
  </w:num>
  <w:num w:numId="38">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537"/>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1719"/>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A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26F"/>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3439"/>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AA9"/>
    <w:rsid w:val="003D0CBF"/>
    <w:rsid w:val="003D0DD6"/>
    <w:rsid w:val="003D4B73"/>
    <w:rsid w:val="003D503B"/>
    <w:rsid w:val="003D605E"/>
    <w:rsid w:val="003D61D1"/>
    <w:rsid w:val="003D6780"/>
    <w:rsid w:val="003D6FCB"/>
    <w:rsid w:val="003D70D1"/>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65DD"/>
    <w:rsid w:val="00460905"/>
    <w:rsid w:val="00461E35"/>
    <w:rsid w:val="004621DB"/>
    <w:rsid w:val="004634A7"/>
    <w:rsid w:val="00463787"/>
    <w:rsid w:val="00463889"/>
    <w:rsid w:val="00466926"/>
    <w:rsid w:val="00466FDA"/>
    <w:rsid w:val="004671D0"/>
    <w:rsid w:val="004674D1"/>
    <w:rsid w:val="00470773"/>
    <w:rsid w:val="00470AAB"/>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1BF4"/>
    <w:rsid w:val="00602253"/>
    <w:rsid w:val="006023E1"/>
    <w:rsid w:val="00605531"/>
    <w:rsid w:val="00607832"/>
    <w:rsid w:val="0060784B"/>
    <w:rsid w:val="0061009E"/>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311"/>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35A"/>
    <w:rsid w:val="00987829"/>
    <w:rsid w:val="00991276"/>
    <w:rsid w:val="009923E7"/>
    <w:rsid w:val="00992697"/>
    <w:rsid w:val="00994621"/>
    <w:rsid w:val="009947FF"/>
    <w:rsid w:val="0099544B"/>
    <w:rsid w:val="009A07A6"/>
    <w:rsid w:val="009A0D56"/>
    <w:rsid w:val="009A29FF"/>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0792"/>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1B1"/>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6DC4"/>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6C8"/>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uiPriority w:val="99"/>
    <w:semiHidden/>
    <w:rsid w:val="002D626F"/>
    <w:pPr>
      <w:spacing w:after="140" w:line="288" w:lineRule="auto"/>
      <w:ind w:left="680"/>
      <w:jc w:val="both"/>
    </w:pPr>
    <w:rPr>
      <w:rFonts w:ascii="Arial" w:eastAsia="Calibri" w:hAnsi="Arial" w:cs="Arial"/>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uiPriority w:val="99"/>
    <w:semiHidden/>
    <w:rsid w:val="002D626F"/>
    <w:pPr>
      <w:spacing w:after="140" w:line="288" w:lineRule="auto"/>
      <w:ind w:left="680"/>
      <w:jc w:val="both"/>
    </w:pPr>
    <w:rPr>
      <w:rFonts w:ascii="Arial" w:eastAsia="Calibri" w:hAnsi="Arial" w:cs="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hyperlink" Target="http://www2.isda.org/mifid/"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sma.europa.eu/system/files/2014-548_discussion_paper_mifid-mifir.pdf" TargetMode="External"/><Relationship Id="rId2" Type="http://schemas.openxmlformats.org/officeDocument/2006/relationships/customXml" Target="../customXml/item2.xml"/><Relationship Id="rId16" Type="http://schemas.openxmlformats.org/officeDocument/2006/relationships/hyperlink" Target="http://www.isda.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esma.europa.eu" TargetMode="Externa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1DBD6-11F5-4560-BF8F-2901A999C50C}">
  <ds:schemaRefs>
    <ds:schemaRef ds:uri="http://schemas.openxmlformats.org/officeDocument/2006/bibliography"/>
  </ds:schemaRefs>
</ds:datastoreItem>
</file>

<file path=customXml/itemProps2.xml><?xml version="1.0" encoding="utf-8"?>
<ds:datastoreItem xmlns:ds="http://schemas.openxmlformats.org/officeDocument/2006/customXml" ds:itemID="{E7160852-129B-4558-B6B0-A0D9434E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6912</Words>
  <Characters>39244</Characters>
  <Application>Microsoft Office Word</Application>
  <DocSecurity>8</DocSecurity>
  <Lines>327</Lines>
  <Paragraphs>92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46064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Julia Rodkiewicz</cp:lastModifiedBy>
  <cp:revision>27</cp:revision>
  <cp:lastPrinted>2014-05-08T15:06:00Z</cp:lastPrinted>
  <dcterms:created xsi:type="dcterms:W3CDTF">2014-08-21T08:13:00Z</dcterms:created>
  <dcterms:modified xsi:type="dcterms:W3CDTF">2014-10-15T20:12:00Z</dcterms:modified>
</cp:coreProperties>
</file>