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8627FF" w:rsidTr="008313E5">
        <w:tc>
          <w:tcPr>
            <w:tcW w:w="3510" w:type="dxa"/>
          </w:tcPr>
          <w:p w:rsidR="008627FF" w:rsidRDefault="008627FF" w:rsidP="008313E5">
            <w:r>
              <w:t>Are you representing an association?</w:t>
            </w:r>
          </w:p>
        </w:tc>
        <w:tc>
          <w:tcPr>
            <w:tcW w:w="6118" w:type="dxa"/>
          </w:tcPr>
          <w:p w:rsidR="008627FF" w:rsidRDefault="00EE7FF9" w:rsidP="008313E5">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1515485511" w:edGrp="everyone"/>
                <w:r w:rsidR="00055D0D">
                  <w:t>No</w:t>
                </w:r>
                <w:permEnd w:id="1515485511"/>
              </w:sdtContent>
            </w:sdt>
          </w:p>
        </w:tc>
      </w:tr>
      <w:tr w:rsidR="008627FF" w:rsidTr="008313E5">
        <w:tc>
          <w:tcPr>
            <w:tcW w:w="3510" w:type="dxa"/>
          </w:tcPr>
          <w:p w:rsidR="008627FF" w:rsidRDefault="008627FF" w:rsidP="008313E5">
            <w:r>
              <w:t>Activity:</w:t>
            </w:r>
          </w:p>
        </w:tc>
        <w:tc>
          <w:tcPr>
            <w:tcW w:w="6118" w:type="dxa"/>
          </w:tcPr>
          <w:p w:rsidR="008627FF" w:rsidRDefault="00EE7FF9" w:rsidP="008313E5">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599655851" w:edGrp="everyone"/>
                <w:r w:rsidR="00055D0D">
                  <w:t>Banking sector</w:t>
                </w:r>
                <w:permEnd w:id="599655851"/>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736916407" w:edGrp="everyone" w:displacedByCustomXml="prev"/>
            <w:tc>
              <w:tcPr>
                <w:tcW w:w="6118" w:type="dxa"/>
              </w:tcPr>
              <w:p w:rsidR="008627FF" w:rsidRDefault="00055D0D" w:rsidP="008313E5">
                <w:r>
                  <w:t>International</w:t>
                </w:r>
              </w:p>
            </w:tc>
            <w:permEnd w:id="1736916407" w:displacedByCustomXml="next"/>
          </w:sdtContent>
        </w:sdt>
      </w:tr>
    </w:tbl>
    <w:p w:rsidR="008627FF" w:rsidRDefault="008627FF" w:rsidP="008627FF">
      <w:pPr>
        <w:pStyle w:val="Heading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8627FF" w:rsidRDefault="00055D0D" w:rsidP="008627FF">
      <w:permStart w:id="648895644" w:edGrp="everyone"/>
      <w:r w:rsidRPr="00055D0D">
        <w:rPr>
          <w:bCs/>
        </w:rPr>
        <w:t>ING welcomes the opportunity given by ESMA to provide input to</w:t>
      </w:r>
      <w:r>
        <w:rPr>
          <w:bCs/>
        </w:rPr>
        <w:t xml:space="preserve"> the</w:t>
      </w:r>
      <w:r w:rsidRPr="00055D0D">
        <w:rPr>
          <w:bCs/>
        </w:rPr>
        <w:t xml:space="preserve"> </w:t>
      </w:r>
      <w:r>
        <w:rPr>
          <w:bCs/>
        </w:rPr>
        <w:t>d</w:t>
      </w:r>
      <w:r w:rsidRPr="00055D0D">
        <w:rPr>
          <w:bCs/>
          <w:lang w:val="en"/>
        </w:rPr>
        <w:t>raft technical standards on the Ma</w:t>
      </w:r>
      <w:r w:rsidRPr="00055D0D">
        <w:rPr>
          <w:bCs/>
          <w:lang w:val="en"/>
        </w:rPr>
        <w:t>r</w:t>
      </w:r>
      <w:r w:rsidRPr="00055D0D">
        <w:rPr>
          <w:bCs/>
          <w:lang w:val="en"/>
        </w:rPr>
        <w:t>ket Abuse Regulation</w:t>
      </w:r>
      <w:r w:rsidRPr="00055D0D">
        <w:rPr>
          <w:bCs/>
        </w:rPr>
        <w:t>.</w:t>
      </w:r>
    </w:p>
    <w:permEnd w:id="648895644"/>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055D0D" w:rsidRPr="00055D0D" w:rsidRDefault="00055D0D" w:rsidP="00055D0D">
      <w:permStart w:id="1779917462" w:edGrp="everyone"/>
      <w:r w:rsidRPr="00055D0D">
        <w:rPr>
          <w:lang w:val="en-US"/>
        </w:rPr>
        <w:t xml:space="preserve">We broadly agree with the approach set out for volume limitations. </w:t>
      </w:r>
      <w:r w:rsidRPr="00055D0D">
        <w:t>In relation to average daily volume calculation, we acknowledge the practical challenges involved in performing an market aggregate calcul</w:t>
      </w:r>
      <w:r w:rsidRPr="00055D0D">
        <w:t>a</w:t>
      </w:r>
      <w:r w:rsidRPr="00055D0D">
        <w:t>tion. However, we are of the view that further consideration may be required as to the impact of a per venue volume limit. To limit permitted repurchase to 25% on the venue where the repurchase takes place would deny issuers the opportunity to benefit from market fragmentation by purchasing a higher volume of shares on the venue where they can achieve the best price, in a way that is still consistent with the principles of the safe harbour.</w:t>
      </w:r>
    </w:p>
    <w:p w:rsidR="00055D0D" w:rsidRPr="00055D0D" w:rsidRDefault="00055D0D" w:rsidP="00055D0D"/>
    <w:p w:rsidR="00C8677B" w:rsidRDefault="00055D0D" w:rsidP="00055D0D">
      <w:r w:rsidRPr="00055D0D">
        <w:t>We think it should be open for issuers to use an aggregate calculation. For an issuer to have flexibility to determine an aggregate market volume need not oblige all issuers to perform this calculation since appl</w:t>
      </w:r>
      <w:r w:rsidRPr="00055D0D">
        <w:t>y</w:t>
      </w:r>
      <w:r w:rsidRPr="00055D0D">
        <w:t>ing a per-venue limit will inevitably also be compliant with an aggregate volume limit.</w:t>
      </w:r>
    </w:p>
    <w:permEnd w:id="1779917462"/>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C8677B" w:rsidRDefault="00055D0D" w:rsidP="00C8677B">
      <w:permStart w:id="1407668341" w:edGrp="everyone"/>
      <w:r w:rsidRPr="00055D0D">
        <w:rPr>
          <w:lang w:val="en-US"/>
        </w:rPr>
        <w:t>Timing mentioned under paragraph 36 of the ESMA technical standards is in line with the current pra</w:t>
      </w:r>
      <w:r w:rsidRPr="00055D0D">
        <w:rPr>
          <w:lang w:val="en-US"/>
        </w:rPr>
        <w:t>c</w:t>
      </w:r>
      <w:r w:rsidRPr="00055D0D">
        <w:rPr>
          <w:lang w:val="en-US"/>
        </w:rPr>
        <w:t>tice.</w:t>
      </w:r>
    </w:p>
    <w:permEnd w:id="1407668341"/>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055D0D" w:rsidRPr="00055D0D" w:rsidRDefault="00055D0D" w:rsidP="00055D0D">
      <w:pPr>
        <w:rPr>
          <w:lang w:val="en-US"/>
        </w:rPr>
      </w:pPr>
      <w:permStart w:id="1508014383" w:edGrp="everyone"/>
      <w:r w:rsidRPr="00055D0D">
        <w:rPr>
          <w:lang w:val="en-US"/>
        </w:rPr>
        <w:t>Overall we agree. However, it is currently unclear what is mentioned with “acting on behalf or on the account of”. It would be helpful if this was to be specified.</w:t>
      </w:r>
    </w:p>
    <w:p w:rsidR="00055D0D" w:rsidRPr="00055D0D" w:rsidRDefault="00055D0D" w:rsidP="00055D0D">
      <w:pPr>
        <w:rPr>
          <w:lang w:val="en-US"/>
        </w:rPr>
      </w:pPr>
    </w:p>
    <w:p w:rsidR="00C8677B" w:rsidRDefault="00055D0D" w:rsidP="00055D0D">
      <w:r w:rsidRPr="00055D0D">
        <w:rPr>
          <w:lang w:val="en-US"/>
        </w:rPr>
        <w:t>Further we agree that actual time lag between the sounding and the launch of the transaction is typically beyond the disclosing market participant’s control (as indicated in paragraph 84).</w:t>
      </w:r>
    </w:p>
    <w:permEnd w:id="1508014383"/>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055D0D" w:rsidRPr="00055D0D" w:rsidRDefault="00055D0D" w:rsidP="00055D0D">
      <w:pPr>
        <w:rPr>
          <w:lang w:val="en-US"/>
        </w:rPr>
      </w:pPr>
      <w:permStart w:id="429353604" w:edGrp="everyone"/>
      <w:r w:rsidRPr="00055D0D">
        <w:rPr>
          <w:lang w:val="en-US"/>
        </w:rPr>
        <w:t>ESMA states under paragraph 93 ESMA “the DMP should be required to create a template and use it as a script for each sounding”. It seems that ESMA is providing guidance on what such a template should include under paragraph 94. Without suggesting to create a consistent approach it is perhaps worthwhile for ESMA to actually create a template script which will be considered the industry standard for sounding.</w:t>
      </w:r>
    </w:p>
    <w:p w:rsidR="00055D0D" w:rsidRPr="00055D0D" w:rsidRDefault="00055D0D" w:rsidP="00055D0D">
      <w:pPr>
        <w:rPr>
          <w:lang w:val="en-US"/>
        </w:rPr>
      </w:pPr>
    </w:p>
    <w:p w:rsidR="00055D0D" w:rsidRPr="00055D0D" w:rsidRDefault="00055D0D" w:rsidP="00055D0D">
      <w:pPr>
        <w:rPr>
          <w:lang w:val="en-US"/>
        </w:rPr>
      </w:pPr>
      <w:r w:rsidRPr="00055D0D">
        <w:rPr>
          <w:lang w:val="en-US"/>
        </w:rPr>
        <w:t>We suggest to limit the statement under iii. (a.) to the following:</w:t>
      </w:r>
    </w:p>
    <w:p w:rsidR="00055D0D" w:rsidRPr="00055D0D" w:rsidRDefault="00055D0D" w:rsidP="00055D0D">
      <w:pPr>
        <w:numPr>
          <w:ilvl w:val="0"/>
          <w:numId w:val="37"/>
        </w:numPr>
        <w:rPr>
          <w:lang w:val="en-US"/>
        </w:rPr>
      </w:pPr>
      <w:r w:rsidRPr="00055D0D">
        <w:rPr>
          <w:lang w:val="en-US"/>
        </w:rPr>
        <w:lastRenderedPageBreak/>
        <w:t>the DMP has assessed whether or not inside information will be passed during the assessment;</w:t>
      </w:r>
    </w:p>
    <w:p w:rsidR="00055D0D" w:rsidRPr="00055D0D" w:rsidRDefault="00055D0D" w:rsidP="00055D0D">
      <w:pPr>
        <w:numPr>
          <w:ilvl w:val="0"/>
          <w:numId w:val="37"/>
        </w:numPr>
        <w:rPr>
          <w:lang w:val="en-US"/>
        </w:rPr>
      </w:pPr>
      <w:r w:rsidRPr="00055D0D">
        <w:rPr>
          <w:lang w:val="en-US"/>
        </w:rPr>
        <w:t>the outcome of this assessment is that no inside information will be passed during the sounding;</w:t>
      </w:r>
    </w:p>
    <w:p w:rsidR="00055D0D" w:rsidRPr="00055D0D" w:rsidRDefault="00055D0D" w:rsidP="00055D0D">
      <w:pPr>
        <w:numPr>
          <w:ilvl w:val="0"/>
          <w:numId w:val="37"/>
        </w:numPr>
        <w:rPr>
          <w:lang w:val="en-US"/>
        </w:rPr>
      </w:pPr>
      <w:r w:rsidRPr="00055D0D">
        <w:rPr>
          <w:lang w:val="en-US"/>
        </w:rPr>
        <w:t>the potential investor is required to make its own assessment whether or not the information e</w:t>
      </w:r>
      <w:r w:rsidRPr="00055D0D">
        <w:rPr>
          <w:lang w:val="en-US"/>
        </w:rPr>
        <w:t>n</w:t>
      </w:r>
      <w:r w:rsidRPr="00055D0D">
        <w:rPr>
          <w:lang w:val="en-US"/>
        </w:rPr>
        <w:t xml:space="preserve">tails inside information (based on the information the potential investor possesses).  </w:t>
      </w:r>
    </w:p>
    <w:p w:rsidR="00055D0D" w:rsidRPr="00055D0D" w:rsidRDefault="00055D0D" w:rsidP="00055D0D">
      <w:pPr>
        <w:rPr>
          <w:lang w:val="en-US"/>
        </w:rPr>
      </w:pPr>
    </w:p>
    <w:p w:rsidR="00055D0D" w:rsidRPr="00055D0D" w:rsidRDefault="00055D0D" w:rsidP="00055D0D">
      <w:pPr>
        <w:rPr>
          <w:lang w:val="en-US"/>
        </w:rPr>
      </w:pPr>
      <w:r w:rsidRPr="00055D0D">
        <w:rPr>
          <w:lang w:val="en-US"/>
        </w:rPr>
        <w:t>In short, we find it not appropriate to include “there is a risk that the assessment [of the DMP] is inco</w:t>
      </w:r>
      <w:r w:rsidRPr="00055D0D">
        <w:rPr>
          <w:lang w:val="en-US"/>
        </w:rPr>
        <w:t>r</w:t>
      </w:r>
      <w:r w:rsidRPr="00055D0D">
        <w:rPr>
          <w:lang w:val="en-US"/>
        </w:rPr>
        <w:t xml:space="preserve">rect”, but agree to include that the potential investor is required to make its own assessment.  </w:t>
      </w:r>
    </w:p>
    <w:p w:rsidR="00055D0D" w:rsidRPr="00055D0D" w:rsidRDefault="00055D0D" w:rsidP="00055D0D">
      <w:pPr>
        <w:rPr>
          <w:lang w:val="en-US"/>
        </w:rPr>
      </w:pPr>
      <w:r w:rsidRPr="00055D0D">
        <w:rPr>
          <w:lang w:val="en-US"/>
        </w:rPr>
        <w:t>ESMAs view is that it is appropriate to apply record keeping requirements for market soundings where the DMP categorises the information as not inside information under Article 11(3) (see III.5.1). This strikes us as potentially onerous/burdensome on the part of DMPs.</w:t>
      </w:r>
    </w:p>
    <w:p w:rsidR="00055D0D" w:rsidRPr="00055D0D" w:rsidRDefault="00055D0D" w:rsidP="00055D0D">
      <w:pPr>
        <w:rPr>
          <w:lang w:val="en-US"/>
        </w:rPr>
      </w:pPr>
      <w:r w:rsidRPr="00055D0D">
        <w:rPr>
          <w:lang w:val="en-US"/>
        </w:rPr>
        <w:t>Finally, we are of the view that  in respect of non-wallcross soundings as we do not think it is necessary or appropriate to require scripts in these situations.</w:t>
      </w:r>
    </w:p>
    <w:p w:rsidR="00C8677B" w:rsidRDefault="00055D0D" w:rsidP="00055D0D">
      <w:r w:rsidRPr="00055D0D">
        <w:rPr>
          <w:lang w:val="en-US"/>
        </w:rPr>
        <w:t>Regarding cleansing strategies: it is not fully clear what ESMA is now requiring in terms of cleansing and from whom.</w:t>
      </w:r>
    </w:p>
    <w:permEnd w:id="429353604"/>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553E1C" w:rsidP="00C8677B">
      <w:permStart w:id="1257205605" w:edGrp="everyone"/>
      <w:r w:rsidRPr="00553E1C">
        <w:rPr>
          <w:lang w:val="en-US"/>
        </w:rPr>
        <w:t>Yes, we agree. We do wonder how this would work when meeting face-to-face. We think it should be sufficient to require each party to draft and keep their own record of the communication.</w:t>
      </w:r>
    </w:p>
    <w:permEnd w:id="1257205605"/>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553E1C" w:rsidRPr="00553E1C" w:rsidRDefault="00553E1C" w:rsidP="00553E1C">
      <w:pPr>
        <w:rPr>
          <w:lang w:val="en-US"/>
        </w:rPr>
      </w:pPr>
      <w:permStart w:id="723452341" w:edGrp="everyone"/>
      <w:r w:rsidRPr="00553E1C">
        <w:rPr>
          <w:lang w:val="en-US"/>
        </w:rPr>
        <w:t>Given the frequency of sounding within our DCM practice, we agree (from a DCM point of view) that the management of inside information is adequately performed by other means (such as scripts) and therefore the maintenance of a contact list seems burdensome and unnecessary.</w:t>
      </w:r>
    </w:p>
    <w:p w:rsidR="00553E1C" w:rsidRPr="00553E1C" w:rsidRDefault="00553E1C" w:rsidP="00553E1C">
      <w:pPr>
        <w:rPr>
          <w:lang w:val="en-US"/>
        </w:rPr>
      </w:pPr>
    </w:p>
    <w:p w:rsidR="00C8677B" w:rsidRDefault="00553E1C" w:rsidP="00553E1C">
      <w:r w:rsidRPr="00553E1C">
        <w:rPr>
          <w:lang w:val="en-US"/>
        </w:rPr>
        <w:t>From an ECM perspective we are generally supportive, as this is already good practice.</w:t>
      </w:r>
    </w:p>
    <w:permEnd w:id="723452341"/>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553E1C" w:rsidRPr="00553E1C" w:rsidRDefault="00553E1C" w:rsidP="00553E1C">
      <w:pPr>
        <w:rPr>
          <w:lang w:val="en-US"/>
        </w:rPr>
      </w:pPr>
      <w:permStart w:id="954861088" w:edGrp="everyone"/>
      <w:r w:rsidRPr="00553E1C">
        <w:rPr>
          <w:lang w:val="en-US"/>
        </w:rPr>
        <w:t>In general we agree with the recording of communications. However, we believe that (physical) signing of written records (of conference meetings held) works as it seems time consuming, burdensome and impra</w:t>
      </w:r>
      <w:r w:rsidRPr="00553E1C">
        <w:rPr>
          <w:lang w:val="en-US"/>
        </w:rPr>
        <w:t>c</w:t>
      </w:r>
      <w:r w:rsidRPr="00553E1C">
        <w:rPr>
          <w:lang w:val="en-US"/>
        </w:rPr>
        <w:t>ticable.</w:t>
      </w:r>
    </w:p>
    <w:p w:rsidR="00553E1C" w:rsidRPr="00553E1C" w:rsidRDefault="00553E1C" w:rsidP="00553E1C">
      <w:pPr>
        <w:rPr>
          <w:lang w:val="en-US"/>
        </w:rPr>
      </w:pPr>
    </w:p>
    <w:p w:rsidR="00C8677B" w:rsidRDefault="00553E1C" w:rsidP="00553E1C">
      <w:r w:rsidRPr="00553E1C">
        <w:rPr>
          <w:lang w:val="en-US"/>
        </w:rPr>
        <w:t>It should be sufficient that notes / minutes are taken from face-to-face meetings if there is no video or tape recording available. It might be good practice to share the minutes with the potential investor and other parties involved. This is in line with article 16 (7) of MiFID II regarding the recording of face-to-face mee</w:t>
      </w:r>
      <w:r w:rsidRPr="00553E1C">
        <w:rPr>
          <w:lang w:val="en-US"/>
        </w:rPr>
        <w:t>t</w:t>
      </w:r>
      <w:r w:rsidRPr="00553E1C">
        <w:rPr>
          <w:lang w:val="en-US"/>
        </w:rPr>
        <w:t>ings with clients.</w:t>
      </w:r>
    </w:p>
    <w:permEnd w:id="954861088"/>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C8677B" w:rsidRPr="00553E1C" w:rsidRDefault="00553E1C" w:rsidP="00C8677B">
      <w:pPr>
        <w:rPr>
          <w:bCs/>
          <w:lang w:val="en-US"/>
        </w:rPr>
      </w:pPr>
      <w:permStart w:id="1830036481" w:edGrp="everyone"/>
      <w:r w:rsidRPr="00553E1C">
        <w:rPr>
          <w:bCs/>
          <w:lang w:val="en-US"/>
        </w:rPr>
        <w:t>We agree, this is already good practice.</w:t>
      </w:r>
    </w:p>
    <w:permEnd w:id="1830036481"/>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C8677B" w:rsidP="00C8677B">
      <w:permStart w:id="1140026423" w:edGrp="everyone"/>
      <w:r>
        <w:t>TYPE YOUR TEXT HERE</w:t>
      </w:r>
    </w:p>
    <w:permEnd w:id="1140026423"/>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C8677B" w:rsidP="00C8677B">
      <w:permStart w:id="1582044923" w:edGrp="everyone"/>
      <w:r>
        <w:t>TYPE YOUR TEXT HERE</w:t>
      </w:r>
    </w:p>
    <w:permEnd w:id="1582044923"/>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C8677B" w:rsidRDefault="00C8677B" w:rsidP="00C8677B">
      <w:permStart w:id="702307798" w:edGrp="everyone"/>
      <w:r>
        <w:t>TYPE YOUR TEXT HERE</w:t>
      </w:r>
    </w:p>
    <w:permEnd w:id="702307798"/>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Default="00C8677B" w:rsidP="00C8677B">
      <w:permStart w:id="1829446450" w:edGrp="everyone"/>
      <w:r>
        <w:t>TYPE YOUR TEXT HERE</w:t>
      </w:r>
    </w:p>
    <w:permEnd w:id="1829446450"/>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8677B" w:rsidRDefault="00C8677B" w:rsidP="00C8677B">
      <w:permStart w:id="406128440" w:edGrp="everyone"/>
      <w:r>
        <w:t>TYPE YOUR TEXT HERE</w:t>
      </w:r>
    </w:p>
    <w:permEnd w:id="406128440"/>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8677B" w:rsidRDefault="00C8677B" w:rsidP="00C8677B">
      <w:permStart w:id="1742557448" w:edGrp="everyone"/>
      <w:r>
        <w:t>TYPE YOUR TEXT HERE</w:t>
      </w:r>
    </w:p>
    <w:permEnd w:id="1742557448"/>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C8677B" w:rsidRDefault="00C8677B" w:rsidP="00C8677B">
      <w:permStart w:id="1066815844" w:edGrp="everyone"/>
      <w:r>
        <w:t>TYPE YOUR TEXT HERE</w:t>
      </w:r>
    </w:p>
    <w:permEnd w:id="1066815844"/>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C8677B" w:rsidRDefault="00C8677B" w:rsidP="00C8677B">
      <w:permStart w:id="1387732161" w:edGrp="everyone"/>
      <w:r>
        <w:t>TYPE YOUR TEXT HERE</w:t>
      </w:r>
    </w:p>
    <w:permEnd w:id="1387732161"/>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C8677B" w:rsidRDefault="00553E1C" w:rsidP="00C8677B">
      <w:permStart w:id="1053429398" w:edGrp="everyone"/>
      <w:r w:rsidRPr="00553E1C">
        <w:rPr>
          <w:lang w:val="en-US"/>
        </w:rPr>
        <w:t>Yes, we agree.</w:t>
      </w:r>
    </w:p>
    <w:permEnd w:id="1053429398"/>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2081651739" w:edGrp="everyone"/>
      <w:r>
        <w:t>TYPE YOUR TEXT HERE</w:t>
      </w:r>
    </w:p>
    <w:permEnd w:id="2081651739"/>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C8677B" w:rsidP="00C8677B">
      <w:permStart w:id="53884050" w:edGrp="everyone"/>
      <w:r>
        <w:t>TYPE YOUR TEXT HERE</w:t>
      </w:r>
    </w:p>
    <w:permEnd w:id="53884050"/>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C8677B" w:rsidRPr="00553E1C" w:rsidRDefault="00553E1C" w:rsidP="00C8677B">
      <w:pPr>
        <w:rPr>
          <w:lang w:val="en-US"/>
        </w:rPr>
      </w:pPr>
      <w:permStart w:id="1081759767" w:edGrp="everyone"/>
      <w:r w:rsidRPr="00553E1C">
        <w:rPr>
          <w:lang w:val="en-US"/>
        </w:rPr>
        <w:t xml:space="preserve">We generally agree. However, not all identities of the persons who participated in the decision making process should be included in the notification, but only the identities of those persons making the decision to delay the disclosure of inside information. </w:t>
      </w:r>
    </w:p>
    <w:permEnd w:id="1081759767"/>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553E1C" w:rsidRPr="00553E1C" w:rsidRDefault="00553E1C" w:rsidP="00553E1C">
      <w:pPr>
        <w:rPr>
          <w:lang w:val="en-US"/>
        </w:rPr>
      </w:pPr>
      <w:permStart w:id="170152348" w:edGrp="everyone"/>
      <w:r w:rsidRPr="00553E1C">
        <w:rPr>
          <w:lang w:val="en-US"/>
        </w:rPr>
        <w:t xml:space="preserve">We generally agree but would like to address that in our view keeping records of ongoing monitoring of delay means that only when there is a change on how the conditions for delay were originally met, a new assessment of the delay is required. Hence only after such change, it is required to update the records (possible leak, unexplained price movements, </w:t>
      </w:r>
      <w:proofErr w:type="spellStart"/>
      <w:r w:rsidRPr="00553E1C">
        <w:rPr>
          <w:lang w:val="en-US"/>
        </w:rPr>
        <w:t>etc</w:t>
      </w:r>
      <w:proofErr w:type="spellEnd"/>
      <w:r w:rsidRPr="00553E1C">
        <w:rPr>
          <w:lang w:val="en-US"/>
        </w:rPr>
        <w:t>). More specific, in our view an issuer is not required to periodically organize a follow-up meeting with the persons who have made the decision to delay if:</w:t>
      </w:r>
    </w:p>
    <w:p w:rsidR="00553E1C" w:rsidRPr="00553E1C" w:rsidRDefault="00553E1C" w:rsidP="00553E1C">
      <w:pPr>
        <w:numPr>
          <w:ilvl w:val="0"/>
          <w:numId w:val="38"/>
        </w:numPr>
        <w:rPr>
          <w:lang w:val="en-US"/>
        </w:rPr>
      </w:pPr>
      <w:r w:rsidRPr="00553E1C">
        <w:rPr>
          <w:lang w:val="en-US"/>
        </w:rPr>
        <w:t>the investor relations department of an issuer closely monitor the price of the financial instr</w:t>
      </w:r>
      <w:r w:rsidRPr="00553E1C">
        <w:rPr>
          <w:lang w:val="en-US"/>
        </w:rPr>
        <w:t>u</w:t>
      </w:r>
      <w:r w:rsidRPr="00553E1C">
        <w:rPr>
          <w:lang w:val="en-US"/>
        </w:rPr>
        <w:t>ments of the issuer and trading volumes for signs of possible leaks; and</w:t>
      </w:r>
    </w:p>
    <w:p w:rsidR="00553E1C" w:rsidRPr="00553E1C" w:rsidRDefault="00553E1C" w:rsidP="00553E1C">
      <w:pPr>
        <w:numPr>
          <w:ilvl w:val="0"/>
          <w:numId w:val="38"/>
        </w:numPr>
        <w:rPr>
          <w:lang w:val="en-US"/>
        </w:rPr>
      </w:pPr>
      <w:r w:rsidRPr="00553E1C">
        <w:rPr>
          <w:lang w:val="en-US"/>
        </w:rPr>
        <w:t>the media relations department of an issuer closely monitor various media for signs of possible leaks.</w:t>
      </w:r>
    </w:p>
    <w:p w:rsidR="00C8677B" w:rsidRDefault="00553E1C" w:rsidP="00553E1C">
      <w:r w:rsidRPr="00553E1C">
        <w:rPr>
          <w:lang w:val="en-US"/>
        </w:rPr>
        <w:t xml:space="preserve">As a consequence, a record will only include updates after a change in conditions. </w:t>
      </w:r>
    </w:p>
    <w:permEnd w:id="170152348"/>
    <w:p w:rsidR="00C8677B" w:rsidRDefault="00C8677B" w:rsidP="00C8677B">
      <w:r>
        <w:t>&lt;</w:t>
      </w:r>
      <w:r w:rsidR="00CB6CDD">
        <w:t>ESMA_QUESTION_MAR_TS_</w:t>
      </w:r>
      <w:r>
        <w:t>21&gt;</w:t>
      </w:r>
    </w:p>
    <w:p w:rsidR="00C8677B" w:rsidRDefault="00C8677B" w:rsidP="00C8677B">
      <w:r>
        <w:lastRenderedPageBreak/>
        <w:br w:type="page"/>
      </w:r>
    </w:p>
    <w:p w:rsidR="00C8677B" w:rsidRDefault="00C8677B" w:rsidP="00C8677B">
      <w:pPr>
        <w:pStyle w:val="Heading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C8677B" w:rsidRDefault="00EE7FF9" w:rsidP="00C8677B">
      <w:permStart w:id="1358574954" w:edGrp="everyone"/>
      <w:r w:rsidRPr="00EE7FF9">
        <w:rPr>
          <w:lang w:val="en-US"/>
        </w:rPr>
        <w:t>We do not agree that all elements listed should be included in the insider list upfront. We do recognize that the proposed information to include in the insider list can be relevant from a regulator perspective. This should therefore,  in accordance with national law, be provided on request by the regulator (for example telephone numbers, mail addresses). For the maintenance of insider lists for internal purpose only, the current regime of information to be included in insider lists, is sufficient. In our view, the other info</w:t>
      </w:r>
      <w:r w:rsidRPr="00EE7FF9">
        <w:rPr>
          <w:lang w:val="en-US"/>
        </w:rPr>
        <w:t>r</w:t>
      </w:r>
      <w:r w:rsidRPr="00EE7FF9">
        <w:rPr>
          <w:lang w:val="en-US"/>
        </w:rPr>
        <w:t>mation should be provided at the request of the respective competent authority within a reasonable time.</w:t>
      </w:r>
    </w:p>
    <w:permEnd w:id="1358574954"/>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C8677B" w:rsidP="00C8677B">
      <w:permStart w:id="602231694" w:edGrp="everyone"/>
      <w:r>
        <w:t>TYPE YOUR TEXT HERE</w:t>
      </w:r>
    </w:p>
    <w:permEnd w:id="602231694"/>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C8677B" w:rsidP="00C8677B">
      <w:permStart w:id="1455049084" w:edGrp="everyone"/>
      <w:r>
        <w:t>TYPE YOUR TEXT HERE</w:t>
      </w:r>
    </w:p>
    <w:permEnd w:id="1455049084"/>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8677B" w:rsidP="00C8677B">
      <w:permStart w:id="38558065" w:edGrp="everyone"/>
      <w:r>
        <w:t>TYPE YOUR TEXT HERE</w:t>
      </w:r>
    </w:p>
    <w:permEnd w:id="38558065"/>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EE7FF9" w:rsidP="00C8677B">
      <w:permStart w:id="1145651449" w:edGrp="everyone"/>
      <w:r w:rsidRPr="00EE7FF9">
        <w:rPr>
          <w:lang w:val="en-US"/>
        </w:rPr>
        <w:t>Yes, we agree</w:t>
      </w:r>
      <w:r w:rsidRPr="00EE7FF9">
        <w:t xml:space="preserve"> </w:t>
      </w:r>
      <w:r>
        <w:t>.</w:t>
      </w:r>
    </w:p>
    <w:permEnd w:id="1145651449"/>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C8677B" w:rsidP="00C8677B">
      <w:permStart w:id="503411349" w:edGrp="everyone"/>
      <w:r>
        <w:t>TYPE YOUR TEXT HERE</w:t>
      </w:r>
    </w:p>
    <w:permEnd w:id="503411349"/>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1258375354" w:edGrp="everyone"/>
      <w:r>
        <w:t>TYPE YOUR TEXT HERE</w:t>
      </w:r>
    </w:p>
    <w:permEnd w:id="1258375354"/>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387920042" w:edGrp="everyone"/>
      <w:r>
        <w:t>TYPE YOUR TEXT HERE</w:t>
      </w:r>
    </w:p>
    <w:permEnd w:id="387920042"/>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Default="00C8677B" w:rsidP="00C8677B">
      <w:permStart w:id="78723532" w:edGrp="everyone"/>
      <w:r>
        <w:t>TYPE YOUR TEXT HERE</w:t>
      </w:r>
    </w:p>
    <w:permEnd w:id="78723532"/>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Pr="00EE7FF9" w:rsidRDefault="00EE7FF9" w:rsidP="00C8677B">
      <w:pPr>
        <w:rPr>
          <w:lang w:val="en-US"/>
        </w:rPr>
      </w:pPr>
      <w:permStart w:id="880029176" w:edGrp="everyone"/>
      <w:r w:rsidRPr="00EE7FF9">
        <w:rPr>
          <w:lang w:val="en-US"/>
        </w:rPr>
        <w:t>ING would like to suggest to seek alignment with the US requirement to disclose a position, whereby the threshold would go to 1% instead of the proposed 0.5%. Compared to current practice of 5% this is already a significant improvement and should give sufficient transparency to investors. In addition this would also be a practical approach to those institutions producing research, given they already comply with US rules.</w:t>
      </w:r>
      <w:bookmarkStart w:id="4" w:name="_GoBack"/>
      <w:bookmarkEnd w:id="4"/>
    </w:p>
    <w:permEnd w:id="880029176"/>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lastRenderedPageBreak/>
        <w:t>Do you think that the positions of the producer of the investment recommendation should be aggregated with the ones of the related person(s) in order to assess whether the threshold has been reached?</w:t>
      </w:r>
    </w:p>
    <w:p w:rsidR="00C8677B" w:rsidRDefault="00C8677B" w:rsidP="00C8677B">
      <w:r>
        <w:t>&lt;</w:t>
      </w:r>
      <w:r w:rsidR="00CB6CDD">
        <w:t>ESMA_QUESTION_MAR_TS_</w:t>
      </w:r>
      <w:r>
        <w:t>32&gt;</w:t>
      </w:r>
    </w:p>
    <w:p w:rsidR="00C8677B" w:rsidRDefault="00C8677B" w:rsidP="00C8677B">
      <w:permStart w:id="1016469089" w:edGrp="everyone"/>
      <w:r>
        <w:t>TYPE YOUR TEXT HERE</w:t>
      </w:r>
    </w:p>
    <w:permEnd w:id="1016469089"/>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C8677B" w:rsidRDefault="00C8677B" w:rsidP="00C8677B">
      <w:permStart w:id="854329588" w:edGrp="everyone"/>
      <w:r>
        <w:t>TYPE YOUR TEXT HERE</w:t>
      </w:r>
    </w:p>
    <w:permEnd w:id="854329588"/>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C8677B" w:rsidRDefault="00C8677B" w:rsidP="00C8677B">
      <w:permStart w:id="587288204" w:edGrp="everyone"/>
      <w:r>
        <w:t>TYPE YOUR TEXT HERE</w:t>
      </w:r>
    </w:p>
    <w:permEnd w:id="587288204"/>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1617633540" w:edGrp="everyone"/>
      <w:r>
        <w:t>TYPE YOUR TEXT HERE</w:t>
      </w:r>
    </w:p>
    <w:permEnd w:id="1617633540"/>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68" w:rsidRDefault="00DD5E68">
      <w:r>
        <w:separator/>
      </w:r>
    </w:p>
    <w:p w:rsidR="00DD5E68" w:rsidRDefault="00DD5E68"/>
  </w:endnote>
  <w:endnote w:type="continuationSeparator" w:id="0">
    <w:p w:rsidR="00DD5E68" w:rsidRDefault="00DD5E68">
      <w:r>
        <w:continuationSeparator/>
      </w:r>
    </w:p>
    <w:p w:rsidR="00DD5E68" w:rsidRDefault="00DD5E68"/>
  </w:endnote>
  <w:endnote w:type="continuationNotice" w:id="1">
    <w:p w:rsidR="00DD5E68" w:rsidRDefault="00DD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EE7FF9">
            <w:rPr>
              <w:noProof/>
            </w:rPr>
            <w:t>15</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68" w:rsidRDefault="00DD5E68">
      <w:r>
        <w:separator/>
      </w:r>
    </w:p>
    <w:p w:rsidR="00DD5E68" w:rsidRDefault="00DD5E68"/>
  </w:footnote>
  <w:footnote w:type="continuationSeparator" w:id="0">
    <w:p w:rsidR="00DD5E68" w:rsidRDefault="00DD5E68">
      <w:r>
        <w:continuationSeparator/>
      </w:r>
    </w:p>
    <w:p w:rsidR="00DD5E68" w:rsidRDefault="00DD5E68"/>
  </w:footnote>
  <w:footnote w:type="continuationNotice" w:id="1">
    <w:p w:rsidR="00DD5E68" w:rsidRDefault="00DD5E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pPr>
      <w:pStyle w:val="Header"/>
    </w:pPr>
    <w:r>
      <w:rPr>
        <w:noProof/>
        <w:lang w:val="nl-NL" w:eastAsia="nl-NL"/>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rsidP="00013CCE">
    <w:pPr>
      <w:pStyle w:val="Header"/>
      <w:jc w:val="right"/>
    </w:pPr>
    <w:r>
      <w:rPr>
        <w:noProof/>
        <w:lang w:val="nl-NL" w:eastAsia="nl-NL"/>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CC3A94">
    <w:pPr>
      <w:pStyle w:val="Header"/>
    </w:pPr>
    <w:r>
      <w:rPr>
        <w:noProof/>
        <w:lang w:val="nl-NL" w:eastAsia="nl-NL"/>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nl-NL" w:eastAsia="nl-NL"/>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9E7D60"/>
    <w:multiLevelType w:val="hybridMultilevel"/>
    <w:tmpl w:val="6464C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9C24CA"/>
    <w:multiLevelType w:val="hybridMultilevel"/>
    <w:tmpl w:val="41D05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19"/>
  </w:num>
  <w:num w:numId="38">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5D0D"/>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61B2"/>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3E1C"/>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E7FF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standards-Market-Abuse-Regulation-MA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0C935-0A45-4207-A059-EDBF79BE8198}">
  <ds:schemaRefs>
    <ds:schemaRef ds:uri="http://schemas.openxmlformats.org/officeDocument/2006/bibliography"/>
  </ds:schemaRefs>
</ds:datastoreItem>
</file>

<file path=customXml/itemProps2.xml><?xml version="1.0" encoding="utf-8"?>
<ds:datastoreItem xmlns:ds="http://schemas.openxmlformats.org/officeDocument/2006/customXml" ds:itemID="{871B3AC7-3D47-4BF8-B195-BF2607AF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2508</Words>
  <Characters>14573</Characters>
  <Application>Microsoft Office Word</Application>
  <DocSecurity>8</DocSecurity>
  <Lines>121</Lines>
  <Paragraphs>34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17047</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Groothuis, J.G. (Jeroen)</cp:lastModifiedBy>
  <cp:revision>5</cp:revision>
  <cp:lastPrinted>2014-05-08T15:06:00Z</cp:lastPrinted>
  <dcterms:created xsi:type="dcterms:W3CDTF">2014-10-13T09:27:00Z</dcterms:created>
  <dcterms:modified xsi:type="dcterms:W3CDTF">2014-10-13T09:55:00Z</dcterms:modified>
</cp:coreProperties>
</file>