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2"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Hyperlink"/>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ESMA_MAR_CP_TS_ESMA_ANNEX1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4"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t>General information about respondent</w:t>
      </w:r>
    </w:p>
    <w:tbl>
      <w:tblPr>
        <w:tblStyle w:val="TableGrid"/>
        <w:tblW w:w="0" w:type="auto"/>
        <w:tblLook w:val="04A0"/>
      </w:tblPr>
      <w:tblGrid>
        <w:gridCol w:w="3510"/>
        <w:gridCol w:w="6118"/>
      </w:tblGrid>
      <w:tr w:rsidR="008627FF" w:rsidTr="00E2515F">
        <w:tc>
          <w:tcPr>
            <w:tcW w:w="3510" w:type="dxa"/>
          </w:tcPr>
          <w:p w:rsidR="008627FF" w:rsidRDefault="008627FF" w:rsidP="00E2515F">
            <w:r>
              <w:t>Are you representing an association?</w:t>
            </w:r>
          </w:p>
        </w:tc>
        <w:tc>
          <w:tcPr>
            <w:tcW w:w="6118" w:type="dxa"/>
          </w:tcPr>
          <w:p w:rsidR="008627FF" w:rsidRDefault="00F41871" w:rsidP="00E2515F">
            <w:sdt>
              <w:sdtPr>
                <w:alias w:val="Association"/>
                <w:tag w:val="Association"/>
                <w:id w:val="-1769143793"/>
                <w:placeholder>
                  <w:docPart w:val="6128E631859144A8B774ACA138C88107"/>
                </w:placeholder>
                <w:comboBox>
                  <w:listItem w:displayText="Yes" w:value="Yes"/>
                  <w:listItem w:displayText="No" w:value="No"/>
                </w:comboBox>
              </w:sdtPr>
              <w:sdtContent>
                <w:permStart w:id="0" w:edGrp="everyone"/>
                <w:r w:rsidR="004164AA">
                  <w:t>No</w:t>
                </w:r>
                <w:permEnd w:id="0"/>
              </w:sdtContent>
            </w:sdt>
          </w:p>
        </w:tc>
      </w:tr>
      <w:tr w:rsidR="008627FF" w:rsidTr="00E2515F">
        <w:tc>
          <w:tcPr>
            <w:tcW w:w="3510" w:type="dxa"/>
          </w:tcPr>
          <w:p w:rsidR="008627FF" w:rsidRDefault="008627FF" w:rsidP="00E2515F">
            <w:r>
              <w:t>Activity:</w:t>
            </w:r>
          </w:p>
        </w:tc>
        <w:tc>
          <w:tcPr>
            <w:tcW w:w="6118" w:type="dxa"/>
          </w:tcPr>
          <w:p w:rsidR="008627FF" w:rsidRDefault="00F41871" w:rsidP="00E2515F">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 w:edGrp="everyone"/>
                <w:r w:rsidR="004164AA">
                  <w:t>Non-financial counterparty</w:t>
                </w:r>
                <w:permEnd w:id="1"/>
              </w:sdtContent>
            </w:sdt>
          </w:p>
        </w:tc>
      </w:tr>
      <w:tr w:rsidR="008627FF" w:rsidTr="00E2515F">
        <w:tc>
          <w:tcPr>
            <w:tcW w:w="3510" w:type="dxa"/>
          </w:tcPr>
          <w:p w:rsidR="008627FF" w:rsidRDefault="008627FF" w:rsidP="00E2515F">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2" w:edGrp="everyone" w:displacedByCustomXml="prev"/>
            <w:tc>
              <w:tcPr>
                <w:tcW w:w="6118" w:type="dxa"/>
              </w:tcPr>
              <w:p w:rsidR="008627FF" w:rsidRDefault="004164AA" w:rsidP="00E2515F">
                <w:r>
                  <w:t>France</w:t>
                </w:r>
              </w:p>
            </w:tc>
            <w:permEnd w:id="2" w:displacedByCustomXml="next"/>
          </w:sdtContent>
        </w:sdt>
      </w:tr>
    </w:tbl>
    <w:p w:rsidR="008627FF" w:rsidRDefault="008627FF" w:rsidP="008627FF">
      <w:pPr>
        <w:pStyle w:val="Heading1"/>
        <w:numPr>
          <w:ilvl w:val="0"/>
          <w:numId w:val="0"/>
        </w:numPr>
      </w:pPr>
      <w:r w:rsidRPr="00321CD3">
        <w:br w:type="page"/>
      </w:r>
      <w:bookmarkStart w:id="3" w:name="_Toc392599420"/>
      <w:r w:rsidRPr="004C2CD3">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bookmarkStart w:id="4" w:name="_GoBack"/>
      <w:bookmarkEnd w:id="4"/>
    </w:p>
    <w:p w:rsidR="008627FF" w:rsidRPr="00513956" w:rsidRDefault="008627FF" w:rsidP="008627FF">
      <w:r w:rsidRPr="00513956">
        <w:t>&lt;</w:t>
      </w:r>
      <w:r w:rsidRPr="00D74C9D">
        <w:t xml:space="preserve"> </w:t>
      </w:r>
      <w:r>
        <w:t>ESMA_COMMENT</w:t>
      </w:r>
      <w:r w:rsidRPr="00513956">
        <w:t>_MAR_TA_1&gt;</w:t>
      </w:r>
    </w:p>
    <w:p w:rsidR="00063CD2" w:rsidRDefault="00063CD2" w:rsidP="00063CD2">
      <w:permStart w:id="3" w:edGrp="everyone"/>
      <w:r>
        <w:t>Firstly we welcome ESMA’s work on and input to the MAR level 2 implementing measures by means of technical standards and technical advice to the European Commission. In this respect, we would however like to emphasize the need for ESMA to remain as coherent as possible with processes and obligations already established under other pieces of EU regulation (both financial and energy market specific regul</w:t>
      </w:r>
      <w:r>
        <w:t>a</w:t>
      </w:r>
      <w:r>
        <w:t xml:space="preserve">tion) and to align with and closely collaborate with other European and national competent authorities, including the ACER. The lack of consistency and coherence between various pieces of EU legislations is a key concern </w:t>
      </w:r>
      <w:r w:rsidR="00103F8D">
        <w:t>t</w:t>
      </w:r>
      <w:r>
        <w:t xml:space="preserve">o market participants as these lead to costly, burdensome and often duplicative obligations and implementation measures. A concrete example in this respect is the disclosure obligation of inside information. In this respect we urge ESMA to respect recital 51 of MAR and to explicitly acknowledge that any disclosure of inside information made </w:t>
      </w:r>
      <w:r w:rsidR="00103F8D">
        <w:t xml:space="preserve">by an EAMP </w:t>
      </w:r>
      <w:r>
        <w:t>under REMIT is sufficient for MAR purposes.</w:t>
      </w:r>
    </w:p>
    <w:p w:rsidR="00E35E6B" w:rsidRDefault="00E35E6B" w:rsidP="008627FF"/>
    <w:p w:rsidR="00E2515F" w:rsidRPr="0026391E" w:rsidRDefault="00AC26AD" w:rsidP="008627FF">
      <w:pPr>
        <w:rPr>
          <w:color w:val="000000" w:themeColor="text1"/>
        </w:rPr>
      </w:pPr>
      <w:r w:rsidRPr="0026391E">
        <w:rPr>
          <w:color w:val="000000" w:themeColor="text1"/>
        </w:rPr>
        <w:t>Further, w</w:t>
      </w:r>
      <w:r w:rsidR="00E2515F" w:rsidRPr="0026391E">
        <w:rPr>
          <w:color w:val="000000" w:themeColor="text1"/>
        </w:rPr>
        <w:t xml:space="preserve">e have answered the present consultation paper </w:t>
      </w:r>
      <w:r w:rsidR="008640AC" w:rsidRPr="0026391E">
        <w:rPr>
          <w:color w:val="000000" w:themeColor="text1"/>
        </w:rPr>
        <w:t xml:space="preserve">based on the </w:t>
      </w:r>
      <w:r w:rsidR="00E2515F" w:rsidRPr="0026391E">
        <w:rPr>
          <w:color w:val="000000" w:themeColor="text1"/>
        </w:rPr>
        <w:t xml:space="preserve">assumption that the term “issuer” covers only legal entities issuing or proposing to issue financial instruments (as correctly defined under article 3.21 of MAR); and that it does </w:t>
      </w:r>
      <w:r w:rsidR="00E2515F" w:rsidRPr="0026391E">
        <w:rPr>
          <w:color w:val="000000" w:themeColor="text1"/>
          <w:u w:val="single"/>
        </w:rPr>
        <w:t>not</w:t>
      </w:r>
      <w:r w:rsidR="00E2515F" w:rsidRPr="0026391E">
        <w:rPr>
          <w:color w:val="000000" w:themeColor="text1"/>
        </w:rPr>
        <w:t xml:space="preserve"> include any counterparty to a transaction in a financial instr</w:t>
      </w:r>
      <w:r w:rsidR="00E2515F" w:rsidRPr="0026391E">
        <w:rPr>
          <w:color w:val="000000" w:themeColor="text1"/>
        </w:rPr>
        <w:t>u</w:t>
      </w:r>
      <w:r w:rsidR="00E2515F" w:rsidRPr="0026391E">
        <w:rPr>
          <w:color w:val="000000" w:themeColor="text1"/>
        </w:rPr>
        <w:t>ment, regardless whether this is executed on a regulated market, MTF or OTC.</w:t>
      </w:r>
    </w:p>
    <w:p w:rsidR="00E2515F" w:rsidRPr="0026391E" w:rsidRDefault="00E2515F" w:rsidP="00E2515F">
      <w:pPr>
        <w:rPr>
          <w:color w:val="000000" w:themeColor="text1"/>
          <w:szCs w:val="20"/>
        </w:rPr>
      </w:pPr>
      <w:r w:rsidRPr="0026391E">
        <w:rPr>
          <w:color w:val="000000" w:themeColor="text1"/>
        </w:rPr>
        <w:t xml:space="preserve">In this respect, we believe that </w:t>
      </w:r>
      <w:r w:rsidRPr="0026391E">
        <w:rPr>
          <w:color w:val="000000" w:themeColor="text1"/>
          <w:szCs w:val="20"/>
        </w:rPr>
        <w:t xml:space="preserve">contracts which are </w:t>
      </w:r>
      <w:r w:rsidRPr="0026391E">
        <w:rPr>
          <w:i/>
          <w:color w:val="000000" w:themeColor="text1"/>
          <w:szCs w:val="20"/>
        </w:rPr>
        <w:t>financial instruments</w:t>
      </w:r>
      <w:r w:rsidRPr="0026391E">
        <w:rPr>
          <w:color w:val="000000" w:themeColor="text1"/>
          <w:szCs w:val="20"/>
        </w:rPr>
        <w:t xml:space="preserve"> as described in Sections C(4) to C(10) of Annex I to MiFID2 (derivatives) do not have an ‘issuer’ for the purposes of MAR whether they are entered into on or outside a trading venue. A person who is a counterparty to such contract (or enters into the contract as an agent for a counterparty to the contract) is </w:t>
      </w:r>
      <w:r w:rsidRPr="0026391E">
        <w:rPr>
          <w:color w:val="000000" w:themeColor="text1"/>
          <w:szCs w:val="20"/>
          <w:u w:val="single"/>
        </w:rPr>
        <w:t>not and cannot</w:t>
      </w:r>
      <w:r w:rsidRPr="0026391E">
        <w:rPr>
          <w:color w:val="000000" w:themeColor="text1"/>
          <w:szCs w:val="20"/>
        </w:rPr>
        <w:t xml:space="preserve"> be considered as the issuer of the contract for the purposes of MAR.</w:t>
      </w:r>
    </w:p>
    <w:p w:rsidR="0026391E" w:rsidRDefault="0026391E" w:rsidP="0026391E">
      <w:pPr>
        <w:rPr>
          <w:color w:val="000000"/>
          <w:szCs w:val="20"/>
        </w:rPr>
      </w:pPr>
    </w:p>
    <w:p w:rsidR="0026391E" w:rsidRDefault="0026391E" w:rsidP="0026391E">
      <w:pPr>
        <w:rPr>
          <w:color w:val="000000"/>
          <w:szCs w:val="20"/>
        </w:rPr>
      </w:pPr>
      <w:r>
        <w:rPr>
          <w:color w:val="000000"/>
          <w:szCs w:val="20"/>
        </w:rPr>
        <w:t>Regarding the obligations on “</w:t>
      </w:r>
      <w:r>
        <w:rPr>
          <w:i/>
          <w:color w:val="000000"/>
          <w:szCs w:val="20"/>
        </w:rPr>
        <w:t>persons professionally arranging or executing transactions</w:t>
      </w:r>
      <w:r>
        <w:rPr>
          <w:color w:val="000000"/>
          <w:szCs w:val="20"/>
        </w:rPr>
        <w:t>” defined under MAR as “</w:t>
      </w:r>
      <w:r>
        <w:rPr>
          <w:i/>
          <w:color w:val="000000"/>
          <w:szCs w:val="20"/>
        </w:rPr>
        <w:t>persons professionally engaged in the reception and transmission of orders for, or in the exec</w:t>
      </w:r>
      <w:r>
        <w:rPr>
          <w:i/>
          <w:color w:val="000000"/>
          <w:szCs w:val="20"/>
        </w:rPr>
        <w:t>u</w:t>
      </w:r>
      <w:r>
        <w:rPr>
          <w:i/>
          <w:color w:val="000000"/>
          <w:szCs w:val="20"/>
        </w:rPr>
        <w:t>tion of transactions in financial instruments”</w:t>
      </w:r>
      <w:r>
        <w:rPr>
          <w:color w:val="000000"/>
          <w:szCs w:val="20"/>
        </w:rPr>
        <w:t xml:space="preserve">, this category refers in our view only to Regulated Markets (RM), Multilateral Trading Facilities (MTF), Organised Trading Facilities (OTF) and Systemic </w:t>
      </w:r>
      <w:proofErr w:type="spellStart"/>
      <w:r>
        <w:rPr>
          <w:color w:val="000000"/>
          <w:szCs w:val="20"/>
        </w:rPr>
        <w:t>Internali</w:t>
      </w:r>
      <w:r>
        <w:rPr>
          <w:color w:val="000000"/>
          <w:szCs w:val="20"/>
        </w:rPr>
        <w:t>s</w:t>
      </w:r>
      <w:r>
        <w:rPr>
          <w:color w:val="000000"/>
          <w:szCs w:val="20"/>
        </w:rPr>
        <w:t>ers</w:t>
      </w:r>
      <w:proofErr w:type="spellEnd"/>
      <w:r>
        <w:rPr>
          <w:color w:val="000000"/>
          <w:szCs w:val="20"/>
        </w:rPr>
        <w:t xml:space="preserve"> (SI) which are authorised or supervised under MIFID2 whilst performing these activities with or for clients. Any extended interpretation would not make sense given the number of obligations under MAR laying on this category of persons which would not be possible (</w:t>
      </w:r>
      <w:r w:rsidR="00103F8D">
        <w:rPr>
          <w:color w:val="000000"/>
          <w:szCs w:val="20"/>
        </w:rPr>
        <w:t>e.g.</w:t>
      </w:r>
      <w:r>
        <w:rPr>
          <w:color w:val="000000"/>
          <w:szCs w:val="20"/>
        </w:rPr>
        <w:t xml:space="preserve"> monitoring of orders) nor proportio</w:t>
      </w:r>
      <w:r>
        <w:rPr>
          <w:color w:val="000000"/>
          <w:szCs w:val="20"/>
        </w:rPr>
        <w:t>n</w:t>
      </w:r>
      <w:r>
        <w:rPr>
          <w:color w:val="000000"/>
          <w:szCs w:val="20"/>
        </w:rPr>
        <w:t>ate (</w:t>
      </w:r>
      <w:r w:rsidR="00103F8D">
        <w:rPr>
          <w:color w:val="000000"/>
          <w:szCs w:val="20"/>
        </w:rPr>
        <w:t>e.g.</w:t>
      </w:r>
      <w:r>
        <w:rPr>
          <w:color w:val="000000"/>
          <w:szCs w:val="20"/>
        </w:rPr>
        <w:t xml:space="preserve"> automated surveillance systems covering the </w:t>
      </w:r>
      <w:r>
        <w:rPr>
          <w:color w:val="000000"/>
          <w:szCs w:val="20"/>
          <w:u w:val="single"/>
        </w:rPr>
        <w:t>full range of trading activities</w:t>
      </w:r>
      <w:r>
        <w:rPr>
          <w:color w:val="000000"/>
          <w:szCs w:val="20"/>
        </w:rPr>
        <w:t>) to implement in practice for market participants other than the ones mentioned above. MAR’s main objective in this r</w:t>
      </w:r>
      <w:r>
        <w:rPr>
          <w:color w:val="000000"/>
          <w:szCs w:val="20"/>
        </w:rPr>
        <w:t>e</w:t>
      </w:r>
      <w:r>
        <w:rPr>
          <w:color w:val="000000"/>
          <w:szCs w:val="20"/>
        </w:rPr>
        <w:t xml:space="preserve">spect it to capture and impose additional obligations on any intermediate who’s main, day-to-day business is the execution of orders and transactions with or for clients in a professional and customary way. In our view, it’s not the intention to capture e.g. energy commodity firms whose main business is the production and supply of physical energy to its customers, and in this context, additionally offer a service to </w:t>
      </w:r>
      <w:r w:rsidR="00103F8D">
        <w:rPr>
          <w:color w:val="000000"/>
          <w:szCs w:val="20"/>
        </w:rPr>
        <w:t>their</w:t>
      </w:r>
      <w:r>
        <w:rPr>
          <w:color w:val="000000"/>
          <w:szCs w:val="20"/>
        </w:rPr>
        <w:t xml:space="preserve"> cu</w:t>
      </w:r>
      <w:r>
        <w:rPr>
          <w:color w:val="000000"/>
          <w:szCs w:val="20"/>
        </w:rPr>
        <w:t>s</w:t>
      </w:r>
      <w:r>
        <w:rPr>
          <w:color w:val="000000"/>
          <w:szCs w:val="20"/>
        </w:rPr>
        <w:t>tomers to optimize their energy needs by executing client orders or execute back-to back transactions directly against own account or in the market. It would be disproportionate to capture energy commodity firms offering this service to their clients within the definition of “persons professionally arranging or executing transactions”; also considering that we have already internal market risk control processes in place to monitor certain transactions e.g. exceeding a predefined volume threshold or executed within specific energy markets in order to detect market abusive behaviour. These fit-for-purpose and customised pro</w:t>
      </w:r>
      <w:r>
        <w:rPr>
          <w:color w:val="000000"/>
          <w:szCs w:val="20"/>
        </w:rPr>
        <w:t>c</w:t>
      </w:r>
      <w:r>
        <w:rPr>
          <w:color w:val="000000"/>
          <w:szCs w:val="20"/>
        </w:rPr>
        <w:t>esses, set up for internal control purposes and to be compliant with other EU regulations, should suffice for energy commodity firms without additional complex, burdensome and implementation-wise expensive obligations under MAR.</w:t>
      </w:r>
    </w:p>
    <w:p w:rsidR="0026391E" w:rsidRDefault="0026391E" w:rsidP="0026391E">
      <w:pPr>
        <w:rPr>
          <w:color w:val="000000"/>
          <w:szCs w:val="20"/>
        </w:rPr>
      </w:pPr>
      <w:r>
        <w:rPr>
          <w:color w:val="000000"/>
          <w:szCs w:val="20"/>
        </w:rPr>
        <w:t>In this respect, we would also like to refer to ACERs view as expressed in the REMIT Guidance (3</w:t>
      </w:r>
      <w:r>
        <w:rPr>
          <w:color w:val="000000"/>
          <w:szCs w:val="20"/>
          <w:vertAlign w:val="superscript"/>
        </w:rPr>
        <w:t>rd</w:t>
      </w:r>
      <w:r>
        <w:rPr>
          <w:color w:val="000000"/>
          <w:szCs w:val="20"/>
        </w:rPr>
        <w:t xml:space="preserve"> edition on p.54, §8.5.1.)  stipulating that persons professionally arranging transactions in wholesale energy pro</w:t>
      </w:r>
      <w:r>
        <w:rPr>
          <w:color w:val="000000"/>
          <w:szCs w:val="20"/>
        </w:rPr>
        <w:t>d</w:t>
      </w:r>
      <w:r>
        <w:rPr>
          <w:color w:val="000000"/>
          <w:szCs w:val="20"/>
        </w:rPr>
        <w:t xml:space="preserve">ucts include at least trading venues like energy exchanges and brokers; i.e. professional intermediates in the execution of orders and/or transactions on the exchanges and OTC markets.  </w:t>
      </w:r>
    </w:p>
    <w:p w:rsidR="00E2515F" w:rsidRDefault="0026391E" w:rsidP="0026391E">
      <w:pPr>
        <w:rPr>
          <w:color w:val="000000"/>
          <w:szCs w:val="20"/>
        </w:rPr>
      </w:pPr>
      <w:r>
        <w:rPr>
          <w:color w:val="000000"/>
          <w:szCs w:val="20"/>
        </w:rPr>
        <w:t>We have responded to the present consultation based on the above assumption that only RMs, MTFs, OTFs and SIs fall within the category of “persons professionally arranging or executing transactions”; but for the sake of clarity, we would expect additional clarifications from ESMA on the exact scope of “persons professionally arranging or executing transactions</w:t>
      </w:r>
      <w:r w:rsidR="00103F8D">
        <w:rPr>
          <w:color w:val="000000"/>
          <w:szCs w:val="20"/>
        </w:rPr>
        <w:t>.</w:t>
      </w:r>
    </w:p>
    <w:permEnd w:id="3"/>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Heading1"/>
      </w:pPr>
      <w:r>
        <w:t>B</w:t>
      </w:r>
      <w:r w:rsidRPr="00ED7403">
        <w:t>uy-backs and stabilisation: the conditions for buy-back programmes and stabilisation measures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C8677B" w:rsidRDefault="00C8677B" w:rsidP="00C8677B">
      <w:permStart w:id="4" w:edGrp="everyone"/>
      <w:r>
        <w:t>TYPE YOUR TEXT HERE</w:t>
      </w:r>
    </w:p>
    <w:permEnd w:id="4"/>
    <w:p w:rsidR="00C8677B" w:rsidRDefault="00C8677B" w:rsidP="00C8677B">
      <w:r>
        <w:t>&lt;</w:t>
      </w:r>
      <w:r w:rsidR="00CB6CDD">
        <w:t>ESMA_QUESTION_MAR_TS_</w:t>
      </w:r>
      <w:r>
        <w:t>1&gt;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C8677B" w:rsidRDefault="00C8677B" w:rsidP="00C8677B">
      <w:permStart w:id="5" w:edGrp="everyone"/>
      <w:r>
        <w:t>TYPE YOUR TEXT HERE</w:t>
      </w:r>
    </w:p>
    <w:permEnd w:id="5"/>
    <w:p w:rsidR="00C8677B" w:rsidRDefault="00C8677B" w:rsidP="00C8677B">
      <w:r>
        <w:t>&lt;</w:t>
      </w:r>
      <w:r w:rsidR="00CB6CDD">
        <w:t>ESMA_QUESTION_MAR_TS_</w:t>
      </w:r>
      <w:r>
        <w:t>2&gt;</w:t>
      </w:r>
    </w:p>
    <w:p w:rsidR="00C8677B" w:rsidRPr="00911A17" w:rsidRDefault="00C8677B" w:rsidP="00C8677B">
      <w:pPr>
        <w:pStyle w:val="Heading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C8677B" w:rsidRDefault="00C8677B" w:rsidP="00C8677B">
      <w:permStart w:id="6" w:edGrp="everyone"/>
      <w:r>
        <w:t>TYPE YOUR TEXT HERE</w:t>
      </w:r>
    </w:p>
    <w:permEnd w:id="6"/>
    <w:p w:rsidR="00C8677B" w:rsidRDefault="00C8677B" w:rsidP="00C8677B">
      <w:r>
        <w:t>&lt;</w:t>
      </w:r>
      <w:r w:rsidR="00CB6CDD">
        <w:t>ESMA_QUESTION_MAR_TS_</w:t>
      </w:r>
      <w:r>
        <w:t>3&gt;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C8677B" w:rsidRDefault="00C8677B" w:rsidP="00C8677B">
      <w:permStart w:id="7" w:edGrp="everyone"/>
      <w:r>
        <w:t>TYPE YOUR TEXT HERE</w:t>
      </w:r>
    </w:p>
    <w:permEnd w:id="7"/>
    <w:p w:rsidR="00C8677B" w:rsidRDefault="00C8677B" w:rsidP="00C8677B">
      <w:r>
        <w:t>&lt;</w:t>
      </w:r>
      <w:r w:rsidR="00CB6CDD">
        <w:t>ESMA_QUESTION_MAR_TS_</w:t>
      </w:r>
      <w:r>
        <w:t>4&gt;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C8677B" w:rsidRDefault="00C8677B" w:rsidP="00C8677B">
      <w:permStart w:id="8" w:edGrp="everyone"/>
      <w:r>
        <w:t>TYPE YOUR TEXT HERE</w:t>
      </w:r>
    </w:p>
    <w:permEnd w:id="8"/>
    <w:p w:rsidR="00C8677B" w:rsidRDefault="00C8677B" w:rsidP="00C8677B">
      <w:r>
        <w:t>&lt;</w:t>
      </w:r>
      <w:r w:rsidR="00CB6CDD">
        <w:t>ESMA_QUESTION_MAR_TS_</w:t>
      </w:r>
      <w:r>
        <w:t>5&gt;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C8677B" w:rsidRDefault="00C8677B" w:rsidP="00C8677B">
      <w:permStart w:id="9" w:edGrp="everyone"/>
      <w:r>
        <w:t>TYPE YOUR TEXT HERE</w:t>
      </w:r>
    </w:p>
    <w:permEnd w:id="9"/>
    <w:p w:rsidR="00C8677B" w:rsidRDefault="00C8677B" w:rsidP="00C8677B">
      <w:r>
        <w:t>&lt;</w:t>
      </w:r>
      <w:r w:rsidR="00CB6CDD">
        <w:t>ESMA_QUESTION_MAR_TS_</w:t>
      </w:r>
      <w:r>
        <w:t>6&gt;</w:t>
      </w:r>
    </w:p>
    <w:p w:rsidR="00C8677B" w:rsidRDefault="00C8677B" w:rsidP="00C8677B"/>
    <w:p w:rsidR="00C8677B" w:rsidRPr="0091447F"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C8677B" w:rsidRDefault="00C8677B" w:rsidP="00C8677B">
      <w:permStart w:id="10" w:edGrp="everyone"/>
      <w:r>
        <w:t>TYPE YOUR TEXT HERE</w:t>
      </w:r>
    </w:p>
    <w:permEnd w:id="10"/>
    <w:p w:rsidR="00C8677B" w:rsidRDefault="00C8677B" w:rsidP="00C8677B">
      <w:r>
        <w:t>&lt;</w:t>
      </w:r>
      <w:r w:rsidR="00CB6CDD">
        <w:t>ESMA_QUESTION_MAR_TS_</w:t>
      </w:r>
      <w:r>
        <w:t>7&gt;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C8677B" w:rsidRDefault="00C8677B" w:rsidP="00C8677B">
      <w:permStart w:id="11" w:edGrp="everyone"/>
      <w:r>
        <w:t>TYPE YOUR TEXT HERE</w:t>
      </w:r>
    </w:p>
    <w:permEnd w:id="11"/>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Heading1"/>
        <w:keepLines/>
        <w:spacing w:before="480" w:after="0" w:line="276" w:lineRule="auto"/>
        <w:ind w:left="284" w:hanging="284"/>
      </w:pPr>
      <w:r w:rsidRPr="004C4871">
        <w:t xml:space="preserve">Accepted Market </w:t>
      </w:r>
      <w:r>
        <w:t>Practices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8677B" w:rsidRPr="00731845" w:rsidRDefault="00731845" w:rsidP="00C8677B">
      <w:pPr>
        <w:rPr>
          <w:szCs w:val="20"/>
        </w:rPr>
      </w:pPr>
      <w:permStart w:id="12" w:edGrp="everyone"/>
      <w:r w:rsidRPr="00731845">
        <w:rPr>
          <w:color w:val="000000"/>
          <w:szCs w:val="20"/>
          <w:lang w:val="en-US" w:eastAsia="en-US"/>
        </w:rPr>
        <w:t>We do agree with ESMA's view that dismissing practices that might be performed outside a trading venue would be too restrictive, definitely taking into account these are put on an equal footing</w:t>
      </w:r>
      <w:r w:rsidR="00103F8D">
        <w:rPr>
          <w:color w:val="000000"/>
          <w:szCs w:val="20"/>
          <w:lang w:val="en-US" w:eastAsia="en-US"/>
        </w:rPr>
        <w:t xml:space="preserve"> under MAR.</w:t>
      </w:r>
    </w:p>
    <w:permEnd w:id="12"/>
    <w:p w:rsidR="00C8677B" w:rsidRDefault="00C8677B" w:rsidP="00C8677B">
      <w:r>
        <w:t>&lt;</w:t>
      </w:r>
      <w:r w:rsidR="00CB6CDD">
        <w:t>ESMA_QUESTION_MAR_TS_</w:t>
      </w:r>
      <w:r>
        <w:t>9&gt;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C8677B" w:rsidRDefault="00731845" w:rsidP="00C8677B">
      <w:permStart w:id="13" w:edGrp="everyone"/>
      <w:r>
        <w:t>Yes, we agree that persons performing an AMP should be subject to a kind of regulator</w:t>
      </w:r>
      <w:r w:rsidR="00016DC9">
        <w:t>y</w:t>
      </w:r>
      <w:r>
        <w:t xml:space="preserve"> supervision.</w:t>
      </w:r>
    </w:p>
    <w:permEnd w:id="13"/>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Heading1"/>
        <w:keepLines/>
        <w:spacing w:before="480" w:after="0" w:line="276" w:lineRule="auto"/>
        <w:ind w:left="284" w:hanging="284"/>
      </w:pPr>
      <w:r w:rsidRPr="00ED7403">
        <w:t xml:space="preserve">Suspicious </w:t>
      </w:r>
      <w:r>
        <w:t>transaction and order reporting</w:t>
      </w:r>
      <w:r w:rsidRPr="00ED7403">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A07814" w:rsidRPr="0026391E" w:rsidRDefault="00A07814" w:rsidP="00C8677B">
      <w:pPr>
        <w:rPr>
          <w:color w:val="000000" w:themeColor="text1"/>
        </w:rPr>
      </w:pPr>
      <w:permStart w:id="14" w:edGrp="everyone"/>
      <w:r w:rsidRPr="0026391E">
        <w:rPr>
          <w:color w:val="000000" w:themeColor="text1"/>
        </w:rPr>
        <w:t>As highlighted in our introductory comments, we consider “persons professionally arranging and execu</w:t>
      </w:r>
      <w:r w:rsidRPr="0026391E">
        <w:rPr>
          <w:color w:val="000000" w:themeColor="text1"/>
        </w:rPr>
        <w:t>t</w:t>
      </w:r>
      <w:r w:rsidRPr="0026391E">
        <w:rPr>
          <w:color w:val="000000" w:themeColor="text1"/>
        </w:rPr>
        <w:t>ing transactions”,</w:t>
      </w:r>
      <w:r w:rsidR="0073537D" w:rsidRPr="0026391E">
        <w:rPr>
          <w:color w:val="000000" w:themeColor="text1"/>
        </w:rPr>
        <w:t xml:space="preserve"> to </w:t>
      </w:r>
      <w:r w:rsidR="0096519B">
        <w:rPr>
          <w:color w:val="000000" w:themeColor="text1"/>
        </w:rPr>
        <w:t xml:space="preserve">refer </w:t>
      </w:r>
      <w:r w:rsidRPr="0026391E">
        <w:rPr>
          <w:color w:val="000000" w:themeColor="text1"/>
        </w:rPr>
        <w:t>only RM, MTF, OTF and SI which are supervised and/or autho</w:t>
      </w:r>
      <w:r w:rsidRPr="0026391E">
        <w:rPr>
          <w:color w:val="000000" w:themeColor="text1"/>
        </w:rPr>
        <w:t>r</w:t>
      </w:r>
      <w:r w:rsidRPr="0026391E">
        <w:rPr>
          <w:color w:val="000000" w:themeColor="text1"/>
        </w:rPr>
        <w:t>ised under MIFID2</w:t>
      </w:r>
      <w:r w:rsidR="0073537D" w:rsidRPr="0026391E">
        <w:rPr>
          <w:color w:val="000000" w:themeColor="text1"/>
        </w:rPr>
        <w:t>, without any extended scope</w:t>
      </w:r>
      <w:r w:rsidRPr="0026391E">
        <w:rPr>
          <w:color w:val="000000" w:themeColor="text1"/>
        </w:rPr>
        <w:t>. It is in this perspective that we are responding to these que</w:t>
      </w:r>
      <w:r w:rsidRPr="0026391E">
        <w:rPr>
          <w:color w:val="000000" w:themeColor="text1"/>
        </w:rPr>
        <w:t>s</w:t>
      </w:r>
      <w:r w:rsidRPr="0026391E">
        <w:rPr>
          <w:color w:val="000000" w:themeColor="text1"/>
        </w:rPr>
        <w:t>tions.</w:t>
      </w:r>
    </w:p>
    <w:p w:rsidR="00A07814" w:rsidRPr="0026391E" w:rsidRDefault="00A07814" w:rsidP="00C8677B">
      <w:pPr>
        <w:rPr>
          <w:color w:val="000000" w:themeColor="text1"/>
        </w:rPr>
      </w:pPr>
    </w:p>
    <w:p w:rsidR="00C8677B" w:rsidRPr="0026391E" w:rsidRDefault="00B154C4" w:rsidP="00C8677B">
      <w:pPr>
        <w:rPr>
          <w:color w:val="000000" w:themeColor="text1"/>
        </w:rPr>
      </w:pPr>
      <w:r w:rsidRPr="0026391E">
        <w:rPr>
          <w:color w:val="000000" w:themeColor="text1"/>
        </w:rPr>
        <w:t>The MAR texts indeed extends the scope of STOR to OTC derivative trading, but we also agree that it will be difficult to implement all proposals in the OTC space</w:t>
      </w:r>
      <w:r w:rsidR="007A29AB" w:rsidRPr="0026391E">
        <w:rPr>
          <w:color w:val="000000" w:themeColor="text1"/>
        </w:rPr>
        <w:t>.</w:t>
      </w:r>
    </w:p>
    <w:permEnd w:id="14"/>
    <w:p w:rsidR="00C8677B" w:rsidRDefault="00C8677B" w:rsidP="00C8677B">
      <w:r>
        <w:t>&lt;</w:t>
      </w:r>
      <w:r w:rsidR="00CB6CDD">
        <w:t>ESMA_QUESTION_MAR_TS_</w:t>
      </w:r>
      <w:r>
        <w:t>11&gt;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AB1202" w:rsidRDefault="007A29AB" w:rsidP="00C8677B">
      <w:permStart w:id="15" w:edGrp="everyone"/>
      <w:r>
        <w:t xml:space="preserve">We believe that a two weeks notification period as from the point at which reasonable suspicion is formed is </w:t>
      </w:r>
      <w:r w:rsidR="00AB1202">
        <w:t>most</w:t>
      </w:r>
      <w:r>
        <w:t xml:space="preserve"> suitable; also taking into account that any surveillance process should be proportionate to the size and nature of business of a particular entity. Not all entities will have fully automated surveillance systems in place available to detect more or less in </w:t>
      </w:r>
      <w:r w:rsidR="0073537D">
        <w:t>“</w:t>
      </w:r>
      <w:r>
        <w:t>real time</w:t>
      </w:r>
      <w:r w:rsidR="0073537D">
        <w:t>”</w:t>
      </w:r>
      <w:r>
        <w:t xml:space="preserve"> STORs</w:t>
      </w:r>
      <w:r w:rsidR="0073537D">
        <w:t xml:space="preserve">; reason why these should not be considered in breach if they only detect and report a STOR later </w:t>
      </w:r>
      <w:r w:rsidR="00016DC9">
        <w:t xml:space="preserve">in time and </w:t>
      </w:r>
      <w:r w:rsidR="0073537D">
        <w:t>in a larger context</w:t>
      </w:r>
      <w:r>
        <w:t>.</w:t>
      </w:r>
      <w:r w:rsidR="00AB1202">
        <w:t xml:space="preserve"> </w:t>
      </w:r>
    </w:p>
    <w:p w:rsidR="00C8677B" w:rsidRDefault="00AB1202" w:rsidP="00C8677B">
      <w:r>
        <w:t>Therefore we support the proposed draft technical standards stating</w:t>
      </w:r>
      <w:r w:rsidR="00A61FFF">
        <w:t xml:space="preserve"> (recital 3)</w:t>
      </w:r>
      <w:r>
        <w:t xml:space="preserve"> that STORs should be submitted as soon as possible once a reasonable suspicion is formed and that that </w:t>
      </w:r>
      <w:r w:rsidRPr="00AB1202">
        <w:rPr>
          <w:u w:val="single"/>
        </w:rPr>
        <w:t>generally and indic</w:t>
      </w:r>
      <w:r w:rsidRPr="00AB1202">
        <w:rPr>
          <w:u w:val="single"/>
        </w:rPr>
        <w:t>a</w:t>
      </w:r>
      <w:r w:rsidRPr="00AB1202">
        <w:rPr>
          <w:u w:val="single"/>
        </w:rPr>
        <w:t>tively</w:t>
      </w:r>
      <w:r w:rsidRPr="00AB1202">
        <w:t xml:space="preserve"> (whilst not being binding)</w:t>
      </w:r>
      <w:r>
        <w:t>, these should be submitted within two weeks of the actual suspected breach.</w:t>
      </w:r>
    </w:p>
    <w:permEnd w:id="15"/>
    <w:p w:rsidR="00C8677B" w:rsidRDefault="00C8677B" w:rsidP="00C8677B">
      <w:r>
        <w:t>&lt;</w:t>
      </w:r>
      <w:r w:rsidR="00CB6CDD">
        <w:t>ESMA_QUESTION_MAR_TS_</w:t>
      </w:r>
      <w:r>
        <w:t>12&gt;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C8677B" w:rsidRPr="00234746" w:rsidRDefault="007A29AB" w:rsidP="00C8677B">
      <w:pPr>
        <w:rPr>
          <w:szCs w:val="20"/>
        </w:rPr>
      </w:pPr>
      <w:permStart w:id="16" w:edGrp="everyone"/>
      <w:r>
        <w:t>Any arrangement, system or procedure regarding trade surveillance to be put in place by an entity, should be at all times proportionate to the size and nature of business of that particular entity</w:t>
      </w:r>
      <w:r w:rsidR="00233A98">
        <w:t>.</w:t>
      </w:r>
      <w:r>
        <w:t xml:space="preserve"> Additionally, the decision on the final arrangements and processes implemented by an entity (including the proportion automated-manual) should be at the discretion of the entity concerned and fit for and proportionate to its business.</w:t>
      </w:r>
    </w:p>
    <w:p w:rsidR="00411C22" w:rsidRPr="00234746" w:rsidRDefault="00411C22" w:rsidP="00C8677B">
      <w:pPr>
        <w:rPr>
          <w:szCs w:val="20"/>
        </w:rPr>
      </w:pPr>
    </w:p>
    <w:p w:rsidR="00233A98" w:rsidRPr="00234746" w:rsidRDefault="00411C22" w:rsidP="00234746">
      <w:pPr>
        <w:pStyle w:val="Default"/>
        <w:rPr>
          <w:sz w:val="20"/>
          <w:szCs w:val="20"/>
          <w:lang w:val="en-US"/>
        </w:rPr>
      </w:pPr>
      <w:r w:rsidRPr="00234746">
        <w:rPr>
          <w:sz w:val="20"/>
          <w:szCs w:val="20"/>
          <w:lang w:val="en-US"/>
        </w:rPr>
        <w:t xml:space="preserve">In all events, we believe it would only be proportionate to impose any kind of automated surveillance to </w:t>
      </w:r>
      <w:r w:rsidR="00233A98" w:rsidRPr="00234746">
        <w:rPr>
          <w:sz w:val="20"/>
          <w:szCs w:val="20"/>
          <w:lang w:val="en-US"/>
        </w:rPr>
        <w:t xml:space="preserve">Regulated Markets, Multilateral Trading Facilities, </w:t>
      </w:r>
      <w:proofErr w:type="spellStart"/>
      <w:r w:rsidR="00233A98" w:rsidRPr="00234746">
        <w:rPr>
          <w:sz w:val="20"/>
          <w:szCs w:val="20"/>
          <w:lang w:val="en-US"/>
        </w:rPr>
        <w:t>Organised</w:t>
      </w:r>
      <w:proofErr w:type="spellEnd"/>
      <w:r w:rsidR="00233A98" w:rsidRPr="00234746">
        <w:rPr>
          <w:sz w:val="20"/>
          <w:szCs w:val="20"/>
          <w:lang w:val="en-US"/>
        </w:rPr>
        <w:t xml:space="preserve"> Trading Facilities and Systemic </w:t>
      </w:r>
      <w:proofErr w:type="spellStart"/>
      <w:r w:rsidR="00233A98" w:rsidRPr="00234746">
        <w:rPr>
          <w:sz w:val="20"/>
          <w:szCs w:val="20"/>
          <w:lang w:val="en-US"/>
        </w:rPr>
        <w:t>Internalisers</w:t>
      </w:r>
      <w:proofErr w:type="spellEnd"/>
      <w:r w:rsidR="00233A98" w:rsidRPr="00234746">
        <w:rPr>
          <w:sz w:val="20"/>
          <w:szCs w:val="20"/>
          <w:lang w:val="en-US"/>
        </w:rPr>
        <w:t xml:space="preserve"> (as being “persons professionally arranging or executing transactions”) as the implement</w:t>
      </w:r>
      <w:r w:rsidR="00233A98" w:rsidRPr="00234746">
        <w:rPr>
          <w:sz w:val="20"/>
          <w:szCs w:val="20"/>
          <w:lang w:val="en-US"/>
        </w:rPr>
        <w:t>a</w:t>
      </w:r>
      <w:r w:rsidR="00233A98" w:rsidRPr="00234746">
        <w:rPr>
          <w:sz w:val="20"/>
          <w:szCs w:val="20"/>
          <w:lang w:val="en-US"/>
        </w:rPr>
        <w:t xml:space="preserve">tion of any automated surveillance systems would not be possible nor proportionate to implement in practice for market participants other than the ones mentioned above; also taking into account that </w:t>
      </w:r>
      <w:r w:rsidR="00234746" w:rsidRPr="00234746">
        <w:rPr>
          <w:sz w:val="20"/>
          <w:szCs w:val="20"/>
          <w:lang w:val="en-US"/>
        </w:rPr>
        <w:t xml:space="preserve">ESMA </w:t>
      </w:r>
      <w:r w:rsidR="00A61FFF">
        <w:rPr>
          <w:sz w:val="20"/>
          <w:szCs w:val="20"/>
          <w:lang w:val="en-US"/>
        </w:rPr>
        <w:t>proposes</w:t>
      </w:r>
      <w:r w:rsidR="00234746" w:rsidRPr="00234746">
        <w:rPr>
          <w:sz w:val="20"/>
          <w:szCs w:val="20"/>
          <w:lang w:val="en-US"/>
        </w:rPr>
        <w:t xml:space="preserve"> that the </w:t>
      </w:r>
      <w:r w:rsidR="00C24D13" w:rsidRPr="00234746">
        <w:rPr>
          <w:sz w:val="20"/>
          <w:szCs w:val="20"/>
          <w:lang w:val="en-US"/>
        </w:rPr>
        <w:t xml:space="preserve">automated system should cover the </w:t>
      </w:r>
      <w:r w:rsidR="00C24D13" w:rsidRPr="00234746">
        <w:rPr>
          <w:sz w:val="20"/>
          <w:szCs w:val="20"/>
          <w:u w:val="single"/>
          <w:lang w:val="en-US"/>
        </w:rPr>
        <w:t xml:space="preserve">full range </w:t>
      </w:r>
      <w:r w:rsidR="00C24D13" w:rsidRPr="00234746">
        <w:rPr>
          <w:sz w:val="20"/>
          <w:szCs w:val="20"/>
          <w:lang w:val="en-US"/>
        </w:rPr>
        <w:t xml:space="preserve">of trading activities undertaken by the firm </w:t>
      </w:r>
      <w:r w:rsidR="00234746" w:rsidRPr="00234746">
        <w:rPr>
          <w:sz w:val="20"/>
          <w:szCs w:val="20"/>
          <w:lang w:val="en-US"/>
        </w:rPr>
        <w:t>(</w:t>
      </w:r>
      <w:r w:rsidR="00A61FFF">
        <w:rPr>
          <w:sz w:val="20"/>
          <w:szCs w:val="20"/>
          <w:lang w:val="en-US"/>
        </w:rPr>
        <w:t xml:space="preserve">article 5.1. of the draft regulated technical standards and </w:t>
      </w:r>
      <w:r w:rsidR="00234746" w:rsidRPr="00234746">
        <w:rPr>
          <w:sz w:val="20"/>
          <w:szCs w:val="20"/>
          <w:lang w:val="en-US"/>
        </w:rPr>
        <w:t>CP n°196)</w:t>
      </w:r>
      <w:r w:rsidR="004255CF">
        <w:rPr>
          <w:sz w:val="20"/>
          <w:szCs w:val="20"/>
          <w:lang w:val="en-US"/>
        </w:rPr>
        <w:t>.</w:t>
      </w:r>
    </w:p>
    <w:permEnd w:id="16"/>
    <w:p w:rsidR="00C8677B" w:rsidRDefault="00C8677B" w:rsidP="00C8677B">
      <w:r>
        <w:t>&lt;</w:t>
      </w:r>
      <w:r w:rsidR="00CB6CDD">
        <w:t>ESMA_QUESTION_MAR_TS_</w:t>
      </w:r>
      <w:r>
        <w:t>13&gt;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7C0609" w:rsidRDefault="006919B5" w:rsidP="006919B5">
      <w:pPr>
        <w:jc w:val="both"/>
        <w:rPr>
          <w:szCs w:val="20"/>
        </w:rPr>
      </w:pPr>
      <w:permStart w:id="17" w:edGrp="everyone"/>
      <w:r w:rsidRPr="006919B5">
        <w:rPr>
          <w:szCs w:val="20"/>
        </w:rPr>
        <w:t>We believe the STOR reporting template should take due account of data privacy and security concerns. Furthermore, the template should be flexible to allow for differences between information required for securities and information required for commodity</w:t>
      </w:r>
      <w:r w:rsidR="007C0609">
        <w:rPr>
          <w:szCs w:val="20"/>
        </w:rPr>
        <w:t xml:space="preserve"> derivatives. It would be useful to have two separate templates, one for orders and one for transactions.</w:t>
      </w:r>
    </w:p>
    <w:p w:rsidR="00C8677B" w:rsidRDefault="006919B5" w:rsidP="006919B5">
      <w:pPr>
        <w:jc w:val="both"/>
      </w:pPr>
      <w:r w:rsidRPr="006919B5">
        <w:rPr>
          <w:szCs w:val="20"/>
        </w:rPr>
        <w:t>In addition we would support an approach whereby some fields can be left blank if information is not available at a given point of time, provided the template is filed on a reasonable effort basis</w:t>
      </w:r>
      <w:r w:rsidRPr="0059634E">
        <w:rPr>
          <w:rFonts w:ascii="Univers 45 Light" w:hAnsi="Univers 45 Light"/>
          <w:sz w:val="24"/>
        </w:rPr>
        <w:t>.</w:t>
      </w:r>
    </w:p>
    <w:permEnd w:id="17"/>
    <w:p w:rsidR="00C8677B" w:rsidRDefault="00C8677B" w:rsidP="00C8677B">
      <w:r>
        <w:t>&lt;</w:t>
      </w:r>
      <w:r w:rsidR="00CB6CDD">
        <w:t>ESMA_QUESTION_MAR_TS_</w:t>
      </w:r>
      <w:r>
        <w:t>14&gt;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7C0609" w:rsidRDefault="007C0609" w:rsidP="00487C5F">
      <w:permStart w:id="18" w:edGrp="everyone"/>
      <w:r>
        <w:t>The main requirements for any STOR template is that it’s easy to use, e.g. excel document or word doc</w:t>
      </w:r>
      <w:r>
        <w:t>u</w:t>
      </w:r>
      <w:r>
        <w:t>ment that can be filled in electronically.</w:t>
      </w:r>
    </w:p>
    <w:p w:rsidR="00360AD6" w:rsidRDefault="007C0609" w:rsidP="00C8677B">
      <w:r>
        <w:t>Additionally, sufficient protections and adequate levels of security (confidentiality, integrity and accoun</w:t>
      </w:r>
      <w:r>
        <w:t>t</w:t>
      </w:r>
      <w:r>
        <w:t>ability) should be in place to ensure any STOR electronic transmission.</w:t>
      </w:r>
    </w:p>
    <w:permEnd w:id="18"/>
    <w:p w:rsidR="00C8677B" w:rsidRDefault="00C8677B" w:rsidP="00C8677B">
      <w:r>
        <w:t>&lt;</w:t>
      </w:r>
      <w:r w:rsidR="00CB6CDD">
        <w:t>ESMA_QUESTION_MAR_TS_</w:t>
      </w:r>
      <w:r>
        <w:t>15&gt;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487C5F" w:rsidRPr="00487C5F" w:rsidRDefault="00487C5F" w:rsidP="00487C5F">
      <w:pPr>
        <w:jc w:val="both"/>
        <w:rPr>
          <w:szCs w:val="20"/>
        </w:rPr>
      </w:pPr>
      <w:permStart w:id="19" w:edGrp="everyone"/>
      <w:r w:rsidRPr="00487C5F">
        <w:rPr>
          <w:szCs w:val="20"/>
        </w:rPr>
        <w:t>We agree with ESMA’s five year record-keeping requirement. However, we believe that the application of this requirement to near-misses adds a further level of complexity from a reporting parties’ perspective and could create a disproportionate reporting requirement as per the interpretation of the term ‘reaso</w:t>
      </w:r>
      <w:r w:rsidRPr="00487C5F">
        <w:rPr>
          <w:szCs w:val="20"/>
        </w:rPr>
        <w:t>n</w:t>
      </w:r>
      <w:r w:rsidRPr="00487C5F">
        <w:rPr>
          <w:szCs w:val="20"/>
        </w:rPr>
        <w:t xml:space="preserve">able’. </w:t>
      </w:r>
    </w:p>
    <w:p w:rsidR="00487C5F" w:rsidRPr="00487C5F" w:rsidRDefault="00487C5F" w:rsidP="00487C5F">
      <w:pPr>
        <w:jc w:val="both"/>
        <w:rPr>
          <w:szCs w:val="20"/>
        </w:rPr>
      </w:pPr>
    </w:p>
    <w:p w:rsidR="00C8677B" w:rsidRDefault="00487C5F" w:rsidP="00487C5F">
      <w:r w:rsidRPr="00487C5F">
        <w:rPr>
          <w:bCs/>
          <w:szCs w:val="20"/>
        </w:rPr>
        <w:t>We reiterate our view that a near misses requirement would impose complexity and IT development costs on reporting parties without improving the surveillance regime of suspicious transactions and orders as the element of subjectivity in the reporting of events will not be removed. Moreover, the absence of a clear definition of near misses also creates legal uncertainty as to what has to be reported.</w:t>
      </w:r>
    </w:p>
    <w:permEnd w:id="19"/>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Heading1"/>
        <w:keepLines/>
        <w:spacing w:before="480" w:after="0" w:line="276" w:lineRule="auto"/>
        <w:ind w:left="284" w:hanging="284"/>
      </w:pPr>
      <w:r w:rsidRPr="003E7192">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8C1E79" w:rsidRDefault="008C1E79" w:rsidP="008C1E79">
      <w:pPr>
        <w:rPr>
          <w:color w:val="000000"/>
          <w:szCs w:val="20"/>
          <w:lang w:val="en-US" w:eastAsia="en-US"/>
        </w:rPr>
      </w:pPr>
      <w:permStart w:id="20" w:edGrp="everyone"/>
      <w:r>
        <w:rPr>
          <w:color w:val="000000"/>
          <w:szCs w:val="20"/>
          <w:lang w:val="en-US" w:eastAsia="en-US"/>
        </w:rPr>
        <w:t>No we do not agree in respect of the proposed channel for disclosure of inside information related to emission allowances to the extent this is already covered under REMIT</w:t>
      </w:r>
      <w:r w:rsidR="0014598A">
        <w:rPr>
          <w:color w:val="000000"/>
          <w:szCs w:val="20"/>
          <w:lang w:val="en-US" w:eastAsia="en-US"/>
        </w:rPr>
        <w:t>.</w:t>
      </w:r>
    </w:p>
    <w:p w:rsidR="0014598A" w:rsidRDefault="0014598A" w:rsidP="008C1E79">
      <w:pPr>
        <w:rPr>
          <w:iCs/>
          <w:color w:val="000000"/>
          <w:szCs w:val="20"/>
          <w:lang w:val="en-US" w:eastAsia="en-US"/>
        </w:rPr>
      </w:pPr>
      <w:r>
        <w:rPr>
          <w:color w:val="000000"/>
          <w:szCs w:val="20"/>
          <w:lang w:val="en-US" w:eastAsia="en-US"/>
        </w:rPr>
        <w:t>According to recital 51 of MAR</w:t>
      </w:r>
      <w:r w:rsidR="00316463">
        <w:rPr>
          <w:color w:val="000000"/>
          <w:szCs w:val="20"/>
          <w:lang w:val="en-US" w:eastAsia="en-US"/>
        </w:rPr>
        <w:t xml:space="preserve">, which states </w:t>
      </w:r>
      <w:r>
        <w:rPr>
          <w:color w:val="000000"/>
          <w:szCs w:val="20"/>
          <w:lang w:val="en-US" w:eastAsia="en-US"/>
        </w:rPr>
        <w:t>that “</w:t>
      </w:r>
      <w:r w:rsidRPr="008C1E79">
        <w:rPr>
          <w:i/>
          <w:iCs/>
          <w:color w:val="000000"/>
          <w:szCs w:val="20"/>
          <w:u w:val="single"/>
          <w:lang w:val="en-US" w:eastAsia="en-US"/>
        </w:rPr>
        <w:t>where EAMP already comply with equivalent inside information disclosure requirements, notably pursuant to Regulation (EU) N°1221/2011, the obligation to disclose inside information concerning emission allowances should not lead to the duplication of mandatory disclosures with substantially the same content</w:t>
      </w:r>
      <w:r>
        <w:rPr>
          <w:i/>
          <w:iCs/>
          <w:color w:val="000000"/>
          <w:szCs w:val="20"/>
          <w:u w:val="single"/>
          <w:lang w:val="en-US" w:eastAsia="en-US"/>
        </w:rPr>
        <w:t>”</w:t>
      </w:r>
      <w:r>
        <w:rPr>
          <w:iCs/>
          <w:color w:val="000000"/>
          <w:szCs w:val="20"/>
          <w:lang w:val="en-US" w:eastAsia="en-US"/>
        </w:rPr>
        <w:t xml:space="preserve">, ESMA should explicitly recognize and accept that any REMIT disclosure is sufficient at any time for MAR purposes, this in order to avoid </w:t>
      </w:r>
      <w:r w:rsidR="00316463">
        <w:rPr>
          <w:iCs/>
          <w:color w:val="000000"/>
          <w:szCs w:val="20"/>
          <w:lang w:val="en-US" w:eastAsia="en-US"/>
        </w:rPr>
        <w:t xml:space="preserve">duplicative </w:t>
      </w:r>
      <w:r>
        <w:rPr>
          <w:iCs/>
          <w:color w:val="000000"/>
          <w:szCs w:val="20"/>
          <w:lang w:val="en-US" w:eastAsia="en-US"/>
        </w:rPr>
        <w:t xml:space="preserve">reporting which is not useful </w:t>
      </w:r>
      <w:r w:rsidR="005C7C77">
        <w:rPr>
          <w:iCs/>
          <w:color w:val="000000"/>
          <w:szCs w:val="20"/>
          <w:lang w:val="en-US" w:eastAsia="en-US"/>
        </w:rPr>
        <w:t>and</w:t>
      </w:r>
      <w:r>
        <w:rPr>
          <w:iCs/>
          <w:color w:val="000000"/>
          <w:szCs w:val="20"/>
          <w:lang w:val="en-US" w:eastAsia="en-US"/>
        </w:rPr>
        <w:t xml:space="preserve"> has no added-value, </w:t>
      </w:r>
      <w:r w:rsidR="0055725D">
        <w:rPr>
          <w:iCs/>
          <w:color w:val="000000"/>
          <w:szCs w:val="20"/>
          <w:lang w:val="en-US" w:eastAsia="en-US"/>
        </w:rPr>
        <w:t xml:space="preserve">to </w:t>
      </w:r>
      <w:r>
        <w:rPr>
          <w:iCs/>
          <w:color w:val="000000"/>
          <w:szCs w:val="20"/>
          <w:lang w:val="en-US" w:eastAsia="en-US"/>
        </w:rPr>
        <w:t>remain cost-efficient and limit the regulatory impact of notifications and disclosure requirements.</w:t>
      </w:r>
    </w:p>
    <w:p w:rsidR="0055725D" w:rsidRDefault="0055725D" w:rsidP="008C1E79">
      <w:pPr>
        <w:rPr>
          <w:iCs/>
          <w:color w:val="000000"/>
          <w:szCs w:val="20"/>
          <w:lang w:val="en-US" w:eastAsia="en-US"/>
        </w:rPr>
      </w:pPr>
    </w:p>
    <w:p w:rsidR="00316463" w:rsidRDefault="0014598A" w:rsidP="008C1E79">
      <w:pPr>
        <w:rPr>
          <w:color w:val="000000"/>
          <w:szCs w:val="20"/>
          <w:lang w:val="en-US" w:eastAsia="en-US"/>
        </w:rPr>
      </w:pPr>
      <w:r>
        <w:rPr>
          <w:iCs/>
          <w:color w:val="000000"/>
          <w:szCs w:val="20"/>
          <w:lang w:val="en-US" w:eastAsia="en-US"/>
        </w:rPr>
        <w:t xml:space="preserve">In this respect, it should be noted that </w:t>
      </w:r>
      <w:r w:rsidR="005C7C77">
        <w:rPr>
          <w:iCs/>
          <w:color w:val="000000"/>
          <w:szCs w:val="20"/>
          <w:lang w:val="en-US" w:eastAsia="en-US"/>
        </w:rPr>
        <w:t>overall</w:t>
      </w:r>
      <w:r w:rsidR="0055725D">
        <w:rPr>
          <w:iCs/>
          <w:color w:val="000000"/>
          <w:szCs w:val="20"/>
          <w:lang w:val="en-US" w:eastAsia="en-US"/>
        </w:rPr>
        <w:t xml:space="preserve"> </w:t>
      </w:r>
      <w:r>
        <w:rPr>
          <w:iCs/>
          <w:color w:val="000000"/>
          <w:szCs w:val="20"/>
          <w:lang w:val="en-US" w:eastAsia="en-US"/>
        </w:rPr>
        <w:t>p</w:t>
      </w:r>
      <w:r w:rsidR="008C1E79" w:rsidRPr="008C1E79">
        <w:rPr>
          <w:color w:val="000000"/>
          <w:szCs w:val="20"/>
          <w:lang w:val="en-US" w:eastAsia="en-US"/>
        </w:rPr>
        <w:t>articipants to the emission allowances markets are diffe</w:t>
      </w:r>
      <w:r w:rsidR="008C1E79" w:rsidRPr="008C1E79">
        <w:rPr>
          <w:color w:val="000000"/>
          <w:szCs w:val="20"/>
          <w:lang w:val="en-US" w:eastAsia="en-US"/>
        </w:rPr>
        <w:t>r</w:t>
      </w:r>
      <w:r w:rsidR="008C1E79" w:rsidRPr="008C1E79">
        <w:rPr>
          <w:color w:val="000000"/>
          <w:szCs w:val="20"/>
          <w:lang w:val="en-US" w:eastAsia="en-US"/>
        </w:rPr>
        <w:t>ent and more professional than retail investors</w:t>
      </w:r>
      <w:r w:rsidR="00040ECA">
        <w:rPr>
          <w:color w:val="000000"/>
          <w:szCs w:val="20"/>
          <w:lang w:val="en-US" w:eastAsia="en-US"/>
        </w:rPr>
        <w:t xml:space="preserve"> in typical financial instruments (bonds/shares/…)</w:t>
      </w:r>
      <w:r>
        <w:rPr>
          <w:color w:val="000000"/>
          <w:szCs w:val="20"/>
          <w:lang w:val="en-US" w:eastAsia="en-US"/>
        </w:rPr>
        <w:t xml:space="preserve">; and that they have good </w:t>
      </w:r>
      <w:r w:rsidR="008C1E79" w:rsidRPr="008C1E79">
        <w:rPr>
          <w:color w:val="000000"/>
          <w:szCs w:val="20"/>
          <w:lang w:val="en-US" w:eastAsia="en-US"/>
        </w:rPr>
        <w:t xml:space="preserve">knowledge of </w:t>
      </w:r>
      <w:r w:rsidR="00040ECA">
        <w:rPr>
          <w:color w:val="000000"/>
          <w:szCs w:val="20"/>
          <w:lang w:val="en-US" w:eastAsia="en-US"/>
        </w:rPr>
        <w:t xml:space="preserve">the transparency platforms and company websites used to </w:t>
      </w:r>
      <w:r w:rsidR="008C1E79" w:rsidRPr="008C1E79">
        <w:rPr>
          <w:color w:val="000000"/>
          <w:szCs w:val="20"/>
          <w:lang w:val="en-US" w:eastAsia="en-US"/>
        </w:rPr>
        <w:t>pu</w:t>
      </w:r>
      <w:r w:rsidR="008C1E79" w:rsidRPr="008C1E79">
        <w:rPr>
          <w:color w:val="000000"/>
          <w:szCs w:val="20"/>
          <w:lang w:val="en-US" w:eastAsia="en-US"/>
        </w:rPr>
        <w:t>b</w:t>
      </w:r>
      <w:r w:rsidR="008C1E79" w:rsidRPr="008C1E79">
        <w:rPr>
          <w:color w:val="000000"/>
          <w:szCs w:val="20"/>
          <w:lang w:val="en-US" w:eastAsia="en-US"/>
        </w:rPr>
        <w:t>lish inside information</w:t>
      </w:r>
      <w:r w:rsidR="00040ECA">
        <w:rPr>
          <w:color w:val="000000"/>
          <w:szCs w:val="20"/>
          <w:lang w:val="en-US" w:eastAsia="en-US"/>
        </w:rPr>
        <w:t xml:space="preserve"> on the EAMPs installations</w:t>
      </w:r>
      <w:r w:rsidR="008C1E79" w:rsidRPr="008C1E79">
        <w:rPr>
          <w:color w:val="000000"/>
          <w:szCs w:val="20"/>
          <w:lang w:val="en-US" w:eastAsia="en-US"/>
        </w:rPr>
        <w:t xml:space="preserve">. </w:t>
      </w:r>
    </w:p>
    <w:p w:rsidR="0014598A" w:rsidRDefault="008C1E79" w:rsidP="008C1E79">
      <w:pPr>
        <w:rPr>
          <w:color w:val="000000"/>
          <w:szCs w:val="20"/>
          <w:lang w:val="en-US" w:eastAsia="en-US"/>
        </w:rPr>
      </w:pPr>
      <w:r w:rsidRPr="008C1E79">
        <w:rPr>
          <w:color w:val="000000"/>
          <w:szCs w:val="20"/>
          <w:lang w:val="en-US" w:eastAsia="en-US"/>
        </w:rPr>
        <w:t>Therefore, we do not believe there is a need for EAMP</w:t>
      </w:r>
      <w:r w:rsidR="00316463">
        <w:rPr>
          <w:color w:val="000000"/>
          <w:szCs w:val="20"/>
          <w:lang w:val="en-US" w:eastAsia="en-US"/>
        </w:rPr>
        <w:t>s</w:t>
      </w:r>
      <w:r w:rsidRPr="008C1E79">
        <w:rPr>
          <w:color w:val="000000"/>
          <w:szCs w:val="20"/>
          <w:lang w:val="en-US" w:eastAsia="en-US"/>
        </w:rPr>
        <w:t xml:space="preserve"> to disclose inside information </w:t>
      </w:r>
      <w:r w:rsidR="00040ECA">
        <w:rPr>
          <w:color w:val="000000"/>
          <w:szCs w:val="20"/>
          <w:lang w:val="en-US" w:eastAsia="en-US"/>
        </w:rPr>
        <w:t xml:space="preserve">on their physical operations </w:t>
      </w:r>
      <w:r w:rsidRPr="008C1E79">
        <w:rPr>
          <w:color w:val="000000"/>
          <w:szCs w:val="20"/>
          <w:lang w:val="en-US" w:eastAsia="en-US"/>
        </w:rPr>
        <w:t>via the media (publication in newspaper allowing</w:t>
      </w:r>
      <w:r w:rsidR="0014598A">
        <w:rPr>
          <w:color w:val="000000"/>
          <w:szCs w:val="20"/>
          <w:lang w:val="en-US" w:eastAsia="en-US"/>
        </w:rPr>
        <w:t xml:space="preserve"> active</w:t>
      </w:r>
      <w:r w:rsidRPr="008C1E79">
        <w:rPr>
          <w:color w:val="000000"/>
          <w:szCs w:val="20"/>
          <w:lang w:val="en-US" w:eastAsia="en-US"/>
        </w:rPr>
        <w:t xml:space="preserve"> dissemination throughout the EU). Additionally,</w:t>
      </w:r>
      <w:r w:rsidR="0014598A">
        <w:rPr>
          <w:color w:val="000000"/>
          <w:szCs w:val="20"/>
          <w:lang w:val="en-US" w:eastAsia="en-US"/>
        </w:rPr>
        <w:t xml:space="preserve"> </w:t>
      </w:r>
      <w:r w:rsidRPr="008C1E79">
        <w:rPr>
          <w:color w:val="000000"/>
          <w:szCs w:val="20"/>
          <w:lang w:val="en-US" w:eastAsia="en-US"/>
        </w:rPr>
        <w:t>EAMP</w:t>
      </w:r>
      <w:r w:rsidR="0014598A">
        <w:rPr>
          <w:color w:val="000000"/>
          <w:szCs w:val="20"/>
          <w:lang w:val="en-US" w:eastAsia="en-US"/>
        </w:rPr>
        <w:t>s within REMIT scope</w:t>
      </w:r>
      <w:r w:rsidRPr="008C1E79">
        <w:rPr>
          <w:color w:val="000000"/>
          <w:szCs w:val="20"/>
          <w:lang w:val="en-US" w:eastAsia="en-US"/>
        </w:rPr>
        <w:t xml:space="preserve"> already publish information </w:t>
      </w:r>
      <w:r w:rsidR="0014598A">
        <w:rPr>
          <w:color w:val="000000"/>
          <w:szCs w:val="20"/>
          <w:lang w:val="en-US" w:eastAsia="en-US"/>
        </w:rPr>
        <w:t>on the availability of their install</w:t>
      </w:r>
      <w:r w:rsidR="0014598A">
        <w:rPr>
          <w:color w:val="000000"/>
          <w:szCs w:val="20"/>
          <w:lang w:val="en-US" w:eastAsia="en-US"/>
        </w:rPr>
        <w:t>a</w:t>
      </w:r>
      <w:r w:rsidR="0014598A">
        <w:rPr>
          <w:color w:val="000000"/>
          <w:szCs w:val="20"/>
          <w:lang w:val="en-US" w:eastAsia="en-US"/>
        </w:rPr>
        <w:t xml:space="preserve">tions </w:t>
      </w:r>
      <w:r w:rsidRPr="008C1E79">
        <w:rPr>
          <w:color w:val="000000"/>
          <w:szCs w:val="20"/>
          <w:lang w:val="en-US" w:eastAsia="en-US"/>
        </w:rPr>
        <w:t xml:space="preserve">for REMIT purposes and </w:t>
      </w:r>
      <w:r w:rsidR="0014598A">
        <w:rPr>
          <w:color w:val="000000"/>
          <w:szCs w:val="20"/>
          <w:lang w:val="en-US" w:eastAsia="en-US"/>
        </w:rPr>
        <w:t xml:space="preserve">even in more detail </w:t>
      </w:r>
      <w:r w:rsidR="005C7C77">
        <w:rPr>
          <w:color w:val="000000"/>
          <w:szCs w:val="20"/>
          <w:lang w:val="en-US" w:eastAsia="en-US"/>
        </w:rPr>
        <w:t xml:space="preserve">and with higher frequency </w:t>
      </w:r>
      <w:r w:rsidR="0014598A">
        <w:rPr>
          <w:color w:val="000000"/>
          <w:szCs w:val="20"/>
          <w:lang w:val="en-US" w:eastAsia="en-US"/>
        </w:rPr>
        <w:t xml:space="preserve">than what is expected under MAR. </w:t>
      </w:r>
      <w:r w:rsidR="0055725D">
        <w:rPr>
          <w:color w:val="000000"/>
          <w:szCs w:val="20"/>
          <w:lang w:val="en-US" w:eastAsia="en-US"/>
        </w:rPr>
        <w:t xml:space="preserve">Requiring the active dissemination of EAMPs inside information, </w:t>
      </w:r>
      <w:r w:rsidR="005C7C77">
        <w:rPr>
          <w:color w:val="000000"/>
          <w:szCs w:val="20"/>
          <w:lang w:val="en-US" w:eastAsia="en-US"/>
        </w:rPr>
        <w:t xml:space="preserve">similar to the obligation </w:t>
      </w:r>
      <w:r w:rsidR="0055725D">
        <w:rPr>
          <w:color w:val="000000"/>
          <w:szCs w:val="20"/>
          <w:lang w:val="en-US" w:eastAsia="en-US"/>
        </w:rPr>
        <w:t>i</w:t>
      </w:r>
      <w:r w:rsidR="0055725D">
        <w:rPr>
          <w:color w:val="000000"/>
          <w:szCs w:val="20"/>
          <w:lang w:val="en-US" w:eastAsia="en-US"/>
        </w:rPr>
        <w:t>m</w:t>
      </w:r>
      <w:r w:rsidR="0055725D">
        <w:rPr>
          <w:color w:val="000000"/>
          <w:szCs w:val="20"/>
          <w:lang w:val="en-US" w:eastAsia="en-US"/>
        </w:rPr>
        <w:t>posed on iss</w:t>
      </w:r>
      <w:r w:rsidR="0055725D">
        <w:rPr>
          <w:color w:val="000000"/>
          <w:szCs w:val="20"/>
          <w:lang w:val="en-US" w:eastAsia="en-US"/>
        </w:rPr>
        <w:t>u</w:t>
      </w:r>
      <w:r w:rsidR="0055725D">
        <w:rPr>
          <w:color w:val="000000"/>
          <w:szCs w:val="20"/>
          <w:lang w:val="en-US" w:eastAsia="en-US"/>
        </w:rPr>
        <w:t>ers, would not be proportionate given the different frequency whereby issuers and EAMPs would need to publish inside information (cf. number of UMMs published per day on the various REMIT tran</w:t>
      </w:r>
      <w:r w:rsidR="0055725D">
        <w:rPr>
          <w:color w:val="000000"/>
          <w:szCs w:val="20"/>
          <w:lang w:val="en-US" w:eastAsia="en-US"/>
        </w:rPr>
        <w:t>s</w:t>
      </w:r>
      <w:r w:rsidR="0055725D">
        <w:rPr>
          <w:color w:val="000000"/>
          <w:szCs w:val="20"/>
          <w:lang w:val="en-US" w:eastAsia="en-US"/>
        </w:rPr>
        <w:t xml:space="preserve">parency websites </w:t>
      </w:r>
      <w:proofErr w:type="spellStart"/>
      <w:r w:rsidR="0055725D">
        <w:rPr>
          <w:color w:val="000000"/>
          <w:szCs w:val="20"/>
          <w:lang w:val="en-US" w:eastAsia="en-US"/>
        </w:rPr>
        <w:t>vs</w:t>
      </w:r>
      <w:proofErr w:type="spellEnd"/>
      <w:r w:rsidR="0055725D">
        <w:rPr>
          <w:color w:val="000000"/>
          <w:szCs w:val="20"/>
          <w:lang w:val="en-US" w:eastAsia="en-US"/>
        </w:rPr>
        <w:t xml:space="preserve"> inside information </w:t>
      </w:r>
      <w:r w:rsidR="00316463">
        <w:rPr>
          <w:color w:val="000000"/>
          <w:szCs w:val="20"/>
          <w:lang w:val="en-US" w:eastAsia="en-US"/>
        </w:rPr>
        <w:t>published daily by/</w:t>
      </w:r>
      <w:r w:rsidR="0055725D">
        <w:rPr>
          <w:color w:val="000000"/>
          <w:szCs w:val="20"/>
          <w:lang w:val="en-US" w:eastAsia="en-US"/>
        </w:rPr>
        <w:t>on issuers).</w:t>
      </w:r>
    </w:p>
    <w:p w:rsidR="0014598A" w:rsidRDefault="00036265" w:rsidP="008C1E79">
      <w:pPr>
        <w:rPr>
          <w:color w:val="000000"/>
          <w:szCs w:val="20"/>
          <w:lang w:val="en-US" w:eastAsia="en-US"/>
        </w:rPr>
      </w:pPr>
      <w:r>
        <w:rPr>
          <w:color w:val="000000"/>
          <w:szCs w:val="20"/>
          <w:lang w:val="en-US" w:eastAsia="en-US"/>
        </w:rPr>
        <w:t>Also the consultant explicitly recognize in its report that “</w:t>
      </w:r>
      <w:r w:rsidRPr="00036265">
        <w:rPr>
          <w:i/>
          <w:color w:val="000000"/>
          <w:szCs w:val="20"/>
          <w:lang w:val="en-US" w:eastAsia="en-US"/>
        </w:rPr>
        <w:t xml:space="preserve"> a large proportion of the most important ca</w:t>
      </w:r>
      <w:r w:rsidRPr="00036265">
        <w:rPr>
          <w:i/>
          <w:color w:val="000000"/>
          <w:szCs w:val="20"/>
          <w:lang w:val="en-US" w:eastAsia="en-US"/>
        </w:rPr>
        <w:t>r</w:t>
      </w:r>
      <w:r w:rsidRPr="00036265">
        <w:rPr>
          <w:i/>
          <w:color w:val="000000"/>
          <w:szCs w:val="20"/>
          <w:lang w:val="en-US" w:eastAsia="en-US"/>
        </w:rPr>
        <w:t>bon market participants, being energy and power firms, are already under an obligation to disclose information relevant to emissions, in that changes in energy generation are directly linkable to the production of CO2</w:t>
      </w:r>
      <w:r>
        <w:rPr>
          <w:color w:val="000000"/>
          <w:szCs w:val="20"/>
          <w:lang w:val="en-US" w:eastAsia="en-US"/>
        </w:rPr>
        <w:t>” (p.12 consultation report).</w:t>
      </w:r>
    </w:p>
    <w:p w:rsidR="00154A57" w:rsidRDefault="00154A57" w:rsidP="008C1E79">
      <w:pPr>
        <w:rPr>
          <w:color w:val="000000"/>
          <w:szCs w:val="20"/>
          <w:lang w:val="en-US" w:eastAsia="en-US"/>
        </w:rPr>
      </w:pPr>
    </w:p>
    <w:p w:rsidR="00040ECA" w:rsidRDefault="00BF1C4C" w:rsidP="00C8677B">
      <w:r>
        <w:rPr>
          <w:color w:val="000000"/>
          <w:szCs w:val="20"/>
          <w:lang w:val="en-US" w:eastAsia="en-US"/>
        </w:rPr>
        <w:t>A</w:t>
      </w:r>
      <w:r w:rsidR="0014598A">
        <w:rPr>
          <w:color w:val="000000"/>
          <w:szCs w:val="20"/>
          <w:lang w:val="en-US" w:eastAsia="en-US"/>
        </w:rPr>
        <w:t xml:space="preserve">ny disclosure process applying to EAMPs which are already in REMIT scope should be </w:t>
      </w:r>
      <w:r w:rsidR="008C1E79" w:rsidRPr="008C1E79">
        <w:rPr>
          <w:color w:val="000000"/>
          <w:szCs w:val="20"/>
          <w:lang w:val="en-US" w:eastAsia="en-US"/>
        </w:rPr>
        <w:t>straightforward, easy to implement</w:t>
      </w:r>
      <w:r w:rsidR="0014598A">
        <w:rPr>
          <w:color w:val="000000"/>
          <w:szCs w:val="20"/>
          <w:lang w:val="en-US" w:eastAsia="en-US"/>
        </w:rPr>
        <w:t xml:space="preserve"> and consistent </w:t>
      </w:r>
      <w:r w:rsidR="008C1E79" w:rsidRPr="008C1E79">
        <w:rPr>
          <w:color w:val="000000"/>
          <w:szCs w:val="20"/>
          <w:lang w:val="en-US" w:eastAsia="en-US"/>
        </w:rPr>
        <w:t xml:space="preserve">with REMIT publication </w:t>
      </w:r>
      <w:r w:rsidR="0014598A">
        <w:rPr>
          <w:color w:val="000000"/>
          <w:szCs w:val="20"/>
          <w:lang w:val="en-US" w:eastAsia="en-US"/>
        </w:rPr>
        <w:t xml:space="preserve">requirements in order </w:t>
      </w:r>
      <w:r w:rsidR="008C1E79" w:rsidRPr="008C1E79">
        <w:rPr>
          <w:color w:val="000000"/>
          <w:szCs w:val="20"/>
          <w:lang w:val="en-US" w:eastAsia="en-US"/>
        </w:rPr>
        <w:t>to avoid duplicative reporting</w:t>
      </w:r>
      <w:r w:rsidR="0014598A">
        <w:rPr>
          <w:color w:val="000000"/>
          <w:szCs w:val="20"/>
          <w:lang w:val="en-US" w:eastAsia="en-US"/>
        </w:rPr>
        <w:t xml:space="preserve"> (which should be avoided as explicitly stated in MAR recital 51)</w:t>
      </w:r>
      <w:r w:rsidR="008C1E79" w:rsidRPr="008C1E79">
        <w:rPr>
          <w:color w:val="000000"/>
          <w:szCs w:val="20"/>
          <w:lang w:val="en-US" w:eastAsia="en-US"/>
        </w:rPr>
        <w:t xml:space="preserve">. </w:t>
      </w:r>
      <w:r w:rsidR="00040ECA">
        <w:rPr>
          <w:color w:val="000000"/>
          <w:szCs w:val="20"/>
          <w:lang w:val="en-US" w:eastAsia="en-US"/>
        </w:rPr>
        <w:t xml:space="preserve">As a result </w:t>
      </w:r>
      <w:r w:rsidR="008C1E79" w:rsidRPr="008C1E79">
        <w:rPr>
          <w:color w:val="000000"/>
          <w:szCs w:val="20"/>
          <w:lang w:val="en-US" w:eastAsia="en-US"/>
        </w:rPr>
        <w:t>the publication of</w:t>
      </w:r>
      <w:r w:rsidR="0014598A">
        <w:rPr>
          <w:color w:val="000000"/>
          <w:szCs w:val="20"/>
          <w:lang w:val="en-US" w:eastAsia="en-US"/>
        </w:rPr>
        <w:t xml:space="preserve"> inside information</w:t>
      </w:r>
      <w:r w:rsidR="008C1E79" w:rsidRPr="008C1E79">
        <w:rPr>
          <w:color w:val="000000"/>
          <w:szCs w:val="20"/>
          <w:lang w:val="en-US" w:eastAsia="en-US"/>
        </w:rPr>
        <w:t xml:space="preserve"> on a EAMP's website or other </w:t>
      </w:r>
      <w:r w:rsidR="005C7C77" w:rsidRPr="008C1E79">
        <w:rPr>
          <w:color w:val="000000"/>
          <w:szCs w:val="20"/>
          <w:lang w:val="en-US" w:eastAsia="en-US"/>
        </w:rPr>
        <w:t>centralized</w:t>
      </w:r>
      <w:r w:rsidR="008C1E79" w:rsidRPr="008C1E79">
        <w:rPr>
          <w:color w:val="000000"/>
          <w:szCs w:val="20"/>
          <w:lang w:val="en-US" w:eastAsia="en-US"/>
        </w:rPr>
        <w:t xml:space="preserve"> transparency platforms (</w:t>
      </w:r>
      <w:proofErr w:type="spellStart"/>
      <w:r w:rsidR="008C1E79" w:rsidRPr="008C1E79">
        <w:rPr>
          <w:color w:val="000000"/>
          <w:szCs w:val="20"/>
          <w:lang w:val="en-US" w:eastAsia="en-US"/>
        </w:rPr>
        <w:t>eg</w:t>
      </w:r>
      <w:proofErr w:type="spellEnd"/>
      <w:r w:rsidR="008C1E79" w:rsidRPr="008C1E79">
        <w:rPr>
          <w:color w:val="000000"/>
          <w:szCs w:val="20"/>
          <w:lang w:val="en-US" w:eastAsia="en-US"/>
        </w:rPr>
        <w:t xml:space="preserve"> EMFIP of ENTSO-E under </w:t>
      </w:r>
      <w:proofErr w:type="spellStart"/>
      <w:r w:rsidR="008C1E79" w:rsidRPr="008C1E79">
        <w:rPr>
          <w:color w:val="000000"/>
          <w:szCs w:val="20"/>
          <w:lang w:val="en-US" w:eastAsia="en-US"/>
        </w:rPr>
        <w:t>Reg</w:t>
      </w:r>
      <w:proofErr w:type="spellEnd"/>
      <w:r w:rsidR="008C1E79" w:rsidRPr="008C1E79">
        <w:rPr>
          <w:color w:val="000000"/>
          <w:szCs w:val="20"/>
          <w:lang w:val="en-US" w:eastAsia="en-US"/>
        </w:rPr>
        <w:t xml:space="preserve"> 543/2013) should be sufficient </w:t>
      </w:r>
      <w:r>
        <w:rPr>
          <w:color w:val="000000"/>
          <w:szCs w:val="20"/>
          <w:lang w:val="en-US" w:eastAsia="en-US"/>
        </w:rPr>
        <w:t xml:space="preserve">for MAR purposes; </w:t>
      </w:r>
      <w:r w:rsidR="00316463">
        <w:rPr>
          <w:color w:val="000000"/>
          <w:szCs w:val="20"/>
          <w:lang w:val="en-US" w:eastAsia="en-US"/>
        </w:rPr>
        <w:t xml:space="preserve">even if no active distribution of the information. </w:t>
      </w:r>
      <w:r w:rsidR="00040ECA">
        <w:t xml:space="preserve">Any other process whereby the regime of the transparency directive (TD) would apply to all disclosures of inside information under MAR would not be reasonable, </w:t>
      </w:r>
      <w:r w:rsidR="005C7C77">
        <w:t xml:space="preserve">nor </w:t>
      </w:r>
      <w:r w:rsidR="00040ECA">
        <w:t>consistent with level 1 text (</w:t>
      </w:r>
      <w:proofErr w:type="spellStart"/>
      <w:r w:rsidR="00040ECA">
        <w:t>cf</w:t>
      </w:r>
      <w:proofErr w:type="spellEnd"/>
      <w:r w:rsidR="00040ECA">
        <w:t xml:space="preserve"> Recital 20 and 51 and article 25(3) MAR) and would not ensure an effective and efficient disclosure r</w:t>
      </w:r>
      <w:r w:rsidR="00040ECA">
        <w:t>e</w:t>
      </w:r>
      <w:r w:rsidR="00040ECA">
        <w:t>gime.</w:t>
      </w:r>
    </w:p>
    <w:p w:rsidR="00040ECA" w:rsidRDefault="00040ECA" w:rsidP="00C8677B">
      <w:r>
        <w:t>Taking into account the above, we believe that the correct approach is to harmonize all information discl</w:t>
      </w:r>
      <w:r>
        <w:t>o</w:t>
      </w:r>
      <w:r>
        <w:t>sure requirements for EAMPs to the regime being developed under REMIT and explicitly stipulate that any disclosure made under REMIT is sufficient for MAR purposes in respect of EAMPs also within REMIT scope.</w:t>
      </w:r>
    </w:p>
    <w:permEnd w:id="20"/>
    <w:p w:rsidR="00C8677B" w:rsidRDefault="00C8677B" w:rsidP="00C8677B">
      <w:r>
        <w:t>&lt;</w:t>
      </w:r>
      <w:r w:rsidR="00CB6CDD">
        <w:t>ESMA_QUESTION_MAR_TS_</w:t>
      </w:r>
      <w:r>
        <w:t>17&gt;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CF060C" w:rsidRDefault="00040ECA" w:rsidP="00040ECA">
      <w:pPr>
        <w:jc w:val="both"/>
        <w:rPr>
          <w:bCs/>
          <w:szCs w:val="20"/>
        </w:rPr>
      </w:pPr>
      <w:permStart w:id="21" w:edGrp="everyone"/>
      <w:r w:rsidRPr="00040ECA">
        <w:rPr>
          <w:bCs/>
          <w:szCs w:val="20"/>
        </w:rPr>
        <w:t xml:space="preserve">Yes, we believe so. Potential investors and market participants active in the emission allowances markets have very good knowledge of these markets which they trade in and they know where this information can be accessed to the extent it concerns EAMPs which are already subject to REMIT. </w:t>
      </w:r>
      <w:r w:rsidR="00CF060C">
        <w:rPr>
          <w:bCs/>
          <w:szCs w:val="20"/>
        </w:rPr>
        <w:t>All centralised transpa</w:t>
      </w:r>
      <w:r w:rsidR="00CF060C">
        <w:rPr>
          <w:bCs/>
          <w:szCs w:val="20"/>
        </w:rPr>
        <w:t>r</w:t>
      </w:r>
      <w:r w:rsidR="00CF060C">
        <w:rPr>
          <w:bCs/>
          <w:szCs w:val="20"/>
        </w:rPr>
        <w:t xml:space="preserve">ency platforms and dedicated REMIT company websites further offer alert notifications by </w:t>
      </w:r>
      <w:r w:rsidR="002A4D91">
        <w:rPr>
          <w:bCs/>
          <w:szCs w:val="20"/>
        </w:rPr>
        <w:t xml:space="preserve">email or </w:t>
      </w:r>
      <w:r w:rsidR="00CF060C">
        <w:rPr>
          <w:bCs/>
          <w:szCs w:val="20"/>
        </w:rPr>
        <w:t>RSS feeds to which any interested investor in emission allowances can subscribe. Where information has been disclosed under REMIT, this information should no longer constitute inside information for the purposes of MAR.</w:t>
      </w:r>
    </w:p>
    <w:p w:rsidR="00CF060C" w:rsidRDefault="00CF060C" w:rsidP="00040ECA">
      <w:pPr>
        <w:jc w:val="both"/>
        <w:rPr>
          <w:bCs/>
          <w:szCs w:val="20"/>
        </w:rPr>
      </w:pPr>
    </w:p>
    <w:p w:rsidR="00C8677B" w:rsidRDefault="00040ECA" w:rsidP="00CF060C">
      <w:pPr>
        <w:jc w:val="both"/>
      </w:pPr>
      <w:r w:rsidRPr="00040ECA">
        <w:rPr>
          <w:bCs/>
          <w:szCs w:val="20"/>
        </w:rPr>
        <w:t>For EAMPs not subject to REMIT, instead of</w:t>
      </w:r>
      <w:r w:rsidRPr="00040ECA" w:rsidDel="003369E6">
        <w:rPr>
          <w:bCs/>
          <w:szCs w:val="20"/>
        </w:rPr>
        <w:t xml:space="preserve"> </w:t>
      </w:r>
      <w:r w:rsidRPr="00040ECA">
        <w:rPr>
          <w:bCs/>
          <w:szCs w:val="20"/>
        </w:rPr>
        <w:t xml:space="preserve">establishing a parallel reporting regime under MAR, ESMA </w:t>
      </w:r>
      <w:r>
        <w:rPr>
          <w:bCs/>
          <w:szCs w:val="20"/>
        </w:rPr>
        <w:t xml:space="preserve">should </w:t>
      </w:r>
      <w:r>
        <w:t xml:space="preserve">harmonize the information disclosure requirements for EAMPs to the regime being developed under REMIT and in this respect </w:t>
      </w:r>
      <w:r w:rsidRPr="00040ECA">
        <w:rPr>
          <w:bCs/>
          <w:szCs w:val="20"/>
        </w:rPr>
        <w:t>should closely cooperate with</w:t>
      </w:r>
      <w:r w:rsidR="002A4D91">
        <w:rPr>
          <w:bCs/>
          <w:szCs w:val="20"/>
        </w:rPr>
        <w:t xml:space="preserve"> the</w:t>
      </w:r>
      <w:r w:rsidRPr="00040ECA">
        <w:rPr>
          <w:bCs/>
          <w:szCs w:val="20"/>
        </w:rPr>
        <w:t xml:space="preserve"> ACER and other energy regulators to ensure that e.g. all EAMPs (even non-energy market participants) can access and use the EMFIP platform (to be set up by ENTSO-E under Regulation 543/2014) or other centralised information repositories upon request. Furthermore, apart from the disclosure made under REMIT we do not see EAMPs who are energy market participants to possess any other inside information to be disclosed under MAR.</w:t>
      </w:r>
    </w:p>
    <w:permEnd w:id="21"/>
    <w:p w:rsidR="00C8677B" w:rsidRDefault="00C8677B" w:rsidP="00C8677B">
      <w:r>
        <w:t>&lt;</w:t>
      </w:r>
      <w:r w:rsidR="00CB6CDD">
        <w:t>ESMA_QUESTION_MAR_TS_</w:t>
      </w:r>
      <w:r>
        <w:t>18&gt;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C8677B" w:rsidRDefault="00927CBA" w:rsidP="00C8677B">
      <w:permStart w:id="22" w:edGrp="everyone"/>
      <w:r w:rsidRPr="00DA53EE">
        <w:rPr>
          <w:szCs w:val="20"/>
        </w:rPr>
        <w:t>This would mean d</w:t>
      </w:r>
      <w:r w:rsidR="00442780" w:rsidRPr="00DA53EE">
        <w:rPr>
          <w:szCs w:val="20"/>
        </w:rPr>
        <w:t xml:space="preserve">uplication of disclosure processes and reporting channels with different parameters, IT interfaces and </w:t>
      </w:r>
      <w:r w:rsidRPr="00DA53EE">
        <w:rPr>
          <w:szCs w:val="20"/>
        </w:rPr>
        <w:t xml:space="preserve">other </w:t>
      </w:r>
      <w:r w:rsidR="00442780" w:rsidRPr="00DA53EE">
        <w:rPr>
          <w:szCs w:val="20"/>
        </w:rPr>
        <w:t>technical and operational complexity leading to additional high development, impl</w:t>
      </w:r>
      <w:r w:rsidR="00442780" w:rsidRPr="00DA53EE">
        <w:rPr>
          <w:szCs w:val="20"/>
        </w:rPr>
        <w:t>e</w:t>
      </w:r>
      <w:r w:rsidR="00442780" w:rsidRPr="00DA53EE">
        <w:rPr>
          <w:szCs w:val="20"/>
        </w:rPr>
        <w:t>mentation and operational costs; whilst increasing the</w:t>
      </w:r>
      <w:r w:rsidR="002A4D91">
        <w:rPr>
          <w:szCs w:val="20"/>
        </w:rPr>
        <w:t xml:space="preserve"> risk of unintended compliance breaches whereby information is no longer considered “inside” under REMIT but still under “MAR”.</w:t>
      </w:r>
      <w:r w:rsidR="00442780" w:rsidRPr="00DA53EE">
        <w:rPr>
          <w:szCs w:val="20"/>
        </w:rPr>
        <w:t xml:space="preserve"> Situation to be avoided at any time as it would </w:t>
      </w:r>
      <w:r w:rsidR="002A4D91">
        <w:rPr>
          <w:szCs w:val="20"/>
        </w:rPr>
        <w:t xml:space="preserve">create legal uncertainty and risk; and </w:t>
      </w:r>
      <w:r w:rsidR="00442780" w:rsidRPr="00DA53EE">
        <w:rPr>
          <w:szCs w:val="20"/>
        </w:rPr>
        <w:t>complicate internal surveillance and compl</w:t>
      </w:r>
      <w:r w:rsidR="00442780" w:rsidRPr="00DA53EE">
        <w:rPr>
          <w:szCs w:val="20"/>
        </w:rPr>
        <w:t>i</w:t>
      </w:r>
      <w:r w:rsidR="00442780" w:rsidRPr="00DA53EE">
        <w:rPr>
          <w:szCs w:val="20"/>
        </w:rPr>
        <w:t>ance processes; whilst not</w:t>
      </w:r>
      <w:r w:rsidR="005C7C77">
        <w:rPr>
          <w:szCs w:val="20"/>
        </w:rPr>
        <w:t xml:space="preserve"> increasing transparency t</w:t>
      </w:r>
      <w:r w:rsidR="00442780" w:rsidRPr="00DA53EE">
        <w:rPr>
          <w:szCs w:val="20"/>
        </w:rPr>
        <w:t xml:space="preserve">o the emission allowances market because </w:t>
      </w:r>
      <w:r w:rsidR="00442780" w:rsidRPr="002A4D91">
        <w:rPr>
          <w:szCs w:val="20"/>
        </w:rPr>
        <w:t>of the duplication of information already publicly available.</w:t>
      </w:r>
      <w:r w:rsidR="002A4D91" w:rsidRPr="002A4D91">
        <w:rPr>
          <w:szCs w:val="20"/>
        </w:rPr>
        <w:t xml:space="preserve"> Additionally, EAMPs within REMIT scope should be able to transact in the market as soon as the information has been made public</w:t>
      </w:r>
      <w:r w:rsidR="005C7C77">
        <w:rPr>
          <w:szCs w:val="20"/>
        </w:rPr>
        <w:t xml:space="preserve"> once</w:t>
      </w:r>
      <w:r w:rsidR="002A4D91">
        <w:rPr>
          <w:rFonts w:ascii="Univers 45 Light" w:hAnsi="Univers 45 Light"/>
          <w:sz w:val="24"/>
        </w:rPr>
        <w:t>.</w:t>
      </w:r>
    </w:p>
    <w:permEnd w:id="22"/>
    <w:p w:rsidR="00C8677B" w:rsidRDefault="00C8677B" w:rsidP="00C8677B">
      <w:r>
        <w:t>&lt;</w:t>
      </w:r>
      <w:r w:rsidR="00CB6CDD">
        <w:t>ESMA_QUESTION_MAR_TS_</w:t>
      </w:r>
      <w:r>
        <w:t>19&gt;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645508" w:rsidRPr="00645508" w:rsidRDefault="00645508" w:rsidP="00645508">
      <w:pPr>
        <w:jc w:val="both"/>
        <w:rPr>
          <w:szCs w:val="20"/>
        </w:rPr>
      </w:pPr>
      <w:permStart w:id="23" w:edGrp="everyone"/>
      <w:r w:rsidRPr="00645508">
        <w:rPr>
          <w:szCs w:val="20"/>
        </w:rPr>
        <w:t xml:space="preserve">Regarding the notification of delayed disclosure of inside information by EAMPs, we do not </w:t>
      </w:r>
      <w:r w:rsidR="005C7C77">
        <w:rPr>
          <w:szCs w:val="20"/>
        </w:rPr>
        <w:t xml:space="preserve">fully </w:t>
      </w:r>
      <w:r w:rsidRPr="00645508">
        <w:rPr>
          <w:szCs w:val="20"/>
        </w:rPr>
        <w:t xml:space="preserve">agree with ESMA’s argumentation and proposal (point 277 and 278 of the CP) to the extent that this </w:t>
      </w:r>
      <w:r w:rsidR="005C7C77">
        <w:rPr>
          <w:szCs w:val="20"/>
        </w:rPr>
        <w:t xml:space="preserve">applies </w:t>
      </w:r>
      <w:r w:rsidRPr="00645508">
        <w:rPr>
          <w:szCs w:val="20"/>
        </w:rPr>
        <w:t>to an EAMP already subject to REMIT. Under REMIT, similar obligations apply to market pa</w:t>
      </w:r>
      <w:r w:rsidRPr="00645508">
        <w:rPr>
          <w:szCs w:val="20"/>
        </w:rPr>
        <w:t>r</w:t>
      </w:r>
      <w:r w:rsidRPr="00645508">
        <w:rPr>
          <w:szCs w:val="20"/>
        </w:rPr>
        <w:t>ticipants which are required to notify ACER and the relevant competent authorities in case of delayed discl</w:t>
      </w:r>
      <w:r w:rsidRPr="00645508">
        <w:rPr>
          <w:szCs w:val="20"/>
        </w:rPr>
        <w:t>o</w:t>
      </w:r>
      <w:r w:rsidRPr="00645508">
        <w:rPr>
          <w:szCs w:val="20"/>
        </w:rPr>
        <w:t>sure of inside information regarding their physical operations (article 4.2 of REMIT). A dedicated ACER notific</w:t>
      </w:r>
      <w:r w:rsidRPr="00645508">
        <w:rPr>
          <w:szCs w:val="20"/>
        </w:rPr>
        <w:t>a</w:t>
      </w:r>
      <w:r w:rsidRPr="00645508">
        <w:rPr>
          <w:szCs w:val="20"/>
        </w:rPr>
        <w:t>tion platform has been created for these purposes (</w:t>
      </w:r>
      <w:hyperlink r:id="rId15" w:history="1">
        <w:r w:rsidRPr="00645508">
          <w:rPr>
            <w:rStyle w:val="Hyperlink"/>
            <w:szCs w:val="20"/>
          </w:rPr>
          <w:t>https://www.acer-remit.eu/np/art42</w:t>
        </w:r>
      </w:hyperlink>
      <w:r w:rsidRPr="00645508">
        <w:rPr>
          <w:szCs w:val="20"/>
        </w:rPr>
        <w:t xml:space="preserve">). Where an EAMP, subject to REMIT, has submitted such an electronic notification to ACER, this should also be sufficient for MAR purposes as it covers exactly the same information. Therefore we urge ESMA to closely cooperate with ACER </w:t>
      </w:r>
      <w:r>
        <w:rPr>
          <w:szCs w:val="20"/>
        </w:rPr>
        <w:t xml:space="preserve">in order </w:t>
      </w:r>
      <w:r w:rsidRPr="00645508">
        <w:rPr>
          <w:szCs w:val="20"/>
        </w:rPr>
        <w:t>to receive the same information directly from the ACER; and to avoid dupl</w:t>
      </w:r>
      <w:r w:rsidRPr="00645508">
        <w:rPr>
          <w:szCs w:val="20"/>
        </w:rPr>
        <w:t>i</w:t>
      </w:r>
      <w:r w:rsidRPr="00645508">
        <w:rPr>
          <w:szCs w:val="20"/>
        </w:rPr>
        <w:t>cative and/or new obligations on EAMPs</w:t>
      </w:r>
      <w:r>
        <w:rPr>
          <w:szCs w:val="20"/>
        </w:rPr>
        <w:t xml:space="preserve"> already within REMIT scope</w:t>
      </w:r>
      <w:r w:rsidRPr="00645508">
        <w:rPr>
          <w:szCs w:val="20"/>
        </w:rPr>
        <w:t>.</w:t>
      </w:r>
    </w:p>
    <w:p w:rsidR="00645508" w:rsidRPr="00645508" w:rsidRDefault="00645508" w:rsidP="00645508">
      <w:pPr>
        <w:jc w:val="both"/>
        <w:rPr>
          <w:szCs w:val="20"/>
        </w:rPr>
      </w:pPr>
    </w:p>
    <w:p w:rsidR="00C8677B" w:rsidRPr="00645508" w:rsidRDefault="00645508" w:rsidP="00645508">
      <w:pPr>
        <w:jc w:val="both"/>
        <w:rPr>
          <w:szCs w:val="20"/>
        </w:rPr>
      </w:pPr>
      <w:r w:rsidRPr="00645508">
        <w:rPr>
          <w:szCs w:val="20"/>
        </w:rPr>
        <w:t>Additionally, we do not agree that the identity of persons having taken part in the delayed disclosure decision should be communicated for reasons of protection of personal data.</w:t>
      </w:r>
    </w:p>
    <w:permEnd w:id="23"/>
    <w:p w:rsidR="00C8677B" w:rsidRDefault="00C8677B" w:rsidP="00C8677B">
      <w:r>
        <w:t>&lt;</w:t>
      </w:r>
      <w:r w:rsidR="00CB6CDD">
        <w:t>ESMA_QUESTION_MAR_TS_</w:t>
      </w:r>
      <w:r>
        <w:t>20&gt;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C8677B" w:rsidRDefault="004255CF" w:rsidP="004255CF">
      <w:pPr>
        <w:jc w:val="both"/>
      </w:pPr>
      <w:permStart w:id="24" w:edGrp="everyone"/>
      <w:r>
        <w:t xml:space="preserve">No. We consider that </w:t>
      </w:r>
      <w:r w:rsidR="007832E4">
        <w:rPr>
          <w:szCs w:val="20"/>
        </w:rPr>
        <w:t>t</w:t>
      </w:r>
      <w:r w:rsidR="00645508" w:rsidRPr="00645508">
        <w:rPr>
          <w:szCs w:val="20"/>
        </w:rPr>
        <w:t xml:space="preserve">he </w:t>
      </w:r>
      <w:r w:rsidR="007832E4">
        <w:rPr>
          <w:szCs w:val="20"/>
        </w:rPr>
        <w:t xml:space="preserve">level of </w:t>
      </w:r>
      <w:r w:rsidR="00645508" w:rsidRPr="00645508">
        <w:rPr>
          <w:szCs w:val="20"/>
        </w:rPr>
        <w:t xml:space="preserve">details to be kept in the records </w:t>
      </w:r>
      <w:r w:rsidR="007832E4">
        <w:rPr>
          <w:szCs w:val="20"/>
        </w:rPr>
        <w:t xml:space="preserve">are </w:t>
      </w:r>
      <w:r w:rsidR="00645508" w:rsidRPr="00645508">
        <w:rPr>
          <w:szCs w:val="20"/>
        </w:rPr>
        <w:t>too far-reaching for data protection and privacy purposes: e.g. identity of persons deciding, monitoring, publishing, delaying the publication</w:t>
      </w:r>
      <w:r w:rsidR="007832E4">
        <w:rPr>
          <w:szCs w:val="20"/>
        </w:rPr>
        <w:t xml:space="preserve"> and do not support such view</w:t>
      </w:r>
      <w:r w:rsidR="00645508" w:rsidRPr="00645508">
        <w:rPr>
          <w:szCs w:val="20"/>
        </w:rPr>
        <w:t>.</w:t>
      </w:r>
      <w:r w:rsidR="007832E4">
        <w:rPr>
          <w:szCs w:val="20"/>
        </w:rPr>
        <w:t xml:space="preserve"> </w:t>
      </w:r>
    </w:p>
    <w:permEnd w:id="24"/>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Heading1"/>
        <w:keepLines/>
        <w:spacing w:before="480" w:after="0" w:line="276" w:lineRule="auto"/>
        <w:ind w:left="284" w:hanging="284"/>
      </w:pPr>
      <w:r>
        <w:t>I</w:t>
      </w:r>
      <w:r w:rsidRPr="004C4871">
        <w:t>nsider list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C8677B" w:rsidRDefault="008D38D0" w:rsidP="00C8677B">
      <w:permStart w:id="25" w:edGrp="everyone"/>
      <w:r>
        <w:t xml:space="preserve">We partially agree. We’re once more majorly concerned about the detailed level of personal data </w:t>
      </w:r>
      <w:r w:rsidR="00153348">
        <w:t xml:space="preserve">(such as passport numbers, home addresses, mobile numbers, etc.) </w:t>
      </w:r>
      <w:r>
        <w:t>to be included in the insiders lists which raise personal data protection issues</w:t>
      </w:r>
      <w:r w:rsidR="00153348">
        <w:t>; and do not seem proportionate nor necessary for the goal sought of pr</w:t>
      </w:r>
      <w:r w:rsidR="00153348">
        <w:t>o</w:t>
      </w:r>
      <w:r w:rsidR="00153348">
        <w:t>tecting the integrity of financial markets</w:t>
      </w:r>
      <w:r>
        <w:t>.</w:t>
      </w:r>
    </w:p>
    <w:permEnd w:id="25"/>
    <w:p w:rsidR="00C8677B" w:rsidRDefault="00C8677B" w:rsidP="00C8677B">
      <w:r>
        <w:t>&lt;</w:t>
      </w:r>
      <w:r w:rsidR="00CB6CDD">
        <w:t>ESMA_QUESTION_MAR_TS_</w:t>
      </w:r>
      <w:r>
        <w:t>22&gt;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C8677B" w:rsidRDefault="004E7CB6" w:rsidP="00C8677B">
      <w:permStart w:id="26" w:edGrp="everyone"/>
      <w:r>
        <w:t>Yes, we agree with having two separate insider lists in place, one covering permanent insiders and a se</w:t>
      </w:r>
      <w:r>
        <w:t>c</w:t>
      </w:r>
      <w:r>
        <w:t>ond one covering event-based or deal-specific insiders.</w:t>
      </w:r>
    </w:p>
    <w:permEnd w:id="26"/>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Default="00C8677B" w:rsidP="00C8677B">
      <w:permStart w:id="27" w:edGrp="everyone"/>
      <w:r>
        <w:t>TYPE YOUR TEXT HERE</w:t>
      </w:r>
    </w:p>
    <w:permEnd w:id="27"/>
    <w:p w:rsidR="00C8677B" w:rsidRDefault="00C8677B" w:rsidP="00C8677B">
      <w:r>
        <w:t>&lt;</w:t>
      </w:r>
      <w:r w:rsidR="00CB6CDD">
        <w:t>ESMA_QUESTION_MAR_TS_</w:t>
      </w:r>
      <w:r>
        <w:t>24&gt;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C8677B" w:rsidRDefault="00C8677B" w:rsidP="00C8677B">
      <w:permStart w:id="28" w:edGrp="everyone"/>
      <w:r>
        <w:t>TYPE YOUR TEXT HERE</w:t>
      </w:r>
    </w:p>
    <w:permEnd w:id="28"/>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t xml:space="preserve">Investment recommendations </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C8677B" w:rsidRDefault="00C8677B" w:rsidP="00C8677B">
      <w:permStart w:id="29" w:edGrp="everyone"/>
      <w:r>
        <w:t>TYPE YOUR TEXT HERE</w:t>
      </w:r>
    </w:p>
    <w:permEnd w:id="29"/>
    <w:p w:rsidR="00C8677B" w:rsidRDefault="00C8677B" w:rsidP="00C8677B">
      <w:r>
        <w:t>&lt;</w:t>
      </w:r>
      <w:r w:rsidR="00CB6CDD">
        <w:t>ESMA_QUESTION_MAR_TS_</w:t>
      </w:r>
      <w:r>
        <w:t>26&gt;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C8677B" w:rsidRDefault="00C8677B" w:rsidP="00C8677B">
      <w:permStart w:id="30" w:edGrp="everyone"/>
      <w:r>
        <w:t>TYPE YOUR TEXT HERE</w:t>
      </w:r>
    </w:p>
    <w:permEnd w:id="30"/>
    <w:p w:rsidR="00C8677B" w:rsidRDefault="00C8677B" w:rsidP="00C8677B">
      <w:r>
        <w:t>&lt;</w:t>
      </w:r>
      <w:r w:rsidR="00CB6CDD">
        <w:t>ESMA_QUESTION_MAR_TS_</w:t>
      </w:r>
      <w:r>
        <w:t>27&gt;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C8677B" w:rsidRDefault="00C8677B" w:rsidP="00C8677B">
      <w:permStart w:id="31" w:edGrp="everyone"/>
      <w:r>
        <w:t>TYPE YOUR TEXT HERE</w:t>
      </w:r>
    </w:p>
    <w:permEnd w:id="31"/>
    <w:p w:rsidR="00C8677B" w:rsidRDefault="00C8677B" w:rsidP="00C8677B">
      <w:r>
        <w:t>&lt;</w:t>
      </w:r>
      <w:r w:rsidR="00CB6CDD">
        <w:t>ESMA_QUESTION_MAR_TS_</w:t>
      </w:r>
      <w:r>
        <w:t>28&gt;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Default="00C8677B" w:rsidP="00C8677B">
      <w:permStart w:id="32" w:edGrp="everyone"/>
      <w:r>
        <w:t>TYPE YOUR TEXT HERE</w:t>
      </w:r>
    </w:p>
    <w:permEnd w:id="32"/>
    <w:p w:rsidR="00C8677B" w:rsidRDefault="00C8677B" w:rsidP="00C8677B">
      <w:r>
        <w:t>&lt;</w:t>
      </w:r>
      <w:r w:rsidR="00CB6CDD">
        <w:t>ESMA_QUESTION_MAR_TS_</w:t>
      </w:r>
      <w:r>
        <w:t>29&gt;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C8677B" w:rsidRDefault="00C8677B" w:rsidP="00C8677B">
      <w:permStart w:id="33" w:edGrp="everyone"/>
      <w:r>
        <w:t>TYPE YOUR TEXT HERE</w:t>
      </w:r>
    </w:p>
    <w:permEnd w:id="33"/>
    <w:p w:rsidR="00C8677B" w:rsidRDefault="00C8677B" w:rsidP="00C8677B">
      <w:r>
        <w:t>&lt;</w:t>
      </w:r>
      <w:r w:rsidR="00CB6CDD">
        <w:t>ESMA_QUESTION_MAR_TS_</w:t>
      </w:r>
      <w:r>
        <w:t>30&gt;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C8677B" w:rsidRDefault="00C8677B" w:rsidP="00C8677B">
      <w:permStart w:id="34" w:edGrp="everyone"/>
      <w:r>
        <w:t>TYPE YOUR TEXT HERE</w:t>
      </w:r>
    </w:p>
    <w:permEnd w:id="34"/>
    <w:p w:rsidR="00C8677B" w:rsidRDefault="00C8677B" w:rsidP="00C8677B">
      <w:r>
        <w:t>&lt;</w:t>
      </w:r>
      <w:r w:rsidR="00CB6CDD">
        <w:t>ESMA_QUESTION_MAR_TS_</w:t>
      </w:r>
      <w:r>
        <w:t>31&gt;</w:t>
      </w:r>
    </w:p>
    <w:p w:rsidR="00C8677B" w:rsidRDefault="00C8677B" w:rsidP="00C8677B">
      <w:pPr>
        <w:pStyle w:val="Heading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t>&lt;</w:t>
      </w:r>
      <w:r w:rsidR="00CB6CDD">
        <w:t>ESMA_QUESTION_MAR_TS_</w:t>
      </w:r>
      <w:r>
        <w:t>32&gt;</w:t>
      </w:r>
    </w:p>
    <w:p w:rsidR="00C8677B" w:rsidRDefault="00C8677B" w:rsidP="00C8677B">
      <w:permStart w:id="35" w:edGrp="everyone"/>
      <w:r>
        <w:t>TYPE YOUR TEXT HERE</w:t>
      </w:r>
    </w:p>
    <w:permEnd w:id="35"/>
    <w:p w:rsidR="00C8677B" w:rsidRDefault="00C8677B" w:rsidP="00C8677B">
      <w:r>
        <w:t>&lt;</w:t>
      </w:r>
      <w:r w:rsidR="00CB6CDD">
        <w:t>ESMA_QUESTION_MAR_TS_</w:t>
      </w:r>
      <w:r>
        <w:t>32&gt;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C8677B" w:rsidRDefault="00C8677B" w:rsidP="00C8677B">
      <w:permStart w:id="36" w:edGrp="everyone"/>
      <w:r>
        <w:t>TYPE YOUR TEXT HERE</w:t>
      </w:r>
    </w:p>
    <w:permEnd w:id="36"/>
    <w:p w:rsidR="00C8677B" w:rsidRDefault="00C8677B" w:rsidP="00C8677B">
      <w:r>
        <w:t>&lt;</w:t>
      </w:r>
      <w:r w:rsidR="00CB6CDD">
        <w:t>ESMA_QUESTION_MAR_TS_</w:t>
      </w:r>
      <w:r>
        <w:t>33&gt;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C8677B" w:rsidRDefault="00C8677B" w:rsidP="00C8677B">
      <w:permStart w:id="37" w:edGrp="everyone"/>
      <w:r>
        <w:t>TYPE YOUR TEXT HERE</w:t>
      </w:r>
    </w:p>
    <w:permEnd w:id="37"/>
    <w:p w:rsidR="00C8677B" w:rsidRDefault="00C8677B" w:rsidP="00C8677B">
      <w:r>
        <w:t>&lt;</w:t>
      </w:r>
      <w:r w:rsidR="00CB6CDD">
        <w:t>ESMA_QUESTION_MAR_TS_</w:t>
      </w:r>
      <w:r>
        <w:t>34&gt;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C8677B" w:rsidRDefault="00C8677B" w:rsidP="00C8677B">
      <w:permStart w:id="38" w:edGrp="everyone"/>
      <w:r>
        <w:t>TYPE YOUR TEXT HERE</w:t>
      </w:r>
    </w:p>
    <w:permEnd w:id="38"/>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91E" w:rsidRDefault="0026391E">
      <w:r>
        <w:separator/>
      </w:r>
    </w:p>
    <w:p w:rsidR="0026391E" w:rsidRDefault="0026391E"/>
  </w:endnote>
  <w:endnote w:type="continuationSeparator" w:id="0">
    <w:p w:rsidR="0026391E" w:rsidRDefault="0026391E">
      <w:r>
        <w:continuationSeparator/>
      </w:r>
    </w:p>
    <w:p w:rsidR="0026391E" w:rsidRDefault="0026391E"/>
  </w:endnote>
  <w:endnote w:type="continuationNotice" w:id="1">
    <w:p w:rsidR="0026391E" w:rsidRDefault="0026391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Univers 45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26391E" w:rsidRPr="00315E96" w:rsidTr="00315E96">
      <w:trPr>
        <w:trHeight w:val="284"/>
      </w:trPr>
      <w:tc>
        <w:tcPr>
          <w:tcW w:w="8460" w:type="dxa"/>
        </w:tcPr>
        <w:p w:rsidR="0026391E" w:rsidRPr="00315E96" w:rsidRDefault="0026391E" w:rsidP="00315E96">
          <w:pPr>
            <w:pStyle w:val="00Footer"/>
            <w:rPr>
              <w:lang w:val="fr-FR"/>
            </w:rPr>
          </w:pPr>
        </w:p>
      </w:tc>
      <w:tc>
        <w:tcPr>
          <w:tcW w:w="952" w:type="dxa"/>
        </w:tcPr>
        <w:p w:rsidR="0026391E" w:rsidRPr="002C5B2D" w:rsidRDefault="0026391E" w:rsidP="002C5B2D">
          <w:pPr>
            <w:pStyle w:val="00aPagenumber"/>
          </w:pPr>
          <w:fldSimple w:instr=" PAGE ">
            <w:r w:rsidR="005C7C77">
              <w:rPr>
                <w:noProof/>
              </w:rPr>
              <w:t>18</w:t>
            </w:r>
          </w:fldSimple>
        </w:p>
      </w:tc>
    </w:tr>
  </w:tbl>
  <w:p w:rsidR="0026391E" w:rsidRDefault="002639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91E" w:rsidRDefault="002639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91E" w:rsidRDefault="0026391E">
      <w:r>
        <w:separator/>
      </w:r>
    </w:p>
    <w:p w:rsidR="0026391E" w:rsidRDefault="0026391E"/>
  </w:footnote>
  <w:footnote w:type="continuationSeparator" w:id="0">
    <w:p w:rsidR="0026391E" w:rsidRDefault="0026391E">
      <w:r>
        <w:continuationSeparator/>
      </w:r>
    </w:p>
    <w:p w:rsidR="0026391E" w:rsidRDefault="0026391E"/>
  </w:footnote>
  <w:footnote w:type="continuationNotice" w:id="1">
    <w:p w:rsidR="0026391E" w:rsidRDefault="0026391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91E" w:rsidRDefault="0026391E">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Pr="00F41871">
      <w:rPr>
        <w:noProof/>
        <w:lang w:eastAsia="en-GB"/>
      </w:rPr>
      <w:pict>
        <v:line id="Line 16" o:spid="_x0000_s4098" style="position:absolute;z-index:251656192;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91E" w:rsidRDefault="0026391E"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91E" w:rsidRDefault="0026391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26391E" w:rsidRPr="002F4496" w:rsidTr="000C06C9">
      <w:trPr>
        <w:trHeight w:val="284"/>
      </w:trPr>
      <w:tc>
        <w:tcPr>
          <w:tcW w:w="8460" w:type="dxa"/>
        </w:tcPr>
        <w:p w:rsidR="0026391E" w:rsidRPr="000C3B6D" w:rsidRDefault="0026391E" w:rsidP="000C06C9">
          <w:pPr>
            <w:pStyle w:val="00Footer"/>
            <w:rPr>
              <w:lang w:val="fr-FR"/>
            </w:rPr>
          </w:pPr>
        </w:p>
      </w:tc>
      <w:tc>
        <w:tcPr>
          <w:tcW w:w="952" w:type="dxa"/>
        </w:tcPr>
        <w:p w:rsidR="0026391E" w:rsidRPr="00146B34" w:rsidRDefault="0026391E" w:rsidP="000C06C9">
          <w:pPr>
            <w:pStyle w:val="00aPagenumber"/>
            <w:rPr>
              <w:lang w:val="fr-FR"/>
            </w:rPr>
          </w:pPr>
        </w:p>
      </w:tc>
    </w:tr>
  </w:tbl>
  <w:p w:rsidR="0026391E" w:rsidRPr="00DB46C3" w:rsidRDefault="0026391E">
    <w:pPr>
      <w:rPr>
        <w:lang w:val="fr-FR"/>
      </w:rPr>
    </w:pPr>
  </w:p>
  <w:p w:rsidR="0026391E" w:rsidRPr="002F4496" w:rsidRDefault="0026391E">
    <w:pPr>
      <w:pStyle w:val="Header"/>
      <w:rPr>
        <w:lang w:val="fr-FR"/>
      </w:rPr>
    </w:pPr>
  </w:p>
  <w:p w:rsidR="0026391E" w:rsidRPr="002F4496" w:rsidRDefault="0026391E" w:rsidP="000C06C9">
    <w:pPr>
      <w:pStyle w:val="Header"/>
      <w:tabs>
        <w:tab w:val="clear" w:pos="4536"/>
        <w:tab w:val="clear" w:pos="9072"/>
        <w:tab w:val="left" w:pos="8227"/>
      </w:tabs>
      <w:rPr>
        <w:lang w:val="fr-FR"/>
      </w:rPr>
    </w:pPr>
  </w:p>
  <w:p w:rsidR="0026391E" w:rsidRPr="002F4496" w:rsidRDefault="0026391E" w:rsidP="000C06C9">
    <w:pPr>
      <w:pStyle w:val="Header"/>
      <w:tabs>
        <w:tab w:val="clear" w:pos="4536"/>
        <w:tab w:val="clear" w:pos="9072"/>
        <w:tab w:val="left" w:pos="8227"/>
      </w:tabs>
      <w:rPr>
        <w:lang w:val="fr-FR"/>
      </w:rPr>
    </w:pPr>
  </w:p>
  <w:p w:rsidR="0026391E" w:rsidRPr="002F4496" w:rsidRDefault="0026391E">
    <w:pPr>
      <w:pStyle w:val="Header"/>
      <w:rPr>
        <w:lang w:val="fr-FR"/>
      </w:rPr>
    </w:pPr>
  </w:p>
  <w:p w:rsidR="0026391E" w:rsidRPr="002F4496" w:rsidRDefault="0026391E">
    <w:pPr>
      <w:pStyle w:val="Header"/>
      <w:rPr>
        <w:lang w:val="fr-FR"/>
      </w:rPr>
    </w:pPr>
  </w:p>
  <w:p w:rsidR="0026391E" w:rsidRPr="002F4496" w:rsidRDefault="0026391E">
    <w:pPr>
      <w:pStyle w:val="Header"/>
      <w:rPr>
        <w:lang w:val="fr-FR"/>
      </w:rPr>
    </w:pPr>
  </w:p>
  <w:p w:rsidR="0026391E" w:rsidRPr="002F4496" w:rsidRDefault="0026391E">
    <w:pPr>
      <w:pStyle w:val="Header"/>
      <w:rPr>
        <w:lang w:val="fr-FR"/>
      </w:rPr>
    </w:pPr>
  </w:p>
  <w:p w:rsidR="0026391E" w:rsidRPr="002F4496" w:rsidRDefault="0026391E">
    <w:pPr>
      <w:pStyle w:val="Header"/>
      <w:rPr>
        <w:highlight w:val="yellow"/>
        <w:lang w:val="fr-FR"/>
      </w:rPr>
    </w:pPr>
  </w:p>
  <w:p w:rsidR="0026391E" w:rsidRDefault="0026391E">
    <w:pPr>
      <w:pStyle w:val="Header"/>
    </w:pPr>
    <w:r w:rsidRPr="00F41871">
      <w:rPr>
        <w:noProof/>
        <w:lang w:eastAsia="en-GB"/>
      </w:rPr>
      <w:pict>
        <v:line id="Straight Connector 138" o:spid="_x0000_s4097" style="position:absolute;z-index:251660288;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lang w:val="en-US" w:eastAsia="en-U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4">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2"/>
  </w:num>
  <w:num w:numId="5">
    <w:abstractNumId w:val="3"/>
  </w:num>
  <w:num w:numId="6">
    <w:abstractNumId w:val="24"/>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9"/>
  </w:num>
  <w:num w:numId="15">
    <w:abstractNumId w:val="21"/>
  </w:num>
  <w:num w:numId="16">
    <w:abstractNumId w:val="10"/>
  </w:num>
  <w:num w:numId="17">
    <w:abstractNumId w:val="1"/>
  </w:num>
  <w:num w:numId="18">
    <w:abstractNumId w:val="14"/>
  </w:num>
  <w:num w:numId="19">
    <w:abstractNumId w:val="15"/>
  </w:num>
  <w:num w:numId="20">
    <w:abstractNumId w:val="17"/>
  </w:num>
  <w:num w:numId="21">
    <w:abstractNumId w:val="25"/>
  </w:num>
  <w:num w:numId="22">
    <w:abstractNumId w:val="32"/>
  </w:num>
  <w:num w:numId="23">
    <w:abstractNumId w:val="23"/>
  </w:num>
  <w:num w:numId="24">
    <w:abstractNumId w:val="9"/>
  </w:num>
  <w:num w:numId="25">
    <w:abstractNumId w:val="28"/>
  </w:num>
  <w:num w:numId="26">
    <w:abstractNumId w:val="27"/>
  </w:num>
  <w:num w:numId="27">
    <w:abstractNumId w:val="19"/>
  </w:num>
  <w:num w:numId="28">
    <w:abstractNumId w:val="31"/>
  </w:num>
  <w:num w:numId="29">
    <w:abstractNumId w:val="34"/>
  </w:num>
  <w:num w:numId="30">
    <w:abstractNumId w:val="7"/>
  </w:num>
  <w:num w:numId="31">
    <w:abstractNumId w:val="4"/>
  </w:num>
  <w:num w:numId="32">
    <w:abstractNumId w:val="20"/>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stylePaneFormatFilter w:val="1F01"/>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4099">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6DC9"/>
    <w:rsid w:val="0001774B"/>
    <w:rsid w:val="00020D0F"/>
    <w:rsid w:val="000215EB"/>
    <w:rsid w:val="00023713"/>
    <w:rsid w:val="00023C4D"/>
    <w:rsid w:val="00025E71"/>
    <w:rsid w:val="00026269"/>
    <w:rsid w:val="00027154"/>
    <w:rsid w:val="00027ECF"/>
    <w:rsid w:val="000303BE"/>
    <w:rsid w:val="000344D6"/>
    <w:rsid w:val="00034960"/>
    <w:rsid w:val="00036265"/>
    <w:rsid w:val="00036FAE"/>
    <w:rsid w:val="00040ECA"/>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3CD2"/>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3CD4"/>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3F8D"/>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8A"/>
    <w:rsid w:val="001459E3"/>
    <w:rsid w:val="00146A0B"/>
    <w:rsid w:val="0014761E"/>
    <w:rsid w:val="00151907"/>
    <w:rsid w:val="00153348"/>
    <w:rsid w:val="001544C8"/>
    <w:rsid w:val="00154A57"/>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10C5"/>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A98"/>
    <w:rsid w:val="00233B08"/>
    <w:rsid w:val="00233C3B"/>
    <w:rsid w:val="00234746"/>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391E"/>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A4D91"/>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6463"/>
    <w:rsid w:val="00317FC8"/>
    <w:rsid w:val="00320245"/>
    <w:rsid w:val="003223D7"/>
    <w:rsid w:val="00323D9F"/>
    <w:rsid w:val="00324FDB"/>
    <w:rsid w:val="00325F48"/>
    <w:rsid w:val="0033194F"/>
    <w:rsid w:val="00332406"/>
    <w:rsid w:val="00332D8D"/>
    <w:rsid w:val="00334208"/>
    <w:rsid w:val="00336B56"/>
    <w:rsid w:val="00341B25"/>
    <w:rsid w:val="00341EC0"/>
    <w:rsid w:val="0034240C"/>
    <w:rsid w:val="00344496"/>
    <w:rsid w:val="00344E42"/>
    <w:rsid w:val="00345968"/>
    <w:rsid w:val="00347667"/>
    <w:rsid w:val="003507E2"/>
    <w:rsid w:val="003522B2"/>
    <w:rsid w:val="0035455E"/>
    <w:rsid w:val="00354A6F"/>
    <w:rsid w:val="00354B48"/>
    <w:rsid w:val="00355789"/>
    <w:rsid w:val="003609B6"/>
    <w:rsid w:val="00360AD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0F0"/>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3A6"/>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1C22"/>
    <w:rsid w:val="00412253"/>
    <w:rsid w:val="004142ED"/>
    <w:rsid w:val="0041634D"/>
    <w:rsid w:val="004164AA"/>
    <w:rsid w:val="00417EF7"/>
    <w:rsid w:val="00422A7D"/>
    <w:rsid w:val="00422BFC"/>
    <w:rsid w:val="00424642"/>
    <w:rsid w:val="004255CF"/>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2780"/>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490F"/>
    <w:rsid w:val="00485142"/>
    <w:rsid w:val="004852A7"/>
    <w:rsid w:val="00486C17"/>
    <w:rsid w:val="00486DE2"/>
    <w:rsid w:val="00487117"/>
    <w:rsid w:val="00487A32"/>
    <w:rsid w:val="00487A91"/>
    <w:rsid w:val="00487C5F"/>
    <w:rsid w:val="004901E5"/>
    <w:rsid w:val="0049027D"/>
    <w:rsid w:val="004903D4"/>
    <w:rsid w:val="0049052B"/>
    <w:rsid w:val="004916ED"/>
    <w:rsid w:val="00492457"/>
    <w:rsid w:val="004924A8"/>
    <w:rsid w:val="004934E9"/>
    <w:rsid w:val="00494621"/>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E7CB6"/>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6531"/>
    <w:rsid w:val="00557048"/>
    <w:rsid w:val="0055725D"/>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C7C77"/>
    <w:rsid w:val="005D1023"/>
    <w:rsid w:val="005D148F"/>
    <w:rsid w:val="005D2AD2"/>
    <w:rsid w:val="005D4A86"/>
    <w:rsid w:val="005D5EB1"/>
    <w:rsid w:val="005D6A29"/>
    <w:rsid w:val="005E0481"/>
    <w:rsid w:val="005E10BF"/>
    <w:rsid w:val="005E1834"/>
    <w:rsid w:val="005E2E7C"/>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5508"/>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9B5"/>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340"/>
    <w:rsid w:val="006C0BF8"/>
    <w:rsid w:val="006C2253"/>
    <w:rsid w:val="006C2CCB"/>
    <w:rsid w:val="006C39C7"/>
    <w:rsid w:val="006C4334"/>
    <w:rsid w:val="006C4B0F"/>
    <w:rsid w:val="006C5E96"/>
    <w:rsid w:val="006D399F"/>
    <w:rsid w:val="006D4F0C"/>
    <w:rsid w:val="006D5645"/>
    <w:rsid w:val="006E0C8A"/>
    <w:rsid w:val="006E2A23"/>
    <w:rsid w:val="006E35E5"/>
    <w:rsid w:val="006E3C72"/>
    <w:rsid w:val="006E4F20"/>
    <w:rsid w:val="006E649A"/>
    <w:rsid w:val="006F1564"/>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1845"/>
    <w:rsid w:val="0073248E"/>
    <w:rsid w:val="00733EE9"/>
    <w:rsid w:val="0073537D"/>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2E4"/>
    <w:rsid w:val="007834A1"/>
    <w:rsid w:val="00783F53"/>
    <w:rsid w:val="00791EB4"/>
    <w:rsid w:val="007928F1"/>
    <w:rsid w:val="0079333D"/>
    <w:rsid w:val="0079357D"/>
    <w:rsid w:val="007937CC"/>
    <w:rsid w:val="00793A31"/>
    <w:rsid w:val="00794979"/>
    <w:rsid w:val="007956B7"/>
    <w:rsid w:val="00795F1A"/>
    <w:rsid w:val="0079693C"/>
    <w:rsid w:val="00796EDE"/>
    <w:rsid w:val="00797297"/>
    <w:rsid w:val="007974B3"/>
    <w:rsid w:val="00797875"/>
    <w:rsid w:val="007A076C"/>
    <w:rsid w:val="007A2140"/>
    <w:rsid w:val="007A23E2"/>
    <w:rsid w:val="007A29AB"/>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09"/>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00D"/>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40AC"/>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1E79"/>
    <w:rsid w:val="008C2A81"/>
    <w:rsid w:val="008C3863"/>
    <w:rsid w:val="008C4BDC"/>
    <w:rsid w:val="008C50FF"/>
    <w:rsid w:val="008C5435"/>
    <w:rsid w:val="008C6BD1"/>
    <w:rsid w:val="008D2DB5"/>
    <w:rsid w:val="008D38D0"/>
    <w:rsid w:val="008D3F10"/>
    <w:rsid w:val="008D611D"/>
    <w:rsid w:val="008E1B6A"/>
    <w:rsid w:val="008E3054"/>
    <w:rsid w:val="008E32FF"/>
    <w:rsid w:val="008E5625"/>
    <w:rsid w:val="008E5C5B"/>
    <w:rsid w:val="008E6A37"/>
    <w:rsid w:val="008E7598"/>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27CB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19B"/>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9E0"/>
    <w:rsid w:val="009B0AA2"/>
    <w:rsid w:val="009B1D02"/>
    <w:rsid w:val="009B7133"/>
    <w:rsid w:val="009B7658"/>
    <w:rsid w:val="009B7CD1"/>
    <w:rsid w:val="009B7E22"/>
    <w:rsid w:val="009B7E78"/>
    <w:rsid w:val="009C10FE"/>
    <w:rsid w:val="009C13BC"/>
    <w:rsid w:val="009C1CA4"/>
    <w:rsid w:val="009C2532"/>
    <w:rsid w:val="009C2BA4"/>
    <w:rsid w:val="009C5E96"/>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07814"/>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473DA"/>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1FFF"/>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1202"/>
    <w:rsid w:val="00AB2AEC"/>
    <w:rsid w:val="00AB2DC1"/>
    <w:rsid w:val="00AB3102"/>
    <w:rsid w:val="00AB3D9A"/>
    <w:rsid w:val="00AB4B1D"/>
    <w:rsid w:val="00AB6B5E"/>
    <w:rsid w:val="00AC047F"/>
    <w:rsid w:val="00AC26AD"/>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4C4"/>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D7406"/>
    <w:rsid w:val="00BE19EF"/>
    <w:rsid w:val="00BE425B"/>
    <w:rsid w:val="00BE51BB"/>
    <w:rsid w:val="00BE7595"/>
    <w:rsid w:val="00BE77D3"/>
    <w:rsid w:val="00BF0138"/>
    <w:rsid w:val="00BF114B"/>
    <w:rsid w:val="00BF1620"/>
    <w:rsid w:val="00BF1AC3"/>
    <w:rsid w:val="00BF1C4C"/>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4D1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E7457"/>
    <w:rsid w:val="00CF060C"/>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425E"/>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17CD"/>
    <w:rsid w:val="00D4257C"/>
    <w:rsid w:val="00D425AC"/>
    <w:rsid w:val="00D42823"/>
    <w:rsid w:val="00D42D5E"/>
    <w:rsid w:val="00D44C18"/>
    <w:rsid w:val="00D44D77"/>
    <w:rsid w:val="00D4556D"/>
    <w:rsid w:val="00D511C6"/>
    <w:rsid w:val="00D5121D"/>
    <w:rsid w:val="00D516AC"/>
    <w:rsid w:val="00D52875"/>
    <w:rsid w:val="00D54050"/>
    <w:rsid w:val="00D56AC0"/>
    <w:rsid w:val="00D60250"/>
    <w:rsid w:val="00D6081B"/>
    <w:rsid w:val="00D6240A"/>
    <w:rsid w:val="00D63093"/>
    <w:rsid w:val="00D63599"/>
    <w:rsid w:val="00D63EBD"/>
    <w:rsid w:val="00D67101"/>
    <w:rsid w:val="00D71B45"/>
    <w:rsid w:val="00D71F8A"/>
    <w:rsid w:val="00D75603"/>
    <w:rsid w:val="00D75FEE"/>
    <w:rsid w:val="00D76933"/>
    <w:rsid w:val="00D76D88"/>
    <w:rsid w:val="00D77CC9"/>
    <w:rsid w:val="00D80905"/>
    <w:rsid w:val="00D83D4B"/>
    <w:rsid w:val="00D871C6"/>
    <w:rsid w:val="00D879F1"/>
    <w:rsid w:val="00D91010"/>
    <w:rsid w:val="00DA0FA7"/>
    <w:rsid w:val="00DA12B0"/>
    <w:rsid w:val="00DA2BA0"/>
    <w:rsid w:val="00DA39AD"/>
    <w:rsid w:val="00DA53EE"/>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7035"/>
    <w:rsid w:val="00DF12E3"/>
    <w:rsid w:val="00DF3F1D"/>
    <w:rsid w:val="00DF595C"/>
    <w:rsid w:val="00DF68DD"/>
    <w:rsid w:val="00DF712C"/>
    <w:rsid w:val="00DF7EA7"/>
    <w:rsid w:val="00E04548"/>
    <w:rsid w:val="00E0484E"/>
    <w:rsid w:val="00E05F8C"/>
    <w:rsid w:val="00E063F8"/>
    <w:rsid w:val="00E114D6"/>
    <w:rsid w:val="00E1166E"/>
    <w:rsid w:val="00E11DBD"/>
    <w:rsid w:val="00E13211"/>
    <w:rsid w:val="00E16FB5"/>
    <w:rsid w:val="00E17991"/>
    <w:rsid w:val="00E179D6"/>
    <w:rsid w:val="00E21407"/>
    <w:rsid w:val="00E22668"/>
    <w:rsid w:val="00E227D3"/>
    <w:rsid w:val="00E22BFF"/>
    <w:rsid w:val="00E22CB0"/>
    <w:rsid w:val="00E23798"/>
    <w:rsid w:val="00E2515F"/>
    <w:rsid w:val="00E2585D"/>
    <w:rsid w:val="00E25DBD"/>
    <w:rsid w:val="00E25FA2"/>
    <w:rsid w:val="00E2723D"/>
    <w:rsid w:val="00E27C77"/>
    <w:rsid w:val="00E3179E"/>
    <w:rsid w:val="00E32AC9"/>
    <w:rsid w:val="00E354DA"/>
    <w:rsid w:val="00E354F5"/>
    <w:rsid w:val="00E35E6B"/>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B87"/>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187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0C56"/>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endnote reference" w:uiPriority="99"/>
    <w:lsdException w:name="endnote text"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iPriority w:val="99"/>
    <w:unhideWhenUsed/>
    <w:rsid w:val="002D6E1A"/>
    <w:rPr>
      <w:szCs w:val="20"/>
    </w:rPr>
  </w:style>
  <w:style w:type="character" w:customStyle="1" w:styleId="EndnoteTextChar">
    <w:name w:val="Endnote Text Char"/>
    <w:link w:val="EndnoteText"/>
    <w:uiPriority w:val="99"/>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iPriority w:val="99"/>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19480929">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44425733">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81562184">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7281008">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sma.europa.eu/consultation/Consultation-Paper-Draft-technical-standards-Market-Abuse-Regulation-MAR"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acer-remit.eu/np/art4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Univers 45 Light">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211EA8"/>
    <w:rsid w:val="00084AEF"/>
    <w:rsid w:val="000E41F1"/>
    <w:rsid w:val="0019571C"/>
    <w:rsid w:val="001F584F"/>
    <w:rsid w:val="00211EA8"/>
    <w:rsid w:val="003D1443"/>
    <w:rsid w:val="00B245F8"/>
    <w:rsid w:val="00B73894"/>
    <w:rsid w:val="00B920E8"/>
    <w:rsid w:val="00D57E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8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1502A-7801-433F-9B53-386D71D13AFB}">
  <ds:schemaRefs>
    <ds:schemaRef ds:uri="http://schemas.openxmlformats.org/officeDocument/2006/bibliography"/>
  </ds:schemaRefs>
</ds:datastoreItem>
</file>

<file path=customXml/itemProps2.xml><?xml version="1.0" encoding="utf-8"?>
<ds:datastoreItem xmlns:ds="http://schemas.openxmlformats.org/officeDocument/2006/customXml" ds:itemID="{C6D85B9F-FA34-4B5C-848A-6D680FE8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18</Pages>
  <Words>3991</Words>
  <Characters>23339</Characters>
  <Application>Microsoft Office Word</Application>
  <DocSecurity>8</DocSecurity>
  <Lines>194</Lines>
  <Paragraphs>54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27276</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FJK311</cp:lastModifiedBy>
  <cp:revision>8</cp:revision>
  <cp:lastPrinted>2014-10-15T07:55:00Z</cp:lastPrinted>
  <dcterms:created xsi:type="dcterms:W3CDTF">2014-10-15T11:36:00Z</dcterms:created>
  <dcterms:modified xsi:type="dcterms:W3CDTF">2014-10-15T13:19:00Z</dcterms:modified>
</cp:coreProperties>
</file>