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E679BA" w:rsidTr="00315E96">
        <w:trPr>
          <w:trHeight w:val="284"/>
        </w:trPr>
        <w:tc>
          <w:tcPr>
            <w:tcW w:w="9412" w:type="dxa"/>
          </w:tcPr>
          <w:p w:rsidR="00C2094B" w:rsidRPr="00376B02" w:rsidRDefault="006A3398"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Technical standards</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E679BA" w:rsidTr="00315E96">
        <w:trPr>
          <w:trHeight w:hRule="exact" w:val="964"/>
        </w:trPr>
        <w:tc>
          <w:tcPr>
            <w:tcW w:w="2325" w:type="dxa"/>
          </w:tcPr>
          <w:p w:rsidR="00620D7C" w:rsidRPr="00E679BA" w:rsidRDefault="00620D7C" w:rsidP="006A3398">
            <w:pPr>
              <w:pStyle w:val="02Date"/>
            </w:pPr>
            <w:r w:rsidRPr="00222D9B">
              <w:lastRenderedPageBreak/>
              <w:t xml:space="preserve">Date: </w:t>
            </w:r>
            <w:r w:rsidR="006A3398">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BC1045" w:rsidRPr="00BC1045">
        <w:t>Consultation Paper - Draft technical standards on the Market Abuse Regulation (MAR)</w:t>
      </w:r>
      <w:r w:rsidR="00015B5E">
        <w:t xml:space="preserve">, </w:t>
      </w:r>
      <w:r w:rsidR="00015B5E" w:rsidRPr="00015B5E">
        <w:t>published</w:t>
      </w:r>
      <w:r w:rsidR="00015B5E">
        <w:t xml:space="preserve"> on the ESMA website (</w:t>
      </w:r>
      <w:hyperlink r:id="rId12" w:history="1">
        <w:r w:rsidR="00015B5E" w:rsidRPr="00015B5E">
          <w:rPr>
            <w:rStyle w:val="Hyperlink"/>
          </w:rPr>
          <w:t>here</w:t>
        </w:r>
      </w:hyperlink>
      <w:r w:rsidR="00015B5E">
        <w:t>)</w:t>
      </w:r>
      <w:r w:rsidR="005A150A">
        <w:t>.</w:t>
      </w: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C3A94">
        <w:t>MAR_</w:t>
      </w:r>
      <w:r w:rsidR="00C8677B">
        <w:t>TS</w:t>
      </w:r>
      <w:r w:rsidR="00CB6CDD">
        <w:t>_</w:t>
      </w:r>
      <w:r w:rsidR="00F574D0" w:rsidRPr="0081710D">
        <w:t>1&gt; - i.e. the response to one que</w:t>
      </w:r>
      <w:r w:rsidR="00F574D0" w:rsidRPr="0081710D">
        <w:t>s</w:t>
      </w:r>
      <w:r w:rsidR="00F574D0" w:rsidRPr="0081710D">
        <w:t>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6A3398">
        <w:rPr>
          <w:b/>
        </w:rPr>
        <w:t>15 October</w:t>
      </w:r>
      <w:r w:rsidRPr="0081710D">
        <w:rPr>
          <w:b/>
        </w:rPr>
        <w:t xml:space="preserve"> 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3" w:history="1">
        <w:r w:rsidRPr="00321CD3">
          <w:rPr>
            <w:rStyle w:val="Hyperlink"/>
          </w:rPr>
          <w:t>www.esma.europa.eu</w:t>
        </w:r>
      </w:hyperlink>
      <w:r w:rsidRPr="00321CD3">
        <w:t xml:space="preserve"> under the heading ‘Your i</w:t>
      </w:r>
      <w:r w:rsidRPr="00321CD3">
        <w:t>n</w:t>
      </w:r>
      <w:r w:rsidRPr="00321CD3">
        <w:t xml:space="preserve">put/Consultations’. </w:t>
      </w:r>
    </w:p>
    <w:p w:rsidR="008627FF" w:rsidRDefault="008627FF" w:rsidP="008627FF">
      <w:pPr>
        <w:pStyle w:val="04BodyText"/>
        <w:spacing w:before="120" w:after="120"/>
      </w:pPr>
      <w:r>
        <w:t>Naming protocol - In order to facilitate the handling of stakeholders responses please save your document using the following format:</w:t>
      </w:r>
    </w:p>
    <w:p w:rsidR="008627FF" w:rsidRDefault="008627FF" w:rsidP="00F574D0">
      <w:pPr>
        <w:pStyle w:val="04BodyText"/>
        <w:spacing w:before="120" w:after="120"/>
      </w:pPr>
      <w:r>
        <w:t>ESMA_MAR_CP_TS_NAMEOFCOMPANY_NAMEOFDOCUMENT: e.g.if the respondent were ESMA, the name of the reply form would be ESMA_MAR_CP_TS_ESMA_REPLYFORM or ESMA_MAR_CP_TS_ESMA_ANNEX1</w:t>
      </w:r>
    </w:p>
    <w:p w:rsidR="00F574D0" w:rsidRPr="00321CD3"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8627FF" w:rsidRDefault="00F574D0" w:rsidP="00513956">
      <w:pPr>
        <w:autoSpaceDE w:val="0"/>
        <w:autoSpaceDN w:val="0"/>
        <w:adjustRightInd w:val="0"/>
        <w:spacing w:before="120" w:after="120" w:line="276" w:lineRule="auto"/>
        <w:jc w:val="both"/>
      </w:pPr>
      <w:r w:rsidRPr="00321CD3">
        <w:rPr>
          <w:szCs w:val="20"/>
        </w:rPr>
        <w:t xml:space="preserve">Information on data protection can be found at </w:t>
      </w:r>
      <w:hyperlink r:id="rId14" w:history="1">
        <w:r w:rsidRPr="00321CD3">
          <w:rPr>
            <w:rStyle w:val="Hyperlink"/>
            <w:szCs w:val="20"/>
          </w:rPr>
          <w:t>www.esma.europa.eu</w:t>
        </w:r>
      </w:hyperlink>
      <w:r w:rsidRPr="00321CD3">
        <w:rPr>
          <w:szCs w:val="20"/>
        </w:rPr>
        <w:t xml:space="preserve"> under the heading ‘Disclaimer’.</w:t>
      </w:r>
      <w:r w:rsidR="005D1023" w:rsidRPr="00321CD3">
        <w:br w:type="page"/>
      </w:r>
      <w:bookmarkEnd w:id="0"/>
      <w:r w:rsidR="008627FF">
        <w:lastRenderedPageBreak/>
        <w:t>General information about respondent</w:t>
      </w:r>
    </w:p>
    <w:tbl>
      <w:tblPr>
        <w:tblStyle w:val="Tabellengitternetz"/>
        <w:tblW w:w="0" w:type="auto"/>
        <w:tblLook w:val="04A0"/>
      </w:tblPr>
      <w:tblGrid>
        <w:gridCol w:w="3510"/>
        <w:gridCol w:w="6118"/>
      </w:tblGrid>
      <w:tr w:rsidR="008627FF" w:rsidTr="002E5193">
        <w:tc>
          <w:tcPr>
            <w:tcW w:w="3510" w:type="dxa"/>
          </w:tcPr>
          <w:p w:rsidR="008627FF" w:rsidRDefault="008627FF" w:rsidP="002E5193">
            <w:r>
              <w:t>Are you representing an association?</w:t>
            </w:r>
          </w:p>
        </w:tc>
        <w:tc>
          <w:tcPr>
            <w:tcW w:w="6118" w:type="dxa"/>
          </w:tcPr>
          <w:p w:rsidR="008627FF" w:rsidRDefault="004C743D" w:rsidP="002E5193">
            <w:sdt>
              <w:sdtPr>
                <w:alias w:val="Association"/>
                <w:tag w:val="Association"/>
                <w:id w:val="-1769143793"/>
                <w:placeholder>
                  <w:docPart w:val="6128E631859144A8B774ACA138C88107"/>
                </w:placeholder>
                <w:showingPlcHdr/>
                <w:comboBox>
                  <w:listItem w:displayText="Yes" w:value="Yes"/>
                  <w:listItem w:displayText="No" w:value="No"/>
                </w:comboBox>
              </w:sdtPr>
              <w:sdtContent>
                <w:permStart w:id="0" w:edGrp="everyone"/>
                <w:r w:rsidR="008627FF" w:rsidRPr="000E3791">
                  <w:rPr>
                    <w:rStyle w:val="Platzhaltertext"/>
                  </w:rPr>
                  <w:t>Choose an item.</w:t>
                </w:r>
                <w:permEnd w:id="0"/>
              </w:sdtContent>
            </w:sdt>
          </w:p>
        </w:tc>
      </w:tr>
      <w:tr w:rsidR="008627FF" w:rsidTr="002E5193">
        <w:tc>
          <w:tcPr>
            <w:tcW w:w="3510" w:type="dxa"/>
          </w:tcPr>
          <w:p w:rsidR="008627FF" w:rsidRDefault="008627FF" w:rsidP="002E5193">
            <w:r>
              <w:t>Activity:</w:t>
            </w:r>
          </w:p>
        </w:tc>
        <w:tc>
          <w:tcPr>
            <w:tcW w:w="6118" w:type="dxa"/>
          </w:tcPr>
          <w:p w:rsidR="008627FF" w:rsidRDefault="004C743D" w:rsidP="002E5193">
            <w:sdt>
              <w:sdtPr>
                <w:alias w:val="Activity"/>
                <w:tag w:val="Activity"/>
                <w:id w:val="1654095920"/>
                <w:placeholder>
                  <w:docPart w:val="FC2190542B92485096F7FC0D27709BC6"/>
                </w:placeholder>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1" w:edGrp="everyone"/>
                <w:r w:rsidR="008627FF" w:rsidRPr="000E3791">
                  <w:rPr>
                    <w:rStyle w:val="Platzhaltertext"/>
                  </w:rPr>
                  <w:t>Choose an item.</w:t>
                </w:r>
                <w:permEnd w:id="1"/>
              </w:sdtContent>
            </w:sdt>
          </w:p>
        </w:tc>
      </w:tr>
      <w:tr w:rsidR="008627FF" w:rsidTr="002E5193">
        <w:tc>
          <w:tcPr>
            <w:tcW w:w="3510" w:type="dxa"/>
          </w:tcPr>
          <w:p w:rsidR="008627FF" w:rsidRDefault="008627FF" w:rsidP="002E5193">
            <w:r>
              <w:t>Country/Region</w:t>
            </w:r>
          </w:p>
        </w:tc>
        <w:sdt>
          <w:sdtPr>
            <w:alias w:val="Country"/>
            <w:tag w:val="Country"/>
            <w:id w:val="-1549134410"/>
            <w:placeholder>
              <w:docPart w:val="4E8AEA97C42B4F2684FB1FBEA9C94252"/>
            </w:placeholder>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2" w:edGrp="everyone" w:displacedByCustomXml="prev"/>
            <w:tc>
              <w:tcPr>
                <w:tcW w:w="6118" w:type="dxa"/>
              </w:tcPr>
              <w:p w:rsidR="008627FF" w:rsidRDefault="008627FF" w:rsidP="002E5193">
                <w:r w:rsidRPr="000E3791">
                  <w:rPr>
                    <w:rStyle w:val="Platzhaltertext"/>
                  </w:rPr>
                  <w:t>Choose an item.</w:t>
                </w:r>
              </w:p>
            </w:tc>
            <w:permEnd w:id="2" w:displacedByCustomXml="next"/>
          </w:sdtContent>
        </w:sdt>
      </w:tr>
    </w:tbl>
    <w:p w:rsidR="008627FF" w:rsidRDefault="008627FF" w:rsidP="008627FF">
      <w:pPr>
        <w:pStyle w:val="berschrift1"/>
        <w:numPr>
          <w:ilvl w:val="0"/>
          <w:numId w:val="0"/>
        </w:numPr>
      </w:pPr>
      <w:r w:rsidRPr="00321CD3">
        <w:br w:type="page"/>
      </w:r>
      <w:bookmarkStart w:id="3" w:name="_Toc392599420"/>
      <w:r w:rsidRPr="004C2CD3">
        <w:lastRenderedPageBreak/>
        <w:t>Introduction</w:t>
      </w:r>
      <w:bookmarkEnd w:id="3"/>
    </w:p>
    <w:p w:rsidR="008627FF" w:rsidRDefault="008627FF" w:rsidP="008627FF"/>
    <w:p w:rsidR="008627FF" w:rsidRPr="008203F7" w:rsidRDefault="008627FF" w:rsidP="008627FF">
      <w:pPr>
        <w:rPr>
          <w:b/>
        </w:rPr>
      </w:pPr>
      <w:r w:rsidRPr="008203F7">
        <w:rPr>
          <w:b/>
        </w:rPr>
        <w:t>Please make your introductory comments below</w:t>
      </w:r>
      <w:r w:rsidR="00513956">
        <w:rPr>
          <w:b/>
        </w:rPr>
        <w:t xml:space="preserve">, </w:t>
      </w:r>
      <w:r w:rsidR="00513956" w:rsidRPr="00513956">
        <w:rPr>
          <w:b/>
        </w:rPr>
        <w:t>if any</w:t>
      </w:r>
      <w:r w:rsidRPr="008203F7">
        <w:rPr>
          <w:b/>
        </w:rPr>
        <w:t>:</w:t>
      </w:r>
    </w:p>
    <w:p w:rsidR="008627FF" w:rsidRDefault="008627FF" w:rsidP="008627FF"/>
    <w:p w:rsidR="008627FF" w:rsidRPr="00513956" w:rsidRDefault="008627FF" w:rsidP="008627FF">
      <w:r w:rsidRPr="00513956">
        <w:t>&lt;</w:t>
      </w:r>
      <w:r w:rsidRPr="00D74C9D">
        <w:t xml:space="preserve"> </w:t>
      </w:r>
      <w:r>
        <w:t>ESMA_COMMENT</w:t>
      </w:r>
      <w:r w:rsidRPr="00513956">
        <w:t>_MAR_TA_1&gt;</w:t>
      </w:r>
    </w:p>
    <w:p w:rsidR="00DD5427" w:rsidRPr="00AA4104" w:rsidRDefault="00DD5427" w:rsidP="00DD5427">
      <w:pPr>
        <w:rPr>
          <w:color w:val="000000" w:themeColor="text1"/>
          <w:lang w:val="en-US"/>
        </w:rPr>
      </w:pPr>
      <w:permStart w:id="3" w:edGrp="everyone"/>
      <w:r w:rsidRPr="007B1C29">
        <w:rPr>
          <w:lang w:val="en-US"/>
        </w:rPr>
        <w:t xml:space="preserve">The Financial Services User </w:t>
      </w:r>
      <w:r w:rsidR="00234C61">
        <w:rPr>
          <w:lang w:val="en-US"/>
        </w:rPr>
        <w:t xml:space="preserve">Group (FSUG) </w:t>
      </w:r>
      <w:r w:rsidR="00234C61" w:rsidRPr="00AA4104">
        <w:rPr>
          <w:color w:val="000000" w:themeColor="text1"/>
          <w:lang w:val="en-US"/>
        </w:rPr>
        <w:t>is the</w:t>
      </w:r>
      <w:r w:rsidRPr="00AA4104">
        <w:rPr>
          <w:color w:val="000000" w:themeColor="text1"/>
          <w:lang w:val="en-US"/>
        </w:rPr>
        <w:t xml:space="preserve"> expert group set up by the European Commission follo</w:t>
      </w:r>
      <w:r w:rsidRPr="00AA4104">
        <w:rPr>
          <w:color w:val="000000" w:themeColor="text1"/>
          <w:lang w:val="en-US"/>
        </w:rPr>
        <w:t>w</w:t>
      </w:r>
      <w:r w:rsidRPr="00AA4104">
        <w:rPr>
          <w:color w:val="000000" w:themeColor="text1"/>
          <w:lang w:val="en-US"/>
        </w:rPr>
        <w:t>ing the core objective “to secure high quality expert input to the Commission’s financial services initiatives from representatives of financial services users and from individual financial services experts”.</w:t>
      </w:r>
    </w:p>
    <w:p w:rsidR="00234C61" w:rsidRPr="00AA4104" w:rsidRDefault="00DD5427" w:rsidP="00BC5FF8">
      <w:pPr>
        <w:rPr>
          <w:color w:val="000000" w:themeColor="text1"/>
        </w:rPr>
      </w:pPr>
      <w:r w:rsidRPr="00AA4104">
        <w:rPr>
          <w:color w:val="000000" w:themeColor="text1"/>
        </w:rPr>
        <w:t>The FSUG welcomes the draft technical standards on the Market Abuse Regulation which</w:t>
      </w:r>
      <w:r w:rsidR="00234C61" w:rsidRPr="00AA4104">
        <w:rPr>
          <w:color w:val="000000" w:themeColor="text1"/>
        </w:rPr>
        <w:t xml:space="preserve"> are </w:t>
      </w:r>
      <w:r w:rsidR="000F14BE" w:rsidRPr="00AA4104">
        <w:rPr>
          <w:color w:val="000000" w:themeColor="text1"/>
        </w:rPr>
        <w:t xml:space="preserve">likely to increase and enhance the quality of information being made available both to investors and to competent authorities, which should in turn enable investors to make improved investment decisions. </w:t>
      </w:r>
    </w:p>
    <w:p w:rsidR="00234C61" w:rsidRPr="00AA4104" w:rsidRDefault="00234C61" w:rsidP="00BC5FF8">
      <w:pPr>
        <w:rPr>
          <w:color w:val="000000" w:themeColor="text1"/>
        </w:rPr>
      </w:pPr>
      <w:r w:rsidRPr="00AA4104">
        <w:rPr>
          <w:color w:val="000000" w:themeColor="text1"/>
        </w:rPr>
        <w:t>Widespread and large market abuses targeting mostly non-insider investors are indeed one of the main reasons for the lack of trust of individual investors in the EU capital markets, as illustrated by the annual</w:t>
      </w:r>
      <w:r w:rsidRPr="00234C61">
        <w:rPr>
          <w:color w:val="FF0000"/>
        </w:rPr>
        <w:t xml:space="preserve"> </w:t>
      </w:r>
      <w:hyperlink r:id="rId15" w:history="1">
        <w:r w:rsidRPr="004E4C25">
          <w:rPr>
            <w:rStyle w:val="Hyperlink"/>
          </w:rPr>
          <w:t>Consumer Scorecards produced by the European Commission</w:t>
        </w:r>
      </w:hyperlink>
      <w:r w:rsidRPr="00AA4104">
        <w:rPr>
          <w:color w:val="000000" w:themeColor="text1"/>
        </w:rPr>
        <w:t>, where “pensions, investments and secur</w:t>
      </w:r>
      <w:r w:rsidRPr="00AA4104">
        <w:rPr>
          <w:color w:val="000000" w:themeColor="text1"/>
        </w:rPr>
        <w:t>i</w:t>
      </w:r>
      <w:r w:rsidRPr="00AA4104">
        <w:rPr>
          <w:color w:val="000000" w:themeColor="text1"/>
        </w:rPr>
        <w:t>ties” persistently rank as the worst consumer market of all.</w:t>
      </w:r>
    </w:p>
    <w:p w:rsidR="00D60E31" w:rsidRDefault="00DD5427" w:rsidP="00BC5FF8">
      <w:r>
        <w:t>Due to the volume of the draft technical standards we do not respond to all questions but focus on those that are of key importance for individual investors and financial services users</w:t>
      </w:r>
      <w:r w:rsidR="000F14BE">
        <w:t>.</w:t>
      </w:r>
    </w:p>
    <w:permEnd w:id="3"/>
    <w:p w:rsidR="008627FF" w:rsidRDefault="008627FF" w:rsidP="008627FF">
      <w:r>
        <w:t>&lt;</w:t>
      </w:r>
      <w:r w:rsidRPr="00D74C9D">
        <w:t xml:space="preserve"> </w:t>
      </w:r>
      <w:r>
        <w:t>ESMA_COMMENT_MAR_TA_1&gt;</w:t>
      </w:r>
    </w:p>
    <w:p w:rsidR="008627FF" w:rsidRDefault="008627FF" w:rsidP="008627FF">
      <w:r>
        <w:br w:type="page"/>
      </w:r>
    </w:p>
    <w:p w:rsidR="00C8677B" w:rsidRPr="00E95E0E" w:rsidRDefault="00C8677B" w:rsidP="00C8677B">
      <w:pPr>
        <w:pStyle w:val="berschrift1"/>
      </w:pPr>
      <w:r>
        <w:lastRenderedPageBreak/>
        <w:t>B</w:t>
      </w:r>
      <w:r w:rsidRPr="00ED7403">
        <w:t>uy-backs and stabilisation: the conditions for buy-back programmes and stabilisation measures</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91447F">
        <w:t xml:space="preserve">Do you agree with the approach set out for volume limitations? Do you think that the 50% volume limit in case of extreme low liquidity should be reinstated? If so, please justify. </w:t>
      </w:r>
    </w:p>
    <w:p w:rsidR="00C8677B" w:rsidRDefault="00C8677B" w:rsidP="00C8677B">
      <w:r>
        <w:t>&lt;</w:t>
      </w:r>
      <w:r w:rsidR="00CB6CDD">
        <w:t>ESMA_QUESTION_MAR_TS_</w:t>
      </w:r>
      <w:r>
        <w:t>1&gt;</w:t>
      </w:r>
    </w:p>
    <w:p w:rsidR="000F14BE" w:rsidRDefault="000F14BE" w:rsidP="00C8677B">
      <w:permStart w:id="4" w:edGrp="everyone"/>
      <w:r>
        <w:t>Before we answer to the specific question we would like to start with a general remark on this section.</w:t>
      </w:r>
    </w:p>
    <w:p w:rsidR="000F14BE" w:rsidRDefault="000F14BE" w:rsidP="00C8677B">
      <w:r>
        <w:t>In recital 17 ESMA states that the current deadline (7 market sessions) for publication of buyback transa</w:t>
      </w:r>
      <w:r>
        <w:t>c</w:t>
      </w:r>
      <w:r>
        <w:t>tions should be maintained and argued that “the current system seems to work” and that this deadline seems to be a “good balance between transparency and administrative burden”. FSUG regrets that the arguments provided by investor representatives responding to the DP regarding the deadline for public</w:t>
      </w:r>
      <w:r>
        <w:t>a</w:t>
      </w:r>
      <w:r>
        <w:t xml:space="preserve">tion of buyback transactions have not been taken into account in the draft </w:t>
      </w:r>
      <w:r w:rsidRPr="00AA4104">
        <w:rPr>
          <w:color w:val="000000" w:themeColor="text1"/>
        </w:rPr>
        <w:t>technical standards. Transpa</w:t>
      </w:r>
      <w:r w:rsidRPr="00AA4104">
        <w:rPr>
          <w:color w:val="000000" w:themeColor="text1"/>
        </w:rPr>
        <w:t>r</w:t>
      </w:r>
      <w:r w:rsidRPr="00AA4104">
        <w:rPr>
          <w:color w:val="000000" w:themeColor="text1"/>
        </w:rPr>
        <w:t xml:space="preserve">ency is a prerequisite for the prevention of market abuse. Investors are interested in </w:t>
      </w:r>
      <w:r w:rsidR="00AA363B" w:rsidRPr="00AA4104">
        <w:rPr>
          <w:color w:val="000000" w:themeColor="text1"/>
        </w:rPr>
        <w:t xml:space="preserve">having more timely transaction reports related to a buy-back program and rely on a more </w:t>
      </w:r>
      <w:r w:rsidRPr="00AA4104">
        <w:rPr>
          <w:color w:val="000000" w:themeColor="text1"/>
        </w:rPr>
        <w:t xml:space="preserve">timely </w:t>
      </w:r>
      <w:r w:rsidR="00AA363B" w:rsidRPr="00AA4104">
        <w:rPr>
          <w:color w:val="000000" w:themeColor="text1"/>
        </w:rPr>
        <w:t xml:space="preserve">provision of </w:t>
      </w:r>
      <w:r w:rsidRPr="00AA4104">
        <w:rPr>
          <w:color w:val="000000" w:themeColor="text1"/>
        </w:rPr>
        <w:t>information o</w:t>
      </w:r>
      <w:r w:rsidR="00AA363B" w:rsidRPr="00AA4104">
        <w:rPr>
          <w:color w:val="000000" w:themeColor="text1"/>
        </w:rPr>
        <w:t>n</w:t>
      </w:r>
      <w:r w:rsidRPr="00AA4104">
        <w:rPr>
          <w:color w:val="000000" w:themeColor="text1"/>
        </w:rPr>
        <w:t xml:space="preserve"> such transactions</w:t>
      </w:r>
      <w:r w:rsidR="00BC5FF8" w:rsidRPr="00AA4104">
        <w:rPr>
          <w:color w:val="000000" w:themeColor="text1"/>
        </w:rPr>
        <w:t>. We believe</w:t>
      </w:r>
      <w:r w:rsidRPr="00AA4104">
        <w:rPr>
          <w:color w:val="000000" w:themeColor="text1"/>
        </w:rPr>
        <w:t xml:space="preserve"> </w:t>
      </w:r>
      <w:r w:rsidR="00BC5FF8" w:rsidRPr="00AA4104">
        <w:rPr>
          <w:color w:val="000000" w:themeColor="text1"/>
        </w:rPr>
        <w:t>that timely information would be if such information w</w:t>
      </w:r>
      <w:r w:rsidRPr="00AA4104">
        <w:rPr>
          <w:color w:val="000000" w:themeColor="text1"/>
        </w:rPr>
        <w:t>ould be provided by T+</w:t>
      </w:r>
      <w:r w:rsidR="00B653DF" w:rsidRPr="00AA4104">
        <w:rPr>
          <w:color w:val="000000" w:themeColor="text1"/>
        </w:rPr>
        <w:t xml:space="preserve">1. This would </w:t>
      </w:r>
      <w:r w:rsidR="00293B0E" w:rsidRPr="00AA4104">
        <w:rPr>
          <w:color w:val="000000" w:themeColor="text1"/>
        </w:rPr>
        <w:t xml:space="preserve">also </w:t>
      </w:r>
      <w:r w:rsidR="00B653DF" w:rsidRPr="00AA4104">
        <w:rPr>
          <w:color w:val="000000" w:themeColor="text1"/>
        </w:rPr>
        <w:t>leave plenty of time (the transaction date on which the purchase took place plus one day) for settlement purposes</w:t>
      </w:r>
      <w:r w:rsidRPr="00AA4104">
        <w:rPr>
          <w:color w:val="000000" w:themeColor="text1"/>
        </w:rPr>
        <w:t>.</w:t>
      </w:r>
      <w:r w:rsidR="00B653DF" w:rsidRPr="00AA4104">
        <w:rPr>
          <w:color w:val="000000" w:themeColor="text1"/>
        </w:rPr>
        <w:t xml:space="preserve"> </w:t>
      </w:r>
      <w:r w:rsidRPr="00AA4104">
        <w:rPr>
          <w:color w:val="000000" w:themeColor="text1"/>
        </w:rPr>
        <w:t xml:space="preserve">Given that ESMA proposes the disclosure of aggregated figures only we consider that the administrative burden for issuers can and should not justify </w:t>
      </w:r>
      <w:r w:rsidR="00A86F54" w:rsidRPr="00AA4104">
        <w:rPr>
          <w:color w:val="000000" w:themeColor="text1"/>
        </w:rPr>
        <w:t xml:space="preserve">not meeting </w:t>
      </w:r>
      <w:r w:rsidRPr="00AA4104">
        <w:rPr>
          <w:color w:val="000000" w:themeColor="text1"/>
        </w:rPr>
        <w:t xml:space="preserve">the </w:t>
      </w:r>
      <w:r w:rsidR="00A86F54" w:rsidRPr="00AA4104">
        <w:rPr>
          <w:color w:val="000000" w:themeColor="text1"/>
        </w:rPr>
        <w:t xml:space="preserve">basic </w:t>
      </w:r>
      <w:r w:rsidRPr="00AA4104">
        <w:rPr>
          <w:color w:val="000000" w:themeColor="text1"/>
        </w:rPr>
        <w:t xml:space="preserve">need for investors to receive timely information. This is even </w:t>
      </w:r>
      <w:proofErr w:type="gramStart"/>
      <w:r w:rsidRPr="00AA4104">
        <w:rPr>
          <w:color w:val="000000" w:themeColor="text1"/>
        </w:rPr>
        <w:t>more true</w:t>
      </w:r>
      <w:proofErr w:type="gramEnd"/>
      <w:r w:rsidRPr="00AA4104">
        <w:rPr>
          <w:color w:val="000000" w:themeColor="text1"/>
        </w:rPr>
        <w:t xml:space="preserve"> as the same deadline is</w:t>
      </w:r>
      <w:r>
        <w:t xml:space="preserve"> proposed for disclosure towards the competent authorities.</w:t>
      </w:r>
    </w:p>
    <w:p w:rsidR="000F14BE" w:rsidRDefault="000F14BE" w:rsidP="00C8677B"/>
    <w:p w:rsidR="00AA363B" w:rsidRDefault="000F14BE" w:rsidP="00C8677B">
      <w:r>
        <w:t xml:space="preserve">Q1: </w:t>
      </w:r>
      <w:r w:rsidR="007461F1">
        <w:t xml:space="preserve">We generally agree with the approach proposed by </w:t>
      </w:r>
      <w:r w:rsidR="007461F1" w:rsidRPr="00AA4104">
        <w:rPr>
          <w:color w:val="000000" w:themeColor="text1"/>
        </w:rPr>
        <w:t>ESMA</w:t>
      </w:r>
      <w:r w:rsidR="000A06A4" w:rsidRPr="00AA4104">
        <w:rPr>
          <w:color w:val="000000" w:themeColor="text1"/>
        </w:rPr>
        <w:t>,</w:t>
      </w:r>
      <w:r w:rsidR="007461F1" w:rsidRPr="00AA4104">
        <w:rPr>
          <w:color w:val="000000" w:themeColor="text1"/>
        </w:rPr>
        <w:t xml:space="preserve"> although we consider that a lower limit of 15% would have been more appropriate</w:t>
      </w:r>
      <w:r w:rsidR="00B54544" w:rsidRPr="00AA4104">
        <w:rPr>
          <w:color w:val="000000" w:themeColor="text1"/>
        </w:rPr>
        <w:t xml:space="preserve"> for liquid shares</w:t>
      </w:r>
      <w:r w:rsidR="007461F1" w:rsidRPr="00AA4104">
        <w:rPr>
          <w:color w:val="000000" w:themeColor="text1"/>
        </w:rPr>
        <w:t xml:space="preserve">. </w:t>
      </w:r>
      <w:r w:rsidR="00192ABB" w:rsidRPr="00AA4104">
        <w:rPr>
          <w:color w:val="000000" w:themeColor="text1"/>
        </w:rPr>
        <w:t xml:space="preserve">This would result in the use of three different thresholds based on liquidity (i.e. 15% for liquid shares, 25% for illiquid shares and 50% for shares with extreme low liquidity). A (lower) volume limitation of 15% would be more appropriate for liquid shares, rather than the current (higher) volume limitation of 25%, to avoid market distortion (more specifically, to limit distortion of the price-setting mechanism). </w:t>
      </w:r>
      <w:r w:rsidR="00B93B27" w:rsidRPr="00AA4104">
        <w:rPr>
          <w:color w:val="000000" w:themeColor="text1"/>
        </w:rPr>
        <w:t xml:space="preserve">We do not agree with the proposal to calculate the volume limits per “relevant” trading venue instead of performing an accurate a calculation across venues. </w:t>
      </w:r>
      <w:r w:rsidR="00FB4614" w:rsidRPr="00AA4104">
        <w:rPr>
          <w:color w:val="000000" w:themeColor="text1"/>
        </w:rPr>
        <w:t>The excessive frag</w:t>
      </w:r>
      <w:r w:rsidR="00A86F54" w:rsidRPr="00AA4104">
        <w:rPr>
          <w:color w:val="000000" w:themeColor="text1"/>
        </w:rPr>
        <w:t xml:space="preserve">mentation </w:t>
      </w:r>
      <w:r w:rsidR="00FB4614" w:rsidRPr="00AA4104">
        <w:rPr>
          <w:color w:val="000000" w:themeColor="text1"/>
        </w:rPr>
        <w:t xml:space="preserve">and induced lack of transparency of EU capital markets should not be a reason for treating unfairly individual investors, who in effect have no real access to the other so-called “venues” than the regulated “home” markets. </w:t>
      </w:r>
      <w:r w:rsidR="00B93B27" w:rsidRPr="00AA4104">
        <w:rPr>
          <w:color w:val="000000" w:themeColor="text1"/>
        </w:rPr>
        <w:t>This would open the doors for abusive use and may lead to circumventions. Here</w:t>
      </w:r>
      <w:r w:rsidR="00A86F54" w:rsidRPr="00AA4104">
        <w:rPr>
          <w:color w:val="000000" w:themeColor="text1"/>
        </w:rPr>
        <w:t xml:space="preserve"> again</w:t>
      </w:r>
      <w:r w:rsidR="00B93B27" w:rsidRPr="00AA4104">
        <w:rPr>
          <w:color w:val="000000" w:themeColor="text1"/>
        </w:rPr>
        <w:t>, a mandatory consolidated tape (</w:t>
      </w:r>
      <w:proofErr w:type="spellStart"/>
      <w:r w:rsidR="00B93B27" w:rsidRPr="00AA4104">
        <w:rPr>
          <w:color w:val="000000" w:themeColor="text1"/>
        </w:rPr>
        <w:t>MiFiD</w:t>
      </w:r>
      <w:proofErr w:type="spellEnd"/>
      <w:r w:rsidR="00B93B27" w:rsidRPr="00AA4104">
        <w:rPr>
          <w:color w:val="000000" w:themeColor="text1"/>
        </w:rPr>
        <w:t xml:space="preserve"> II) in our opinion</w:t>
      </w:r>
      <w:r w:rsidR="00B93B27">
        <w:t xml:space="preserve"> would be appropriate.</w:t>
      </w:r>
    </w:p>
    <w:permEnd w:id="4"/>
    <w:p w:rsidR="00C8677B" w:rsidRDefault="00C8677B" w:rsidP="00C8677B">
      <w:r>
        <w:t>&lt;</w:t>
      </w:r>
      <w:r w:rsidR="00CB6CDD">
        <w:t>ESMA_QUESTION_MAR_TS_</w:t>
      </w:r>
      <w:r>
        <w:t>1&gt;</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91447F">
        <w:t>Do you agree with the approach set out for stabilisation measures? If not, please e</w:t>
      </w:r>
      <w:r w:rsidRPr="0091447F">
        <w:t>x</w:t>
      </w:r>
      <w:r w:rsidRPr="0091447F">
        <w:t>plain.</w:t>
      </w:r>
    </w:p>
    <w:p w:rsidR="00C8677B" w:rsidRDefault="00C8677B" w:rsidP="00C8677B">
      <w:r>
        <w:t>&lt;</w:t>
      </w:r>
      <w:r w:rsidR="00CB6CDD">
        <w:t>ESMA_QUESTION_MAR_TS_</w:t>
      </w:r>
      <w:r>
        <w:t>2&gt;</w:t>
      </w:r>
    </w:p>
    <w:p w:rsidR="00C8677B" w:rsidRPr="00AA4104" w:rsidRDefault="007954E1" w:rsidP="00C8677B">
      <w:pPr>
        <w:rPr>
          <w:color w:val="000000" w:themeColor="text1"/>
        </w:rPr>
      </w:pPr>
      <w:permStart w:id="5" w:edGrp="everyone"/>
      <w:r>
        <w:t>We agree</w:t>
      </w:r>
      <w:r w:rsidR="00A611F4" w:rsidRPr="000A06A4">
        <w:rPr>
          <w:color w:val="4F81BD" w:themeColor="accent1"/>
        </w:rPr>
        <w:t>,</w:t>
      </w:r>
      <w:r>
        <w:t xml:space="preserve"> except for the timeframe regarding the reporting obligation towards the competent authority which we consider too broad, see also our general remarks on buybacks </w:t>
      </w:r>
      <w:r w:rsidRPr="00AA4104">
        <w:rPr>
          <w:color w:val="000000" w:themeColor="text1"/>
        </w:rPr>
        <w:t>above.</w:t>
      </w:r>
      <w:r w:rsidR="00EB08F4" w:rsidRPr="00AA4104">
        <w:rPr>
          <w:color w:val="000000" w:themeColor="text1"/>
        </w:rPr>
        <w:t xml:space="preserve"> Stabilisation activities could give false or misleading signals and should therefore only be carried out for a</w:t>
      </w:r>
      <w:r w:rsidR="00386080" w:rsidRPr="00AA4104">
        <w:rPr>
          <w:color w:val="000000" w:themeColor="text1"/>
        </w:rPr>
        <w:t xml:space="preserve"> very</w:t>
      </w:r>
      <w:r w:rsidR="00EB08F4" w:rsidRPr="00AA4104">
        <w:rPr>
          <w:color w:val="000000" w:themeColor="text1"/>
        </w:rPr>
        <w:t xml:space="preserve"> limited period</w:t>
      </w:r>
      <w:r w:rsidR="00CC6497" w:rsidRPr="00AA4104">
        <w:rPr>
          <w:color w:val="000000" w:themeColor="text1"/>
        </w:rPr>
        <w:t xml:space="preserve"> of time</w:t>
      </w:r>
      <w:r w:rsidR="00EB08F4" w:rsidRPr="00AA4104">
        <w:rPr>
          <w:color w:val="000000" w:themeColor="text1"/>
        </w:rPr>
        <w:t>.</w:t>
      </w:r>
    </w:p>
    <w:permEnd w:id="5"/>
    <w:p w:rsidR="00C8677B" w:rsidRDefault="00C8677B" w:rsidP="00C8677B">
      <w:r>
        <w:t>&lt;</w:t>
      </w:r>
      <w:r w:rsidR="00CB6CDD">
        <w:t>ESMA_QUESTION_MAR_TS_</w:t>
      </w:r>
      <w:r>
        <w:t>2&gt;</w:t>
      </w:r>
    </w:p>
    <w:p w:rsidR="00C8677B" w:rsidRPr="00911A17" w:rsidRDefault="00C8677B" w:rsidP="00C8677B">
      <w:pPr>
        <w:pStyle w:val="berschrift1"/>
        <w:keepLines/>
        <w:spacing w:before="480" w:after="0" w:line="276" w:lineRule="auto"/>
        <w:ind w:left="284" w:hanging="284"/>
      </w:pPr>
      <w:r w:rsidRPr="004C4871">
        <w:t>Mar</w:t>
      </w:r>
      <w:r>
        <w:t>ket soundings</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012F3C">
        <w:t xml:space="preserve">Do you agree with ESMA’s revised proposals for the standards that should apply prior to conducting a market sounding? </w:t>
      </w:r>
    </w:p>
    <w:p w:rsidR="00C8677B" w:rsidRDefault="00C8677B" w:rsidP="00C8677B">
      <w:r>
        <w:t>&lt;</w:t>
      </w:r>
      <w:r w:rsidR="00CB6CDD">
        <w:t>ESMA_QUESTION_MAR_TS_</w:t>
      </w:r>
      <w:r>
        <w:t>3&gt;</w:t>
      </w:r>
    </w:p>
    <w:p w:rsidR="00E400B8" w:rsidRPr="00AA4104" w:rsidRDefault="00E400B8" w:rsidP="00C8677B">
      <w:pPr>
        <w:rPr>
          <w:color w:val="000000" w:themeColor="text1"/>
        </w:rPr>
      </w:pPr>
      <w:permStart w:id="6" w:edGrp="everyone"/>
      <w:r w:rsidRPr="00AA4104">
        <w:rPr>
          <w:color w:val="000000" w:themeColor="text1"/>
        </w:rPr>
        <w:lastRenderedPageBreak/>
        <w:t>W</w:t>
      </w:r>
      <w:r w:rsidR="00185776" w:rsidRPr="00AA4104">
        <w:rPr>
          <w:color w:val="000000" w:themeColor="text1"/>
        </w:rPr>
        <w:t>ith respect to the timing of market soundings, w</w:t>
      </w:r>
      <w:r w:rsidRPr="00AA4104">
        <w:rPr>
          <w:color w:val="000000" w:themeColor="text1"/>
        </w:rPr>
        <w:t xml:space="preserve">e regret the fact that ESMA does not </w:t>
      </w:r>
      <w:r w:rsidR="00F22D58" w:rsidRPr="00AA4104">
        <w:rPr>
          <w:color w:val="000000" w:themeColor="text1"/>
        </w:rPr>
        <w:t>use the possibility t</w:t>
      </w:r>
      <w:r w:rsidR="00E34D40" w:rsidRPr="00AA4104">
        <w:rPr>
          <w:color w:val="000000" w:themeColor="text1"/>
        </w:rPr>
        <w:t xml:space="preserve">o </w:t>
      </w:r>
      <w:r w:rsidRPr="00AA4104">
        <w:rPr>
          <w:color w:val="000000" w:themeColor="text1"/>
        </w:rPr>
        <w:t>restrict the hours in which market soundings can take place. When planning the market sounding process, the disclosing market participants should aim to reduce, as much as possible, the time between the moment when the market sounding is carried out and the envisaged date for the launch of the pote</w:t>
      </w:r>
      <w:r w:rsidRPr="00AA4104">
        <w:rPr>
          <w:color w:val="000000" w:themeColor="text1"/>
        </w:rPr>
        <w:t>n</w:t>
      </w:r>
      <w:r w:rsidRPr="00AA4104">
        <w:rPr>
          <w:color w:val="000000" w:themeColor="text1"/>
        </w:rPr>
        <w:t>tial transaction. We suggest allowing market soundings to be carried out for a limited period of 24 hours prior to the actual issue taking place in order to limit the possibility of inappropriate use of the inform</w:t>
      </w:r>
      <w:r w:rsidRPr="00AA4104">
        <w:rPr>
          <w:color w:val="000000" w:themeColor="text1"/>
        </w:rPr>
        <w:t>a</w:t>
      </w:r>
      <w:r w:rsidRPr="00AA4104">
        <w:rPr>
          <w:color w:val="000000" w:themeColor="text1"/>
        </w:rPr>
        <w:t>tion.</w:t>
      </w:r>
      <w:r w:rsidR="00593D09" w:rsidRPr="00AA4104">
        <w:rPr>
          <w:color w:val="000000" w:themeColor="text1"/>
        </w:rPr>
        <w:t xml:space="preserve"> </w:t>
      </w:r>
      <w:proofErr w:type="gramStart"/>
      <w:r w:rsidR="00E91A92" w:rsidRPr="00AA4104">
        <w:rPr>
          <w:color w:val="000000" w:themeColor="text1"/>
        </w:rPr>
        <w:t xml:space="preserve">Especially </w:t>
      </w:r>
      <w:r w:rsidR="00240938" w:rsidRPr="00AA4104">
        <w:rPr>
          <w:color w:val="000000" w:themeColor="text1"/>
        </w:rPr>
        <w:t>considering the fact that</w:t>
      </w:r>
      <w:r w:rsidR="00E91A92" w:rsidRPr="00AA4104">
        <w:rPr>
          <w:color w:val="000000" w:themeColor="text1"/>
        </w:rPr>
        <w:t xml:space="preserve"> the current market practise </w:t>
      </w:r>
      <w:r w:rsidR="00637DCB" w:rsidRPr="00AA4104">
        <w:rPr>
          <w:color w:val="000000" w:themeColor="text1"/>
        </w:rPr>
        <w:t xml:space="preserve">already </w:t>
      </w:r>
      <w:r w:rsidR="00240938" w:rsidRPr="00AA4104">
        <w:rPr>
          <w:color w:val="000000" w:themeColor="text1"/>
        </w:rPr>
        <w:t>is that</w:t>
      </w:r>
      <w:r w:rsidR="00E91A92" w:rsidRPr="00AA4104">
        <w:rPr>
          <w:color w:val="000000" w:themeColor="text1"/>
        </w:rPr>
        <w:t xml:space="preserve"> transac</w:t>
      </w:r>
      <w:r w:rsidR="00240938" w:rsidRPr="00AA4104">
        <w:rPr>
          <w:color w:val="000000" w:themeColor="text1"/>
        </w:rPr>
        <w:t>tions take</w:t>
      </w:r>
      <w:r w:rsidR="00E91A92" w:rsidRPr="00AA4104">
        <w:rPr>
          <w:color w:val="000000" w:themeColor="text1"/>
        </w:rPr>
        <w:t xml:space="preserve"> place </w:t>
      </w:r>
      <w:r w:rsidR="00240938" w:rsidRPr="00AA4104">
        <w:rPr>
          <w:color w:val="000000" w:themeColor="text1"/>
        </w:rPr>
        <w:t xml:space="preserve">within </w:t>
      </w:r>
      <w:r w:rsidR="00E91A92" w:rsidRPr="00AA4104">
        <w:rPr>
          <w:color w:val="000000" w:themeColor="text1"/>
        </w:rPr>
        <w:t>24-48 hours after a sounding.</w:t>
      </w:r>
      <w:proofErr w:type="gramEnd"/>
    </w:p>
    <w:p w:rsidR="008B6ECB" w:rsidRPr="00AA4104" w:rsidRDefault="008B6ECB" w:rsidP="00C8677B">
      <w:pPr>
        <w:rPr>
          <w:color w:val="000000" w:themeColor="text1"/>
        </w:rPr>
      </w:pPr>
    </w:p>
    <w:p w:rsidR="008B6ECB" w:rsidRPr="00AA4104" w:rsidRDefault="008B6ECB" w:rsidP="00C8677B">
      <w:pPr>
        <w:rPr>
          <w:color w:val="000000" w:themeColor="text1"/>
        </w:rPr>
      </w:pPr>
      <w:r w:rsidRPr="00AA4104">
        <w:rPr>
          <w:color w:val="000000" w:themeColor="text1"/>
        </w:rPr>
        <w:t>That being said, we generally agree with ESMA’s proposals for the standards that should apply prior to conducting a market sounding. It is important that disclosing market participants meet certain standards prior to conducting a market sounding but, more importantly, it needs to be ensured that they provide sufficient information to potential investors in the event that these investors are sounded out (e.g. pr</w:t>
      </w:r>
      <w:r w:rsidRPr="00AA4104">
        <w:rPr>
          <w:color w:val="000000" w:themeColor="text1"/>
        </w:rPr>
        <w:t>o</w:t>
      </w:r>
      <w:r w:rsidRPr="00AA4104">
        <w:rPr>
          <w:color w:val="000000" w:themeColor="text1"/>
        </w:rPr>
        <w:t>vided with inside information). This will not only enable investors to assess whether or not they should take part in the market sounding, but also whether the information they received is price-sensitive (so it is clear to investors that they are restricted from trading or acting on that information). The standards that should apply prior to conducting a market sounding are important, but we think it is more important that it is made clear what information precisely will be made public afterwards.</w:t>
      </w:r>
    </w:p>
    <w:permEnd w:id="6"/>
    <w:p w:rsidR="00C8677B" w:rsidRDefault="00C8677B" w:rsidP="00C8677B">
      <w:r>
        <w:t>&lt;</w:t>
      </w:r>
      <w:r w:rsidR="00CB6CDD">
        <w:t>ESMA_QUESTION_MAR_TS_</w:t>
      </w:r>
      <w:r>
        <w:t>3&gt;</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91447F">
        <w:t>Do you agree with the revised proposal for standard template for scripts? Do you have any comments on the elements included in the list?</w:t>
      </w:r>
    </w:p>
    <w:p w:rsidR="00C8677B" w:rsidRDefault="00C8677B" w:rsidP="00C8677B">
      <w:r>
        <w:t>&lt;</w:t>
      </w:r>
      <w:r w:rsidR="00CB6CDD">
        <w:t>ESMA_QUESTION_MAR_TS_</w:t>
      </w:r>
      <w:r>
        <w:t>4&gt;</w:t>
      </w:r>
    </w:p>
    <w:p w:rsidR="00141A14" w:rsidRPr="00AA4104" w:rsidRDefault="00434471" w:rsidP="00C8677B">
      <w:pPr>
        <w:rPr>
          <w:color w:val="000000" w:themeColor="text1"/>
        </w:rPr>
      </w:pPr>
      <w:permStart w:id="7" w:edGrp="everyone"/>
      <w:r w:rsidRPr="00AA4104">
        <w:rPr>
          <w:color w:val="000000" w:themeColor="text1"/>
        </w:rPr>
        <w:t xml:space="preserve">We agree with the proposals for </w:t>
      </w:r>
      <w:r w:rsidR="009F345E" w:rsidRPr="00AA4104">
        <w:rPr>
          <w:color w:val="000000" w:themeColor="text1"/>
        </w:rPr>
        <w:t xml:space="preserve">standardised </w:t>
      </w:r>
      <w:r w:rsidR="00FD2779" w:rsidRPr="00AA4104">
        <w:rPr>
          <w:color w:val="000000" w:themeColor="text1"/>
        </w:rPr>
        <w:t xml:space="preserve">(minimum) </w:t>
      </w:r>
      <w:r w:rsidRPr="00AA4104">
        <w:rPr>
          <w:color w:val="000000" w:themeColor="text1"/>
        </w:rPr>
        <w:t>scripts to be used by disclosing market partic</w:t>
      </w:r>
      <w:r w:rsidRPr="00AA4104">
        <w:rPr>
          <w:color w:val="000000" w:themeColor="text1"/>
        </w:rPr>
        <w:t>i</w:t>
      </w:r>
      <w:r w:rsidRPr="00AA4104">
        <w:rPr>
          <w:color w:val="000000" w:themeColor="text1"/>
        </w:rPr>
        <w:t>pants when performing market soundings</w:t>
      </w:r>
      <w:r w:rsidR="009F345E" w:rsidRPr="00AA4104">
        <w:rPr>
          <w:color w:val="000000" w:themeColor="text1"/>
        </w:rPr>
        <w:t xml:space="preserve"> i</w:t>
      </w:r>
      <w:r w:rsidRPr="00AA4104">
        <w:rPr>
          <w:color w:val="000000" w:themeColor="text1"/>
        </w:rPr>
        <w:t xml:space="preserve">n order to take a more consistent approach to soundings across the industry. </w:t>
      </w:r>
    </w:p>
    <w:p w:rsidR="00141A14" w:rsidRPr="00AA4104" w:rsidRDefault="00141A14" w:rsidP="00C8677B">
      <w:pPr>
        <w:rPr>
          <w:color w:val="000000" w:themeColor="text1"/>
        </w:rPr>
      </w:pPr>
    </w:p>
    <w:p w:rsidR="0023569B" w:rsidRPr="00AA4104" w:rsidRDefault="00FD2779" w:rsidP="00C8677B">
      <w:pPr>
        <w:rPr>
          <w:color w:val="000000" w:themeColor="text1"/>
        </w:rPr>
      </w:pPr>
      <w:r w:rsidRPr="00AA4104">
        <w:rPr>
          <w:color w:val="000000" w:themeColor="text1"/>
        </w:rPr>
        <w:t xml:space="preserve">The elements included in the list make </w:t>
      </w:r>
      <w:r w:rsidR="00431809" w:rsidRPr="00AA4104">
        <w:rPr>
          <w:color w:val="000000" w:themeColor="text1"/>
        </w:rPr>
        <w:t xml:space="preserve">seem </w:t>
      </w:r>
      <w:r w:rsidR="008C7439" w:rsidRPr="00AA4104">
        <w:rPr>
          <w:color w:val="000000" w:themeColor="text1"/>
        </w:rPr>
        <w:t xml:space="preserve">to be clear and should be </w:t>
      </w:r>
      <w:r w:rsidRPr="00AA4104">
        <w:rPr>
          <w:color w:val="000000" w:themeColor="text1"/>
        </w:rPr>
        <w:t>sufficient to enable investors to determine whether the information they received is price-sensitive (making it is clear to investors that they are restricted from trading or acting on that information</w:t>
      </w:r>
      <w:r w:rsidR="001721C7" w:rsidRPr="00AA4104">
        <w:rPr>
          <w:color w:val="000000" w:themeColor="text1"/>
        </w:rPr>
        <w:t>, by means of the threat of administrative and/or criminal penalties in case of a breach</w:t>
      </w:r>
      <w:r w:rsidRPr="00AA4104">
        <w:rPr>
          <w:color w:val="000000" w:themeColor="text1"/>
        </w:rPr>
        <w:t xml:space="preserve">). </w:t>
      </w:r>
      <w:r w:rsidR="00434471" w:rsidRPr="00AA4104">
        <w:rPr>
          <w:color w:val="000000" w:themeColor="text1"/>
        </w:rPr>
        <w:t xml:space="preserve"> </w:t>
      </w:r>
    </w:p>
    <w:permEnd w:id="7"/>
    <w:p w:rsidR="00C8677B" w:rsidRDefault="00C8677B" w:rsidP="00C8677B">
      <w:r>
        <w:t>&lt;</w:t>
      </w:r>
      <w:r w:rsidR="00CB6CDD">
        <w:t>ESMA_QUESTION_MAR_TS_</w:t>
      </w:r>
      <w:r>
        <w:t>4&gt;</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91447F">
        <w:t>Do you agree with these proposals regarding sounding lists?</w:t>
      </w:r>
    </w:p>
    <w:p w:rsidR="00C8677B" w:rsidRDefault="00C8677B" w:rsidP="00C8677B">
      <w:r>
        <w:t>&lt;</w:t>
      </w:r>
      <w:r w:rsidR="00CB6CDD">
        <w:t>ESMA_QUESTION_MAR_TS_</w:t>
      </w:r>
      <w:r>
        <w:t>5&gt;</w:t>
      </w:r>
    </w:p>
    <w:p w:rsidR="00C8677B" w:rsidRDefault="00C8677B" w:rsidP="00C8677B">
      <w:permStart w:id="8" w:edGrp="everyone"/>
      <w:r>
        <w:t>TYPE YOUR TEXT HERE</w:t>
      </w:r>
    </w:p>
    <w:permEnd w:id="8"/>
    <w:p w:rsidR="00C8677B" w:rsidRDefault="00C8677B" w:rsidP="00C8677B">
      <w:r>
        <w:t>&lt;</w:t>
      </w:r>
      <w:r w:rsidR="00CB6CDD">
        <w:t>ESMA_QUESTION_MAR_TS_</w:t>
      </w:r>
      <w:r>
        <w:t>5&gt;</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91447F">
        <w:t>Do you agree with the revised requirement for DMPs to maintain sounding information about the point of contact when such information is made available by the potential i</w:t>
      </w:r>
      <w:r w:rsidRPr="0091447F">
        <w:t>n</w:t>
      </w:r>
      <w:r w:rsidRPr="0091447F">
        <w:t>vestor?</w:t>
      </w:r>
    </w:p>
    <w:p w:rsidR="00C8677B" w:rsidRDefault="00C8677B" w:rsidP="00C8677B">
      <w:r>
        <w:t>&lt;</w:t>
      </w:r>
      <w:r w:rsidR="00CB6CDD">
        <w:t>ESMA_QUESTION_MAR_TS_</w:t>
      </w:r>
      <w:r>
        <w:t>6&gt;</w:t>
      </w:r>
    </w:p>
    <w:p w:rsidR="00C8677B" w:rsidRDefault="00C8677B" w:rsidP="00C8677B">
      <w:permStart w:id="9" w:edGrp="everyone"/>
      <w:r>
        <w:t>TYPE YOUR TEXT HERE</w:t>
      </w:r>
    </w:p>
    <w:permEnd w:id="9"/>
    <w:p w:rsidR="00C8677B" w:rsidRDefault="00C8677B" w:rsidP="00C8677B">
      <w:r>
        <w:t>&lt;</w:t>
      </w:r>
      <w:r w:rsidR="00CB6CDD">
        <w:t>ESMA_QUESTION_MAR_TS_</w:t>
      </w:r>
      <w:r>
        <w:t>6&gt;</w:t>
      </w:r>
    </w:p>
    <w:p w:rsidR="00C8677B" w:rsidRDefault="00C8677B" w:rsidP="00C8677B"/>
    <w:p w:rsidR="00C8677B" w:rsidRPr="0091447F" w:rsidRDefault="00C8677B" w:rsidP="00C8677B">
      <w:pPr>
        <w:pStyle w:val="berschrift5"/>
        <w:keepNext w:val="0"/>
        <w:keepLines w:val="0"/>
        <w:numPr>
          <w:ilvl w:val="0"/>
          <w:numId w:val="36"/>
        </w:numPr>
        <w:spacing w:before="0" w:after="250" w:line="276" w:lineRule="auto"/>
        <w:ind w:left="426" w:hanging="426"/>
      </w:pPr>
      <w:r w:rsidRPr="0091447F">
        <w:t>Do you agree with these proposals regarding recorded communications?</w:t>
      </w:r>
    </w:p>
    <w:p w:rsidR="00C8677B" w:rsidRDefault="00C8677B" w:rsidP="00C8677B">
      <w:r>
        <w:t>&lt;</w:t>
      </w:r>
      <w:r w:rsidR="00CB6CDD">
        <w:t>ESMA_QUESTION_MAR_TS_</w:t>
      </w:r>
      <w:r>
        <w:t>7&gt;</w:t>
      </w:r>
    </w:p>
    <w:p w:rsidR="00C8677B" w:rsidRDefault="00C8677B" w:rsidP="00C8677B">
      <w:permStart w:id="10" w:edGrp="everyone"/>
      <w:r>
        <w:t>TYPE YOUR TEXT HERE</w:t>
      </w:r>
    </w:p>
    <w:permEnd w:id="10"/>
    <w:p w:rsidR="00C8677B" w:rsidRDefault="00C8677B" w:rsidP="00C8677B">
      <w:r>
        <w:t>&lt;</w:t>
      </w:r>
      <w:r w:rsidR="00CB6CDD">
        <w:t>ESMA_QUESTION_MAR_TS_</w:t>
      </w:r>
      <w:r>
        <w:t>7&gt;</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91447F">
        <w:t>Do you agree with these proposals regarding DMPs’ internal processes and controls?</w:t>
      </w:r>
    </w:p>
    <w:p w:rsidR="00C8677B" w:rsidRDefault="00C8677B" w:rsidP="00C8677B">
      <w:r>
        <w:lastRenderedPageBreak/>
        <w:t>&lt;</w:t>
      </w:r>
      <w:r w:rsidR="00CB6CDD">
        <w:t>ESMA_QUESTION_MAR_TS_</w:t>
      </w:r>
      <w:r>
        <w:t>8&gt;</w:t>
      </w:r>
    </w:p>
    <w:p w:rsidR="00C8677B" w:rsidRDefault="00C8677B" w:rsidP="00C8677B">
      <w:permStart w:id="11" w:edGrp="everyone"/>
      <w:r>
        <w:t>TYPE YOUR TEXT HERE</w:t>
      </w:r>
    </w:p>
    <w:permEnd w:id="11"/>
    <w:p w:rsidR="00C8677B" w:rsidRDefault="00C8677B" w:rsidP="00C8677B">
      <w:r>
        <w:t>&lt;</w:t>
      </w:r>
      <w:r w:rsidR="00CB6CDD">
        <w:t>ESMA_QUESTION_MAR_TS_</w:t>
      </w:r>
      <w:r>
        <w:t>8&gt;</w:t>
      </w:r>
    </w:p>
    <w:p w:rsidR="00C8677B" w:rsidRDefault="00C8677B" w:rsidP="00C8677B">
      <w:r>
        <w:br w:type="page"/>
      </w:r>
    </w:p>
    <w:p w:rsidR="00C8677B" w:rsidRPr="004C4871" w:rsidRDefault="00C8677B" w:rsidP="00C8677B">
      <w:pPr>
        <w:pStyle w:val="berschrift1"/>
        <w:keepLines/>
        <w:spacing w:before="480" w:after="0" w:line="276" w:lineRule="auto"/>
        <w:ind w:left="284" w:hanging="284"/>
      </w:pPr>
      <w:r w:rsidRPr="004C4871">
        <w:lastRenderedPageBreak/>
        <w:t xml:space="preserve">Accepted Market </w:t>
      </w:r>
      <w:r>
        <w:t>Practices</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012F3C">
        <w:t>Do you agree with ESMA’s view on how to deal with OTC transactions?</w:t>
      </w:r>
      <w:r w:rsidRPr="005C0D27">
        <w:tab/>
      </w:r>
    </w:p>
    <w:p w:rsidR="00C8677B" w:rsidRDefault="00C8677B" w:rsidP="00C8677B">
      <w:r>
        <w:t>&lt;</w:t>
      </w:r>
      <w:r w:rsidR="00CB6CDD">
        <w:t>ESMA_QUESTION_MAR_TS_</w:t>
      </w:r>
      <w:r>
        <w:t>9&gt;</w:t>
      </w:r>
    </w:p>
    <w:p w:rsidR="00F96F86" w:rsidRPr="00AA4104" w:rsidRDefault="00F22595" w:rsidP="00C8677B">
      <w:pPr>
        <w:rPr>
          <w:color w:val="000000" w:themeColor="text1"/>
        </w:rPr>
      </w:pPr>
      <w:permStart w:id="12" w:edGrp="everyone"/>
      <w:r w:rsidRPr="00AA4104">
        <w:rPr>
          <w:color w:val="000000" w:themeColor="text1"/>
        </w:rPr>
        <w:t xml:space="preserve">Yes, we agree. As OTC transactions are included in MAR they should not per se be excluded from the scope of AMP. The question of inclusion/exclusion should be coherent with all other transactions within the scope of MAR. </w:t>
      </w:r>
      <w:r w:rsidR="0038073B" w:rsidRPr="00AA4104">
        <w:rPr>
          <w:color w:val="000000" w:themeColor="text1"/>
        </w:rPr>
        <w:t>As a result of this an accepted market practice can be established, provided that the r</w:t>
      </w:r>
      <w:r w:rsidR="0038073B" w:rsidRPr="00AA4104">
        <w:rPr>
          <w:color w:val="000000" w:themeColor="text1"/>
        </w:rPr>
        <w:t>e</w:t>
      </w:r>
      <w:r w:rsidR="0038073B" w:rsidRPr="00AA4104">
        <w:rPr>
          <w:color w:val="000000" w:themeColor="text1"/>
        </w:rPr>
        <w:t xml:space="preserve">quirements which apply under the MAR are met. Therefore, the national competent authority should include OTC trading in its assessments of market practices, as well as whether these practices meet the necessary requirements. One of these requirements is that the specific market practice should have a substantial degree of transparency to the market. OTC markets are, by definition, less transparent (in terms of trailing positions, prices, transactions and scales of exposure). Consequently, when conducting its assessment of a particular market practice the competent authority will need to consider carefully whether this specific requirement has been met for OTC trading. </w:t>
      </w:r>
      <w:r w:rsidR="00004052" w:rsidRPr="00AA4104">
        <w:rPr>
          <w:color w:val="000000" w:themeColor="text1"/>
        </w:rPr>
        <w:t>Summarised,</w:t>
      </w:r>
      <w:r w:rsidR="0038073B" w:rsidRPr="00AA4104">
        <w:rPr>
          <w:color w:val="000000" w:themeColor="text1"/>
        </w:rPr>
        <w:t xml:space="preserve"> </w:t>
      </w:r>
      <w:r w:rsidRPr="00AA4104">
        <w:rPr>
          <w:color w:val="000000" w:themeColor="text1"/>
        </w:rPr>
        <w:t>we support ESMA’s view that co</w:t>
      </w:r>
      <w:r w:rsidRPr="00AA4104">
        <w:rPr>
          <w:color w:val="000000" w:themeColor="text1"/>
        </w:rPr>
        <w:t>m</w:t>
      </w:r>
      <w:r w:rsidRPr="00AA4104">
        <w:rPr>
          <w:color w:val="000000" w:themeColor="text1"/>
        </w:rPr>
        <w:t xml:space="preserve">petent authorities </w:t>
      </w:r>
      <w:r w:rsidR="00265B5C" w:rsidRPr="00AA4104">
        <w:rPr>
          <w:color w:val="000000" w:themeColor="text1"/>
        </w:rPr>
        <w:t>should</w:t>
      </w:r>
      <w:r w:rsidRPr="00AA4104">
        <w:rPr>
          <w:color w:val="000000" w:themeColor="text1"/>
        </w:rPr>
        <w:t xml:space="preserve"> have to consider carefully if the transparency criterion according to Article 13 (2) (a) is being </w:t>
      </w:r>
      <w:r w:rsidR="00265B5C" w:rsidRPr="00AA4104">
        <w:rPr>
          <w:color w:val="000000" w:themeColor="text1"/>
        </w:rPr>
        <w:t>met and recommend that the same standards apply regardless of the trading venue.</w:t>
      </w:r>
    </w:p>
    <w:permEnd w:id="12"/>
    <w:p w:rsidR="00C8677B" w:rsidRDefault="00C8677B" w:rsidP="00C8677B">
      <w:r>
        <w:t>&lt;</w:t>
      </w:r>
      <w:r w:rsidR="00CB6CDD">
        <w:t>ESMA_QUESTION_MAR_TS_</w:t>
      </w:r>
      <w:r>
        <w:t>9&gt;</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012F3C">
        <w:t>Do you agree with ESMA’s view that the status of supervised person of the person performing the AMP is an essential criterion in the assessment to be conducted by the competent authority?</w:t>
      </w:r>
    </w:p>
    <w:p w:rsidR="00C8677B" w:rsidRDefault="00C8677B" w:rsidP="00C8677B">
      <w:r>
        <w:t>&lt;</w:t>
      </w:r>
      <w:r w:rsidR="00CB6CDD">
        <w:t>ESMA_QUESTION_MAR_TS_</w:t>
      </w:r>
      <w:r>
        <w:t>10&gt;</w:t>
      </w:r>
    </w:p>
    <w:p w:rsidR="000402C9" w:rsidRDefault="00A52542" w:rsidP="00C8677B">
      <w:permStart w:id="13" w:edGrp="everyone"/>
      <w:r>
        <w:t>The approach proposed by ESMA is too cumbersome and complicated and may hinder a sound survei</w:t>
      </w:r>
      <w:r>
        <w:t>l</w:t>
      </w:r>
      <w:r>
        <w:t xml:space="preserve">lance and </w:t>
      </w:r>
      <w:r w:rsidR="00A842A7">
        <w:t xml:space="preserve">harmonised </w:t>
      </w:r>
      <w:r>
        <w:t>supervision which is necessary to adequately protect investors</w:t>
      </w:r>
      <w:r w:rsidR="00BC5FF8">
        <w:t>.</w:t>
      </w:r>
      <w:r w:rsidR="00645065">
        <w:t xml:space="preserve"> </w:t>
      </w:r>
      <w:r w:rsidR="00BC5FF8">
        <w:t xml:space="preserve">This </w:t>
      </w:r>
      <w:r w:rsidR="00645065">
        <w:t xml:space="preserve">is only given in case firms executing an AMP are subject to supervision by regulators. </w:t>
      </w:r>
      <w:r w:rsidR="00A842A7">
        <w:t>We consider that a</w:t>
      </w:r>
      <w:r>
        <w:t xml:space="preserve"> restriction to supervised persons </w:t>
      </w:r>
      <w:r w:rsidR="00A842A7">
        <w:t>would be within the mandate of ESMA according to Article 13 (7) which requires ESMA to ensure consistent harmonisation of Article 13.</w:t>
      </w:r>
    </w:p>
    <w:permEnd w:id="13"/>
    <w:p w:rsidR="00C8677B" w:rsidRDefault="00C8677B" w:rsidP="00C8677B">
      <w:r>
        <w:t>&lt;</w:t>
      </w:r>
      <w:r w:rsidR="00CB6CDD">
        <w:t>ESMA_QUESTION_MAR_TS_</w:t>
      </w:r>
      <w:r>
        <w:t>10&gt;</w:t>
      </w:r>
    </w:p>
    <w:p w:rsidR="00C8677B" w:rsidRDefault="00C8677B" w:rsidP="00C8677B"/>
    <w:p w:rsidR="00C8677B" w:rsidRDefault="00C8677B" w:rsidP="00C8677B">
      <w:r>
        <w:br w:type="page"/>
      </w:r>
    </w:p>
    <w:p w:rsidR="00C8677B" w:rsidRPr="00ED7403" w:rsidRDefault="00C8677B" w:rsidP="00C8677B">
      <w:pPr>
        <w:pStyle w:val="berschrift1"/>
        <w:keepLines/>
        <w:spacing w:before="480" w:after="0" w:line="276" w:lineRule="auto"/>
        <w:ind w:left="284" w:hanging="284"/>
      </w:pPr>
      <w:r w:rsidRPr="00ED7403">
        <w:lastRenderedPageBreak/>
        <w:t xml:space="preserve">Suspicious </w:t>
      </w:r>
      <w:r>
        <w:t>transaction and order reporting</w:t>
      </w:r>
      <w:r w:rsidRPr="00ED7403">
        <w:tab/>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642545">
        <w:t>Do you agree with this analysis regarding attempted market abuse and OTC deriv</w:t>
      </w:r>
      <w:r w:rsidRPr="00642545">
        <w:t>a</w:t>
      </w:r>
      <w:r w:rsidRPr="00642545">
        <w:t>tives</w:t>
      </w:r>
      <w:r>
        <w:t>?</w:t>
      </w:r>
    </w:p>
    <w:p w:rsidR="00C8677B" w:rsidRDefault="00C8677B" w:rsidP="00C8677B">
      <w:r>
        <w:t>&lt;</w:t>
      </w:r>
      <w:r w:rsidR="00CB6CDD">
        <w:t>ESMA_QUESTION_MAR_TS_</w:t>
      </w:r>
      <w:r>
        <w:t>11&gt;</w:t>
      </w:r>
    </w:p>
    <w:p w:rsidR="00C8677B" w:rsidRDefault="00C8677B" w:rsidP="00C8677B">
      <w:permStart w:id="14" w:edGrp="everyone"/>
      <w:r>
        <w:t>TYPE YOUR TEXT HERE</w:t>
      </w:r>
    </w:p>
    <w:permEnd w:id="14"/>
    <w:p w:rsidR="00C8677B" w:rsidRDefault="00C8677B" w:rsidP="00C8677B">
      <w:r>
        <w:t>&lt;</w:t>
      </w:r>
      <w:r w:rsidR="00CB6CDD">
        <w:t>ESMA_QUESTION_MAR_TS_</w:t>
      </w:r>
      <w:r>
        <w:t>11&gt;</w:t>
      </w:r>
    </w:p>
    <w:p w:rsidR="00294C2D" w:rsidRDefault="00294C2D" w:rsidP="00C8677B"/>
    <w:p w:rsidR="00C8677B" w:rsidRDefault="00C8677B" w:rsidP="00C8677B">
      <w:pPr>
        <w:pStyle w:val="berschrift5"/>
        <w:keepNext w:val="0"/>
        <w:keepLines w:val="0"/>
        <w:numPr>
          <w:ilvl w:val="0"/>
          <w:numId w:val="36"/>
        </w:numPr>
        <w:spacing w:before="0" w:after="250" w:line="276" w:lineRule="auto"/>
        <w:ind w:left="426" w:hanging="426"/>
      </w:pPr>
      <w:r w:rsidRPr="00012F3C">
        <w:t>Do you agree with ESMA’s clarification on the timing of STOR reporting?</w:t>
      </w:r>
      <w:r w:rsidRPr="005C0D27">
        <w:tab/>
      </w:r>
    </w:p>
    <w:p w:rsidR="00C8677B" w:rsidRDefault="00C8677B" w:rsidP="00C8677B">
      <w:r>
        <w:t>&lt;</w:t>
      </w:r>
      <w:r w:rsidR="00CB6CDD">
        <w:t>ESMA_QUESTION_MAR_TS_</w:t>
      </w:r>
      <w:r>
        <w:t>12&gt;</w:t>
      </w:r>
    </w:p>
    <w:p w:rsidR="00C8677B" w:rsidRDefault="00C8677B" w:rsidP="00C8677B">
      <w:permStart w:id="15" w:edGrp="everyone"/>
      <w:r>
        <w:t>TYPE YOUR TEXT HERE</w:t>
      </w:r>
    </w:p>
    <w:permEnd w:id="15"/>
    <w:p w:rsidR="00C8677B" w:rsidRDefault="00C8677B" w:rsidP="00C8677B">
      <w:r>
        <w:t>&lt;</w:t>
      </w:r>
      <w:r w:rsidR="00CB6CDD">
        <w:t>ESMA_QUESTION_MAR_TS_</w:t>
      </w:r>
      <w:r>
        <w:t>12&gt;</w:t>
      </w:r>
    </w:p>
    <w:p w:rsidR="00294C2D" w:rsidRDefault="00294C2D" w:rsidP="00C8677B"/>
    <w:p w:rsidR="00C8677B" w:rsidRDefault="00C8677B" w:rsidP="00C8677B">
      <w:pPr>
        <w:pStyle w:val="berschrift5"/>
        <w:keepNext w:val="0"/>
        <w:keepLines w:val="0"/>
        <w:numPr>
          <w:ilvl w:val="0"/>
          <w:numId w:val="36"/>
        </w:numPr>
        <w:spacing w:before="0" w:after="250" w:line="276" w:lineRule="auto"/>
        <w:ind w:left="426" w:hanging="426"/>
      </w:pPr>
      <w:r w:rsidRPr="00050D18">
        <w:t>Do you agree with ESMA’s position on automated surveillance?</w:t>
      </w:r>
    </w:p>
    <w:p w:rsidR="00C8677B" w:rsidRDefault="00C8677B" w:rsidP="00C8677B">
      <w:r>
        <w:t>&lt;</w:t>
      </w:r>
      <w:r w:rsidR="00CB6CDD">
        <w:t>ESMA_QUESTION_MAR_TS_</w:t>
      </w:r>
      <w:r>
        <w:t>13&gt;</w:t>
      </w:r>
    </w:p>
    <w:p w:rsidR="00B41893" w:rsidRPr="00AA4104" w:rsidRDefault="001B24CB" w:rsidP="00C8677B">
      <w:pPr>
        <w:rPr>
          <w:color w:val="000000" w:themeColor="text1"/>
        </w:rPr>
      </w:pPr>
      <w:permStart w:id="16" w:edGrp="everyone"/>
      <w:r w:rsidRPr="00AA4104">
        <w:rPr>
          <w:color w:val="000000" w:themeColor="text1"/>
        </w:rPr>
        <w:t xml:space="preserve">We agree with ESMA’s </w:t>
      </w:r>
      <w:r w:rsidR="00EC2A6A" w:rsidRPr="00AA4104">
        <w:rPr>
          <w:color w:val="000000" w:themeColor="text1"/>
        </w:rPr>
        <w:t>position,</w:t>
      </w:r>
      <w:r w:rsidRPr="00AA4104">
        <w:rPr>
          <w:color w:val="000000" w:themeColor="text1"/>
        </w:rPr>
        <w:t xml:space="preserve"> but we find it incomplete as the necessity to establish automated survei</w:t>
      </w:r>
      <w:r w:rsidRPr="00AA4104">
        <w:rPr>
          <w:color w:val="000000" w:themeColor="text1"/>
        </w:rPr>
        <w:t>l</w:t>
      </w:r>
      <w:r w:rsidRPr="00AA4104">
        <w:rPr>
          <w:color w:val="000000" w:themeColor="text1"/>
        </w:rPr>
        <w:t>lance systems should not rely only with firms and “market venues”, but also with national supervisors</w:t>
      </w:r>
      <w:r w:rsidR="009A2F1C" w:rsidRPr="00AA4104">
        <w:rPr>
          <w:color w:val="000000" w:themeColor="text1"/>
        </w:rPr>
        <w:t xml:space="preserve"> so that they can immediately investigate suspi</w:t>
      </w:r>
      <w:r w:rsidR="00AA4104" w:rsidRPr="00AA4104">
        <w:rPr>
          <w:color w:val="000000" w:themeColor="text1"/>
        </w:rPr>
        <w:t>c</w:t>
      </w:r>
      <w:r w:rsidR="009A2F1C" w:rsidRPr="00AA4104">
        <w:rPr>
          <w:color w:val="000000" w:themeColor="text1"/>
        </w:rPr>
        <w:t>ious signs and signals of a possible breach (e.g. strongly i</w:t>
      </w:r>
      <w:r w:rsidR="009A2F1C" w:rsidRPr="00AA4104">
        <w:rPr>
          <w:color w:val="000000" w:themeColor="text1"/>
        </w:rPr>
        <w:t>n</w:t>
      </w:r>
      <w:r w:rsidR="009A2F1C" w:rsidRPr="00AA4104">
        <w:rPr>
          <w:color w:val="000000" w:themeColor="text1"/>
        </w:rPr>
        <w:t>creasing or decreasing rates, deviating trade volumes, etc)</w:t>
      </w:r>
      <w:r w:rsidRPr="00AA4104">
        <w:rPr>
          <w:color w:val="000000" w:themeColor="text1"/>
        </w:rPr>
        <w:t xml:space="preserve">.  The </w:t>
      </w:r>
      <w:r w:rsidR="00EC2A6A" w:rsidRPr="00AA4104">
        <w:rPr>
          <w:color w:val="000000" w:themeColor="text1"/>
        </w:rPr>
        <w:t>French supervisor</w:t>
      </w:r>
      <w:r w:rsidRPr="00AA4104">
        <w:rPr>
          <w:color w:val="000000" w:themeColor="text1"/>
        </w:rPr>
        <w:t xml:space="preserve"> acknowledged in its latest strategic plan that it was struggling to identify and sanction large market abuses. </w:t>
      </w:r>
      <w:r w:rsidR="00EC2A6A" w:rsidRPr="00AA4104">
        <w:rPr>
          <w:color w:val="000000" w:themeColor="text1"/>
        </w:rPr>
        <w:t>This challenge</w:t>
      </w:r>
      <w:r w:rsidRPr="00AA4104">
        <w:rPr>
          <w:color w:val="000000" w:themeColor="text1"/>
        </w:rPr>
        <w:t xml:space="preserve"> cannot be solved </w:t>
      </w:r>
      <w:r w:rsidR="00EC2A6A" w:rsidRPr="00AA4104">
        <w:rPr>
          <w:color w:val="000000" w:themeColor="text1"/>
        </w:rPr>
        <w:t>without national</w:t>
      </w:r>
      <w:r w:rsidRPr="00AA4104">
        <w:rPr>
          <w:color w:val="000000" w:themeColor="text1"/>
        </w:rPr>
        <w:t xml:space="preserve"> supervisors investing in automated surveillance tools, like the UK FCA has done since 2008.  FCA has since then </w:t>
      </w:r>
      <w:r w:rsidR="00EC2A6A" w:rsidRPr="00AA4104">
        <w:rPr>
          <w:color w:val="000000" w:themeColor="text1"/>
        </w:rPr>
        <w:t>largely increased its number of market abuse cases.</w:t>
      </w:r>
    </w:p>
    <w:permEnd w:id="16"/>
    <w:p w:rsidR="00C8677B" w:rsidRDefault="00C8677B" w:rsidP="00C8677B">
      <w:r>
        <w:t>&lt;</w:t>
      </w:r>
      <w:r w:rsidR="00CB6CDD">
        <w:t>ESMA_QUESTION_MAR_TS_</w:t>
      </w:r>
      <w:r>
        <w:t>13&gt;</w:t>
      </w:r>
    </w:p>
    <w:p w:rsidR="00294C2D" w:rsidRDefault="00294C2D" w:rsidP="00C8677B"/>
    <w:p w:rsidR="00C8677B" w:rsidRDefault="00C8677B" w:rsidP="00C8677B">
      <w:pPr>
        <w:pStyle w:val="berschrift5"/>
        <w:keepNext w:val="0"/>
        <w:keepLines w:val="0"/>
        <w:numPr>
          <w:ilvl w:val="0"/>
          <w:numId w:val="36"/>
        </w:numPr>
        <w:spacing w:before="0" w:after="250" w:line="276" w:lineRule="auto"/>
        <w:ind w:left="426" w:hanging="426"/>
      </w:pPr>
      <w:r w:rsidRPr="00050D18">
        <w:t>Do you have any additional views on the proposed information to be included in, and the overall layout of the STORs?</w:t>
      </w:r>
    </w:p>
    <w:p w:rsidR="00C8677B" w:rsidRDefault="00C8677B" w:rsidP="00C8677B">
      <w:r>
        <w:t>&lt;</w:t>
      </w:r>
      <w:r w:rsidR="00CB6CDD">
        <w:t>ESMA_QUESTION_MAR_TS_</w:t>
      </w:r>
      <w:r>
        <w:t>14&gt;</w:t>
      </w:r>
    </w:p>
    <w:p w:rsidR="00C8677B" w:rsidRDefault="00C8677B" w:rsidP="00C8677B">
      <w:permStart w:id="17" w:edGrp="everyone"/>
      <w:r>
        <w:t>TYPE YOUR TEXT HERE</w:t>
      </w:r>
    </w:p>
    <w:permEnd w:id="17"/>
    <w:p w:rsidR="00C8677B" w:rsidRDefault="00C8677B" w:rsidP="00C8677B">
      <w:r>
        <w:t>&lt;</w:t>
      </w:r>
      <w:r w:rsidR="00CB6CDD">
        <w:t>ESMA_QUESTION_MAR_TS_</w:t>
      </w:r>
      <w:r>
        <w:t>14&gt;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050D18">
        <w:t>Do you have any additional views on templates?</w:t>
      </w:r>
    </w:p>
    <w:p w:rsidR="00C8677B" w:rsidRDefault="00C8677B" w:rsidP="00C8677B">
      <w:r>
        <w:t>&lt;</w:t>
      </w:r>
      <w:r w:rsidR="00CB6CDD">
        <w:t>ESMA_QUESTION_MAR_TS_</w:t>
      </w:r>
      <w:r>
        <w:t>15&gt;</w:t>
      </w:r>
    </w:p>
    <w:p w:rsidR="00C8677B" w:rsidRDefault="00C8677B" w:rsidP="00C8677B">
      <w:permStart w:id="18" w:edGrp="everyone"/>
      <w:r>
        <w:t>TYPE YOUR TEXT HERE</w:t>
      </w:r>
    </w:p>
    <w:permEnd w:id="18"/>
    <w:p w:rsidR="00C8677B" w:rsidRDefault="00C8677B" w:rsidP="00C8677B">
      <w:r>
        <w:t>&lt;</w:t>
      </w:r>
      <w:r w:rsidR="00CB6CDD">
        <w:t>ESMA_QUESTION_MAR_TS_</w:t>
      </w:r>
      <w:r>
        <w:t>15&gt;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050D18">
        <w:t>Do you have any views on ESMA’s clarification regarding “near misses”?</w:t>
      </w:r>
    </w:p>
    <w:p w:rsidR="00C8677B" w:rsidRDefault="00C8677B" w:rsidP="00C8677B">
      <w:r>
        <w:t>&lt;</w:t>
      </w:r>
      <w:r w:rsidR="00CB6CDD">
        <w:t>ESMA_QUESTION_MAR_TS_</w:t>
      </w:r>
      <w:r>
        <w:t>16&gt;</w:t>
      </w:r>
    </w:p>
    <w:p w:rsidR="00C8677B" w:rsidRDefault="00C8677B" w:rsidP="00C8677B">
      <w:permStart w:id="19" w:edGrp="everyone"/>
      <w:r>
        <w:t>TYPE YOUR TEXT HERE</w:t>
      </w:r>
    </w:p>
    <w:permEnd w:id="19"/>
    <w:p w:rsidR="00C8677B" w:rsidRDefault="00C8677B" w:rsidP="00C8677B">
      <w:r>
        <w:t>&lt;</w:t>
      </w:r>
      <w:r w:rsidR="00CB6CDD">
        <w:t>ESMA_QUESTION_MAR_TS_</w:t>
      </w:r>
      <w:r>
        <w:t>16&gt;</w:t>
      </w:r>
    </w:p>
    <w:p w:rsidR="00C8677B" w:rsidRDefault="00C8677B" w:rsidP="00C8677B">
      <w:r>
        <w:br w:type="page"/>
      </w:r>
    </w:p>
    <w:p w:rsidR="00C8677B" w:rsidRPr="003E7192" w:rsidRDefault="00C8677B" w:rsidP="00C8677B">
      <w:pPr>
        <w:pStyle w:val="berschrift1"/>
        <w:keepLines/>
        <w:spacing w:before="480" w:after="0" w:line="276" w:lineRule="auto"/>
        <w:ind w:left="284" w:hanging="284"/>
      </w:pPr>
      <w:r w:rsidRPr="003E7192">
        <w:lastRenderedPageBreak/>
        <w:t xml:space="preserve">Technical means for public disclosure </w:t>
      </w:r>
      <w:r>
        <w:t>of inside information and d</w:t>
      </w:r>
      <w:r>
        <w:t>e</w:t>
      </w:r>
      <w:r>
        <w:t>lays</w:t>
      </w:r>
      <w:r w:rsidRPr="003E7192">
        <w:tab/>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802A71">
        <w:t xml:space="preserve">Do </w:t>
      </w:r>
      <w:r>
        <w:t xml:space="preserve">you </w:t>
      </w:r>
      <w:r w:rsidRPr="00802A71">
        <w:t>agree with the proposal regarding the channel for disclosure of inside info</w:t>
      </w:r>
      <w:r w:rsidRPr="00802A71">
        <w:t>r</w:t>
      </w:r>
      <w:r w:rsidRPr="00802A71">
        <w:t>mation?</w:t>
      </w:r>
    </w:p>
    <w:p w:rsidR="00C8677B" w:rsidRDefault="00C8677B" w:rsidP="00C8677B">
      <w:r>
        <w:t>&lt;</w:t>
      </w:r>
      <w:r w:rsidR="00CB6CDD">
        <w:t>ESMA_QUESTION_MAR_TS_</w:t>
      </w:r>
      <w:r>
        <w:t>17&gt;</w:t>
      </w:r>
    </w:p>
    <w:p w:rsidR="0033318B" w:rsidRPr="00AA4104" w:rsidRDefault="00223908" w:rsidP="00C8677B">
      <w:pPr>
        <w:rPr>
          <w:color w:val="000000" w:themeColor="text1"/>
        </w:rPr>
      </w:pPr>
      <w:permStart w:id="20" w:edGrp="everyone"/>
      <w:r w:rsidRPr="00AA4104">
        <w:rPr>
          <w:color w:val="000000" w:themeColor="text1"/>
        </w:rPr>
        <w:t>We agree with this proposal</w:t>
      </w:r>
      <w:r w:rsidR="001C1B83" w:rsidRPr="00AA4104">
        <w:rPr>
          <w:color w:val="000000" w:themeColor="text1"/>
        </w:rPr>
        <w:t xml:space="preserve">, especially with ESMA’s assessment that information made public either directly by the issuer by using only other ways of publication (issuer website, social media, newspapers etc.) or by publication on the competent authority’s website </w:t>
      </w:r>
      <w:r w:rsidR="001C1B83" w:rsidRPr="00AA4104">
        <w:rPr>
          <w:color w:val="000000" w:themeColor="text1"/>
          <w:u w:val="single"/>
        </w:rPr>
        <w:t>only</w:t>
      </w:r>
      <w:r w:rsidR="001C1B83" w:rsidRPr="00AA4104">
        <w:rPr>
          <w:color w:val="000000" w:themeColor="text1"/>
        </w:rPr>
        <w:t xml:space="preserve"> is not considered as meeting the r</w:t>
      </w:r>
      <w:r w:rsidR="001C1B83" w:rsidRPr="00AA4104">
        <w:rPr>
          <w:color w:val="000000" w:themeColor="text1"/>
        </w:rPr>
        <w:t>e</w:t>
      </w:r>
      <w:r w:rsidR="001C1B83" w:rsidRPr="00AA4104">
        <w:rPr>
          <w:color w:val="000000" w:themeColor="text1"/>
        </w:rPr>
        <w:t>quirements of a proper dissemination of inside information. We furthermore agree that similar requir</w:t>
      </w:r>
      <w:r w:rsidR="001C1B83" w:rsidRPr="00AA4104">
        <w:rPr>
          <w:color w:val="000000" w:themeColor="text1"/>
        </w:rPr>
        <w:t>e</w:t>
      </w:r>
      <w:r w:rsidR="001C1B83" w:rsidRPr="00AA4104">
        <w:rPr>
          <w:color w:val="000000" w:themeColor="text1"/>
        </w:rPr>
        <w:t>ments regarding means for appropriate disclosure should apply for issuers of MTF/OTF instruments in order to avoid confusion among investors as to which information channel they should use for their diffe</w:t>
      </w:r>
      <w:r w:rsidR="001C1B83" w:rsidRPr="00AA4104">
        <w:rPr>
          <w:color w:val="000000" w:themeColor="text1"/>
        </w:rPr>
        <w:t>r</w:t>
      </w:r>
      <w:r w:rsidR="001C1B83" w:rsidRPr="00AA4104">
        <w:rPr>
          <w:color w:val="000000" w:themeColor="text1"/>
        </w:rPr>
        <w:t>ent fi</w:t>
      </w:r>
      <w:r w:rsidR="0033318B" w:rsidRPr="00AA4104">
        <w:rPr>
          <w:color w:val="000000" w:themeColor="text1"/>
        </w:rPr>
        <w:t>nancial instruments/securities.</w:t>
      </w:r>
    </w:p>
    <w:permEnd w:id="20"/>
    <w:p w:rsidR="00C8677B" w:rsidRDefault="00C8677B" w:rsidP="00C8677B">
      <w:r>
        <w:t>&lt;</w:t>
      </w:r>
      <w:r w:rsidR="00CB6CDD">
        <w:t>ESMA_QUESTION_MAR_TS_</w:t>
      </w:r>
      <w:r>
        <w:t>17&gt;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63385E">
        <w:t>Do you believe that potential investors in emission allowances or, more importantly, related derivative products, have effective access to inside information related to emi</w:t>
      </w:r>
      <w:r w:rsidRPr="0063385E">
        <w:t>s</w:t>
      </w:r>
      <w:r w:rsidRPr="0063385E">
        <w:t>sion allowances that have been publicly disclosed meeting REMIT standards as d</w:t>
      </w:r>
      <w:r w:rsidRPr="0063385E">
        <w:t>e</w:t>
      </w:r>
      <w:r w:rsidRPr="0063385E">
        <w:t>scribed in the CP, i.e. using platforms dedicated to the publication of REMIT inside i</w:t>
      </w:r>
      <w:r w:rsidRPr="0063385E">
        <w:t>n</w:t>
      </w:r>
      <w:r w:rsidRPr="0063385E">
        <w:t>formation or websites of the energy market participants as currently recommended in the ACER guidance?</w:t>
      </w:r>
    </w:p>
    <w:p w:rsidR="00C8677B" w:rsidRDefault="00C8677B" w:rsidP="00C8677B">
      <w:r>
        <w:t>&lt;</w:t>
      </w:r>
      <w:r w:rsidR="00CB6CDD">
        <w:t>ESMA_QUESTION_MAR_TS_</w:t>
      </w:r>
      <w:r>
        <w:t>18&gt;</w:t>
      </w:r>
    </w:p>
    <w:p w:rsidR="00C8677B" w:rsidRDefault="00C8677B" w:rsidP="00C8677B">
      <w:permStart w:id="21" w:edGrp="everyone"/>
      <w:r>
        <w:t>TYPE YOUR TEXT HERE</w:t>
      </w:r>
    </w:p>
    <w:permEnd w:id="21"/>
    <w:p w:rsidR="00C8677B" w:rsidRDefault="00C8677B" w:rsidP="00C8677B">
      <w:r>
        <w:t>&lt;</w:t>
      </w:r>
      <w:r w:rsidR="00CB6CDD">
        <w:t>ESMA_QUESTION_MAR_TS_</w:t>
      </w:r>
      <w:r>
        <w:t>18&gt;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63385E">
        <w:t>What would be the practical implications for the energy market participants under REMIT who would also be EAMPs under MAR to use disclosure channels meeting the MAR requirements for actively disseminating information that would be inside info</w:t>
      </w:r>
      <w:r w:rsidRPr="0063385E">
        <w:t>r</w:t>
      </w:r>
      <w:r w:rsidRPr="0063385E">
        <w:t>mation under both REMIT and MAR?</w:t>
      </w:r>
    </w:p>
    <w:p w:rsidR="00C8677B" w:rsidRDefault="00C8677B" w:rsidP="00C8677B">
      <w:r>
        <w:t>&lt;</w:t>
      </w:r>
      <w:r w:rsidR="00CB6CDD">
        <w:t>ESMA_QUESTION_MAR_TS_</w:t>
      </w:r>
      <w:r>
        <w:t>19&gt;</w:t>
      </w:r>
    </w:p>
    <w:p w:rsidR="00C8677B" w:rsidRDefault="00C8677B" w:rsidP="00C8677B">
      <w:permStart w:id="22" w:edGrp="everyone"/>
      <w:r>
        <w:t>TYPE YOUR TEXT HERE</w:t>
      </w:r>
    </w:p>
    <w:permEnd w:id="22"/>
    <w:p w:rsidR="00C8677B" w:rsidRDefault="00C8677B" w:rsidP="00C8677B">
      <w:r>
        <w:t>&lt;</w:t>
      </w:r>
      <w:r w:rsidR="00CB6CDD">
        <w:t>ESMA_QUESTION_MAR_TS_</w:t>
      </w:r>
      <w:r>
        <w:t>19&gt;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0626F6">
        <w:t>Do you agree with ESMA’s proposals regarding the format and content of the notif</w:t>
      </w:r>
      <w:r w:rsidRPr="000626F6">
        <w:t>i</w:t>
      </w:r>
      <w:r w:rsidRPr="000626F6">
        <w:t>cation?</w:t>
      </w:r>
    </w:p>
    <w:p w:rsidR="00C8677B" w:rsidRDefault="00C8677B" w:rsidP="00C8677B">
      <w:r>
        <w:t>&lt;</w:t>
      </w:r>
      <w:r w:rsidR="00CB6CDD">
        <w:t>ESMA_QUESTION_MAR_TS_</w:t>
      </w:r>
      <w:r>
        <w:t>20&gt;</w:t>
      </w:r>
    </w:p>
    <w:p w:rsidR="00C8677B" w:rsidRDefault="00E651D2" w:rsidP="00C8677B">
      <w:permStart w:id="23" w:edGrp="everyone"/>
      <w:r>
        <w:t>We generally agree.  In cases where Member States do not make use of the provision in 17(4) (c) to provide for an explanation only upon request of the competent authority, we see, however, no need to allow issuers to provide the explanation as to how the conditions of Article 17(5) were met at a later stage than the information about the delay itself. The information on the r</w:t>
      </w:r>
      <w:r w:rsidR="002E5193">
        <w:t>easons for the ex</w:t>
      </w:r>
      <w:r>
        <w:t>emptions may be crucial</w:t>
      </w:r>
      <w:r w:rsidR="002E5193">
        <w:t xml:space="preserve"> </w:t>
      </w:r>
      <w:r w:rsidR="003206B6">
        <w:t xml:space="preserve">both for investors and </w:t>
      </w:r>
      <w:r w:rsidR="002E5193">
        <w:t>in insider-dealing investigations</w:t>
      </w:r>
      <w:r w:rsidR="003206B6">
        <w:t>. Also,</w:t>
      </w:r>
      <w:r w:rsidR="002E5193">
        <w:t xml:space="preserve"> the issuer should be aware already </w:t>
      </w:r>
      <w:r w:rsidR="003206B6">
        <w:t xml:space="preserve">at the time </w:t>
      </w:r>
      <w:r w:rsidR="002E5193">
        <w:t xml:space="preserve">the decision is taking, if and why he fulfils the three conditions laid down in Article 17(5). Therefore we do not see an unnecessary burden for issuers to </w:t>
      </w:r>
      <w:r w:rsidR="003206B6">
        <w:t>delay</w:t>
      </w:r>
      <w:r w:rsidR="002E5193">
        <w:t xml:space="preserve"> </w:t>
      </w:r>
      <w:r w:rsidR="003206B6">
        <w:t xml:space="preserve">the disclosure of </w:t>
      </w:r>
      <w:r w:rsidR="002E5193">
        <w:t>th</w:t>
      </w:r>
      <w:r w:rsidR="003206B6">
        <w:t>is</w:t>
      </w:r>
      <w:r w:rsidR="002E5193">
        <w:t xml:space="preserve"> essential information. We further consider that ESMA’s approach may not be in line with the wording of Article 17 (5) which clearly states that issuers/emission allowance market participants “</w:t>
      </w:r>
      <w:r w:rsidR="002E5193" w:rsidRPr="002E5193">
        <w:rPr>
          <w:rFonts w:hint="eastAsia"/>
        </w:rPr>
        <w:t xml:space="preserve">shall inform the competent authority specified under paragraph 3 that disclosure of the information was delayed </w:t>
      </w:r>
      <w:r w:rsidR="002E5193" w:rsidRPr="002E5193">
        <w:rPr>
          <w:rFonts w:hint="eastAsia"/>
          <w:b/>
        </w:rPr>
        <w:t>and</w:t>
      </w:r>
      <w:r w:rsidR="002E5193" w:rsidRPr="002E5193">
        <w:rPr>
          <w:rFonts w:hint="eastAsia"/>
        </w:rPr>
        <w:t xml:space="preserve"> shall provide a written explanation of how the conditions set out in this paragraph were met, </w:t>
      </w:r>
      <w:r w:rsidR="002E5193" w:rsidRPr="002E5193">
        <w:rPr>
          <w:rFonts w:hint="eastAsia"/>
          <w:b/>
        </w:rPr>
        <w:t>immediately after the information is disclosed to the public</w:t>
      </w:r>
      <w:r w:rsidR="002E5193">
        <w:t>.”</w:t>
      </w:r>
      <w:r w:rsidR="002E5193" w:rsidRPr="002E5193">
        <w:t xml:space="preserve"> </w:t>
      </w:r>
    </w:p>
    <w:permEnd w:id="23"/>
    <w:p w:rsidR="00C8677B" w:rsidRDefault="00C8677B" w:rsidP="00C8677B">
      <w:r>
        <w:t>&lt;</w:t>
      </w:r>
      <w:r w:rsidR="00CB6CDD">
        <w:t>ESMA_QUESTION_MAR_TS_</w:t>
      </w:r>
      <w:r>
        <w:t>20&gt;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91447F">
        <w:t>Do you agree with the proposed records to be kept?</w:t>
      </w:r>
    </w:p>
    <w:p w:rsidR="00C8677B" w:rsidRDefault="00C8677B" w:rsidP="00C8677B">
      <w:r>
        <w:t>&lt;</w:t>
      </w:r>
      <w:r w:rsidR="00CB6CDD">
        <w:t>ESMA_QUESTION_MAR_TS_</w:t>
      </w:r>
      <w:r>
        <w:t>21&gt;</w:t>
      </w:r>
    </w:p>
    <w:p w:rsidR="00CE49EF" w:rsidRDefault="00CE49EF" w:rsidP="00CE49EF">
      <w:permStart w:id="24" w:edGrp="everyone"/>
      <w:r>
        <w:t>TYPE YOUR TEXT HERE</w:t>
      </w:r>
    </w:p>
    <w:permEnd w:id="24"/>
    <w:p w:rsidR="00C8677B" w:rsidRDefault="00C8677B" w:rsidP="00C8677B">
      <w:r>
        <w:t>&lt;</w:t>
      </w:r>
      <w:r w:rsidR="00CB6CDD">
        <w:t>ESMA_QUESTION_MAR_TS_</w:t>
      </w:r>
      <w:r>
        <w:t>21&gt;</w:t>
      </w:r>
    </w:p>
    <w:p w:rsidR="00C8677B" w:rsidRDefault="00C8677B" w:rsidP="00C8677B">
      <w:r>
        <w:br w:type="page"/>
      </w:r>
    </w:p>
    <w:p w:rsidR="00C8677B" w:rsidRDefault="00C8677B" w:rsidP="00C8677B">
      <w:pPr>
        <w:pStyle w:val="berschrift1"/>
        <w:keepLines/>
        <w:spacing w:before="480" w:after="0" w:line="276" w:lineRule="auto"/>
        <w:ind w:left="284" w:hanging="284"/>
      </w:pPr>
      <w:r>
        <w:lastRenderedPageBreak/>
        <w:t>I</w:t>
      </w:r>
      <w:r w:rsidRPr="004C4871">
        <w:t>nsider list</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91447F">
        <w:t>Do you agree with ESMA’s proposals regarding the elements to be included in the insider lists?</w:t>
      </w:r>
    </w:p>
    <w:p w:rsidR="00C8677B" w:rsidRDefault="00C8677B" w:rsidP="00C8677B">
      <w:r>
        <w:t>&lt;</w:t>
      </w:r>
      <w:r w:rsidR="00CB6CDD">
        <w:t>ESMA_QUESTION_MAR_TS_</w:t>
      </w:r>
      <w:r>
        <w:t>22&gt;</w:t>
      </w:r>
    </w:p>
    <w:p w:rsidR="00CE49EF" w:rsidRDefault="00CE49EF" w:rsidP="00273800">
      <w:permStart w:id="25" w:edGrp="everyone"/>
      <w:r>
        <w:t>Yes, we agree</w:t>
      </w:r>
      <w:r w:rsidR="00273800">
        <w:t xml:space="preserve"> although we would </w:t>
      </w:r>
      <w:r w:rsidR="00792AF6" w:rsidRPr="00AA4104">
        <w:rPr>
          <w:color w:val="000000" w:themeColor="text1"/>
        </w:rPr>
        <w:t>want</w:t>
      </w:r>
      <w:r w:rsidR="00792AF6">
        <w:t xml:space="preserve"> </w:t>
      </w:r>
      <w:r w:rsidR="00273800">
        <w:t>ESMA to verify that the information in the insider list do</w:t>
      </w:r>
      <w:r w:rsidR="00BC5FF8">
        <w:t>es</w:t>
      </w:r>
      <w:r w:rsidR="00273800">
        <w:t xml:space="preserve"> not violate any law of data protection</w:t>
      </w:r>
      <w:r w:rsidR="00984342">
        <w:t xml:space="preserve"> (e.g. we have concerns regarding inclusion of the name of birth in the insider list if different from the surname)</w:t>
      </w:r>
      <w:r>
        <w:t xml:space="preserve">. </w:t>
      </w:r>
      <w:r w:rsidR="00984342">
        <w:t>On the other hand</w:t>
      </w:r>
      <w:r>
        <w:t xml:space="preserve"> we would like to suggest including the name and necessary contact details of the person</w:t>
      </w:r>
      <w:r w:rsidR="00273800">
        <w:t>(s)</w:t>
      </w:r>
      <w:r>
        <w:t xml:space="preserve"> </w:t>
      </w:r>
      <w:r w:rsidRPr="00984342">
        <w:rPr>
          <w:u w:val="single"/>
        </w:rPr>
        <w:t>responsible for the record keeping</w:t>
      </w:r>
      <w:r>
        <w:t xml:space="preserve"> to ensure a </w:t>
      </w:r>
      <w:r w:rsidR="00273800">
        <w:t xml:space="preserve">prompt and </w:t>
      </w:r>
      <w:r>
        <w:t>proper examination of the correctness of the insider list.</w:t>
      </w:r>
    </w:p>
    <w:permEnd w:id="25"/>
    <w:p w:rsidR="00C8677B" w:rsidRDefault="00C8677B" w:rsidP="00C8677B">
      <w:r>
        <w:t>&lt;</w:t>
      </w:r>
      <w:r w:rsidR="00CB6CDD">
        <w:t>ESMA_QUESTION_MAR_TS_</w:t>
      </w:r>
      <w:r>
        <w:t>22&gt;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91447F">
        <w:t>Do you agree with the two approaches regarding the format of insider lists?</w:t>
      </w:r>
    </w:p>
    <w:p w:rsidR="00C8677B" w:rsidRDefault="00C8677B" w:rsidP="00C8677B">
      <w:r>
        <w:t>&lt;</w:t>
      </w:r>
      <w:r w:rsidR="00CB6CDD">
        <w:t>ESMA_QUESTION_MAR_TS_</w:t>
      </w:r>
      <w:r>
        <w:t>23&gt;</w:t>
      </w:r>
    </w:p>
    <w:p w:rsidR="00C8677B" w:rsidRDefault="002D62D1" w:rsidP="00C8677B">
      <w:permStart w:id="26" w:edGrp="everyone"/>
      <w:r>
        <w:t xml:space="preserve">Yes we support ESMA’s approach which gives clear guidance but leaves some flexibility to </w:t>
      </w:r>
      <w:r w:rsidRPr="002D62D1">
        <w:t xml:space="preserve">issuers </w:t>
      </w:r>
      <w:r>
        <w:t>both with regard to format of insider lists and to the way of delivery.</w:t>
      </w:r>
    </w:p>
    <w:permEnd w:id="26"/>
    <w:p w:rsidR="00C8677B" w:rsidRDefault="00C8677B" w:rsidP="00C8677B">
      <w:r>
        <w:t>&lt;</w:t>
      </w:r>
      <w:r w:rsidR="00CB6CDD">
        <w:t>ESMA_QUESTION_MAR_TS_</w:t>
      </w:r>
      <w:r>
        <w:t>23&gt;</w:t>
      </w:r>
    </w:p>
    <w:p w:rsidR="00C8677B" w:rsidRDefault="00C8677B" w:rsidP="00C8677B">
      <w:r>
        <w:br w:type="page"/>
      </w:r>
    </w:p>
    <w:p w:rsidR="00C8677B" w:rsidRDefault="00C8677B" w:rsidP="00C8677B">
      <w:pPr>
        <w:pStyle w:val="berschrift1"/>
        <w:keepLines/>
        <w:spacing w:before="480" w:after="0" w:line="276" w:lineRule="auto"/>
        <w:ind w:left="284" w:hanging="284"/>
      </w:pPr>
      <w:r w:rsidRPr="004C4871">
        <w:lastRenderedPageBreak/>
        <w:t xml:space="preserve">Managers’ transactions </w:t>
      </w:r>
      <w:r w:rsidRPr="00ED7403">
        <w:t>format and template for notification and di</w:t>
      </w:r>
      <w:r w:rsidRPr="00ED7403">
        <w:t>s</w:t>
      </w:r>
      <w:r w:rsidRPr="00ED7403">
        <w:t>closure</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91447F">
        <w:t>Do you have any views on the proposed method of aggregation?</w:t>
      </w:r>
    </w:p>
    <w:p w:rsidR="00C8677B" w:rsidRDefault="00C8677B" w:rsidP="00C8677B">
      <w:r>
        <w:t>&lt;</w:t>
      </w:r>
      <w:r w:rsidR="00CB6CDD">
        <w:t>ESMA_QUESTION_MAR_TS_</w:t>
      </w:r>
      <w:r>
        <w:t>24&gt;</w:t>
      </w:r>
    </w:p>
    <w:p w:rsidR="00C8677B" w:rsidRDefault="003206B6" w:rsidP="00C8677B">
      <w:permStart w:id="27" w:edGrp="everyone"/>
      <w:r>
        <w:t>We agree with the proposed method to disclose not netted aggregated figures on a daily basis, including the weighted average price, the highest and the lowest price. It is necessary that the information provided to the investors and the public is readable, understandable and reliable and we consider that the proposed simplified option 3 best serves these interests.</w:t>
      </w:r>
    </w:p>
    <w:permEnd w:id="27"/>
    <w:p w:rsidR="00C8677B" w:rsidRDefault="00C8677B" w:rsidP="00C8677B">
      <w:r>
        <w:t>&lt;</w:t>
      </w:r>
      <w:r w:rsidR="00CB6CDD">
        <w:t>ESMA_QUESTION_MAR_TS_</w:t>
      </w:r>
      <w:r>
        <w:t>24&gt;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91447F">
        <w:t>Do you agree with the content to be required in the notification?</w:t>
      </w:r>
    </w:p>
    <w:p w:rsidR="00C8677B" w:rsidRDefault="00C8677B" w:rsidP="00C8677B">
      <w:r>
        <w:t>&lt;</w:t>
      </w:r>
      <w:r w:rsidR="00CB6CDD">
        <w:t>ESMA_QUESTION_MAR_TS_</w:t>
      </w:r>
      <w:r>
        <w:t>25&gt;</w:t>
      </w:r>
    </w:p>
    <w:p w:rsidR="00C8677B" w:rsidRDefault="00C8677B" w:rsidP="00C8677B">
      <w:permStart w:id="28" w:edGrp="everyone"/>
      <w:r>
        <w:t>TYPE YOUR TEXT HERE</w:t>
      </w:r>
    </w:p>
    <w:permEnd w:id="28"/>
    <w:p w:rsidR="00C8677B" w:rsidRDefault="00C8677B" w:rsidP="00C8677B">
      <w:r>
        <w:t>&lt;</w:t>
      </w:r>
      <w:r w:rsidR="00CB6CDD">
        <w:t>ESMA_QUESTION_MAR_TS_</w:t>
      </w:r>
      <w:r>
        <w:t>25&gt;</w:t>
      </w:r>
    </w:p>
    <w:p w:rsidR="00C8677B" w:rsidRDefault="00C8677B" w:rsidP="00C8677B">
      <w:r>
        <w:br w:type="page"/>
      </w:r>
    </w:p>
    <w:p w:rsidR="00C8677B" w:rsidRDefault="00C8677B" w:rsidP="00C8677B">
      <w:pPr>
        <w:pStyle w:val="berschrift1"/>
        <w:keepLines/>
        <w:spacing w:before="480" w:after="0" w:line="276" w:lineRule="auto"/>
        <w:ind w:left="284" w:hanging="284"/>
      </w:pPr>
      <w:r w:rsidRPr="004C4871">
        <w:lastRenderedPageBreak/>
        <w:t xml:space="preserve">Investment recommendations </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t>Do you agree with the twofold approach suggested by ESMA of applying a general set of requirements to all persons in the scope and additional requirements to so-called “qualified persons” and “experts”?</w:t>
      </w:r>
    </w:p>
    <w:p w:rsidR="00C8677B" w:rsidRDefault="00C8677B" w:rsidP="00C8677B">
      <w:r>
        <w:t>&lt;</w:t>
      </w:r>
      <w:r w:rsidR="00CB6CDD">
        <w:t>ESMA_QUESTION_MAR_TS_</w:t>
      </w:r>
      <w:r>
        <w:t>26&gt;</w:t>
      </w:r>
    </w:p>
    <w:p w:rsidR="00C8677B" w:rsidRDefault="00320202" w:rsidP="00C8677B">
      <w:permStart w:id="29" w:edGrp="everyone"/>
      <w:r>
        <w:t>Yes we agree.</w:t>
      </w:r>
    </w:p>
    <w:permEnd w:id="29"/>
    <w:p w:rsidR="00C8677B" w:rsidRDefault="00C8677B" w:rsidP="00C8677B">
      <w:r>
        <w:t>&lt;</w:t>
      </w:r>
      <w:r w:rsidR="00CB6CDD">
        <w:t>ESMA_QUESTION_MAR_TS_</w:t>
      </w:r>
      <w:r>
        <w:t>26&gt;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t>Should the issuance of recommendations “on a regular basis” (e.g. every day, week or month) be included in the list of characteristics that a person must have in order to qualify as an “expert”? Can you suggest other objective characteristics that could be i</w:t>
      </w:r>
      <w:r>
        <w:t>n</w:t>
      </w:r>
      <w:r>
        <w:t>cluded in the “expert” definition?</w:t>
      </w:r>
      <w:r w:rsidRPr="005C0D27">
        <w:tab/>
      </w:r>
    </w:p>
    <w:p w:rsidR="00C8677B" w:rsidRDefault="00C8677B" w:rsidP="00C8677B">
      <w:r>
        <w:t>&lt;</w:t>
      </w:r>
      <w:r w:rsidR="00CB6CDD">
        <w:t>ESMA_QUESTION_MAR_TS_</w:t>
      </w:r>
      <w:r>
        <w:t>27&gt;</w:t>
      </w:r>
    </w:p>
    <w:p w:rsidR="00C8677B" w:rsidRDefault="00320202" w:rsidP="00C8677B">
      <w:permStart w:id="30" w:edGrp="everyone"/>
      <w:r>
        <w:t xml:space="preserve">We do not favour the inclusion of the term “on a regular basis” in the list of characteristics that a person must have in order to qualify as expert. According to the draft technical standards, the term “experts” also covers a person who “holds himself out as having financial expertise or experience” </w:t>
      </w:r>
      <w:r w:rsidR="004367A5">
        <w:t>which already contr</w:t>
      </w:r>
      <w:r w:rsidR="004367A5">
        <w:t>a</w:t>
      </w:r>
      <w:r w:rsidR="004367A5">
        <w:t>dicts the approach that regularity is necessary or connected to the characteristics of an expert. Furthe</w:t>
      </w:r>
      <w:r w:rsidR="004367A5">
        <w:t>r</w:t>
      </w:r>
      <w:r w:rsidR="004367A5">
        <w:t>more we consider that the term “repeatedly proposes particular investment decisions” already narrows the set of circumstances significantly.</w:t>
      </w:r>
      <w:r>
        <w:t xml:space="preserve"> </w:t>
      </w:r>
    </w:p>
    <w:permEnd w:id="30"/>
    <w:p w:rsidR="00C8677B" w:rsidRDefault="00C8677B" w:rsidP="00C8677B">
      <w:r>
        <w:t>&lt;</w:t>
      </w:r>
      <w:r w:rsidR="00CB6CDD">
        <w:t>ESMA_QUESTION_MAR_TS_</w:t>
      </w:r>
      <w:r>
        <w:t>27&gt;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1174FF">
        <w:t xml:space="preserve">Are the </w:t>
      </w:r>
      <w:r w:rsidRPr="00CC5988">
        <w:t>suggested standards for objective presentation of investment recommend</w:t>
      </w:r>
      <w:r w:rsidRPr="00CC5988">
        <w:t>a</w:t>
      </w:r>
      <w:r w:rsidRPr="00CC5988">
        <w:t>tio</w:t>
      </w:r>
      <w:r>
        <w:t xml:space="preserve">n </w:t>
      </w:r>
      <w:r w:rsidRPr="001174FF">
        <w:t>suitable to all asset classes? If not, please explain why.</w:t>
      </w:r>
    </w:p>
    <w:p w:rsidR="00C8677B" w:rsidRDefault="00C8677B" w:rsidP="00C8677B">
      <w:r>
        <w:t>&lt;</w:t>
      </w:r>
      <w:r w:rsidR="00CB6CDD">
        <w:t>ESMA_QUESTION_MAR_TS_</w:t>
      </w:r>
      <w:r>
        <w:t>28&gt;</w:t>
      </w:r>
    </w:p>
    <w:p w:rsidR="00C8677B" w:rsidRDefault="00C8677B" w:rsidP="00C8677B">
      <w:permStart w:id="31" w:edGrp="everyone"/>
      <w:r>
        <w:t>TYPE YOUR TEXT HERE</w:t>
      </w:r>
    </w:p>
    <w:permEnd w:id="31"/>
    <w:p w:rsidR="00C8677B" w:rsidRDefault="00C8677B" w:rsidP="00C8677B">
      <w:r>
        <w:t>&lt;</w:t>
      </w:r>
      <w:r w:rsidR="00CB6CDD">
        <w:t>ESMA_QUESTION_MAR_TS_</w:t>
      </w:r>
      <w:r>
        <w:t>28&gt;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0820E8">
        <w:t>Do you agree with the proposed standards for the objective presentation of inves</w:t>
      </w:r>
      <w:r w:rsidRPr="000820E8">
        <w:t>t</w:t>
      </w:r>
      <w:r w:rsidRPr="000820E8">
        <w:t xml:space="preserve">ment recommendations and how they apply to the different categories of persons in the scope? If not, please specify. </w:t>
      </w:r>
    </w:p>
    <w:p w:rsidR="00C8677B" w:rsidRDefault="00C8677B" w:rsidP="00C8677B">
      <w:r>
        <w:t>&lt;</w:t>
      </w:r>
      <w:r w:rsidR="00CB6CDD">
        <w:t>ESMA_QUESTION_MAR_TS_</w:t>
      </w:r>
      <w:r>
        <w:t>29&gt;</w:t>
      </w:r>
    </w:p>
    <w:p w:rsidR="00C8677B" w:rsidRDefault="00C8677B" w:rsidP="00C8677B">
      <w:permStart w:id="32" w:edGrp="everyone"/>
      <w:r>
        <w:t>TYPE YOUR TEXT HERE</w:t>
      </w:r>
    </w:p>
    <w:permEnd w:id="32"/>
    <w:p w:rsidR="00C8677B" w:rsidRDefault="00C8677B" w:rsidP="00C8677B">
      <w:r>
        <w:t>&lt;</w:t>
      </w:r>
      <w:r w:rsidR="00CB6CDD">
        <w:t>ESMA_QUESTION_MAR_TS_</w:t>
      </w:r>
      <w:r>
        <w:t>29&gt;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t xml:space="preserve">Do you agree with the proposed standards for the disclosure of interest or indication of conflicts of interests and how they apply to the different categories of persons in the scope? If not, please specify. </w:t>
      </w:r>
    </w:p>
    <w:p w:rsidR="00C8677B" w:rsidRDefault="00C8677B" w:rsidP="00C8677B">
      <w:r>
        <w:t>&lt;</w:t>
      </w:r>
      <w:r w:rsidR="00CB6CDD">
        <w:t>ESMA_QUESTION_MAR_TS_</w:t>
      </w:r>
      <w:r>
        <w:t>30&gt;</w:t>
      </w:r>
    </w:p>
    <w:p w:rsidR="002C570A" w:rsidRPr="00AA4104" w:rsidRDefault="00257D89" w:rsidP="00C8677B">
      <w:pPr>
        <w:rPr>
          <w:rFonts w:cs="Georgia,Bold"/>
          <w:bCs/>
          <w:color w:val="000000" w:themeColor="text1"/>
          <w:szCs w:val="20"/>
          <w:lang w:val="en-US"/>
        </w:rPr>
      </w:pPr>
      <w:permStart w:id="33" w:edGrp="everyone"/>
      <w:r>
        <w:t xml:space="preserve">Yes we agree and strongly support ESMA’s consideration to </w:t>
      </w:r>
      <w:r w:rsidR="00AD7824">
        <w:t>include</w:t>
      </w:r>
      <w:r>
        <w:t xml:space="preserve"> potential conflicts of interest resulting from remuneration tied to the instruments covered by the recommendation produced. </w:t>
      </w:r>
      <w:r w:rsidRPr="00AA4104">
        <w:t>C</w:t>
      </w:r>
      <w:proofErr w:type="spellStart"/>
      <w:r w:rsidRPr="00AA4104">
        <w:rPr>
          <w:rFonts w:cs="Georgia,Bold"/>
          <w:bCs/>
          <w:szCs w:val="20"/>
          <w:lang w:val="en-US"/>
        </w:rPr>
        <w:t>onflicts</w:t>
      </w:r>
      <w:proofErr w:type="spellEnd"/>
      <w:r w:rsidRPr="00AA4104">
        <w:rPr>
          <w:rFonts w:cs="Georgia,Bold"/>
          <w:bCs/>
          <w:szCs w:val="20"/>
          <w:lang w:val="en-US"/>
        </w:rPr>
        <w:t xml:space="preserve"> of interest arising from monetary but also from non-monetary inducements are by far the most relevant with respect to potential harm for </w:t>
      </w:r>
      <w:r w:rsidRPr="00AA4104">
        <w:rPr>
          <w:rFonts w:cs="Georgia,Bold"/>
          <w:bCs/>
          <w:color w:val="000000" w:themeColor="text1"/>
          <w:szCs w:val="20"/>
          <w:lang w:val="en-US"/>
        </w:rPr>
        <w:t xml:space="preserve">investors </w:t>
      </w:r>
      <w:r w:rsidR="00183A65" w:rsidRPr="00AA4104">
        <w:rPr>
          <w:rFonts w:cs="Georgia,Bold"/>
          <w:bCs/>
          <w:color w:val="000000" w:themeColor="text1"/>
          <w:szCs w:val="20"/>
          <w:lang w:val="en-US"/>
        </w:rPr>
        <w:t>(</w:t>
      </w:r>
      <w:r w:rsidR="00183A65" w:rsidRPr="00AA4104">
        <w:rPr>
          <w:color w:val="000000" w:themeColor="text1"/>
        </w:rPr>
        <w:t>since these could form a perverse incent</w:t>
      </w:r>
      <w:bookmarkStart w:id="4" w:name="_GoBack"/>
      <w:bookmarkEnd w:id="4"/>
      <w:r w:rsidR="00183A65" w:rsidRPr="00AA4104">
        <w:rPr>
          <w:color w:val="000000" w:themeColor="text1"/>
        </w:rPr>
        <w:t>ive, resulting in a conflict of inte</w:t>
      </w:r>
      <w:r w:rsidR="00183A65" w:rsidRPr="00AA4104">
        <w:rPr>
          <w:color w:val="000000" w:themeColor="text1"/>
        </w:rPr>
        <w:t>r</w:t>
      </w:r>
      <w:r w:rsidR="00183A65" w:rsidRPr="00AA4104">
        <w:rPr>
          <w:color w:val="000000" w:themeColor="text1"/>
        </w:rPr>
        <w:t>est that is potentially detrimental to investors/</w:t>
      </w:r>
      <w:r w:rsidR="00580B93" w:rsidRPr="00AA4104">
        <w:rPr>
          <w:color w:val="000000" w:themeColor="text1"/>
        </w:rPr>
        <w:t>not</w:t>
      </w:r>
      <w:r w:rsidR="00183A65" w:rsidRPr="00AA4104">
        <w:rPr>
          <w:color w:val="000000" w:themeColor="text1"/>
        </w:rPr>
        <w:t xml:space="preserve"> in the best interests of investors</w:t>
      </w:r>
      <w:r w:rsidR="00183A65" w:rsidRPr="00AA4104">
        <w:rPr>
          <w:rFonts w:cs="Georgia,Bold"/>
          <w:bCs/>
          <w:color w:val="000000" w:themeColor="text1"/>
          <w:szCs w:val="20"/>
          <w:lang w:val="en-US"/>
        </w:rPr>
        <w:t xml:space="preserve">) </w:t>
      </w:r>
      <w:r w:rsidRPr="00AA4104">
        <w:rPr>
          <w:rFonts w:cs="Georgia,Bold"/>
          <w:bCs/>
          <w:color w:val="000000" w:themeColor="text1"/>
          <w:szCs w:val="20"/>
          <w:lang w:val="en-US"/>
        </w:rPr>
        <w:t xml:space="preserve">and should therefore be clearly flagged in the </w:t>
      </w:r>
      <w:r w:rsidR="00AD7824" w:rsidRPr="00AA4104">
        <w:rPr>
          <w:rFonts w:cs="Georgia,Bold"/>
          <w:bCs/>
          <w:color w:val="000000" w:themeColor="text1"/>
          <w:szCs w:val="20"/>
          <w:lang w:val="en-US"/>
        </w:rPr>
        <w:t>investment recommendation.</w:t>
      </w:r>
    </w:p>
    <w:permEnd w:id="33"/>
    <w:p w:rsidR="00C8677B" w:rsidRDefault="00C8677B" w:rsidP="00C8677B">
      <w:r>
        <w:t>&lt;</w:t>
      </w:r>
      <w:r w:rsidR="00CB6CDD">
        <w:t>ESMA_QUESTION_MAR_TS_</w:t>
      </w:r>
      <w:r>
        <w:t>30&gt;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lastRenderedPageBreak/>
        <w:t xml:space="preserve">Do you consider the proposed level of thresholds for conflict of interest appropriate for increasing the transparency of investment recommendation? </w:t>
      </w:r>
    </w:p>
    <w:p w:rsidR="00C8677B" w:rsidRDefault="00C8677B" w:rsidP="00C8677B">
      <w:r>
        <w:t>&lt;</w:t>
      </w:r>
      <w:r w:rsidR="00CB6CDD">
        <w:t>ESMA_QUESTION_MAR_TS_</w:t>
      </w:r>
      <w:r>
        <w:t>31&gt;</w:t>
      </w:r>
    </w:p>
    <w:p w:rsidR="00C8677B" w:rsidRDefault="00AD7824" w:rsidP="00C8677B">
      <w:permStart w:id="34" w:edGrp="everyone"/>
      <w:r>
        <w:t xml:space="preserve">We support the lower threshold </w:t>
      </w:r>
      <w:r w:rsidR="00DB4D6B">
        <w:t xml:space="preserve">in relation to the total issued share capital of the issuer </w:t>
      </w:r>
      <w:r>
        <w:t xml:space="preserve">proposed by ESMA. </w:t>
      </w:r>
    </w:p>
    <w:permEnd w:id="34"/>
    <w:p w:rsidR="00C8677B" w:rsidRDefault="00C8677B" w:rsidP="00C8677B">
      <w:r>
        <w:t>&lt;</w:t>
      </w:r>
      <w:r w:rsidR="00CB6CDD">
        <w:t>ESMA_QUESTION_MAR_TS_</w:t>
      </w:r>
      <w:r>
        <w:t>31&gt;</w:t>
      </w:r>
    </w:p>
    <w:p w:rsidR="00C8677B" w:rsidRDefault="00C8677B" w:rsidP="00C8677B">
      <w:pPr>
        <w:pStyle w:val="berschrift5"/>
        <w:keepNext w:val="0"/>
        <w:keepLines w:val="0"/>
        <w:numPr>
          <w:ilvl w:val="0"/>
          <w:numId w:val="36"/>
        </w:numPr>
        <w:spacing w:before="0" w:after="250" w:line="276" w:lineRule="auto"/>
        <w:ind w:left="426" w:hanging="426"/>
      </w:pPr>
      <w:r>
        <w:t>Do you think that the positions of the producer of the investment recommendation should be aggregated with the ones of the related person(s) in order to assess whether the threshold has been reached?</w:t>
      </w:r>
    </w:p>
    <w:p w:rsidR="00C8677B" w:rsidRDefault="00C8677B" w:rsidP="00C8677B">
      <w:r>
        <w:t>&lt;</w:t>
      </w:r>
      <w:r w:rsidR="00CB6CDD">
        <w:t>ESMA_QUESTION_MAR_TS_</w:t>
      </w:r>
      <w:r>
        <w:t>32&gt;</w:t>
      </w:r>
    </w:p>
    <w:p w:rsidR="00C8677B" w:rsidRDefault="00D42CB7" w:rsidP="00C8677B">
      <w:permStart w:id="35" w:edGrp="everyone"/>
      <w:r>
        <w:t>Yes, especially if legal person(s) are concerned we consider that aggregated figures of the legal person/firm and any affiliated company should be used to assess whether the threshold has been reached.</w:t>
      </w:r>
    </w:p>
    <w:permEnd w:id="35"/>
    <w:p w:rsidR="00C8677B" w:rsidRDefault="00C8677B" w:rsidP="00C8677B">
      <w:r>
        <w:t>&lt;</w:t>
      </w:r>
      <w:r w:rsidR="00CB6CDD">
        <w:t>ESMA_QUESTION_MAR_TS_</w:t>
      </w:r>
      <w:r>
        <w:t>32&gt;</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t>Do you agree that a disclosure is required when the remuneration of the person producing the investment recommendation is tied to trading fees received by his e</w:t>
      </w:r>
      <w:r>
        <w:t>m</w:t>
      </w:r>
      <w:r>
        <w:t>ployer or a person related to the employer?</w:t>
      </w:r>
    </w:p>
    <w:p w:rsidR="00C8677B" w:rsidRDefault="00C8677B" w:rsidP="00C8677B">
      <w:r>
        <w:t>&lt;</w:t>
      </w:r>
      <w:r w:rsidR="00CB6CDD">
        <w:t>ESMA_QUESTION_MAR_TS_</w:t>
      </w:r>
      <w:r>
        <w:t>33&gt;</w:t>
      </w:r>
    </w:p>
    <w:p w:rsidR="00C8677B" w:rsidRDefault="00D42CB7" w:rsidP="00C8677B">
      <w:permStart w:id="36" w:edGrp="everyone"/>
      <w:r>
        <w:t>Yes, see our comment to Q30.</w:t>
      </w:r>
    </w:p>
    <w:permEnd w:id="36"/>
    <w:p w:rsidR="00C8677B" w:rsidRDefault="00C8677B" w:rsidP="00C8677B">
      <w:r>
        <w:t>&lt;</w:t>
      </w:r>
      <w:r w:rsidR="00CB6CDD">
        <w:t>ESMA_QUESTION_MAR_TS_</w:t>
      </w:r>
      <w:r>
        <w:t>33&gt;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050D18">
        <w:t>Do you agree with the proposed standards relating to the dissemination of reco</w:t>
      </w:r>
      <w:r w:rsidRPr="00050D18">
        <w:t>m</w:t>
      </w:r>
      <w:r w:rsidRPr="00050D18">
        <w:t>mendation produced by third parties? If not, please specify.</w:t>
      </w:r>
    </w:p>
    <w:p w:rsidR="00C8677B" w:rsidRDefault="00C8677B" w:rsidP="00C8677B">
      <w:r>
        <w:t>&lt;</w:t>
      </w:r>
      <w:r w:rsidR="00CB6CDD">
        <w:t>ESMA_QUESTION_MAR_TS_</w:t>
      </w:r>
      <w:r>
        <w:t>34&gt;</w:t>
      </w:r>
    </w:p>
    <w:p w:rsidR="00C8677B" w:rsidRDefault="00C8677B" w:rsidP="00C8677B">
      <w:permStart w:id="37" w:edGrp="everyone"/>
      <w:r>
        <w:t>TYPE YOUR TEXT HERE</w:t>
      </w:r>
    </w:p>
    <w:permEnd w:id="37"/>
    <w:p w:rsidR="00C8677B" w:rsidRDefault="00C8677B" w:rsidP="00C8677B">
      <w:r>
        <w:t>&lt;</w:t>
      </w:r>
      <w:r w:rsidR="00CB6CDD">
        <w:t>ESMA_QUESTION_MAR_TS_</w:t>
      </w:r>
      <w:r>
        <w:t>34&gt;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0820E8">
        <w:t>Do you consider that publication of extracts rather than the whole recommendation by news disseminators is a substantial alteration of the investment recommendation produced by a third party?</w:t>
      </w:r>
    </w:p>
    <w:p w:rsidR="00C8677B" w:rsidRDefault="00C8677B" w:rsidP="00C8677B">
      <w:r>
        <w:t>&lt;</w:t>
      </w:r>
      <w:r w:rsidR="00CB6CDD">
        <w:t>ESMA_QUESTION_MAR_TS_</w:t>
      </w:r>
      <w:r>
        <w:t>35&gt;</w:t>
      </w:r>
    </w:p>
    <w:p w:rsidR="00C8677B" w:rsidRDefault="00C8677B" w:rsidP="00C8677B">
      <w:permStart w:id="38" w:edGrp="everyone"/>
      <w:r>
        <w:t>TYPE YOUR TEXT HERE</w:t>
      </w:r>
    </w:p>
    <w:permEnd w:id="38"/>
    <w:p w:rsidR="00C8677B" w:rsidRDefault="00C8677B" w:rsidP="00C8677B">
      <w:r>
        <w:t>&lt;</w:t>
      </w:r>
      <w:r w:rsidR="00CB6CDD">
        <w:t>ESMA_QUESTION_MAR_TS_</w:t>
      </w:r>
      <w:r>
        <w:t>35&gt;</w:t>
      </w:r>
    </w:p>
    <w:p w:rsidR="00C8677B" w:rsidRDefault="00C8677B" w:rsidP="00C8677B"/>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3BD" w:rsidRDefault="00A563BD">
      <w:r>
        <w:separator/>
      </w:r>
    </w:p>
    <w:p w:rsidR="00A563BD" w:rsidRDefault="00A563BD"/>
  </w:endnote>
  <w:endnote w:type="continuationSeparator" w:id="0">
    <w:p w:rsidR="00A563BD" w:rsidRDefault="00A563BD">
      <w:r>
        <w:continuationSeparator/>
      </w:r>
    </w:p>
    <w:p w:rsidR="00A563BD" w:rsidRDefault="00A563BD"/>
  </w:endnote>
  <w:endnote w:type="continuationNotice" w:id="1">
    <w:p w:rsidR="00A563BD" w:rsidRDefault="00A563B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 w:name="Georgia,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0F14BE" w:rsidRPr="00315E96" w:rsidTr="00315E96">
      <w:trPr>
        <w:trHeight w:val="284"/>
      </w:trPr>
      <w:tc>
        <w:tcPr>
          <w:tcW w:w="8460" w:type="dxa"/>
        </w:tcPr>
        <w:p w:rsidR="000F14BE" w:rsidRPr="00315E96" w:rsidRDefault="000F14BE" w:rsidP="00315E96">
          <w:pPr>
            <w:pStyle w:val="00Footer"/>
            <w:rPr>
              <w:lang w:val="fr-FR"/>
            </w:rPr>
          </w:pPr>
        </w:p>
      </w:tc>
      <w:tc>
        <w:tcPr>
          <w:tcW w:w="952" w:type="dxa"/>
        </w:tcPr>
        <w:p w:rsidR="000F14BE" w:rsidRPr="002C5B2D" w:rsidRDefault="004C743D" w:rsidP="002C5B2D">
          <w:pPr>
            <w:pStyle w:val="00aPagenumber"/>
          </w:pPr>
          <w:r>
            <w:fldChar w:fldCharType="begin"/>
          </w:r>
          <w:r w:rsidR="002D2D6C">
            <w:instrText xml:space="preserve"> PAGE </w:instrText>
          </w:r>
          <w:r>
            <w:fldChar w:fldCharType="separate"/>
          </w:r>
          <w:r w:rsidR="003F4278">
            <w:rPr>
              <w:noProof/>
            </w:rPr>
            <w:t>3</w:t>
          </w:r>
          <w:r>
            <w:rPr>
              <w:noProof/>
            </w:rPr>
            <w:fldChar w:fldCharType="end"/>
          </w:r>
        </w:p>
      </w:tc>
    </w:tr>
  </w:tbl>
  <w:p w:rsidR="000F14BE" w:rsidRDefault="000F14BE">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BE" w:rsidRDefault="000F14BE">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3BD" w:rsidRDefault="00A563BD">
      <w:r>
        <w:separator/>
      </w:r>
    </w:p>
    <w:p w:rsidR="00A563BD" w:rsidRDefault="00A563BD"/>
  </w:footnote>
  <w:footnote w:type="continuationSeparator" w:id="0">
    <w:p w:rsidR="00A563BD" w:rsidRDefault="00A563BD">
      <w:r>
        <w:continuationSeparator/>
      </w:r>
    </w:p>
    <w:p w:rsidR="00A563BD" w:rsidRDefault="00A563BD"/>
  </w:footnote>
  <w:footnote w:type="continuationNotice" w:id="1">
    <w:p w:rsidR="00A563BD" w:rsidRDefault="00A563B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BE" w:rsidRDefault="000F14BE">
    <w:pPr>
      <w:pStyle w:val="Kopfzeile"/>
    </w:pPr>
    <w:r>
      <w:rPr>
        <w:noProof/>
        <w:lang w:val="de-D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004C743D" w:rsidRPr="004C743D">
      <w:rPr>
        <w:noProof/>
        <w:lang w:eastAsia="en-GB"/>
      </w:rPr>
      <w:pict>
        <v:line id="Line 16" o:spid="_x0000_s4098" style="position:absolute;z-index:251656192;visibility:visible;mso-wrap-distance-left:3.17483mm;mso-wrap-distance-right:3.17483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BE" w:rsidRDefault="000F14BE" w:rsidP="00013CCE">
    <w:pPr>
      <w:pStyle w:val="Kopfzeile"/>
      <w:jc w:val="right"/>
    </w:pPr>
    <w:r>
      <w:rPr>
        <w:noProof/>
        <w:lang w:val="de-D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de-D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BE" w:rsidRDefault="000F14B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0F14BE" w:rsidRPr="002F4496" w:rsidTr="000C06C9">
      <w:trPr>
        <w:trHeight w:val="284"/>
      </w:trPr>
      <w:tc>
        <w:tcPr>
          <w:tcW w:w="8460" w:type="dxa"/>
        </w:tcPr>
        <w:p w:rsidR="000F14BE" w:rsidRPr="000C3B6D" w:rsidRDefault="000F14BE" w:rsidP="000C06C9">
          <w:pPr>
            <w:pStyle w:val="00Footer"/>
            <w:rPr>
              <w:lang w:val="fr-FR"/>
            </w:rPr>
          </w:pPr>
        </w:p>
      </w:tc>
      <w:tc>
        <w:tcPr>
          <w:tcW w:w="952" w:type="dxa"/>
        </w:tcPr>
        <w:p w:rsidR="000F14BE" w:rsidRPr="00146B34" w:rsidRDefault="000F14BE" w:rsidP="000C06C9">
          <w:pPr>
            <w:pStyle w:val="00aPagenumber"/>
            <w:rPr>
              <w:lang w:val="fr-FR"/>
            </w:rPr>
          </w:pPr>
        </w:p>
      </w:tc>
    </w:tr>
  </w:tbl>
  <w:p w:rsidR="000F14BE" w:rsidRPr="00DB46C3" w:rsidRDefault="000F14BE">
    <w:pPr>
      <w:rPr>
        <w:lang w:val="fr-FR"/>
      </w:rPr>
    </w:pPr>
  </w:p>
  <w:p w:rsidR="000F14BE" w:rsidRPr="002F4496" w:rsidRDefault="000F14BE">
    <w:pPr>
      <w:pStyle w:val="Kopfzeile"/>
      <w:rPr>
        <w:lang w:val="fr-FR"/>
      </w:rPr>
    </w:pPr>
  </w:p>
  <w:p w:rsidR="000F14BE" w:rsidRPr="002F4496" w:rsidRDefault="000F14BE" w:rsidP="000C06C9">
    <w:pPr>
      <w:pStyle w:val="Kopfzeile"/>
      <w:tabs>
        <w:tab w:val="clear" w:pos="4536"/>
        <w:tab w:val="clear" w:pos="9072"/>
        <w:tab w:val="left" w:pos="8227"/>
      </w:tabs>
      <w:rPr>
        <w:lang w:val="fr-FR"/>
      </w:rPr>
    </w:pPr>
  </w:p>
  <w:p w:rsidR="000F14BE" w:rsidRPr="002F4496" w:rsidRDefault="000F14BE" w:rsidP="000C06C9">
    <w:pPr>
      <w:pStyle w:val="Kopfzeile"/>
      <w:tabs>
        <w:tab w:val="clear" w:pos="4536"/>
        <w:tab w:val="clear" w:pos="9072"/>
        <w:tab w:val="left" w:pos="8227"/>
      </w:tabs>
      <w:rPr>
        <w:lang w:val="fr-FR"/>
      </w:rPr>
    </w:pPr>
  </w:p>
  <w:p w:rsidR="000F14BE" w:rsidRPr="002F4496" w:rsidRDefault="000F14BE">
    <w:pPr>
      <w:pStyle w:val="Kopfzeile"/>
      <w:rPr>
        <w:lang w:val="fr-FR"/>
      </w:rPr>
    </w:pPr>
  </w:p>
  <w:p w:rsidR="000F14BE" w:rsidRPr="002F4496" w:rsidRDefault="000F14BE">
    <w:pPr>
      <w:pStyle w:val="Kopfzeile"/>
      <w:rPr>
        <w:lang w:val="fr-FR"/>
      </w:rPr>
    </w:pPr>
  </w:p>
  <w:p w:rsidR="000F14BE" w:rsidRPr="002F4496" w:rsidRDefault="000F14BE">
    <w:pPr>
      <w:pStyle w:val="Kopfzeile"/>
      <w:rPr>
        <w:lang w:val="fr-FR"/>
      </w:rPr>
    </w:pPr>
  </w:p>
  <w:p w:rsidR="000F14BE" w:rsidRPr="002F4496" w:rsidRDefault="000F14BE">
    <w:pPr>
      <w:pStyle w:val="Kopfzeile"/>
      <w:rPr>
        <w:lang w:val="fr-FR"/>
      </w:rPr>
    </w:pPr>
  </w:p>
  <w:p w:rsidR="000F14BE" w:rsidRPr="002F4496" w:rsidRDefault="000F14BE">
    <w:pPr>
      <w:pStyle w:val="Kopfzeile"/>
      <w:rPr>
        <w:highlight w:val="yellow"/>
        <w:lang w:val="fr-FR"/>
      </w:rPr>
    </w:pPr>
  </w:p>
  <w:p w:rsidR="000F14BE" w:rsidRDefault="004C743D">
    <w:pPr>
      <w:pStyle w:val="Kopfzeile"/>
    </w:pPr>
    <w:r w:rsidRPr="004C743D">
      <w:rPr>
        <w:noProof/>
        <w:lang w:eastAsia="en-GB"/>
      </w:rPr>
      <w:pict>
        <v:line id="Straight Connector 138" o:spid="_x0000_s4097" style="position:absolute;z-index:251660288;visibility:visible;mso-wrap-distance-left:3.17494mm;mso-wrap-distance-right:3.17494mm;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0F14BE">
      <w:rPr>
        <w:noProof/>
        <w:lang w:val="de-DE"/>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B0DD2"/>
    <w:multiLevelType w:val="hybridMultilevel"/>
    <w:tmpl w:val="1B644A24"/>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3DC63564"/>
    <w:lvl w:ilvl="0" w:tplc="9872C18A">
      <w:start w:val="1"/>
      <w:numFmt w:val="decimal"/>
      <w:pStyle w:val="berschrift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3"/>
  </w:num>
  <w:num w:numId="5">
    <w:abstractNumId w:val="4"/>
  </w:num>
  <w:num w:numId="6">
    <w:abstractNumId w:val="25"/>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0"/>
  </w:num>
  <w:num w:numId="15">
    <w:abstractNumId w:val="22"/>
  </w:num>
  <w:num w:numId="16">
    <w:abstractNumId w:val="11"/>
  </w:num>
  <w:num w:numId="17">
    <w:abstractNumId w:val="1"/>
  </w:num>
  <w:num w:numId="18">
    <w:abstractNumId w:val="15"/>
  </w:num>
  <w:num w:numId="19">
    <w:abstractNumId w:val="16"/>
  </w:num>
  <w:num w:numId="20">
    <w:abstractNumId w:val="18"/>
  </w:num>
  <w:num w:numId="21">
    <w:abstractNumId w:val="26"/>
  </w:num>
  <w:num w:numId="22">
    <w:abstractNumId w:val="33"/>
  </w:num>
  <w:num w:numId="23">
    <w:abstractNumId w:val="24"/>
  </w:num>
  <w:num w:numId="24">
    <w:abstractNumId w:val="10"/>
  </w:num>
  <w:num w:numId="25">
    <w:abstractNumId w:val="29"/>
  </w:num>
  <w:num w:numId="26">
    <w:abstractNumId w:val="28"/>
  </w:num>
  <w:num w:numId="27">
    <w:abstractNumId w:val="20"/>
  </w:num>
  <w:num w:numId="28">
    <w:abstractNumId w:val="32"/>
  </w:num>
  <w:num w:numId="29">
    <w:abstractNumId w:val="35"/>
  </w:num>
  <w:num w:numId="30">
    <w:abstractNumId w:val="8"/>
  </w:num>
  <w:num w:numId="31">
    <w:abstractNumId w:val="5"/>
  </w:num>
  <w:num w:numId="32">
    <w:abstractNumId w:val="21"/>
  </w:num>
  <w:num w:numId="33">
    <w:abstractNumId w:val="2"/>
  </w:num>
  <w:num w:numId="34">
    <w:abstractNumId w:val="5"/>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5"/>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F01"/>
  <w:documentProtection w:edit="readOnly" w:enforcement="1" w:cryptProviderType="rsaFull" w:cryptAlgorithmClass="hash" w:cryptAlgorithmType="typeAny" w:cryptAlgorithmSid="4" w:cryptSpinCount="100000" w:hash="8p2h6vYkieQkPh+B5roNvaRr6mg=" w:salt="sdQiJ2f36X0LfnFWyThksQ=="/>
  <w:defaultTabStop w:val="709"/>
  <w:autoHyphenation/>
  <w:hyphenationZone w:val="567"/>
  <w:characterSpacingControl w:val="doNotCompress"/>
  <w:hdrShapeDefaults>
    <o:shapedefaults v:ext="edit" spidmax="7170">
      <o:colormru v:ext="edit" colors="#2d4491,#283583"/>
    </o:shapedefaults>
    <o:shapelayout v:ext="edit">
      <o:idmap v:ext="edit" data="4"/>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4052"/>
    <w:rsid w:val="000047C6"/>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02C9"/>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6A4"/>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14BE"/>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263CB"/>
    <w:rsid w:val="00130F41"/>
    <w:rsid w:val="00130FAF"/>
    <w:rsid w:val="00135F2B"/>
    <w:rsid w:val="001372DD"/>
    <w:rsid w:val="001405BA"/>
    <w:rsid w:val="00141497"/>
    <w:rsid w:val="00141A14"/>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1C7"/>
    <w:rsid w:val="001725A5"/>
    <w:rsid w:val="00172681"/>
    <w:rsid w:val="00173AC7"/>
    <w:rsid w:val="001745D7"/>
    <w:rsid w:val="00175754"/>
    <w:rsid w:val="00176982"/>
    <w:rsid w:val="0017701C"/>
    <w:rsid w:val="00181264"/>
    <w:rsid w:val="00181BD1"/>
    <w:rsid w:val="0018204A"/>
    <w:rsid w:val="00182F7C"/>
    <w:rsid w:val="00183A65"/>
    <w:rsid w:val="001843B5"/>
    <w:rsid w:val="00185776"/>
    <w:rsid w:val="00186829"/>
    <w:rsid w:val="001868CA"/>
    <w:rsid w:val="00187304"/>
    <w:rsid w:val="001875BE"/>
    <w:rsid w:val="0019017A"/>
    <w:rsid w:val="00190B8C"/>
    <w:rsid w:val="00190FF8"/>
    <w:rsid w:val="00192ABB"/>
    <w:rsid w:val="0019311A"/>
    <w:rsid w:val="0019508A"/>
    <w:rsid w:val="001960D8"/>
    <w:rsid w:val="00197DBC"/>
    <w:rsid w:val="001A02F9"/>
    <w:rsid w:val="001A1642"/>
    <w:rsid w:val="001A371B"/>
    <w:rsid w:val="001A4766"/>
    <w:rsid w:val="001A6A0D"/>
    <w:rsid w:val="001A6C51"/>
    <w:rsid w:val="001A6FAA"/>
    <w:rsid w:val="001A7D73"/>
    <w:rsid w:val="001B0363"/>
    <w:rsid w:val="001B1355"/>
    <w:rsid w:val="001B24CB"/>
    <w:rsid w:val="001B3138"/>
    <w:rsid w:val="001B4E4B"/>
    <w:rsid w:val="001B50AC"/>
    <w:rsid w:val="001B5E05"/>
    <w:rsid w:val="001B6D68"/>
    <w:rsid w:val="001B6F2E"/>
    <w:rsid w:val="001C0344"/>
    <w:rsid w:val="001C0F2A"/>
    <w:rsid w:val="001C1A59"/>
    <w:rsid w:val="001C1B83"/>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44A4"/>
    <w:rsid w:val="001F579D"/>
    <w:rsid w:val="001F697B"/>
    <w:rsid w:val="002005A6"/>
    <w:rsid w:val="002034F9"/>
    <w:rsid w:val="00204CBC"/>
    <w:rsid w:val="002051F1"/>
    <w:rsid w:val="002067BA"/>
    <w:rsid w:val="0021058D"/>
    <w:rsid w:val="00211E2F"/>
    <w:rsid w:val="00211E9E"/>
    <w:rsid w:val="00214FB4"/>
    <w:rsid w:val="00215940"/>
    <w:rsid w:val="00217C23"/>
    <w:rsid w:val="00220561"/>
    <w:rsid w:val="00220CE4"/>
    <w:rsid w:val="00222D9B"/>
    <w:rsid w:val="00223788"/>
    <w:rsid w:val="00223908"/>
    <w:rsid w:val="00223D11"/>
    <w:rsid w:val="002242D3"/>
    <w:rsid w:val="00227D99"/>
    <w:rsid w:val="002301E6"/>
    <w:rsid w:val="00232F90"/>
    <w:rsid w:val="00233B08"/>
    <w:rsid w:val="00233C3B"/>
    <w:rsid w:val="0023499C"/>
    <w:rsid w:val="00234C61"/>
    <w:rsid w:val="0023569B"/>
    <w:rsid w:val="00235CE3"/>
    <w:rsid w:val="0023636A"/>
    <w:rsid w:val="00236F34"/>
    <w:rsid w:val="002372F7"/>
    <w:rsid w:val="00240651"/>
    <w:rsid w:val="00240803"/>
    <w:rsid w:val="00240938"/>
    <w:rsid w:val="0024190F"/>
    <w:rsid w:val="0024426D"/>
    <w:rsid w:val="00244F1D"/>
    <w:rsid w:val="00245004"/>
    <w:rsid w:val="00245FB4"/>
    <w:rsid w:val="00250898"/>
    <w:rsid w:val="00251EA9"/>
    <w:rsid w:val="00252843"/>
    <w:rsid w:val="002551A4"/>
    <w:rsid w:val="002559F3"/>
    <w:rsid w:val="00256DFE"/>
    <w:rsid w:val="00257D89"/>
    <w:rsid w:val="00261D56"/>
    <w:rsid w:val="00261FD3"/>
    <w:rsid w:val="00264077"/>
    <w:rsid w:val="00265B5C"/>
    <w:rsid w:val="00266B9A"/>
    <w:rsid w:val="00270E54"/>
    <w:rsid w:val="00273681"/>
    <w:rsid w:val="00273800"/>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0E"/>
    <w:rsid w:val="00293BE7"/>
    <w:rsid w:val="002946DC"/>
    <w:rsid w:val="00294C2D"/>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7656"/>
    <w:rsid w:val="002C1492"/>
    <w:rsid w:val="002C1E8B"/>
    <w:rsid w:val="002C2EFE"/>
    <w:rsid w:val="002C53AA"/>
    <w:rsid w:val="002C570A"/>
    <w:rsid w:val="002C5B2D"/>
    <w:rsid w:val="002C6AF9"/>
    <w:rsid w:val="002C7DFC"/>
    <w:rsid w:val="002D14F3"/>
    <w:rsid w:val="002D16E4"/>
    <w:rsid w:val="002D2D6C"/>
    <w:rsid w:val="002D2FEF"/>
    <w:rsid w:val="002D36C2"/>
    <w:rsid w:val="002D3FCB"/>
    <w:rsid w:val="002D4FEF"/>
    <w:rsid w:val="002D502D"/>
    <w:rsid w:val="002D62D1"/>
    <w:rsid w:val="002D63F5"/>
    <w:rsid w:val="002D6E1A"/>
    <w:rsid w:val="002E036D"/>
    <w:rsid w:val="002E1517"/>
    <w:rsid w:val="002E1B22"/>
    <w:rsid w:val="002E387F"/>
    <w:rsid w:val="002E5193"/>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0202"/>
    <w:rsid w:val="003206B6"/>
    <w:rsid w:val="003223D7"/>
    <w:rsid w:val="00323D9F"/>
    <w:rsid w:val="00324FDB"/>
    <w:rsid w:val="00325F48"/>
    <w:rsid w:val="0033194F"/>
    <w:rsid w:val="00332406"/>
    <w:rsid w:val="00332D8D"/>
    <w:rsid w:val="0033318B"/>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73B"/>
    <w:rsid w:val="00380FEC"/>
    <w:rsid w:val="00381226"/>
    <w:rsid w:val="00381FF6"/>
    <w:rsid w:val="00383D7D"/>
    <w:rsid w:val="00384CCE"/>
    <w:rsid w:val="00386080"/>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427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27"/>
    <w:rsid w:val="00427D52"/>
    <w:rsid w:val="00430412"/>
    <w:rsid w:val="00430497"/>
    <w:rsid w:val="0043173B"/>
    <w:rsid w:val="00431809"/>
    <w:rsid w:val="00432A91"/>
    <w:rsid w:val="004332A4"/>
    <w:rsid w:val="00434471"/>
    <w:rsid w:val="0043453F"/>
    <w:rsid w:val="00434A74"/>
    <w:rsid w:val="004367A5"/>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43D"/>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4C25"/>
    <w:rsid w:val="004E62DE"/>
    <w:rsid w:val="004E6B05"/>
    <w:rsid w:val="004E76A1"/>
    <w:rsid w:val="004F05DE"/>
    <w:rsid w:val="004F6376"/>
    <w:rsid w:val="004F6A93"/>
    <w:rsid w:val="004F6F14"/>
    <w:rsid w:val="004F76D9"/>
    <w:rsid w:val="004F79A6"/>
    <w:rsid w:val="00501BF5"/>
    <w:rsid w:val="00501D8B"/>
    <w:rsid w:val="00503A3E"/>
    <w:rsid w:val="00503E1A"/>
    <w:rsid w:val="00503F59"/>
    <w:rsid w:val="005049A7"/>
    <w:rsid w:val="005053B2"/>
    <w:rsid w:val="00506331"/>
    <w:rsid w:val="00507D11"/>
    <w:rsid w:val="00510662"/>
    <w:rsid w:val="005109B7"/>
    <w:rsid w:val="00510A19"/>
    <w:rsid w:val="00511AAB"/>
    <w:rsid w:val="00513956"/>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0B93"/>
    <w:rsid w:val="005825F2"/>
    <w:rsid w:val="005860AF"/>
    <w:rsid w:val="00587F1D"/>
    <w:rsid w:val="00590348"/>
    <w:rsid w:val="00591161"/>
    <w:rsid w:val="00592318"/>
    <w:rsid w:val="00593133"/>
    <w:rsid w:val="00593D09"/>
    <w:rsid w:val="0059575D"/>
    <w:rsid w:val="00596147"/>
    <w:rsid w:val="00596825"/>
    <w:rsid w:val="005A01C4"/>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17D"/>
    <w:rsid w:val="00633433"/>
    <w:rsid w:val="006341B5"/>
    <w:rsid w:val="00634727"/>
    <w:rsid w:val="00634B64"/>
    <w:rsid w:val="0063578C"/>
    <w:rsid w:val="0063642C"/>
    <w:rsid w:val="0063681E"/>
    <w:rsid w:val="00636FF9"/>
    <w:rsid w:val="00637DCB"/>
    <w:rsid w:val="00640DCD"/>
    <w:rsid w:val="00641DC3"/>
    <w:rsid w:val="00642972"/>
    <w:rsid w:val="00644F4D"/>
    <w:rsid w:val="00645065"/>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0E85"/>
    <w:rsid w:val="006A2CA2"/>
    <w:rsid w:val="006A3398"/>
    <w:rsid w:val="006B0C65"/>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8D4"/>
    <w:rsid w:val="00723A08"/>
    <w:rsid w:val="00724391"/>
    <w:rsid w:val="00724C18"/>
    <w:rsid w:val="00726630"/>
    <w:rsid w:val="00727F73"/>
    <w:rsid w:val="00730705"/>
    <w:rsid w:val="00730944"/>
    <w:rsid w:val="00731107"/>
    <w:rsid w:val="0073248E"/>
    <w:rsid w:val="00733EE9"/>
    <w:rsid w:val="00735B8E"/>
    <w:rsid w:val="0073673C"/>
    <w:rsid w:val="00736935"/>
    <w:rsid w:val="00743DE7"/>
    <w:rsid w:val="0074509E"/>
    <w:rsid w:val="00745B9F"/>
    <w:rsid w:val="007461F1"/>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6D9"/>
    <w:rsid w:val="00775937"/>
    <w:rsid w:val="00777046"/>
    <w:rsid w:val="007770DA"/>
    <w:rsid w:val="007805B9"/>
    <w:rsid w:val="00780C3A"/>
    <w:rsid w:val="007834A1"/>
    <w:rsid w:val="00791EB4"/>
    <w:rsid w:val="007928F1"/>
    <w:rsid w:val="00792AF6"/>
    <w:rsid w:val="0079357D"/>
    <w:rsid w:val="007937CC"/>
    <w:rsid w:val="00793A31"/>
    <w:rsid w:val="00794979"/>
    <w:rsid w:val="007954E1"/>
    <w:rsid w:val="007956B7"/>
    <w:rsid w:val="00795F1A"/>
    <w:rsid w:val="00796EDE"/>
    <w:rsid w:val="00797297"/>
    <w:rsid w:val="007974B3"/>
    <w:rsid w:val="00797875"/>
    <w:rsid w:val="007A076C"/>
    <w:rsid w:val="007A2140"/>
    <w:rsid w:val="007A23E2"/>
    <w:rsid w:val="007A31A5"/>
    <w:rsid w:val="007A3CC2"/>
    <w:rsid w:val="007A411B"/>
    <w:rsid w:val="007A45E6"/>
    <w:rsid w:val="007A4B28"/>
    <w:rsid w:val="007A5C2C"/>
    <w:rsid w:val="007A6574"/>
    <w:rsid w:val="007A7678"/>
    <w:rsid w:val="007B0CD8"/>
    <w:rsid w:val="007B0DE0"/>
    <w:rsid w:val="007B1AA6"/>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4F2"/>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7FF"/>
    <w:rsid w:val="00862DDD"/>
    <w:rsid w:val="0086326D"/>
    <w:rsid w:val="00863CC1"/>
    <w:rsid w:val="00865B01"/>
    <w:rsid w:val="00866D7A"/>
    <w:rsid w:val="00866EE3"/>
    <w:rsid w:val="00871F04"/>
    <w:rsid w:val="008739CB"/>
    <w:rsid w:val="008746C1"/>
    <w:rsid w:val="00880224"/>
    <w:rsid w:val="0088244C"/>
    <w:rsid w:val="00883367"/>
    <w:rsid w:val="00884C47"/>
    <w:rsid w:val="00885B0C"/>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B6ECB"/>
    <w:rsid w:val="008C0320"/>
    <w:rsid w:val="008C2A81"/>
    <w:rsid w:val="008C3863"/>
    <w:rsid w:val="008C4BDC"/>
    <w:rsid w:val="008C50FF"/>
    <w:rsid w:val="008C5435"/>
    <w:rsid w:val="008C6BD1"/>
    <w:rsid w:val="008C7439"/>
    <w:rsid w:val="008D2DB5"/>
    <w:rsid w:val="008D3F10"/>
    <w:rsid w:val="008D4757"/>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342"/>
    <w:rsid w:val="00984C15"/>
    <w:rsid w:val="00987829"/>
    <w:rsid w:val="00991276"/>
    <w:rsid w:val="009923E7"/>
    <w:rsid w:val="00992697"/>
    <w:rsid w:val="00994621"/>
    <w:rsid w:val="009947FF"/>
    <w:rsid w:val="0099544B"/>
    <w:rsid w:val="009A07A6"/>
    <w:rsid w:val="009A0D56"/>
    <w:rsid w:val="009A2F1C"/>
    <w:rsid w:val="009A31B9"/>
    <w:rsid w:val="009A3B4E"/>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511"/>
    <w:rsid w:val="009D3E7C"/>
    <w:rsid w:val="009D55CA"/>
    <w:rsid w:val="009D5EF0"/>
    <w:rsid w:val="009D6401"/>
    <w:rsid w:val="009E0711"/>
    <w:rsid w:val="009E1917"/>
    <w:rsid w:val="009E3594"/>
    <w:rsid w:val="009E6B77"/>
    <w:rsid w:val="009E7724"/>
    <w:rsid w:val="009E7D1F"/>
    <w:rsid w:val="009F1D82"/>
    <w:rsid w:val="009F345E"/>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D9"/>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2542"/>
    <w:rsid w:val="00A54BFF"/>
    <w:rsid w:val="00A54C63"/>
    <w:rsid w:val="00A54FBB"/>
    <w:rsid w:val="00A55BB1"/>
    <w:rsid w:val="00A55FD6"/>
    <w:rsid w:val="00A5619C"/>
    <w:rsid w:val="00A563BD"/>
    <w:rsid w:val="00A564CD"/>
    <w:rsid w:val="00A564CE"/>
    <w:rsid w:val="00A5675F"/>
    <w:rsid w:val="00A60D6F"/>
    <w:rsid w:val="00A61009"/>
    <w:rsid w:val="00A611F4"/>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2A7"/>
    <w:rsid w:val="00A84945"/>
    <w:rsid w:val="00A85543"/>
    <w:rsid w:val="00A86F54"/>
    <w:rsid w:val="00A91682"/>
    <w:rsid w:val="00A92E4A"/>
    <w:rsid w:val="00A958CA"/>
    <w:rsid w:val="00A966B6"/>
    <w:rsid w:val="00A96B46"/>
    <w:rsid w:val="00AA003B"/>
    <w:rsid w:val="00AA016B"/>
    <w:rsid w:val="00AA15DD"/>
    <w:rsid w:val="00AA1C09"/>
    <w:rsid w:val="00AA2F67"/>
    <w:rsid w:val="00AA326E"/>
    <w:rsid w:val="00AA3569"/>
    <w:rsid w:val="00AA363B"/>
    <w:rsid w:val="00AA4104"/>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5CE5"/>
    <w:rsid w:val="00AD6BE5"/>
    <w:rsid w:val="00AD7824"/>
    <w:rsid w:val="00AD783E"/>
    <w:rsid w:val="00AE1393"/>
    <w:rsid w:val="00AE3BC6"/>
    <w:rsid w:val="00AE4D4F"/>
    <w:rsid w:val="00AE627C"/>
    <w:rsid w:val="00AE62B0"/>
    <w:rsid w:val="00AE68A2"/>
    <w:rsid w:val="00AE7229"/>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72"/>
    <w:rsid w:val="00B4009B"/>
    <w:rsid w:val="00B400A1"/>
    <w:rsid w:val="00B40A2B"/>
    <w:rsid w:val="00B41893"/>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544"/>
    <w:rsid w:val="00B546C3"/>
    <w:rsid w:val="00B54BD9"/>
    <w:rsid w:val="00B5503C"/>
    <w:rsid w:val="00B55640"/>
    <w:rsid w:val="00B57107"/>
    <w:rsid w:val="00B619E4"/>
    <w:rsid w:val="00B61D0B"/>
    <w:rsid w:val="00B6439A"/>
    <w:rsid w:val="00B6443B"/>
    <w:rsid w:val="00B6517B"/>
    <w:rsid w:val="00B653DF"/>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B27"/>
    <w:rsid w:val="00B93CDA"/>
    <w:rsid w:val="00B942E9"/>
    <w:rsid w:val="00B9433A"/>
    <w:rsid w:val="00B948EE"/>
    <w:rsid w:val="00B94BF3"/>
    <w:rsid w:val="00B94F90"/>
    <w:rsid w:val="00B95DC5"/>
    <w:rsid w:val="00B97E34"/>
    <w:rsid w:val="00B97FEF"/>
    <w:rsid w:val="00BA1354"/>
    <w:rsid w:val="00BA24F8"/>
    <w:rsid w:val="00BA31AA"/>
    <w:rsid w:val="00BA3717"/>
    <w:rsid w:val="00BA45D8"/>
    <w:rsid w:val="00BA5828"/>
    <w:rsid w:val="00BA64B3"/>
    <w:rsid w:val="00BA754A"/>
    <w:rsid w:val="00BA7820"/>
    <w:rsid w:val="00BA794C"/>
    <w:rsid w:val="00BB238D"/>
    <w:rsid w:val="00BB37CC"/>
    <w:rsid w:val="00BB48C4"/>
    <w:rsid w:val="00BB6907"/>
    <w:rsid w:val="00BB7A20"/>
    <w:rsid w:val="00BC1045"/>
    <w:rsid w:val="00BC15B1"/>
    <w:rsid w:val="00BC3C06"/>
    <w:rsid w:val="00BC4E8B"/>
    <w:rsid w:val="00BC5622"/>
    <w:rsid w:val="00BC5FF8"/>
    <w:rsid w:val="00BC6060"/>
    <w:rsid w:val="00BC7897"/>
    <w:rsid w:val="00BD0F35"/>
    <w:rsid w:val="00BD45A4"/>
    <w:rsid w:val="00BD4A5F"/>
    <w:rsid w:val="00BD59AA"/>
    <w:rsid w:val="00BD65E6"/>
    <w:rsid w:val="00BD6AF7"/>
    <w:rsid w:val="00BE19EF"/>
    <w:rsid w:val="00BE425B"/>
    <w:rsid w:val="00BE51BB"/>
    <w:rsid w:val="00BE6AED"/>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CEC"/>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510"/>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3F15"/>
    <w:rsid w:val="00CB56B4"/>
    <w:rsid w:val="00CB6CDD"/>
    <w:rsid w:val="00CB7286"/>
    <w:rsid w:val="00CB7947"/>
    <w:rsid w:val="00CC1783"/>
    <w:rsid w:val="00CC3A94"/>
    <w:rsid w:val="00CC3B46"/>
    <w:rsid w:val="00CC3D8B"/>
    <w:rsid w:val="00CC4E27"/>
    <w:rsid w:val="00CC570C"/>
    <w:rsid w:val="00CC62B6"/>
    <w:rsid w:val="00CC6497"/>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49EF"/>
    <w:rsid w:val="00CE6FC6"/>
    <w:rsid w:val="00CF2056"/>
    <w:rsid w:val="00CF4471"/>
    <w:rsid w:val="00CF51C0"/>
    <w:rsid w:val="00CF5B2A"/>
    <w:rsid w:val="00CF5F57"/>
    <w:rsid w:val="00CF64A7"/>
    <w:rsid w:val="00CF6730"/>
    <w:rsid w:val="00CF70E5"/>
    <w:rsid w:val="00CF7CEC"/>
    <w:rsid w:val="00D00971"/>
    <w:rsid w:val="00D00B0F"/>
    <w:rsid w:val="00D01BF4"/>
    <w:rsid w:val="00D0272C"/>
    <w:rsid w:val="00D032B2"/>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CB7"/>
    <w:rsid w:val="00D42D5E"/>
    <w:rsid w:val="00D44C18"/>
    <w:rsid w:val="00D4556D"/>
    <w:rsid w:val="00D511C6"/>
    <w:rsid w:val="00D5121D"/>
    <w:rsid w:val="00D516AC"/>
    <w:rsid w:val="00D52875"/>
    <w:rsid w:val="00D54050"/>
    <w:rsid w:val="00D56AC0"/>
    <w:rsid w:val="00D56E27"/>
    <w:rsid w:val="00D6081B"/>
    <w:rsid w:val="00D60E31"/>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4D6B"/>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5427"/>
    <w:rsid w:val="00DD5E68"/>
    <w:rsid w:val="00DD61F5"/>
    <w:rsid w:val="00DE64A6"/>
    <w:rsid w:val="00DE7035"/>
    <w:rsid w:val="00DF12E3"/>
    <w:rsid w:val="00DF3F1D"/>
    <w:rsid w:val="00DF595C"/>
    <w:rsid w:val="00DF68DD"/>
    <w:rsid w:val="00DF7EA7"/>
    <w:rsid w:val="00E04548"/>
    <w:rsid w:val="00E0484E"/>
    <w:rsid w:val="00E05F8C"/>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4D40"/>
    <w:rsid w:val="00E354DA"/>
    <w:rsid w:val="00E354F5"/>
    <w:rsid w:val="00E3687E"/>
    <w:rsid w:val="00E400B8"/>
    <w:rsid w:val="00E40974"/>
    <w:rsid w:val="00E40AAB"/>
    <w:rsid w:val="00E41205"/>
    <w:rsid w:val="00E41F32"/>
    <w:rsid w:val="00E42608"/>
    <w:rsid w:val="00E43536"/>
    <w:rsid w:val="00E43DA3"/>
    <w:rsid w:val="00E44B80"/>
    <w:rsid w:val="00E47430"/>
    <w:rsid w:val="00E47F03"/>
    <w:rsid w:val="00E50FB7"/>
    <w:rsid w:val="00E5199F"/>
    <w:rsid w:val="00E526DF"/>
    <w:rsid w:val="00E53C15"/>
    <w:rsid w:val="00E54EE6"/>
    <w:rsid w:val="00E56715"/>
    <w:rsid w:val="00E56C2C"/>
    <w:rsid w:val="00E57F8E"/>
    <w:rsid w:val="00E611C8"/>
    <w:rsid w:val="00E6344A"/>
    <w:rsid w:val="00E64E69"/>
    <w:rsid w:val="00E64FB7"/>
    <w:rsid w:val="00E651D2"/>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52C0"/>
    <w:rsid w:val="00E8713B"/>
    <w:rsid w:val="00E90C61"/>
    <w:rsid w:val="00E91A92"/>
    <w:rsid w:val="00E92A82"/>
    <w:rsid w:val="00E92AA8"/>
    <w:rsid w:val="00E93E39"/>
    <w:rsid w:val="00E94391"/>
    <w:rsid w:val="00E97E2B"/>
    <w:rsid w:val="00EA08CA"/>
    <w:rsid w:val="00EA0C0C"/>
    <w:rsid w:val="00EA2AEA"/>
    <w:rsid w:val="00EA332B"/>
    <w:rsid w:val="00EA3D36"/>
    <w:rsid w:val="00EA40AA"/>
    <w:rsid w:val="00EA57E2"/>
    <w:rsid w:val="00EA7186"/>
    <w:rsid w:val="00EB018B"/>
    <w:rsid w:val="00EB08F4"/>
    <w:rsid w:val="00EB1003"/>
    <w:rsid w:val="00EB167E"/>
    <w:rsid w:val="00EB24ED"/>
    <w:rsid w:val="00EB2A00"/>
    <w:rsid w:val="00EB309B"/>
    <w:rsid w:val="00EB3AA2"/>
    <w:rsid w:val="00EB4763"/>
    <w:rsid w:val="00EB6CB7"/>
    <w:rsid w:val="00EC078B"/>
    <w:rsid w:val="00EC07A0"/>
    <w:rsid w:val="00EC08E4"/>
    <w:rsid w:val="00EC2A6A"/>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3875"/>
    <w:rsid w:val="00F143BA"/>
    <w:rsid w:val="00F2081B"/>
    <w:rsid w:val="00F20A43"/>
    <w:rsid w:val="00F20C51"/>
    <w:rsid w:val="00F21049"/>
    <w:rsid w:val="00F218AE"/>
    <w:rsid w:val="00F22232"/>
    <w:rsid w:val="00F2228E"/>
    <w:rsid w:val="00F22595"/>
    <w:rsid w:val="00F22D3C"/>
    <w:rsid w:val="00F22D58"/>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09F"/>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F86"/>
    <w:rsid w:val="00F975CA"/>
    <w:rsid w:val="00FA0B60"/>
    <w:rsid w:val="00FA2528"/>
    <w:rsid w:val="00FA5535"/>
    <w:rsid w:val="00FA7206"/>
    <w:rsid w:val="00FA7EFB"/>
    <w:rsid w:val="00FB0816"/>
    <w:rsid w:val="00FB08C2"/>
    <w:rsid w:val="00FB3DD1"/>
    <w:rsid w:val="00FB4614"/>
    <w:rsid w:val="00FB51FD"/>
    <w:rsid w:val="00FB5667"/>
    <w:rsid w:val="00FB7A97"/>
    <w:rsid w:val="00FC1B9B"/>
    <w:rsid w:val="00FC318D"/>
    <w:rsid w:val="00FC36CF"/>
    <w:rsid w:val="00FC40BC"/>
    <w:rsid w:val="00FC41FC"/>
    <w:rsid w:val="00FC4F6E"/>
    <w:rsid w:val="00FC506C"/>
    <w:rsid w:val="00FC578C"/>
    <w:rsid w:val="00FC5A37"/>
    <w:rsid w:val="00FD13EA"/>
    <w:rsid w:val="00FD2779"/>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136F4"/>
    <w:rPr>
      <w:rFonts w:ascii="Georgia" w:hAnsi="Georgia"/>
      <w:szCs w:val="24"/>
      <w:lang w:eastAsia="de-DE"/>
    </w:rPr>
  </w:style>
  <w:style w:type="paragraph" w:styleId="berschrift1">
    <w:name w:val="heading 1"/>
    <w:basedOn w:val="Standard"/>
    <w:next w:val="Standard"/>
    <w:link w:val="berschrift1Zchn"/>
    <w:qFormat/>
    <w:rsid w:val="009E7724"/>
    <w:pPr>
      <w:keepNext/>
      <w:numPr>
        <w:numId w:val="6"/>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BF6D9E"/>
    <w:pPr>
      <w:keepNext/>
      <w:keepLines/>
      <w:numPr>
        <w:numId w:val="14"/>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gitternetz">
    <w:name w:val="Table Grid"/>
    <w:basedOn w:val="NormaleTabelle"/>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
    <w:basedOn w:val="Standard"/>
    <w:link w:val="FunotentextZchn"/>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
    <w:link w:val="Funoten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9"/>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2"/>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BF6D9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ascii="Arial" w:hAnsi="Arial"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7"/>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30"/>
      </w:numPr>
      <w:suppressAutoHyphens/>
      <w:spacing w:after="250" w:line="276" w:lineRule="auto"/>
      <w:jc w:val="both"/>
    </w:pPr>
    <w:rPr>
      <w:szCs w:val="20"/>
    </w:rPr>
  </w:style>
  <w:style w:type="character" w:customStyle="1" w:styleId="aStyle1Char">
    <w:name w:val="a. Style1 Char"/>
    <w:link w:val="aStyle1"/>
    <w:rsid w:val="000D2D0B"/>
    <w:rPr>
      <w:rFonts w:ascii="Georgia" w:hAnsi="Georgia"/>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gitternetz"/>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6F4"/>
    <w:rPr>
      <w:rFonts w:ascii="Georgia" w:hAnsi="Georgia"/>
      <w:szCs w:val="24"/>
      <w:lang w:eastAsia="de-DE"/>
    </w:rPr>
  </w:style>
  <w:style w:type="paragraph" w:styleId="Kop1">
    <w:name w:val="heading 1"/>
    <w:basedOn w:val="Standaard"/>
    <w:next w:val="Standaard"/>
    <w:link w:val="Heading1Char"/>
    <w:qFormat/>
    <w:rsid w:val="009E7724"/>
    <w:pPr>
      <w:keepNext/>
      <w:numPr>
        <w:numId w:val="6"/>
      </w:numPr>
      <w:spacing w:before="240" w:after="60"/>
      <w:outlineLvl w:val="0"/>
    </w:pPr>
    <w:rPr>
      <w:rFonts w:cs="Arial"/>
      <w:b/>
      <w:bCs/>
      <w:kern w:val="32"/>
      <w:sz w:val="24"/>
      <w:szCs w:val="32"/>
    </w:rPr>
  </w:style>
  <w:style w:type="paragraph" w:styleId="Kop2">
    <w:name w:val="heading 2"/>
    <w:basedOn w:val="Standaard"/>
    <w:next w:val="Standaard"/>
    <w:link w:val="Heading2Char2"/>
    <w:qFormat/>
    <w:rsid w:val="00886A60"/>
    <w:pPr>
      <w:keepNext/>
      <w:keepLines/>
      <w:spacing w:before="200" w:after="120"/>
      <w:outlineLvl w:val="1"/>
    </w:pPr>
    <w:rPr>
      <w:b/>
      <w:bCs/>
      <w:szCs w:val="26"/>
    </w:rPr>
  </w:style>
  <w:style w:type="paragraph" w:styleId="Kop3">
    <w:name w:val="heading 3"/>
    <w:basedOn w:val="Standaard"/>
    <w:next w:val="Standaard"/>
    <w:link w:val="Heading3Char2"/>
    <w:qFormat/>
    <w:rsid w:val="003865E5"/>
    <w:pPr>
      <w:keepNext/>
      <w:keepLines/>
      <w:spacing w:before="200"/>
      <w:outlineLvl w:val="2"/>
    </w:pPr>
    <w:rPr>
      <w:rFonts w:ascii="Cambria" w:hAnsi="Cambria"/>
      <w:b/>
      <w:bCs/>
      <w:color w:val="4F81BD"/>
    </w:rPr>
  </w:style>
  <w:style w:type="paragraph" w:styleId="Kop4">
    <w:name w:val="heading 4"/>
    <w:basedOn w:val="Standaard"/>
    <w:next w:val="Standaard"/>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Kop5">
    <w:name w:val="heading 5"/>
    <w:aliases w:val="Questions"/>
    <w:basedOn w:val="Standaard"/>
    <w:next w:val="Standaard"/>
    <w:link w:val="Heading5Char14"/>
    <w:qFormat/>
    <w:rsid w:val="00BF6D9E"/>
    <w:pPr>
      <w:keepNext/>
      <w:keepLines/>
      <w:numPr>
        <w:numId w:val="14"/>
      </w:numPr>
      <w:spacing w:before="200"/>
      <w:jc w:val="both"/>
      <w:outlineLvl w:val="4"/>
    </w:pPr>
    <w:rPr>
      <w:b/>
    </w:rPr>
  </w:style>
  <w:style w:type="paragraph" w:styleId="Kop6">
    <w:name w:val="heading 6"/>
    <w:basedOn w:val="Standaard"/>
    <w:next w:val="Standaard"/>
    <w:link w:val="Heading6Char"/>
    <w:qFormat/>
    <w:rsid w:val="003609B6"/>
    <w:pPr>
      <w:numPr>
        <w:ilvl w:val="5"/>
        <w:numId w:val="4"/>
      </w:numPr>
      <w:spacing w:before="240" w:after="60"/>
      <w:outlineLvl w:val="5"/>
    </w:pPr>
    <w:rPr>
      <w:rFonts w:ascii="Times New Roman" w:hAnsi="Times New Roman"/>
      <w:b/>
      <w:bCs/>
      <w:szCs w:val="22"/>
    </w:rPr>
  </w:style>
  <w:style w:type="paragraph" w:styleId="Kop7">
    <w:name w:val="heading 7"/>
    <w:basedOn w:val="Standaard"/>
    <w:next w:val="Standaard"/>
    <w:link w:val="Heading7Char"/>
    <w:unhideWhenUsed/>
    <w:qFormat/>
    <w:rsid w:val="002D6E1A"/>
    <w:pPr>
      <w:spacing w:before="240" w:after="60"/>
      <w:ind w:left="1296" w:hanging="1296"/>
      <w:outlineLvl w:val="6"/>
    </w:pPr>
    <w:rPr>
      <w:rFonts w:ascii="Times New Roman" w:hAnsi="Times New Roman"/>
    </w:rPr>
  </w:style>
  <w:style w:type="paragraph" w:styleId="Kop8">
    <w:name w:val="heading 8"/>
    <w:basedOn w:val="Standaard"/>
    <w:next w:val="Standaard"/>
    <w:link w:val="Heading8Char"/>
    <w:qFormat/>
    <w:rsid w:val="003609B6"/>
    <w:pPr>
      <w:numPr>
        <w:ilvl w:val="7"/>
        <w:numId w:val="4"/>
      </w:numPr>
      <w:spacing w:before="240" w:after="60"/>
      <w:outlineLvl w:val="7"/>
    </w:pPr>
    <w:rPr>
      <w:rFonts w:ascii="Times New Roman" w:hAnsi="Times New Roman"/>
      <w:i/>
      <w:iCs/>
    </w:rPr>
  </w:style>
  <w:style w:type="paragraph" w:styleId="Kop9">
    <w:name w:val="heading 9"/>
    <w:basedOn w:val="Standaard"/>
    <w:next w:val="Standaard"/>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HeaderChar"/>
    <w:rsid w:val="005B64CB"/>
    <w:pPr>
      <w:tabs>
        <w:tab w:val="center" w:pos="4536"/>
        <w:tab w:val="right" w:pos="9072"/>
      </w:tabs>
    </w:pPr>
  </w:style>
  <w:style w:type="paragraph" w:styleId="Voettekst">
    <w:name w:val="footer"/>
    <w:basedOn w:val="Standaard"/>
    <w:link w:val="FooterChar"/>
    <w:rsid w:val="005B64CB"/>
    <w:pPr>
      <w:tabs>
        <w:tab w:val="center" w:pos="4536"/>
        <w:tab w:val="right" w:pos="9072"/>
      </w:tabs>
    </w:pPr>
  </w:style>
  <w:style w:type="table" w:styleId="Tabelraster">
    <w:name w:val="Table Grid"/>
    <w:basedOn w:val="Standaardtabe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ard"/>
    <w:rsid w:val="003E3ACA"/>
    <w:pPr>
      <w:spacing w:line="200" w:lineRule="exact"/>
    </w:pPr>
    <w:rPr>
      <w:color w:val="2D4190"/>
      <w:sz w:val="16"/>
    </w:rPr>
  </w:style>
  <w:style w:type="paragraph" w:customStyle="1" w:styleId="05aTitle">
    <w:name w:val="05a_Title"/>
    <w:basedOn w:val="Standaard"/>
    <w:rsid w:val="00791EB4"/>
    <w:pPr>
      <w:spacing w:line="340" w:lineRule="exact"/>
    </w:pPr>
    <w:rPr>
      <w:b/>
      <w:color w:val="000000"/>
      <w:sz w:val="28"/>
    </w:rPr>
  </w:style>
  <w:style w:type="paragraph" w:customStyle="1" w:styleId="02Date">
    <w:name w:val="02_Date"/>
    <w:basedOn w:val="Standa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inanummer">
    <w:name w:val="page number"/>
    <w:basedOn w:val="Standaardalinea-lettertype"/>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hopg1">
    <w:name w:val="toc 1"/>
    <w:basedOn w:val="Standaard"/>
    <w:next w:val="Standa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Voetnoottekst">
    <w:name w:val="footnote text"/>
    <w:aliases w:val="Char3, Char3"/>
    <w:basedOn w:val="Standaard"/>
    <w:link w:val="FootnoteTextChar"/>
    <w:rsid w:val="001725A5"/>
    <w:pPr>
      <w:spacing w:line="200" w:lineRule="exact"/>
    </w:pPr>
    <w:rPr>
      <w:sz w:val="16"/>
      <w:szCs w:val="20"/>
    </w:rPr>
  </w:style>
  <w:style w:type="character" w:styleId="Voetnootmarkering">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Inhopg2">
    <w:name w:val="toc 2"/>
    <w:basedOn w:val="Standaard"/>
    <w:next w:val="Standa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Verwijzingopmerking">
    <w:name w:val="annotation reference"/>
    <w:rsid w:val="004B1E61"/>
    <w:rPr>
      <w:sz w:val="16"/>
      <w:szCs w:val="16"/>
    </w:rPr>
  </w:style>
  <w:style w:type="paragraph" w:styleId="Tekstopmerking">
    <w:name w:val="annotation text"/>
    <w:basedOn w:val="Standaard"/>
    <w:link w:val="CommentTextChar"/>
    <w:rsid w:val="004B1E61"/>
    <w:rPr>
      <w:szCs w:val="20"/>
    </w:rPr>
  </w:style>
  <w:style w:type="character" w:customStyle="1" w:styleId="CommentTextChar">
    <w:name w:val="Comment Text Char"/>
    <w:link w:val="Tekstopmerking"/>
    <w:uiPriority w:val="99"/>
    <w:rsid w:val="004B1E61"/>
    <w:rPr>
      <w:rFonts w:ascii="Georgia" w:hAnsi="Georgia"/>
      <w:lang w:eastAsia="de-DE"/>
    </w:rPr>
  </w:style>
  <w:style w:type="paragraph" w:styleId="Onderwerpvanopmerking">
    <w:name w:val="annotation subject"/>
    <w:basedOn w:val="Tekstopmerking"/>
    <w:next w:val="Tekstopmerking"/>
    <w:link w:val="CommentSubjectChar"/>
    <w:rsid w:val="004B1E61"/>
    <w:rPr>
      <w:b/>
      <w:bCs/>
    </w:rPr>
  </w:style>
  <w:style w:type="character" w:customStyle="1" w:styleId="CommentSubjectChar">
    <w:name w:val="Comment Subject Char"/>
    <w:link w:val="Onderwerpvanopmerking"/>
    <w:rsid w:val="004B1E61"/>
    <w:rPr>
      <w:rFonts w:ascii="Georgia" w:hAnsi="Georgia"/>
      <w:b/>
      <w:bCs/>
      <w:lang w:eastAsia="de-DE"/>
    </w:rPr>
  </w:style>
  <w:style w:type="paragraph" w:styleId="Ballontekst">
    <w:name w:val="Balloon Text"/>
    <w:basedOn w:val="Standaard"/>
    <w:link w:val="BalloonTextChar"/>
    <w:rsid w:val="004B1E61"/>
    <w:rPr>
      <w:rFonts w:ascii="Tahoma" w:hAnsi="Tahoma" w:cs="Tahoma"/>
      <w:sz w:val="16"/>
      <w:szCs w:val="16"/>
    </w:rPr>
  </w:style>
  <w:style w:type="character" w:customStyle="1" w:styleId="BalloonTextChar">
    <w:name w:val="Balloon Text Char"/>
    <w:link w:val="Ballontekst"/>
    <w:rsid w:val="004B1E61"/>
    <w:rPr>
      <w:rFonts w:ascii="Tahoma" w:hAnsi="Tahoma" w:cs="Tahoma"/>
      <w:sz w:val="16"/>
      <w:szCs w:val="16"/>
      <w:lang w:eastAsia="de-DE"/>
    </w:rPr>
  </w:style>
  <w:style w:type="paragraph" w:styleId="Lijstalinea">
    <w:name w:val="List Paragraph"/>
    <w:aliases w:val="Paragraphe EI,Paragraphe de liste1,EC"/>
    <w:basedOn w:val="Standaard"/>
    <w:link w:val="ListParagraphChar"/>
    <w:uiPriority w:val="34"/>
    <w:qFormat/>
    <w:rsid w:val="002A0C82"/>
    <w:pPr>
      <w:ind w:left="720"/>
      <w:contextualSpacing/>
    </w:pPr>
  </w:style>
  <w:style w:type="paragraph" w:styleId="Kopvaninhoudsopgave">
    <w:name w:val="TOC Heading"/>
    <w:basedOn w:val="Kop1"/>
    <w:next w:val="Standa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Voetnootteks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ardalinea-lettertype"/>
    <w:rsid w:val="008E1B6A"/>
  </w:style>
  <w:style w:type="paragraph" w:customStyle="1" w:styleId="ManualNumPar1">
    <w:name w:val="Manual NumPar 1"/>
    <w:basedOn w:val="Standaard"/>
    <w:next w:val="Standa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Kop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adruk">
    <w:name w:val="Emphasis"/>
    <w:uiPriority w:val="20"/>
    <w:qFormat/>
    <w:rsid w:val="005F028E"/>
    <w:rPr>
      <w:i/>
      <w:iCs/>
    </w:rPr>
  </w:style>
  <w:style w:type="paragraph" w:styleId="Revisie">
    <w:name w:val="Revision"/>
    <w:link w:val="RevisionChar"/>
    <w:hidden/>
    <w:uiPriority w:val="99"/>
    <w:semiHidden/>
    <w:rsid w:val="008E6A37"/>
    <w:rPr>
      <w:rFonts w:ascii="Georgia" w:hAnsi="Georgia"/>
      <w:sz w:val="22"/>
      <w:szCs w:val="24"/>
      <w:lang w:eastAsia="de-DE"/>
    </w:rPr>
  </w:style>
  <w:style w:type="paragraph" w:styleId="Inhopg3">
    <w:name w:val="toc 3"/>
    <w:basedOn w:val="Standaard"/>
    <w:next w:val="Standa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ard"/>
    <w:next w:val="Standa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ard"/>
    <w:next w:val="Standaard"/>
    <w:uiPriority w:val="99"/>
    <w:rsid w:val="00F377CD"/>
    <w:pPr>
      <w:autoSpaceDE w:val="0"/>
      <w:autoSpaceDN w:val="0"/>
      <w:adjustRightInd w:val="0"/>
    </w:pPr>
    <w:rPr>
      <w:rFonts w:ascii="EUAlbertina" w:eastAsia="Calibri" w:hAnsi="EUAlbertina"/>
      <w:sz w:val="24"/>
      <w:lang w:val="fr-FR" w:eastAsia="en-US"/>
    </w:rPr>
  </w:style>
  <w:style w:type="paragraph" w:styleId="Inhopg4">
    <w:name w:val="toc 4"/>
    <w:basedOn w:val="Standaard"/>
    <w:next w:val="Standaard"/>
    <w:autoRedefine/>
    <w:uiPriority w:val="39"/>
    <w:unhideWhenUsed/>
    <w:rsid w:val="00F377CD"/>
    <w:pPr>
      <w:spacing w:after="100" w:line="276" w:lineRule="auto"/>
      <w:ind w:left="660"/>
    </w:pPr>
    <w:rPr>
      <w:rFonts w:ascii="Calibri" w:hAnsi="Calibri"/>
      <w:szCs w:val="22"/>
      <w:lang w:eastAsia="en-GB"/>
    </w:rPr>
  </w:style>
  <w:style w:type="paragraph" w:styleId="Inhopg5">
    <w:name w:val="toc 5"/>
    <w:basedOn w:val="Standaard"/>
    <w:next w:val="Standaard"/>
    <w:autoRedefine/>
    <w:uiPriority w:val="39"/>
    <w:unhideWhenUsed/>
    <w:rsid w:val="00F377CD"/>
    <w:pPr>
      <w:spacing w:after="100" w:line="276" w:lineRule="auto"/>
      <w:ind w:left="880"/>
    </w:pPr>
    <w:rPr>
      <w:rFonts w:ascii="Calibri" w:hAnsi="Calibri"/>
      <w:szCs w:val="22"/>
      <w:lang w:eastAsia="en-GB"/>
    </w:rPr>
  </w:style>
  <w:style w:type="paragraph" w:styleId="Inhopg6">
    <w:name w:val="toc 6"/>
    <w:basedOn w:val="Standaard"/>
    <w:next w:val="Standaard"/>
    <w:autoRedefine/>
    <w:uiPriority w:val="39"/>
    <w:unhideWhenUsed/>
    <w:rsid w:val="00F377CD"/>
    <w:pPr>
      <w:spacing w:after="100" w:line="276" w:lineRule="auto"/>
      <w:ind w:left="1100"/>
    </w:pPr>
    <w:rPr>
      <w:rFonts w:ascii="Calibri" w:hAnsi="Calibri"/>
      <w:szCs w:val="22"/>
      <w:lang w:eastAsia="en-GB"/>
    </w:rPr>
  </w:style>
  <w:style w:type="paragraph" w:styleId="Inhopg7">
    <w:name w:val="toc 7"/>
    <w:basedOn w:val="Standaard"/>
    <w:next w:val="Standaard"/>
    <w:autoRedefine/>
    <w:uiPriority w:val="39"/>
    <w:unhideWhenUsed/>
    <w:rsid w:val="00F377CD"/>
    <w:pPr>
      <w:spacing w:after="100" w:line="276" w:lineRule="auto"/>
      <w:ind w:left="1320"/>
    </w:pPr>
    <w:rPr>
      <w:rFonts w:ascii="Calibri" w:hAnsi="Calibri"/>
      <w:szCs w:val="22"/>
      <w:lang w:eastAsia="en-GB"/>
    </w:rPr>
  </w:style>
  <w:style w:type="paragraph" w:styleId="Inhopg8">
    <w:name w:val="toc 8"/>
    <w:basedOn w:val="Standaard"/>
    <w:next w:val="Standaard"/>
    <w:autoRedefine/>
    <w:uiPriority w:val="39"/>
    <w:unhideWhenUsed/>
    <w:rsid w:val="00F377CD"/>
    <w:pPr>
      <w:spacing w:after="100" w:line="276" w:lineRule="auto"/>
      <w:ind w:left="1540"/>
    </w:pPr>
    <w:rPr>
      <w:rFonts w:ascii="Calibri" w:hAnsi="Calibri"/>
      <w:szCs w:val="22"/>
      <w:lang w:eastAsia="en-GB"/>
    </w:rPr>
  </w:style>
  <w:style w:type="paragraph" w:styleId="Inhopg9">
    <w:name w:val="toc 9"/>
    <w:basedOn w:val="Standaard"/>
    <w:next w:val="Standa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ijschrift">
    <w:name w:val="caption"/>
    <w:basedOn w:val="Standaard"/>
    <w:next w:val="Standa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web">
    <w:name w:val="Normal (Web)"/>
    <w:basedOn w:val="Standa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structuur">
    <w:name w:val="Document Map"/>
    <w:basedOn w:val="Standaard"/>
    <w:link w:val="DocumentMapChar"/>
    <w:rsid w:val="00AA016B"/>
    <w:rPr>
      <w:rFonts w:ascii="Tahoma" w:hAnsi="Tahoma" w:cs="Tahoma"/>
      <w:sz w:val="16"/>
      <w:szCs w:val="16"/>
    </w:rPr>
  </w:style>
  <w:style w:type="character" w:customStyle="1" w:styleId="DocumentMapChar">
    <w:name w:val="Document Map Char"/>
    <w:link w:val="Documentstructuur"/>
    <w:rsid w:val="00AA016B"/>
    <w:rPr>
      <w:rFonts w:ascii="Tahoma" w:hAnsi="Tahoma" w:cs="Tahoma"/>
      <w:sz w:val="16"/>
      <w:szCs w:val="16"/>
      <w:lang w:eastAsia="de-DE"/>
    </w:rPr>
  </w:style>
  <w:style w:type="paragraph" w:styleId="Tekstzonderopmaak">
    <w:name w:val="Plain Text"/>
    <w:basedOn w:val="Standaard"/>
    <w:link w:val="PlainTextChar"/>
    <w:unhideWhenUsed/>
    <w:rsid w:val="00AA016B"/>
    <w:rPr>
      <w:rFonts w:ascii="Consolas" w:hAnsi="Consolas"/>
      <w:sz w:val="21"/>
      <w:szCs w:val="21"/>
      <w:lang w:val="de-DE"/>
    </w:rPr>
  </w:style>
  <w:style w:type="character" w:customStyle="1" w:styleId="PlainTextChar">
    <w:name w:val="Plain Text Char"/>
    <w:link w:val="Tekstzonderopmaak"/>
    <w:rsid w:val="00AA016B"/>
    <w:rPr>
      <w:rFonts w:ascii="Consolas" w:hAnsi="Consolas"/>
      <w:sz w:val="21"/>
      <w:szCs w:val="21"/>
      <w:lang w:val="de-DE" w:eastAsia="de-DE"/>
    </w:rPr>
  </w:style>
  <w:style w:type="paragraph" w:styleId="Plattetekst">
    <w:name w:val="Body Text"/>
    <w:basedOn w:val="Standaard"/>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Plattetekst"/>
    <w:rsid w:val="00AA016B"/>
    <w:rPr>
      <w:sz w:val="24"/>
    </w:rPr>
  </w:style>
  <w:style w:type="paragraph" w:customStyle="1" w:styleId="ListParagraph1">
    <w:name w:val="List Paragraph1"/>
    <w:basedOn w:val="Standa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Zwaar">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Kop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Kop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Kop7"/>
    <w:rsid w:val="002D6E1A"/>
    <w:rPr>
      <w:sz w:val="22"/>
      <w:szCs w:val="24"/>
      <w:lang w:eastAsia="de-DE"/>
    </w:rPr>
  </w:style>
  <w:style w:type="character" w:customStyle="1" w:styleId="Heading6Char">
    <w:name w:val="Heading 6 Char"/>
    <w:link w:val="Kop6"/>
    <w:rsid w:val="002D6E1A"/>
    <w:rPr>
      <w:b/>
      <w:bCs/>
      <w:szCs w:val="22"/>
      <w:lang w:eastAsia="de-DE"/>
    </w:rPr>
  </w:style>
  <w:style w:type="character" w:customStyle="1" w:styleId="Heading8Char">
    <w:name w:val="Heading 8 Char"/>
    <w:link w:val="Kop8"/>
    <w:rsid w:val="002D6E1A"/>
    <w:rPr>
      <w:i/>
      <w:iCs/>
      <w:szCs w:val="24"/>
      <w:lang w:eastAsia="de-DE"/>
    </w:rPr>
  </w:style>
  <w:style w:type="numbering" w:customStyle="1" w:styleId="NoList1">
    <w:name w:val="No List1"/>
    <w:next w:val="Geenlijst"/>
    <w:uiPriority w:val="99"/>
    <w:semiHidden/>
    <w:unhideWhenUsed/>
    <w:rsid w:val="002D6E1A"/>
  </w:style>
  <w:style w:type="character" w:styleId="GevolgdeHyperlink">
    <w:name w:val="FollowedHyperlink"/>
    <w:unhideWhenUsed/>
    <w:rsid w:val="002D6E1A"/>
    <w:rPr>
      <w:color w:val="800080"/>
      <w:u w:val="single"/>
    </w:rPr>
  </w:style>
  <w:style w:type="character" w:customStyle="1" w:styleId="HeaderChar">
    <w:name w:val="Header Char"/>
    <w:link w:val="Koptekst"/>
    <w:rsid w:val="002D6E1A"/>
    <w:rPr>
      <w:rFonts w:ascii="Georgia" w:hAnsi="Georgia"/>
      <w:sz w:val="22"/>
      <w:szCs w:val="24"/>
      <w:lang w:eastAsia="de-DE"/>
    </w:rPr>
  </w:style>
  <w:style w:type="character" w:customStyle="1" w:styleId="FooterChar">
    <w:name w:val="Footer Char"/>
    <w:link w:val="Voettekst"/>
    <w:rsid w:val="002D6E1A"/>
    <w:rPr>
      <w:rFonts w:ascii="Georgia" w:hAnsi="Georgia"/>
      <w:sz w:val="22"/>
      <w:szCs w:val="24"/>
      <w:lang w:eastAsia="de-DE"/>
    </w:rPr>
  </w:style>
  <w:style w:type="paragraph" w:styleId="Eindnoottekst">
    <w:name w:val="endnote text"/>
    <w:basedOn w:val="Standaard"/>
    <w:link w:val="EndnoteTextChar"/>
    <w:unhideWhenUsed/>
    <w:rsid w:val="002D6E1A"/>
    <w:rPr>
      <w:szCs w:val="20"/>
    </w:rPr>
  </w:style>
  <w:style w:type="character" w:customStyle="1" w:styleId="EndnoteTextChar">
    <w:name w:val="Endnote Text Char"/>
    <w:link w:val="Eindnoottekst"/>
    <w:rsid w:val="002D6E1A"/>
    <w:rPr>
      <w:rFonts w:ascii="Georgia" w:hAnsi="Georgia"/>
      <w:lang w:eastAsia="de-DE"/>
    </w:rPr>
  </w:style>
  <w:style w:type="paragraph" w:styleId="Lijstnummering">
    <w:name w:val="List Number"/>
    <w:basedOn w:val="Standaard"/>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jstalinea"/>
    <w:uiPriority w:val="34"/>
    <w:locked/>
    <w:rsid w:val="002D6E1A"/>
    <w:rPr>
      <w:rFonts w:ascii="Georgia" w:hAnsi="Georgia"/>
      <w:sz w:val="22"/>
      <w:szCs w:val="24"/>
      <w:lang w:eastAsia="de-DE"/>
    </w:rPr>
  </w:style>
  <w:style w:type="paragraph" w:customStyle="1" w:styleId="04anumbering0">
    <w:name w:val="04anumbering"/>
    <w:basedOn w:val="Standa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ard"/>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jstalinea"/>
    <w:link w:val="DPChar"/>
    <w:qFormat/>
    <w:rsid w:val="002D6E1A"/>
    <w:pPr>
      <w:ind w:left="708"/>
      <w:contextualSpacing w:val="0"/>
      <w:jc w:val="both"/>
    </w:pPr>
    <w:rPr>
      <w:b/>
      <w:szCs w:val="20"/>
      <w:u w:val="single"/>
    </w:rPr>
  </w:style>
  <w:style w:type="paragraph" w:customStyle="1" w:styleId="Bullet">
    <w:name w:val="Bullet"/>
    <w:basedOn w:val="Standaard"/>
    <w:rsid w:val="002D6E1A"/>
    <w:pPr>
      <w:numPr>
        <w:numId w:val="12"/>
      </w:numPr>
      <w:tabs>
        <w:tab w:val="left" w:pos="708"/>
      </w:tabs>
      <w:spacing w:before="120" w:after="120" w:line="276" w:lineRule="auto"/>
      <w:jc w:val="both"/>
    </w:pPr>
    <w:rPr>
      <w:szCs w:val="20"/>
      <w:lang w:eastAsia="en-GB"/>
    </w:rPr>
  </w:style>
  <w:style w:type="character" w:styleId="Eindnootmarkering">
    <w:name w:val="endnote reference"/>
    <w:unhideWhenUsed/>
    <w:rsid w:val="002D6E1A"/>
    <w:rPr>
      <w:vertAlign w:val="superscript"/>
    </w:rPr>
  </w:style>
  <w:style w:type="character" w:styleId="Tekstvantijdelijkeaanduiding">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Standaardtabe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Geenlij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egelnummer">
    <w:name w:val="line number"/>
    <w:basedOn w:val="Standaardalinea-lettertype"/>
    <w:uiPriority w:val="99"/>
    <w:unhideWhenUsed/>
    <w:rsid w:val="00952F2C"/>
  </w:style>
  <w:style w:type="paragraph" w:customStyle="1" w:styleId="aStyle">
    <w:name w:val="a) Style"/>
    <w:basedOn w:val="Standaard"/>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ijschrift"/>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Kop5"/>
    <w:rsid w:val="00BF6D9E"/>
    <w:rPr>
      <w:rFonts w:ascii="Georgia" w:hAnsi="Georgia"/>
      <w:b/>
      <w:szCs w:val="24"/>
      <w:lang w:eastAsia="de-DE"/>
    </w:rPr>
  </w:style>
  <w:style w:type="character" w:customStyle="1" w:styleId="Heading3Char2">
    <w:name w:val="Heading 3 Char2"/>
    <w:link w:val="Kop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Kop4"/>
    <w:rsid w:val="00CB7286"/>
    <w:rPr>
      <w:b/>
      <w:bCs/>
      <w:sz w:val="28"/>
      <w:szCs w:val="28"/>
      <w:lang w:eastAsia="de-DE"/>
    </w:rPr>
  </w:style>
  <w:style w:type="table" w:styleId="Lichtelijst-accent3">
    <w:name w:val="Light List Accent 3"/>
    <w:basedOn w:val="Standaardtabe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ardtabe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Kop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Kop1"/>
    <w:next w:val="Standa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ard"/>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Standaard"/>
    <w:next w:val="Standa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ard"/>
    <w:rsid w:val="000D2D0B"/>
    <w:rPr>
      <w:szCs w:val="20"/>
    </w:rPr>
  </w:style>
  <w:style w:type="paragraph" w:customStyle="1" w:styleId="Sbuchead">
    <w:name w:val="Sbuchead"/>
    <w:basedOn w:val="Standa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ard"/>
    <w:next w:val="Fait"/>
    <w:rsid w:val="000D2D0B"/>
    <w:pPr>
      <w:spacing w:before="480" w:after="120"/>
      <w:jc w:val="both"/>
    </w:pPr>
    <w:rPr>
      <w:rFonts w:ascii="Times New Roman" w:hAnsi="Times New Roman"/>
      <w:sz w:val="24"/>
      <w:lang w:eastAsia="en-US"/>
    </w:rPr>
  </w:style>
  <w:style w:type="paragraph" w:customStyle="1" w:styleId="Fait">
    <w:name w:val="Fait à"/>
    <w:basedOn w:val="Standa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ard"/>
    <w:next w:val="Standa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ard"/>
    <w:next w:val="Standa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ard"/>
    <w:rsid w:val="000D2D0B"/>
    <w:pPr>
      <w:spacing w:before="120" w:after="120"/>
      <w:ind w:left="850"/>
      <w:jc w:val="both"/>
    </w:pPr>
    <w:rPr>
      <w:rFonts w:ascii="Times New Roman" w:hAnsi="Times New Roman"/>
      <w:sz w:val="24"/>
      <w:lang w:eastAsia="en-US"/>
    </w:rPr>
  </w:style>
  <w:style w:type="paragraph" w:customStyle="1" w:styleId="Text2">
    <w:name w:val="Text 2"/>
    <w:basedOn w:val="Standaard"/>
    <w:rsid w:val="000D2D0B"/>
    <w:pPr>
      <w:spacing w:before="120" w:after="120"/>
      <w:ind w:left="1417"/>
      <w:jc w:val="both"/>
    </w:pPr>
    <w:rPr>
      <w:rFonts w:ascii="Times New Roman" w:hAnsi="Times New Roman"/>
      <w:sz w:val="24"/>
      <w:lang w:eastAsia="en-US"/>
    </w:rPr>
  </w:style>
  <w:style w:type="paragraph" w:customStyle="1" w:styleId="Text3">
    <w:name w:val="Text 3"/>
    <w:basedOn w:val="Standaard"/>
    <w:rsid w:val="000D2D0B"/>
    <w:pPr>
      <w:spacing w:before="120" w:after="120"/>
      <w:ind w:left="1984"/>
      <w:jc w:val="both"/>
    </w:pPr>
    <w:rPr>
      <w:rFonts w:ascii="Times New Roman" w:hAnsi="Times New Roman"/>
      <w:sz w:val="24"/>
      <w:lang w:eastAsia="en-US"/>
    </w:rPr>
  </w:style>
  <w:style w:type="paragraph" w:customStyle="1" w:styleId="Text4">
    <w:name w:val="Text 4"/>
    <w:basedOn w:val="Standa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ard"/>
    <w:rsid w:val="000D2D0B"/>
    <w:pPr>
      <w:spacing w:before="120" w:after="120"/>
      <w:jc w:val="center"/>
    </w:pPr>
    <w:rPr>
      <w:rFonts w:ascii="Times New Roman" w:hAnsi="Times New Roman"/>
      <w:sz w:val="24"/>
      <w:lang w:eastAsia="en-US"/>
    </w:rPr>
  </w:style>
  <w:style w:type="paragraph" w:customStyle="1" w:styleId="NormalLeft">
    <w:name w:val="Normal Left"/>
    <w:basedOn w:val="Standaard"/>
    <w:rsid w:val="000D2D0B"/>
    <w:pPr>
      <w:spacing w:before="120" w:after="120"/>
    </w:pPr>
    <w:rPr>
      <w:rFonts w:ascii="Times New Roman" w:hAnsi="Times New Roman"/>
      <w:sz w:val="24"/>
      <w:lang w:eastAsia="en-US"/>
    </w:rPr>
  </w:style>
  <w:style w:type="paragraph" w:customStyle="1" w:styleId="NormalRight">
    <w:name w:val="Normal Right"/>
    <w:basedOn w:val="Standaard"/>
    <w:rsid w:val="000D2D0B"/>
    <w:pPr>
      <w:spacing w:before="120" w:after="120"/>
      <w:jc w:val="right"/>
    </w:pPr>
    <w:rPr>
      <w:rFonts w:ascii="Times New Roman" w:hAnsi="Times New Roman"/>
      <w:sz w:val="24"/>
      <w:lang w:eastAsia="en-US"/>
    </w:rPr>
  </w:style>
  <w:style w:type="paragraph" w:customStyle="1" w:styleId="QuotedText">
    <w:name w:val="Quoted Text"/>
    <w:basedOn w:val="Standaard"/>
    <w:rsid w:val="000D2D0B"/>
    <w:pPr>
      <w:spacing w:before="120" w:after="120"/>
      <w:ind w:left="1417"/>
      <w:jc w:val="both"/>
    </w:pPr>
    <w:rPr>
      <w:rFonts w:ascii="Times New Roman" w:hAnsi="Times New Roman"/>
      <w:sz w:val="24"/>
      <w:lang w:eastAsia="en-US"/>
    </w:rPr>
  </w:style>
  <w:style w:type="paragraph" w:customStyle="1" w:styleId="Point0">
    <w:name w:val="Point 0"/>
    <w:basedOn w:val="Standa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Standa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ard"/>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Standaard"/>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Standaard"/>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Standaard"/>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ard"/>
    <w:next w:val="Standa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ard"/>
    <w:next w:val="Kop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ard"/>
    <w:next w:val="Standa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ard"/>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Standaard"/>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Standaard"/>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Standaard"/>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Standaard"/>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Standaard"/>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Standaard"/>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Standaard"/>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Standaard"/>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Standaard"/>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Standaard"/>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Standaard"/>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Standaard"/>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Standaard"/>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ard"/>
    <w:next w:val="Standa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ard"/>
    <w:next w:val="Standa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ard"/>
    <w:next w:val="Standaard"/>
    <w:rsid w:val="000D2D0B"/>
    <w:pPr>
      <w:spacing w:after="240"/>
    </w:pPr>
    <w:rPr>
      <w:rFonts w:ascii="Times New Roman" w:hAnsi="Times New Roman"/>
      <w:sz w:val="24"/>
      <w:lang w:eastAsia="en-US"/>
    </w:rPr>
  </w:style>
  <w:style w:type="paragraph" w:customStyle="1" w:styleId="Datedadoption">
    <w:name w:val="Date d'adoption"/>
    <w:basedOn w:val="Standa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ard"/>
    <w:next w:val="Standaard"/>
    <w:rsid w:val="000D2D0B"/>
    <w:pPr>
      <w:keepNext/>
      <w:spacing w:before="600" w:after="120"/>
      <w:jc w:val="both"/>
    </w:pPr>
    <w:rPr>
      <w:rFonts w:ascii="Times New Roman" w:hAnsi="Times New Roman"/>
      <w:sz w:val="24"/>
      <w:lang w:eastAsia="en-US"/>
    </w:rPr>
  </w:style>
  <w:style w:type="paragraph" w:customStyle="1" w:styleId="Langue">
    <w:name w:val="Langue"/>
    <w:basedOn w:val="Standa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ard"/>
    <w:next w:val="Emission"/>
    <w:rsid w:val="000D2D0B"/>
    <w:rPr>
      <w:rFonts w:ascii="Arial" w:hAnsi="Arial" w:cs="Arial"/>
      <w:sz w:val="24"/>
      <w:lang w:eastAsia="en-US"/>
    </w:rPr>
  </w:style>
  <w:style w:type="paragraph" w:customStyle="1" w:styleId="Rfrenceinstitutionnelle">
    <w:name w:val="Référence institutionnelle"/>
    <w:basedOn w:val="Standa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ard"/>
    <w:next w:val="Statut"/>
    <w:rsid w:val="000D2D0B"/>
    <w:pPr>
      <w:ind w:left="5103"/>
    </w:pPr>
    <w:rPr>
      <w:rFonts w:ascii="Times New Roman" w:hAnsi="Times New Roman"/>
      <w:sz w:val="24"/>
      <w:lang w:eastAsia="en-US"/>
    </w:rPr>
  </w:style>
  <w:style w:type="paragraph" w:customStyle="1" w:styleId="Rfrenceinterne">
    <w:name w:val="Référence interne"/>
    <w:basedOn w:val="Standa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ard"/>
    <w:rsid w:val="000D2D0B"/>
    <w:pPr>
      <w:jc w:val="center"/>
    </w:pPr>
    <w:rPr>
      <w:rFonts w:ascii="Times New Roman" w:hAnsi="Times New Roman"/>
      <w:b/>
      <w:sz w:val="24"/>
      <w:lang w:eastAsia="en-US"/>
    </w:rPr>
  </w:style>
  <w:style w:type="paragraph" w:customStyle="1" w:styleId="Statut">
    <w:name w:val="Statut"/>
    <w:basedOn w:val="Standa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ard"/>
    <w:next w:val="Standa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ard"/>
    <w:next w:val="Standa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ard"/>
    <w:next w:val="Standaard"/>
    <w:rsid w:val="000D2D0B"/>
    <w:pPr>
      <w:spacing w:before="120" w:after="120"/>
      <w:jc w:val="both"/>
    </w:pPr>
    <w:rPr>
      <w:rFonts w:ascii="Times New Roman" w:hAnsi="Times New Roman"/>
      <w:sz w:val="24"/>
      <w:lang w:eastAsia="en-US"/>
    </w:rPr>
  </w:style>
  <w:style w:type="paragraph" w:customStyle="1" w:styleId="Supertitre">
    <w:name w:val="Supertitre"/>
    <w:basedOn w:val="Standaard"/>
    <w:next w:val="Standa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ard"/>
    <w:next w:val="Standaard"/>
    <w:rsid w:val="000D2D0B"/>
    <w:pPr>
      <w:spacing w:before="360"/>
      <w:jc w:val="center"/>
    </w:pPr>
    <w:rPr>
      <w:rFonts w:ascii="Times New Roman" w:hAnsi="Times New Roman"/>
      <w:sz w:val="24"/>
      <w:lang w:eastAsia="en-US"/>
    </w:rPr>
  </w:style>
  <w:style w:type="paragraph" w:customStyle="1" w:styleId="Rfrencecroise">
    <w:name w:val="Référence croisée"/>
    <w:basedOn w:val="Standaard"/>
    <w:rsid w:val="000D2D0B"/>
    <w:pPr>
      <w:jc w:val="center"/>
    </w:pPr>
    <w:rPr>
      <w:rFonts w:ascii="Times New Roman" w:hAnsi="Times New Roman"/>
      <w:sz w:val="24"/>
      <w:lang w:eastAsia="en-US"/>
    </w:rPr>
  </w:style>
  <w:style w:type="paragraph" w:customStyle="1" w:styleId="Fichefinanciretitre">
    <w:name w:val="Fiche financière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ard"/>
    <w:rsid w:val="000D2D0B"/>
    <w:pPr>
      <w:spacing w:after="240"/>
    </w:pPr>
  </w:style>
  <w:style w:type="paragraph" w:customStyle="1" w:styleId="Accompagnant">
    <w:name w:val="Accompagnant"/>
    <w:basedOn w:val="Standa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ard"/>
    <w:next w:val="Standaard"/>
    <w:rsid w:val="000D2D0B"/>
    <w:pPr>
      <w:spacing w:before="360"/>
      <w:jc w:val="center"/>
    </w:pPr>
    <w:rPr>
      <w:rFonts w:ascii="Times New Roman" w:hAnsi="Times New Roman"/>
      <w:sz w:val="24"/>
      <w:lang w:eastAsia="en-US"/>
    </w:rPr>
  </w:style>
  <w:style w:type="paragraph" w:styleId="Lijstnummering2">
    <w:name w:val="List Number 2"/>
    <w:basedOn w:val="Standaard"/>
    <w:rsid w:val="000D2D0B"/>
    <w:pPr>
      <w:tabs>
        <w:tab w:val="num" w:pos="643"/>
      </w:tabs>
      <w:spacing w:before="120" w:after="120"/>
      <w:ind w:left="643" w:hanging="360"/>
      <w:jc w:val="both"/>
    </w:pPr>
    <w:rPr>
      <w:rFonts w:ascii="Times New Roman" w:hAnsi="Times New Roman"/>
      <w:sz w:val="24"/>
      <w:lang w:eastAsia="en-US"/>
    </w:rPr>
  </w:style>
  <w:style w:type="paragraph" w:styleId="Lijstnummering3">
    <w:name w:val="List Number 3"/>
    <w:basedOn w:val="Standaard"/>
    <w:rsid w:val="000D2D0B"/>
    <w:pPr>
      <w:tabs>
        <w:tab w:val="num" w:pos="926"/>
      </w:tabs>
      <w:spacing w:before="120" w:after="120"/>
      <w:ind w:left="926" w:hanging="360"/>
      <w:jc w:val="both"/>
    </w:pPr>
    <w:rPr>
      <w:rFonts w:ascii="Times New Roman" w:hAnsi="Times New Roman"/>
      <w:sz w:val="24"/>
      <w:lang w:eastAsia="en-US"/>
    </w:rPr>
  </w:style>
  <w:style w:type="paragraph" w:styleId="Lijstnummering4">
    <w:name w:val="List Number 4"/>
    <w:basedOn w:val="Standa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jstopsomteken">
    <w:name w:val="List Bullet"/>
    <w:basedOn w:val="Standaard"/>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jstopsomteken2">
    <w:name w:val="List Bullet 2"/>
    <w:basedOn w:val="Standa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jstopsomteken3">
    <w:name w:val="List Bullet 3"/>
    <w:basedOn w:val="Standaard"/>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jstopsomteken4">
    <w:name w:val="List Bullet 4"/>
    <w:basedOn w:val="Standaard"/>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Lijstmetafbeeldingen">
    <w:name w:val="table of figures"/>
    <w:basedOn w:val="Standaard"/>
    <w:next w:val="Standa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ard"/>
    <w:rsid w:val="000D2D0B"/>
    <w:pPr>
      <w:ind w:left="720"/>
      <w:contextualSpacing/>
    </w:pPr>
    <w:rPr>
      <w:rFonts w:ascii="Cambria" w:hAnsi="Cambria"/>
      <w:sz w:val="24"/>
      <w:lang w:val="en-US" w:eastAsia="en-US"/>
    </w:rPr>
  </w:style>
  <w:style w:type="paragraph" w:customStyle="1" w:styleId="Listeavsnitt1">
    <w:name w:val="Listeavsnitt1"/>
    <w:basedOn w:val="Standa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Kop1"/>
    <w:next w:val="Standa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ard"/>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ard"/>
    <w:next w:val="Standaard"/>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ar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e"/>
    <w:uiPriority w:val="99"/>
    <w:semiHidden/>
    <w:locked/>
    <w:rsid w:val="000D2D0B"/>
    <w:rPr>
      <w:rFonts w:ascii="Georgia" w:hAnsi="Georgia"/>
      <w:sz w:val="22"/>
      <w:szCs w:val="24"/>
      <w:lang w:eastAsia="de-DE"/>
    </w:rPr>
  </w:style>
  <w:style w:type="table" w:customStyle="1" w:styleId="TableGrid2">
    <w:name w:val="Table Grid2"/>
    <w:basedOn w:val="Standaardtabel"/>
    <w:next w:val="Tabel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aliases w:val="Question"/>
    <w:uiPriority w:val="19"/>
    <w:qFormat/>
    <w:rsid w:val="003A6E9A"/>
    <w:rPr>
      <w:b/>
      <w:i w:val="0"/>
      <w:iCs/>
      <w:sz w:val="20"/>
    </w:rPr>
  </w:style>
  <w:style w:type="paragraph" w:customStyle="1" w:styleId="NEW-Paragraph-Level1">
    <w:name w:val="NEW-Paragraph-Level1"/>
    <w:basedOn w:val="Standa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ard"/>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ard"/>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Standaard"/>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Standa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ard"/>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0405753">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sma.europa.eu/consultation/Consultation-Paper-Draft-technical-standards-Market-Abuse-Regulation-MAR"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ec.europa.eu/consumers/consumer_evidence/consumer_scoreboards/10_edition/index_en.ht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sma.europa.eu" TargetMode="Externa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128E631859144A8B774ACA138C88107"/>
        <w:category>
          <w:name w:val="General"/>
          <w:gallery w:val="placeholder"/>
        </w:category>
        <w:types>
          <w:type w:val="bbPlcHdr"/>
        </w:types>
        <w:behaviors>
          <w:behavior w:val="content"/>
        </w:behaviors>
        <w:guid w:val="{7C1C9E0B-C839-4987-87CF-4800F69CEEA2}"/>
      </w:docPartPr>
      <w:docPartBody>
        <w:p w:rsidR="00B920E8" w:rsidRDefault="00211EA8" w:rsidP="00211EA8">
          <w:pPr>
            <w:pStyle w:val="6128E631859144A8B774ACA138C88107"/>
          </w:pPr>
          <w:r w:rsidRPr="000E3791">
            <w:rPr>
              <w:rStyle w:val="Platzhaltertext"/>
            </w:rPr>
            <w:t>Choose an item.</w:t>
          </w:r>
        </w:p>
      </w:docPartBody>
    </w:docPart>
    <w:docPart>
      <w:docPartPr>
        <w:name w:val="FC2190542B92485096F7FC0D27709BC6"/>
        <w:category>
          <w:name w:val="General"/>
          <w:gallery w:val="placeholder"/>
        </w:category>
        <w:types>
          <w:type w:val="bbPlcHdr"/>
        </w:types>
        <w:behaviors>
          <w:behavior w:val="content"/>
        </w:behaviors>
        <w:guid w:val="{9EF287E9-87F4-4B64-9D3D-4FE25A3E74B6}"/>
      </w:docPartPr>
      <w:docPartBody>
        <w:p w:rsidR="00B920E8" w:rsidRDefault="00211EA8" w:rsidP="00211EA8">
          <w:pPr>
            <w:pStyle w:val="FC2190542B92485096F7FC0D27709BC6"/>
          </w:pPr>
          <w:r w:rsidRPr="000E3791">
            <w:rPr>
              <w:rStyle w:val="Platzhaltertext"/>
            </w:rPr>
            <w:t>Choose an item.</w:t>
          </w:r>
        </w:p>
      </w:docPartBody>
    </w:docPart>
    <w:docPart>
      <w:docPartPr>
        <w:name w:val="4E8AEA97C42B4F2684FB1FBEA9C94252"/>
        <w:category>
          <w:name w:val="General"/>
          <w:gallery w:val="placeholder"/>
        </w:category>
        <w:types>
          <w:type w:val="bbPlcHdr"/>
        </w:types>
        <w:behaviors>
          <w:behavior w:val="content"/>
        </w:behaviors>
        <w:guid w:val="{ACD6C047-6D02-4E34-AE54-4D3DFD8F9F2A}"/>
      </w:docPartPr>
      <w:docPartBody>
        <w:p w:rsidR="00B920E8" w:rsidRDefault="00211EA8" w:rsidP="00211EA8">
          <w:pPr>
            <w:pStyle w:val="4E8AEA97C42B4F2684FB1FBEA9C94252"/>
          </w:pPr>
          <w:r w:rsidRPr="000E3791">
            <w:rPr>
              <w:rStyle w:val="Platzhalt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 w:name="Georgia,Bold">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hyphenationZone w:val="425"/>
  <w:characterSpacingControl w:val="doNotCompress"/>
  <w:compat>
    <w:useFELayout/>
  </w:compat>
  <w:rsids>
    <w:rsidRoot w:val="00211EA8"/>
    <w:rsid w:val="000E41F1"/>
    <w:rsid w:val="00211EA8"/>
    <w:rsid w:val="002B28D5"/>
    <w:rsid w:val="00337CC1"/>
    <w:rsid w:val="00441DF9"/>
    <w:rsid w:val="00446A9B"/>
    <w:rsid w:val="005A353A"/>
    <w:rsid w:val="009B02FC"/>
    <w:rsid w:val="00A573F5"/>
    <w:rsid w:val="00B73894"/>
    <w:rsid w:val="00B920E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1DF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ADC62-ACA2-4CF4-90AA-83475F60C2E6}">
  <ds:schemaRefs>
    <ds:schemaRef ds:uri="http://schemas.openxmlformats.org/officeDocument/2006/bibliography"/>
  </ds:schemaRefs>
</ds:datastoreItem>
</file>

<file path=customXml/itemProps2.xml><?xml version="1.0" encoding="utf-8"?>
<ds:datastoreItem xmlns:ds="http://schemas.openxmlformats.org/officeDocument/2006/customXml" ds:itemID="{2158A1A2-8A79-4418-9429-3B987F07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3241</Words>
  <Characters>20422</Characters>
  <Application>Microsoft Office Word</Application>
  <DocSecurity>8</DocSecurity>
  <Lines>170</Lines>
  <Paragraphs>47</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23616</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3866658</vt:i4>
      </vt:variant>
      <vt:variant>
        <vt:i4>0</vt:i4>
      </vt:variant>
      <vt:variant>
        <vt:i4>0</vt:i4>
      </vt:variant>
      <vt:variant>
        <vt:i4>5</vt:i4>
      </vt:variant>
      <vt:variant>
        <vt:lpwstr>http://www.esma.europa.eu/consultation/Consultation-Paper-Draft-technical-standards-Market-Abuse-Regulation-MAR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Christiane</cp:lastModifiedBy>
  <cp:revision>2</cp:revision>
  <cp:lastPrinted>2014-05-08T15:06:00Z</cp:lastPrinted>
  <dcterms:created xsi:type="dcterms:W3CDTF">2014-10-11T09:30:00Z</dcterms:created>
  <dcterms:modified xsi:type="dcterms:W3CDTF">2014-10-11T09:30:00Z</dcterms:modified>
</cp:coreProperties>
</file>