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436"/>
        <w:gridCol w:w="5966"/>
      </w:tblGrid>
      <w:tr w:rsidR="008627FF" w:rsidTr="008313E5">
        <w:tc>
          <w:tcPr>
            <w:tcW w:w="3510" w:type="dxa"/>
          </w:tcPr>
          <w:p w:rsidR="008627FF" w:rsidRDefault="008627FF" w:rsidP="008313E5">
            <w:r>
              <w:t>Are you representing an association?</w:t>
            </w:r>
          </w:p>
        </w:tc>
        <w:tc>
          <w:tcPr>
            <w:tcW w:w="6118" w:type="dxa"/>
          </w:tcPr>
          <w:p w:rsidR="008627FF" w:rsidRDefault="005F6F7B"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905709172" w:edGrp="everyone"/>
                <w:r w:rsidR="006C6A78">
                  <w:t>Yes</w:t>
                </w:r>
                <w:permEnd w:id="905709172"/>
              </w:sdtContent>
            </w:sdt>
          </w:p>
        </w:tc>
      </w:tr>
      <w:tr w:rsidR="008627FF" w:rsidTr="008313E5">
        <w:tc>
          <w:tcPr>
            <w:tcW w:w="3510" w:type="dxa"/>
          </w:tcPr>
          <w:p w:rsidR="008627FF" w:rsidRDefault="008627FF" w:rsidP="008313E5">
            <w:r>
              <w:t>Activity:</w:t>
            </w:r>
          </w:p>
        </w:tc>
        <w:tc>
          <w:tcPr>
            <w:tcW w:w="6118" w:type="dxa"/>
          </w:tcPr>
          <w:p w:rsidR="008627FF" w:rsidRDefault="005F6F7B"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54976318" w:edGrp="everyone"/>
                <w:r w:rsidR="006C6A78">
                  <w:t>Other Financial service providers</w:t>
                </w:r>
                <w:permEnd w:id="754976318"/>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705321844" w:edGrp="everyone" w:displacedByCustomXml="prev"/>
            <w:tc>
              <w:tcPr>
                <w:tcW w:w="6118" w:type="dxa"/>
              </w:tcPr>
              <w:p w:rsidR="008627FF" w:rsidRDefault="006C6A78" w:rsidP="008313E5">
                <w:r>
                  <w:t>Europe</w:t>
                </w:r>
              </w:p>
            </w:tc>
            <w:permEnd w:id="705321844"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6C6A78" w:rsidRDefault="006C6A78" w:rsidP="006C6A78">
      <w:pPr>
        <w:jc w:val="both"/>
      </w:pPr>
      <w:permStart w:id="2086604877" w:edGrp="everyone"/>
      <w:r>
        <w:t>FIA EPTA is an association of European principal traders formed in June 2011 under the auspices of the Futures Industry Association (FIA). FIA EPTA represents 25 principal trading firms that, on a combined basis, provide significant amounts of liquidity to European regulated markets and multilateral trading facilities (MTFs).</w:t>
      </w:r>
    </w:p>
    <w:p w:rsidR="006C6A78" w:rsidRDefault="006C6A78" w:rsidP="006C6A78">
      <w:pPr>
        <w:jc w:val="both"/>
      </w:pPr>
    </w:p>
    <w:p w:rsidR="006C6A78" w:rsidRDefault="006C6A78" w:rsidP="006C6A78">
      <w:pPr>
        <w:jc w:val="both"/>
      </w:pPr>
      <w:r>
        <w:t xml:space="preserve">FIA EPTA Members are generally the electronic versions of the floor-based jobbers, market makers or specialists in equity and/or derivatives markets. They are authorised under </w:t>
      </w:r>
      <w:proofErr w:type="spellStart"/>
      <w:r>
        <w:t>MiFID</w:t>
      </w:r>
      <w:proofErr w:type="spellEnd"/>
      <w:r>
        <w:t xml:space="preserve"> for undertaking the investment activity ‘dealing on own account’ or as “local” firms. Members exclusively trade their own capital and do not act as deposit takers in any form. They engage in manual, automated and hybrid methods of trading and are active in a variety of asset classes, such as equities, foreign exchange, commodities and fixed income. Members are a critical source of liquidity in the exchange-traded markets, allowing those who use the markets to manage their business risks to enter and exit the markets efficiently.</w:t>
      </w:r>
    </w:p>
    <w:permEnd w:id="2086604877"/>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1538993123" w:edGrp="everyone"/>
      <w:r>
        <w:t>TYPE YOUR TEXT HERE</w:t>
      </w:r>
    </w:p>
    <w:permEnd w:id="1538993123"/>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explain.</w:t>
      </w:r>
    </w:p>
    <w:p w:rsidR="00C8677B" w:rsidRDefault="00C8677B" w:rsidP="00C8677B">
      <w:r>
        <w:t>&lt;</w:t>
      </w:r>
      <w:r w:rsidR="00CB6CDD">
        <w:t>ESMA_QUESTION_MAR_TS_</w:t>
      </w:r>
      <w:r>
        <w:t>2&gt;</w:t>
      </w:r>
    </w:p>
    <w:p w:rsidR="00C8677B" w:rsidRDefault="00C8677B" w:rsidP="00C8677B">
      <w:permStart w:id="790911736" w:edGrp="everyone"/>
      <w:r>
        <w:t>TYPE YOUR TEXT HERE</w:t>
      </w:r>
    </w:p>
    <w:permEnd w:id="790911736"/>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788481926" w:edGrp="everyone"/>
      <w:r>
        <w:t>TYPE YOUR TEXT HERE</w:t>
      </w:r>
    </w:p>
    <w:permEnd w:id="788481926"/>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314260453" w:edGrp="everyone"/>
      <w:r>
        <w:t>TYPE YOUR TEXT HERE</w:t>
      </w:r>
    </w:p>
    <w:permEnd w:id="314260453"/>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1975798324" w:edGrp="everyone"/>
      <w:r>
        <w:t>TYPE YOUR TEXT HERE</w:t>
      </w:r>
    </w:p>
    <w:permEnd w:id="1975798324"/>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investor?</w:t>
      </w:r>
    </w:p>
    <w:p w:rsidR="00C8677B" w:rsidRDefault="00C8677B" w:rsidP="00C8677B">
      <w:r>
        <w:t>&lt;</w:t>
      </w:r>
      <w:r w:rsidR="00CB6CDD">
        <w:t>ESMA_QUESTION_MAR_TS_</w:t>
      </w:r>
      <w:r>
        <w:t>6&gt;</w:t>
      </w:r>
    </w:p>
    <w:p w:rsidR="00C8677B" w:rsidRDefault="00C8677B" w:rsidP="00C8677B">
      <w:permStart w:id="2127642420" w:edGrp="everyone"/>
      <w:r>
        <w:t>TYPE YOUR TEXT HERE</w:t>
      </w:r>
    </w:p>
    <w:permEnd w:id="2127642420"/>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2042655063" w:edGrp="everyone"/>
      <w:r>
        <w:t>TYPE YOUR TEXT HERE</w:t>
      </w:r>
    </w:p>
    <w:permEnd w:id="2042655063"/>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256249486" w:edGrp="everyone"/>
      <w:r>
        <w:t>TYPE YOUR TEXT HERE</w:t>
      </w:r>
    </w:p>
    <w:permEnd w:id="256249486"/>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91B50" w:rsidRPr="00C91B50" w:rsidRDefault="00C91B50" w:rsidP="00C91B50">
      <w:pPr>
        <w:jc w:val="both"/>
      </w:pPr>
      <w:permStart w:id="1565926100" w:edGrp="everyone"/>
      <w:r w:rsidRPr="00C91B50">
        <w:t>FIA EPTA agree</w:t>
      </w:r>
      <w:r w:rsidR="002F0544">
        <w:t>s</w:t>
      </w:r>
      <w:r w:rsidRPr="00C91B50">
        <w:t xml:space="preserve"> with ESMA’s approach to include practices performed outside a trading venue given the equal footing afforded to it through the extended scope of the Market Abuse Regulation (MAR) (Articles 2(3) MAR). We agree with ESMA’s analysis that the application of Accepted Market Practices (“AMPs”) to the OTC market, while in line with the scope of MAR, would require a careful examination of the criteria for establishing an AMP that is set out in Article 13(2) MAR. However, we would foresee some difficulties in applying this criterion to the OTC market due to its specificity and structure.</w:t>
      </w:r>
    </w:p>
    <w:permEnd w:id="1565926100"/>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91B50" w:rsidRPr="00C91B50" w:rsidRDefault="00C91B50" w:rsidP="00C91B50">
      <w:pPr>
        <w:jc w:val="both"/>
      </w:pPr>
      <w:permStart w:id="1087596782" w:edGrp="everyone"/>
      <w:r w:rsidRPr="00C91B50">
        <w:t>FIA EPTA do</w:t>
      </w:r>
      <w:r w:rsidR="002F0544">
        <w:t>es</w:t>
      </w:r>
      <w:r w:rsidRPr="00C91B50">
        <w:t xml:space="preserve"> not believe the status of supervised person of the person performing the AMP is an essential criterion as, while not highly objectionable, </w:t>
      </w:r>
      <w:r w:rsidR="00291484">
        <w:t xml:space="preserve">it </w:t>
      </w:r>
      <w:r w:rsidRPr="00C91B50">
        <w:t>seems to be inconsistent with the Level 1 text and does not necessarily contribute to enhanced market integrity.</w:t>
      </w:r>
    </w:p>
    <w:p w:rsidR="00C91B50" w:rsidRPr="00C91B50" w:rsidRDefault="00C91B50" w:rsidP="00C91B50">
      <w:pPr>
        <w:jc w:val="both"/>
      </w:pPr>
    </w:p>
    <w:p w:rsidR="00C91B50" w:rsidRPr="00C91B50" w:rsidRDefault="00C91B50" w:rsidP="00C91B50">
      <w:pPr>
        <w:jc w:val="both"/>
      </w:pPr>
      <w:r w:rsidRPr="00C91B50">
        <w:t>As indicated by ESMA in the Consultation Paper (par. 124), there is no explicit legal base in the MAR Level 1 text to make a distinction between supervised and unsupervised firms; Article 13(1) of MAR states that a person entering into a transaction for (a) a legitimate reason and (b) in conformity with an AMP is shielded from the prohibition on market manipulation laid down in Article 15 of MAR. A ‘person’ is defined in Article 3(1</w:t>
      </w:r>
      <w:proofErr w:type="gramStart"/>
      <w:r w:rsidRPr="00C91B50">
        <w:t>)(</w:t>
      </w:r>
      <w:proofErr w:type="gramEnd"/>
      <w:r w:rsidRPr="00C91B50">
        <w:t xml:space="preserve">13) of MAR as any natural or legal person. The MAR Level 1 text does not deem it relevant whether a person is supervised or not to be able to perform an AMP in conformity with Article 13(1) of MAR and does not provide for such a distinction. </w:t>
      </w:r>
    </w:p>
    <w:p w:rsidR="00C91B50" w:rsidRPr="00C91B50" w:rsidRDefault="00C91B50" w:rsidP="00C91B50">
      <w:pPr>
        <w:jc w:val="both"/>
      </w:pPr>
    </w:p>
    <w:p w:rsidR="00C91B50" w:rsidRPr="00C91B50" w:rsidRDefault="00C91B50" w:rsidP="00C91B50">
      <w:pPr>
        <w:jc w:val="both"/>
      </w:pPr>
      <w:r w:rsidRPr="00C91B50">
        <w:t>FIA EPTA’s concern is that firms acting a</w:t>
      </w:r>
      <w:r w:rsidR="007F01DF">
        <w:t>s</w:t>
      </w:r>
      <w:r w:rsidRPr="00C91B50">
        <w:t xml:space="preserve"> proprietary trader</w:t>
      </w:r>
      <w:r w:rsidR="007F01DF">
        <w:t>s</w:t>
      </w:r>
      <w:r w:rsidRPr="00C91B50">
        <w:t xml:space="preserve"> do not fall within the scope of </w:t>
      </w:r>
      <w:proofErr w:type="spellStart"/>
      <w:r w:rsidRPr="00C91B50">
        <w:t>MiFID</w:t>
      </w:r>
      <w:proofErr w:type="spellEnd"/>
      <w:r w:rsidRPr="00C91B50">
        <w:t xml:space="preserve"> I and thus may not fall within the definition of ‘supervised persons’ suggested by ESMA with the consequence that they may not perform AMPs. These firms, despite the fact that they are not as heavily regulated as investment firms under </w:t>
      </w:r>
      <w:proofErr w:type="spellStart"/>
      <w:r w:rsidRPr="00C91B50">
        <w:t>MiFID</w:t>
      </w:r>
      <w:proofErr w:type="spellEnd"/>
      <w:r w:rsidRPr="00C91B50">
        <w:t xml:space="preserve"> I, have nevertheless successfully performed AMPs in line with the Market Abuse Directive</w:t>
      </w:r>
      <w:r w:rsidRPr="00C91B50">
        <w:rPr>
          <w:vertAlign w:val="superscript"/>
        </w:rPr>
        <w:footnoteReference w:id="2"/>
      </w:r>
      <w:r w:rsidRPr="00C91B50">
        <w:t xml:space="preserve"> (MAD I) and have had to comply with this legislation as thoroughly as their regulated counterparts. While we appreciate that under </w:t>
      </w:r>
      <w:proofErr w:type="spellStart"/>
      <w:r w:rsidRPr="00C91B50">
        <w:t>MiFID</w:t>
      </w:r>
      <w:proofErr w:type="spellEnd"/>
      <w:r w:rsidRPr="00C91B50">
        <w:t xml:space="preserve"> II, the scope of authorisation requirements for investment firms will expand significantly, such that many more firms will be subject to supervision than under the current regime, there will still be at least a one year gap between the effective implementation date of MAR (July 2016) and </w:t>
      </w:r>
      <w:proofErr w:type="spellStart"/>
      <w:r w:rsidRPr="00C91B50">
        <w:t>MiFID</w:t>
      </w:r>
      <w:proofErr w:type="spellEnd"/>
      <w:r w:rsidRPr="00C91B50">
        <w:t xml:space="preserve"> II (January 2017) during which period this criterion may undermine the level playing field. Moreover FIA EPTA do</w:t>
      </w:r>
      <w:r w:rsidR="002F0544">
        <w:t>es</w:t>
      </w:r>
      <w:r w:rsidRPr="00C91B50">
        <w:t xml:space="preserve"> not believe that requiring persons performing AMPs to be supervised would significantly contribute to enhanced market integrity.</w:t>
      </w:r>
    </w:p>
    <w:p w:rsidR="00C91B50" w:rsidRPr="00C91B50" w:rsidRDefault="00C91B50" w:rsidP="00C91B50">
      <w:pPr>
        <w:jc w:val="both"/>
      </w:pPr>
    </w:p>
    <w:p w:rsidR="00C91B50" w:rsidRDefault="00C91B50" w:rsidP="00C91B50">
      <w:pPr>
        <w:jc w:val="both"/>
      </w:pPr>
      <w:r w:rsidRPr="00C91B50">
        <w:t>In addition, ESMA has indicated that NCAs should be able to require that only persons who are members of a trading venue may perform AMPs. FIA EPTA disagree</w:t>
      </w:r>
      <w:r w:rsidR="002F0544">
        <w:t>s</w:t>
      </w:r>
      <w:r w:rsidRPr="00C91B50">
        <w:t xml:space="preserve"> with ESMA on this approach, again because the MAR Level 1 text does not provide a legal basis, but also because the possibility for NCAs to require market membership may lead to an uneven level playing field to the extent obtaining market membership on a remote basis as required under </w:t>
      </w:r>
      <w:proofErr w:type="spellStart"/>
      <w:r w:rsidRPr="00C91B50">
        <w:t>MiFID</w:t>
      </w:r>
      <w:proofErr w:type="spellEnd"/>
      <w:r w:rsidRPr="00C91B50">
        <w:t xml:space="preserve"> is still not possible on all markets within the EU (as is currently the case, for example, in Spain).</w:t>
      </w:r>
    </w:p>
    <w:p w:rsidR="00787B29" w:rsidRDefault="00787B29" w:rsidP="00C91B50">
      <w:pPr>
        <w:jc w:val="both"/>
      </w:pPr>
    </w:p>
    <w:p w:rsidR="00787B29" w:rsidRPr="00C91B50" w:rsidRDefault="00787B29" w:rsidP="00C91B50">
      <w:pPr>
        <w:jc w:val="both"/>
      </w:pPr>
    </w:p>
    <w:p w:rsidR="00C91B50" w:rsidRPr="00C91B50" w:rsidRDefault="00C91B50" w:rsidP="00C91B50">
      <w:pPr>
        <w:jc w:val="both"/>
      </w:pPr>
    </w:p>
    <w:p w:rsidR="00C91B50" w:rsidRPr="00CB10F3" w:rsidRDefault="00C91B50" w:rsidP="00CB10F3">
      <w:pPr>
        <w:jc w:val="both"/>
      </w:pPr>
      <w:r w:rsidRPr="00CB10F3">
        <w:lastRenderedPageBreak/>
        <w:t>In the event ESMA feels it is essential to limit the performance of AMP only to supervised entities, FIA EPTA ask</w:t>
      </w:r>
      <w:r w:rsidR="002F0544">
        <w:t>s</w:t>
      </w:r>
      <w:r w:rsidRPr="00CB10F3">
        <w:t xml:space="preserve"> ESMA to clarify the definition of ‘supervised persons’ contained in Article 2(l) of the draft RTS as follows by inserting the words marked in </w:t>
      </w:r>
      <w:r w:rsidR="00CB10F3" w:rsidRPr="00CB10F3">
        <w:rPr>
          <w:color w:val="FF0000"/>
        </w:rPr>
        <w:t>RED</w:t>
      </w:r>
      <w:r w:rsidRPr="00CB10F3">
        <w:t>.</w:t>
      </w:r>
    </w:p>
    <w:p w:rsidR="00C91B50" w:rsidRPr="00C91B50" w:rsidRDefault="00C91B50" w:rsidP="00C91B50">
      <w:pPr>
        <w:jc w:val="both"/>
      </w:pPr>
    </w:p>
    <w:p w:rsidR="00C91B50" w:rsidRPr="00C91B50" w:rsidRDefault="00C91B50" w:rsidP="00C91B50">
      <w:pPr>
        <w:jc w:val="center"/>
        <w:rPr>
          <w:i/>
        </w:rPr>
      </w:pPr>
      <w:r w:rsidRPr="00C91B50">
        <w:rPr>
          <w:i/>
        </w:rPr>
        <w:t>Article 2</w:t>
      </w:r>
    </w:p>
    <w:p w:rsidR="00C91B50" w:rsidRPr="00C91B50" w:rsidRDefault="00C91B50" w:rsidP="00C91B50">
      <w:pPr>
        <w:jc w:val="center"/>
        <w:rPr>
          <w:i/>
        </w:rPr>
      </w:pPr>
      <w:r w:rsidRPr="00C91B50">
        <w:rPr>
          <w:i/>
        </w:rPr>
        <w:t>Definitions</w:t>
      </w:r>
    </w:p>
    <w:p w:rsidR="00C91B50" w:rsidRPr="00C91B50" w:rsidRDefault="00C91B50" w:rsidP="001E559E">
      <w:pPr>
        <w:jc w:val="both"/>
      </w:pPr>
      <w:r w:rsidRPr="00C91B50">
        <w:cr/>
        <w:t>l) “supervised persons” means persons who are subject to supervisory duties from regulators</w:t>
      </w:r>
      <w:r w:rsidRPr="00C91B50">
        <w:rPr>
          <w:color w:val="FF0000"/>
        </w:rPr>
        <w:t>, including entities registered under local regulatory regimes</w:t>
      </w:r>
      <w:r w:rsidRPr="00C91B50">
        <w:t xml:space="preserve">, authorised persons under </w:t>
      </w:r>
      <w:proofErr w:type="spellStart"/>
      <w:r w:rsidRPr="00C91B50">
        <w:t>MiFID</w:t>
      </w:r>
      <w:proofErr w:type="spellEnd"/>
      <w:r w:rsidRPr="00C91B50">
        <w:t>, or persons subject to prudential supervision in a Member State;</w:t>
      </w:r>
      <w:r w:rsidRPr="00C91B50">
        <w:cr/>
      </w:r>
    </w:p>
    <w:permEnd w:id="1087596782"/>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derivatives</w:t>
      </w:r>
      <w:r>
        <w:t>?</w:t>
      </w:r>
    </w:p>
    <w:p w:rsidR="00C8677B" w:rsidRDefault="00C8677B" w:rsidP="00C8677B">
      <w:r>
        <w:t>&lt;</w:t>
      </w:r>
      <w:r w:rsidR="00CB6CDD">
        <w:t>ESMA_QUESTION_MAR_TS_</w:t>
      </w:r>
      <w:r>
        <w:t>11&gt;</w:t>
      </w:r>
    </w:p>
    <w:p w:rsidR="00C91B50" w:rsidRPr="00C91B50" w:rsidRDefault="00C91B50" w:rsidP="00C91B50">
      <w:pPr>
        <w:jc w:val="both"/>
      </w:pPr>
      <w:permStart w:id="1808994817" w:edGrp="everyone"/>
      <w:r w:rsidRPr="00C91B50">
        <w:t>FIA EPTA agree</w:t>
      </w:r>
      <w:r w:rsidR="002F0544">
        <w:t>s</w:t>
      </w:r>
      <w:r w:rsidRPr="00C91B50">
        <w:t xml:space="preserve"> with ESMA’s analysis that the reporting of suspicious orders and transactions pursuant to Article 16(2) of MAR covers also orders and transactions done in the OTC market.</w:t>
      </w:r>
    </w:p>
    <w:permEnd w:id="1808994817"/>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91B50" w:rsidRPr="00C91B50" w:rsidRDefault="00C91B50" w:rsidP="00C91B50">
      <w:pPr>
        <w:jc w:val="both"/>
      </w:pPr>
      <w:permStart w:id="1044925689" w:edGrp="everyone"/>
      <w:r w:rsidRPr="00C91B50">
        <w:t>FIA EPTA agree</w:t>
      </w:r>
      <w:r w:rsidR="002F0544">
        <w:t>s</w:t>
      </w:r>
      <w:r w:rsidRPr="00C91B50">
        <w:t xml:space="preserve"> with ESMA’s approach that any obligation to report suspicious orders and transactions ‘without delay’ pursuant to Article 16(2) of MAR should only be triggered once the reporting entity has a ‘reasonable suspicion’ that the order or transaction is contrary to MAR. </w:t>
      </w:r>
    </w:p>
    <w:p w:rsidR="00C91B50" w:rsidRPr="00C91B50" w:rsidRDefault="00C91B50" w:rsidP="00C91B50">
      <w:pPr>
        <w:jc w:val="both"/>
      </w:pPr>
    </w:p>
    <w:p w:rsidR="00C91B50" w:rsidRPr="00C91B50" w:rsidRDefault="00C91B50" w:rsidP="00C91B50">
      <w:pPr>
        <w:jc w:val="both"/>
      </w:pPr>
      <w:r w:rsidRPr="00C91B50">
        <w:t>FIA EPTA agree</w:t>
      </w:r>
      <w:r w:rsidR="002F0544">
        <w:t>s</w:t>
      </w:r>
      <w:r w:rsidRPr="00C91B50">
        <w:t xml:space="preserve"> with ESMA’s approach that, in the event the reporting of a suspicious order or transaction exceeds two weeks beyond the point at which the entity has ‘reasonable suspicion’, the entity should nevertheless be able to provide evidence as to why the extended delay was necessary.</w:t>
      </w:r>
    </w:p>
    <w:permEnd w:id="1044925689"/>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91B50" w:rsidRDefault="00C91B50" w:rsidP="00C91B50">
      <w:pPr>
        <w:jc w:val="both"/>
      </w:pPr>
      <w:permStart w:id="1570967758" w:edGrp="everyone"/>
      <w:r>
        <w:t>FIA EPTA support</w:t>
      </w:r>
      <w:r w:rsidR="002F0544">
        <w:t>s</w:t>
      </w:r>
      <w:r>
        <w:t xml:space="preserve"> ESMA’s approach on automated surveillance being a best practice approach to detecting suspicious orders and transactions. However, we would like to caution that automation itself should not be considered a determining factor of effectiveness. A poorly calibrated automated system can be less effective than a well calibrated manual approach giving a greater role to human monitoring. Therefore, we welcome ESMA’s view that an ideal system of surveillance should combine automated systems with human monitoring and should depend on the scope, size and activities of a firm.</w:t>
      </w:r>
    </w:p>
    <w:p w:rsidR="00C91B50" w:rsidRDefault="00C91B50" w:rsidP="00C91B50">
      <w:pPr>
        <w:jc w:val="both"/>
      </w:pPr>
    </w:p>
    <w:p w:rsidR="00C91B50" w:rsidRDefault="00C91B50" w:rsidP="00C91B50">
      <w:pPr>
        <w:jc w:val="both"/>
      </w:pPr>
      <w:r>
        <w:t>With regard to off-the-shelf automated systems, FIA EPTA</w:t>
      </w:r>
      <w:r w:rsidR="002F0544">
        <w:t xml:space="preserve"> wishes to emphasise</w:t>
      </w:r>
      <w:r>
        <w:t xml:space="preserve"> that most of the existing off-the-shelf systems are equity focused and do not offer an efficient solution for the monitoring of non-equity products. Therefore, most existing off-the-shelf systems are not suited to a firm trading in multiple asset-classes.</w:t>
      </w:r>
    </w:p>
    <w:permEnd w:id="1570967758"/>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91B50" w:rsidRPr="00C91B50" w:rsidRDefault="00C91B50" w:rsidP="00C91B50">
      <w:pPr>
        <w:jc w:val="both"/>
      </w:pPr>
      <w:permStart w:id="851475752" w:edGrp="everyone"/>
      <w:r w:rsidRPr="00C91B50">
        <w:t>FIA EPTA believe</w:t>
      </w:r>
      <w:r w:rsidR="002F0544">
        <w:t>s</w:t>
      </w:r>
      <w:r w:rsidRPr="00C91B50">
        <w:t xml:space="preserve"> that the process for submission of STORs should enable firms to make timely and clear submissions. In particular, given the requirement to submit STORs without delay once the entity has ‘reasonable suspicion’, the form to be used should be as concise as possible, and firms should not be expected nor required to complete every field where these may not be applicable or where completion may unduly delay submission of the report.</w:t>
      </w:r>
      <w:bookmarkStart w:id="4" w:name="_GoBack"/>
      <w:bookmarkEnd w:id="4"/>
    </w:p>
    <w:p w:rsidR="00C91B50" w:rsidRPr="00C91B50" w:rsidRDefault="00C91B50" w:rsidP="00C91B50">
      <w:pPr>
        <w:jc w:val="both"/>
      </w:pPr>
    </w:p>
    <w:p w:rsidR="00C91B50" w:rsidRPr="00C91B50" w:rsidRDefault="00C91B50" w:rsidP="00C91B50">
      <w:pPr>
        <w:jc w:val="both"/>
      </w:pPr>
      <w:r w:rsidRPr="00C91B50">
        <w:t>Furthermore, FIA EPTA believe</w:t>
      </w:r>
      <w:r w:rsidR="002F0544">
        <w:t>s</w:t>
      </w:r>
      <w:r w:rsidRPr="00C91B50">
        <w:t xml:space="preserve"> that the prescribed provision of commercially sensitive or personal data in each and every STOR is not always necessary and gives rise to confidentiality concerns. We believe such information should not be included in STOR reports, but be formally requested by the relevant competent authority if after an initial investigation of the STOR report by the NCA there is a reasonable presumption that a violation of the Market Abuse Regulation has occurred. Therefore FIA EPTA suggest that the template contained in Annex I of the draft RTS on STOR (Annex VI of the Consultation Paper) should clarify that the information to be included in Section 3 is optional at the discretion of the reporting firm.</w:t>
      </w:r>
    </w:p>
    <w:permEnd w:id="851475752"/>
    <w:p w:rsidR="00C8677B" w:rsidRDefault="00C8677B" w:rsidP="00C8677B">
      <w:r>
        <w:lastRenderedPageBreak/>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91B50" w:rsidRPr="00C91B50" w:rsidRDefault="00C91B50" w:rsidP="00C91B50">
      <w:pPr>
        <w:jc w:val="both"/>
      </w:pPr>
      <w:permStart w:id="2079535767" w:edGrp="everyone"/>
      <w:r w:rsidRPr="00C91B50">
        <w:t>FIA EPTA welcome</w:t>
      </w:r>
      <w:r w:rsidR="002F0544">
        <w:t>s</w:t>
      </w:r>
      <w:r w:rsidRPr="00C91B50">
        <w:t xml:space="preserve"> ESMA’s view that one harmonized STOR template should be used throughout the EU. Furthermore, we agree that where possible the STOR form should be provided and submitted in electronic format and be subject to appropriate levels of security, as assured by the national competent authority</w:t>
      </w:r>
      <w:r w:rsidR="002F0544">
        <w:t xml:space="preserve"> to whom the STOR report has been submitted</w:t>
      </w:r>
      <w:r w:rsidRPr="00C91B50">
        <w:t>.</w:t>
      </w:r>
    </w:p>
    <w:permEnd w:id="2079535767"/>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91B50" w:rsidRPr="00C91B50" w:rsidRDefault="00C91B50" w:rsidP="00C91B50">
      <w:pPr>
        <w:jc w:val="both"/>
      </w:pPr>
      <w:permStart w:id="375349191" w:edGrp="everyone"/>
      <w:r w:rsidRPr="00C91B50">
        <w:t>FIA E</w:t>
      </w:r>
      <w:r w:rsidR="007F01DF">
        <w:t>PTA agree</w:t>
      </w:r>
      <w:r w:rsidR="002F0544">
        <w:t>s</w:t>
      </w:r>
      <w:r w:rsidR="007F01DF">
        <w:t xml:space="preserve"> with ESMA that record</w:t>
      </w:r>
      <w:r w:rsidRPr="00C91B50">
        <w:t xml:space="preserve">keeping requirements should apply in those instances where a firm has seriously considered making a STOR and has chosen not to do so. We therefore welcome ESMA’s clarification on the definition of ‘near misses’. </w:t>
      </w:r>
    </w:p>
    <w:p w:rsidR="00C91B50" w:rsidRPr="00C91B50" w:rsidRDefault="00C91B50" w:rsidP="00C91B50">
      <w:pPr>
        <w:jc w:val="both"/>
      </w:pPr>
    </w:p>
    <w:p w:rsidR="00FD4EA1" w:rsidRDefault="00C91B50" w:rsidP="00C91B50">
      <w:pPr>
        <w:jc w:val="both"/>
      </w:pPr>
      <w:r w:rsidRPr="00C91B50">
        <w:t xml:space="preserve">However, we request </w:t>
      </w:r>
      <w:r w:rsidR="007F01DF">
        <w:t>ESMA to clarify that the record</w:t>
      </w:r>
      <w:r w:rsidRPr="00C91B50">
        <w:t>keeping requirement should not be extended to every alert routinely generated by a surveillance system (exception reports). Some alerts generated by the surveillance system may, after a quick investigation, turn out to be a legitimate transaction.</w:t>
      </w:r>
      <w:r w:rsidR="00C54E74">
        <w:t xml:space="preserve"> </w:t>
      </w:r>
      <w:r w:rsidRPr="00C91B50">
        <w:t>FIA EPTA believe</w:t>
      </w:r>
      <w:r w:rsidR="007F01DF">
        <w:t>s</w:t>
      </w:r>
      <w:r w:rsidRPr="00C91B50">
        <w:t xml:space="preserve"> firms should not be required to store or share records relating to these transactions.</w:t>
      </w:r>
    </w:p>
    <w:p w:rsidR="0073469E" w:rsidRDefault="0073469E" w:rsidP="00C91B50">
      <w:pPr>
        <w:jc w:val="both"/>
      </w:pPr>
    </w:p>
    <w:p w:rsidR="0073469E" w:rsidRDefault="0073469E" w:rsidP="0073469E">
      <w:pPr>
        <w:jc w:val="both"/>
      </w:pPr>
      <w:r>
        <w:t>On a side note, FIA EPTA would like to alert ESMA to the fact that if firms are required to calibrate their automated surveillance systems to monitor the related indicators of market manipulation included in the draft Technical Advice to the European Commission</w:t>
      </w:r>
      <w:r>
        <w:rPr>
          <w:rStyle w:val="FootnoteReference"/>
        </w:rPr>
        <w:footnoteReference w:id="3"/>
      </w:r>
      <w:r>
        <w:t>, the number of ‘near misses’ and thus the recordkeeping requirement may increase exponentially. We have outlined this in our answer to Q1 of the Consultation Paper on Technical Advice.</w:t>
      </w:r>
    </w:p>
    <w:p w:rsidR="00C91B50" w:rsidRPr="00C91B50" w:rsidRDefault="00C91B50" w:rsidP="00C91B50">
      <w:pPr>
        <w:jc w:val="both"/>
      </w:pPr>
    </w:p>
    <w:p w:rsidR="00C91B50" w:rsidRDefault="00C91B50" w:rsidP="00C91B50">
      <w:pPr>
        <w:jc w:val="both"/>
      </w:pPr>
      <w:r w:rsidRPr="00C91B50">
        <w:t>FIA EPTA advocate</w:t>
      </w:r>
      <w:r w:rsidR="002F0544">
        <w:t>s</w:t>
      </w:r>
      <w:r w:rsidRPr="00C91B50">
        <w:t xml:space="preserve"> the inclusion of a separate recital in </w:t>
      </w:r>
      <w:r w:rsidR="007F01DF">
        <w:t>the draft RTS addressing record</w:t>
      </w:r>
      <w:r w:rsidRPr="00C91B50">
        <w:t>keeping, which would reference “appropriate” information on near misses. FIA EPTA also advocate amendments to Article 10(2) of the draft RTS, deleting the second clause of sub-paragraph (a) and adding the word “relevant” at the beginning of sub-paragraph (b).</w:t>
      </w:r>
    </w:p>
    <w:p w:rsidR="00CB10F3" w:rsidRDefault="00CB10F3" w:rsidP="00C91B50">
      <w:pPr>
        <w:jc w:val="both"/>
      </w:pPr>
    </w:p>
    <w:p w:rsidR="00CB10F3" w:rsidRDefault="00CB10F3" w:rsidP="00C91B50">
      <w:pPr>
        <w:jc w:val="both"/>
      </w:pPr>
      <w:r>
        <w:t xml:space="preserve">We have inserted for your convenience the text of Article 10 below with our suggested changes marked in </w:t>
      </w:r>
      <w:r w:rsidRPr="00CB10F3">
        <w:rPr>
          <w:color w:val="FF0000"/>
        </w:rPr>
        <w:t>RED</w:t>
      </w:r>
      <w:r>
        <w:t>.</w:t>
      </w:r>
    </w:p>
    <w:p w:rsidR="0019222C" w:rsidRDefault="0019222C" w:rsidP="00C91B50">
      <w:pPr>
        <w:jc w:val="both"/>
      </w:pPr>
    </w:p>
    <w:p w:rsidR="0019222C" w:rsidRPr="00CB10F3" w:rsidRDefault="0019222C" w:rsidP="00CB10F3">
      <w:pPr>
        <w:jc w:val="center"/>
        <w:rPr>
          <w:i/>
        </w:rPr>
      </w:pPr>
      <w:r w:rsidRPr="00CB10F3">
        <w:rPr>
          <w:i/>
        </w:rPr>
        <w:t>Article 10</w:t>
      </w:r>
    </w:p>
    <w:p w:rsidR="0019222C" w:rsidRPr="00CB10F3" w:rsidRDefault="0019222C" w:rsidP="00CB10F3">
      <w:pPr>
        <w:jc w:val="center"/>
        <w:rPr>
          <w:i/>
        </w:rPr>
      </w:pPr>
      <w:r w:rsidRPr="00CB10F3">
        <w:rPr>
          <w:i/>
        </w:rPr>
        <w:t>Record keeping</w:t>
      </w:r>
    </w:p>
    <w:p w:rsidR="00CB10F3" w:rsidRDefault="00CB10F3" w:rsidP="0019222C">
      <w:pPr>
        <w:jc w:val="both"/>
      </w:pPr>
    </w:p>
    <w:p w:rsidR="0019222C" w:rsidRDefault="0019222C" w:rsidP="0019222C">
      <w:pPr>
        <w:jc w:val="both"/>
      </w:pPr>
      <w:r>
        <w:t>1. The records kept pursuant to point (d) of Article 3 of thi</w:t>
      </w:r>
      <w:r w:rsidR="00CB10F3">
        <w:t xml:space="preserve">s Regulation shall be retained by the persons </w:t>
      </w:r>
      <w:r>
        <w:t xml:space="preserve">referred to in Article 16(1) and 16((2) of Regulation (EU) 596/2014 for at least </w:t>
      </w:r>
      <w:r w:rsidR="00CB10F3">
        <w:t xml:space="preserve">5 years. They shall be made </w:t>
      </w:r>
      <w:r>
        <w:t>available to the relevant competent authority upon request.</w:t>
      </w:r>
    </w:p>
    <w:p w:rsidR="0019222C" w:rsidRDefault="0019222C" w:rsidP="0019222C">
      <w:pPr>
        <w:jc w:val="both"/>
      </w:pPr>
      <w:r>
        <w:t xml:space="preserve">2. The records referred to in paragraph 1 shall include in particular: </w:t>
      </w:r>
    </w:p>
    <w:p w:rsidR="0019222C" w:rsidRDefault="0019222C" w:rsidP="0019222C">
      <w:pPr>
        <w:jc w:val="both"/>
      </w:pPr>
      <w:proofErr w:type="gramStart"/>
      <w:r>
        <w:t>a</w:t>
      </w:r>
      <w:proofErr w:type="gramEnd"/>
      <w:r>
        <w:t>. every STOR submitted</w:t>
      </w:r>
      <w:r w:rsidRPr="00CB10F3">
        <w:rPr>
          <w:strike/>
          <w:color w:val="FF0000"/>
        </w:rPr>
        <w:t xml:space="preserve">, including the relevant </w:t>
      </w:r>
      <w:r w:rsidR="00CB10F3" w:rsidRPr="00CB10F3">
        <w:rPr>
          <w:strike/>
          <w:color w:val="FF0000"/>
        </w:rPr>
        <w:t xml:space="preserve">elements on the basis of which </w:t>
      </w:r>
      <w:r w:rsidRPr="00CB10F3">
        <w:rPr>
          <w:strike/>
          <w:color w:val="FF0000"/>
        </w:rPr>
        <w:t>the STOR was prepared and reported to the competent authority,</w:t>
      </w:r>
      <w:r w:rsidRPr="00CB10F3">
        <w:rPr>
          <w:color w:val="FF0000"/>
        </w:rPr>
        <w:t xml:space="preserve"> </w:t>
      </w:r>
      <w:r>
        <w:t>and</w:t>
      </w:r>
    </w:p>
    <w:p w:rsidR="0019222C" w:rsidRDefault="0019222C" w:rsidP="0019222C">
      <w:pPr>
        <w:jc w:val="both"/>
      </w:pPr>
      <w:r>
        <w:t xml:space="preserve">b. </w:t>
      </w:r>
      <w:r w:rsidR="00CB10F3" w:rsidRPr="00CB10F3">
        <w:rPr>
          <w:color w:val="FF0000"/>
        </w:rPr>
        <w:t>relevant</w:t>
      </w:r>
      <w:r w:rsidR="00CB10F3">
        <w:t xml:space="preserve"> </w:t>
      </w:r>
      <w:r>
        <w:t xml:space="preserve">details of transactions and orders which </w:t>
      </w:r>
      <w:r w:rsidR="00CB10F3">
        <w:t>were identified as potentially suspicious but following examina</w:t>
      </w:r>
      <w:r>
        <w:t>tion were subsequently not submitted, including a summary of the rea</w:t>
      </w:r>
      <w:r w:rsidR="005F6F7B">
        <w:t>sons for not submitting a STOR;</w:t>
      </w:r>
    </w:p>
    <w:p w:rsidR="0019222C" w:rsidRDefault="0019222C" w:rsidP="0019222C">
      <w:pPr>
        <w:jc w:val="both"/>
      </w:pPr>
      <w:proofErr w:type="gramStart"/>
      <w:r>
        <w:t>c</w:t>
      </w:r>
      <w:proofErr w:type="gramEnd"/>
      <w:r>
        <w:t>. the effective arrangements, systems and p</w:t>
      </w:r>
      <w:r w:rsidR="00CB10F3">
        <w:t xml:space="preserve">rocedures put in place and any </w:t>
      </w:r>
      <w:r>
        <w:t xml:space="preserve">changes implemented to them. </w:t>
      </w:r>
    </w:p>
    <w:p w:rsidR="0019222C" w:rsidRPr="00C91B50" w:rsidRDefault="0019222C" w:rsidP="00C91B50">
      <w:pPr>
        <w:jc w:val="both"/>
      </w:pPr>
      <w:r>
        <w:t>3. Without prejudice to the competent authorities</w:t>
      </w:r>
      <w:r>
        <w:rPr>
          <w:rFonts w:ascii="Times New Roman" w:hAnsi="Times New Roman"/>
        </w:rPr>
        <w:t>‟</w:t>
      </w:r>
      <w:r>
        <w:t xml:space="preserve"> rights and powers under Regulation (EU) 596/2014 and this Regulation to access these records, the arrangements, systems and procedures to be established and maintained under this Regulation shall ensure that these</w:t>
      </w:r>
      <w:r w:rsidR="005F6F7B">
        <w:t xml:space="preserve"> records are kept confidential.</w:t>
      </w:r>
    </w:p>
    <w:permEnd w:id="375349191"/>
    <w:p w:rsidR="00C8677B" w:rsidRDefault="00C8677B" w:rsidP="00C8677B">
      <w:r>
        <w:lastRenderedPageBreak/>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delays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information?</w:t>
      </w:r>
    </w:p>
    <w:p w:rsidR="00C8677B" w:rsidRDefault="00C8677B" w:rsidP="00C8677B">
      <w:r>
        <w:t>&lt;</w:t>
      </w:r>
      <w:r w:rsidR="00CB6CDD">
        <w:t>ESMA_QUESTION_MAR_TS_</w:t>
      </w:r>
      <w:r>
        <w:t>17&gt;</w:t>
      </w:r>
    </w:p>
    <w:p w:rsidR="00C8677B" w:rsidRDefault="00C8677B" w:rsidP="00C8677B">
      <w:permStart w:id="1385003091" w:edGrp="everyone"/>
      <w:r>
        <w:t>TYPE YOUR TEXT HERE</w:t>
      </w:r>
    </w:p>
    <w:permEnd w:id="1385003091"/>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emission allowances that have been publicly disclosed meeting REMIT standards as described in the CP, i.e. using platforms dedicated to the publication of REMIT inside information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1635923269" w:edGrp="everyone"/>
      <w:r>
        <w:t>TYPE YOUR TEXT HERE</w:t>
      </w:r>
    </w:p>
    <w:permEnd w:id="1635923269"/>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information under both REMIT and MAR?</w:t>
      </w:r>
    </w:p>
    <w:p w:rsidR="00C8677B" w:rsidRDefault="00C8677B" w:rsidP="00C8677B">
      <w:r>
        <w:t>&lt;</w:t>
      </w:r>
      <w:r w:rsidR="00CB6CDD">
        <w:t>ESMA_QUESTION_MAR_TS_</w:t>
      </w:r>
      <w:r>
        <w:t>19&gt;</w:t>
      </w:r>
    </w:p>
    <w:p w:rsidR="00C8677B" w:rsidRDefault="00C8677B" w:rsidP="00C8677B">
      <w:permStart w:id="1508867212" w:edGrp="everyone"/>
      <w:r>
        <w:t>TYPE YOUR TEXT HERE</w:t>
      </w:r>
    </w:p>
    <w:permEnd w:id="1508867212"/>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notification?</w:t>
      </w:r>
    </w:p>
    <w:p w:rsidR="00C8677B" w:rsidRDefault="00C8677B" w:rsidP="00C8677B">
      <w:r>
        <w:t>&lt;</w:t>
      </w:r>
      <w:r w:rsidR="00CB6CDD">
        <w:t>ESMA_QUESTION_MAR_TS_</w:t>
      </w:r>
      <w:r>
        <w:t>20&gt;</w:t>
      </w:r>
    </w:p>
    <w:p w:rsidR="00C8677B" w:rsidRDefault="00C8677B" w:rsidP="00C8677B">
      <w:permStart w:id="646775334" w:edGrp="everyone"/>
      <w:r>
        <w:t>TYPE YOUR TEXT HERE</w:t>
      </w:r>
    </w:p>
    <w:permEnd w:id="646775334"/>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C8677B" w:rsidP="00C8677B">
      <w:permStart w:id="1165759994" w:edGrp="everyone"/>
      <w:r>
        <w:t>TYPE YOUR TEXT HERE</w:t>
      </w:r>
    </w:p>
    <w:permEnd w:id="116575999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C8677B" w:rsidP="00C8677B">
      <w:permStart w:id="233007291" w:edGrp="everyone"/>
      <w:r>
        <w:t>TYPE YOUR TEXT HERE</w:t>
      </w:r>
    </w:p>
    <w:permEnd w:id="233007291"/>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1709006199" w:edGrp="everyone"/>
      <w:r>
        <w:t>TYPE YOUR TEXT HERE</w:t>
      </w:r>
    </w:p>
    <w:permEnd w:id="1709006199"/>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disclosure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562637176" w:edGrp="everyone"/>
      <w:r>
        <w:t>TYPE YOUR TEXT HERE</w:t>
      </w:r>
    </w:p>
    <w:permEnd w:id="562637176"/>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886785549" w:edGrp="everyone"/>
      <w:r>
        <w:t>TYPE YOUR TEXT HERE</w:t>
      </w:r>
    </w:p>
    <w:permEnd w:id="886785549"/>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1835432687" w:edGrp="everyone"/>
      <w:r>
        <w:t>TYPE YOUR TEXT HERE</w:t>
      </w:r>
    </w:p>
    <w:permEnd w:id="1835432687"/>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included in the “expert” definition?</w:t>
      </w:r>
      <w:r w:rsidRPr="005C0D27">
        <w:tab/>
      </w:r>
    </w:p>
    <w:p w:rsidR="00C8677B" w:rsidRDefault="00C8677B" w:rsidP="00C8677B">
      <w:r>
        <w:t>&lt;</w:t>
      </w:r>
      <w:r w:rsidR="00CB6CDD">
        <w:t>ESMA_QUESTION_MAR_TS_</w:t>
      </w:r>
      <w:r>
        <w:t>27&gt;</w:t>
      </w:r>
    </w:p>
    <w:p w:rsidR="00C8677B" w:rsidRDefault="00C8677B" w:rsidP="00C8677B">
      <w:permStart w:id="1163211867" w:edGrp="everyone"/>
      <w:r>
        <w:t>TYPE YOUR TEXT HERE</w:t>
      </w:r>
    </w:p>
    <w:permEnd w:id="1163211867"/>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recommendatio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294525650" w:edGrp="everyone"/>
      <w:r>
        <w:t>TYPE YOUR TEXT HERE</w:t>
      </w:r>
    </w:p>
    <w:permEnd w:id="294525650"/>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 xml:space="preserve">Do you agree with the proposed standards for the objective presentation of investment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936649681" w:edGrp="everyone"/>
      <w:r>
        <w:t>TYPE YOUR TEXT HERE</w:t>
      </w:r>
    </w:p>
    <w:permEnd w:id="936649681"/>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1365474247" w:edGrp="everyone"/>
      <w:r>
        <w:t>TYPE YOUR TEXT HERE</w:t>
      </w:r>
    </w:p>
    <w:permEnd w:id="1365474247"/>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65145048" w:edGrp="everyone"/>
      <w:r>
        <w:t>TYPE YOUR TEXT HERE</w:t>
      </w:r>
    </w:p>
    <w:permEnd w:id="65145048"/>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1448614375" w:edGrp="everyone"/>
      <w:r>
        <w:t>TYPE YOUR TEXT HERE</w:t>
      </w:r>
    </w:p>
    <w:permEnd w:id="1448614375"/>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employer or a person related to the employer?</w:t>
      </w:r>
    </w:p>
    <w:p w:rsidR="00C8677B" w:rsidRDefault="00C8677B" w:rsidP="00C8677B">
      <w:r>
        <w:t>&lt;</w:t>
      </w:r>
      <w:r w:rsidR="00CB6CDD">
        <w:t>ESMA_QUESTION_MAR_TS_</w:t>
      </w:r>
      <w:r>
        <w:t>33&gt;</w:t>
      </w:r>
    </w:p>
    <w:p w:rsidR="00C8677B" w:rsidRDefault="00C8677B" w:rsidP="00C8677B">
      <w:permStart w:id="382479259" w:edGrp="everyone"/>
      <w:r>
        <w:t>TYPE YOUR TEXT HERE</w:t>
      </w:r>
    </w:p>
    <w:permEnd w:id="382479259"/>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recommendation produced by third parties? If not, please specify.</w:t>
      </w:r>
    </w:p>
    <w:p w:rsidR="00C8677B" w:rsidRDefault="00C8677B" w:rsidP="00C8677B">
      <w:r>
        <w:t>&lt;</w:t>
      </w:r>
      <w:r w:rsidR="00CB6CDD">
        <w:t>ESMA_QUESTION_MAR_TS_</w:t>
      </w:r>
      <w:r>
        <w:t>34&gt;</w:t>
      </w:r>
    </w:p>
    <w:p w:rsidR="00C8677B" w:rsidRDefault="00C8677B" w:rsidP="00C8677B">
      <w:permStart w:id="959201845" w:edGrp="everyone"/>
      <w:r>
        <w:t>TYPE YOUR TEXT HERE</w:t>
      </w:r>
    </w:p>
    <w:permEnd w:id="959201845"/>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795888675" w:edGrp="everyone"/>
      <w:r>
        <w:t>TYPE YOUR TEXT HERE</w:t>
      </w:r>
    </w:p>
    <w:permEnd w:id="1795888675"/>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5F6F7B">
            <w:rPr>
              <w:noProof/>
            </w:rPr>
            <w:t>11</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 w:id="2">
    <w:p w:rsidR="00C91B50" w:rsidRDefault="00C91B50" w:rsidP="00C91B50">
      <w:pPr>
        <w:pStyle w:val="FootnoteText"/>
      </w:pPr>
      <w:r>
        <w:rPr>
          <w:rStyle w:val="FootnoteReference"/>
        </w:rPr>
        <w:footnoteRef/>
      </w:r>
      <w:r>
        <w:t xml:space="preserve"> Directive 2003/6</w:t>
      </w:r>
      <w:r w:rsidRPr="006911D2">
        <w:t>/EC of the European Parliament and of the Council</w:t>
      </w:r>
      <w:r>
        <w:t xml:space="preserve"> on insider dealing and market manipulation.</w:t>
      </w:r>
    </w:p>
  </w:footnote>
  <w:footnote w:id="3">
    <w:p w:rsidR="0073469E" w:rsidRDefault="0073469E">
      <w:pPr>
        <w:pStyle w:val="FootnoteText"/>
      </w:pPr>
      <w:r>
        <w:rPr>
          <w:rStyle w:val="FootnoteReference"/>
        </w:rPr>
        <w:footnoteRef/>
      </w:r>
      <w:r>
        <w:t xml:space="preserve"> ESMA Consultation Paper on technical advice under MAR, ESMA/2014/808, p. 19 –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DEE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E868"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4C628DA"/>
    <w:multiLevelType w:val="hybridMultilevel"/>
    <w:tmpl w:val="CE7A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3"/>
  </w:num>
  <w:num w:numId="6">
    <w:abstractNumId w:val="25"/>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0"/>
  </w:num>
  <w:num w:numId="15">
    <w:abstractNumId w:val="22"/>
  </w:num>
  <w:num w:numId="16">
    <w:abstractNumId w:val="10"/>
  </w:num>
  <w:num w:numId="17">
    <w:abstractNumId w:val="1"/>
  </w:num>
  <w:num w:numId="18">
    <w:abstractNumId w:val="14"/>
  </w:num>
  <w:num w:numId="19">
    <w:abstractNumId w:val="15"/>
  </w:num>
  <w:num w:numId="20">
    <w:abstractNumId w:val="17"/>
  </w:num>
  <w:num w:numId="21">
    <w:abstractNumId w:val="26"/>
  </w:num>
  <w:num w:numId="22">
    <w:abstractNumId w:val="33"/>
  </w:num>
  <w:num w:numId="23">
    <w:abstractNumId w:val="24"/>
  </w:num>
  <w:num w:numId="24">
    <w:abstractNumId w:val="9"/>
  </w:num>
  <w:num w:numId="25">
    <w:abstractNumId w:val="29"/>
  </w:num>
  <w:num w:numId="26">
    <w:abstractNumId w:val="28"/>
  </w:num>
  <w:num w:numId="27">
    <w:abstractNumId w:val="20"/>
  </w:num>
  <w:num w:numId="28">
    <w:abstractNumId w:val="32"/>
  </w:num>
  <w:num w:numId="29">
    <w:abstractNumId w:val="35"/>
  </w:num>
  <w:num w:numId="30">
    <w:abstractNumId w:val="7"/>
  </w:num>
  <w:num w:numId="31">
    <w:abstractNumId w:val="4"/>
  </w:num>
  <w:num w:numId="32">
    <w:abstractNumId w:val="21"/>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 w:numId="3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222C"/>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559E"/>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484"/>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544"/>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5F6F7B"/>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A78"/>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469E"/>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87B29"/>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E56"/>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1DF"/>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4E74"/>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1B50"/>
    <w:rsid w:val="00C923B7"/>
    <w:rsid w:val="00C94510"/>
    <w:rsid w:val="00C94D4C"/>
    <w:rsid w:val="00CA012C"/>
    <w:rsid w:val="00CA0AA6"/>
    <w:rsid w:val="00CA2897"/>
    <w:rsid w:val="00CA44F3"/>
    <w:rsid w:val="00CA582C"/>
    <w:rsid w:val="00CA6077"/>
    <w:rsid w:val="00CA715B"/>
    <w:rsid w:val="00CA7988"/>
    <w:rsid w:val="00CA7BA2"/>
    <w:rsid w:val="00CB0B78"/>
    <w:rsid w:val="00CB10F3"/>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4EA1"/>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7B9B4B2E-372D-40FE-845A-7D1DA006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standards-Market-Abuse-Regulation-M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2A0D-E2FE-4093-9A0B-58677CB63B3A}">
  <ds:schemaRefs>
    <ds:schemaRef ds:uri="http://schemas.openxmlformats.org/officeDocument/2006/bibliography"/>
  </ds:schemaRefs>
</ds:datastoreItem>
</file>

<file path=customXml/itemProps2.xml><?xml version="1.0" encoding="utf-8"?>
<ds:datastoreItem xmlns:ds="http://schemas.openxmlformats.org/officeDocument/2006/customXml" ds:itemID="{2360DA86-AD32-4F65-97C3-2539504D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3187</Words>
  <Characters>18227</Characters>
  <Application>Microsoft Office Word</Application>
  <DocSecurity>8</DocSecurity>
  <Lines>151</Lines>
  <Paragraphs>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21372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Victor Van Hoorn</cp:lastModifiedBy>
  <cp:revision>11</cp:revision>
  <cp:lastPrinted>2014-10-10T12:15:00Z</cp:lastPrinted>
  <dcterms:created xsi:type="dcterms:W3CDTF">2014-10-10T10:42:00Z</dcterms:created>
  <dcterms:modified xsi:type="dcterms:W3CDTF">2014-10-10T15:12:00Z</dcterms:modified>
</cp:coreProperties>
</file>