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2E5193">
        <w:tc>
          <w:tcPr>
            <w:tcW w:w="3510" w:type="dxa"/>
          </w:tcPr>
          <w:p w:rsidR="008627FF" w:rsidRDefault="008627FF" w:rsidP="002E5193">
            <w:r>
              <w:t>Are you representing an association?</w:t>
            </w:r>
          </w:p>
        </w:tc>
        <w:tc>
          <w:tcPr>
            <w:tcW w:w="6118" w:type="dxa"/>
          </w:tcPr>
          <w:p w:rsidR="008627FF" w:rsidRDefault="0019582A" w:rsidP="002E5193">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997343687" w:edGrp="everyone"/>
                <w:r w:rsidR="00C10458">
                  <w:t>Yes</w:t>
                </w:r>
                <w:permEnd w:id="1997343687"/>
              </w:sdtContent>
            </w:sdt>
          </w:p>
        </w:tc>
      </w:tr>
      <w:tr w:rsidR="008627FF" w:rsidTr="002E5193">
        <w:tc>
          <w:tcPr>
            <w:tcW w:w="3510" w:type="dxa"/>
          </w:tcPr>
          <w:p w:rsidR="008627FF" w:rsidRDefault="008627FF" w:rsidP="002E5193">
            <w:r>
              <w:t>Activity:</w:t>
            </w:r>
          </w:p>
        </w:tc>
        <w:tc>
          <w:tcPr>
            <w:tcW w:w="6118" w:type="dxa"/>
          </w:tcPr>
          <w:p w:rsidR="008627FF" w:rsidRDefault="0019582A" w:rsidP="002E5193">
            <w:sdt>
              <w:sdtPr>
                <w:alias w:val="Activity"/>
                <w:tag w:val="Activity"/>
                <w:id w:val="1654095920"/>
                <w:placeholder>
                  <w:docPart w:val="FC2190542B92485096F7FC0D27709BC6"/>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66985618" w:edGrp="everyone"/>
                <w:r w:rsidR="008627FF" w:rsidRPr="000E3791">
                  <w:rPr>
                    <w:rStyle w:val="PlaceholderText"/>
                  </w:rPr>
                  <w:t>Choose an item.</w:t>
                </w:r>
                <w:permEnd w:id="766985618"/>
              </w:sdtContent>
            </w:sdt>
          </w:p>
        </w:tc>
      </w:tr>
      <w:tr w:rsidR="008627FF" w:rsidTr="002E5193">
        <w:tc>
          <w:tcPr>
            <w:tcW w:w="3510" w:type="dxa"/>
          </w:tcPr>
          <w:p w:rsidR="008627FF" w:rsidRDefault="008627FF" w:rsidP="002E5193">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428498152" w:edGrp="everyone" w:displacedByCustomXml="prev"/>
            <w:tc>
              <w:tcPr>
                <w:tcW w:w="6118" w:type="dxa"/>
              </w:tcPr>
              <w:p w:rsidR="008627FF" w:rsidRDefault="00C10458" w:rsidP="002E5193">
                <w:r>
                  <w:t>Belgium</w:t>
                </w:r>
              </w:p>
            </w:tc>
            <w:permEnd w:id="1428498152"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C10458" w:rsidRDefault="00C10458" w:rsidP="00BC5FF8">
      <w:pPr>
        <w:rPr>
          <w:lang w:val="en-US"/>
        </w:rPr>
      </w:pPr>
      <w:permStart w:id="1714177851" w:edGrp="everyone"/>
    </w:p>
    <w:p w:rsidR="00C10458" w:rsidRPr="00BD3AE5" w:rsidRDefault="00C10458" w:rsidP="00BC5FF8">
      <w:pPr>
        <w:rPr>
          <w:lang w:val="en-US"/>
        </w:rPr>
      </w:pPr>
      <w:r w:rsidRPr="00BD3AE5">
        <w:rPr>
          <w:lang w:val="en-US"/>
        </w:rPr>
        <w:t xml:space="preserve">Better Finance, the European Federation of Financial Services Users, represents the interests of individual shareholders, retail investors and </w:t>
      </w:r>
      <w:r w:rsidR="00063B79" w:rsidRPr="00BD3AE5">
        <w:rPr>
          <w:lang w:val="en-US"/>
        </w:rPr>
        <w:t>other financial services users in the EU policymaking debate.</w:t>
      </w:r>
    </w:p>
    <w:p w:rsidR="00C10458" w:rsidRPr="00BD3AE5" w:rsidRDefault="00C10458" w:rsidP="00BC5FF8">
      <w:pPr>
        <w:rPr>
          <w:lang w:val="en-US"/>
        </w:rPr>
      </w:pPr>
    </w:p>
    <w:p w:rsidR="00234C61" w:rsidRPr="00BD3AE5" w:rsidRDefault="00C10458" w:rsidP="00BC5FF8">
      <w:r w:rsidRPr="00BD3AE5">
        <w:rPr>
          <w:lang w:val="en-US"/>
        </w:rPr>
        <w:t>Better Finance</w:t>
      </w:r>
      <w:r w:rsidR="00DD5427" w:rsidRPr="00BD3AE5">
        <w:t xml:space="preserve"> welcomes the draft technical standards on the Market Abuse Regulation which</w:t>
      </w:r>
      <w:r w:rsidR="000F14BE" w:rsidRPr="00BD3AE5">
        <w:t xml:space="preserve"> </w:t>
      </w:r>
      <w:r w:rsidR="00234C61" w:rsidRPr="00BD3AE5">
        <w:t xml:space="preserve">are </w:t>
      </w:r>
      <w:r w:rsidR="000F14BE" w:rsidRPr="00BD3AE5">
        <w:t>likely to increase and enhance the quality of information being made available both to investors and to comp</w:t>
      </w:r>
      <w:r w:rsidR="000F14BE" w:rsidRPr="00BD3AE5">
        <w:t>e</w:t>
      </w:r>
      <w:r w:rsidR="000F14BE" w:rsidRPr="00BD3AE5">
        <w:t xml:space="preserve">tent authorities, which should in turn enable investors to make improved investment decisions. </w:t>
      </w:r>
    </w:p>
    <w:p w:rsidR="00234C61" w:rsidRPr="00BD3AE5" w:rsidRDefault="00234C61" w:rsidP="00BC5FF8">
      <w:r w:rsidRPr="00BD3AE5">
        <w:t xml:space="preserve">Widespread and large market abuses targeting mostly non-insider investors are indeed one of the main reasons for the lack of trust of individual investors in the EU capital markets, as illustrated by the annual </w:t>
      </w:r>
      <w:hyperlink r:id="rId16" w:history="1">
        <w:r w:rsidRPr="00BD3AE5">
          <w:rPr>
            <w:rStyle w:val="Hyperlink"/>
            <w:color w:val="0070C0"/>
          </w:rPr>
          <w:t>Consumer Scorecards produced by the European Commission</w:t>
        </w:r>
      </w:hyperlink>
      <w:r w:rsidRPr="00BD3AE5">
        <w:t xml:space="preserve"> , where “pensions, investments and secur</w:t>
      </w:r>
      <w:r w:rsidRPr="00BD3AE5">
        <w:t>i</w:t>
      </w:r>
      <w:r w:rsidRPr="00BD3AE5">
        <w:t>ties” persistently rank as the worst consumer market of all.</w:t>
      </w:r>
    </w:p>
    <w:p w:rsidR="00D60E31" w:rsidRPr="00BD3AE5" w:rsidRDefault="00DD5427" w:rsidP="00BC5FF8">
      <w:r w:rsidRPr="00BD3AE5">
        <w:t>Due to the volume of the draft technical standards we do not respond to all questions but focus on those that are of key importance for individual investors and financial services users</w:t>
      </w:r>
      <w:r w:rsidR="000F14BE" w:rsidRPr="00BD3AE5">
        <w:t>.</w:t>
      </w:r>
    </w:p>
    <w:permEnd w:id="1714177851"/>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0F14BE" w:rsidRDefault="000F14BE" w:rsidP="00C8677B">
      <w:permStart w:id="419717793" w:edGrp="everyone"/>
      <w:r>
        <w:t>Before we answer to the specific question we would like to start with a general remark on this section.</w:t>
      </w:r>
    </w:p>
    <w:p w:rsidR="000F14BE" w:rsidRDefault="000F14BE" w:rsidP="00C8677B">
      <w:r>
        <w:t>In recital 17 ESMA states that the current deadline (7 market sessions) for publication of buyback transa</w:t>
      </w:r>
      <w:r>
        <w:t>c</w:t>
      </w:r>
      <w:r>
        <w:t>tions should be maintained and argued that “the current system seems to work” and that this deadline seems</w:t>
      </w:r>
      <w:r w:rsidR="00063B79">
        <w:t xml:space="preserve"> to be a “good balance between </w:t>
      </w:r>
      <w:r>
        <w:t xml:space="preserve">transparency and administrative burden”. </w:t>
      </w:r>
      <w:r w:rsidR="00063B79">
        <w:t>Better Finance</w:t>
      </w:r>
      <w:r>
        <w:t xml:space="preserve"> regrets that the arguments provided by investor representatives responding to the DP regarding the deadline for publication of buyback transactions have not been taken into account in the draft technical standards. Transparency is a prerequisite for the prevention of market abuse. Investors are interested in and rely on timely information of such transactions</w:t>
      </w:r>
      <w:r w:rsidR="00BC5FF8">
        <w:t>. We believe</w:t>
      </w:r>
      <w:r>
        <w:t xml:space="preserve"> </w:t>
      </w:r>
      <w:r w:rsidR="00BC5FF8">
        <w:t>that timely information would be if such information w</w:t>
      </w:r>
      <w:r>
        <w:t xml:space="preserve">ould be provided by T+1. Given that ESMA proposes the </w:t>
      </w:r>
      <w:r w:rsidRPr="00BD3AE5">
        <w:t>disclosure of aggregated figures only we consi</w:t>
      </w:r>
      <w:r w:rsidRPr="00BD3AE5">
        <w:t>d</w:t>
      </w:r>
      <w:r w:rsidRPr="00BD3AE5">
        <w:t xml:space="preserve">er that the administrative burden for issuers can and should not justify </w:t>
      </w:r>
      <w:r w:rsidR="00A86F54" w:rsidRPr="00BD3AE5">
        <w:t xml:space="preserve">not meeting </w:t>
      </w:r>
      <w:r w:rsidRPr="00BD3AE5">
        <w:t xml:space="preserve">the </w:t>
      </w:r>
      <w:r w:rsidR="00A86F54" w:rsidRPr="00BD3AE5">
        <w:t xml:space="preserve">basic </w:t>
      </w:r>
      <w:r w:rsidRPr="00BD3AE5">
        <w:t>need</w:t>
      </w:r>
      <w:r>
        <w:t xml:space="preserve"> for investors to receive timely information. This is even more true as the same deadline is proposed for discl</w:t>
      </w:r>
      <w:r>
        <w:t>o</w:t>
      </w:r>
      <w:r>
        <w:t>sure towards the competent authorities.</w:t>
      </w:r>
    </w:p>
    <w:p w:rsidR="000F14BE" w:rsidRDefault="000F14BE" w:rsidP="00C8677B"/>
    <w:p w:rsidR="00C8677B" w:rsidRDefault="000F14BE" w:rsidP="00C8677B">
      <w:r>
        <w:t xml:space="preserve">Q1: </w:t>
      </w:r>
      <w:r w:rsidR="007461F1">
        <w:t xml:space="preserve">We generally agree </w:t>
      </w:r>
      <w:r w:rsidR="007461F1" w:rsidRPr="00BD3AE5">
        <w:t xml:space="preserve">with the approach proposed by ESMA although we consider that a lower limit of 15% would have been more appropriate. </w:t>
      </w:r>
      <w:r w:rsidR="00B93B27" w:rsidRPr="00BD3AE5">
        <w:t xml:space="preserve">We do not agree with the proposal to calculate the volume limits per “relevant” trading venue instead of performing an accurate a calculation across venues. </w:t>
      </w:r>
      <w:r w:rsidR="00FB4614" w:rsidRPr="00BD3AE5">
        <w:t>The excessive frag</w:t>
      </w:r>
      <w:r w:rsidR="00A86F54" w:rsidRPr="00BD3AE5">
        <w:t xml:space="preserve">mentation </w:t>
      </w:r>
      <w:r w:rsidR="00FB4614" w:rsidRPr="00BD3AE5">
        <w:t xml:space="preserve">and induced lack of transparency of EU capital markets should not be a reason for treating unfairly individual investors, who in effect have no real access to the other so-called “venues” than the regulated “home” markets. </w:t>
      </w:r>
      <w:r w:rsidR="00B93B27" w:rsidRPr="00BD3AE5">
        <w:t>This would open the doors for abusive use and may lead to circumventions. Here</w:t>
      </w:r>
      <w:r w:rsidR="00A86F54" w:rsidRPr="00BD3AE5">
        <w:t xml:space="preserve"> again</w:t>
      </w:r>
      <w:r w:rsidR="00B93B27" w:rsidRPr="00BD3AE5">
        <w:t>, a mandatory consolidated tape (MiFiD II) in our</w:t>
      </w:r>
      <w:r w:rsidR="00B93B27">
        <w:t xml:space="preserve"> opinion would be appropriate.</w:t>
      </w:r>
    </w:p>
    <w:permEnd w:id="419717793"/>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7954E1" w:rsidP="00C8677B">
      <w:permStart w:id="425354991" w:edGrp="everyone"/>
      <w:r>
        <w:t>We agree except for the timeframe regarding the reporting obligation towards the competent authority which we consider too broad, see also our general remarks on buybacks above.</w:t>
      </w:r>
    </w:p>
    <w:permEnd w:id="425354991"/>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1569608945" w:edGrp="everyone"/>
      <w:r>
        <w:t>TYPE YOUR TEXT HERE</w:t>
      </w:r>
    </w:p>
    <w:permEnd w:id="1569608945"/>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303779254" w:edGrp="everyone"/>
      <w:r>
        <w:t>TYPE YOUR TEXT HERE</w:t>
      </w:r>
    </w:p>
    <w:permEnd w:id="303779254"/>
    <w:p w:rsidR="00C8677B" w:rsidRDefault="00C8677B" w:rsidP="00C8677B">
      <w:r>
        <w:lastRenderedPageBreak/>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1334589959" w:edGrp="everyone"/>
      <w:r>
        <w:t>TYPE YOUR TEXT HERE</w:t>
      </w:r>
    </w:p>
    <w:permEnd w:id="1334589959"/>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950993170" w:edGrp="everyone"/>
      <w:r>
        <w:t>TYPE YOUR TEXT HERE</w:t>
      </w:r>
    </w:p>
    <w:permEnd w:id="950993170"/>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909200640" w:edGrp="everyone"/>
      <w:r>
        <w:t>TYPE YOUR TEXT HERE</w:t>
      </w:r>
    </w:p>
    <w:permEnd w:id="909200640"/>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457589651" w:edGrp="everyone"/>
      <w:r>
        <w:t>TYPE YOUR TEXT HERE</w:t>
      </w:r>
    </w:p>
    <w:permEnd w:id="45758965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F22595" w:rsidP="00C8677B">
      <w:permStart w:id="976582521" w:edGrp="everyone"/>
      <w:r>
        <w:t xml:space="preserve">Yes, we agree. As OTC transactions are included in MAR they should not per se be excluded from the scope of AMP. The question of inclusion/exclusion should be coherent with all other transactions within the scope of MAR. As OTC markets are less transparent we support ESMA’s view that competent authorities </w:t>
      </w:r>
      <w:r w:rsidR="00265B5C">
        <w:t>should</w:t>
      </w:r>
      <w:r>
        <w:t xml:space="preserve"> have to consider carefully if the transparency criterion according to Article 13 (2) (a) is being </w:t>
      </w:r>
      <w:r w:rsidR="00265B5C">
        <w:t>met and recommend that the same standards apply regardless of the trading venue.</w:t>
      </w:r>
    </w:p>
    <w:permEnd w:id="976582521"/>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A52542" w:rsidP="00C8677B">
      <w:permStart w:id="62206672" w:edGrp="everyone"/>
      <w:r>
        <w:t>The approach proposed by ESMA is too cumbersome and complicated and may hinder a sound survei</w:t>
      </w:r>
      <w:r>
        <w:t>l</w:t>
      </w:r>
      <w:r>
        <w:t xml:space="preserve">lance and </w:t>
      </w:r>
      <w:r w:rsidR="00A842A7">
        <w:t xml:space="preserve">harmonised </w:t>
      </w:r>
      <w:r>
        <w:t>supervision which is necessary to adequately protect investors</w:t>
      </w:r>
      <w:r w:rsidR="00BC5FF8">
        <w:t>.</w:t>
      </w:r>
      <w:r w:rsidR="00645065">
        <w:t xml:space="preserve"> </w:t>
      </w:r>
      <w:r w:rsidR="00BC5FF8">
        <w:t xml:space="preserve">This </w:t>
      </w:r>
      <w:r w:rsidR="00645065">
        <w:t xml:space="preserve">is only given in case firms executing an AMP are subject to supervision by regulators. </w:t>
      </w:r>
      <w:r w:rsidR="00A842A7">
        <w:t>We consider that a</w:t>
      </w:r>
      <w:r>
        <w:t xml:space="preserve"> restriction to supervised persons </w:t>
      </w:r>
      <w:r w:rsidR="00A842A7">
        <w:t>would be within the mandate of ESMA according to Article 13 (7) which requires ESMA to ensure consistent harmonisation of Article 13.</w:t>
      </w:r>
    </w:p>
    <w:permEnd w:id="62206672"/>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1012037951" w:edGrp="everyone"/>
      <w:r>
        <w:t>TYPE YOUR TEXT HERE</w:t>
      </w:r>
    </w:p>
    <w:permEnd w:id="1012037951"/>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463165886" w:edGrp="everyone"/>
      <w:r>
        <w:t>TYPE YOUR TEXT HERE</w:t>
      </w:r>
    </w:p>
    <w:permEnd w:id="463165886"/>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1B24CB" w:rsidP="00C8677B">
      <w:permStart w:id="417477972" w:edGrp="everyone"/>
      <w:r w:rsidRPr="00BD3AE5">
        <w:t xml:space="preserve">We agree with ESMA’s </w:t>
      </w:r>
      <w:r w:rsidR="00EC2A6A" w:rsidRPr="00BD3AE5">
        <w:t>position,</w:t>
      </w:r>
      <w:r w:rsidRPr="00BD3AE5">
        <w:t xml:space="preserve"> but we find it incomplete as the necessity to establish automated survei</w:t>
      </w:r>
      <w:r w:rsidRPr="00BD3AE5">
        <w:t>l</w:t>
      </w:r>
      <w:r w:rsidRPr="00BD3AE5">
        <w:t xml:space="preserve">lance systems should not rely only with firms and “market venues”, but also with national supervisors.  The </w:t>
      </w:r>
      <w:r w:rsidR="00EC2A6A" w:rsidRPr="00BD3AE5">
        <w:t>French supervisor</w:t>
      </w:r>
      <w:r w:rsidRPr="00BD3AE5">
        <w:t xml:space="preserve"> acknowledged in its latest strategic plan that it was struggling to identify and san</w:t>
      </w:r>
      <w:r w:rsidRPr="00BD3AE5">
        <w:t>c</w:t>
      </w:r>
      <w:r w:rsidRPr="00BD3AE5">
        <w:t xml:space="preserve">tion large market abuses. </w:t>
      </w:r>
      <w:r w:rsidR="00EC2A6A" w:rsidRPr="00BD3AE5">
        <w:t>This challenge</w:t>
      </w:r>
      <w:r w:rsidRPr="00BD3AE5">
        <w:t xml:space="preserve"> cannot be solved </w:t>
      </w:r>
      <w:r w:rsidR="00EC2A6A" w:rsidRPr="00BD3AE5">
        <w:t>without national</w:t>
      </w:r>
      <w:r w:rsidRPr="00BD3AE5">
        <w:t xml:space="preserve"> supervisors investing in aut</w:t>
      </w:r>
      <w:r w:rsidRPr="00BD3AE5">
        <w:t>o</w:t>
      </w:r>
      <w:r w:rsidRPr="00BD3AE5">
        <w:t xml:space="preserve">mated surveillance tools, like the UK FCA has done since 2008.  FCA has since then </w:t>
      </w:r>
      <w:r w:rsidR="00EC2A6A" w:rsidRPr="00BD3AE5">
        <w:t>largely increased its number of market abuse cases.</w:t>
      </w:r>
      <w:r w:rsidR="00EC2A6A">
        <w:t xml:space="preserve"> </w:t>
      </w:r>
      <w:permEnd w:id="417477972"/>
      <w:r w:rsidR="00C8677B">
        <w:t>&lt;</w:t>
      </w:r>
      <w:r w:rsidR="00CB6CDD">
        <w:t>ESMA_QUESTION_MAR_TS_</w:t>
      </w:r>
      <w:r w:rsidR="00C8677B">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771773506" w:edGrp="everyone"/>
      <w:r>
        <w:t>TYPE YOUR TEXT HERE</w:t>
      </w:r>
    </w:p>
    <w:permEnd w:id="771773506"/>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383740505" w:edGrp="everyone"/>
      <w:r>
        <w:t>TYPE YOUR TEXT HERE</w:t>
      </w:r>
    </w:p>
    <w:permEnd w:id="383740505"/>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194663859" w:edGrp="everyone"/>
      <w:r>
        <w:t>TYPE YOUR TEXT HERE</w:t>
      </w:r>
    </w:p>
    <w:permEnd w:id="1194663859"/>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223908" w:rsidP="00C8677B">
      <w:permStart w:id="1372915033" w:edGrp="everyone"/>
      <w:r>
        <w:t>We agree with this proposal</w:t>
      </w:r>
      <w:r w:rsidR="001C1B83">
        <w:t xml:space="preserve">, especially with ESMA’s assessment that information made public either directly by the issuer by using only other ways of publication (issuer website, social media, newspapers etc.) or by publication on the competent authority’s website </w:t>
      </w:r>
      <w:r w:rsidR="001C1B83" w:rsidRPr="00BC5FF8">
        <w:rPr>
          <w:u w:val="single"/>
        </w:rPr>
        <w:t>only</w:t>
      </w:r>
      <w:r w:rsidR="001C1B83">
        <w:t xml:space="preserve"> is not considered as meeting the r</w:t>
      </w:r>
      <w:r w:rsidR="001C1B83">
        <w:t>e</w:t>
      </w:r>
      <w:r w:rsidR="001C1B83">
        <w:t>quirements of a proper dissemination of inside information. We furthermore agree that similar requir</w:t>
      </w:r>
      <w:r w:rsidR="001C1B83">
        <w:t>e</w:t>
      </w:r>
      <w:r w:rsidR="001C1B83">
        <w:t>ments regarding means for appropriate disclosure should apply for issuers of MTF/OTF instruments in order to avoid confusion among investors as to which information channel they should use for their diffe</w:t>
      </w:r>
      <w:r w:rsidR="001C1B83">
        <w:t>r</w:t>
      </w:r>
      <w:r w:rsidR="001C1B83">
        <w:t xml:space="preserve">ent financial instruments/securities. </w:t>
      </w:r>
    </w:p>
    <w:permEnd w:id="1372915033"/>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427370402" w:edGrp="everyone"/>
      <w:r>
        <w:t>TYPE YOUR TEXT HERE</w:t>
      </w:r>
    </w:p>
    <w:permEnd w:id="427370402"/>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032544070" w:edGrp="everyone"/>
      <w:r>
        <w:t>TYPE YOUR TEXT HERE</w:t>
      </w:r>
    </w:p>
    <w:permEnd w:id="1032544070"/>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E651D2" w:rsidP="00C8677B">
      <w:permStart w:id="34224424" w:edGrp="everyone"/>
      <w:r>
        <w:t>We generally agree.  In cases where Member States do not make use of the provision in 17(4) (c) to provide for an explanation only upon request of the competent authority, we see, however, no need to allow issuers to provide the explanation as to how the conditions of Article 17(5) were met at a later stage than the information about the delay itself. The information on the r</w:t>
      </w:r>
      <w:r w:rsidR="002E5193">
        <w:t>easons for the ex</w:t>
      </w:r>
      <w:r>
        <w:t>emptions may be crucial</w:t>
      </w:r>
      <w:r w:rsidR="002E5193">
        <w:t xml:space="preserve"> </w:t>
      </w:r>
      <w:r w:rsidR="003206B6">
        <w:t xml:space="preserve">both for investors and </w:t>
      </w:r>
      <w:r w:rsidR="002E5193">
        <w:t>in insider-dealing investigations</w:t>
      </w:r>
      <w:r w:rsidR="003206B6">
        <w:t>. Also,</w:t>
      </w:r>
      <w:r w:rsidR="002E5193">
        <w:t xml:space="preserve"> the issuer should be aware already </w:t>
      </w:r>
      <w:r w:rsidR="003206B6">
        <w:t xml:space="preserve">at the time </w:t>
      </w:r>
      <w:r w:rsidR="002E5193">
        <w:t xml:space="preserve">the decision is taking, if and why he fulfils the three conditions laid down in Article 17(5). Therefore we do not see an unnecessary burden for issuers to </w:t>
      </w:r>
      <w:r w:rsidR="003206B6">
        <w:t>delay</w:t>
      </w:r>
      <w:r w:rsidR="002E5193">
        <w:t xml:space="preserve"> </w:t>
      </w:r>
      <w:r w:rsidR="003206B6">
        <w:t xml:space="preserve">the disclosure of </w:t>
      </w:r>
      <w:r w:rsidR="002E5193">
        <w:t>th</w:t>
      </w:r>
      <w:r w:rsidR="003206B6">
        <w:t>is</w:t>
      </w:r>
      <w:r w:rsidR="002E5193">
        <w:t xml:space="preserve"> essential information. We further consider that ESMA’s approach may not be in line with the wording of Article 17 (5) which clearly states that issuers/emission allowance market participants “</w:t>
      </w:r>
      <w:r w:rsidR="002E5193" w:rsidRPr="002E5193">
        <w:rPr>
          <w:rFonts w:hint="eastAsia"/>
        </w:rPr>
        <w:t xml:space="preserve">shall inform the competent authority specified under paragraph 3 that disclosure of the information was delayed </w:t>
      </w:r>
      <w:r w:rsidR="002E5193" w:rsidRPr="002E5193">
        <w:rPr>
          <w:rFonts w:hint="eastAsia"/>
          <w:b/>
        </w:rPr>
        <w:t>and</w:t>
      </w:r>
      <w:r w:rsidR="002E5193" w:rsidRPr="002E5193">
        <w:rPr>
          <w:rFonts w:hint="eastAsia"/>
        </w:rPr>
        <w:t xml:space="preserve"> shall provide a written explanation of how the conditions set out in this paragraph were met, </w:t>
      </w:r>
      <w:r w:rsidR="002E5193" w:rsidRPr="002E5193">
        <w:rPr>
          <w:rFonts w:hint="eastAsia"/>
          <w:b/>
        </w:rPr>
        <w:t>immediately after the information is disclosed to the public</w:t>
      </w:r>
      <w:r w:rsidR="002E5193">
        <w:t>.”</w:t>
      </w:r>
      <w:r w:rsidR="002E5193" w:rsidRPr="002E5193">
        <w:t xml:space="preserve"> </w:t>
      </w:r>
    </w:p>
    <w:permEnd w:id="34224424"/>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E49EF" w:rsidRDefault="00CE49EF" w:rsidP="00CE49EF">
      <w:permStart w:id="226979610" w:edGrp="everyone"/>
      <w:r>
        <w:t>TYPE YOUR TEXT HERE</w:t>
      </w:r>
    </w:p>
    <w:permEnd w:id="226979610"/>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E49EF" w:rsidRDefault="00CE49EF" w:rsidP="00273800">
      <w:permStart w:id="408760199" w:edGrp="everyone"/>
      <w:r>
        <w:t>Yes, we agree</w:t>
      </w:r>
      <w:r w:rsidR="00273800">
        <w:t xml:space="preserve"> although </w:t>
      </w:r>
      <w:r w:rsidR="00273800" w:rsidRPr="00BD3AE5">
        <w:t xml:space="preserve">we would </w:t>
      </w:r>
      <w:r w:rsidR="00792AF6" w:rsidRPr="00BD3AE5">
        <w:t xml:space="preserve">want </w:t>
      </w:r>
      <w:r w:rsidR="00273800" w:rsidRPr="00BD3AE5">
        <w:t>ESMA to verify</w:t>
      </w:r>
      <w:r w:rsidR="00273800">
        <w:t xml:space="preserve"> that the information in the insider list do</w:t>
      </w:r>
      <w:r w:rsidR="00BC5FF8">
        <w:t>es</w:t>
      </w:r>
      <w:r w:rsidR="00273800">
        <w:t xml:space="preserve"> not violate any law of data protection</w:t>
      </w:r>
      <w:r w:rsidR="00984342">
        <w:t xml:space="preserve"> (e.g. we have concerns regarding inclusion of the name of birth in the insider list if different from the surname)</w:t>
      </w:r>
      <w:r>
        <w:t xml:space="preserve">. </w:t>
      </w:r>
      <w:r w:rsidR="00984342">
        <w:t>On the other hand</w:t>
      </w:r>
      <w:r>
        <w:t xml:space="preserve"> we would like to suggest including the name and necessary contact details of the person</w:t>
      </w:r>
      <w:r w:rsidR="00273800">
        <w:t>(s)</w:t>
      </w:r>
      <w:r>
        <w:t xml:space="preserve"> </w:t>
      </w:r>
      <w:r w:rsidRPr="00984342">
        <w:rPr>
          <w:u w:val="single"/>
        </w:rPr>
        <w:t>responsible for the record keeping</w:t>
      </w:r>
      <w:r>
        <w:t xml:space="preserve"> to ensure a </w:t>
      </w:r>
      <w:r w:rsidR="00273800">
        <w:t xml:space="preserve">prompt and </w:t>
      </w:r>
      <w:r>
        <w:t>proper examination of the correctness of the insider list.</w:t>
      </w:r>
      <w:r w:rsidR="00BC5FF8">
        <w:t xml:space="preserve"> </w:t>
      </w:r>
    </w:p>
    <w:permEnd w:id="408760199"/>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2D62D1" w:rsidP="00C8677B">
      <w:permStart w:id="793139153" w:edGrp="everyone"/>
      <w:r>
        <w:t xml:space="preserve">Yes we support ESMA’s approach which gives clear guidance but leaves some flexibility to </w:t>
      </w:r>
      <w:r w:rsidRPr="002D62D1">
        <w:t xml:space="preserve">issuers </w:t>
      </w:r>
      <w:r>
        <w:t>both with regard to format of insider lists and to the way of delivery.</w:t>
      </w:r>
    </w:p>
    <w:permEnd w:id="793139153"/>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3206B6" w:rsidP="00C8677B">
      <w:permStart w:id="1744526424" w:edGrp="everyone"/>
      <w:r>
        <w:t>We agree with the proposed method to disclose not netted aggregated figures on a daily basis, including the weighted average price, the highest and the lowest price. It is necessary that the information provided to the investors and the public is readable, understandable and reliable and we consider that the proposed simplified option 3 best serves these interests.</w:t>
      </w:r>
    </w:p>
    <w:permEnd w:id="1744526424"/>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1875925570" w:edGrp="everyone"/>
      <w:r>
        <w:t>TYPE YOUR TEXT HERE</w:t>
      </w:r>
    </w:p>
    <w:permEnd w:id="1875925570"/>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320202" w:rsidP="00C8677B">
      <w:permStart w:id="1369069975" w:edGrp="everyone"/>
      <w:r>
        <w:t>Yes we agree.</w:t>
      </w:r>
    </w:p>
    <w:permEnd w:id="1369069975"/>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320202" w:rsidP="00C8677B">
      <w:permStart w:id="1724993490" w:edGrp="everyone"/>
      <w:r>
        <w:t xml:space="preserve">We do not favour the inclusion of the term “on a regular basis” in the list of characteristics that a person must have in order to qualify as expert. According to the draft technical standards, the term “experts” also covers a person who “holds himself out as having financial expertise or experience” </w:t>
      </w:r>
      <w:r w:rsidR="004367A5">
        <w:t>which already contr</w:t>
      </w:r>
      <w:r w:rsidR="004367A5">
        <w:t>a</w:t>
      </w:r>
      <w:r w:rsidR="004367A5">
        <w:t>dicts the approach that regularity is necessary or connected to the characteristics of an expert. Furthe</w:t>
      </w:r>
      <w:r w:rsidR="004367A5">
        <w:t>r</w:t>
      </w:r>
      <w:r w:rsidR="004367A5">
        <w:t>more we consider that the term “repeatedly proposes particular investment decisions” already narrows the set of circumstances significantly.</w:t>
      </w:r>
      <w:r>
        <w:t xml:space="preserve"> </w:t>
      </w:r>
    </w:p>
    <w:permEnd w:id="1724993490"/>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50746211" w:edGrp="everyone"/>
      <w:r>
        <w:t>TYPE YOUR TEXT HERE</w:t>
      </w:r>
    </w:p>
    <w:permEnd w:id="150746211"/>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1208045091" w:edGrp="everyone"/>
      <w:r>
        <w:t>TYPE YOUR TEXT HERE</w:t>
      </w:r>
    </w:p>
    <w:permEnd w:id="1208045091"/>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257D89" w:rsidRDefault="00257D89" w:rsidP="00C8677B">
      <w:permStart w:id="1895370461" w:edGrp="everyone"/>
      <w:r>
        <w:t xml:space="preserve">Yes we </w:t>
      </w:r>
      <w:bookmarkStart w:id="4" w:name="_GoBack"/>
      <w:r>
        <w:t xml:space="preserve">agree and strongly support ESMA’s consideration to </w:t>
      </w:r>
      <w:r w:rsidR="00AD7824">
        <w:t>include</w:t>
      </w:r>
      <w:r>
        <w:t xml:space="preserve"> potential conflicts of interest resulting from remuneration tied to the instruments covered by the recommendation produced. C</w:t>
      </w:r>
      <w:r w:rsidRPr="002A009E">
        <w:rPr>
          <w:rFonts w:cs="Georgia,Bold"/>
          <w:bCs/>
          <w:szCs w:val="20"/>
          <w:highlight w:val="yellow"/>
          <w:lang w:val="en-US"/>
        </w:rPr>
        <w:t xml:space="preserve">onflicts of interest arising from monetary </w:t>
      </w:r>
      <w:r>
        <w:rPr>
          <w:rFonts w:cs="Georgia,Bold"/>
          <w:bCs/>
          <w:szCs w:val="20"/>
          <w:highlight w:val="yellow"/>
          <w:lang w:val="en-US"/>
        </w:rPr>
        <w:t xml:space="preserve">but also from </w:t>
      </w:r>
      <w:r w:rsidRPr="002A009E">
        <w:rPr>
          <w:rFonts w:cs="Georgia,Bold"/>
          <w:bCs/>
          <w:szCs w:val="20"/>
          <w:highlight w:val="yellow"/>
          <w:lang w:val="en-US"/>
        </w:rPr>
        <w:t xml:space="preserve">non-monetary inducements are by far the most relevant with respect to potential harm for </w:t>
      </w:r>
      <w:r>
        <w:rPr>
          <w:rFonts w:cs="Georgia,Bold"/>
          <w:bCs/>
          <w:szCs w:val="20"/>
          <w:lang w:val="en-US"/>
        </w:rPr>
        <w:t xml:space="preserve">investors and should therefore be clearly flagged in the </w:t>
      </w:r>
      <w:r w:rsidR="00AD7824">
        <w:rPr>
          <w:rFonts w:cs="Georgia,Bold"/>
          <w:bCs/>
          <w:szCs w:val="20"/>
          <w:lang w:val="en-US"/>
        </w:rPr>
        <w:t>investment recommendation.</w:t>
      </w:r>
    </w:p>
    <w:bookmarkEnd w:id="4"/>
    <w:permEnd w:id="1895370461"/>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lastRenderedPageBreak/>
        <w:t>&lt;</w:t>
      </w:r>
      <w:r w:rsidR="00CB6CDD">
        <w:t>ESMA_QUESTION_MAR_TS_</w:t>
      </w:r>
      <w:r>
        <w:t>31&gt;</w:t>
      </w:r>
    </w:p>
    <w:p w:rsidR="00C8677B" w:rsidRDefault="00AD7824" w:rsidP="00C8677B">
      <w:permStart w:id="1578192786" w:edGrp="everyone"/>
      <w:r>
        <w:t xml:space="preserve">We support the lower threshold </w:t>
      </w:r>
      <w:r w:rsidR="00DB4D6B">
        <w:t xml:space="preserve">in relation to the total issued share capital of the issuer </w:t>
      </w:r>
      <w:r>
        <w:t xml:space="preserve">proposed by ESMA. </w:t>
      </w:r>
    </w:p>
    <w:permEnd w:id="1578192786"/>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Default="00D42CB7" w:rsidP="00C8677B">
      <w:permStart w:id="1670973706" w:edGrp="everyone"/>
      <w:r>
        <w:t>Yes, especially if legal person(s) are concerned we consider that aggregated figures of the legal person/firm and any affiliated company should be used to assess whether the threshold has been reached.</w:t>
      </w:r>
    </w:p>
    <w:permEnd w:id="1670973706"/>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D42CB7" w:rsidP="00C8677B">
      <w:permStart w:id="227622355" w:edGrp="everyone"/>
      <w:r>
        <w:t>Yes, see our comment to Q30.</w:t>
      </w:r>
    </w:p>
    <w:permEnd w:id="227622355"/>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713892209" w:edGrp="everyone"/>
      <w:r>
        <w:t>TYPE YOUR TEXT HERE</w:t>
      </w:r>
    </w:p>
    <w:permEnd w:id="713892209"/>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665343685" w:edGrp="everyone"/>
      <w:r>
        <w:t>TYPE YOUR TEXT HERE</w:t>
      </w:r>
    </w:p>
    <w:permEnd w:id="1665343685"/>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7"/>
      <w:headerReference w:type="first" r:id="rId18"/>
      <w:footerReference w:type="first" r:id="rId19"/>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2A" w:rsidRDefault="0019582A">
      <w:r>
        <w:separator/>
      </w:r>
    </w:p>
    <w:p w:rsidR="0019582A" w:rsidRDefault="0019582A"/>
  </w:endnote>
  <w:endnote w:type="continuationSeparator" w:id="0">
    <w:p w:rsidR="0019582A" w:rsidRDefault="0019582A">
      <w:r>
        <w:continuationSeparator/>
      </w:r>
    </w:p>
    <w:p w:rsidR="0019582A" w:rsidRDefault="0019582A"/>
  </w:endnote>
  <w:endnote w:type="continuationNotice" w:id="1">
    <w:p w:rsidR="0019582A" w:rsidRDefault="00195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F14BE" w:rsidRPr="00315E96" w:rsidTr="00315E96">
      <w:trPr>
        <w:trHeight w:val="284"/>
      </w:trPr>
      <w:tc>
        <w:tcPr>
          <w:tcW w:w="8460" w:type="dxa"/>
        </w:tcPr>
        <w:p w:rsidR="000F14BE" w:rsidRPr="00315E96" w:rsidRDefault="000F14BE" w:rsidP="00315E96">
          <w:pPr>
            <w:pStyle w:val="00Footer"/>
            <w:rPr>
              <w:lang w:val="fr-FR"/>
            </w:rPr>
          </w:pPr>
        </w:p>
      </w:tc>
      <w:tc>
        <w:tcPr>
          <w:tcW w:w="952" w:type="dxa"/>
        </w:tcPr>
        <w:p w:rsidR="000F14BE" w:rsidRPr="002C5B2D" w:rsidRDefault="002D2D6C" w:rsidP="002C5B2D">
          <w:pPr>
            <w:pStyle w:val="00aPagenumber"/>
          </w:pPr>
          <w:r>
            <w:fldChar w:fldCharType="begin"/>
          </w:r>
          <w:r>
            <w:instrText xml:space="preserve"> PAGE </w:instrText>
          </w:r>
          <w:r>
            <w:fldChar w:fldCharType="separate"/>
          </w:r>
          <w:r w:rsidR="00826910">
            <w:rPr>
              <w:noProof/>
            </w:rPr>
            <w:t>3</w:t>
          </w:r>
          <w:r>
            <w:rPr>
              <w:noProof/>
            </w:rPr>
            <w:fldChar w:fldCharType="end"/>
          </w:r>
        </w:p>
      </w:tc>
    </w:tr>
  </w:tbl>
  <w:p w:rsidR="000F14BE" w:rsidRDefault="000F1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BE" w:rsidRDefault="000F1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2A" w:rsidRDefault="0019582A">
      <w:r>
        <w:separator/>
      </w:r>
    </w:p>
    <w:p w:rsidR="0019582A" w:rsidRDefault="0019582A"/>
  </w:footnote>
  <w:footnote w:type="continuationSeparator" w:id="0">
    <w:p w:rsidR="0019582A" w:rsidRDefault="0019582A">
      <w:r>
        <w:continuationSeparator/>
      </w:r>
    </w:p>
    <w:p w:rsidR="0019582A" w:rsidRDefault="0019582A"/>
  </w:footnote>
  <w:footnote w:type="continuationNotice" w:id="1">
    <w:p w:rsidR="0019582A" w:rsidRDefault="001958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BE" w:rsidRDefault="000F14BE">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5B13D4">
      <w:rPr>
        <w:noProof/>
        <w:lang w:eastAsia="en-GB"/>
      </w:rPr>
      <mc:AlternateContent>
        <mc:Choice Requires="wps">
          <w:drawing>
            <wp:anchor distT="0" distB="0" distL="114294" distR="114294"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BE" w:rsidRDefault="000F14BE"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BE" w:rsidRDefault="000F14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0F14BE" w:rsidRPr="002F4496" w:rsidTr="000C06C9">
      <w:trPr>
        <w:trHeight w:val="284"/>
      </w:trPr>
      <w:tc>
        <w:tcPr>
          <w:tcW w:w="8460" w:type="dxa"/>
        </w:tcPr>
        <w:p w:rsidR="000F14BE" w:rsidRPr="000C3B6D" w:rsidRDefault="000F14BE" w:rsidP="000C06C9">
          <w:pPr>
            <w:pStyle w:val="00Footer"/>
            <w:rPr>
              <w:lang w:val="fr-FR"/>
            </w:rPr>
          </w:pPr>
        </w:p>
      </w:tc>
      <w:tc>
        <w:tcPr>
          <w:tcW w:w="952" w:type="dxa"/>
        </w:tcPr>
        <w:p w:rsidR="000F14BE" w:rsidRPr="00146B34" w:rsidRDefault="000F14BE" w:rsidP="000C06C9">
          <w:pPr>
            <w:pStyle w:val="00aPagenumber"/>
            <w:rPr>
              <w:lang w:val="fr-FR"/>
            </w:rPr>
          </w:pPr>
        </w:p>
      </w:tc>
    </w:tr>
  </w:tbl>
  <w:p w:rsidR="000F14BE" w:rsidRPr="00DB46C3" w:rsidRDefault="000F14BE">
    <w:pPr>
      <w:rPr>
        <w:lang w:val="fr-FR"/>
      </w:rPr>
    </w:pPr>
  </w:p>
  <w:p w:rsidR="000F14BE" w:rsidRPr="002F4496" w:rsidRDefault="000F14BE">
    <w:pPr>
      <w:pStyle w:val="Header"/>
      <w:rPr>
        <w:lang w:val="fr-FR"/>
      </w:rPr>
    </w:pPr>
  </w:p>
  <w:p w:rsidR="000F14BE" w:rsidRPr="002F4496" w:rsidRDefault="000F14BE" w:rsidP="000C06C9">
    <w:pPr>
      <w:pStyle w:val="Header"/>
      <w:tabs>
        <w:tab w:val="clear" w:pos="4536"/>
        <w:tab w:val="clear" w:pos="9072"/>
        <w:tab w:val="left" w:pos="8227"/>
      </w:tabs>
      <w:rPr>
        <w:lang w:val="fr-FR"/>
      </w:rPr>
    </w:pPr>
  </w:p>
  <w:p w:rsidR="000F14BE" w:rsidRPr="002F4496" w:rsidRDefault="000F14BE" w:rsidP="000C06C9">
    <w:pPr>
      <w:pStyle w:val="Header"/>
      <w:tabs>
        <w:tab w:val="clear" w:pos="4536"/>
        <w:tab w:val="clear" w:pos="9072"/>
        <w:tab w:val="left" w:pos="8227"/>
      </w:tabs>
      <w:rPr>
        <w:lang w:val="fr-FR"/>
      </w:rPr>
    </w:pPr>
  </w:p>
  <w:p w:rsidR="000F14BE" w:rsidRPr="002F4496" w:rsidRDefault="000F14BE">
    <w:pPr>
      <w:pStyle w:val="Header"/>
      <w:rPr>
        <w:lang w:val="fr-FR"/>
      </w:rPr>
    </w:pPr>
  </w:p>
  <w:p w:rsidR="000F14BE" w:rsidRPr="002F4496" w:rsidRDefault="000F14BE">
    <w:pPr>
      <w:pStyle w:val="Header"/>
      <w:rPr>
        <w:lang w:val="fr-FR"/>
      </w:rPr>
    </w:pPr>
  </w:p>
  <w:p w:rsidR="000F14BE" w:rsidRPr="002F4496" w:rsidRDefault="000F14BE">
    <w:pPr>
      <w:pStyle w:val="Header"/>
      <w:rPr>
        <w:lang w:val="fr-FR"/>
      </w:rPr>
    </w:pPr>
  </w:p>
  <w:p w:rsidR="000F14BE" w:rsidRPr="002F4496" w:rsidRDefault="000F14BE">
    <w:pPr>
      <w:pStyle w:val="Header"/>
      <w:rPr>
        <w:lang w:val="fr-FR"/>
      </w:rPr>
    </w:pPr>
  </w:p>
  <w:p w:rsidR="000F14BE" w:rsidRPr="002F4496" w:rsidRDefault="000F14BE">
    <w:pPr>
      <w:pStyle w:val="Header"/>
      <w:rPr>
        <w:highlight w:val="yellow"/>
        <w:lang w:val="fr-FR"/>
      </w:rPr>
    </w:pPr>
  </w:p>
  <w:p w:rsidR="000F14BE" w:rsidRDefault="005B13D4">
    <w:pPr>
      <w:pStyle w:val="Header"/>
    </w:pPr>
    <w:r>
      <w:rPr>
        <w:noProof/>
        <w:lang w:eastAsia="en-GB"/>
      </w:rPr>
      <mc:AlternateContent>
        <mc:Choice Requires="wps">
          <w:drawing>
            <wp:anchor distT="0" distB="0" distL="114298" distR="114298"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0F14BE">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B0DD2"/>
    <w:multiLevelType w:val="hybridMultilevel"/>
    <w:tmpl w:val="1B644A2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3"/>
  </w:num>
  <w:num w:numId="5">
    <w:abstractNumId w:val="4"/>
  </w:num>
  <w:num w:numId="6">
    <w:abstractNumId w:val="25"/>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0"/>
  </w:num>
  <w:num w:numId="15">
    <w:abstractNumId w:val="22"/>
  </w:num>
  <w:num w:numId="16">
    <w:abstractNumId w:val="11"/>
  </w:num>
  <w:num w:numId="17">
    <w:abstractNumId w:val="1"/>
  </w:num>
  <w:num w:numId="18">
    <w:abstractNumId w:val="15"/>
  </w:num>
  <w:num w:numId="19">
    <w:abstractNumId w:val="16"/>
  </w:num>
  <w:num w:numId="20">
    <w:abstractNumId w:val="18"/>
  </w:num>
  <w:num w:numId="21">
    <w:abstractNumId w:val="26"/>
  </w:num>
  <w:num w:numId="22">
    <w:abstractNumId w:val="33"/>
  </w:num>
  <w:num w:numId="23">
    <w:abstractNumId w:val="24"/>
  </w:num>
  <w:num w:numId="24">
    <w:abstractNumId w:val="10"/>
  </w:num>
  <w:num w:numId="25">
    <w:abstractNumId w:val="29"/>
  </w:num>
  <w:num w:numId="26">
    <w:abstractNumId w:val="28"/>
  </w:num>
  <w:num w:numId="27">
    <w:abstractNumId w:val="20"/>
  </w:num>
  <w:num w:numId="28">
    <w:abstractNumId w:val="32"/>
  </w:num>
  <w:num w:numId="29">
    <w:abstractNumId w:val="35"/>
  </w:num>
  <w:num w:numId="30">
    <w:abstractNumId w:val="8"/>
  </w:num>
  <w:num w:numId="31">
    <w:abstractNumId w:val="5"/>
  </w:num>
  <w:num w:numId="32">
    <w:abstractNumId w:val="21"/>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3B79"/>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14BE"/>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82A"/>
    <w:rsid w:val="001960D8"/>
    <w:rsid w:val="00197DBC"/>
    <w:rsid w:val="001A02F9"/>
    <w:rsid w:val="001A1642"/>
    <w:rsid w:val="001A371B"/>
    <w:rsid w:val="001A4766"/>
    <w:rsid w:val="001A6A0D"/>
    <w:rsid w:val="001A6C51"/>
    <w:rsid w:val="001A6FAA"/>
    <w:rsid w:val="001A7D73"/>
    <w:rsid w:val="001B0363"/>
    <w:rsid w:val="001B1355"/>
    <w:rsid w:val="001B24CB"/>
    <w:rsid w:val="001B3138"/>
    <w:rsid w:val="001B4E4B"/>
    <w:rsid w:val="001B50AC"/>
    <w:rsid w:val="001B5E05"/>
    <w:rsid w:val="001B6D68"/>
    <w:rsid w:val="001B6F2E"/>
    <w:rsid w:val="001C0344"/>
    <w:rsid w:val="001C0F2A"/>
    <w:rsid w:val="001C1A59"/>
    <w:rsid w:val="001C1B83"/>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908"/>
    <w:rsid w:val="00223D11"/>
    <w:rsid w:val="002242D3"/>
    <w:rsid w:val="002301E6"/>
    <w:rsid w:val="00232F90"/>
    <w:rsid w:val="00233B08"/>
    <w:rsid w:val="00233C3B"/>
    <w:rsid w:val="0023499C"/>
    <w:rsid w:val="00234C61"/>
    <w:rsid w:val="00235CE3"/>
    <w:rsid w:val="0023636A"/>
    <w:rsid w:val="00236F34"/>
    <w:rsid w:val="002372F7"/>
    <w:rsid w:val="00240651"/>
    <w:rsid w:val="00240803"/>
    <w:rsid w:val="0024190F"/>
    <w:rsid w:val="00242548"/>
    <w:rsid w:val="0024426D"/>
    <w:rsid w:val="00244F1D"/>
    <w:rsid w:val="00245004"/>
    <w:rsid w:val="00245FB4"/>
    <w:rsid w:val="00250898"/>
    <w:rsid w:val="00251EA9"/>
    <w:rsid w:val="00252843"/>
    <w:rsid w:val="002551A4"/>
    <w:rsid w:val="002559F3"/>
    <w:rsid w:val="00256DFE"/>
    <w:rsid w:val="00257D89"/>
    <w:rsid w:val="00261D56"/>
    <w:rsid w:val="00261FD3"/>
    <w:rsid w:val="00264077"/>
    <w:rsid w:val="00265B5C"/>
    <w:rsid w:val="00266B9A"/>
    <w:rsid w:val="00270E54"/>
    <w:rsid w:val="00272AE4"/>
    <w:rsid w:val="00273681"/>
    <w:rsid w:val="00273800"/>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D6C"/>
    <w:rsid w:val="002D2FEF"/>
    <w:rsid w:val="002D36C2"/>
    <w:rsid w:val="002D3FCB"/>
    <w:rsid w:val="002D4FEF"/>
    <w:rsid w:val="002D502D"/>
    <w:rsid w:val="002D62D1"/>
    <w:rsid w:val="002D63F5"/>
    <w:rsid w:val="002D6E1A"/>
    <w:rsid w:val="002E036D"/>
    <w:rsid w:val="002E1517"/>
    <w:rsid w:val="002E1B22"/>
    <w:rsid w:val="002E387F"/>
    <w:rsid w:val="002E5193"/>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0202"/>
    <w:rsid w:val="003206B6"/>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27"/>
    <w:rsid w:val="00427D52"/>
    <w:rsid w:val="00430412"/>
    <w:rsid w:val="00430497"/>
    <w:rsid w:val="0043173B"/>
    <w:rsid w:val="00432A91"/>
    <w:rsid w:val="004332A4"/>
    <w:rsid w:val="0043453F"/>
    <w:rsid w:val="00434A74"/>
    <w:rsid w:val="004367A5"/>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4C25"/>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01C4"/>
    <w:rsid w:val="005A150A"/>
    <w:rsid w:val="005A2B3E"/>
    <w:rsid w:val="005A3644"/>
    <w:rsid w:val="005A4087"/>
    <w:rsid w:val="005A4B18"/>
    <w:rsid w:val="005A537E"/>
    <w:rsid w:val="005A6F43"/>
    <w:rsid w:val="005A767D"/>
    <w:rsid w:val="005B00F1"/>
    <w:rsid w:val="005B0CE7"/>
    <w:rsid w:val="005B10E2"/>
    <w:rsid w:val="005B13D4"/>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5065"/>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8D4"/>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61F1"/>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2AF6"/>
    <w:rsid w:val="0079357D"/>
    <w:rsid w:val="007937CC"/>
    <w:rsid w:val="00793A31"/>
    <w:rsid w:val="00794979"/>
    <w:rsid w:val="007954E1"/>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6910"/>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B0C"/>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342"/>
    <w:rsid w:val="00984C15"/>
    <w:rsid w:val="00987829"/>
    <w:rsid w:val="00991276"/>
    <w:rsid w:val="009923E7"/>
    <w:rsid w:val="00992697"/>
    <w:rsid w:val="00994621"/>
    <w:rsid w:val="009947FF"/>
    <w:rsid w:val="0099544B"/>
    <w:rsid w:val="009A07A6"/>
    <w:rsid w:val="009A0D56"/>
    <w:rsid w:val="009A31B9"/>
    <w:rsid w:val="009A3B4E"/>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2542"/>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2A7"/>
    <w:rsid w:val="00A84945"/>
    <w:rsid w:val="00A85543"/>
    <w:rsid w:val="00A86F54"/>
    <w:rsid w:val="00A91682"/>
    <w:rsid w:val="00A92E4A"/>
    <w:rsid w:val="00A958CA"/>
    <w:rsid w:val="00A966B6"/>
    <w:rsid w:val="00A96B46"/>
    <w:rsid w:val="00AA003B"/>
    <w:rsid w:val="00AA016B"/>
    <w:rsid w:val="00AA15DD"/>
    <w:rsid w:val="00AA1C09"/>
    <w:rsid w:val="00AA2F67"/>
    <w:rsid w:val="00AA326E"/>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5CE5"/>
    <w:rsid w:val="00AD6BE5"/>
    <w:rsid w:val="00AD7824"/>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B27"/>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5FF8"/>
    <w:rsid w:val="00BC6060"/>
    <w:rsid w:val="00BC7897"/>
    <w:rsid w:val="00BD0F35"/>
    <w:rsid w:val="00BD3AE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458"/>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2B3"/>
    <w:rsid w:val="00CD6F6E"/>
    <w:rsid w:val="00CE157F"/>
    <w:rsid w:val="00CE1966"/>
    <w:rsid w:val="00CE1ED4"/>
    <w:rsid w:val="00CE2216"/>
    <w:rsid w:val="00CE3014"/>
    <w:rsid w:val="00CE30E5"/>
    <w:rsid w:val="00CE49EF"/>
    <w:rsid w:val="00CE6FC6"/>
    <w:rsid w:val="00CF2056"/>
    <w:rsid w:val="00CF4471"/>
    <w:rsid w:val="00CF51C0"/>
    <w:rsid w:val="00CF5B2A"/>
    <w:rsid w:val="00CF5F57"/>
    <w:rsid w:val="00CF64A7"/>
    <w:rsid w:val="00CF6730"/>
    <w:rsid w:val="00CF70E5"/>
    <w:rsid w:val="00CF7CEC"/>
    <w:rsid w:val="00D00971"/>
    <w:rsid w:val="00D009D0"/>
    <w:rsid w:val="00D00B0F"/>
    <w:rsid w:val="00D01BF4"/>
    <w:rsid w:val="00D0272C"/>
    <w:rsid w:val="00D032B2"/>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CB7"/>
    <w:rsid w:val="00D42D5E"/>
    <w:rsid w:val="00D44C18"/>
    <w:rsid w:val="00D4556D"/>
    <w:rsid w:val="00D511C6"/>
    <w:rsid w:val="00D5121D"/>
    <w:rsid w:val="00D516AC"/>
    <w:rsid w:val="00D52875"/>
    <w:rsid w:val="00D54050"/>
    <w:rsid w:val="00D56AC0"/>
    <w:rsid w:val="00D6081B"/>
    <w:rsid w:val="00D60E31"/>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4D6B"/>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427"/>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1D2"/>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2A6A"/>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595"/>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94F"/>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4614"/>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c.europa.eu/consumers/consumer_evidence/consumer_scoreboards/10_edition/index_en.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2"/>
  </w:compat>
  <w:rsids>
    <w:rsidRoot w:val="00211EA8"/>
    <w:rsid w:val="00063BCA"/>
    <w:rsid w:val="000E41F1"/>
    <w:rsid w:val="00211EA8"/>
    <w:rsid w:val="00337CC1"/>
    <w:rsid w:val="003859D3"/>
    <w:rsid w:val="00441DF9"/>
    <w:rsid w:val="007C6338"/>
    <w:rsid w:val="009B02FC"/>
    <w:rsid w:val="00A573F5"/>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967CF-1F22-45EB-80DD-AFB5AD460FA4}">
  <ds:schemaRefs>
    <ds:schemaRef ds:uri="http://schemas.openxmlformats.org/officeDocument/2006/bibliography"/>
  </ds:schemaRefs>
</ds:datastoreItem>
</file>

<file path=customXml/itemProps2.xml><?xml version="1.0" encoding="utf-8"?>
<ds:datastoreItem xmlns:ds="http://schemas.openxmlformats.org/officeDocument/2006/customXml" ds:itemID="{4509E77D-9150-406A-B734-74449E1B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2904</Words>
  <Characters>16553</Characters>
  <Application>Microsoft Office Word</Application>
  <DocSecurity>8</DocSecurity>
  <Lines>137</Lines>
  <Paragraphs>38</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19419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PolicyOfficer</cp:lastModifiedBy>
  <cp:revision>2</cp:revision>
  <cp:lastPrinted>2014-05-08T15:06:00Z</cp:lastPrinted>
  <dcterms:created xsi:type="dcterms:W3CDTF">2014-10-15T09:51:00Z</dcterms:created>
  <dcterms:modified xsi:type="dcterms:W3CDTF">2014-10-15T09:51:00Z</dcterms:modified>
</cp:coreProperties>
</file>