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trPr>
          <w:trHeight w:val="284"/>
        </w:trPr>
        <w:tc>
          <w:tcPr>
            <w:tcW w:w="9412" w:type="dxa"/>
          </w:tcPr>
          <w:p>
            <w:pPr>
              <w:pStyle w:val="00bDBInfo"/>
            </w:pPr>
            <w:r>
              <w:t>20 August</w:t>
            </w:r>
            <w:r>
              <w:t xml:space="preserve"> </w:t>
            </w:r>
            <w:r>
              <w:t>2014</w:t>
            </w:r>
          </w:p>
        </w:tc>
      </w:tr>
    </w:tbl>
    <w:p>
      <w:pPr>
        <w:rPr>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trPr>
          <w:trHeight w:hRule="exact" w:val="1209"/>
        </w:trPr>
        <w:tc>
          <w:tcPr>
            <w:tcW w:w="9397" w:type="dxa"/>
            <w:vAlign w:val="bottom"/>
          </w:tcPr>
          <w:p>
            <w:pPr>
              <w:pStyle w:val="01aDBTitle"/>
            </w:pPr>
            <w:r>
              <w:t>Reply form</w:t>
            </w:r>
            <w:r>
              <w:t xml:space="preserve"> </w:t>
            </w:r>
            <w:r>
              <w:t>for</w:t>
            </w:r>
            <w:r>
              <w:t xml:space="preserve"> the </w:t>
            </w:r>
          </w:p>
          <w:p>
            <w:pPr>
              <w:pStyle w:val="01aDBTitle"/>
            </w:pPr>
            <w:r>
              <w:t>ESMA MAR</w:t>
            </w:r>
            <w:r>
              <w:t xml:space="preserve"> </w:t>
            </w:r>
            <w:r>
              <w:t xml:space="preserve"> </w:t>
            </w:r>
            <w:r>
              <w:t>Technical standards</w:t>
            </w:r>
          </w:p>
          <w:p>
            <w:pPr>
              <w:pStyle w:val="01aDBTitle"/>
            </w:pPr>
            <w:r>
              <w:t xml:space="preserve"> </w:t>
            </w:r>
          </w:p>
          <w:p>
            <w:pPr>
              <w:pStyle w:val="01aDBTitle"/>
            </w:pPr>
            <w:r>
              <w:t>Template for comments</w:t>
            </w:r>
          </w:p>
          <w:p>
            <w:pPr>
              <w:pStyle w:val="01aDBTitle"/>
            </w:pPr>
            <w:r>
              <w:t>for the ESMA MiFID II/MiFIR Discussion P</w:t>
            </w:r>
            <w:r>
              <w:t>a</w:t>
            </w:r>
            <w:r>
              <w:t xml:space="preserve">per </w:t>
            </w:r>
            <w:r>
              <w:t xml:space="preserve"> </w:t>
            </w:r>
            <w:r>
              <w:t xml:space="preserve"> </w:t>
            </w:r>
          </w:p>
        </w:tc>
      </w:tr>
      <w:tr>
        <w:trPr>
          <w:trHeight w:hRule="exact" w:val="605"/>
        </w:trPr>
        <w:tc>
          <w:tcPr>
            <w:tcW w:w="9397" w:type="dxa"/>
            <w:tcMar>
              <w:top w:w="142" w:type="dxa"/>
            </w:tcMar>
          </w:tcPr>
          <w:p>
            <w:pPr>
              <w:pStyle w:val="01bDBSubtitle"/>
            </w:pPr>
            <w:r>
              <w:t xml:space="preserve"> </w:t>
            </w:r>
          </w:p>
        </w:tc>
      </w:tr>
    </w:tbl>
    <w:p>
      <w:pPr>
        <w:pStyle w:val="05HeadlinenoIndex"/>
        <w:sectPr>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trPr>
          <w:trHeight w:hRule="exact" w:val="964"/>
        </w:trPr>
        <w:tc>
          <w:tcPr>
            <w:tcW w:w="2325" w:type="dxa"/>
          </w:tcPr>
          <w:p>
            <w:pPr>
              <w:pStyle w:val="02Date"/>
            </w:pPr>
            <w:r>
              <w:lastRenderedPageBreak/>
              <w:t xml:space="preserve">Date: </w:t>
            </w:r>
            <w:r>
              <w:t>20 August</w:t>
            </w:r>
            <w:r>
              <w:t xml:space="preserve"> </w:t>
            </w:r>
            <w:r>
              <w:t>201</w:t>
            </w:r>
            <w:r>
              <w:t>4</w:t>
            </w:r>
          </w:p>
        </w:tc>
      </w:tr>
    </w:tbl>
    <w:p>
      <w:pPr>
        <w:pStyle w:val="05HeadlinenoIndex"/>
      </w:pPr>
      <w:bookmarkStart w:id="0" w:name="_Toc280628648"/>
    </w:p>
    <w:p>
      <w:pPr>
        <w:pStyle w:val="05HeadlinenoIndex"/>
      </w:pPr>
      <w:r>
        <w:br w:type="page"/>
      </w:r>
      <w:r>
        <w:lastRenderedPageBreak/>
        <w:t xml:space="preserve">Responding to this paper </w:t>
      </w:r>
    </w:p>
    <w:p>
      <w:pPr>
        <w:pStyle w:val="04BodyText"/>
        <w:spacing w:before="120" w:after="120"/>
      </w:pPr>
      <w:r>
        <w:t>The European Securities and Markets Autho</w:t>
      </w:r>
      <w:r>
        <w:t>rity (ESMA) invites responses</w:t>
      </w:r>
      <w:r>
        <w:t xml:space="preserve"> </w:t>
      </w:r>
      <w:r>
        <w:t xml:space="preserve">to </w:t>
      </w:r>
      <w:r>
        <w:t xml:space="preserve">the specific questions listed in </w:t>
      </w:r>
      <w:r>
        <w:t xml:space="preserve">the ESMA </w:t>
      </w:r>
      <w:r>
        <w:t>Consultation Paper - Draft technical standards on the Market Abuse Regulation (MAR)</w:t>
      </w:r>
      <w:r>
        <w:t xml:space="preserve">, </w:t>
      </w:r>
      <w:r>
        <w:t>published</w:t>
      </w:r>
      <w:r>
        <w:t xml:space="preserve"> on the ESMA website (</w:t>
      </w:r>
      <w:hyperlink r:id="rId13" w:history="1">
        <w:r>
          <w:rPr>
            <w:rStyle w:val="Hyperlink"/>
          </w:rPr>
          <w:t>here</w:t>
        </w:r>
      </w:hyperlink>
      <w:r>
        <w:t>)</w:t>
      </w:r>
      <w:r>
        <w:t>.</w:t>
      </w:r>
    </w:p>
    <w:p>
      <w:pPr>
        <w:autoSpaceDE w:val="0"/>
        <w:autoSpaceDN w:val="0"/>
        <w:adjustRightInd w:val="0"/>
        <w:spacing w:before="120" w:after="120" w:line="276" w:lineRule="auto"/>
        <w:jc w:val="both"/>
        <w:rPr>
          <w:rFonts w:cs="Georgia"/>
          <w:b/>
          <w:bCs/>
          <w:i/>
          <w:color w:val="000000"/>
          <w:szCs w:val="20"/>
          <w:lang w:eastAsia="en-GB"/>
        </w:rPr>
      </w:pPr>
      <w:r>
        <w:rPr>
          <w:rFonts w:cs="Georgia"/>
          <w:b/>
          <w:bCs/>
          <w:i/>
          <w:color w:val="000000"/>
          <w:szCs w:val="20"/>
          <w:lang w:eastAsia="en-GB"/>
        </w:rPr>
        <w:t>Instructions</w:t>
      </w:r>
    </w:p>
    <w:p>
      <w:pPr>
        <w:pStyle w:val="04BodyText"/>
        <w:spacing w:before="120" w:after="120"/>
      </w:pPr>
      <w:r>
        <w:t xml:space="preserve">Please note that, in order to facilitate the analysis of the large number of responses expected, you are requested to use this file to send your response to ESMA so as to allow us to process it properly. Therefore, please follow </w:t>
      </w:r>
      <w:r>
        <w:t>the instructions described below</w:t>
      </w:r>
      <w:r>
        <w:t>:</w:t>
      </w:r>
    </w:p>
    <w:p>
      <w:pPr>
        <w:pStyle w:val="04bList"/>
        <w:numPr>
          <w:ilvl w:val="0"/>
          <w:numId w:val="5"/>
        </w:numPr>
        <w:spacing w:before="120" w:after="120"/>
        <w:ind w:left="720"/>
      </w:pPr>
      <w:r>
        <w:t xml:space="preserve">use this </w:t>
      </w:r>
      <w:r>
        <w:t>form</w:t>
      </w:r>
      <w:r>
        <w:t xml:space="preserve"> and send </w:t>
      </w:r>
      <w:r>
        <w:t>your</w:t>
      </w:r>
      <w:r>
        <w:t xml:space="preserve"> response</w:t>
      </w:r>
      <w:r>
        <w:t>s</w:t>
      </w:r>
      <w:r>
        <w:t xml:space="preserve"> in Word format;</w:t>
      </w:r>
    </w:p>
    <w:p>
      <w:pPr>
        <w:pStyle w:val="04bList"/>
        <w:numPr>
          <w:ilvl w:val="0"/>
          <w:numId w:val="5"/>
        </w:numPr>
        <w:spacing w:before="120" w:after="120"/>
        <w:ind w:left="720"/>
      </w:pPr>
      <w:r>
        <w:t xml:space="preserve">do </w:t>
      </w:r>
      <w:r>
        <w:t>not remove the tags of type &lt;ESMA_QUESTION_</w:t>
      </w:r>
      <w:r>
        <w:t>MAR_</w:t>
      </w:r>
      <w:r>
        <w:t>TS</w:t>
      </w:r>
      <w:r>
        <w:t>_</w:t>
      </w:r>
      <w:r>
        <w:t>1&gt; - i.e. the response to one que</w:t>
      </w:r>
      <w:r>
        <w:t>s</w:t>
      </w:r>
      <w:r>
        <w:t>tion has to be framed by the 2 tags corresponding to the question; and</w:t>
      </w:r>
    </w:p>
    <w:p>
      <w:pPr>
        <w:pStyle w:val="04bList"/>
        <w:numPr>
          <w:ilvl w:val="0"/>
          <w:numId w:val="5"/>
        </w:numPr>
        <w:spacing w:before="120" w:after="120"/>
        <w:ind w:left="720"/>
      </w:pPr>
      <w:r>
        <w:t xml:space="preserve">if </w:t>
      </w:r>
      <w:r>
        <w:t>you do not have a</w:t>
      </w:r>
      <w:r>
        <w:t xml:space="preserve"> response to a question, </w:t>
      </w:r>
      <w:r>
        <w:t xml:space="preserve">do </w:t>
      </w:r>
      <w:r>
        <w:t>not delete it and leave the text “TYPE YOUR TEXT HERE” between the tags.</w:t>
      </w:r>
    </w:p>
    <w:p>
      <w:pPr>
        <w:pStyle w:val="04bList"/>
        <w:numPr>
          <w:ilvl w:val="0"/>
          <w:numId w:val="0"/>
        </w:numPr>
        <w:spacing w:before="120" w:after="120"/>
      </w:pPr>
      <w:r>
        <w:t>Responses are most helpful:</w:t>
      </w:r>
    </w:p>
    <w:p>
      <w:pPr>
        <w:pStyle w:val="04bList"/>
        <w:numPr>
          <w:ilvl w:val="0"/>
          <w:numId w:val="33"/>
        </w:numPr>
        <w:spacing w:before="120" w:after="120"/>
      </w:pPr>
      <w:r>
        <w:t>if they respond to the question stated;</w:t>
      </w:r>
    </w:p>
    <w:p>
      <w:pPr>
        <w:pStyle w:val="04bList"/>
        <w:numPr>
          <w:ilvl w:val="0"/>
          <w:numId w:val="33"/>
        </w:numPr>
        <w:spacing w:before="120" w:after="120"/>
      </w:pPr>
      <w:r>
        <w:t>contain a clear rationale, incl</w:t>
      </w:r>
      <w:bookmarkStart w:id="1" w:name="_UserCurPos"/>
      <w:bookmarkEnd w:id="1"/>
      <w:r>
        <w:t>uding on any related costs and benefits; and</w:t>
      </w:r>
    </w:p>
    <w:p>
      <w:pPr>
        <w:pStyle w:val="04bList"/>
        <w:numPr>
          <w:ilvl w:val="0"/>
          <w:numId w:val="33"/>
        </w:numPr>
        <w:spacing w:before="120" w:after="120"/>
      </w:pPr>
      <w:r>
        <w:t>describe any alternatives that ESMA should consider</w:t>
      </w:r>
    </w:p>
    <w:p>
      <w:pPr>
        <w:pStyle w:val="04bList"/>
        <w:numPr>
          <w:ilvl w:val="0"/>
          <w:numId w:val="0"/>
        </w:numPr>
        <w:spacing w:before="120" w:after="120"/>
      </w:pPr>
      <w:r>
        <w:t>To help you navigate this document more easily, bookmarks are available in “Navigation Pane” for Word 2010 and in “Document Map” for Word 2007.</w:t>
      </w:r>
    </w:p>
    <w:p>
      <w:pPr>
        <w:pStyle w:val="04BodyText"/>
        <w:spacing w:before="120" w:after="120"/>
      </w:pPr>
      <w:r>
        <w:t xml:space="preserve">Responses must reach us by </w:t>
      </w:r>
      <w:r>
        <w:rPr>
          <w:b/>
        </w:rPr>
        <w:t>15 October</w:t>
      </w:r>
      <w:r>
        <w:rPr>
          <w:b/>
        </w:rPr>
        <w:t xml:space="preserve"> 2014</w:t>
      </w:r>
      <w:r>
        <w:t xml:space="preserve">. </w:t>
      </w:r>
    </w:p>
    <w:p>
      <w:pPr>
        <w:pStyle w:val="04BodyText"/>
        <w:spacing w:before="120" w:after="120"/>
      </w:pPr>
      <w:r>
        <w:t xml:space="preserve">All contributions should be submitted online at </w:t>
      </w:r>
      <w:hyperlink r:id="rId14" w:history="1">
        <w:r>
          <w:rPr>
            <w:rStyle w:val="Hyperlink"/>
          </w:rPr>
          <w:t>www.esma.europa.eu</w:t>
        </w:r>
      </w:hyperlink>
      <w:r>
        <w:t xml:space="preserve"> under the heading ‘Your i</w:t>
      </w:r>
      <w:r>
        <w:t>n</w:t>
      </w:r>
      <w:r>
        <w:t xml:space="preserve">put/Consultations’. </w:t>
      </w:r>
    </w:p>
    <w:p>
      <w:pPr>
        <w:pStyle w:val="04BodyText"/>
        <w:spacing w:before="120" w:after="120"/>
      </w:pPr>
      <w:r>
        <w:t>Naming protocol - In order to facilitate the handling of stakeholders responses please save your document using the following format:</w:t>
      </w:r>
    </w:p>
    <w:p>
      <w:pPr>
        <w:pStyle w:val="04BodyText"/>
        <w:spacing w:before="120" w:after="120"/>
      </w:pPr>
      <w:r>
        <w:t>ESMA_MAR_CP_TS_NAMEOFCOMPANY_NAMEOFDOCUMENT: e.g.if the respondent were ESMA, the name of the reply form would be ESMA_MAR_CP_TS_ESMA_REPLYFORM or E</w:t>
      </w:r>
      <w:r>
        <w:t>S</w:t>
      </w:r>
      <w:r>
        <w:t>MA_MAR_CP_TS_ESMA_ANNEX1</w:t>
      </w:r>
    </w:p>
    <w:p>
      <w:pPr>
        <w:pStyle w:val="04BodyText"/>
        <w:spacing w:before="120" w:after="120"/>
      </w:pPr>
    </w:p>
    <w:p>
      <w:pPr>
        <w:autoSpaceDE w:val="0"/>
        <w:autoSpaceDN w:val="0"/>
        <w:adjustRightInd w:val="0"/>
        <w:spacing w:before="120" w:after="120" w:line="276" w:lineRule="auto"/>
        <w:jc w:val="both"/>
        <w:rPr>
          <w:rFonts w:cs="Georgia"/>
          <w:b/>
          <w:bCs/>
          <w:i/>
          <w:color w:val="000000"/>
          <w:szCs w:val="20"/>
          <w:lang w:eastAsia="en-GB"/>
        </w:rPr>
      </w:pPr>
      <w:bookmarkStart w:id="2" w:name="_Toc335141334"/>
      <w:r>
        <w:rPr>
          <w:rFonts w:cs="Georgia"/>
          <w:b/>
          <w:bCs/>
          <w:i/>
          <w:color w:val="000000"/>
          <w:szCs w:val="20"/>
          <w:lang w:eastAsia="en-GB"/>
        </w:rPr>
        <w:t>Publication of responses</w:t>
      </w:r>
      <w:bookmarkEnd w:id="2"/>
    </w:p>
    <w:p>
      <w:pPr>
        <w:pStyle w:val="04BodyText"/>
        <w:spacing w:before="120" w:after="120"/>
      </w:pPr>
      <w:r>
        <w:t xml:space="preserve">All contributions received will be published following the end of the consultation period, unless otherwise requested. </w:t>
      </w:r>
      <w:r>
        <w:rPr>
          <w:b/>
        </w:rPr>
        <w:t>Please clearly indicate by ticking the appropriate checkbox in the website submi</w:t>
      </w:r>
      <w:r>
        <w:rPr>
          <w:b/>
        </w:rPr>
        <w:t>s</w:t>
      </w:r>
      <w:r>
        <w:rPr>
          <w:b/>
        </w:rPr>
        <w:t>sion form if you do not wish your contribution to be publicly disclosed. A standard conf</w:t>
      </w:r>
      <w:r>
        <w:rPr>
          <w:b/>
        </w:rPr>
        <w:t>i</w:t>
      </w:r>
      <w:r>
        <w:rPr>
          <w:b/>
        </w:rPr>
        <w:t>dentiality statement in an email message will not be treated as a request for non-disclosure.</w:t>
      </w:r>
      <w: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pPr>
        <w:pStyle w:val="04BodyText"/>
        <w:spacing w:before="120" w:after="120"/>
      </w:pPr>
    </w:p>
    <w:p>
      <w:pPr>
        <w:autoSpaceDE w:val="0"/>
        <w:autoSpaceDN w:val="0"/>
        <w:adjustRightInd w:val="0"/>
        <w:spacing w:before="120" w:after="120" w:line="276" w:lineRule="auto"/>
        <w:jc w:val="both"/>
        <w:rPr>
          <w:rFonts w:cs="Georgia"/>
          <w:b/>
          <w:bCs/>
          <w:i/>
          <w:color w:val="000000"/>
          <w:szCs w:val="20"/>
          <w:lang w:eastAsia="en-GB"/>
        </w:rPr>
      </w:pPr>
      <w:bookmarkStart w:id="3" w:name="_Toc335141335"/>
      <w:r>
        <w:rPr>
          <w:rFonts w:cs="Georgia"/>
          <w:b/>
          <w:bCs/>
          <w:i/>
          <w:color w:val="000000"/>
          <w:szCs w:val="20"/>
          <w:lang w:eastAsia="en-GB"/>
        </w:rPr>
        <w:t>Data protection</w:t>
      </w:r>
      <w:bookmarkEnd w:id="3"/>
    </w:p>
    <w:p>
      <w:pPr>
        <w:autoSpaceDE w:val="0"/>
        <w:autoSpaceDN w:val="0"/>
        <w:adjustRightInd w:val="0"/>
        <w:spacing w:before="120" w:after="120" w:line="276" w:lineRule="auto"/>
        <w:jc w:val="both"/>
      </w:pPr>
      <w:r>
        <w:rPr>
          <w:szCs w:val="20"/>
        </w:rPr>
        <w:t xml:space="preserve">Information on data protection can be found at </w:t>
      </w:r>
      <w:hyperlink r:id="rId15" w:history="1">
        <w:r>
          <w:rPr>
            <w:rStyle w:val="Hyperlink"/>
            <w:szCs w:val="20"/>
          </w:rPr>
          <w:t>www.esma.europa.eu</w:t>
        </w:r>
      </w:hyperlink>
      <w:r>
        <w:rPr>
          <w:szCs w:val="20"/>
        </w:rPr>
        <w:t xml:space="preserve"> under the heading ‘Disclaimer’.</w:t>
      </w:r>
      <w:r>
        <w:br w:type="page"/>
      </w:r>
      <w:bookmarkEnd w:id="0"/>
      <w:r>
        <w:lastRenderedPageBreak/>
        <w:t>General information about respondent</w:t>
      </w:r>
    </w:p>
    <w:tbl>
      <w:tblPr>
        <w:tblStyle w:val="TableGrid"/>
        <w:tblW w:w="0" w:type="auto"/>
        <w:tblLook w:val="04A0" w:firstRow="1" w:lastRow="0" w:firstColumn="1" w:lastColumn="0" w:noHBand="0" w:noVBand="1"/>
      </w:tblPr>
      <w:tblGrid>
        <w:gridCol w:w="3510"/>
        <w:gridCol w:w="6118"/>
      </w:tblGrid>
      <w:tr>
        <w:tc>
          <w:tcPr>
            <w:tcW w:w="3510" w:type="dxa"/>
          </w:tcPr>
          <w:p>
            <w:r>
              <w:t>Are you representing an association?</w:t>
            </w:r>
          </w:p>
        </w:tc>
        <w:tc>
          <w:tcPr>
            <w:tcW w:w="6118" w:type="dxa"/>
          </w:tcPr>
          <w:p>
            <w:sdt>
              <w:sdtPr>
                <w:alias w:val="Association"/>
                <w:tag w:val="Association"/>
                <w:id w:val="-1769143793"/>
                <w:placeholder>
                  <w:docPart w:val="6128E631859144A8B774ACA138C88107"/>
                </w:placeholder>
                <w:comboBox>
                  <w:listItem w:displayText="Yes" w:value="Yes"/>
                  <w:listItem w:displayText="No" w:value="No"/>
                </w:comboBox>
              </w:sdtPr>
              <w:sdtContent>
                <w:r>
                  <w:t>f</w:t>
                </w:r>
              </w:sdtContent>
            </w:sdt>
          </w:p>
        </w:tc>
      </w:tr>
      <w:tr>
        <w:tc>
          <w:tcPr>
            <w:tcW w:w="3510" w:type="dxa"/>
          </w:tcPr>
          <w:p>
            <w:r>
              <w:t>Activity:</w:t>
            </w:r>
          </w:p>
        </w:tc>
        <w:tc>
          <w:tcPr>
            <w:tcW w:w="6118" w:type="dxa"/>
          </w:tcPr>
          <w:p>
            <w:sdt>
              <w:sdtPr>
                <w:alias w:val="Activity"/>
                <w:tag w:val="Activity"/>
                <w:id w:val="1654095920"/>
                <w:placeholder>
                  <w:docPart w:val="FC2190542B92485096F7FC0D27709BC6"/>
                </w:placeholder>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permStart w:id="1693809804" w:edGrp="everyone"/>
                <w:r>
                  <w:t>Non-financial counterparty</w:t>
                </w:r>
                <w:permEnd w:id="1693809804"/>
              </w:sdtContent>
            </w:sdt>
          </w:p>
        </w:tc>
      </w:tr>
      <w:tr>
        <w:tc>
          <w:tcPr>
            <w:tcW w:w="3510" w:type="dxa"/>
          </w:tcPr>
          <w:p>
            <w:r>
              <w:t>Country/Region</w:t>
            </w:r>
          </w:p>
        </w:tc>
        <w:sdt>
          <w:sdtPr>
            <w:alias w:val="Country"/>
            <w:tag w:val="Country"/>
            <w:id w:val="-1549134410"/>
            <w:placeholder>
              <w:docPart w:val="4E8AEA97C42B4F2684FB1FBEA9C94252"/>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1770158931" w:edGrp="everyone" w:displacedByCustomXml="prev"/>
            <w:tc>
              <w:tcPr>
                <w:tcW w:w="6118" w:type="dxa"/>
              </w:tcPr>
              <w:p>
                <w:r>
                  <w:t>Europe</w:t>
                </w:r>
              </w:p>
            </w:tc>
            <w:permEnd w:id="1770158931" w:displacedByCustomXml="next"/>
          </w:sdtContent>
        </w:sdt>
      </w:tr>
    </w:tbl>
    <w:p>
      <w:pPr>
        <w:pStyle w:val="Heading1"/>
        <w:numPr>
          <w:ilvl w:val="0"/>
          <w:numId w:val="0"/>
        </w:numPr>
      </w:pPr>
      <w:bookmarkStart w:id="4" w:name="_GoBack"/>
      <w:bookmarkEnd w:id="4"/>
      <w:r>
        <w:br w:type="page"/>
      </w:r>
      <w:bookmarkStart w:id="5" w:name="_Toc392599420"/>
      <w:r>
        <w:lastRenderedPageBreak/>
        <w:t>Introduction</w:t>
      </w:r>
      <w:bookmarkEnd w:id="5"/>
    </w:p>
    <w:p/>
    <w:p>
      <w:pPr>
        <w:rPr>
          <w:b/>
        </w:rPr>
      </w:pPr>
      <w:r>
        <w:rPr>
          <w:b/>
        </w:rPr>
        <w:t>Please make your introductory comments below</w:t>
      </w:r>
      <w:r>
        <w:rPr>
          <w:b/>
        </w:rPr>
        <w:t xml:space="preserve">, </w:t>
      </w:r>
      <w:r>
        <w:rPr>
          <w:b/>
        </w:rPr>
        <w:t>if any</w:t>
      </w:r>
      <w:r>
        <w:rPr>
          <w:b/>
        </w:rPr>
        <w:t>:</w:t>
      </w:r>
    </w:p>
    <w:p/>
    <w:p>
      <w:r>
        <w:t>&lt;</w:t>
      </w:r>
      <w:r>
        <w:t xml:space="preserve"> </w:t>
      </w:r>
      <w:r>
        <w:t>ESMA_COMMENT</w:t>
      </w:r>
      <w:r>
        <w:t>_MAR_TA_1&gt;</w:t>
      </w:r>
    </w:p>
    <w:p>
      <w:permStart w:id="1217872441" w:edGrp="everyone"/>
      <w:r>
        <w:t>TYPE YOUR TEXT HERE</w:t>
      </w:r>
    </w:p>
    <w:permEnd w:id="1217872441"/>
    <w:p>
      <w:r>
        <w:t>&lt;</w:t>
      </w:r>
      <w:r>
        <w:t xml:space="preserve"> </w:t>
      </w:r>
      <w:r>
        <w:t>ESMA_COMMENT_MAR_TA_1&gt;</w:t>
      </w:r>
    </w:p>
    <w:p>
      <w:r>
        <w:br w:type="page"/>
      </w:r>
    </w:p>
    <w:p>
      <w:pPr>
        <w:pStyle w:val="Heading1"/>
      </w:pPr>
      <w:r>
        <w:lastRenderedPageBreak/>
        <w:t>B</w:t>
      </w:r>
      <w:r>
        <w:t>uy-backs and stabilisation: the conditions for buy-back programmes and stabilisation measures</w:t>
      </w:r>
    </w:p>
    <w:p/>
    <w:p>
      <w:pPr>
        <w:pStyle w:val="Heading5"/>
        <w:keepNext w:val="0"/>
        <w:keepLines w:val="0"/>
        <w:numPr>
          <w:ilvl w:val="0"/>
          <w:numId w:val="36"/>
        </w:numPr>
        <w:spacing w:before="0" w:after="250" w:line="276" w:lineRule="auto"/>
        <w:ind w:left="426" w:hanging="426"/>
      </w:pPr>
      <w:r>
        <w:t xml:space="preserve">Do you agree with the approach set out for volume limitations? Do you think that the 50% volume limit in case of extreme low liquidity should be reinstated? If so, please justify. </w:t>
      </w:r>
    </w:p>
    <w:p>
      <w:r>
        <w:t>&lt;</w:t>
      </w:r>
      <w:r>
        <w:t>ESMA_QUESTION_MAR_TS_</w:t>
      </w:r>
      <w:r>
        <w:t>1&gt;</w:t>
      </w:r>
    </w:p>
    <w:p>
      <w:permStart w:id="522457479" w:edGrp="everyone"/>
      <w:r>
        <w:t>TYPE YOUR TEXT HERE</w:t>
      </w:r>
    </w:p>
    <w:permEnd w:id="522457479"/>
    <w:p>
      <w:r>
        <w:t>&lt;</w:t>
      </w:r>
      <w:r>
        <w:t>ESMA_QUESTION_MAR_TS_</w:t>
      </w:r>
      <w:r>
        <w:t>1&gt;</w:t>
      </w:r>
    </w:p>
    <w:p/>
    <w:p>
      <w:pPr>
        <w:pStyle w:val="Heading5"/>
        <w:keepNext w:val="0"/>
        <w:keepLines w:val="0"/>
        <w:numPr>
          <w:ilvl w:val="0"/>
          <w:numId w:val="36"/>
        </w:numPr>
        <w:spacing w:before="0" w:after="250" w:line="276" w:lineRule="auto"/>
        <w:ind w:left="426" w:hanging="426"/>
      </w:pPr>
      <w:r>
        <w:t>Do you agree with the approach set out for stabilisation measures? If not, please e</w:t>
      </w:r>
      <w:r>
        <w:t>x</w:t>
      </w:r>
      <w:r>
        <w:t>plain.</w:t>
      </w:r>
    </w:p>
    <w:p>
      <w:r>
        <w:t>&lt;</w:t>
      </w:r>
      <w:r>
        <w:t>ESMA_QUESTION_MAR_TS_</w:t>
      </w:r>
      <w:r>
        <w:t>2&gt;</w:t>
      </w:r>
    </w:p>
    <w:p>
      <w:permStart w:id="1301507181" w:edGrp="everyone"/>
      <w:r>
        <w:t>TYPE YOUR TEXT HERE</w:t>
      </w:r>
    </w:p>
    <w:permEnd w:id="1301507181"/>
    <w:p>
      <w:r>
        <w:t>&lt;</w:t>
      </w:r>
      <w:r>
        <w:t>ESMA_QUESTION_MAR_TS_</w:t>
      </w:r>
      <w:r>
        <w:t>2&gt;</w:t>
      </w:r>
    </w:p>
    <w:p>
      <w:pPr>
        <w:pStyle w:val="Heading1"/>
        <w:keepLines/>
        <w:spacing w:before="480" w:after="0" w:line="276" w:lineRule="auto"/>
        <w:ind w:left="284" w:hanging="284"/>
      </w:pPr>
      <w:r>
        <w:t>Mar</w:t>
      </w:r>
      <w:r>
        <w:t>ket soundings</w:t>
      </w:r>
    </w:p>
    <w:p/>
    <w:p>
      <w:pPr>
        <w:pStyle w:val="Heading5"/>
        <w:keepNext w:val="0"/>
        <w:keepLines w:val="0"/>
        <w:numPr>
          <w:ilvl w:val="0"/>
          <w:numId w:val="36"/>
        </w:numPr>
        <w:spacing w:before="0" w:after="250" w:line="276" w:lineRule="auto"/>
        <w:ind w:left="426" w:hanging="426"/>
      </w:pPr>
      <w:r>
        <w:t xml:space="preserve">Do you agree with ESMA’s revised proposals for the standards that should apply prior to conducting a market sounding? </w:t>
      </w:r>
    </w:p>
    <w:p>
      <w:r>
        <w:t>&lt;</w:t>
      </w:r>
      <w:r>
        <w:t>ESMA_QUESTION_MAR_TS_</w:t>
      </w:r>
      <w:r>
        <w:t>3&gt;</w:t>
      </w:r>
    </w:p>
    <w:p>
      <w:permStart w:id="1123372211" w:edGrp="everyone"/>
      <w:r>
        <w:t>TYPE YOUR TEXT HERE</w:t>
      </w:r>
    </w:p>
    <w:permEnd w:id="1123372211"/>
    <w:p>
      <w:r>
        <w:t>&lt;</w:t>
      </w:r>
      <w:r>
        <w:t>ESMA_QUESTION_MAR_TS_</w:t>
      </w:r>
      <w:r>
        <w:t>3&gt;</w:t>
      </w:r>
    </w:p>
    <w:p/>
    <w:p>
      <w:pPr>
        <w:pStyle w:val="Heading5"/>
        <w:keepNext w:val="0"/>
        <w:keepLines w:val="0"/>
        <w:numPr>
          <w:ilvl w:val="0"/>
          <w:numId w:val="36"/>
        </w:numPr>
        <w:spacing w:before="0" w:after="250" w:line="276" w:lineRule="auto"/>
        <w:ind w:left="426" w:hanging="426"/>
      </w:pPr>
      <w:r>
        <w:t>Do you agree with the revised proposal for standard template for scripts? Do you have any comments on the elements included in the list?</w:t>
      </w:r>
    </w:p>
    <w:p>
      <w:r>
        <w:t>&lt;</w:t>
      </w:r>
      <w:r>
        <w:t>ESMA_QUESTION_MAR_TS_</w:t>
      </w:r>
      <w:r>
        <w:t>4&gt;</w:t>
      </w:r>
    </w:p>
    <w:p>
      <w:permStart w:id="1633485552" w:edGrp="everyone"/>
      <w:r>
        <w:t>TYPE YOUR TEXT HERE</w:t>
      </w:r>
    </w:p>
    <w:permEnd w:id="1633485552"/>
    <w:p>
      <w:r>
        <w:t>&lt;</w:t>
      </w:r>
      <w:r>
        <w:t>ESMA_QUESTION_MAR_TS_</w:t>
      </w:r>
      <w:r>
        <w:t>4&gt;</w:t>
      </w:r>
    </w:p>
    <w:p/>
    <w:p>
      <w:pPr>
        <w:pStyle w:val="Heading5"/>
        <w:keepNext w:val="0"/>
        <w:keepLines w:val="0"/>
        <w:numPr>
          <w:ilvl w:val="0"/>
          <w:numId w:val="36"/>
        </w:numPr>
        <w:spacing w:before="0" w:after="250" w:line="276" w:lineRule="auto"/>
        <w:ind w:left="426" w:hanging="426"/>
      </w:pPr>
      <w:r>
        <w:t>Do you agree with these proposals regarding sounding lists?</w:t>
      </w:r>
    </w:p>
    <w:p>
      <w:r>
        <w:t>&lt;</w:t>
      </w:r>
      <w:r>
        <w:t>ESMA_QUESTION_MAR_TS_</w:t>
      </w:r>
      <w:r>
        <w:t>5&gt;</w:t>
      </w:r>
    </w:p>
    <w:p>
      <w:permStart w:id="1177842950" w:edGrp="everyone"/>
      <w:r>
        <w:t>TYPE YOUR TEXT HERE</w:t>
      </w:r>
    </w:p>
    <w:permEnd w:id="1177842950"/>
    <w:p>
      <w:r>
        <w:t>&lt;</w:t>
      </w:r>
      <w:r>
        <w:t>ESMA_QUESTION_MAR_TS_</w:t>
      </w:r>
      <w:r>
        <w:t>5&gt;</w:t>
      </w:r>
    </w:p>
    <w:p/>
    <w:p>
      <w:pPr>
        <w:pStyle w:val="Heading5"/>
        <w:keepNext w:val="0"/>
        <w:keepLines w:val="0"/>
        <w:numPr>
          <w:ilvl w:val="0"/>
          <w:numId w:val="36"/>
        </w:numPr>
        <w:spacing w:before="0" w:after="250" w:line="276" w:lineRule="auto"/>
        <w:ind w:left="426" w:hanging="426"/>
      </w:pPr>
      <w:r>
        <w:t>Do you agree with the revised requirement for DMPs to maintain sounding information about the point of contact when such information is made available by the potential i</w:t>
      </w:r>
      <w:r>
        <w:t>n</w:t>
      </w:r>
      <w:r>
        <w:t>vestor?</w:t>
      </w:r>
    </w:p>
    <w:p>
      <w:r>
        <w:t>&lt;</w:t>
      </w:r>
      <w:r>
        <w:t>ESMA_QUESTION_MAR_TS_</w:t>
      </w:r>
      <w:r>
        <w:t>6&gt;</w:t>
      </w:r>
    </w:p>
    <w:p>
      <w:permStart w:id="1658155981" w:edGrp="everyone"/>
      <w:r>
        <w:t>TYPE YOUR TEXT HERE</w:t>
      </w:r>
    </w:p>
    <w:permEnd w:id="1658155981"/>
    <w:p>
      <w:r>
        <w:t>&lt;</w:t>
      </w:r>
      <w:r>
        <w:t>ESMA_QUESTION_MAR_TS_</w:t>
      </w:r>
      <w:r>
        <w:t>6&gt;</w:t>
      </w:r>
    </w:p>
    <w:p/>
    <w:p>
      <w:pPr>
        <w:pStyle w:val="Heading5"/>
        <w:keepNext w:val="0"/>
        <w:keepLines w:val="0"/>
        <w:numPr>
          <w:ilvl w:val="0"/>
          <w:numId w:val="36"/>
        </w:numPr>
        <w:spacing w:before="0" w:after="250" w:line="276" w:lineRule="auto"/>
        <w:ind w:left="426" w:hanging="426"/>
      </w:pPr>
      <w:r>
        <w:t>Do you agree with these proposals regarding recorded communications?</w:t>
      </w:r>
    </w:p>
    <w:p>
      <w:r>
        <w:t>&lt;</w:t>
      </w:r>
      <w:r>
        <w:t>ESMA_QUESTION_MAR_TS_</w:t>
      </w:r>
      <w:r>
        <w:t>7&gt;</w:t>
      </w:r>
    </w:p>
    <w:p>
      <w:permStart w:id="1428313552" w:edGrp="everyone"/>
      <w:r>
        <w:lastRenderedPageBreak/>
        <w:t>TYPE YOUR TEXT HERE</w:t>
      </w:r>
    </w:p>
    <w:permEnd w:id="1428313552"/>
    <w:p>
      <w:r>
        <w:t>&lt;</w:t>
      </w:r>
      <w:r>
        <w:t>ESMA_QUESTION_MAR_TS_</w:t>
      </w:r>
      <w:r>
        <w:t>7&gt;</w:t>
      </w:r>
    </w:p>
    <w:p/>
    <w:p>
      <w:pPr>
        <w:pStyle w:val="Heading5"/>
        <w:keepNext w:val="0"/>
        <w:keepLines w:val="0"/>
        <w:numPr>
          <w:ilvl w:val="0"/>
          <w:numId w:val="36"/>
        </w:numPr>
        <w:spacing w:before="0" w:after="250" w:line="276" w:lineRule="auto"/>
        <w:ind w:left="426" w:hanging="426"/>
      </w:pPr>
      <w:r>
        <w:t>Do you agree with these proposals regarding DMPs’ internal processes and controls?</w:t>
      </w:r>
    </w:p>
    <w:p>
      <w:r>
        <w:t>&lt;</w:t>
      </w:r>
      <w:r>
        <w:t>ESMA_QUESTION_MAR_TS_</w:t>
      </w:r>
      <w:r>
        <w:t>8&gt;</w:t>
      </w:r>
    </w:p>
    <w:p>
      <w:permStart w:id="2074951446" w:edGrp="everyone"/>
      <w:r>
        <w:t>TYPE YOUR TEXT HERE</w:t>
      </w:r>
    </w:p>
    <w:permEnd w:id="2074951446"/>
    <w:p>
      <w:r>
        <w:t>&lt;</w:t>
      </w:r>
      <w:r>
        <w:t>ESMA_QUESTION_MAR_TS_</w:t>
      </w:r>
      <w:r>
        <w:t>8&gt;</w:t>
      </w:r>
    </w:p>
    <w:p>
      <w:r>
        <w:br w:type="page"/>
      </w:r>
    </w:p>
    <w:p>
      <w:pPr>
        <w:pStyle w:val="Heading1"/>
        <w:keepLines/>
        <w:spacing w:before="480" w:after="0" w:line="276" w:lineRule="auto"/>
        <w:ind w:left="284" w:hanging="284"/>
      </w:pPr>
      <w:r>
        <w:lastRenderedPageBreak/>
        <w:t xml:space="preserve">Accepted Market </w:t>
      </w:r>
      <w:r>
        <w:t>Practices</w:t>
      </w:r>
    </w:p>
    <w:p/>
    <w:p>
      <w:pPr>
        <w:pStyle w:val="Heading5"/>
        <w:keepNext w:val="0"/>
        <w:keepLines w:val="0"/>
        <w:numPr>
          <w:ilvl w:val="0"/>
          <w:numId w:val="36"/>
        </w:numPr>
        <w:spacing w:before="0" w:after="250" w:line="276" w:lineRule="auto"/>
        <w:ind w:left="426" w:hanging="426"/>
      </w:pPr>
      <w:r>
        <w:t>Do you agree with ESMA’s view on how to deal with OTC transactions?</w:t>
      </w:r>
      <w:r>
        <w:tab/>
      </w:r>
    </w:p>
    <w:p>
      <w:r>
        <w:t>&lt;</w:t>
      </w:r>
      <w:r>
        <w:t>ESMA_QUESTION_MAR_TS_</w:t>
      </w:r>
      <w:r>
        <w:t>9&gt;</w:t>
      </w:r>
    </w:p>
    <w:p>
      <w:pPr>
        <w:pStyle w:val="BodyText0"/>
        <w:spacing w:before="120" w:after="120"/>
        <w:ind w:right="176"/>
        <w:rPr>
          <w:rFonts w:cs="Arial"/>
        </w:rPr>
      </w:pPr>
      <w:permStart w:id="634741790" w:edGrp="everyone"/>
      <w:r>
        <w:rPr>
          <w:rFonts w:cs="Arial"/>
        </w:rPr>
        <w:t>CMC Europe considers the proposed extension to OTC transactions to be consistent with the primary legislation. We note the proposed consultation requirement in Article 16(1</w:t>
      </w:r>
      <w:proofErr w:type="gramStart"/>
      <w:r>
        <w:rPr>
          <w:rFonts w:cs="Arial"/>
        </w:rPr>
        <w:t>)(</w:t>
      </w:r>
      <w:proofErr w:type="gramEnd"/>
      <w:r>
        <w:rPr>
          <w:rFonts w:cs="Arial"/>
        </w:rPr>
        <w:t xml:space="preserve">b) of the draft </w:t>
      </w:r>
      <w:proofErr w:type="spellStart"/>
      <w:r>
        <w:rPr>
          <w:rFonts w:cs="Arial"/>
        </w:rPr>
        <w:t>RTS</w:t>
      </w:r>
      <w:proofErr w:type="spellEnd"/>
      <w:r>
        <w:rPr>
          <w:rFonts w:cs="Arial"/>
        </w:rPr>
        <w:t xml:space="preserve"> and the reference to “financial services providers” – a term that is not defined in the draft </w:t>
      </w:r>
      <w:proofErr w:type="spellStart"/>
      <w:r>
        <w:rPr>
          <w:rFonts w:cs="Arial"/>
        </w:rPr>
        <w:t>RTS</w:t>
      </w:r>
      <w:proofErr w:type="spellEnd"/>
      <w:r>
        <w:rPr>
          <w:rFonts w:cs="Arial"/>
        </w:rPr>
        <w:t xml:space="preserve"> and may be mi</w:t>
      </w:r>
      <w:r>
        <w:rPr>
          <w:rFonts w:cs="Arial"/>
        </w:rPr>
        <w:t>s</w:t>
      </w:r>
      <w:r>
        <w:rPr>
          <w:rFonts w:cs="Arial"/>
        </w:rPr>
        <w:t xml:space="preserve">applied. </w:t>
      </w:r>
      <w:proofErr w:type="spellStart"/>
      <w:r>
        <w:rPr>
          <w:rFonts w:cs="Arial"/>
        </w:rPr>
        <w:t>CMCE</w:t>
      </w:r>
      <w:proofErr w:type="spellEnd"/>
      <w:r>
        <w:rPr>
          <w:rFonts w:cs="Arial"/>
        </w:rPr>
        <w:t xml:space="preserve"> therefore suggests replacing this term with that of “market participants”.</w:t>
      </w:r>
    </w:p>
    <w:p>
      <w:pPr>
        <w:pStyle w:val="BodyText0"/>
        <w:spacing w:before="120" w:after="0"/>
        <w:ind w:right="176"/>
        <w:rPr>
          <w:rFonts w:cs="Arial"/>
        </w:rPr>
      </w:pPr>
      <w:r>
        <w:rPr>
          <w:rFonts w:cs="Arial"/>
        </w:rPr>
        <w:t xml:space="preserve">Article 16 (draft </w:t>
      </w:r>
      <w:proofErr w:type="spellStart"/>
      <w:r>
        <w:rPr>
          <w:rFonts w:cs="Arial"/>
        </w:rPr>
        <w:t>RTS</w:t>
      </w:r>
      <w:proofErr w:type="spellEnd"/>
      <w:r>
        <w:rPr>
          <w:rFonts w:cs="Arial"/>
        </w:rPr>
        <w:t xml:space="preserve"> at Annex IV)</w:t>
      </w:r>
    </w:p>
    <w:p>
      <w:pPr>
        <w:pStyle w:val="BodyText0"/>
        <w:spacing w:before="120" w:after="0"/>
        <w:ind w:right="176"/>
        <w:rPr>
          <w:rFonts w:cs="Arial"/>
        </w:rPr>
      </w:pPr>
      <w:r>
        <w:rPr>
          <w:rFonts w:cs="Arial"/>
        </w:rPr>
        <w:t>General requirements</w:t>
      </w:r>
    </w:p>
    <w:p>
      <w:pPr>
        <w:pStyle w:val="BodyText0"/>
        <w:numPr>
          <w:ilvl w:val="0"/>
          <w:numId w:val="37"/>
        </w:numPr>
        <w:spacing w:before="120" w:after="0"/>
        <w:ind w:left="432" w:right="176" w:hanging="425"/>
        <w:rPr>
          <w:rFonts w:cs="Arial"/>
        </w:rPr>
      </w:pPr>
      <w:r>
        <w:rPr>
          <w:rFonts w:cs="Arial"/>
        </w:rPr>
        <w:t>When considering accepting a market practice as an accepted market practice (hereinafter “AMP”), modifying an AMP already established or deciding for the continuation of an AMP pursuant to Art</w:t>
      </w:r>
      <w:r>
        <w:rPr>
          <w:rFonts w:cs="Arial"/>
        </w:rPr>
        <w:t>i</w:t>
      </w:r>
      <w:r>
        <w:rPr>
          <w:rFonts w:cs="Arial"/>
        </w:rPr>
        <w:t xml:space="preserve">cle 13(11) of Regulation (EU) No 596/2014, the competent shall conduct the following assessment: </w:t>
      </w:r>
    </w:p>
    <w:p>
      <w:pPr>
        <w:pStyle w:val="BodyText0"/>
        <w:numPr>
          <w:ilvl w:val="1"/>
          <w:numId w:val="38"/>
        </w:numPr>
        <w:spacing w:before="120" w:after="0"/>
        <w:ind w:left="432" w:right="176" w:hanging="425"/>
        <w:rPr>
          <w:rFonts w:cs="Arial"/>
        </w:rPr>
      </w:pPr>
      <w:r>
        <w:rPr>
          <w:rFonts w:cs="Arial"/>
        </w:rPr>
        <w:t>evaluation of the market practice against each of the criteria set in Article 13(2) of Regulation (EU) No 596/2014 and specified further in Chapter VI of this Regulation and assess whether they are fu</w:t>
      </w:r>
      <w:r>
        <w:rPr>
          <w:rFonts w:cs="Arial"/>
        </w:rPr>
        <w:t>l</w:t>
      </w:r>
      <w:r>
        <w:rPr>
          <w:rFonts w:cs="Arial"/>
        </w:rPr>
        <w:t>filled;</w:t>
      </w:r>
    </w:p>
    <w:p>
      <w:pPr>
        <w:pStyle w:val="BodyText0"/>
        <w:numPr>
          <w:ilvl w:val="1"/>
          <w:numId w:val="38"/>
        </w:numPr>
        <w:spacing w:before="120" w:after="0"/>
        <w:ind w:left="432" w:right="176" w:hanging="425"/>
        <w:rPr>
          <w:rFonts w:cs="Arial"/>
        </w:rPr>
      </w:pPr>
      <w:proofErr w:type="gramStart"/>
      <w:r>
        <w:rPr>
          <w:rFonts w:cs="Arial"/>
        </w:rPr>
        <w:t>consultation</w:t>
      </w:r>
      <w:proofErr w:type="gramEnd"/>
      <w:r>
        <w:rPr>
          <w:rFonts w:cs="Arial"/>
        </w:rPr>
        <w:t xml:space="preserve"> with relevant bodies such as representatives of issuers, </w:t>
      </w:r>
      <w:r>
        <w:rPr>
          <w:rFonts w:cs="Arial"/>
          <w:strike/>
        </w:rPr>
        <w:t>financial services providers</w:t>
      </w:r>
      <w:r>
        <w:rPr>
          <w:rFonts w:cs="Arial"/>
        </w:rPr>
        <w:t xml:space="preserve"> </w:t>
      </w:r>
      <w:r>
        <w:rPr>
          <w:rFonts w:cs="Arial"/>
          <w:b/>
        </w:rPr>
        <w:t>market participants</w:t>
      </w:r>
      <w:r>
        <w:rPr>
          <w:rFonts w:cs="Arial"/>
        </w:rPr>
        <w:t xml:space="preserve">, consumers, market operators </w:t>
      </w:r>
      <w:r>
        <w:rPr>
          <w:rFonts w:cs="Arial"/>
          <w:b/>
        </w:rPr>
        <w:t>and investment firms operating trading venues and other authorities</w:t>
      </w:r>
      <w:r>
        <w:rPr>
          <w:rFonts w:cs="Arial"/>
        </w:rPr>
        <w:t>.</w:t>
      </w:r>
    </w:p>
    <w:permEnd w:id="634741790"/>
    <w:p>
      <w:r>
        <w:t>&lt;</w:t>
      </w:r>
      <w:r>
        <w:t>ESMA_QUESTION_MAR_TS_</w:t>
      </w:r>
      <w:r>
        <w:t>9&gt;</w:t>
      </w:r>
    </w:p>
    <w:p/>
    <w:p>
      <w:pPr>
        <w:pStyle w:val="Heading5"/>
        <w:keepNext w:val="0"/>
        <w:keepLines w:val="0"/>
        <w:numPr>
          <w:ilvl w:val="0"/>
          <w:numId w:val="36"/>
        </w:numPr>
        <w:spacing w:before="0" w:after="250" w:line="276" w:lineRule="auto"/>
        <w:ind w:left="426" w:hanging="426"/>
      </w:pPr>
      <w:r>
        <w:t>Do you agree with ESMA’s view that the status of supervised person of the person performing the AMP is an essential criterion in the assessment to be conducted by the competent authority?</w:t>
      </w:r>
    </w:p>
    <w:p>
      <w:r>
        <w:t>&lt;</w:t>
      </w:r>
      <w:r>
        <w:t>ESMA_QUESTION_MAR_TS_</w:t>
      </w:r>
      <w:r>
        <w:t>10&gt;</w:t>
      </w:r>
    </w:p>
    <w:p>
      <w:pPr>
        <w:pStyle w:val="BodyText0"/>
        <w:spacing w:before="120" w:after="120"/>
        <w:ind w:right="175"/>
        <w:rPr>
          <w:rFonts w:cs="Arial"/>
        </w:rPr>
      </w:pPr>
      <w:permStart w:id="14289339" w:edGrp="everyone"/>
      <w:r>
        <w:rPr>
          <w:rFonts w:cs="Arial"/>
        </w:rPr>
        <w:t xml:space="preserve">No. CMC Europe notes that there is no definition or description in the primary legislation or in any of </w:t>
      </w:r>
      <w:proofErr w:type="spellStart"/>
      <w:r>
        <w:rPr>
          <w:rFonts w:cs="Arial"/>
        </w:rPr>
        <w:t>ESMA’s</w:t>
      </w:r>
      <w:proofErr w:type="spellEnd"/>
      <w:r>
        <w:rPr>
          <w:rFonts w:cs="Arial"/>
        </w:rPr>
        <w:t xml:space="preserve"> analysis as to what constitutes “performing” or “executing” an AMP. Yet </w:t>
      </w:r>
      <w:proofErr w:type="spellStart"/>
      <w:r>
        <w:rPr>
          <w:rFonts w:cs="Arial"/>
        </w:rPr>
        <w:t>ESMA’s</w:t>
      </w:r>
      <w:proofErr w:type="spellEnd"/>
      <w:r>
        <w:rPr>
          <w:rFonts w:cs="Arial"/>
        </w:rPr>
        <w:t xml:space="preserve"> analysis at paragraphs 123 defends the proposed requirement that only “supervised entities” be permitted to pe</w:t>
      </w:r>
      <w:r>
        <w:rPr>
          <w:rFonts w:cs="Arial"/>
        </w:rPr>
        <w:t>r</w:t>
      </w:r>
      <w:r>
        <w:rPr>
          <w:rFonts w:cs="Arial"/>
        </w:rPr>
        <w:t xml:space="preserve">form </w:t>
      </w:r>
      <w:proofErr w:type="spellStart"/>
      <w:r>
        <w:rPr>
          <w:rFonts w:cs="Arial"/>
        </w:rPr>
        <w:t>AMPs</w:t>
      </w:r>
      <w:proofErr w:type="spellEnd"/>
      <w:r>
        <w:rPr>
          <w:rFonts w:cs="Arial"/>
        </w:rPr>
        <w:t xml:space="preserve">. </w:t>
      </w:r>
    </w:p>
    <w:p>
      <w:pPr>
        <w:pStyle w:val="BodyText0"/>
        <w:spacing w:before="120" w:after="120"/>
        <w:ind w:right="176"/>
        <w:rPr>
          <w:rFonts w:cs="Arial"/>
        </w:rPr>
      </w:pPr>
      <w:r>
        <w:rPr>
          <w:rFonts w:cs="Arial"/>
        </w:rPr>
        <w:t xml:space="preserve">We welcome and support </w:t>
      </w:r>
      <w:proofErr w:type="spellStart"/>
      <w:r>
        <w:rPr>
          <w:rFonts w:cs="Arial"/>
        </w:rPr>
        <w:t>ESMA’s</w:t>
      </w:r>
      <w:proofErr w:type="spellEnd"/>
      <w:r>
        <w:rPr>
          <w:rFonts w:cs="Arial"/>
        </w:rPr>
        <w:t xml:space="preserve"> analysis at paragraph 124 proposing that any requirement on the status of persons performing/executing an AMP be left to the discretion of the authorising </w:t>
      </w:r>
      <w:proofErr w:type="spellStart"/>
      <w:r>
        <w:rPr>
          <w:rFonts w:cs="Arial"/>
        </w:rPr>
        <w:t>NCA</w:t>
      </w:r>
      <w:proofErr w:type="spellEnd"/>
      <w:r>
        <w:rPr>
          <w:rFonts w:cs="Arial"/>
        </w:rPr>
        <w:t>. Howe</w:t>
      </w:r>
      <w:r>
        <w:rPr>
          <w:rFonts w:cs="Arial"/>
        </w:rPr>
        <w:t>v</w:t>
      </w:r>
      <w:r>
        <w:rPr>
          <w:rFonts w:cs="Arial"/>
        </w:rPr>
        <w:t>er, we note that Article 18(2</w:t>
      </w:r>
      <w:proofErr w:type="gramStart"/>
      <w:r>
        <w:rPr>
          <w:rFonts w:cs="Arial"/>
        </w:rPr>
        <w:t>)(</w:t>
      </w:r>
      <w:proofErr w:type="gramEnd"/>
      <w:r>
        <w:rPr>
          <w:rFonts w:cs="Arial"/>
        </w:rPr>
        <w:t xml:space="preserve">a) of the </w:t>
      </w:r>
      <w:r>
        <w:rPr>
          <w:rFonts w:cs="Arial"/>
          <w:highlight w:val="yellow"/>
        </w:rPr>
        <w:t xml:space="preserve">draft </w:t>
      </w:r>
      <w:proofErr w:type="spellStart"/>
      <w:r>
        <w:rPr>
          <w:rFonts w:cs="Arial"/>
          <w:highlight w:val="green"/>
        </w:rPr>
        <w:t>RTS</w:t>
      </w:r>
      <w:proofErr w:type="spellEnd"/>
      <w:r>
        <w:rPr>
          <w:rFonts w:cs="Arial"/>
          <w:highlight w:val="green"/>
        </w:rPr>
        <w:t xml:space="preserve"> appears to place a burden on the </w:t>
      </w:r>
      <w:proofErr w:type="spellStart"/>
      <w:r>
        <w:rPr>
          <w:rFonts w:cs="Arial"/>
          <w:highlight w:val="green"/>
        </w:rPr>
        <w:t>NCA</w:t>
      </w:r>
      <w:proofErr w:type="spellEnd"/>
      <w:r>
        <w:rPr>
          <w:rFonts w:cs="Arial"/>
          <w:highlight w:val="green"/>
        </w:rPr>
        <w:t xml:space="preserve"> to justify autho</w:t>
      </w:r>
      <w:r>
        <w:rPr>
          <w:rFonts w:cs="Arial"/>
          <w:highlight w:val="green"/>
        </w:rPr>
        <w:t>r</w:t>
      </w:r>
      <w:r>
        <w:rPr>
          <w:rFonts w:cs="Arial"/>
          <w:highlight w:val="green"/>
        </w:rPr>
        <w:t xml:space="preserve">ising </w:t>
      </w:r>
      <w:proofErr w:type="spellStart"/>
      <w:r>
        <w:rPr>
          <w:rFonts w:cs="Arial"/>
          <w:highlight w:val="green"/>
        </w:rPr>
        <w:t>AMPs</w:t>
      </w:r>
      <w:proofErr w:type="spellEnd"/>
      <w:r>
        <w:rPr>
          <w:rFonts w:cs="Arial"/>
          <w:highlight w:val="green"/>
        </w:rPr>
        <w:t xml:space="preserve"> that may be performed/executed by persons</w:t>
      </w:r>
      <w:r>
        <w:rPr>
          <w:rFonts w:cs="Arial"/>
        </w:rPr>
        <w:t xml:space="preserve"> other than “supervised entities”. We do not consider this to be appropriate. We believe that </w:t>
      </w:r>
      <w:proofErr w:type="spellStart"/>
      <w:r>
        <w:rPr>
          <w:rFonts w:cs="Arial"/>
        </w:rPr>
        <w:t>AMPs</w:t>
      </w:r>
      <w:proofErr w:type="spellEnd"/>
      <w:r>
        <w:rPr>
          <w:rFonts w:cs="Arial"/>
        </w:rPr>
        <w:t xml:space="preserve"> established according to the criteria in the prim</w:t>
      </w:r>
      <w:r>
        <w:rPr>
          <w:rFonts w:cs="Arial"/>
        </w:rPr>
        <w:t>a</w:t>
      </w:r>
      <w:r>
        <w:rPr>
          <w:rFonts w:cs="Arial"/>
        </w:rPr>
        <w:t>ry legisl</w:t>
      </w:r>
      <w:r>
        <w:rPr>
          <w:rFonts w:cs="Arial"/>
        </w:rPr>
        <w:t>a</w:t>
      </w:r>
      <w:r>
        <w:rPr>
          <w:rFonts w:cs="Arial"/>
        </w:rPr>
        <w:t>tion should be accessible to all market participants.</w:t>
      </w:r>
    </w:p>
    <w:p>
      <w:pPr>
        <w:pStyle w:val="BodyText0"/>
        <w:spacing w:before="120" w:after="0"/>
        <w:ind w:right="176"/>
        <w:rPr>
          <w:rFonts w:cs="Arial"/>
        </w:rPr>
      </w:pPr>
      <w:r>
        <w:rPr>
          <w:rFonts w:cs="Arial"/>
        </w:rPr>
        <w:t xml:space="preserve">Article 18 (draft </w:t>
      </w:r>
      <w:proofErr w:type="spellStart"/>
      <w:r>
        <w:rPr>
          <w:rFonts w:cs="Arial"/>
        </w:rPr>
        <w:t>RTS</w:t>
      </w:r>
      <w:proofErr w:type="spellEnd"/>
      <w:r>
        <w:rPr>
          <w:rFonts w:cs="Arial"/>
        </w:rPr>
        <w:t xml:space="preserve"> at Annex IV)</w:t>
      </w:r>
    </w:p>
    <w:p>
      <w:pPr>
        <w:pStyle w:val="BodyText0"/>
        <w:spacing w:before="120" w:after="0"/>
        <w:ind w:right="176"/>
        <w:rPr>
          <w:rFonts w:cs="Arial"/>
        </w:rPr>
      </w:pPr>
      <w:r>
        <w:rPr>
          <w:rFonts w:cs="Arial"/>
        </w:rPr>
        <w:t xml:space="preserve">Safeguards of the operations of the market forces and interplay of the forces of supply and demand </w:t>
      </w:r>
    </w:p>
    <w:p>
      <w:pPr>
        <w:pStyle w:val="BodyText0"/>
        <w:numPr>
          <w:ilvl w:val="0"/>
          <w:numId w:val="39"/>
        </w:numPr>
        <w:spacing w:before="120" w:after="0"/>
        <w:ind w:left="432" w:right="176"/>
        <w:rPr>
          <w:rFonts w:cs="Arial"/>
        </w:rPr>
      </w:pPr>
      <w:r>
        <w:rPr>
          <w:rFonts w:cs="Arial"/>
        </w:rPr>
        <w:t>For the purpose of assessing the market practices against the criteria set out in Article 13(2</w:t>
      </w:r>
      <w:proofErr w:type="gramStart"/>
      <w:r>
        <w:rPr>
          <w:rFonts w:cs="Arial"/>
        </w:rPr>
        <w:t>)(</w:t>
      </w:r>
      <w:proofErr w:type="gramEnd"/>
      <w:r>
        <w:rPr>
          <w:rFonts w:cs="Arial"/>
        </w:rPr>
        <w:t xml:space="preserve">b), the market practice shall not inhibit the interaction of the demand and supply of a financial instrument by limiting the opportunities for other market participants to respond to transactions. </w:t>
      </w:r>
    </w:p>
    <w:p>
      <w:pPr>
        <w:pStyle w:val="BodyText0"/>
        <w:numPr>
          <w:ilvl w:val="0"/>
          <w:numId w:val="39"/>
        </w:numPr>
        <w:spacing w:before="120" w:after="0"/>
        <w:ind w:left="432" w:right="176"/>
        <w:rPr>
          <w:rFonts w:cs="Arial"/>
        </w:rPr>
      </w:pPr>
      <w:r>
        <w:rPr>
          <w:rFonts w:cs="Arial"/>
        </w:rPr>
        <w:t xml:space="preserve">Competent authorities shall consider the extent to which persons performing the market practice shall comply with the following non-exhaustive list of features: </w:t>
      </w:r>
    </w:p>
    <w:p>
      <w:pPr>
        <w:pStyle w:val="BodyText0"/>
        <w:numPr>
          <w:ilvl w:val="1"/>
          <w:numId w:val="40"/>
        </w:numPr>
        <w:spacing w:before="120" w:after="0"/>
        <w:ind w:right="176"/>
        <w:rPr>
          <w:rFonts w:cs="Arial"/>
          <w:b/>
        </w:rPr>
      </w:pPr>
      <w:proofErr w:type="gramStart"/>
      <w:r>
        <w:rPr>
          <w:rFonts w:cs="Arial"/>
        </w:rPr>
        <w:t>being</w:t>
      </w:r>
      <w:proofErr w:type="gramEnd"/>
      <w:r>
        <w:rPr>
          <w:rFonts w:cs="Arial"/>
        </w:rPr>
        <w:t xml:space="preserve"> supervised persons, in particular when the interested party who benefits from the AMP delegates or instructs a supervised person to execute an AMP. </w:t>
      </w:r>
      <w:r>
        <w:rPr>
          <w:rFonts w:cs="Arial"/>
          <w:b/>
        </w:rPr>
        <w:t>A competent authority may establish an AMP where the person performing the AMP is not a supervised person</w:t>
      </w:r>
      <w:r>
        <w:rPr>
          <w:rFonts w:cs="Arial"/>
        </w:rPr>
        <w:t xml:space="preserve">. </w:t>
      </w:r>
      <w:r>
        <w:rPr>
          <w:rFonts w:cs="Arial"/>
          <w:strike/>
        </w:rPr>
        <w:lastRenderedPageBreak/>
        <w:t>Where a competent authority accepts an AMP where the person performing the AMP is not a supervised person, it shall be in a position to explain the reasons</w:t>
      </w:r>
      <w:r>
        <w:rPr>
          <w:rFonts w:cs="Arial"/>
        </w:rPr>
        <w:t>;</w:t>
      </w:r>
    </w:p>
    <w:p>
      <w:proofErr w:type="gramStart"/>
      <w:r>
        <w:rPr>
          <w:rFonts w:cs="Arial"/>
          <w:strike/>
        </w:rPr>
        <w:t>being</w:t>
      </w:r>
      <w:proofErr w:type="gramEnd"/>
      <w:r>
        <w:rPr>
          <w:rFonts w:cs="Arial"/>
          <w:strike/>
        </w:rPr>
        <w:t xml:space="preserve"> members of a trading venue where the AMP is performed</w:t>
      </w:r>
      <w:r>
        <w:rPr>
          <w:rFonts w:cs="Arial"/>
        </w:rPr>
        <w:t>;</w:t>
      </w:r>
    </w:p>
    <w:permEnd w:id="14289339"/>
    <w:p>
      <w:r>
        <w:t>&lt;</w:t>
      </w:r>
      <w:r>
        <w:t>ESMA_QUESTION_MAR_TS_</w:t>
      </w:r>
      <w:r>
        <w:t>10&gt;</w:t>
      </w:r>
    </w:p>
    <w:p/>
    <w:p>
      <w:r>
        <w:br w:type="page"/>
      </w:r>
    </w:p>
    <w:p>
      <w:pPr>
        <w:pStyle w:val="Heading1"/>
        <w:keepLines/>
        <w:spacing w:before="480" w:after="0" w:line="276" w:lineRule="auto"/>
        <w:ind w:left="284" w:hanging="284"/>
      </w:pPr>
      <w:r>
        <w:lastRenderedPageBreak/>
        <w:t xml:space="preserve">Suspicious </w:t>
      </w:r>
      <w:r>
        <w:t>transaction and order reporting</w:t>
      </w:r>
      <w:r>
        <w:tab/>
      </w:r>
    </w:p>
    <w:p/>
    <w:p>
      <w:pPr>
        <w:pStyle w:val="Heading5"/>
        <w:keepNext w:val="0"/>
        <w:keepLines w:val="0"/>
        <w:numPr>
          <w:ilvl w:val="0"/>
          <w:numId w:val="36"/>
        </w:numPr>
        <w:spacing w:before="0" w:after="250" w:line="276" w:lineRule="auto"/>
        <w:ind w:left="426" w:hanging="426"/>
      </w:pPr>
      <w:r>
        <w:t>Do you agree with this analysis regarding attempted market abuse and OTC deriv</w:t>
      </w:r>
      <w:r>
        <w:t>a</w:t>
      </w:r>
      <w:r>
        <w:t>tives</w:t>
      </w:r>
      <w:r>
        <w:t>?</w:t>
      </w:r>
    </w:p>
    <w:p>
      <w:r>
        <w:t>&lt;</w:t>
      </w:r>
      <w:r>
        <w:t>ESMA_QUESTION_MAR_TS_</w:t>
      </w:r>
      <w:r>
        <w:t>11&gt;</w:t>
      </w:r>
    </w:p>
    <w:p>
      <w:permStart w:id="1871864490" w:edGrp="everyone"/>
      <w:r>
        <w:rPr>
          <w:rFonts w:ascii="Arial" w:hAnsi="Arial" w:cs="Arial"/>
        </w:rPr>
        <w:t>CMC Europe considers the extension of the reporting obligation to OTC transactions as in line with the guidance of Recital 10 MAR and requirements of Article 2(1)(d) and Article 2(2) MAR</w:t>
      </w:r>
    </w:p>
    <w:permEnd w:id="1871864490"/>
    <w:p>
      <w:r>
        <w:t>&lt;</w:t>
      </w:r>
      <w:r>
        <w:t>ESMA_QUESTION_MAR_TS_</w:t>
      </w:r>
      <w:r>
        <w:t>11&gt;</w:t>
      </w:r>
    </w:p>
    <w:p/>
    <w:p>
      <w:pPr>
        <w:pStyle w:val="Heading5"/>
        <w:keepNext w:val="0"/>
        <w:keepLines w:val="0"/>
        <w:numPr>
          <w:ilvl w:val="0"/>
          <w:numId w:val="36"/>
        </w:numPr>
        <w:spacing w:before="0" w:after="250" w:line="276" w:lineRule="auto"/>
        <w:ind w:left="426" w:hanging="426"/>
      </w:pPr>
      <w:r>
        <w:t>Do you agree with ESMA’s clarification on the timing of STOR reporting?</w:t>
      </w:r>
      <w:r>
        <w:tab/>
      </w:r>
    </w:p>
    <w:p>
      <w:r>
        <w:t>&lt;</w:t>
      </w:r>
      <w:r>
        <w:t>ESMA_QUESTION_MAR_TS_</w:t>
      </w:r>
      <w:r>
        <w:t>12&gt;</w:t>
      </w:r>
    </w:p>
    <w:p>
      <w:pPr>
        <w:spacing w:before="120" w:after="120"/>
        <w:ind w:right="176"/>
        <w:jc w:val="both"/>
        <w:rPr>
          <w:rFonts w:ascii="Arial" w:hAnsi="Arial" w:cs="Arial"/>
        </w:rPr>
      </w:pPr>
      <w:permStart w:id="439944966" w:edGrp="everyone"/>
      <w:r>
        <w:rPr>
          <w:rFonts w:ascii="Arial" w:hAnsi="Arial" w:cs="Arial"/>
        </w:rPr>
        <w:t xml:space="preserve">CMC Europe is generally sceptical of any deadline for the submission of </w:t>
      </w:r>
      <w:proofErr w:type="spellStart"/>
      <w:r>
        <w:rPr>
          <w:rFonts w:ascii="Arial" w:hAnsi="Arial" w:cs="Arial"/>
        </w:rPr>
        <w:t>STORs</w:t>
      </w:r>
      <w:proofErr w:type="spellEnd"/>
      <w:r>
        <w:rPr>
          <w:rFonts w:ascii="Arial" w:hAnsi="Arial" w:cs="Arial"/>
        </w:rPr>
        <w:t xml:space="preserve"> mindful of the greatly expanded scope of the Regulation. We consider </w:t>
      </w:r>
      <w:proofErr w:type="spellStart"/>
      <w:r>
        <w:rPr>
          <w:rFonts w:ascii="Arial" w:hAnsi="Arial" w:cs="Arial"/>
        </w:rPr>
        <w:t>ESMA’s</w:t>
      </w:r>
      <w:proofErr w:type="spellEnd"/>
      <w:r>
        <w:rPr>
          <w:rFonts w:ascii="Arial" w:hAnsi="Arial" w:cs="Arial"/>
        </w:rPr>
        <w:t xml:space="preserve"> clarification in the analysis helpful but we do not support any express reference to a two week period in the draft </w:t>
      </w:r>
      <w:proofErr w:type="spellStart"/>
      <w:r>
        <w:rPr>
          <w:rFonts w:ascii="Arial" w:hAnsi="Arial" w:cs="Arial"/>
        </w:rPr>
        <w:t>RTS</w:t>
      </w:r>
      <w:proofErr w:type="spellEnd"/>
      <w:r>
        <w:rPr>
          <w:rFonts w:ascii="Arial" w:hAnsi="Arial" w:cs="Arial"/>
        </w:rPr>
        <w:t xml:space="preserve">, even if only in a recital. </w:t>
      </w:r>
    </w:p>
    <w:p>
      <w:pPr>
        <w:spacing w:before="120" w:after="120"/>
        <w:ind w:right="176"/>
        <w:jc w:val="both"/>
        <w:rPr>
          <w:rFonts w:ascii="Arial" w:hAnsi="Arial" w:cs="Arial"/>
        </w:rPr>
      </w:pPr>
      <w:r>
        <w:rPr>
          <w:rFonts w:ascii="Arial" w:hAnsi="Arial" w:cs="Arial"/>
        </w:rPr>
        <w:t xml:space="preserve">Recital (3) (draft </w:t>
      </w:r>
      <w:proofErr w:type="spellStart"/>
      <w:r>
        <w:rPr>
          <w:rFonts w:ascii="Arial" w:hAnsi="Arial" w:cs="Arial"/>
        </w:rPr>
        <w:t>RTS</w:t>
      </w:r>
      <w:proofErr w:type="spellEnd"/>
      <w:r>
        <w:rPr>
          <w:rFonts w:ascii="Arial" w:hAnsi="Arial" w:cs="Arial"/>
        </w:rPr>
        <w:t xml:space="preserve"> at Annex VI)</w:t>
      </w:r>
    </w:p>
    <w:p>
      <w:r>
        <w:rPr>
          <w:rFonts w:ascii="Arial" w:hAnsi="Arial" w:cs="Arial"/>
        </w:rPr>
        <w:t xml:space="preserve">Suspicious transaction and order reports should be submitted to the relevant competent authority as soon as possible once a reasonable suspicion is formed in relation to a trading behaviour. “Batching”, the practice consisting in waiting for a particular number of suspicious orders and/or transactions to justify a submission although suspicion by this time has already risen, is not consistent with the requirement to notify without delay. </w:t>
      </w:r>
      <w:r>
        <w:rPr>
          <w:rFonts w:ascii="Arial" w:hAnsi="Arial" w:cs="Arial"/>
          <w:strike/>
        </w:rPr>
        <w:t>Generally and indicatively, suspicious transaction and order reports should be submi</w:t>
      </w:r>
      <w:r>
        <w:rPr>
          <w:rFonts w:ascii="Arial" w:hAnsi="Arial" w:cs="Arial"/>
          <w:strike/>
        </w:rPr>
        <w:t>t</w:t>
      </w:r>
      <w:r>
        <w:rPr>
          <w:rFonts w:ascii="Arial" w:hAnsi="Arial" w:cs="Arial"/>
          <w:strike/>
        </w:rPr>
        <w:t>ted within two weeks of the actual suspected breach.</w:t>
      </w:r>
    </w:p>
    <w:permEnd w:id="439944966"/>
    <w:p>
      <w:r>
        <w:t>&lt;</w:t>
      </w:r>
      <w:r>
        <w:t>ESMA_QUESTION_MAR_TS_</w:t>
      </w:r>
      <w:r>
        <w:t>12&gt;</w:t>
      </w:r>
    </w:p>
    <w:p/>
    <w:p>
      <w:pPr>
        <w:pStyle w:val="Heading5"/>
        <w:keepNext w:val="0"/>
        <w:keepLines w:val="0"/>
        <w:numPr>
          <w:ilvl w:val="0"/>
          <w:numId w:val="36"/>
        </w:numPr>
        <w:spacing w:before="0" w:after="250" w:line="276" w:lineRule="auto"/>
        <w:ind w:left="426" w:hanging="426"/>
      </w:pPr>
      <w:r>
        <w:t>Do you agree with ESMA’s position on automated surveillance?</w:t>
      </w:r>
    </w:p>
    <w:p>
      <w:r>
        <w:t>&lt;</w:t>
      </w:r>
      <w:r>
        <w:t>ESMA_QUESTION_MAR_TS_</w:t>
      </w:r>
      <w:r>
        <w:t>13&gt;</w:t>
      </w:r>
    </w:p>
    <w:p>
      <w:pPr>
        <w:spacing w:before="120" w:after="120"/>
        <w:ind w:right="176"/>
        <w:jc w:val="both"/>
        <w:rPr>
          <w:rFonts w:ascii="Arial" w:hAnsi="Arial" w:cs="Arial"/>
        </w:rPr>
      </w:pPr>
      <w:permStart w:id="478685510" w:edGrp="everyone"/>
      <w:r>
        <w:rPr>
          <w:rFonts w:ascii="Arial" w:hAnsi="Arial" w:cs="Arial"/>
        </w:rPr>
        <w:t xml:space="preserve">No. CMC Europe does not agree that the Article 16(2) MAR requirement must or should be interpreted as requiring all relevant persons to establish automated surveillance systems. Nor do we agree with </w:t>
      </w:r>
      <w:proofErr w:type="spellStart"/>
      <w:r>
        <w:rPr>
          <w:rFonts w:ascii="Arial" w:hAnsi="Arial" w:cs="Arial"/>
        </w:rPr>
        <w:t>ESMA’s</w:t>
      </w:r>
      <w:proofErr w:type="spellEnd"/>
      <w:r>
        <w:rPr>
          <w:rFonts w:ascii="Arial" w:hAnsi="Arial" w:cs="Arial"/>
        </w:rPr>
        <w:t xml:space="preserve"> analysis at paragraph 196 that such systems should encompass the “full range of trading activities undertaken by the firm”.  </w:t>
      </w:r>
    </w:p>
    <w:p>
      <w:pPr>
        <w:spacing w:before="120" w:after="120"/>
        <w:ind w:right="175"/>
        <w:jc w:val="both"/>
        <w:rPr>
          <w:rFonts w:ascii="Arial" w:hAnsi="Arial" w:cs="Arial"/>
        </w:rPr>
      </w:pPr>
      <w:r>
        <w:rPr>
          <w:rFonts w:ascii="Arial" w:hAnsi="Arial" w:cs="Arial"/>
        </w:rPr>
        <w:t>We are concerned that Article 16(2) MAR may be applied to a large number of commercial market participants for whom dealing in commodity derivatives, emissions allowances and derivatives thereof is ancillary to their main business. We note the expanded scope of the Regulation and in particular fear that commercial market participants subject to the reporting requirement may be required to establish automated surveillance systems encompassing their entire trading in financial instruments traded on a trading venue, financial instruments traded OTC, related spot commodity contracts and any other co</w:t>
      </w:r>
      <w:r>
        <w:rPr>
          <w:rFonts w:ascii="Arial" w:hAnsi="Arial" w:cs="Arial"/>
        </w:rPr>
        <w:t>n</w:t>
      </w:r>
      <w:r>
        <w:rPr>
          <w:rFonts w:ascii="Arial" w:hAnsi="Arial" w:cs="Arial"/>
        </w:rPr>
        <w:t>tract or product within the ambit of Article 2 MAR. We do not consider that the great majority of spot commodity trading can be readily surveyed by automated systems on the market today and that co</w:t>
      </w:r>
      <w:r>
        <w:rPr>
          <w:rFonts w:ascii="Arial" w:hAnsi="Arial" w:cs="Arial"/>
        </w:rPr>
        <w:t>m</w:t>
      </w:r>
      <w:r>
        <w:rPr>
          <w:rFonts w:ascii="Arial" w:hAnsi="Arial" w:cs="Arial"/>
        </w:rPr>
        <w:t xml:space="preserve">mercial market participants would be obliged to invest at great cost in bespoke automated surveillance systems. </w:t>
      </w:r>
    </w:p>
    <w:p>
      <w:pPr>
        <w:spacing w:before="120" w:after="120"/>
        <w:ind w:right="175"/>
        <w:jc w:val="both"/>
        <w:rPr>
          <w:rFonts w:ascii="Arial" w:hAnsi="Arial" w:cs="Arial"/>
        </w:rPr>
      </w:pPr>
      <w:r>
        <w:rPr>
          <w:rFonts w:ascii="Arial" w:hAnsi="Arial" w:cs="Arial"/>
        </w:rPr>
        <w:t>We believe that commercial market participants subject to the reporting requirement can and should be permitted to comply through appropriate automated surveillance systems covering their trading in fina</w:t>
      </w:r>
      <w:r>
        <w:rPr>
          <w:rFonts w:ascii="Arial" w:hAnsi="Arial" w:cs="Arial"/>
        </w:rPr>
        <w:t>n</w:t>
      </w:r>
      <w:r>
        <w:rPr>
          <w:rFonts w:ascii="Arial" w:hAnsi="Arial" w:cs="Arial"/>
        </w:rPr>
        <w:t xml:space="preserve">cial instruments alongside human surveillance procedures covering their trading in spot commodity contracts. </w:t>
      </w:r>
    </w:p>
    <w:p>
      <w:pPr>
        <w:spacing w:before="120" w:after="120"/>
        <w:ind w:right="175"/>
        <w:jc w:val="both"/>
        <w:rPr>
          <w:rFonts w:ascii="Arial" w:hAnsi="Arial" w:cs="Arial"/>
        </w:rPr>
      </w:pPr>
      <w:r>
        <w:rPr>
          <w:rFonts w:ascii="Arial" w:hAnsi="Arial" w:cs="Arial"/>
        </w:rPr>
        <w:t xml:space="preserve">Article 5 (draft </w:t>
      </w:r>
      <w:proofErr w:type="spellStart"/>
      <w:r>
        <w:rPr>
          <w:rFonts w:ascii="Arial" w:hAnsi="Arial" w:cs="Arial"/>
        </w:rPr>
        <w:t>RTS</w:t>
      </w:r>
      <w:proofErr w:type="spellEnd"/>
      <w:r>
        <w:rPr>
          <w:rFonts w:ascii="Arial" w:hAnsi="Arial" w:cs="Arial"/>
        </w:rPr>
        <w:t xml:space="preserve"> at Annex VI)</w:t>
      </w:r>
    </w:p>
    <w:p>
      <w:pPr>
        <w:spacing w:before="120" w:after="120"/>
        <w:ind w:right="175"/>
        <w:jc w:val="both"/>
        <w:rPr>
          <w:rFonts w:ascii="Arial" w:hAnsi="Arial" w:cs="Arial"/>
        </w:rPr>
      </w:pPr>
      <w:r>
        <w:rPr>
          <w:rFonts w:ascii="Arial" w:hAnsi="Arial" w:cs="Arial"/>
        </w:rPr>
        <w:t>Monitoring and detecting</w:t>
      </w:r>
    </w:p>
    <w:p>
      <w:r>
        <w:rPr>
          <w:rFonts w:ascii="Arial" w:hAnsi="Arial" w:cs="Arial"/>
        </w:rPr>
        <w:t xml:space="preserve">Persons referred to in Article 16(1) and (2) of Regulation (EU) 596/2014 shall establish and maintain appropriate automated surveillance systems to conduct effective monitoring of orders and transactions, </w:t>
      </w:r>
      <w:r>
        <w:rPr>
          <w:rFonts w:ascii="Arial" w:hAnsi="Arial" w:cs="Arial"/>
        </w:rPr>
        <w:lastRenderedPageBreak/>
        <w:t xml:space="preserve">including through the generation of alerts. Those persons shall explain to their competent authority, if requested, the extent to which the level of automation of their system is appropriate for and proportionate to the scale, size and nature of their business activity. The automated system shall cover </w:t>
      </w:r>
      <w:r>
        <w:rPr>
          <w:rFonts w:ascii="Arial" w:hAnsi="Arial" w:cs="Arial"/>
          <w:strike/>
        </w:rPr>
        <w:t>the full range of trading activities</w:t>
      </w:r>
      <w:r>
        <w:rPr>
          <w:rFonts w:ascii="Arial" w:hAnsi="Arial" w:cs="Arial"/>
        </w:rPr>
        <w:t xml:space="preserve"> </w:t>
      </w:r>
      <w:r>
        <w:rPr>
          <w:rFonts w:ascii="Arial" w:hAnsi="Arial" w:cs="Arial"/>
          <w:b/>
        </w:rPr>
        <w:t>an appropriate range of trading in financial instruments traded on a trading venue</w:t>
      </w:r>
      <w:r>
        <w:rPr>
          <w:rFonts w:ascii="Arial" w:hAnsi="Arial" w:cs="Arial"/>
        </w:rPr>
        <w:t xml:space="preserve"> undertaken by the concerned person.</w:t>
      </w:r>
    </w:p>
    <w:permEnd w:id="478685510"/>
    <w:p>
      <w:r>
        <w:t>&lt;</w:t>
      </w:r>
      <w:r>
        <w:t>ESMA_QUESTION_MAR_TS_</w:t>
      </w:r>
      <w:r>
        <w:t>13&gt;</w:t>
      </w:r>
    </w:p>
    <w:p/>
    <w:p>
      <w:pPr>
        <w:pStyle w:val="Heading5"/>
        <w:keepNext w:val="0"/>
        <w:keepLines w:val="0"/>
        <w:numPr>
          <w:ilvl w:val="0"/>
          <w:numId w:val="36"/>
        </w:numPr>
        <w:spacing w:before="0" w:after="250" w:line="276" w:lineRule="auto"/>
        <w:ind w:left="426" w:hanging="426"/>
      </w:pPr>
      <w:r>
        <w:t>Do you have any additional views on the proposed information to be included in, and the overall layout of the STORs?</w:t>
      </w:r>
    </w:p>
    <w:p>
      <w:r>
        <w:t>&lt;</w:t>
      </w:r>
      <w:r>
        <w:t>ESMA_QUESTION_MAR_TS_</w:t>
      </w:r>
      <w:r>
        <w:t>14&gt;</w:t>
      </w:r>
    </w:p>
    <w:p>
      <w:pPr>
        <w:spacing w:before="120" w:after="120"/>
        <w:ind w:right="176"/>
        <w:jc w:val="both"/>
        <w:rPr>
          <w:rFonts w:ascii="Arial" w:hAnsi="Arial" w:cs="Arial"/>
        </w:rPr>
      </w:pPr>
      <w:permStart w:id="552488438" w:edGrp="everyone"/>
      <w:r>
        <w:rPr>
          <w:rFonts w:ascii="Arial" w:hAnsi="Arial" w:cs="Arial"/>
        </w:rPr>
        <w:t xml:space="preserve">CMC Europe advocates that any </w:t>
      </w:r>
      <w:proofErr w:type="spellStart"/>
      <w:r>
        <w:rPr>
          <w:rFonts w:ascii="Arial" w:hAnsi="Arial" w:cs="Arial"/>
        </w:rPr>
        <w:t>STOR</w:t>
      </w:r>
      <w:proofErr w:type="spellEnd"/>
      <w:r>
        <w:rPr>
          <w:rFonts w:ascii="Arial" w:hAnsi="Arial" w:cs="Arial"/>
        </w:rPr>
        <w:t xml:space="preserve"> template minimise the compliance burden on those subject to the Article 16 reporting requirements. To that end we suggest that the following data fields are amen</w:t>
      </w:r>
      <w:r>
        <w:rPr>
          <w:rFonts w:ascii="Arial" w:hAnsi="Arial" w:cs="Arial"/>
        </w:rPr>
        <w:t>d</w:t>
      </w:r>
      <w:r>
        <w:rPr>
          <w:rFonts w:ascii="Arial" w:hAnsi="Arial" w:cs="Arial"/>
        </w:rPr>
        <w:t>ed:</w:t>
      </w:r>
    </w:p>
    <w:p>
      <w:pPr>
        <w:pStyle w:val="BodyText0"/>
        <w:spacing w:before="120" w:after="120"/>
        <w:ind w:right="175"/>
        <w:rPr>
          <w:rFonts w:cs="Arial"/>
          <w:i/>
          <w:caps/>
        </w:rPr>
      </w:pPr>
      <w:r>
        <w:rPr>
          <w:rFonts w:cs="Arial"/>
          <w:i/>
        </w:rPr>
        <w:t xml:space="preserve">Section 1 – </w:t>
      </w:r>
      <w:r>
        <w:rPr>
          <w:rFonts w:cs="Arial"/>
          <w:i/>
          <w:caps/>
        </w:rPr>
        <w:t>Transaction / Order</w:t>
      </w:r>
    </w:p>
    <w:p>
      <w:pPr>
        <w:pStyle w:val="BodyText0"/>
        <w:spacing w:before="120" w:after="120"/>
        <w:ind w:right="175"/>
        <w:rPr>
          <w:rFonts w:cs="Arial"/>
          <w:i/>
          <w:strike/>
        </w:rPr>
      </w:pPr>
      <w:r>
        <w:rPr>
          <w:rFonts w:cs="Arial"/>
          <w:i/>
          <w:strike/>
        </w:rPr>
        <w:t>Location – country (if available)</w:t>
      </w:r>
    </w:p>
    <w:p>
      <w:pPr>
        <w:pStyle w:val="BodyText0"/>
        <w:spacing w:before="120" w:after="120"/>
        <w:ind w:right="175"/>
        <w:rPr>
          <w:rFonts w:cs="Arial"/>
          <w:i/>
          <w:strike/>
        </w:rPr>
      </w:pPr>
      <w:r>
        <w:rPr>
          <w:rFonts w:cs="Arial"/>
          <w:i/>
          <w:strike/>
        </w:rPr>
        <w:t>If outside trading venue – specify</w:t>
      </w:r>
    </w:p>
    <w:p>
      <w:pPr>
        <w:pStyle w:val="BodyText0"/>
        <w:spacing w:before="120" w:after="120"/>
        <w:ind w:right="175"/>
        <w:rPr>
          <w:rFonts w:cs="Arial"/>
          <w:i/>
          <w:strike/>
        </w:rPr>
      </w:pPr>
      <w:r>
        <w:rPr>
          <w:rFonts w:cs="Arial"/>
          <w:i/>
          <w:strike/>
        </w:rPr>
        <w:t>Margin, up-front payment and nominal size/value of underlying security</w:t>
      </w:r>
    </w:p>
    <w:p>
      <w:pPr>
        <w:pStyle w:val="BodyText0"/>
        <w:spacing w:before="120"/>
        <w:ind w:right="176"/>
        <w:rPr>
          <w:rFonts w:cs="Arial"/>
          <w:b/>
          <w:i/>
          <w:color w:val="000000" w:themeColor="text1"/>
        </w:rPr>
      </w:pPr>
      <w:r>
        <w:rPr>
          <w:rFonts w:cs="Arial"/>
          <w:i/>
          <w:strike/>
        </w:rPr>
        <w:t>Name and</w:t>
      </w:r>
      <w:r>
        <w:rPr>
          <w:rFonts w:cs="Arial"/>
          <w:i/>
        </w:rPr>
        <w:t xml:space="preserve"> </w:t>
      </w:r>
      <w:proofErr w:type="spellStart"/>
      <w:r>
        <w:rPr>
          <w:rFonts w:cs="Arial"/>
          <w:i/>
        </w:rPr>
        <w:t>ISIN</w:t>
      </w:r>
      <w:proofErr w:type="spellEnd"/>
      <w:r>
        <w:rPr>
          <w:rFonts w:cs="Arial"/>
          <w:i/>
        </w:rPr>
        <w:t xml:space="preserve"> of underlying security </w:t>
      </w:r>
      <w:r>
        <w:rPr>
          <w:rFonts w:cs="Arial"/>
          <w:b/>
          <w:i/>
          <w:color w:val="000000" w:themeColor="text1"/>
        </w:rPr>
        <w:t>(if applicable)</w:t>
      </w:r>
    </w:p>
    <w:p>
      <w:pPr>
        <w:pStyle w:val="BodyText0"/>
        <w:spacing w:before="120" w:after="120"/>
        <w:ind w:right="175"/>
        <w:rPr>
          <w:rFonts w:cs="Arial"/>
          <w:i/>
        </w:rPr>
      </w:pPr>
      <w:r>
        <w:rPr>
          <w:rFonts w:cs="Arial"/>
          <w:i/>
        </w:rPr>
        <w:t xml:space="preserve">Section 3 – </w:t>
      </w:r>
      <w:r>
        <w:rPr>
          <w:rFonts w:cs="Arial"/>
          <w:i/>
          <w:caps/>
        </w:rPr>
        <w:t>identity of entity / person suspected of breach</w:t>
      </w:r>
    </w:p>
    <w:p>
      <w:pPr>
        <w:pStyle w:val="BodyText0"/>
        <w:spacing w:before="120" w:after="120"/>
        <w:ind w:right="175"/>
        <w:rPr>
          <w:rFonts w:cs="Arial"/>
          <w:i/>
          <w:strike/>
        </w:rPr>
      </w:pPr>
      <w:r>
        <w:rPr>
          <w:rFonts w:cs="Arial"/>
          <w:i/>
          <w:strike/>
        </w:rPr>
        <w:t>Place of employment</w:t>
      </w:r>
    </w:p>
    <w:p>
      <w:pPr>
        <w:pStyle w:val="BodyText0"/>
        <w:spacing w:before="120"/>
        <w:ind w:right="176"/>
        <w:rPr>
          <w:rFonts w:cs="Arial"/>
          <w:i/>
          <w:strike/>
        </w:rPr>
      </w:pPr>
      <w:r>
        <w:rPr>
          <w:rFonts w:cs="Arial"/>
          <w:i/>
          <w:strike/>
        </w:rPr>
        <w:t>Position</w:t>
      </w:r>
    </w:p>
    <w:p>
      <w:pPr>
        <w:pStyle w:val="BodyText0"/>
        <w:spacing w:before="120" w:after="120"/>
        <w:ind w:right="175"/>
        <w:rPr>
          <w:rFonts w:cs="Arial"/>
          <w:i/>
          <w:caps/>
        </w:rPr>
      </w:pPr>
      <w:r>
        <w:rPr>
          <w:rFonts w:cs="Arial"/>
          <w:i/>
        </w:rPr>
        <w:t xml:space="preserve">Section 5 – </w:t>
      </w:r>
      <w:r>
        <w:rPr>
          <w:rFonts w:cs="Arial"/>
          <w:i/>
          <w:caps/>
        </w:rPr>
        <w:t>additional information</w:t>
      </w:r>
    </w:p>
    <w:p>
      <w:proofErr w:type="spellStart"/>
      <w:r>
        <w:rPr>
          <w:rFonts w:ascii="Arial" w:hAnsi="Arial" w:cs="Arial"/>
          <w:i/>
          <w:strike/>
        </w:rPr>
        <w:t>KYC</w:t>
      </w:r>
      <w:proofErr w:type="spellEnd"/>
      <w:r>
        <w:rPr>
          <w:rFonts w:ascii="Arial" w:hAnsi="Arial" w:cs="Arial"/>
          <w:i/>
          <w:strike/>
        </w:rPr>
        <w:t xml:space="preserve"> or AML documentation</w:t>
      </w:r>
    </w:p>
    <w:permEnd w:id="552488438"/>
    <w:p>
      <w:r>
        <w:t>&lt;</w:t>
      </w:r>
      <w:r>
        <w:t>ESMA_QUESTION_MAR_TS_</w:t>
      </w:r>
      <w:r>
        <w:t>14&gt;</w:t>
      </w:r>
    </w:p>
    <w:p/>
    <w:p>
      <w:pPr>
        <w:pStyle w:val="Heading5"/>
        <w:keepNext w:val="0"/>
        <w:keepLines w:val="0"/>
        <w:numPr>
          <w:ilvl w:val="0"/>
          <w:numId w:val="36"/>
        </w:numPr>
        <w:spacing w:before="0" w:after="250" w:line="276" w:lineRule="auto"/>
        <w:ind w:left="426" w:hanging="426"/>
      </w:pPr>
      <w:r>
        <w:t>Do you have any additional views on templates?</w:t>
      </w:r>
    </w:p>
    <w:p>
      <w:r>
        <w:t>&lt;</w:t>
      </w:r>
      <w:r>
        <w:t>ESMA_QUESTION_MAR_TS_</w:t>
      </w:r>
      <w:r>
        <w:t>15&gt;</w:t>
      </w:r>
    </w:p>
    <w:p>
      <w:permStart w:id="1483017862" w:edGrp="everyone"/>
      <w:r>
        <w:t>TYPE YOUR TEXT HERE</w:t>
      </w:r>
    </w:p>
    <w:permEnd w:id="1483017862"/>
    <w:p>
      <w:r>
        <w:t>&lt;</w:t>
      </w:r>
      <w:r>
        <w:t>ESMA_QUESTION_MAR_TS_</w:t>
      </w:r>
      <w:r>
        <w:t>15&gt;</w:t>
      </w:r>
    </w:p>
    <w:p/>
    <w:p>
      <w:pPr>
        <w:pStyle w:val="Heading5"/>
        <w:keepNext w:val="0"/>
        <w:keepLines w:val="0"/>
        <w:numPr>
          <w:ilvl w:val="0"/>
          <w:numId w:val="36"/>
        </w:numPr>
        <w:spacing w:before="0" w:after="250" w:line="276" w:lineRule="auto"/>
        <w:ind w:left="426" w:hanging="426"/>
      </w:pPr>
      <w:r>
        <w:t>Do you have any views on ESMA’s clarification regarding “near misses”?</w:t>
      </w:r>
    </w:p>
    <w:p>
      <w:r>
        <w:t>&lt;</w:t>
      </w:r>
      <w:r>
        <w:t>ESMA_QUESTION_MAR_TS_</w:t>
      </w:r>
      <w:r>
        <w:t>16&gt;</w:t>
      </w:r>
    </w:p>
    <w:p>
      <w:pPr>
        <w:spacing w:before="120" w:after="120"/>
        <w:ind w:right="176"/>
        <w:jc w:val="both"/>
        <w:rPr>
          <w:rFonts w:ascii="Arial" w:hAnsi="Arial" w:cs="Arial"/>
        </w:rPr>
      </w:pPr>
      <w:permStart w:id="1759273662" w:edGrp="everyone"/>
      <w:r>
        <w:rPr>
          <w:rFonts w:ascii="Arial" w:hAnsi="Arial" w:cs="Arial"/>
        </w:rPr>
        <w:t xml:space="preserve">CMC Europe welcomes </w:t>
      </w:r>
      <w:proofErr w:type="spellStart"/>
      <w:r>
        <w:rPr>
          <w:rFonts w:ascii="Arial" w:hAnsi="Arial" w:cs="Arial"/>
        </w:rPr>
        <w:t>ESMA’s</w:t>
      </w:r>
      <w:proofErr w:type="spellEnd"/>
      <w:r>
        <w:rPr>
          <w:rFonts w:ascii="Arial" w:hAnsi="Arial" w:cs="Arial"/>
        </w:rPr>
        <w:t xml:space="preserve"> clarification on so-called “near misses”. However, we are concerned that any requirement to record near misses does not become a second reporting requirement with a consequent duplication of costs.</w:t>
      </w:r>
    </w:p>
    <w:p>
      <w:pPr>
        <w:spacing w:before="120" w:after="120"/>
        <w:ind w:right="176"/>
        <w:jc w:val="both"/>
        <w:rPr>
          <w:rFonts w:ascii="Arial" w:hAnsi="Arial" w:cs="Arial"/>
        </w:rPr>
      </w:pPr>
      <w:r>
        <w:rPr>
          <w:rFonts w:ascii="Arial" w:hAnsi="Arial" w:cs="Arial"/>
        </w:rPr>
        <w:t>Near misses are not reasonable suspicions of attempted or actual market abuse. Persons subject to the Article 16 MAR reporting requirement may conclude relatively quickly following examination that su</w:t>
      </w:r>
      <w:r>
        <w:rPr>
          <w:rFonts w:ascii="Arial" w:hAnsi="Arial" w:cs="Arial"/>
        </w:rPr>
        <w:t>b</w:t>
      </w:r>
      <w:r>
        <w:rPr>
          <w:rFonts w:ascii="Arial" w:hAnsi="Arial" w:cs="Arial"/>
        </w:rPr>
        <w:t xml:space="preserve">mission of a </w:t>
      </w:r>
      <w:proofErr w:type="spellStart"/>
      <w:r>
        <w:rPr>
          <w:rFonts w:ascii="Arial" w:hAnsi="Arial" w:cs="Arial"/>
        </w:rPr>
        <w:t>STOR</w:t>
      </w:r>
      <w:proofErr w:type="spellEnd"/>
      <w:r>
        <w:rPr>
          <w:rFonts w:ascii="Arial" w:hAnsi="Arial" w:cs="Arial"/>
        </w:rPr>
        <w:t xml:space="preserve"> is not warranted. Persons are very unlikely to search out additional information on an order, transaction or behaviour once this decision has been made. We consider it disproportionate to require persons to do so.</w:t>
      </w:r>
    </w:p>
    <w:p>
      <w:pPr>
        <w:spacing w:before="120" w:after="120"/>
        <w:ind w:right="176"/>
        <w:jc w:val="both"/>
        <w:rPr>
          <w:rFonts w:ascii="Arial" w:hAnsi="Arial" w:cs="Arial"/>
        </w:rPr>
      </w:pPr>
      <w:r>
        <w:rPr>
          <w:rFonts w:ascii="Arial" w:hAnsi="Arial" w:cs="Arial"/>
        </w:rPr>
        <w:t xml:space="preserve">We advocate the following amendments to Article 10(2) of the draft </w:t>
      </w:r>
      <w:proofErr w:type="spellStart"/>
      <w:r>
        <w:rPr>
          <w:rFonts w:ascii="Arial" w:hAnsi="Arial" w:cs="Arial"/>
        </w:rPr>
        <w:t>RTS</w:t>
      </w:r>
      <w:proofErr w:type="spellEnd"/>
      <w:r>
        <w:rPr>
          <w:rFonts w:ascii="Arial" w:hAnsi="Arial" w:cs="Arial"/>
        </w:rPr>
        <w:t>.</w:t>
      </w:r>
    </w:p>
    <w:p>
      <w:pPr>
        <w:spacing w:before="120" w:after="120"/>
        <w:ind w:right="176"/>
        <w:jc w:val="both"/>
        <w:rPr>
          <w:rFonts w:ascii="Arial" w:hAnsi="Arial" w:cs="Arial"/>
        </w:rPr>
      </w:pPr>
      <w:r>
        <w:rPr>
          <w:rFonts w:ascii="Arial" w:hAnsi="Arial" w:cs="Arial"/>
        </w:rPr>
        <w:t xml:space="preserve">Recital </w:t>
      </w:r>
    </w:p>
    <w:p>
      <w:pPr>
        <w:spacing w:before="120"/>
        <w:ind w:right="176"/>
        <w:jc w:val="both"/>
        <w:rPr>
          <w:rFonts w:ascii="Arial" w:hAnsi="Arial" w:cs="Arial"/>
        </w:rPr>
      </w:pPr>
      <w:r>
        <w:rPr>
          <w:rFonts w:ascii="Arial" w:hAnsi="Arial" w:cs="Arial"/>
        </w:rPr>
        <w:t xml:space="preserve">Article 10 (draft </w:t>
      </w:r>
      <w:proofErr w:type="spellStart"/>
      <w:r>
        <w:rPr>
          <w:rFonts w:ascii="Arial" w:hAnsi="Arial" w:cs="Arial"/>
        </w:rPr>
        <w:t>RTS</w:t>
      </w:r>
      <w:proofErr w:type="spellEnd"/>
      <w:r>
        <w:rPr>
          <w:rFonts w:ascii="Arial" w:hAnsi="Arial" w:cs="Arial"/>
        </w:rPr>
        <w:t xml:space="preserve"> at Annex VI)</w:t>
      </w:r>
    </w:p>
    <w:p>
      <w:pPr>
        <w:spacing w:before="120"/>
        <w:ind w:right="176"/>
        <w:jc w:val="both"/>
        <w:rPr>
          <w:rFonts w:ascii="Arial" w:hAnsi="Arial" w:cs="Arial"/>
        </w:rPr>
      </w:pPr>
      <w:r>
        <w:rPr>
          <w:rFonts w:ascii="Arial" w:hAnsi="Arial" w:cs="Arial"/>
        </w:rPr>
        <w:lastRenderedPageBreak/>
        <w:t>Record keeping</w:t>
      </w:r>
    </w:p>
    <w:p>
      <w:pPr>
        <w:pStyle w:val="ListParagraph"/>
        <w:numPr>
          <w:ilvl w:val="0"/>
          <w:numId w:val="41"/>
        </w:numPr>
        <w:spacing w:before="120"/>
        <w:ind w:left="432" w:right="176" w:hanging="425"/>
        <w:jc w:val="both"/>
        <w:rPr>
          <w:rFonts w:ascii="Arial" w:hAnsi="Arial" w:cs="Arial"/>
        </w:rPr>
      </w:pPr>
      <w:r>
        <w:rPr>
          <w:rFonts w:ascii="Arial" w:hAnsi="Arial" w:cs="Arial"/>
        </w:rPr>
        <w:t>The records kept pursuant to point (d) of Article 3 of this Regulation shall be retained by the pe</w:t>
      </w:r>
      <w:r>
        <w:rPr>
          <w:rFonts w:ascii="Arial" w:hAnsi="Arial" w:cs="Arial"/>
        </w:rPr>
        <w:t>r</w:t>
      </w:r>
      <w:r>
        <w:rPr>
          <w:rFonts w:ascii="Arial" w:hAnsi="Arial" w:cs="Arial"/>
        </w:rPr>
        <w:t>sons referred to in Article 16(1) and 16((2) of Regulation (EU) 596/2014 for at least 5 years. They shall be made available to the relevant competent authority upon request.</w:t>
      </w:r>
    </w:p>
    <w:p>
      <w:pPr>
        <w:pStyle w:val="ListParagraph"/>
        <w:spacing w:before="120"/>
        <w:ind w:left="432" w:right="176"/>
        <w:jc w:val="both"/>
        <w:rPr>
          <w:rFonts w:ascii="Arial" w:hAnsi="Arial" w:cs="Arial"/>
        </w:rPr>
      </w:pPr>
    </w:p>
    <w:p>
      <w:pPr>
        <w:pStyle w:val="ListParagraph"/>
        <w:numPr>
          <w:ilvl w:val="0"/>
          <w:numId w:val="41"/>
        </w:numPr>
        <w:spacing w:before="120"/>
        <w:ind w:left="432" w:right="176" w:hanging="425"/>
        <w:jc w:val="both"/>
        <w:rPr>
          <w:rFonts w:ascii="Arial" w:hAnsi="Arial" w:cs="Arial"/>
        </w:rPr>
      </w:pPr>
      <w:r>
        <w:rPr>
          <w:rFonts w:ascii="Arial" w:hAnsi="Arial" w:cs="Arial"/>
        </w:rPr>
        <w:t>The records referred to in paragraph 1 shall include in particular:</w:t>
      </w:r>
    </w:p>
    <w:p>
      <w:pPr>
        <w:pStyle w:val="ListParagraph"/>
        <w:spacing w:before="120"/>
        <w:ind w:left="432" w:right="176"/>
        <w:jc w:val="both"/>
        <w:rPr>
          <w:rFonts w:ascii="Arial" w:hAnsi="Arial" w:cs="Arial"/>
        </w:rPr>
      </w:pPr>
      <w:r>
        <w:rPr>
          <w:rFonts w:ascii="Arial" w:hAnsi="Arial" w:cs="Arial"/>
        </w:rPr>
        <w:t xml:space="preserve"> </w:t>
      </w:r>
    </w:p>
    <w:p>
      <w:pPr>
        <w:pStyle w:val="ListParagraph"/>
        <w:numPr>
          <w:ilvl w:val="1"/>
          <w:numId w:val="42"/>
        </w:numPr>
        <w:spacing w:before="120"/>
        <w:ind w:left="432" w:right="176" w:hanging="425"/>
        <w:jc w:val="both"/>
        <w:rPr>
          <w:rFonts w:ascii="Arial" w:hAnsi="Arial" w:cs="Arial"/>
        </w:rPr>
      </w:pPr>
      <w:r>
        <w:rPr>
          <w:rFonts w:ascii="Arial" w:hAnsi="Arial" w:cs="Arial"/>
        </w:rPr>
        <w:t xml:space="preserve">every </w:t>
      </w:r>
      <w:proofErr w:type="spellStart"/>
      <w:r>
        <w:rPr>
          <w:rFonts w:ascii="Arial" w:hAnsi="Arial" w:cs="Arial"/>
        </w:rPr>
        <w:t>STOR</w:t>
      </w:r>
      <w:proofErr w:type="spellEnd"/>
      <w:r>
        <w:rPr>
          <w:rFonts w:ascii="Arial" w:hAnsi="Arial" w:cs="Arial"/>
        </w:rPr>
        <w:t xml:space="preserve"> submitted</w:t>
      </w:r>
      <w:r>
        <w:rPr>
          <w:rFonts w:ascii="Arial" w:hAnsi="Arial" w:cs="Arial"/>
          <w:strike/>
        </w:rPr>
        <w:t xml:space="preserve">, including the relevant elements on the basis of which the </w:t>
      </w:r>
      <w:proofErr w:type="spellStart"/>
      <w:r>
        <w:rPr>
          <w:rFonts w:ascii="Arial" w:hAnsi="Arial" w:cs="Arial"/>
          <w:strike/>
        </w:rPr>
        <w:t>STOR</w:t>
      </w:r>
      <w:proofErr w:type="spellEnd"/>
      <w:r>
        <w:rPr>
          <w:rFonts w:ascii="Arial" w:hAnsi="Arial" w:cs="Arial"/>
          <w:strike/>
        </w:rPr>
        <w:t xml:space="preserve"> was pr</w:t>
      </w:r>
      <w:r>
        <w:rPr>
          <w:rFonts w:ascii="Arial" w:hAnsi="Arial" w:cs="Arial"/>
          <w:strike/>
        </w:rPr>
        <w:t>e</w:t>
      </w:r>
      <w:r>
        <w:rPr>
          <w:rFonts w:ascii="Arial" w:hAnsi="Arial" w:cs="Arial"/>
          <w:strike/>
        </w:rPr>
        <w:t>pared and reported to the competent authority</w:t>
      </w:r>
      <w:r>
        <w:rPr>
          <w:rFonts w:ascii="Arial" w:hAnsi="Arial" w:cs="Arial"/>
        </w:rPr>
        <w:t>, and</w:t>
      </w:r>
    </w:p>
    <w:p>
      <w:pPr>
        <w:pStyle w:val="ListParagraph"/>
        <w:spacing w:before="120"/>
        <w:ind w:left="432" w:right="176"/>
        <w:jc w:val="both"/>
        <w:rPr>
          <w:rFonts w:ascii="Arial" w:hAnsi="Arial" w:cs="Arial"/>
        </w:rPr>
      </w:pPr>
    </w:p>
    <w:p>
      <w:pPr>
        <w:pStyle w:val="ListParagraph"/>
        <w:numPr>
          <w:ilvl w:val="1"/>
          <w:numId w:val="42"/>
        </w:numPr>
        <w:spacing w:before="120"/>
        <w:ind w:left="432" w:right="176" w:hanging="425"/>
        <w:jc w:val="both"/>
        <w:rPr>
          <w:rFonts w:ascii="Arial" w:hAnsi="Arial" w:cs="Arial"/>
        </w:rPr>
      </w:pPr>
      <w:r>
        <w:rPr>
          <w:rFonts w:ascii="Arial" w:hAnsi="Arial" w:cs="Arial"/>
          <w:b/>
        </w:rPr>
        <w:t xml:space="preserve">relevant </w:t>
      </w:r>
      <w:r>
        <w:rPr>
          <w:rFonts w:ascii="Arial" w:hAnsi="Arial" w:cs="Arial"/>
        </w:rPr>
        <w:t>details of transactions and orders which were identified as potentially suspicious but fo</w:t>
      </w:r>
      <w:r>
        <w:rPr>
          <w:rFonts w:ascii="Arial" w:hAnsi="Arial" w:cs="Arial"/>
        </w:rPr>
        <w:t>l</w:t>
      </w:r>
      <w:r>
        <w:rPr>
          <w:rFonts w:ascii="Arial" w:hAnsi="Arial" w:cs="Arial"/>
        </w:rPr>
        <w:t xml:space="preserve">lowing examination were subsequently not submitted, including a summary of the reasons for not submitting a </w:t>
      </w:r>
      <w:proofErr w:type="spellStart"/>
      <w:r>
        <w:rPr>
          <w:rFonts w:ascii="Arial" w:hAnsi="Arial" w:cs="Arial"/>
        </w:rPr>
        <w:t>STOR</w:t>
      </w:r>
      <w:proofErr w:type="spellEnd"/>
      <w:r>
        <w:rPr>
          <w:rFonts w:ascii="Arial" w:hAnsi="Arial" w:cs="Arial"/>
        </w:rPr>
        <w:t>;</w:t>
      </w:r>
    </w:p>
    <w:permEnd w:id="1759273662"/>
    <w:p>
      <w:r>
        <w:t>&lt;</w:t>
      </w:r>
      <w:r>
        <w:t>ESMA_QUESTION_MAR_TS_</w:t>
      </w:r>
      <w:r>
        <w:t>16&gt;</w:t>
      </w:r>
    </w:p>
    <w:p>
      <w:r>
        <w:br w:type="page"/>
      </w:r>
    </w:p>
    <w:p>
      <w:pPr>
        <w:pStyle w:val="Heading1"/>
        <w:keepLines/>
        <w:spacing w:before="480" w:after="0" w:line="276" w:lineRule="auto"/>
        <w:ind w:left="284" w:hanging="284"/>
      </w:pPr>
      <w:r>
        <w:lastRenderedPageBreak/>
        <w:t xml:space="preserve">Technical means for public disclosure </w:t>
      </w:r>
      <w:r>
        <w:t>of inside information and d</w:t>
      </w:r>
      <w:r>
        <w:t>e</w:t>
      </w:r>
      <w:r>
        <w:t>lays</w:t>
      </w:r>
      <w:r>
        <w:tab/>
      </w:r>
    </w:p>
    <w:p/>
    <w:p>
      <w:pPr>
        <w:pStyle w:val="Heading5"/>
        <w:keepNext w:val="0"/>
        <w:keepLines w:val="0"/>
        <w:numPr>
          <w:ilvl w:val="0"/>
          <w:numId w:val="36"/>
        </w:numPr>
        <w:spacing w:before="0" w:after="250" w:line="276" w:lineRule="auto"/>
        <w:ind w:left="426" w:hanging="426"/>
      </w:pPr>
      <w:r>
        <w:t xml:space="preserve">Do </w:t>
      </w:r>
      <w:r>
        <w:t xml:space="preserve">you </w:t>
      </w:r>
      <w:r>
        <w:t>agree with the proposal regarding the channel for disclosure of inside info</w:t>
      </w:r>
      <w:r>
        <w:t>r</w:t>
      </w:r>
      <w:r>
        <w:t>mation?</w:t>
      </w:r>
    </w:p>
    <w:p>
      <w:r>
        <w:t>&lt;</w:t>
      </w:r>
      <w:r>
        <w:t>ESMA_QUESTION_MAR_TS_</w:t>
      </w:r>
      <w:r>
        <w:t>17&gt;</w:t>
      </w:r>
    </w:p>
    <w:p>
      <w:pPr>
        <w:spacing w:before="120" w:after="120"/>
        <w:ind w:right="176"/>
        <w:jc w:val="both"/>
        <w:rPr>
          <w:rFonts w:ascii="Arial" w:hAnsi="Arial" w:cs="Arial"/>
        </w:rPr>
      </w:pPr>
      <w:permStart w:id="834829468" w:edGrp="everyone"/>
      <w:r>
        <w:rPr>
          <w:rFonts w:ascii="Arial" w:hAnsi="Arial" w:cs="Arial"/>
        </w:rPr>
        <w:t xml:space="preserve">Yes. CMC Europe supports the use of established channels for disclosure of inside information and generally supports </w:t>
      </w:r>
      <w:proofErr w:type="spellStart"/>
      <w:r>
        <w:rPr>
          <w:rFonts w:ascii="Arial" w:hAnsi="Arial" w:cs="Arial"/>
        </w:rPr>
        <w:t>ESMA’s</w:t>
      </w:r>
      <w:proofErr w:type="spellEnd"/>
      <w:r>
        <w:rPr>
          <w:rFonts w:ascii="Arial" w:hAnsi="Arial" w:cs="Arial"/>
        </w:rPr>
        <w:t xml:space="preserve"> proposals. However, we consider that the provisions of the draft </w:t>
      </w:r>
      <w:proofErr w:type="gramStart"/>
      <w:r>
        <w:rPr>
          <w:rFonts w:ascii="Arial" w:hAnsi="Arial" w:cs="Arial"/>
        </w:rPr>
        <w:t>ITS</w:t>
      </w:r>
      <w:proofErr w:type="gramEnd"/>
      <w:r>
        <w:rPr>
          <w:rFonts w:ascii="Arial" w:hAnsi="Arial" w:cs="Arial"/>
        </w:rPr>
        <w:t xml:space="preserve"> at Annex VII require clarification and amendment. </w:t>
      </w:r>
    </w:p>
    <w:p>
      <w:pPr>
        <w:spacing w:before="120" w:after="120"/>
        <w:ind w:right="176"/>
        <w:jc w:val="both"/>
        <w:rPr>
          <w:rFonts w:ascii="Arial" w:hAnsi="Arial" w:cs="Arial"/>
        </w:rPr>
      </w:pPr>
      <w:r>
        <w:rPr>
          <w:rFonts w:ascii="Arial" w:hAnsi="Arial" w:cs="Arial"/>
        </w:rPr>
        <w:t xml:space="preserve">We note that Article 2 of the draft ITS would oblige </w:t>
      </w:r>
      <w:proofErr w:type="spellStart"/>
      <w:r>
        <w:rPr>
          <w:rFonts w:ascii="Arial" w:hAnsi="Arial" w:cs="Arial"/>
        </w:rPr>
        <w:t>EAMPs</w:t>
      </w:r>
      <w:proofErr w:type="spellEnd"/>
      <w:r>
        <w:rPr>
          <w:rFonts w:ascii="Arial" w:hAnsi="Arial" w:cs="Arial"/>
        </w:rPr>
        <w:t xml:space="preserve"> subject to the Article 17(2) MAR disclosure requirement to disseminate information using mechanisms and channels required under Article 21(1) of Directive 2004/109/EC (Transparency Directive) and Article 12 of Commission Directive 2007/14/EC (TD Implementing Directive). These mechanisms and channels include so-called Officially Appointed Mechanisms (</w:t>
      </w:r>
      <w:proofErr w:type="spellStart"/>
      <w:r>
        <w:rPr>
          <w:rFonts w:ascii="Arial" w:hAnsi="Arial" w:cs="Arial"/>
        </w:rPr>
        <w:t>OAMs</w:t>
      </w:r>
      <w:proofErr w:type="spellEnd"/>
      <w:r>
        <w:rPr>
          <w:rFonts w:ascii="Arial" w:hAnsi="Arial" w:cs="Arial"/>
        </w:rPr>
        <w:t xml:space="preserve">). We note the express reference to the use of </w:t>
      </w:r>
      <w:proofErr w:type="spellStart"/>
      <w:r>
        <w:rPr>
          <w:rFonts w:ascii="Arial" w:hAnsi="Arial" w:cs="Arial"/>
        </w:rPr>
        <w:t>OAMs</w:t>
      </w:r>
      <w:proofErr w:type="spellEnd"/>
      <w:r>
        <w:rPr>
          <w:rFonts w:ascii="Arial" w:hAnsi="Arial" w:cs="Arial"/>
        </w:rPr>
        <w:t xml:space="preserve"> “where applicable” in Article 17(1) MAR while there is no reference to </w:t>
      </w:r>
      <w:proofErr w:type="spellStart"/>
      <w:r>
        <w:rPr>
          <w:rFonts w:ascii="Arial" w:hAnsi="Arial" w:cs="Arial"/>
        </w:rPr>
        <w:t>OAMs</w:t>
      </w:r>
      <w:proofErr w:type="spellEnd"/>
      <w:r>
        <w:rPr>
          <w:rFonts w:ascii="Arial" w:hAnsi="Arial" w:cs="Arial"/>
        </w:rPr>
        <w:t xml:space="preserve"> in Article 17(2) MAR. We also note the analysis at paragraph 237 which distinguishes </w:t>
      </w:r>
      <w:proofErr w:type="spellStart"/>
      <w:r>
        <w:rPr>
          <w:rFonts w:ascii="Arial" w:hAnsi="Arial" w:cs="Arial"/>
        </w:rPr>
        <w:t>OAMs</w:t>
      </w:r>
      <w:proofErr w:type="spellEnd"/>
      <w:r>
        <w:rPr>
          <w:rFonts w:ascii="Arial" w:hAnsi="Arial" w:cs="Arial"/>
        </w:rPr>
        <w:t xml:space="preserve"> from disclosure mechanisms, suggesting that the former would not be required for certain issuers. </w:t>
      </w:r>
    </w:p>
    <w:p>
      <w:pPr>
        <w:spacing w:before="120" w:after="120"/>
        <w:ind w:right="176"/>
        <w:jc w:val="both"/>
        <w:rPr>
          <w:rFonts w:ascii="Arial" w:hAnsi="Arial" w:cs="Arial"/>
        </w:rPr>
      </w:pPr>
      <w:r>
        <w:rPr>
          <w:rFonts w:ascii="Arial" w:hAnsi="Arial" w:cs="Arial"/>
        </w:rPr>
        <w:t xml:space="preserve">We do not consider it necessary for </w:t>
      </w:r>
      <w:proofErr w:type="spellStart"/>
      <w:r>
        <w:rPr>
          <w:rFonts w:ascii="Arial" w:hAnsi="Arial" w:cs="Arial"/>
        </w:rPr>
        <w:t>EAMPs</w:t>
      </w:r>
      <w:proofErr w:type="spellEnd"/>
      <w:r>
        <w:rPr>
          <w:rFonts w:ascii="Arial" w:hAnsi="Arial" w:cs="Arial"/>
        </w:rPr>
        <w:t xml:space="preserve"> to use </w:t>
      </w:r>
      <w:proofErr w:type="spellStart"/>
      <w:r>
        <w:rPr>
          <w:rFonts w:ascii="Arial" w:hAnsi="Arial" w:cs="Arial"/>
        </w:rPr>
        <w:t>OAMs</w:t>
      </w:r>
      <w:proofErr w:type="spellEnd"/>
      <w:r>
        <w:rPr>
          <w:rFonts w:ascii="Arial" w:hAnsi="Arial" w:cs="Arial"/>
        </w:rPr>
        <w:t xml:space="preserve"> where the intent and letter of Article 17(2) MAR is the disclosure in a timely manner of inside information concerning emission allowances it holds in respect of its business. We encourage </w:t>
      </w:r>
      <w:proofErr w:type="spellStart"/>
      <w:r>
        <w:rPr>
          <w:rFonts w:ascii="Arial" w:hAnsi="Arial" w:cs="Arial"/>
        </w:rPr>
        <w:t>ESMA</w:t>
      </w:r>
      <w:proofErr w:type="spellEnd"/>
      <w:r>
        <w:rPr>
          <w:rFonts w:ascii="Arial" w:hAnsi="Arial" w:cs="Arial"/>
        </w:rPr>
        <w:t xml:space="preserve"> to amend Article 2 of the draft ITS to specify compl</w:t>
      </w:r>
      <w:r>
        <w:rPr>
          <w:rFonts w:ascii="Arial" w:hAnsi="Arial" w:cs="Arial"/>
        </w:rPr>
        <w:t>i</w:t>
      </w:r>
      <w:r>
        <w:rPr>
          <w:rFonts w:ascii="Arial" w:hAnsi="Arial" w:cs="Arial"/>
        </w:rPr>
        <w:t>ance with the public disclosure standards of Article 21(1) TD and Article 12 TD Implementing Directive.</w:t>
      </w:r>
    </w:p>
    <w:p>
      <w:pPr>
        <w:spacing w:before="120"/>
        <w:ind w:right="176"/>
        <w:jc w:val="both"/>
        <w:rPr>
          <w:rFonts w:ascii="Arial" w:hAnsi="Arial" w:cs="Arial"/>
        </w:rPr>
      </w:pPr>
      <w:r>
        <w:rPr>
          <w:rFonts w:ascii="Arial" w:hAnsi="Arial" w:cs="Arial"/>
        </w:rPr>
        <w:t xml:space="preserve">Article 2 (draft </w:t>
      </w:r>
      <w:proofErr w:type="gramStart"/>
      <w:r>
        <w:rPr>
          <w:rFonts w:ascii="Arial" w:hAnsi="Arial" w:cs="Arial"/>
        </w:rPr>
        <w:t>ITS</w:t>
      </w:r>
      <w:proofErr w:type="gramEnd"/>
      <w:r>
        <w:rPr>
          <w:rFonts w:ascii="Arial" w:hAnsi="Arial" w:cs="Arial"/>
        </w:rPr>
        <w:t xml:space="preserve"> at Annex VII)</w:t>
      </w:r>
    </w:p>
    <w:p>
      <w:pPr>
        <w:spacing w:before="120"/>
        <w:ind w:right="176"/>
        <w:jc w:val="both"/>
        <w:rPr>
          <w:rFonts w:ascii="Arial" w:hAnsi="Arial" w:cs="Arial"/>
        </w:rPr>
      </w:pPr>
      <w:r>
        <w:rPr>
          <w:rFonts w:ascii="Arial" w:hAnsi="Arial" w:cs="Arial"/>
        </w:rPr>
        <w:t>Means for public disclosure of inside information</w:t>
      </w:r>
    </w:p>
    <w:p>
      <w:r>
        <w:rPr>
          <w:rFonts w:ascii="Arial" w:hAnsi="Arial" w:cs="Arial"/>
        </w:rPr>
        <w:t xml:space="preserve">Pursuant to Article 17(1) and Article 17(2) of Regulation (EU) No 596/2014 inside information shall be disseminated using the mechanisms and channels established in Member States to comply with the </w:t>
      </w:r>
      <w:r>
        <w:rPr>
          <w:rFonts w:ascii="Arial" w:hAnsi="Arial" w:cs="Arial"/>
          <w:b/>
        </w:rPr>
        <w:t xml:space="preserve">applicable disclosure </w:t>
      </w:r>
      <w:r>
        <w:rPr>
          <w:rFonts w:ascii="Arial" w:hAnsi="Arial" w:cs="Arial"/>
        </w:rPr>
        <w:t>standards set out in Article 21(1) of Directive 2004/109/EC of the European Pa</w:t>
      </w:r>
      <w:r>
        <w:rPr>
          <w:rFonts w:ascii="Arial" w:hAnsi="Arial" w:cs="Arial"/>
        </w:rPr>
        <w:t>r</w:t>
      </w:r>
      <w:r>
        <w:rPr>
          <w:rFonts w:ascii="Arial" w:hAnsi="Arial" w:cs="Arial"/>
        </w:rPr>
        <w:t>liament and of the Council and Article 12 of Commission Directive 2007/14/EC.</w:t>
      </w:r>
    </w:p>
    <w:permEnd w:id="834829468"/>
    <w:p>
      <w:r>
        <w:t>&lt;</w:t>
      </w:r>
      <w:r>
        <w:t>ESMA_QUESTION_MAR_TS_</w:t>
      </w:r>
      <w:r>
        <w:t>17&gt;</w:t>
      </w:r>
    </w:p>
    <w:p/>
    <w:p>
      <w:pPr>
        <w:pStyle w:val="Heading5"/>
        <w:keepNext w:val="0"/>
        <w:keepLines w:val="0"/>
        <w:numPr>
          <w:ilvl w:val="0"/>
          <w:numId w:val="36"/>
        </w:numPr>
        <w:spacing w:before="0" w:after="250" w:line="276" w:lineRule="auto"/>
        <w:ind w:left="426" w:hanging="426"/>
      </w:pPr>
      <w:r>
        <w:t>Do you believe that potential investors in emission allowances or, more importantly, related derivative products, have effective access to inside information related to emi</w:t>
      </w:r>
      <w:r>
        <w:t>s</w:t>
      </w:r>
      <w:r>
        <w:t>sion allowances that have been publicly disclosed meeting REMIT standards as d</w:t>
      </w:r>
      <w:r>
        <w:t>e</w:t>
      </w:r>
      <w:r>
        <w:t>scribed in the CP, i.e. using platforms dedicated to the publication of REMIT inside i</w:t>
      </w:r>
      <w:r>
        <w:t>n</w:t>
      </w:r>
      <w:r>
        <w:t>formation or websites of the energy market participants as currently recommended in the ACER guidance?</w:t>
      </w:r>
    </w:p>
    <w:p>
      <w:r>
        <w:t>&lt;</w:t>
      </w:r>
      <w:r>
        <w:t>ESMA_QUESTION_MAR_TS_</w:t>
      </w:r>
      <w:r>
        <w:t>18&gt;</w:t>
      </w:r>
    </w:p>
    <w:p>
      <w:permStart w:id="436350061" w:edGrp="everyone"/>
      <w:r>
        <w:rPr>
          <w:rFonts w:ascii="Arial" w:hAnsi="Arial" w:cs="Arial"/>
          <w:i/>
        </w:rPr>
        <w:t>Yes. CMC</w:t>
      </w:r>
      <w:r>
        <w:rPr>
          <w:rFonts w:cs="Arial"/>
          <w:i/>
        </w:rPr>
        <w:t xml:space="preserve"> </w:t>
      </w:r>
      <w:r>
        <w:rPr>
          <w:rFonts w:ascii="Arial" w:hAnsi="Arial" w:cs="Arial"/>
          <w:i/>
        </w:rPr>
        <w:t>E</w:t>
      </w:r>
      <w:r>
        <w:rPr>
          <w:rFonts w:cs="Arial"/>
          <w:i/>
        </w:rPr>
        <w:t>urope</w:t>
      </w:r>
      <w:r>
        <w:rPr>
          <w:rFonts w:ascii="Arial" w:hAnsi="Arial" w:cs="Arial"/>
          <w:i/>
        </w:rPr>
        <w:t xml:space="preserve"> believes that potential investors have effective access to information that may be considered within the ambit of Article 7(1</w:t>
      </w:r>
      <w:proofErr w:type="gramStart"/>
      <w:r>
        <w:rPr>
          <w:rFonts w:ascii="Arial" w:hAnsi="Arial" w:cs="Arial"/>
          <w:i/>
        </w:rPr>
        <w:t>)(</w:t>
      </w:r>
      <w:proofErr w:type="gramEnd"/>
      <w:r>
        <w:rPr>
          <w:rFonts w:ascii="Arial" w:hAnsi="Arial" w:cs="Arial"/>
          <w:i/>
        </w:rPr>
        <w:t>c) MAR through TSO and trading venue-operated platforms and dedicated sections of member websites.</w:t>
      </w:r>
    </w:p>
    <w:permEnd w:id="436350061"/>
    <w:p>
      <w:r>
        <w:t>&lt;</w:t>
      </w:r>
      <w:r>
        <w:t>ESMA_QUESTION_MAR_TS_</w:t>
      </w:r>
      <w:r>
        <w:t>18&gt;</w:t>
      </w:r>
    </w:p>
    <w:p/>
    <w:p>
      <w:pPr>
        <w:pStyle w:val="Heading5"/>
        <w:keepNext w:val="0"/>
        <w:keepLines w:val="0"/>
        <w:numPr>
          <w:ilvl w:val="0"/>
          <w:numId w:val="36"/>
        </w:numPr>
        <w:spacing w:before="0" w:after="250" w:line="276" w:lineRule="auto"/>
        <w:ind w:left="426" w:hanging="426"/>
      </w:pPr>
      <w:r>
        <w:t>What would be the practical implications for the energy market participants under REMIT who would also be EAMPs under MAR to use disclosure channels meeting the MAR requirements for actively disseminating information that would be inside info</w:t>
      </w:r>
      <w:r>
        <w:t>r</w:t>
      </w:r>
      <w:r>
        <w:t>mation under both REMIT and MAR?</w:t>
      </w:r>
    </w:p>
    <w:p>
      <w:r>
        <w:t>&lt;</w:t>
      </w:r>
      <w:r>
        <w:t>ESMA_QUESTION_MAR_TS_</w:t>
      </w:r>
      <w:r>
        <w:t>19&gt;</w:t>
      </w:r>
    </w:p>
    <w:p>
      <w:pPr>
        <w:spacing w:before="120" w:after="120"/>
        <w:ind w:right="176"/>
        <w:jc w:val="both"/>
        <w:rPr>
          <w:rFonts w:ascii="Arial" w:hAnsi="Arial" w:cs="Arial"/>
        </w:rPr>
      </w:pPr>
      <w:permStart w:id="666331991" w:edGrp="everyone"/>
      <w:r>
        <w:rPr>
          <w:rFonts w:ascii="Arial" w:hAnsi="Arial" w:cs="Arial"/>
        </w:rPr>
        <w:lastRenderedPageBreak/>
        <w:t xml:space="preserve">CMC Europe notes Recital 51 MAR and as a general principle supports the harmonisation of disclosure and reporting requirements across Union legislation to minimise unnecessary costs of compliance. To that end we support including a recital corresponding to Recital 51 MAR in the draft </w:t>
      </w:r>
      <w:proofErr w:type="gramStart"/>
      <w:r>
        <w:rPr>
          <w:rFonts w:ascii="Arial" w:hAnsi="Arial" w:cs="Arial"/>
        </w:rPr>
        <w:t>ITS</w:t>
      </w:r>
      <w:proofErr w:type="gramEnd"/>
      <w:r>
        <w:rPr>
          <w:rFonts w:ascii="Arial" w:hAnsi="Arial" w:cs="Arial"/>
        </w:rPr>
        <w:t xml:space="preserve"> on the avoi</w:t>
      </w:r>
      <w:r>
        <w:rPr>
          <w:rFonts w:ascii="Arial" w:hAnsi="Arial" w:cs="Arial"/>
        </w:rPr>
        <w:t>d</w:t>
      </w:r>
      <w:r>
        <w:rPr>
          <w:rFonts w:ascii="Arial" w:hAnsi="Arial" w:cs="Arial"/>
        </w:rPr>
        <w:t>ance of duplication in mandatory disclosure and reporting.</w:t>
      </w:r>
    </w:p>
    <w:p>
      <w:r>
        <w:rPr>
          <w:rFonts w:ascii="Arial" w:hAnsi="Arial" w:cs="Arial"/>
        </w:rPr>
        <w:t xml:space="preserve">We support </w:t>
      </w:r>
      <w:proofErr w:type="spellStart"/>
      <w:r>
        <w:rPr>
          <w:rFonts w:ascii="Arial" w:hAnsi="Arial" w:cs="Arial"/>
        </w:rPr>
        <w:t>ESMA’s</w:t>
      </w:r>
      <w:proofErr w:type="spellEnd"/>
      <w:r>
        <w:rPr>
          <w:rFonts w:ascii="Arial" w:hAnsi="Arial" w:cs="Arial"/>
        </w:rPr>
        <w:t xml:space="preserve"> analysis at paragraph 246 on permitting </w:t>
      </w:r>
      <w:proofErr w:type="spellStart"/>
      <w:r>
        <w:rPr>
          <w:rFonts w:ascii="Arial" w:hAnsi="Arial" w:cs="Arial"/>
        </w:rPr>
        <w:t>EAMPs</w:t>
      </w:r>
      <w:proofErr w:type="spellEnd"/>
      <w:r>
        <w:rPr>
          <w:rFonts w:ascii="Arial" w:hAnsi="Arial" w:cs="Arial"/>
        </w:rPr>
        <w:t xml:space="preserve"> subject to both the REMIT and MAR to use a “single channel for the disclosure of inside information that is considered appropriate under both regimes”. We do not consider there to be material differences between the REMIT and MAR disclosure regimes and we note that most TSO-owned/operated platforms for REMIT disclosures include features and functionality for “active distribution” (e.g. Nord Pool Spot UMM subscription services). We consider disclosure using the above and other REMIT-compliant channels should be considered compliant with the Article 17(2) MAR disclosure requirement.</w:t>
      </w:r>
    </w:p>
    <w:permEnd w:id="666331991"/>
    <w:p>
      <w:r>
        <w:t>&lt;</w:t>
      </w:r>
      <w:r>
        <w:t>ESMA_QUESTION_MAR_TS_</w:t>
      </w:r>
      <w:r>
        <w:t>19&gt;</w:t>
      </w:r>
    </w:p>
    <w:p/>
    <w:p>
      <w:pPr>
        <w:pStyle w:val="Heading5"/>
        <w:keepNext w:val="0"/>
        <w:keepLines w:val="0"/>
        <w:numPr>
          <w:ilvl w:val="0"/>
          <w:numId w:val="36"/>
        </w:numPr>
        <w:spacing w:before="0" w:after="250" w:line="276" w:lineRule="auto"/>
        <w:ind w:left="426" w:hanging="426"/>
      </w:pPr>
      <w:r>
        <w:t>Do you agree with ESMA’s proposals regarding the format and content of the notif</w:t>
      </w:r>
      <w:r>
        <w:t>i</w:t>
      </w:r>
      <w:r>
        <w:t>cation?</w:t>
      </w:r>
    </w:p>
    <w:p>
      <w:r>
        <w:t>&lt;</w:t>
      </w:r>
      <w:r>
        <w:t>ESMA_QUESTION_MAR_TS_</w:t>
      </w:r>
      <w:r>
        <w:t>20&gt;</w:t>
      </w:r>
    </w:p>
    <w:p>
      <w:permStart w:id="1153122936" w:edGrp="everyone"/>
      <w:r>
        <w:t>TYPE YOUR TEXT HERE</w:t>
      </w:r>
    </w:p>
    <w:permEnd w:id="1153122936"/>
    <w:p>
      <w:r>
        <w:t>&lt;</w:t>
      </w:r>
      <w:r>
        <w:t>ESMA_QUESTION_MAR_TS_</w:t>
      </w:r>
      <w:r>
        <w:t>20&gt;</w:t>
      </w:r>
    </w:p>
    <w:p/>
    <w:p>
      <w:pPr>
        <w:pStyle w:val="Heading5"/>
        <w:keepNext w:val="0"/>
        <w:keepLines w:val="0"/>
        <w:numPr>
          <w:ilvl w:val="0"/>
          <w:numId w:val="36"/>
        </w:numPr>
        <w:spacing w:before="0" w:after="250" w:line="276" w:lineRule="auto"/>
        <w:ind w:left="426" w:hanging="426"/>
      </w:pPr>
      <w:r>
        <w:t>Do you agree with the proposed records to be kept?</w:t>
      </w:r>
    </w:p>
    <w:p>
      <w:r>
        <w:t>&lt;</w:t>
      </w:r>
      <w:r>
        <w:t>ESMA_QUESTION_MAR_TS_</w:t>
      </w:r>
      <w:r>
        <w:t>21&gt;</w:t>
      </w:r>
    </w:p>
    <w:p>
      <w:permStart w:id="915672302" w:edGrp="everyone"/>
      <w:r>
        <w:t>TYPE YOUR TEXT HERE</w:t>
      </w:r>
    </w:p>
    <w:permEnd w:id="915672302"/>
    <w:p>
      <w:r>
        <w:t>&lt;</w:t>
      </w:r>
      <w:r>
        <w:t>ESMA_QUESTION_MAR_TS_</w:t>
      </w:r>
      <w:r>
        <w:t>21&gt;</w:t>
      </w:r>
    </w:p>
    <w:p>
      <w:r>
        <w:br w:type="page"/>
      </w:r>
    </w:p>
    <w:p>
      <w:pPr>
        <w:pStyle w:val="Heading1"/>
        <w:keepLines/>
        <w:spacing w:before="480" w:after="0" w:line="276" w:lineRule="auto"/>
        <w:ind w:left="284" w:hanging="284"/>
      </w:pPr>
      <w:r>
        <w:lastRenderedPageBreak/>
        <w:t>I</w:t>
      </w:r>
      <w:r>
        <w:t>nsider list</w:t>
      </w:r>
    </w:p>
    <w:p/>
    <w:p>
      <w:pPr>
        <w:pStyle w:val="Heading5"/>
        <w:keepNext w:val="0"/>
        <w:keepLines w:val="0"/>
        <w:numPr>
          <w:ilvl w:val="0"/>
          <w:numId w:val="36"/>
        </w:numPr>
        <w:spacing w:before="0" w:after="250" w:line="276" w:lineRule="auto"/>
        <w:ind w:left="426" w:hanging="426"/>
      </w:pPr>
      <w:r>
        <w:t>Do you agree with ESMA’s proposals regarding the elements to be included in the insider lists?</w:t>
      </w:r>
    </w:p>
    <w:p>
      <w:r>
        <w:t>&lt;</w:t>
      </w:r>
      <w:r>
        <w:t>ESMA_QUESTION_MAR_TS_</w:t>
      </w:r>
      <w:r>
        <w:t>22&gt;</w:t>
      </w:r>
    </w:p>
    <w:p>
      <w:permStart w:id="1594559397" w:edGrp="everyone"/>
      <w:r>
        <w:t>TYPE YOUR TEXT HERE</w:t>
      </w:r>
    </w:p>
    <w:permEnd w:id="1594559397"/>
    <w:p>
      <w:r>
        <w:t>&lt;</w:t>
      </w:r>
      <w:r>
        <w:t>ESMA_QUESTION_MAR_TS_</w:t>
      </w:r>
      <w:r>
        <w:t>22&gt;</w:t>
      </w:r>
    </w:p>
    <w:p/>
    <w:p>
      <w:pPr>
        <w:pStyle w:val="Heading5"/>
        <w:keepNext w:val="0"/>
        <w:keepLines w:val="0"/>
        <w:numPr>
          <w:ilvl w:val="0"/>
          <w:numId w:val="36"/>
        </w:numPr>
        <w:spacing w:before="0" w:after="250" w:line="276" w:lineRule="auto"/>
        <w:ind w:left="426" w:hanging="426"/>
      </w:pPr>
      <w:r>
        <w:t>Do you agree with the two approaches regarding the format of insider lists?</w:t>
      </w:r>
    </w:p>
    <w:p>
      <w:r>
        <w:t>&lt;</w:t>
      </w:r>
      <w:r>
        <w:t>ESMA_QUESTION_MAR_TS_</w:t>
      </w:r>
      <w:r>
        <w:t>23&gt;</w:t>
      </w:r>
    </w:p>
    <w:p>
      <w:permStart w:id="896168288" w:edGrp="everyone"/>
      <w:r>
        <w:t>TYPE YOUR TEXT HERE</w:t>
      </w:r>
    </w:p>
    <w:permEnd w:id="896168288"/>
    <w:p>
      <w:r>
        <w:t>&lt;</w:t>
      </w:r>
      <w:r>
        <w:t>ESMA_QUESTION_MAR_TS_</w:t>
      </w:r>
      <w:r>
        <w:t>23&gt;</w:t>
      </w:r>
    </w:p>
    <w:p>
      <w:r>
        <w:br w:type="page"/>
      </w:r>
    </w:p>
    <w:p>
      <w:pPr>
        <w:pStyle w:val="Heading1"/>
        <w:keepLines/>
        <w:spacing w:before="480" w:after="0" w:line="276" w:lineRule="auto"/>
        <w:ind w:left="284" w:hanging="284"/>
      </w:pPr>
      <w:r>
        <w:lastRenderedPageBreak/>
        <w:t xml:space="preserve">Managers’ transactions </w:t>
      </w:r>
      <w:r>
        <w:t>format and template for notification and di</w:t>
      </w:r>
      <w:r>
        <w:t>s</w:t>
      </w:r>
      <w:r>
        <w:t>closure</w:t>
      </w:r>
    </w:p>
    <w:p/>
    <w:p>
      <w:pPr>
        <w:pStyle w:val="Heading5"/>
        <w:keepNext w:val="0"/>
        <w:keepLines w:val="0"/>
        <w:numPr>
          <w:ilvl w:val="0"/>
          <w:numId w:val="36"/>
        </w:numPr>
        <w:spacing w:before="0" w:after="250" w:line="276" w:lineRule="auto"/>
        <w:ind w:left="426" w:hanging="426"/>
      </w:pPr>
      <w:r>
        <w:t>Do you have any views on the proposed method of aggregation?</w:t>
      </w:r>
    </w:p>
    <w:p>
      <w:r>
        <w:t>&lt;</w:t>
      </w:r>
      <w:r>
        <w:t>ESMA_QUESTION_MAR_TS_</w:t>
      </w:r>
      <w:r>
        <w:t>24&gt;</w:t>
      </w:r>
    </w:p>
    <w:p>
      <w:permStart w:id="508517219" w:edGrp="everyone"/>
      <w:r>
        <w:t>TYPE YOUR TEXT HERE</w:t>
      </w:r>
    </w:p>
    <w:permEnd w:id="508517219"/>
    <w:p>
      <w:r>
        <w:t>&lt;</w:t>
      </w:r>
      <w:r>
        <w:t>ESMA_QUESTION_MAR_TS_</w:t>
      </w:r>
      <w:r>
        <w:t>24&gt;</w:t>
      </w:r>
    </w:p>
    <w:p/>
    <w:p>
      <w:pPr>
        <w:pStyle w:val="Heading5"/>
        <w:keepNext w:val="0"/>
        <w:keepLines w:val="0"/>
        <w:numPr>
          <w:ilvl w:val="0"/>
          <w:numId w:val="36"/>
        </w:numPr>
        <w:spacing w:before="0" w:after="250" w:line="276" w:lineRule="auto"/>
        <w:ind w:left="426" w:hanging="426"/>
      </w:pPr>
      <w:r>
        <w:t>Do you agree with the content to be required in the notification?</w:t>
      </w:r>
    </w:p>
    <w:p>
      <w:r>
        <w:t>&lt;</w:t>
      </w:r>
      <w:r>
        <w:t>ESMA_QUESTION_MAR_TS_</w:t>
      </w:r>
      <w:r>
        <w:t>25&gt;</w:t>
      </w:r>
    </w:p>
    <w:p>
      <w:permStart w:id="650277082" w:edGrp="everyone"/>
      <w:r>
        <w:t>TYPE YOUR TEXT HERE</w:t>
      </w:r>
    </w:p>
    <w:permEnd w:id="650277082"/>
    <w:p>
      <w:r>
        <w:t>&lt;</w:t>
      </w:r>
      <w:r>
        <w:t>ESMA_QUESTION_MAR_TS_</w:t>
      </w:r>
      <w:r>
        <w:t>25&gt;</w:t>
      </w:r>
    </w:p>
    <w:p>
      <w:r>
        <w:br w:type="page"/>
      </w:r>
    </w:p>
    <w:p>
      <w:pPr>
        <w:pStyle w:val="Heading1"/>
        <w:keepLines/>
        <w:spacing w:before="480" w:after="0" w:line="276" w:lineRule="auto"/>
        <w:ind w:left="284" w:hanging="284"/>
      </w:pPr>
      <w:r>
        <w:lastRenderedPageBreak/>
        <w:t xml:space="preserve">Investment recommendations </w:t>
      </w:r>
    </w:p>
    <w:p/>
    <w:p>
      <w:pPr>
        <w:pStyle w:val="Heading5"/>
        <w:keepNext w:val="0"/>
        <w:keepLines w:val="0"/>
        <w:numPr>
          <w:ilvl w:val="0"/>
          <w:numId w:val="36"/>
        </w:numPr>
        <w:spacing w:before="0" w:after="250" w:line="276" w:lineRule="auto"/>
        <w:ind w:left="426" w:hanging="426"/>
      </w:pPr>
      <w:r>
        <w:t>Do you agree with the twofold approach suggested by ESMA of applying a general set of requirements to all persons in the scope and additional requirements to so-called “qualified persons” and “experts”?</w:t>
      </w:r>
    </w:p>
    <w:p>
      <w:r>
        <w:t>&lt;</w:t>
      </w:r>
      <w:r>
        <w:t>ESMA_QUESTION_MAR_TS_</w:t>
      </w:r>
      <w:r>
        <w:t>26&gt;</w:t>
      </w:r>
    </w:p>
    <w:p>
      <w:permStart w:id="1548232948" w:edGrp="everyone"/>
      <w:r>
        <w:t>TYPE YOUR TEXT HERE</w:t>
      </w:r>
    </w:p>
    <w:permEnd w:id="1548232948"/>
    <w:p>
      <w:r>
        <w:t>&lt;</w:t>
      </w:r>
      <w:r>
        <w:t>ESMA_QUESTION_MAR_TS_</w:t>
      </w:r>
      <w:r>
        <w:t>26&gt;</w:t>
      </w:r>
    </w:p>
    <w:p/>
    <w:p>
      <w:pPr>
        <w:pStyle w:val="Heading5"/>
        <w:keepNext w:val="0"/>
        <w:keepLines w:val="0"/>
        <w:numPr>
          <w:ilvl w:val="0"/>
          <w:numId w:val="36"/>
        </w:numPr>
        <w:spacing w:before="0" w:after="250" w:line="276" w:lineRule="auto"/>
        <w:ind w:left="426" w:hanging="426"/>
      </w:pPr>
      <w:r>
        <w:t>Should the issuance of recommendations “on a regular basis” (e.g. every day, week or month) be included in the list of characteristics that a person must have in order to qualify as an “expert”? Can you suggest other objective characteristics that could be i</w:t>
      </w:r>
      <w:r>
        <w:t>n</w:t>
      </w:r>
      <w:r>
        <w:t>cluded in the “expert” definition?</w:t>
      </w:r>
      <w:r>
        <w:tab/>
      </w:r>
    </w:p>
    <w:p>
      <w:r>
        <w:t>&lt;</w:t>
      </w:r>
      <w:r>
        <w:t>ESMA_QUESTION_MAR_TS_</w:t>
      </w:r>
      <w:r>
        <w:t>27&gt;</w:t>
      </w:r>
    </w:p>
    <w:p>
      <w:permStart w:id="158430502" w:edGrp="everyone"/>
      <w:r>
        <w:t>TYPE YOUR TEXT HERE</w:t>
      </w:r>
    </w:p>
    <w:permEnd w:id="158430502"/>
    <w:p>
      <w:r>
        <w:t>&lt;</w:t>
      </w:r>
      <w:r>
        <w:t>ESMA_QUESTION_MAR_TS_</w:t>
      </w:r>
      <w:r>
        <w:t>27&gt;</w:t>
      </w:r>
    </w:p>
    <w:p/>
    <w:p>
      <w:pPr>
        <w:pStyle w:val="Heading5"/>
        <w:keepNext w:val="0"/>
        <w:keepLines w:val="0"/>
        <w:numPr>
          <w:ilvl w:val="0"/>
          <w:numId w:val="36"/>
        </w:numPr>
        <w:spacing w:before="0" w:after="250" w:line="276" w:lineRule="auto"/>
        <w:ind w:left="426" w:hanging="426"/>
      </w:pPr>
      <w:r>
        <w:t xml:space="preserve">Are the </w:t>
      </w:r>
      <w:r>
        <w:t>suggested standards for objective presentation of investment recommend</w:t>
      </w:r>
      <w:r>
        <w:t>a</w:t>
      </w:r>
      <w:r>
        <w:t>tio</w:t>
      </w:r>
      <w:r>
        <w:t xml:space="preserve">n </w:t>
      </w:r>
      <w:r>
        <w:t>suitable to all asset classes? If not, please explain why.</w:t>
      </w:r>
    </w:p>
    <w:p>
      <w:r>
        <w:t>&lt;</w:t>
      </w:r>
      <w:r>
        <w:t>ESMA_QUESTION_MAR_TS_</w:t>
      </w:r>
      <w:r>
        <w:t>28&gt;</w:t>
      </w:r>
    </w:p>
    <w:p>
      <w:permStart w:id="1272734761" w:edGrp="everyone"/>
      <w:r>
        <w:t>TYPE YOUR TEXT HERE</w:t>
      </w:r>
    </w:p>
    <w:permEnd w:id="1272734761"/>
    <w:p>
      <w:r>
        <w:t>&lt;</w:t>
      </w:r>
      <w:r>
        <w:t>ESMA_QUESTION_MAR_TS_</w:t>
      </w:r>
      <w:r>
        <w:t>28&gt;</w:t>
      </w:r>
    </w:p>
    <w:p/>
    <w:p>
      <w:pPr>
        <w:pStyle w:val="Heading5"/>
        <w:keepNext w:val="0"/>
        <w:keepLines w:val="0"/>
        <w:numPr>
          <w:ilvl w:val="0"/>
          <w:numId w:val="36"/>
        </w:numPr>
        <w:spacing w:before="0" w:after="250" w:line="276" w:lineRule="auto"/>
        <w:ind w:left="426" w:hanging="426"/>
      </w:pPr>
      <w:r>
        <w:t>Do you agree with the proposed standards for the objective presentation of inves</w:t>
      </w:r>
      <w:r>
        <w:t>t</w:t>
      </w:r>
      <w:r>
        <w:t xml:space="preserve">ment recommendations and how they apply to the different categories of persons in the scope? If not, please specify. </w:t>
      </w:r>
    </w:p>
    <w:p>
      <w:r>
        <w:t>&lt;</w:t>
      </w:r>
      <w:r>
        <w:t>ESMA_QUESTION_MAR_TS_</w:t>
      </w:r>
      <w:r>
        <w:t>29&gt;</w:t>
      </w:r>
    </w:p>
    <w:p>
      <w:permStart w:id="741280705" w:edGrp="everyone"/>
      <w:r>
        <w:t>TYPE YOUR TEXT HERE</w:t>
      </w:r>
    </w:p>
    <w:permEnd w:id="741280705"/>
    <w:p>
      <w:r>
        <w:t>&lt;</w:t>
      </w:r>
      <w:r>
        <w:t>ESMA_QUESTION_MAR_TS_</w:t>
      </w:r>
      <w:r>
        <w:t>29&gt;</w:t>
      </w:r>
    </w:p>
    <w:p/>
    <w:p>
      <w:pPr>
        <w:pStyle w:val="Heading5"/>
        <w:keepNext w:val="0"/>
        <w:keepLines w:val="0"/>
        <w:numPr>
          <w:ilvl w:val="0"/>
          <w:numId w:val="36"/>
        </w:numPr>
        <w:spacing w:before="0" w:after="250" w:line="276" w:lineRule="auto"/>
        <w:ind w:left="426" w:hanging="426"/>
      </w:pPr>
      <w:r>
        <w:t xml:space="preserve">Do you agree with the proposed standards for the disclosure of interest or indication of conflicts of interests and how they apply to the different categories of persons in the scope? If not, please specify. </w:t>
      </w:r>
    </w:p>
    <w:p>
      <w:r>
        <w:t>&lt;</w:t>
      </w:r>
      <w:r>
        <w:t>ESMA_QUESTION_MAR_TS_</w:t>
      </w:r>
      <w:r>
        <w:t>30&gt;</w:t>
      </w:r>
    </w:p>
    <w:p>
      <w:permStart w:id="1237469106" w:edGrp="everyone"/>
      <w:r>
        <w:t>TYPE YOUR TEXT HERE</w:t>
      </w:r>
    </w:p>
    <w:permEnd w:id="1237469106"/>
    <w:p>
      <w:r>
        <w:t>&lt;</w:t>
      </w:r>
      <w:r>
        <w:t>ESMA_QUESTION_MAR_TS_</w:t>
      </w:r>
      <w:r>
        <w:t>30&gt;</w:t>
      </w:r>
    </w:p>
    <w:p/>
    <w:p>
      <w:pPr>
        <w:pStyle w:val="Heading5"/>
        <w:keepNext w:val="0"/>
        <w:keepLines w:val="0"/>
        <w:numPr>
          <w:ilvl w:val="0"/>
          <w:numId w:val="36"/>
        </w:numPr>
        <w:spacing w:before="0" w:after="250" w:line="276" w:lineRule="auto"/>
        <w:ind w:left="426" w:hanging="426"/>
      </w:pPr>
      <w:r>
        <w:t xml:space="preserve">Do you consider the proposed level of thresholds for conflict of interest appropriate for increasing the transparency of investment recommendation? </w:t>
      </w:r>
    </w:p>
    <w:p>
      <w:r>
        <w:t>&lt;</w:t>
      </w:r>
      <w:r>
        <w:t>ESMA_QUESTION_MAR_TS_</w:t>
      </w:r>
      <w:r>
        <w:t>31&gt;</w:t>
      </w:r>
    </w:p>
    <w:p>
      <w:permStart w:id="1039098621" w:edGrp="everyone"/>
      <w:r>
        <w:t>TYPE YOUR TEXT HERE</w:t>
      </w:r>
    </w:p>
    <w:permEnd w:id="1039098621"/>
    <w:p>
      <w:r>
        <w:t>&lt;</w:t>
      </w:r>
      <w:r>
        <w:t>ESMA_QUESTION_MAR_TS_</w:t>
      </w:r>
      <w:r>
        <w:t>31&gt;</w:t>
      </w:r>
    </w:p>
    <w:p>
      <w:pPr>
        <w:pStyle w:val="Heading5"/>
        <w:keepNext w:val="0"/>
        <w:keepLines w:val="0"/>
        <w:numPr>
          <w:ilvl w:val="0"/>
          <w:numId w:val="36"/>
        </w:numPr>
        <w:spacing w:before="0" w:after="250" w:line="276" w:lineRule="auto"/>
        <w:ind w:left="426" w:hanging="426"/>
      </w:pPr>
      <w:r>
        <w:t>Do you think that the positions of the producer of the investment recommendation should be aggregated with the ones of the related person(s) in order to assess whether the threshold has been reached?</w:t>
      </w:r>
    </w:p>
    <w:p>
      <w:r>
        <w:lastRenderedPageBreak/>
        <w:t>&lt;</w:t>
      </w:r>
      <w:r>
        <w:t>ESMA_QUESTION_MAR_TS_</w:t>
      </w:r>
      <w:r>
        <w:t>32&gt;</w:t>
      </w:r>
    </w:p>
    <w:p>
      <w:permStart w:id="361511950" w:edGrp="everyone"/>
      <w:r>
        <w:t>TYPE YOUR TEXT HERE</w:t>
      </w:r>
    </w:p>
    <w:permEnd w:id="361511950"/>
    <w:p>
      <w:r>
        <w:t>&lt;</w:t>
      </w:r>
      <w:r>
        <w:t>ESMA_QUESTION_MAR_TS_</w:t>
      </w:r>
      <w:r>
        <w:t>32&gt;</w:t>
      </w:r>
    </w:p>
    <w:p/>
    <w:p>
      <w:pPr>
        <w:pStyle w:val="Heading5"/>
        <w:keepNext w:val="0"/>
        <w:keepLines w:val="0"/>
        <w:numPr>
          <w:ilvl w:val="0"/>
          <w:numId w:val="36"/>
        </w:numPr>
        <w:spacing w:before="0" w:after="250" w:line="276" w:lineRule="auto"/>
        <w:ind w:left="426" w:hanging="426"/>
      </w:pPr>
      <w:r>
        <w:t>Do you agree that a disclosure is required when the remuneration of the person producing the investment recommendation is tied to trading fees received by his e</w:t>
      </w:r>
      <w:r>
        <w:t>m</w:t>
      </w:r>
      <w:r>
        <w:t>ployer or a person related to the employer?</w:t>
      </w:r>
    </w:p>
    <w:p>
      <w:r>
        <w:t>&lt;</w:t>
      </w:r>
      <w:r>
        <w:t>ESMA_QUESTION_MAR_TS_</w:t>
      </w:r>
      <w:r>
        <w:t>33&gt;</w:t>
      </w:r>
    </w:p>
    <w:p>
      <w:permStart w:id="1247765415" w:edGrp="everyone"/>
      <w:r>
        <w:t>TYPE YOUR TEXT HERE</w:t>
      </w:r>
    </w:p>
    <w:permEnd w:id="1247765415"/>
    <w:p>
      <w:r>
        <w:t>&lt;</w:t>
      </w:r>
      <w:r>
        <w:t>ESMA_QUESTION_MAR_TS_</w:t>
      </w:r>
      <w:r>
        <w:t>33&gt;</w:t>
      </w:r>
    </w:p>
    <w:p/>
    <w:p>
      <w:pPr>
        <w:pStyle w:val="Heading5"/>
        <w:keepNext w:val="0"/>
        <w:keepLines w:val="0"/>
        <w:numPr>
          <w:ilvl w:val="0"/>
          <w:numId w:val="36"/>
        </w:numPr>
        <w:spacing w:before="0" w:after="250" w:line="276" w:lineRule="auto"/>
        <w:ind w:left="426" w:hanging="426"/>
      </w:pPr>
      <w:r>
        <w:t>Do you agree with the proposed standards relating to the dissemination of reco</w:t>
      </w:r>
      <w:r>
        <w:t>m</w:t>
      </w:r>
      <w:r>
        <w:t>mendation produced by third parties? If not, please specify.</w:t>
      </w:r>
    </w:p>
    <w:p>
      <w:r>
        <w:t>&lt;</w:t>
      </w:r>
      <w:r>
        <w:t>ESMA_QUESTION_MAR_TS_</w:t>
      </w:r>
      <w:r>
        <w:t>34&gt;</w:t>
      </w:r>
    </w:p>
    <w:p>
      <w:permStart w:id="975788375" w:edGrp="everyone"/>
      <w:r>
        <w:t>TYPE YOUR TEXT HERE</w:t>
      </w:r>
    </w:p>
    <w:permEnd w:id="975788375"/>
    <w:p>
      <w:r>
        <w:t>&lt;</w:t>
      </w:r>
      <w:r>
        <w:t>ESMA_QUESTION_MAR_TS_</w:t>
      </w:r>
      <w:r>
        <w:t>34&gt;</w:t>
      </w:r>
    </w:p>
    <w:p/>
    <w:p>
      <w:pPr>
        <w:pStyle w:val="Heading5"/>
        <w:keepNext w:val="0"/>
        <w:keepLines w:val="0"/>
        <w:numPr>
          <w:ilvl w:val="0"/>
          <w:numId w:val="36"/>
        </w:numPr>
        <w:spacing w:before="0" w:after="250" w:line="276" w:lineRule="auto"/>
        <w:ind w:left="426" w:hanging="426"/>
      </w:pPr>
      <w:r>
        <w:t>Do you consider that publication of extracts rather than the whole recommendation by news disseminators is a substantial alteration of the investment recommendation produced by a third party?</w:t>
      </w:r>
    </w:p>
    <w:p>
      <w:r>
        <w:t>&lt;</w:t>
      </w:r>
      <w:r>
        <w:t>ESMA_QUESTION_MAR_TS_</w:t>
      </w:r>
      <w:r>
        <w:t>35&gt;</w:t>
      </w:r>
    </w:p>
    <w:p>
      <w:permStart w:id="969237681" w:edGrp="everyone"/>
      <w:r>
        <w:t>TYPE YOUR TEXT HERE</w:t>
      </w:r>
    </w:p>
    <w:permEnd w:id="969237681"/>
    <w:p>
      <w:r>
        <w:t>&lt;</w:t>
      </w:r>
      <w:r>
        <w:t>ESMA_QUESTION_MAR_TS_</w:t>
      </w:r>
      <w:r>
        <w:t>35&gt;</w:t>
      </w:r>
    </w:p>
    <w:p/>
    <w:p>
      <w:pPr>
        <w:keepLines/>
      </w:pPr>
    </w:p>
    <w:sectPr>
      <w:headerReference w:type="even" r:id="rId16"/>
      <w:headerReference w:type="first" r:id="rId17"/>
      <w:footerReference w:type="first" r:id="rId18"/>
      <w:pgSz w:w="11906" w:h="16838" w:code="9"/>
      <w:pgMar w:top="2552" w:right="1247" w:bottom="1361"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p/>
  </w:endnote>
  <w:endnote w:type="continuationSeparator" w:id="0">
    <w:p>
      <w:r>
        <w:continuationSeparator/>
      </w:r>
    </w:p>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altName w:val="Century"/>
    <w:charset w:val="00"/>
    <w:family w:val="roman"/>
    <w:pitch w:val="variable"/>
    <w:sig w:usb0="00000001"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trPr>
        <w:trHeight w:val="284"/>
      </w:trPr>
      <w:tc>
        <w:tcPr>
          <w:tcW w:w="8460" w:type="dxa"/>
        </w:tcPr>
        <w:p>
          <w:pPr>
            <w:pStyle w:val="00Footer"/>
            <w:rPr>
              <w:lang w:val="fr-FR"/>
            </w:rPr>
          </w:pPr>
        </w:p>
      </w:tc>
      <w:tc>
        <w:tcPr>
          <w:tcW w:w="952" w:type="dxa"/>
        </w:tcPr>
        <w:p>
          <w:pPr>
            <w:pStyle w:val="00aPagenumber"/>
          </w:pPr>
          <w:r>
            <w:fldChar w:fldCharType="begin"/>
          </w:r>
          <w:r>
            <w:instrText xml:space="preserve"> PAGE </w:instrText>
          </w:r>
          <w:r>
            <w:fldChar w:fldCharType="separate"/>
          </w:r>
          <w:r>
            <w:rPr>
              <w:noProof/>
            </w:rPr>
            <w:t>4</w:t>
          </w:r>
          <w:r>
            <w:rPr>
              <w:noProof/>
            </w:rPr>
            <w:fldChar w:fldCharType="end"/>
          </w:r>
        </w:p>
      </w:tc>
    </w:tr>
  </w:tbl>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p/>
  </w:footnote>
  <w:footnote w:type="continuationSeparator" w:id="0">
    <w:p>
      <w:r>
        <w:continuationSeparator/>
      </w:r>
    </w:p>
    <w:p/>
  </w:footnote>
  <w:footnote w:type="continuationNotice"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r>
      <w:rPr>
        <w:noProof/>
        <w:lang w:eastAsia="en-GB"/>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right"/>
    </w:pPr>
    <w:r>
      <w:rPr>
        <w:noProof/>
        <w:lang w:eastAsia="en-GB"/>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trPr>
        <w:trHeight w:val="284"/>
      </w:trPr>
      <w:tc>
        <w:tcPr>
          <w:tcW w:w="8460" w:type="dxa"/>
        </w:tcPr>
        <w:p>
          <w:pPr>
            <w:pStyle w:val="00Footer"/>
            <w:rPr>
              <w:lang w:val="fr-FR"/>
            </w:rPr>
          </w:pPr>
        </w:p>
      </w:tc>
      <w:tc>
        <w:tcPr>
          <w:tcW w:w="952" w:type="dxa"/>
        </w:tcPr>
        <w:p>
          <w:pPr>
            <w:pStyle w:val="00aPagenumber"/>
            <w:rPr>
              <w:lang w:val="fr-FR"/>
            </w:rPr>
          </w:pPr>
        </w:p>
      </w:tc>
    </w:tr>
  </w:tbl>
  <w:p>
    <w:pPr>
      <w:rPr>
        <w:lang w:val="fr-FR"/>
      </w:rPr>
    </w:pPr>
  </w:p>
  <w:p>
    <w:pPr>
      <w:pStyle w:val="Header"/>
      <w:rPr>
        <w:lang w:val="fr-FR"/>
      </w:rPr>
    </w:pPr>
  </w:p>
  <w:p>
    <w:pPr>
      <w:pStyle w:val="Header"/>
      <w:tabs>
        <w:tab w:val="clear" w:pos="4536"/>
        <w:tab w:val="clear" w:pos="9072"/>
        <w:tab w:val="left" w:pos="8227"/>
      </w:tabs>
      <w:rPr>
        <w:lang w:val="fr-FR"/>
      </w:rPr>
    </w:pPr>
  </w:p>
  <w:p>
    <w:pPr>
      <w:pStyle w:val="Header"/>
      <w:tabs>
        <w:tab w:val="clear" w:pos="4536"/>
        <w:tab w:val="clear" w:pos="9072"/>
        <w:tab w:val="left" w:pos="8227"/>
      </w:tabs>
      <w:rPr>
        <w:lang w:val="fr-FR"/>
      </w:rPr>
    </w:pPr>
  </w:p>
  <w:p>
    <w:pPr>
      <w:pStyle w:val="Header"/>
      <w:rPr>
        <w:lang w:val="fr-FR"/>
      </w:rPr>
    </w:pPr>
  </w:p>
  <w:p>
    <w:pPr>
      <w:pStyle w:val="Header"/>
      <w:rPr>
        <w:lang w:val="fr-FR"/>
      </w:rPr>
    </w:pPr>
  </w:p>
  <w:p>
    <w:pPr>
      <w:pStyle w:val="Header"/>
      <w:rPr>
        <w:lang w:val="fr-FR"/>
      </w:rPr>
    </w:pPr>
  </w:p>
  <w:p>
    <w:pPr>
      <w:pStyle w:val="Header"/>
      <w:rPr>
        <w:lang w:val="fr-FR"/>
      </w:rPr>
    </w:pPr>
  </w:p>
  <w:p>
    <w:pPr>
      <w:pStyle w:val="Header"/>
      <w:rPr>
        <w:highlight w:val="yellow"/>
        <w:lang w:val="fr-FR"/>
      </w:rPr>
    </w:pPr>
  </w:p>
  <w:p>
    <w:pPr>
      <w:pStyle w:val="Header"/>
    </w:pPr>
    <w:r>
      <w:rPr>
        <w:noProof/>
        <w:lang w:eastAsia="en-GB"/>
      </w:rPr>
      <mc:AlternateContent>
        <mc:Choice Requires="wps">
          <w:drawing>
            <wp:anchor distT="0" distB="0" distL="114299" distR="114299" simplePos="0" relativeHeight="251660288" behindDoc="0" locked="0" layoutInCell="1" allowOverlap="1">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AF63CA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901626EC"/>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0206A8C"/>
    <w:multiLevelType w:val="multilevel"/>
    <w:tmpl w:val="3BD6D93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4">
    <w:nsid w:val="02621996"/>
    <w:multiLevelType w:val="multilevel"/>
    <w:tmpl w:val="C34CEA34"/>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03017BBD"/>
    <w:multiLevelType w:val="hybridMultilevel"/>
    <w:tmpl w:val="83EA1CC8"/>
    <w:lvl w:ilvl="0" w:tplc="00DA12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900F69"/>
    <w:multiLevelType w:val="hybridMultilevel"/>
    <w:tmpl w:val="C5806B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nsid w:val="0DA34FE7"/>
    <w:multiLevelType w:val="hybridMultilevel"/>
    <w:tmpl w:val="83EA1CC8"/>
    <w:lvl w:ilvl="0" w:tplc="00DA126C">
      <w:start w:val="1"/>
      <w:numFmt w:val="lowerRoman"/>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11">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5543BAB"/>
    <w:multiLevelType w:val="hybridMultilevel"/>
    <w:tmpl w:val="C5806B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4">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6">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7">
    <w:nsid w:val="2ECE40D9"/>
    <w:multiLevelType w:val="hybridMultilevel"/>
    <w:tmpl w:val="0B7041FA"/>
    <w:lvl w:ilvl="0" w:tplc="043E357C">
      <w:start w:val="1"/>
      <w:numFmt w:val="decimal"/>
      <w:lvlText w:val="Q%1:"/>
      <w:lvlJc w:val="left"/>
      <w:pPr>
        <w:ind w:left="721" w:hanging="360"/>
      </w:pPr>
      <w:rPr>
        <w:rFonts w:hint="default"/>
      </w:r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18">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2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22">
    <w:nsid w:val="3C6C4CC8"/>
    <w:multiLevelType w:val="multilevel"/>
    <w:tmpl w:val="C34CEA34"/>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5">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6">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7">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8">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9">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1">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3">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4">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5">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6">
    <w:nsid w:val="605735B9"/>
    <w:multiLevelType w:val="hybridMultilevel"/>
    <w:tmpl w:val="3DC63564"/>
    <w:lvl w:ilvl="0" w:tplc="9872C18A">
      <w:start w:val="1"/>
      <w:numFmt w:val="decimal"/>
      <w:pStyle w:val="Heading5"/>
      <w:suff w:val="space"/>
      <w:lvlText w:val="Q%1:"/>
      <w:lvlJc w:val="left"/>
      <w:pPr>
        <w:ind w:left="0" w:firstLine="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8">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9">
    <w:nsid w:val="6FCC3475"/>
    <w:multiLevelType w:val="hybridMultilevel"/>
    <w:tmpl w:val="49D6EC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2">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23"/>
  </w:num>
  <w:num w:numId="2">
    <w:abstractNumId w:val="25"/>
  </w:num>
  <w:num w:numId="3">
    <w:abstractNumId w:val="18"/>
  </w:num>
  <w:num w:numId="4">
    <w:abstractNumId w:val="29"/>
  </w:num>
  <w:num w:numId="5">
    <w:abstractNumId w:val="8"/>
  </w:num>
  <w:num w:numId="6">
    <w:abstractNumId w:val="31"/>
  </w:num>
  <w:num w:numId="7">
    <w:abstractNumId w:val="3"/>
  </w:num>
  <w:num w:numId="8">
    <w:abstractNumId w:val="10"/>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num>
  <w:num w:numId="1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36"/>
  </w:num>
  <w:num w:numId="15">
    <w:abstractNumId w:val="28"/>
  </w:num>
  <w:num w:numId="16">
    <w:abstractNumId w:val="16"/>
  </w:num>
  <w:num w:numId="17">
    <w:abstractNumId w:val="5"/>
  </w:num>
  <w:num w:numId="18">
    <w:abstractNumId w:val="20"/>
  </w:num>
  <w:num w:numId="19">
    <w:abstractNumId w:val="21"/>
  </w:num>
  <w:num w:numId="20">
    <w:abstractNumId w:val="24"/>
  </w:num>
  <w:num w:numId="21">
    <w:abstractNumId w:val="32"/>
  </w:num>
  <w:num w:numId="22">
    <w:abstractNumId w:val="40"/>
  </w:num>
  <w:num w:numId="23">
    <w:abstractNumId w:val="30"/>
  </w:num>
  <w:num w:numId="24">
    <w:abstractNumId w:val="15"/>
  </w:num>
  <w:num w:numId="25">
    <w:abstractNumId w:val="35"/>
  </w:num>
  <w:num w:numId="26">
    <w:abstractNumId w:val="34"/>
  </w:num>
  <w:num w:numId="27">
    <w:abstractNumId w:val="26"/>
  </w:num>
  <w:num w:numId="28">
    <w:abstractNumId w:val="38"/>
  </w:num>
  <w:num w:numId="29">
    <w:abstractNumId w:val="42"/>
  </w:num>
  <w:num w:numId="30">
    <w:abstractNumId w:val="13"/>
  </w:num>
  <w:num w:numId="31">
    <w:abstractNumId w:val="9"/>
  </w:num>
  <w:num w:numId="32">
    <w:abstractNumId w:val="27"/>
  </w:num>
  <w:num w:numId="33">
    <w:abstractNumId w:val="6"/>
  </w:num>
  <w:num w:numId="34">
    <w:abstractNumId w:val="9"/>
    <w:lvlOverride w:ilvl="0">
      <w:lvl w:ilvl="0">
        <w:start w:val="1"/>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lvl w:ilvl="1">
        <w:start w:val="1"/>
        <w:numFmt w:val="decimal"/>
        <w:pStyle w:val="NEW-Level1"/>
        <w:suff w:val="space"/>
        <w:lvlText w:val="%1.%2."/>
        <w:lvlJc w:val="left"/>
        <w:pPr>
          <w:ind w:left="0" w:firstLine="0"/>
        </w:pPr>
        <w:rPr>
          <w:rFonts w:hint="default"/>
          <w:i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9"/>
    <w:lvlOverride w:ilvl="0">
      <w:startOverride w:val="2"/>
      <w:lvl w:ilvl="0">
        <w:start w:val="2"/>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startOverride w:val="20"/>
      <w:lvl w:ilvl="1">
        <w:start w:val="20"/>
        <w:numFmt w:val="decimal"/>
        <w:pStyle w:val="NEW-Level1"/>
        <w:suff w:val="space"/>
        <w:lvlText w:val="%1.%2."/>
        <w:lvlJc w:val="left"/>
        <w:pPr>
          <w:ind w:left="0" w:firstLine="0"/>
        </w:pPr>
        <w:rPr>
          <w:rFonts w:hint="default"/>
          <w:i w:val="0"/>
        </w:rPr>
      </w:lvl>
    </w:lvlOverride>
    <w:lvlOverride w:ilvl="2">
      <w:startOverride w:val="1"/>
      <w:lvl w:ilvl="2">
        <w:start w:val="1"/>
        <w:numFmt w:val="decimal"/>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36">
    <w:abstractNumId w:val="17"/>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num>
  <w:num w:numId="42">
    <w:abstractNumId w:val="2"/>
  </w:num>
  <w:num w:numId="43">
    <w:abstractNumId w:val="1"/>
  </w:num>
  <w:num w:numId="44">
    <w:abstractNumId w:val="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ocumentProtection w:edit="readOnly" w:enforcement="1" w:cryptProviderType="rsaFull" w:cryptAlgorithmClass="hash" w:cryptAlgorithmType="typeAny" w:cryptAlgorithmSid="4" w:cryptSpinCount="100000" w:hash="8p2h6vYkieQkPh+B5roNvaRr6mg=" w:salt="sdQiJ2f36X0LfnFWyThksQ=="/>
  <w:defaultTabStop w:val="709"/>
  <w:autoHyphenation/>
  <w:hyphenationZone w:val="567"/>
  <w:characterSpacingControl w:val="doNotCompress"/>
  <w:hdrShapeDefaults>
    <o:shapedefaults v:ext="edit" spidmax="4097">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nfoTmpRUP" w:val="1"/>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1" w:defQFormat="0" w:count="267">
    <w:lsdException w:name="Normal" w:uiPriority="29" w:qFormat="1"/>
    <w:lsdException w:name="caption" w:semiHidden="1"/>
    <w:lsdException w:name="page number" w:uiPriority="29" w:qFormat="1"/>
    <w:lsdException w:name="Closing" w:uiPriority="29" w:qFormat="1"/>
    <w:lsdException w:name="Date" w:uiPriority="29" w:qFormat="1"/>
    <w:lsdException w:name="HTML Top of Form" w:uiPriority="0" w:unhideWhenUsed="0"/>
    <w:lsdException w:name="HTML Bottom of Form" w:uiPriority="0" w:unhideWhenUsed="0"/>
    <w:lsdException w:name="No List" w:unhideWhenUsed="0"/>
    <w:lsdException w:name="Outline List 1" w:uiPriority="0" w:unhideWhenUsed="0"/>
    <w:lsdException w:name="Outline List 2" w:uiPriority="0" w:unhideWhenUsed="0"/>
    <w:lsdException w:name="Outline List 3" w:uiPriority="0" w:unhideWhenUsed="0"/>
    <w:lsdException w:name="Placeholder Text" w:semiHidden="1"/>
    <w:lsdException w:name="Revision" w:semiHidden="1" w:unhideWhenUsed="0"/>
    <w:lsdException w:name="Bibliography" w:semiHidden="1"/>
    <w:lsdException w:name="TOC Heading" w:semiHidden="1"/>
  </w:latentStyles>
  <w:style w:type="paragraph" w:default="1" w:styleId="Normal">
    <w:name w:val="Normal"/>
    <w:uiPriority w:val="29"/>
    <w:unhideWhenUsed/>
    <w:qFormat/>
    <w:rPr>
      <w:rFonts w:ascii="Georgia" w:hAnsi="Georgia"/>
      <w:szCs w:val="24"/>
      <w:lang w:eastAsia="de-DE"/>
    </w:rPr>
  </w:style>
  <w:style w:type="paragraph" w:styleId="Heading1">
    <w:name w:val="heading 1"/>
    <w:basedOn w:val="Normal"/>
    <w:next w:val="Normal"/>
    <w:link w:val="Heading1Char"/>
    <w:uiPriority w:val="99"/>
    <w:semiHidden/>
    <w:unhideWhenUsed/>
    <w:pPr>
      <w:keepNext/>
      <w:numPr>
        <w:numId w:val="6"/>
      </w:numPr>
      <w:spacing w:before="240" w:after="60"/>
      <w:outlineLvl w:val="0"/>
    </w:pPr>
    <w:rPr>
      <w:rFonts w:cs="Arial"/>
      <w:b/>
      <w:bCs/>
      <w:kern w:val="32"/>
      <w:sz w:val="24"/>
      <w:szCs w:val="32"/>
    </w:rPr>
  </w:style>
  <w:style w:type="paragraph" w:styleId="Heading2">
    <w:name w:val="heading 2"/>
    <w:basedOn w:val="Normal"/>
    <w:next w:val="Normal"/>
    <w:link w:val="Heading2Char2"/>
    <w:uiPriority w:val="99"/>
    <w:semiHidden/>
    <w:unhideWhenUsed/>
    <w:pPr>
      <w:keepNext/>
      <w:keepLines/>
      <w:spacing w:before="200" w:after="120"/>
      <w:outlineLvl w:val="1"/>
    </w:pPr>
    <w:rPr>
      <w:b/>
      <w:bCs/>
      <w:szCs w:val="26"/>
    </w:rPr>
  </w:style>
  <w:style w:type="paragraph" w:styleId="Heading3">
    <w:name w:val="heading 3"/>
    <w:basedOn w:val="Normal"/>
    <w:next w:val="Normal"/>
    <w:link w:val="Heading3Char2"/>
    <w:uiPriority w:val="99"/>
    <w:semiHidden/>
    <w:unhideWhenUsed/>
    <w:pPr>
      <w:keepNext/>
      <w:keepLines/>
      <w:spacing w:before="200"/>
      <w:outlineLvl w:val="2"/>
    </w:pPr>
    <w:rPr>
      <w:rFonts w:ascii="Cambria" w:hAnsi="Cambria"/>
      <w:b/>
      <w:bCs/>
      <w:color w:val="4F81BD"/>
    </w:rPr>
  </w:style>
  <w:style w:type="paragraph" w:styleId="Heading4">
    <w:name w:val="heading 4"/>
    <w:basedOn w:val="Normal"/>
    <w:next w:val="Normal"/>
    <w:link w:val="Heading4Char1"/>
    <w:uiPriority w:val="99"/>
    <w:semiHidden/>
    <w:unhideWhenUsed/>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9"/>
    <w:semiHidden/>
    <w:unhideWhenUsed/>
    <w:pPr>
      <w:keepNext/>
      <w:keepLines/>
      <w:numPr>
        <w:numId w:val="14"/>
      </w:numPr>
      <w:spacing w:before="200"/>
      <w:jc w:val="both"/>
      <w:outlineLvl w:val="4"/>
    </w:pPr>
    <w:rPr>
      <w:b/>
    </w:rPr>
  </w:style>
  <w:style w:type="paragraph" w:styleId="Heading6">
    <w:name w:val="heading 6"/>
    <w:basedOn w:val="Normal"/>
    <w:next w:val="Normal"/>
    <w:link w:val="Heading6Char"/>
    <w:uiPriority w:val="99"/>
    <w:semiHidden/>
    <w:unhideWhenUsed/>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semiHidden/>
    <w:unhideWhenUsed/>
    <w:pPr>
      <w:spacing w:before="240" w:after="60"/>
      <w:ind w:left="1296" w:hanging="1296"/>
      <w:outlineLvl w:val="6"/>
    </w:pPr>
    <w:rPr>
      <w:rFonts w:ascii="Times New Roman" w:hAnsi="Times New Roman"/>
    </w:rPr>
  </w:style>
  <w:style w:type="paragraph" w:styleId="Heading8">
    <w:name w:val="heading 8"/>
    <w:basedOn w:val="Normal"/>
    <w:next w:val="Normal"/>
    <w:link w:val="Heading8Char"/>
    <w:uiPriority w:val="99"/>
    <w:semiHidden/>
    <w:unhideWhenUsed/>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uiPriority w:val="99"/>
    <w:semiHidden/>
    <w:unhideWhenUsed/>
    <w:pPr>
      <w:tabs>
        <w:tab w:val="num" w:pos="1584"/>
      </w:tabs>
      <w:spacing w:before="240" w:after="60"/>
      <w:ind w:left="1584" w:hanging="1584"/>
      <w:outlineLvl w:val="8"/>
    </w:pPr>
    <w:rPr>
      <w:rFonts w:ascii="Arial" w:hAnsi="Arial" w:cs="Arial"/>
      <w:szCs w:val="22"/>
    </w:rPr>
  </w:style>
  <w:style w:type="character" w:default="1" w:styleId="DefaultParagraphFont">
    <w:name w:val="Default Paragraph Font"/>
    <w:uiPriority w:val="99"/>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pPr>
      <w:tabs>
        <w:tab w:val="center" w:pos="4536"/>
        <w:tab w:val="right" w:pos="9072"/>
      </w:tabs>
    </w:pPr>
  </w:style>
  <w:style w:type="paragraph" w:styleId="Footer">
    <w:name w:val="footer"/>
    <w:basedOn w:val="Normal"/>
    <w:link w:val="FooterChar"/>
    <w:uiPriority w:val="99"/>
    <w:semiHidden/>
    <w:unhideWhenUsed/>
    <w:pPr>
      <w:tabs>
        <w:tab w:val="center" w:pos="4536"/>
        <w:tab w:val="right" w:pos="9072"/>
      </w:tabs>
    </w:pPr>
  </w:style>
  <w:style w:type="table" w:styleId="TableGrid">
    <w:name w:val="Table Grid"/>
    <w:basedOn w:val="TableNormal"/>
    <w:uiPriority w:val="99"/>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
    <w:uiPriority w:val="29"/>
    <w:qFormat/>
    <w:pPr>
      <w:spacing w:line="200" w:lineRule="exact"/>
    </w:pPr>
    <w:rPr>
      <w:color w:val="2D4190"/>
      <w:sz w:val="16"/>
    </w:rPr>
  </w:style>
  <w:style w:type="paragraph" w:customStyle="1" w:styleId="05aTitle">
    <w:name w:val="05a_Title"/>
    <w:basedOn w:val="Normal"/>
    <w:uiPriority w:val="29"/>
    <w:qFormat/>
    <w:pPr>
      <w:spacing w:line="340" w:lineRule="exact"/>
    </w:pPr>
    <w:rPr>
      <w:b/>
      <w:color w:val="000000"/>
      <w:sz w:val="28"/>
    </w:rPr>
  </w:style>
  <w:style w:type="paragraph" w:customStyle="1" w:styleId="02Date">
    <w:name w:val="02_Date"/>
    <w:basedOn w:val="Normal"/>
    <w:uiPriority w:val="29"/>
    <w:qFormat/>
    <w:pPr>
      <w:spacing w:line="220" w:lineRule="exact"/>
    </w:pPr>
    <w:rPr>
      <w:sz w:val="17"/>
    </w:rPr>
  </w:style>
  <w:style w:type="paragraph" w:customStyle="1" w:styleId="00aPagenumber">
    <w:name w:val="00a_Page number"/>
    <w:basedOn w:val="00Footer"/>
    <w:uiPriority w:val="29"/>
    <w:qFormat/>
    <w:pPr>
      <w:spacing w:line="280" w:lineRule="atLeast"/>
      <w:jc w:val="right"/>
    </w:pPr>
    <w:rPr>
      <w:color w:val="000000"/>
      <w:sz w:val="20"/>
    </w:rPr>
  </w:style>
  <w:style w:type="paragraph" w:customStyle="1" w:styleId="04BodyText">
    <w:name w:val="04_Body Text"/>
    <w:basedOn w:val="Normal"/>
    <w:link w:val="04BodyTextChar"/>
    <w:uiPriority w:val="29"/>
    <w:qFormat/>
    <w:pPr>
      <w:spacing w:after="250" w:line="276" w:lineRule="auto"/>
      <w:jc w:val="both"/>
    </w:pPr>
  </w:style>
  <w:style w:type="paragraph" w:customStyle="1" w:styleId="05HeadlinenoIndex">
    <w:name w:val="05_Headline no Index"/>
    <w:basedOn w:val="04BodyText"/>
    <w:uiPriority w:val="29"/>
    <w:qFormat/>
    <w:pPr>
      <w:spacing w:line="300" w:lineRule="exact"/>
    </w:pPr>
    <w:rPr>
      <w:b/>
      <w:sz w:val="24"/>
    </w:rPr>
  </w:style>
  <w:style w:type="paragraph" w:customStyle="1" w:styleId="05cHeadline1">
    <w:name w:val="05c_Headline 1"/>
    <w:basedOn w:val="05HeadlinenoIndex"/>
    <w:next w:val="04BodyText"/>
    <w:uiPriority w:val="49"/>
    <w:qFormat/>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29"/>
    <w:qFormat/>
    <w:pPr>
      <w:tabs>
        <w:tab w:val="num" w:pos="851"/>
      </w:tabs>
      <w:ind w:left="851" w:hanging="284"/>
    </w:pPr>
  </w:style>
  <w:style w:type="character" w:styleId="PageNumber">
    <w:name w:val="page number"/>
    <w:basedOn w:val="DefaultParagraphFont"/>
    <w:uiPriority w:val="29"/>
    <w:unhideWhenUsed/>
    <w:qFormat/>
  </w:style>
  <w:style w:type="paragraph" w:customStyle="1" w:styleId="00bDBInfo">
    <w:name w:val="00b_DB_Info"/>
    <w:basedOn w:val="00aPagenumber"/>
    <w:uiPriority w:val="29"/>
    <w:qFormat/>
    <w:rPr>
      <w:color w:val="FFFFFF"/>
    </w:rPr>
  </w:style>
  <w:style w:type="paragraph" w:customStyle="1" w:styleId="01aDBTitle">
    <w:name w:val="01a_DB_Title"/>
    <w:basedOn w:val="05aTitle"/>
    <w:uiPriority w:val="29"/>
    <w:qFormat/>
    <w:pPr>
      <w:spacing w:line="400" w:lineRule="exact"/>
      <w:jc w:val="right"/>
    </w:pPr>
    <w:rPr>
      <w:color w:val="2D4190"/>
      <w:sz w:val="40"/>
    </w:rPr>
  </w:style>
  <w:style w:type="paragraph" w:customStyle="1" w:styleId="01bDBSubtitle">
    <w:name w:val="01b_DB_Subtitle"/>
    <w:uiPriority w:val="29"/>
    <w:qFormat/>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uiPriority w:val="49"/>
    <w:qFormat/>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99"/>
    <w:semiHidden/>
    <w:unhideWhenUsed/>
    <w:pPr>
      <w:tabs>
        <w:tab w:val="left" w:pos="510"/>
        <w:tab w:val="right" w:leader="underscore" w:pos="9412"/>
      </w:tabs>
      <w:spacing w:line="250" w:lineRule="exact"/>
    </w:pPr>
  </w:style>
  <w:style w:type="paragraph" w:customStyle="1" w:styleId="04fBodytextblue">
    <w:name w:val="04f_Body text blue"/>
    <w:basedOn w:val="04BodyText"/>
    <w:uiPriority w:val="29"/>
    <w:qFormat/>
    <w:pPr>
      <w:pBdr>
        <w:bottom w:val="single" w:sz="4" w:space="12" w:color="283583"/>
      </w:pBdr>
    </w:pPr>
    <w:rPr>
      <w:color w:val="2D4190"/>
    </w:rPr>
  </w:style>
  <w:style w:type="character" w:styleId="Hyperlink">
    <w:name w:val="Hyperlink"/>
    <w:uiPriority w:val="99"/>
    <w:semiHidden/>
    <w:unhideWhenUsed/>
    <w:rPr>
      <w:color w:val="0000FF"/>
      <w:u w:val="single"/>
    </w:rPr>
  </w:style>
  <w:style w:type="paragraph" w:customStyle="1" w:styleId="04bList">
    <w:name w:val="04b_List"/>
    <w:basedOn w:val="04BodyText"/>
    <w:uiPriority w:val="49"/>
    <w:qFormat/>
    <w:pPr>
      <w:numPr>
        <w:numId w:val="3"/>
      </w:numPr>
    </w:pPr>
  </w:style>
  <w:style w:type="paragraph" w:customStyle="1" w:styleId="04eBodytextleft">
    <w:name w:val="04e_Body text left"/>
    <w:basedOn w:val="04BodyText"/>
    <w:uiPriority w:val="29"/>
    <w:qFormat/>
    <w:pPr>
      <w:spacing w:after="0"/>
      <w:jc w:val="left"/>
    </w:pPr>
  </w:style>
  <w:style w:type="paragraph" w:customStyle="1" w:styleId="05eHeadline2">
    <w:name w:val="05e_Headline 2"/>
    <w:uiPriority w:val="49"/>
    <w:qFormat/>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
    <w:basedOn w:val="Normal"/>
    <w:link w:val="FootnoteTextChar"/>
    <w:uiPriority w:val="99"/>
    <w:semiHidden/>
    <w:unhideWhenUsed/>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semiHidden/>
    <w:unhideWhenUsed/>
    <w:rPr>
      <w:vertAlign w:val="superscript"/>
    </w:rPr>
  </w:style>
  <w:style w:type="paragraph" w:styleId="TOC2">
    <w:name w:val="toc 2"/>
    <w:basedOn w:val="Normal"/>
    <w:next w:val="Normal"/>
    <w:autoRedefine/>
    <w:uiPriority w:val="99"/>
    <w:semiHidden/>
    <w:unhideWhenUsed/>
    <w:pPr>
      <w:spacing w:after="100"/>
      <w:ind w:left="220"/>
    </w:pPr>
  </w:style>
  <w:style w:type="paragraph" w:customStyle="1" w:styleId="05bHeadline1black">
    <w:name w:val="05b_Headline 1 black"/>
    <w:basedOn w:val="05dHeadline1blue"/>
    <w:uiPriority w:val="49"/>
    <w:qFormat/>
    <w:pPr>
      <w:pBdr>
        <w:top w:val="none" w:sz="0" w:space="0" w:color="auto"/>
      </w:pBdr>
    </w:pPr>
    <w:rPr>
      <w:color w:val="000000"/>
    </w:rPr>
  </w:style>
  <w:style w:type="paragraph" w:customStyle="1" w:styleId="03Headbold">
    <w:name w:val="03_Head_bold"/>
    <w:basedOn w:val="04BodyText"/>
    <w:uiPriority w:val="29"/>
    <w:qFormat/>
    <w:pPr>
      <w:tabs>
        <w:tab w:val="left" w:pos="414"/>
        <w:tab w:val="left" w:pos="454"/>
      </w:tabs>
      <w:spacing w:after="0" w:line="240" w:lineRule="auto"/>
    </w:pPr>
    <w:rPr>
      <w:b/>
    </w:rPr>
  </w:style>
  <w:style w:type="paragraph" w:customStyle="1" w:styleId="03aHead">
    <w:name w:val="03a_Head"/>
    <w:basedOn w:val="03Headbold"/>
    <w:uiPriority w:val="29"/>
    <w:qFormat/>
    <w:rPr>
      <w:b w:val="0"/>
    </w:rPr>
  </w:style>
  <w:style w:type="paragraph" w:customStyle="1" w:styleId="04dBodyTextbold">
    <w:name w:val="04d_Body Text bold"/>
    <w:basedOn w:val="04BodyText"/>
    <w:uiPriority w:val="29"/>
    <w:qFormat/>
    <w:pPr>
      <w:tabs>
        <w:tab w:val="left" w:pos="414"/>
      </w:tabs>
    </w:pPr>
    <w:rPr>
      <w:b/>
    </w:rPr>
  </w:style>
  <w:style w:type="paragraph" w:customStyle="1" w:styleId="06InfoTitle">
    <w:name w:val="06_Info_Title"/>
    <w:basedOn w:val="Normal"/>
    <w:link w:val="06InfoTitleZchn"/>
    <w:uiPriority w:val="29"/>
    <w:qFormat/>
    <w:pPr>
      <w:spacing w:after="40"/>
      <w:jc w:val="both"/>
    </w:pPr>
    <w:rPr>
      <w:b/>
      <w:sz w:val="24"/>
    </w:rPr>
  </w:style>
  <w:style w:type="character" w:customStyle="1" w:styleId="06InfoTitleZchn">
    <w:name w:val="06_Info_Title Zchn"/>
    <w:link w:val="06InfoTitle"/>
    <w:rPr>
      <w:rFonts w:ascii="Georgia" w:hAnsi="Georgia"/>
      <w:b/>
      <w:sz w:val="24"/>
      <w:szCs w:val="24"/>
      <w:lang w:val="en-GB" w:eastAsia="de-DE" w:bidi="ar-SA"/>
    </w:rPr>
  </w:style>
  <w:style w:type="paragraph" w:customStyle="1" w:styleId="06aInfoTitle">
    <w:name w:val="06a_Info_Title"/>
    <w:basedOn w:val="06InfoTitle"/>
    <w:link w:val="06aInfoTitleZchn"/>
    <w:uiPriority w:val="29"/>
    <w:qFormat/>
    <w:rPr>
      <w:sz w:val="16"/>
    </w:rPr>
  </w:style>
  <w:style w:type="character" w:customStyle="1" w:styleId="06aInfoTitleZchn">
    <w:name w:val="06a_Info_Title Zchn"/>
    <w:link w:val="06aInfoTitle"/>
    <w:rPr>
      <w:rFonts w:ascii="Georgia" w:hAnsi="Georgia"/>
      <w:b/>
      <w:sz w:val="16"/>
      <w:szCs w:val="24"/>
      <w:lang w:val="en-GB" w:eastAsia="de-DE" w:bidi="ar-SA"/>
    </w:rPr>
  </w:style>
  <w:style w:type="paragraph" w:customStyle="1" w:styleId="04cA">
    <w:name w:val="04c_A"/>
    <w:aliases w:val="B,C"/>
    <w:uiPriority w:val="29"/>
    <w:qFormat/>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uiPriority w:val="29"/>
    <w:qFormat/>
    <w:pPr>
      <w:spacing w:line="300" w:lineRule="exact"/>
    </w:pPr>
    <w:rPr>
      <w:b/>
      <w:sz w:val="24"/>
    </w:rPr>
  </w:style>
  <w:style w:type="paragraph" w:customStyle="1" w:styleId="05aHeadline2">
    <w:name w:val="05a_Headline 2"/>
    <w:basedOn w:val="05Headline1"/>
    <w:next w:val="04BodyText"/>
    <w:uiPriority w:val="29"/>
    <w:qFormat/>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uiPriority w:val="29"/>
    <w:qFormat/>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uiPriority w:val="29"/>
    <w:qFormat/>
    <w:pPr>
      <w:pBdr>
        <w:bottom w:val="single" w:sz="4" w:space="12" w:color="283583"/>
      </w:pBdr>
    </w:pPr>
    <w:rPr>
      <w:color w:val="2D4190"/>
    </w:rPr>
  </w:style>
  <w:style w:type="paragraph" w:customStyle="1" w:styleId="04cBodytextleft">
    <w:name w:val="04c_Body text left"/>
    <w:basedOn w:val="04BodyText"/>
    <w:uiPriority w:val="29"/>
    <w:qFormat/>
    <w:pPr>
      <w:spacing w:after="0"/>
      <w:jc w:val="left"/>
    </w:pPr>
  </w:style>
  <w:style w:type="paragraph" w:customStyle="1" w:styleId="Style04RunningTextBold">
    <w:name w:val="Style 04_Running Text + Bold"/>
    <w:basedOn w:val="04BodyText"/>
    <w:uiPriority w:val="29"/>
    <w:qFormat/>
    <w:pPr>
      <w:keepNext/>
    </w:pPr>
    <w:rPr>
      <w:b/>
      <w:bCs/>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link w:val="CommentText"/>
    <w:uiPriority w:val="99"/>
    <w:rPr>
      <w:rFonts w:ascii="Georgia" w:hAnsi="Georgia"/>
      <w:lang w:eastAsia="de-D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rPr>
      <w:rFonts w:ascii="Georgia" w:hAnsi="Georgia"/>
      <w:b/>
      <w:bCs/>
      <w:lang w:eastAsia="de-DE"/>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99"/>
    <w:semiHidden/>
    <w:unhideWhenUsed/>
    <w:pPr>
      <w:ind w:left="720"/>
      <w:contextualSpacing/>
    </w:pPr>
  </w:style>
  <w:style w:type="paragraph" w:styleId="TOCHeading">
    <w:name w:val="TOC Heading"/>
    <w:basedOn w:val="Heading1"/>
    <w:next w:val="Normal"/>
    <w:uiPriority w:val="99"/>
    <w:semiHidden/>
    <w:unhideWhenUsed/>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uiPriority w:val="29"/>
    <w:qFormat/>
    <w:pPr>
      <w:tabs>
        <w:tab w:val="num" w:pos="454"/>
      </w:tabs>
      <w:ind w:left="454" w:hanging="454"/>
    </w:pPr>
    <w:rPr>
      <w:lang w:val="fr-FR"/>
    </w:rPr>
  </w:style>
  <w:style w:type="character" w:customStyle="1" w:styleId="04aNumerationChar">
    <w:name w:val="04a_Numeration Char"/>
    <w:link w:val="04aNumeration"/>
    <w:locked/>
    <w:rPr>
      <w:rFonts w:ascii="Georgia" w:hAnsi="Georgia"/>
      <w:szCs w:val="24"/>
      <w:lang w:val="fr-FR" w:eastAsia="de-DE"/>
    </w:rPr>
  </w:style>
  <w:style w:type="character" w:customStyle="1" w:styleId="FootnoteTextChar">
    <w:name w:val="Footnote Text Char"/>
    <w:aliases w:val="Char3 Char, Char3 Char"/>
    <w:link w:val="FootnoteText"/>
    <w:locked/>
    <w:rPr>
      <w:rFonts w:ascii="Georgia" w:hAnsi="Georgia"/>
      <w:sz w:val="16"/>
      <w:lang w:eastAsia="de-DE"/>
    </w:rPr>
  </w:style>
  <w:style w:type="paragraph" w:customStyle="1" w:styleId="DPpara">
    <w:name w:val="DP para"/>
    <w:basedOn w:val="04aNumeration"/>
    <w:link w:val="DPparaChar"/>
    <w:uiPriority w:val="49"/>
    <w:qFormat/>
    <w:pPr>
      <w:numPr>
        <w:numId w:val="7"/>
      </w:numPr>
    </w:pPr>
    <w:rPr>
      <w:szCs w:val="20"/>
    </w:rPr>
  </w:style>
  <w:style w:type="character" w:customStyle="1" w:styleId="DPparaChar">
    <w:name w:val="DP para Char"/>
    <w:link w:val="DPpara"/>
    <w:locked/>
    <w:rPr>
      <w:rFonts w:ascii="Georgia" w:hAnsi="Georgia"/>
      <w:lang w:val="fr-FR" w:eastAsia="de-DE"/>
    </w:rPr>
  </w:style>
  <w:style w:type="character" w:customStyle="1" w:styleId="CommentTextChar1">
    <w:name w:val="Comment Text Char1"/>
    <w:uiPriority w:val="29"/>
    <w:qFormat/>
    <w:rPr>
      <w:rFonts w:ascii="Georgia" w:hAnsi="Georgia"/>
      <w:lang w:eastAsia="de-DE"/>
    </w:rPr>
  </w:style>
  <w:style w:type="character" w:customStyle="1" w:styleId="FootnoteTextChar1">
    <w:name w:val="Footnote Text Char1"/>
    <w:aliases w:val="Char3 Char1, Char3 Char1"/>
    <w:uiPriority w:val="29"/>
    <w:qFormat/>
    <w:locked/>
    <w:rPr>
      <w:rFonts w:ascii="Georgia" w:hAnsi="Georgia"/>
      <w:sz w:val="16"/>
      <w:lang w:eastAsia="de-DE"/>
    </w:rPr>
  </w:style>
  <w:style w:type="paragraph" w:customStyle="1" w:styleId="Default">
    <w:name w:val="Default"/>
    <w:uiPriority w:val="29"/>
    <w:qFormat/>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uiPriority w:val="29"/>
    <w:qFormat/>
  </w:style>
  <w:style w:type="paragraph" w:customStyle="1" w:styleId="ManualNumPar1">
    <w:name w:val="Manual NumPar 1"/>
    <w:basedOn w:val="Normal"/>
    <w:next w:val="Normal"/>
    <w:link w:val="ManualNumPar1Char"/>
    <w:uiPriority w:val="29"/>
    <w:qFormat/>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Pr>
      <w:sz w:val="24"/>
      <w:szCs w:val="24"/>
      <w:lang w:eastAsia="en-US"/>
    </w:rPr>
  </w:style>
  <w:style w:type="character" w:customStyle="1" w:styleId="Heading1Char">
    <w:name w:val="Heading 1 Char"/>
    <w:link w:val="Heading1"/>
    <w:rPr>
      <w:rFonts w:ascii="Georgia" w:hAnsi="Georgia" w:cs="Arial"/>
      <w:b/>
      <w:bCs/>
      <w:kern w:val="32"/>
      <w:sz w:val="24"/>
      <w:szCs w:val="32"/>
      <w:lang w:eastAsia="de-DE"/>
    </w:rPr>
  </w:style>
  <w:style w:type="character" w:customStyle="1" w:styleId="Heading2Char">
    <w:name w:val="Heading 2 Char"/>
    <w:uiPriority w:val="29"/>
    <w:qFormat/>
    <w:rPr>
      <w:rFonts w:ascii="Georgia" w:hAnsi="Georgia" w:cs="Arial"/>
      <w:bCs/>
      <w:i/>
      <w:kern w:val="32"/>
      <w:szCs w:val="32"/>
      <w:lang w:eastAsia="de-DE"/>
    </w:rPr>
  </w:style>
  <w:style w:type="character" w:styleId="Emphasis">
    <w:name w:val="Emphasis"/>
    <w:uiPriority w:val="99"/>
    <w:semiHidden/>
    <w:unhideWhenUsed/>
    <w:rPr>
      <w:i/>
      <w:iCs/>
    </w:rPr>
  </w:style>
  <w:style w:type="paragraph" w:styleId="Revision">
    <w:name w:val="Revision"/>
    <w:link w:val="RevisionChar"/>
    <w:hidden/>
    <w:uiPriority w:val="99"/>
    <w:semiHidden/>
    <w:rPr>
      <w:rFonts w:ascii="Georgia" w:hAnsi="Georgia"/>
      <w:sz w:val="22"/>
      <w:szCs w:val="24"/>
      <w:lang w:eastAsia="de-DE"/>
    </w:rPr>
  </w:style>
  <w:style w:type="paragraph" w:styleId="TOC3">
    <w:name w:val="toc 3"/>
    <w:basedOn w:val="Normal"/>
    <w:next w:val="Normal"/>
    <w:autoRedefine/>
    <w:uiPriority w:val="99"/>
    <w:semiHidden/>
    <w:unhideWhenUsed/>
    <w:pPr>
      <w:spacing w:after="100"/>
      <w:ind w:left="440"/>
    </w:pPr>
  </w:style>
  <w:style w:type="character" w:customStyle="1" w:styleId="SprechblasentextZeichen">
    <w:name w:val="Sprechblasentext Zeichen"/>
    <w:uiPriority w:val="29"/>
    <w:qFormat/>
    <w:rPr>
      <w:rFonts w:ascii="Lucida Grande" w:hAnsi="Lucida Grande"/>
      <w:sz w:val="18"/>
      <w:szCs w:val="18"/>
    </w:rPr>
  </w:style>
  <w:style w:type="paragraph" w:customStyle="1" w:styleId="CM3">
    <w:name w:val="CM3"/>
    <w:basedOn w:val="Normal"/>
    <w:next w:val="Normal"/>
    <w:uiPriority w:val="29"/>
    <w:qFormat/>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29"/>
    <w:qFormat/>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99"/>
    <w:semiHidden/>
    <w:unhideWhenUsed/>
    <w:pPr>
      <w:spacing w:after="100" w:line="276" w:lineRule="auto"/>
      <w:ind w:left="660"/>
    </w:pPr>
    <w:rPr>
      <w:rFonts w:ascii="Calibri" w:hAnsi="Calibri"/>
      <w:szCs w:val="22"/>
      <w:lang w:eastAsia="en-GB"/>
    </w:rPr>
  </w:style>
  <w:style w:type="paragraph" w:styleId="TOC5">
    <w:name w:val="toc 5"/>
    <w:basedOn w:val="Normal"/>
    <w:next w:val="Normal"/>
    <w:autoRedefine/>
    <w:uiPriority w:val="99"/>
    <w:semiHidden/>
    <w:unhideWhenUsed/>
    <w:pPr>
      <w:spacing w:after="100" w:line="276" w:lineRule="auto"/>
      <w:ind w:left="880"/>
    </w:pPr>
    <w:rPr>
      <w:rFonts w:ascii="Calibri" w:hAnsi="Calibri"/>
      <w:szCs w:val="22"/>
      <w:lang w:eastAsia="en-GB"/>
    </w:rPr>
  </w:style>
  <w:style w:type="paragraph" w:styleId="TOC6">
    <w:name w:val="toc 6"/>
    <w:basedOn w:val="Normal"/>
    <w:next w:val="Normal"/>
    <w:autoRedefine/>
    <w:uiPriority w:val="99"/>
    <w:semiHidden/>
    <w:unhideWhenUsed/>
    <w:pPr>
      <w:spacing w:after="100" w:line="276" w:lineRule="auto"/>
      <w:ind w:left="1100"/>
    </w:pPr>
    <w:rPr>
      <w:rFonts w:ascii="Calibri" w:hAnsi="Calibri"/>
      <w:szCs w:val="22"/>
      <w:lang w:eastAsia="en-GB"/>
    </w:rPr>
  </w:style>
  <w:style w:type="paragraph" w:styleId="TOC7">
    <w:name w:val="toc 7"/>
    <w:basedOn w:val="Normal"/>
    <w:next w:val="Normal"/>
    <w:autoRedefine/>
    <w:uiPriority w:val="99"/>
    <w:semiHidden/>
    <w:unhideWhenUsed/>
    <w:pPr>
      <w:spacing w:after="100" w:line="276" w:lineRule="auto"/>
      <w:ind w:left="1320"/>
    </w:pPr>
    <w:rPr>
      <w:rFonts w:ascii="Calibri" w:hAnsi="Calibri"/>
      <w:szCs w:val="22"/>
      <w:lang w:eastAsia="en-GB"/>
    </w:rPr>
  </w:style>
  <w:style w:type="paragraph" w:styleId="TOC8">
    <w:name w:val="toc 8"/>
    <w:basedOn w:val="Normal"/>
    <w:next w:val="Normal"/>
    <w:autoRedefine/>
    <w:uiPriority w:val="99"/>
    <w:semiHidden/>
    <w:unhideWhenUsed/>
    <w:pPr>
      <w:spacing w:after="100" w:line="276" w:lineRule="auto"/>
      <w:ind w:left="1540"/>
    </w:pPr>
    <w:rPr>
      <w:rFonts w:ascii="Calibri" w:hAnsi="Calibri"/>
      <w:szCs w:val="22"/>
      <w:lang w:eastAsia="en-GB"/>
    </w:rPr>
  </w:style>
  <w:style w:type="paragraph" w:styleId="TOC9">
    <w:name w:val="toc 9"/>
    <w:basedOn w:val="Normal"/>
    <w:next w:val="Normal"/>
    <w:autoRedefine/>
    <w:uiPriority w:val="99"/>
    <w:semiHidden/>
    <w:unhideWhenUsed/>
    <w:pPr>
      <w:spacing w:after="100" w:line="276" w:lineRule="auto"/>
      <w:ind w:left="1760"/>
    </w:pPr>
    <w:rPr>
      <w:rFonts w:ascii="Calibri" w:hAnsi="Calibri"/>
      <w:szCs w:val="22"/>
      <w:lang w:eastAsia="en-GB"/>
    </w:rPr>
  </w:style>
  <w:style w:type="character" w:customStyle="1" w:styleId="DeltaViewInsertion">
    <w:name w:val="DeltaView Insertion"/>
    <w:uiPriority w:val="29"/>
    <w:qFormat/>
    <w:rPr>
      <w:b/>
      <w:bCs/>
      <w:color w:val="FFFFFF"/>
      <w:spacing w:val="0"/>
      <w:u w:val="single"/>
    </w:rPr>
  </w:style>
  <w:style w:type="paragraph" w:styleId="Caption">
    <w:name w:val="caption"/>
    <w:basedOn w:val="Normal"/>
    <w:next w:val="Normal"/>
    <w:uiPriority w:val="99"/>
    <w:semiHidden/>
    <w:unhideWhenUsed/>
    <w:pPr>
      <w:spacing w:after="200"/>
    </w:pPr>
    <w:rPr>
      <w:b/>
      <w:bCs/>
      <w:sz w:val="18"/>
      <w:szCs w:val="18"/>
    </w:rPr>
  </w:style>
  <w:style w:type="character" w:customStyle="1" w:styleId="Heading5Char">
    <w:name w:val="Heading 5 Char"/>
    <w:uiPriority w:val="29"/>
    <w:qFormat/>
    <w:rPr>
      <w:rFonts w:ascii="Georgia" w:eastAsia="Times New Roman" w:hAnsi="Georgia" w:cs="Times New Roman"/>
      <w:b/>
      <w:szCs w:val="24"/>
      <w:lang w:eastAsia="de-DE"/>
    </w:rPr>
  </w:style>
  <w:style w:type="paragraph" w:styleId="NormalWeb">
    <w:name w:val="Normal (Web)"/>
    <w:basedOn w:val="Normal"/>
    <w:uiPriority w:val="99"/>
    <w:semiHidden/>
    <w:unhideWhenUsed/>
    <w:pPr>
      <w:spacing w:before="100" w:beforeAutospacing="1" w:after="100" w:afterAutospacing="1"/>
    </w:pPr>
    <w:rPr>
      <w:rFonts w:ascii="Times New Roman" w:hAnsi="Times New Roman"/>
      <w:sz w:val="24"/>
      <w:lang w:val="fr-FR" w:eastAsia="fr-FR"/>
    </w:rPr>
  </w:style>
  <w:style w:type="character" w:customStyle="1" w:styleId="Heading5Char1">
    <w:name w:val="Heading 5 Char1"/>
    <w:uiPriority w:val="29"/>
    <w:qFormat/>
    <w:rPr>
      <w:rFonts w:ascii="Georgia" w:hAnsi="Georgia"/>
      <w:b/>
      <w:bCs/>
      <w:iCs/>
      <w:szCs w:val="26"/>
      <w:lang w:eastAsia="de-DE"/>
    </w:rPr>
  </w:style>
  <w:style w:type="paragraph" w:styleId="DocumentMap">
    <w:name w:val="Document Map"/>
    <w:basedOn w:val="Normal"/>
    <w:link w:val="DocumentMapChar"/>
    <w:uiPriority w:val="99"/>
    <w:semiHidden/>
    <w:unhideWhenUsed/>
    <w:rPr>
      <w:rFonts w:ascii="Tahoma" w:hAnsi="Tahoma" w:cs="Tahoma"/>
      <w:sz w:val="16"/>
      <w:szCs w:val="16"/>
    </w:rPr>
  </w:style>
  <w:style w:type="character" w:customStyle="1" w:styleId="DocumentMapChar">
    <w:name w:val="Document Map Char"/>
    <w:link w:val="DocumentMap"/>
    <w:rPr>
      <w:rFonts w:ascii="Tahoma" w:hAnsi="Tahoma" w:cs="Tahoma"/>
      <w:sz w:val="16"/>
      <w:szCs w:val="16"/>
      <w:lang w:eastAsia="de-DE"/>
    </w:rPr>
  </w:style>
  <w:style w:type="paragraph" w:styleId="PlainText">
    <w:name w:val="Plain Text"/>
    <w:basedOn w:val="Normal"/>
    <w:link w:val="PlainTextChar"/>
    <w:uiPriority w:val="99"/>
    <w:semiHidden/>
    <w:unhideWhenUsed/>
    <w:rPr>
      <w:rFonts w:ascii="Consolas" w:hAnsi="Consolas"/>
      <w:sz w:val="21"/>
      <w:szCs w:val="21"/>
      <w:lang w:val="de-DE"/>
    </w:rPr>
  </w:style>
  <w:style w:type="character" w:customStyle="1" w:styleId="PlainTextChar">
    <w:name w:val="Plain Text Char"/>
    <w:link w:val="PlainText"/>
    <w:rPr>
      <w:rFonts w:ascii="Consolas" w:hAnsi="Consolas"/>
      <w:sz w:val="21"/>
      <w:szCs w:val="21"/>
      <w:lang w:val="de-DE" w:eastAsia="de-DE"/>
    </w:rPr>
  </w:style>
  <w:style w:type="paragraph" w:styleId="BodyText">
    <w:name w:val="Body Text"/>
    <w:basedOn w:val="Normal"/>
    <w:link w:val="BodyTextChar"/>
    <w:uiPriority w:val="99"/>
    <w:semiHidden/>
    <w:unhideWhenUsed/>
    <w:pPr>
      <w:numPr>
        <w:numId w:val="9"/>
      </w:numPr>
      <w:spacing w:after="240"/>
      <w:jc w:val="both"/>
    </w:pPr>
    <w:rPr>
      <w:rFonts w:ascii="Times New Roman" w:hAnsi="Times New Roman"/>
      <w:sz w:val="24"/>
      <w:szCs w:val="20"/>
      <w:lang w:eastAsia="en-GB"/>
    </w:rPr>
  </w:style>
  <w:style w:type="character" w:customStyle="1" w:styleId="BodyTextChar">
    <w:name w:val="Body Text Char"/>
    <w:link w:val="BodyText"/>
    <w:rPr>
      <w:sz w:val="24"/>
    </w:rPr>
  </w:style>
  <w:style w:type="paragraph" w:customStyle="1" w:styleId="ListParagraph1">
    <w:name w:val="List Paragraph1"/>
    <w:basedOn w:val="Normal"/>
    <w:uiPriority w:val="29"/>
    <w:qFormat/>
    <w:pPr>
      <w:spacing w:after="200" w:line="276" w:lineRule="atLeast"/>
      <w:ind w:left="720"/>
    </w:pPr>
    <w:rPr>
      <w:rFonts w:ascii="Calibri" w:hAnsi="Calibri" w:cs="Calibri"/>
      <w:szCs w:val="20"/>
      <w:lang w:val="el-GR" w:eastAsia="en-US"/>
    </w:rPr>
  </w:style>
  <w:style w:type="character" w:customStyle="1" w:styleId="Heading5Char2">
    <w:name w:val="Heading 5 Char2"/>
    <w:uiPriority w:val="29"/>
    <w:qFormat/>
    <w:rPr>
      <w:rFonts w:ascii="Georgia" w:eastAsia="Times New Roman" w:hAnsi="Georgia" w:cs="Times New Roman"/>
      <w:b/>
      <w:szCs w:val="24"/>
      <w:lang w:eastAsia="de-DE"/>
    </w:rPr>
  </w:style>
  <w:style w:type="character" w:styleId="Strong">
    <w:name w:val="Strong"/>
    <w:aliases w:val="Bolded"/>
    <w:uiPriority w:val="99"/>
    <w:semiHidden/>
    <w:unhideWhenUsed/>
    <w:rPr>
      <w:b/>
      <w:bCs/>
    </w:rPr>
  </w:style>
  <w:style w:type="character" w:customStyle="1" w:styleId="Strong1">
    <w:name w:val="Strong1"/>
    <w:uiPriority w:val="29"/>
    <w:qFormat/>
    <w:rPr>
      <w:b/>
      <w:bCs/>
    </w:rPr>
  </w:style>
  <w:style w:type="character" w:customStyle="1" w:styleId="Strong2">
    <w:name w:val="Strong2"/>
    <w:uiPriority w:val="29"/>
    <w:qFormat/>
    <w:rPr>
      <w:b/>
      <w:bCs/>
    </w:rPr>
  </w:style>
  <w:style w:type="character" w:customStyle="1" w:styleId="Heading5Char3">
    <w:name w:val="Heading 5 Char3"/>
    <w:uiPriority w:val="29"/>
    <w:qFormat/>
    <w:rPr>
      <w:rFonts w:ascii="Georgia" w:eastAsia="Times New Roman" w:hAnsi="Georgia" w:cs="Times New Roman"/>
      <w:b/>
      <w:szCs w:val="24"/>
      <w:lang w:eastAsia="de-DE"/>
    </w:rPr>
  </w:style>
  <w:style w:type="character" w:customStyle="1" w:styleId="Heading5Char4">
    <w:name w:val="Heading 5 Char4"/>
    <w:uiPriority w:val="29"/>
    <w:qFormat/>
    <w:rPr>
      <w:rFonts w:ascii="Georgia" w:eastAsia="Times New Roman" w:hAnsi="Georgia" w:cs="Times New Roman"/>
      <w:b/>
      <w:szCs w:val="24"/>
      <w:lang w:eastAsia="de-DE"/>
    </w:rPr>
  </w:style>
  <w:style w:type="character" w:customStyle="1" w:styleId="Heading2Char1">
    <w:name w:val="Heading 2 Char1"/>
    <w:uiPriority w:val="29"/>
    <w:qFormat/>
    <w:rPr>
      <w:rFonts w:ascii="Georgia" w:eastAsia="Times New Roman" w:hAnsi="Georgia" w:cs="Times New Roman"/>
      <w:b/>
      <w:bCs/>
      <w:sz w:val="22"/>
      <w:szCs w:val="26"/>
      <w:lang w:eastAsia="de-DE"/>
    </w:rPr>
  </w:style>
  <w:style w:type="character" w:customStyle="1" w:styleId="Heading3Char">
    <w:name w:val="Heading 3 Char"/>
    <w:uiPriority w:val="29"/>
    <w:qFormat/>
    <w:rPr>
      <w:rFonts w:ascii="Georgia" w:eastAsia="Times New Roman" w:hAnsi="Georgia" w:cs="Times New Roman"/>
      <w:b/>
      <w:sz w:val="22"/>
      <w:szCs w:val="26"/>
      <w:lang w:eastAsia="de-DE"/>
    </w:rPr>
  </w:style>
  <w:style w:type="character" w:customStyle="1" w:styleId="Heading5Char5">
    <w:name w:val="Heading 5 Char5"/>
    <w:uiPriority w:val="29"/>
    <w:qFormat/>
    <w:rPr>
      <w:rFonts w:ascii="Georgia" w:eastAsia="Times New Roman" w:hAnsi="Georgia" w:cs="Times New Roman"/>
      <w:b/>
      <w:szCs w:val="24"/>
      <w:lang w:eastAsia="de-DE"/>
    </w:rPr>
  </w:style>
  <w:style w:type="character" w:customStyle="1" w:styleId="Heading2Char2">
    <w:name w:val="Heading 2 Char2"/>
    <w:link w:val="Heading2"/>
    <w:rPr>
      <w:rFonts w:ascii="Georgia" w:eastAsia="Times New Roman" w:hAnsi="Georgia" w:cs="Times New Roman"/>
      <w:b/>
      <w:bCs/>
      <w:sz w:val="22"/>
      <w:szCs w:val="26"/>
      <w:lang w:eastAsia="de-DE"/>
    </w:rPr>
  </w:style>
  <w:style w:type="character" w:customStyle="1" w:styleId="Strong3">
    <w:name w:val="Strong3"/>
    <w:uiPriority w:val="29"/>
    <w:qFormat/>
    <w:rPr>
      <w:b/>
      <w:bCs/>
    </w:rPr>
  </w:style>
  <w:style w:type="character" w:customStyle="1" w:styleId="Heading5Char6">
    <w:name w:val="Heading 5 Char6"/>
    <w:uiPriority w:val="29"/>
    <w:qFormat/>
    <w:rPr>
      <w:rFonts w:ascii="Georgia" w:eastAsia="Times New Roman" w:hAnsi="Georgia" w:cs="Times New Roman"/>
      <w:b/>
      <w:szCs w:val="24"/>
      <w:lang w:eastAsia="de-DE"/>
    </w:rPr>
  </w:style>
  <w:style w:type="character" w:customStyle="1" w:styleId="Heading4Char">
    <w:name w:val="Heading 4 Char"/>
    <w:uiPriority w:val="29"/>
    <w:qFormat/>
    <w:rPr>
      <w:rFonts w:ascii="Georgia" w:eastAsia="Times New Roman" w:hAnsi="Georgia" w:cs="Times New Roman"/>
      <w:b/>
      <w:i/>
      <w:szCs w:val="28"/>
      <w:lang w:eastAsia="de-DE"/>
    </w:rPr>
  </w:style>
  <w:style w:type="character" w:customStyle="1" w:styleId="Heading9Char">
    <w:name w:val="Heading 9 Char"/>
    <w:link w:val="Heading9"/>
    <w:rPr>
      <w:rFonts w:ascii="Arial" w:hAnsi="Arial" w:cs="Arial"/>
      <w:sz w:val="22"/>
      <w:szCs w:val="22"/>
      <w:lang w:eastAsia="de-DE"/>
    </w:rPr>
  </w:style>
  <w:style w:type="character" w:customStyle="1" w:styleId="italic1">
    <w:name w:val="italic1"/>
    <w:uiPriority w:val="29"/>
    <w:qFormat/>
    <w:rPr>
      <w:rFonts w:cs="Times New Roman"/>
      <w:i/>
      <w:iCs/>
    </w:rPr>
  </w:style>
  <w:style w:type="paragraph" w:customStyle="1" w:styleId="5Normal">
    <w:name w:val="5 Normal"/>
    <w:basedOn w:val="Normal"/>
    <w:link w:val="5NormalChar"/>
    <w:uiPriority w:val="29"/>
    <w:qFormat/>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Pr>
      <w:rFonts w:ascii="Verdana" w:hAnsi="Verdana"/>
      <w:spacing w:val="-2"/>
      <w:szCs w:val="24"/>
    </w:rPr>
  </w:style>
  <w:style w:type="character" w:customStyle="1" w:styleId="Heading5Char7">
    <w:name w:val="Heading 5 Char7"/>
    <w:aliases w:val="Questions Char"/>
    <w:uiPriority w:val="29"/>
    <w:qFormat/>
    <w:rPr>
      <w:rFonts w:ascii="Georgia" w:eastAsia="Times New Roman" w:hAnsi="Georgia" w:cs="Times New Roman"/>
      <w:b/>
      <w:szCs w:val="24"/>
      <w:lang w:eastAsia="de-DE"/>
    </w:rPr>
  </w:style>
  <w:style w:type="character" w:customStyle="1" w:styleId="Heading5Char8">
    <w:name w:val="Heading 5 Char8"/>
    <w:aliases w:val="Questions Char1"/>
    <w:uiPriority w:val="29"/>
    <w:qFormat/>
    <w:rPr>
      <w:rFonts w:ascii="Georgia" w:eastAsia="Times New Roman" w:hAnsi="Georgia" w:cs="Times New Roman"/>
      <w:b/>
      <w:szCs w:val="24"/>
      <w:lang w:eastAsia="de-DE"/>
    </w:rPr>
  </w:style>
  <w:style w:type="character" w:customStyle="1" w:styleId="Heading7Char">
    <w:name w:val="Heading 7 Char"/>
    <w:link w:val="Heading7"/>
    <w:rPr>
      <w:sz w:val="22"/>
      <w:szCs w:val="24"/>
      <w:lang w:eastAsia="de-DE"/>
    </w:rPr>
  </w:style>
  <w:style w:type="character" w:customStyle="1" w:styleId="Heading6Char">
    <w:name w:val="Heading 6 Char"/>
    <w:link w:val="Heading6"/>
    <w:rPr>
      <w:b/>
      <w:bCs/>
      <w:szCs w:val="22"/>
      <w:lang w:eastAsia="de-DE"/>
    </w:rPr>
  </w:style>
  <w:style w:type="character" w:customStyle="1" w:styleId="Heading8Char">
    <w:name w:val="Heading 8 Char"/>
    <w:link w:val="Heading8"/>
    <w:rPr>
      <w:i/>
      <w:iCs/>
      <w:szCs w:val="24"/>
      <w:lang w:eastAsia="de-DE"/>
    </w:rPr>
  </w:style>
  <w:style w:type="numbering" w:customStyle="1" w:styleId="NoList1">
    <w:name w:val="No List1"/>
    <w:next w:val="NoList"/>
    <w:uiPriority w:val="99"/>
    <w:semiHidden/>
    <w:unhideWhenUsed/>
  </w:style>
  <w:style w:type="character" w:styleId="FollowedHyperlink">
    <w:name w:val="FollowedHyperlink"/>
    <w:uiPriority w:val="99"/>
    <w:semiHidden/>
    <w:unhideWhenUsed/>
    <w:rPr>
      <w:color w:val="800080"/>
      <w:u w:val="single"/>
    </w:rPr>
  </w:style>
  <w:style w:type="character" w:customStyle="1" w:styleId="HeaderChar">
    <w:name w:val="Header Char"/>
    <w:link w:val="Header"/>
    <w:rPr>
      <w:rFonts w:ascii="Georgia" w:hAnsi="Georgia"/>
      <w:sz w:val="22"/>
      <w:szCs w:val="24"/>
      <w:lang w:eastAsia="de-DE"/>
    </w:rPr>
  </w:style>
  <w:style w:type="character" w:customStyle="1" w:styleId="FooterChar">
    <w:name w:val="Footer Char"/>
    <w:link w:val="Footer"/>
    <w:rPr>
      <w:rFonts w:ascii="Georgia" w:hAnsi="Georgia"/>
      <w:sz w:val="22"/>
      <w:szCs w:val="24"/>
      <w:lang w:eastAsia="de-DE"/>
    </w:rPr>
  </w:style>
  <w:style w:type="paragraph" w:styleId="EndnoteText">
    <w:name w:val="endnote text"/>
    <w:basedOn w:val="Normal"/>
    <w:link w:val="EndnoteTextChar"/>
    <w:uiPriority w:val="99"/>
    <w:semiHidden/>
    <w:unhideWhenUsed/>
    <w:rPr>
      <w:szCs w:val="20"/>
    </w:rPr>
  </w:style>
  <w:style w:type="character" w:customStyle="1" w:styleId="EndnoteTextChar">
    <w:name w:val="Endnote Text Char"/>
    <w:link w:val="EndnoteText"/>
    <w:rPr>
      <w:rFonts w:ascii="Georgia" w:hAnsi="Georgia"/>
      <w:lang w:eastAsia="de-DE"/>
    </w:rPr>
  </w:style>
  <w:style w:type="paragraph" w:styleId="ListNumber">
    <w:name w:val="List Number"/>
    <w:basedOn w:val="Normal"/>
    <w:uiPriority w:val="99"/>
    <w:semiHidden/>
    <w:unhideWhenUsed/>
    <w:pPr>
      <w:numPr>
        <w:numId w:val="10"/>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Pr>
      <w:rFonts w:ascii="Georgia" w:hAnsi="Georgia"/>
      <w:sz w:val="22"/>
      <w:szCs w:val="24"/>
      <w:lang w:eastAsia="de-DE"/>
    </w:rPr>
  </w:style>
  <w:style w:type="paragraph" w:customStyle="1" w:styleId="04anumbering0">
    <w:name w:val="04anumbering"/>
    <w:basedOn w:val="Normal"/>
    <w:uiPriority w:val="29"/>
    <w:qFormat/>
    <w:pPr>
      <w:tabs>
        <w:tab w:val="num" w:pos="360"/>
      </w:tabs>
      <w:spacing w:after="250" w:line="276" w:lineRule="auto"/>
      <w:jc w:val="both"/>
    </w:pPr>
    <w:rPr>
      <w:rFonts w:eastAsia="Calibri"/>
      <w:szCs w:val="20"/>
      <w:lang w:eastAsia="en-GB"/>
    </w:rPr>
  </w:style>
  <w:style w:type="paragraph" w:customStyle="1" w:styleId="Tiret1">
    <w:name w:val="Tiret 1"/>
    <w:basedOn w:val="Normal"/>
    <w:uiPriority w:val="49"/>
    <w:qFormat/>
    <w:pPr>
      <w:numPr>
        <w:numId w:val="11"/>
      </w:numPr>
      <w:spacing w:before="120" w:after="120"/>
      <w:jc w:val="both"/>
    </w:pPr>
    <w:rPr>
      <w:rFonts w:ascii="Times New Roman" w:hAnsi="Times New Roman"/>
      <w:sz w:val="24"/>
      <w:lang w:eastAsia="en-US"/>
    </w:rPr>
  </w:style>
  <w:style w:type="character" w:customStyle="1" w:styleId="DPChar">
    <w:name w:val="DP Char"/>
    <w:link w:val="DP"/>
    <w:locked/>
    <w:rPr>
      <w:rFonts w:ascii="Georgia" w:hAnsi="Georgia"/>
      <w:b/>
      <w:u w:val="single"/>
      <w:lang w:eastAsia="de-DE"/>
    </w:rPr>
  </w:style>
  <w:style w:type="paragraph" w:customStyle="1" w:styleId="DP">
    <w:name w:val="DP"/>
    <w:basedOn w:val="ListParagraph"/>
    <w:link w:val="DPChar"/>
    <w:uiPriority w:val="29"/>
    <w:qFormat/>
    <w:pPr>
      <w:ind w:left="708"/>
      <w:contextualSpacing w:val="0"/>
      <w:jc w:val="both"/>
    </w:pPr>
    <w:rPr>
      <w:b/>
      <w:szCs w:val="20"/>
      <w:u w:val="single"/>
    </w:rPr>
  </w:style>
  <w:style w:type="paragraph" w:customStyle="1" w:styleId="Bullet">
    <w:name w:val="Bullet"/>
    <w:basedOn w:val="Normal"/>
    <w:uiPriority w:val="49"/>
    <w:qFormat/>
    <w:pPr>
      <w:numPr>
        <w:numId w:val="12"/>
      </w:numPr>
      <w:tabs>
        <w:tab w:val="left" w:pos="708"/>
      </w:tabs>
      <w:spacing w:before="120" w:after="120" w:line="276" w:lineRule="auto"/>
      <w:jc w:val="both"/>
    </w:pPr>
    <w:rPr>
      <w:szCs w:val="20"/>
      <w:lang w:eastAsia="en-GB"/>
    </w:rPr>
  </w:style>
  <w:style w:type="character" w:styleId="EndnoteReference">
    <w:name w:val="endnote reference"/>
    <w:uiPriority w:val="99"/>
    <w:semiHidden/>
    <w:unhideWhenUsed/>
    <w:rPr>
      <w:vertAlign w:val="superscript"/>
    </w:rPr>
  </w:style>
  <w:style w:type="character" w:styleId="PlaceholderText">
    <w:name w:val="Placeholder Text"/>
    <w:uiPriority w:val="99"/>
    <w:semiHidden/>
    <w:unhideWhenUsed/>
    <w:rPr>
      <w:color w:val="808080"/>
    </w:rPr>
  </w:style>
  <w:style w:type="character" w:customStyle="1" w:styleId="apple-converted-space">
    <w:name w:val="apple-converted-space"/>
    <w:uiPriority w:val="29"/>
    <w:qFormat/>
  </w:style>
  <w:style w:type="table" w:customStyle="1" w:styleId="TableGrid1">
    <w:name w:val="Table Grid1"/>
    <w:basedOn w:val="TableNormal"/>
    <w:uiPriority w:val="2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style>
  <w:style w:type="paragraph" w:customStyle="1" w:styleId="AutoCorrect">
    <w:name w:val="AutoCorrect"/>
    <w:uiPriority w:val="29"/>
    <w:qFormat/>
    <w:pPr>
      <w:spacing w:after="200" w:line="276" w:lineRule="auto"/>
    </w:pPr>
    <w:rPr>
      <w:rFonts w:ascii="Calibri" w:hAnsi="Calibri"/>
      <w:sz w:val="22"/>
      <w:szCs w:val="22"/>
      <w:lang w:val="en-US" w:eastAsia="en-US"/>
    </w:rPr>
  </w:style>
  <w:style w:type="character" w:styleId="LineNumber">
    <w:name w:val="line number"/>
    <w:basedOn w:val="DefaultParagraphFont"/>
    <w:uiPriority w:val="99"/>
    <w:semiHidden/>
    <w:unhideWhenUsed/>
  </w:style>
  <w:style w:type="paragraph" w:customStyle="1" w:styleId="aStyle">
    <w:name w:val="a) Style"/>
    <w:basedOn w:val="Normal"/>
    <w:uiPriority w:val="49"/>
    <w:qFormat/>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Pr>
      <w:rFonts w:ascii="Georgia" w:hAnsi="Georgia"/>
      <w:szCs w:val="24"/>
      <w:lang w:eastAsia="de-DE"/>
    </w:rPr>
  </w:style>
  <w:style w:type="paragraph" w:customStyle="1" w:styleId="Anwer">
    <w:name w:val="Anwer"/>
    <w:basedOn w:val="Caption"/>
    <w:link w:val="AnwerChar"/>
    <w:uiPriority w:val="29"/>
    <w:qFormat/>
    <w:pPr>
      <w:spacing w:before="120"/>
      <w:jc w:val="both"/>
    </w:pPr>
    <w:rPr>
      <w:color w:val="C0504D"/>
    </w:rPr>
  </w:style>
  <w:style w:type="character" w:customStyle="1" w:styleId="AnwerChar">
    <w:name w:val="Anwer Char"/>
    <w:link w:val="Anwer"/>
    <w:rPr>
      <w:rFonts w:ascii="Georgia" w:hAnsi="Georgia"/>
      <w:b/>
      <w:bCs/>
      <w:color w:val="C0504D"/>
      <w:sz w:val="18"/>
      <w:szCs w:val="18"/>
      <w:lang w:eastAsia="de-DE"/>
    </w:rPr>
  </w:style>
  <w:style w:type="paragraph" w:customStyle="1" w:styleId="MYNORMAL">
    <w:name w:val="MYNORMAL"/>
    <w:basedOn w:val="04aNumeration"/>
    <w:link w:val="MYNORMALChar"/>
    <w:uiPriority w:val="29"/>
    <w:qFormat/>
    <w:pPr>
      <w:tabs>
        <w:tab w:val="clear" w:pos="454"/>
      </w:tabs>
      <w:spacing w:before="120"/>
      <w:ind w:left="0" w:firstLine="0"/>
    </w:pPr>
  </w:style>
  <w:style w:type="character" w:customStyle="1" w:styleId="MYNORMALChar">
    <w:name w:val="MYNORMAL Char"/>
    <w:link w:val="MYNORMAL"/>
    <w:rPr>
      <w:rFonts w:ascii="Georgia" w:hAnsi="Georgia"/>
      <w:szCs w:val="24"/>
      <w:lang w:val="fr-FR" w:eastAsia="de-DE"/>
    </w:rPr>
  </w:style>
  <w:style w:type="paragraph" w:customStyle="1" w:styleId="Normal1">
    <w:name w:val="Normal1"/>
    <w:basedOn w:val="Normal"/>
    <w:uiPriority w:val="29"/>
    <w:qFormat/>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uiPriority w:val="29"/>
    <w:qFormat/>
    <w:rPr>
      <w:rFonts w:ascii="Georgia" w:eastAsia="Times New Roman" w:hAnsi="Georgia" w:cs="Times New Roman"/>
      <w:b/>
      <w:szCs w:val="24"/>
      <w:lang w:eastAsia="de-DE"/>
    </w:rPr>
  </w:style>
  <w:style w:type="character" w:customStyle="1" w:styleId="Heading5Char10">
    <w:name w:val="Heading 5 Char10"/>
    <w:aliases w:val="Questions Char3"/>
    <w:uiPriority w:val="29"/>
    <w:qFormat/>
    <w:rPr>
      <w:rFonts w:ascii="Georgia" w:eastAsia="Times New Roman" w:hAnsi="Georgia" w:cs="Times New Roman"/>
      <w:b/>
      <w:szCs w:val="24"/>
      <w:lang w:eastAsia="de-DE"/>
    </w:rPr>
  </w:style>
  <w:style w:type="character" w:customStyle="1" w:styleId="Heading5Char11">
    <w:name w:val="Heading 5 Char11"/>
    <w:aliases w:val="Questions Char4"/>
    <w:uiPriority w:val="29"/>
    <w:qFormat/>
    <w:rPr>
      <w:rFonts w:ascii="Georgia" w:eastAsia="Times New Roman" w:hAnsi="Georgia" w:cs="Times New Roman"/>
      <w:b/>
      <w:szCs w:val="24"/>
      <w:lang w:eastAsia="de-DE"/>
    </w:rPr>
  </w:style>
  <w:style w:type="character" w:customStyle="1" w:styleId="Heading3Char1">
    <w:name w:val="Heading 3 Char1"/>
    <w:uiPriority w:val="29"/>
    <w:qFormat/>
    <w:rPr>
      <w:rFonts w:ascii="Georgia" w:eastAsia="Times New Roman" w:hAnsi="Georgia" w:cs="Times New Roman"/>
      <w:b/>
      <w:sz w:val="22"/>
      <w:szCs w:val="26"/>
      <w:lang w:eastAsia="de-DE"/>
    </w:rPr>
  </w:style>
  <w:style w:type="character" w:customStyle="1" w:styleId="Heading5Char12">
    <w:name w:val="Heading 5 Char12"/>
    <w:aliases w:val="Questions Char5"/>
    <w:uiPriority w:val="29"/>
    <w:qFormat/>
    <w:rPr>
      <w:rFonts w:ascii="Georgia" w:eastAsia="Times New Roman" w:hAnsi="Georgia" w:cs="Times New Roman"/>
      <w:b/>
      <w:szCs w:val="24"/>
      <w:lang w:eastAsia="de-DE"/>
    </w:rPr>
  </w:style>
  <w:style w:type="character" w:customStyle="1" w:styleId="Heading5Char13">
    <w:name w:val="Heading 5 Char13"/>
    <w:aliases w:val="Questions Char6"/>
    <w:uiPriority w:val="29"/>
    <w:qFormat/>
    <w:rPr>
      <w:rFonts w:ascii="Georgia" w:eastAsia="Times New Roman" w:hAnsi="Georgia" w:cs="Times New Roman"/>
      <w:b/>
      <w:szCs w:val="24"/>
      <w:lang w:eastAsia="de-DE"/>
    </w:rPr>
  </w:style>
  <w:style w:type="character" w:customStyle="1" w:styleId="Strong4">
    <w:name w:val="Strong4"/>
    <w:uiPriority w:val="29"/>
    <w:qFormat/>
    <w:rPr>
      <w:b/>
      <w:bCs/>
    </w:rPr>
  </w:style>
  <w:style w:type="character" w:customStyle="1" w:styleId="Heading5Char14">
    <w:name w:val="Heading 5 Char14"/>
    <w:aliases w:val="Questions Char7"/>
    <w:link w:val="Heading5"/>
    <w:rPr>
      <w:rFonts w:ascii="Georgia" w:hAnsi="Georgia"/>
      <w:b/>
      <w:szCs w:val="24"/>
      <w:lang w:eastAsia="de-DE"/>
    </w:rPr>
  </w:style>
  <w:style w:type="character" w:customStyle="1" w:styleId="Heading3Char2">
    <w:name w:val="Heading 3 Char2"/>
    <w:link w:val="Heading3"/>
    <w:rPr>
      <w:rFonts w:ascii="Cambria" w:eastAsia="Times New Roman" w:hAnsi="Cambria" w:cs="Times New Roman"/>
      <w:b/>
      <w:bCs/>
      <w:color w:val="4F81BD"/>
      <w:sz w:val="22"/>
      <w:szCs w:val="24"/>
      <w:lang w:eastAsia="de-DE"/>
    </w:rPr>
  </w:style>
  <w:style w:type="character" w:customStyle="1" w:styleId="Heading4Char1">
    <w:name w:val="Heading 4 Char1"/>
    <w:link w:val="Heading4"/>
    <w:rPr>
      <w:b/>
      <w:bCs/>
      <w:sz w:val="28"/>
      <w:szCs w:val="28"/>
      <w:lang w:eastAsia="de-DE"/>
    </w:rPr>
  </w:style>
  <w:style w:type="table" w:styleId="LightList-Accent3">
    <w:name w:val="Light List Accent 3"/>
    <w:basedOn w:val="TableNormal"/>
    <w:uiPriority w:val="99"/>
    <w:semiHidden/>
    <w:unhideWhenUsed/>
    <w:rPr>
      <w:rFonts w:ascii="Calibri"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29"/>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29"/>
    <w:qFormat/>
    <w:rPr>
      <w:rFonts w:ascii="Tahoma" w:hAnsi="Tahoma" w:cs="Tahoma"/>
      <w:sz w:val="16"/>
      <w:szCs w:val="16"/>
      <w:lang w:val="en-GB" w:eastAsia="en-GB"/>
    </w:rPr>
  </w:style>
  <w:style w:type="character" w:customStyle="1" w:styleId="31TextobasenotadeprensaCNMVCar">
    <w:name w:val="3.1. Texto base nota de prensa CNMV Car"/>
    <w:uiPriority w:val="29"/>
    <w:qFormat/>
    <w:rPr>
      <w:rFonts w:ascii="Celeste" w:hAnsi="Celeste" w:cs="Times New Roman"/>
      <w:sz w:val="22"/>
      <w:lang w:val="es-ES" w:eastAsia="es-ES" w:bidi="ar-SA"/>
    </w:rPr>
  </w:style>
  <w:style w:type="paragraph" w:customStyle="1" w:styleId="01Title">
    <w:name w:val="01_Title"/>
    <w:basedOn w:val="Normal"/>
    <w:uiPriority w:val="29"/>
    <w:qFormat/>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uiPriority w:val="29"/>
    <w:qFormat/>
    <w:pPr>
      <w:spacing w:after="250" w:line="276" w:lineRule="auto"/>
      <w:ind w:left="397" w:hanging="397"/>
      <w:jc w:val="both"/>
    </w:pPr>
    <w:rPr>
      <w:lang w:val="x-none"/>
    </w:rPr>
  </w:style>
  <w:style w:type="paragraph" w:customStyle="1" w:styleId="04bListing">
    <w:name w:val="04b_Listing"/>
    <w:basedOn w:val="04RunningText"/>
    <w:uiPriority w:val="29"/>
    <w:qFormat/>
    <w:pPr>
      <w:tabs>
        <w:tab w:val="num" w:pos="568"/>
      </w:tabs>
      <w:ind w:left="568" w:hanging="284"/>
    </w:pPr>
  </w:style>
  <w:style w:type="paragraph" w:customStyle="1" w:styleId="04cRunningtextleft">
    <w:name w:val="04c_Running text left"/>
    <w:basedOn w:val="04RunningText"/>
    <w:uiPriority w:val="29"/>
    <w:qFormat/>
    <w:pPr>
      <w:spacing w:after="0"/>
      <w:jc w:val="left"/>
    </w:pPr>
  </w:style>
  <w:style w:type="paragraph" w:customStyle="1" w:styleId="05bHeadline3">
    <w:name w:val="05b_Headline 3"/>
    <w:basedOn w:val="Heading2"/>
    <w:uiPriority w:val="29"/>
    <w:qFormat/>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uiPriority w:val="29"/>
    <w:qFormat/>
    <w:rPr>
      <w:rFonts w:ascii="Courier New" w:hAnsi="Courier New" w:cs="Courier New"/>
    </w:rPr>
  </w:style>
  <w:style w:type="paragraph" w:customStyle="1" w:styleId="TOCHeading1">
    <w:name w:val="TOC Heading1"/>
    <w:basedOn w:val="Heading1"/>
    <w:next w:val="Normal"/>
    <w:uiPriority w:val="29"/>
    <w:unhideWhenUsed/>
    <w:qFormat/>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29"/>
    <w:qFormat/>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uiPriority w:val="29"/>
    <w:qFormat/>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uiPriority w:val="29"/>
    <w:qFormat/>
    <w:pPr>
      <w:spacing w:line="260" w:lineRule="atLeast"/>
      <w:ind w:left="720"/>
      <w:contextualSpacing/>
    </w:pPr>
    <w:rPr>
      <w:rFonts w:ascii="Verdana" w:hAnsi="Verdana"/>
      <w:kern w:val="10"/>
      <w:szCs w:val="20"/>
      <w:lang w:val="de-DE"/>
    </w:rPr>
  </w:style>
  <w:style w:type="paragraph" w:customStyle="1" w:styleId="Listenabsatz2">
    <w:name w:val="Listenabsatz2"/>
    <w:basedOn w:val="Normal"/>
    <w:uiPriority w:val="29"/>
    <w:qFormat/>
    <w:pPr>
      <w:spacing w:line="260" w:lineRule="atLeast"/>
      <w:ind w:left="720"/>
      <w:contextualSpacing/>
    </w:pPr>
    <w:rPr>
      <w:rFonts w:ascii="Verdana" w:hAnsi="Verdana"/>
      <w:kern w:val="10"/>
      <w:szCs w:val="20"/>
      <w:lang w:val="de-DE"/>
    </w:rPr>
  </w:style>
  <w:style w:type="paragraph" w:customStyle="1" w:styleId="Considrant">
    <w:name w:val="Considérant"/>
    <w:basedOn w:val="Normal"/>
    <w:uiPriority w:val="49"/>
    <w:qFormat/>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uiPriority w:val="29"/>
    <w:qFormat/>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uiPriority w:val="29"/>
    <w:qFormat/>
    <w:pPr>
      <w:ind w:left="720"/>
      <w:contextualSpacing/>
    </w:pPr>
    <w:rPr>
      <w:rFonts w:ascii="Cambria" w:hAnsi="Cambria"/>
      <w:sz w:val="24"/>
      <w:lang w:val="en-US" w:eastAsia="en-US"/>
    </w:rPr>
  </w:style>
  <w:style w:type="character" w:customStyle="1" w:styleId="CommentTextChar2">
    <w:name w:val="Comment Text Char2"/>
    <w:uiPriority w:val="29"/>
    <w:qFormat/>
    <w:locked/>
    <w:rPr>
      <w:rFonts w:ascii="Arial" w:hAnsi="Arial" w:cs="Times New Roman"/>
      <w:lang w:val="en-GB" w:eastAsia="en-GB" w:bidi="ar-SA"/>
    </w:rPr>
  </w:style>
  <w:style w:type="character" w:customStyle="1" w:styleId="subparatext">
    <w:name w:val="subparatext"/>
    <w:uiPriority w:val="29"/>
    <w:qFormat/>
    <w:rPr>
      <w:rFonts w:cs="Times New Roman"/>
    </w:rPr>
  </w:style>
  <w:style w:type="paragraph" w:customStyle="1" w:styleId="Normal12Hanging">
    <w:name w:val="Normal12Hanging"/>
    <w:basedOn w:val="Normal"/>
    <w:uiPriority w:val="29"/>
    <w:qFormat/>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uiPriority w:val="29"/>
    <w:qFormat/>
    <w:rPr>
      <w:szCs w:val="20"/>
    </w:rPr>
  </w:style>
  <w:style w:type="paragraph" w:customStyle="1" w:styleId="Sbuchead">
    <w:name w:val="Sbuchead"/>
    <w:basedOn w:val="Normal"/>
    <w:uiPriority w:val="29"/>
    <w:qFormat/>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uiPriority w:val="29"/>
    <w:qFormat/>
    <w:pPr>
      <w:spacing w:before="480" w:after="120"/>
      <w:jc w:val="both"/>
    </w:pPr>
    <w:rPr>
      <w:rFonts w:ascii="Times New Roman" w:hAnsi="Times New Roman"/>
      <w:sz w:val="24"/>
      <w:lang w:eastAsia="en-US"/>
    </w:rPr>
  </w:style>
  <w:style w:type="paragraph" w:customStyle="1" w:styleId="Fait">
    <w:name w:val="Fait à"/>
    <w:basedOn w:val="Normal"/>
    <w:next w:val="Institutionquisigne"/>
    <w:uiPriority w:val="29"/>
    <w:qFormat/>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uiPriority w:val="29"/>
    <w:qFormat/>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uiPriority w:val="29"/>
    <w:qFormat/>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29"/>
    <w:qFormat/>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uiPriority w:val="29"/>
    <w:qFormat/>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uiPriority w:val="29"/>
    <w:qFormat/>
    <w:pPr>
      <w:spacing w:before="360"/>
      <w:jc w:val="center"/>
    </w:pPr>
    <w:rPr>
      <w:rFonts w:ascii="Times New Roman" w:hAnsi="Times New Roman"/>
      <w:b/>
      <w:sz w:val="24"/>
      <w:lang w:eastAsia="en-US"/>
    </w:rPr>
  </w:style>
  <w:style w:type="paragraph" w:customStyle="1" w:styleId="HeaderLandscape">
    <w:name w:val="HeaderLandscape"/>
    <w:basedOn w:val="Normal"/>
    <w:uiPriority w:val="29"/>
    <w:qFormat/>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uiPriority w:val="29"/>
    <w:qFormat/>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uiPriority w:val="29"/>
    <w:qFormat/>
    <w:pPr>
      <w:spacing w:before="120" w:after="120"/>
      <w:ind w:left="850"/>
      <w:jc w:val="both"/>
    </w:pPr>
    <w:rPr>
      <w:rFonts w:ascii="Times New Roman" w:hAnsi="Times New Roman"/>
      <w:sz w:val="24"/>
      <w:lang w:eastAsia="en-US"/>
    </w:rPr>
  </w:style>
  <w:style w:type="paragraph" w:customStyle="1" w:styleId="Text2">
    <w:name w:val="Text 2"/>
    <w:basedOn w:val="Normal"/>
    <w:uiPriority w:val="29"/>
    <w:qFormat/>
    <w:pPr>
      <w:spacing w:before="120" w:after="120"/>
      <w:ind w:left="1417"/>
      <w:jc w:val="both"/>
    </w:pPr>
    <w:rPr>
      <w:rFonts w:ascii="Times New Roman" w:hAnsi="Times New Roman"/>
      <w:sz w:val="24"/>
      <w:lang w:eastAsia="en-US"/>
    </w:rPr>
  </w:style>
  <w:style w:type="paragraph" w:customStyle="1" w:styleId="Text3">
    <w:name w:val="Text 3"/>
    <w:basedOn w:val="Normal"/>
    <w:uiPriority w:val="29"/>
    <w:qFormat/>
    <w:pPr>
      <w:spacing w:before="120" w:after="120"/>
      <w:ind w:left="1984"/>
      <w:jc w:val="both"/>
    </w:pPr>
    <w:rPr>
      <w:rFonts w:ascii="Times New Roman" w:hAnsi="Times New Roman"/>
      <w:sz w:val="24"/>
      <w:lang w:eastAsia="en-US"/>
    </w:rPr>
  </w:style>
  <w:style w:type="paragraph" w:customStyle="1" w:styleId="Text4">
    <w:name w:val="Text 4"/>
    <w:basedOn w:val="Normal"/>
    <w:uiPriority w:val="29"/>
    <w:qFormat/>
    <w:pPr>
      <w:spacing w:before="120" w:after="120"/>
      <w:ind w:left="2551"/>
      <w:jc w:val="both"/>
    </w:pPr>
    <w:rPr>
      <w:rFonts w:ascii="Times New Roman" w:hAnsi="Times New Roman"/>
      <w:sz w:val="24"/>
      <w:lang w:eastAsia="en-US"/>
    </w:rPr>
  </w:style>
  <w:style w:type="paragraph" w:customStyle="1" w:styleId="NormalCentered">
    <w:name w:val="Normal Centered"/>
    <w:basedOn w:val="Normal"/>
    <w:uiPriority w:val="29"/>
    <w:qFormat/>
    <w:pPr>
      <w:spacing w:before="120" w:after="120"/>
      <w:jc w:val="center"/>
    </w:pPr>
    <w:rPr>
      <w:rFonts w:ascii="Times New Roman" w:hAnsi="Times New Roman"/>
      <w:sz w:val="24"/>
      <w:lang w:eastAsia="en-US"/>
    </w:rPr>
  </w:style>
  <w:style w:type="paragraph" w:customStyle="1" w:styleId="NormalLeft">
    <w:name w:val="Normal Left"/>
    <w:basedOn w:val="Normal"/>
    <w:uiPriority w:val="29"/>
    <w:qFormat/>
    <w:pPr>
      <w:spacing w:before="120" w:after="120"/>
    </w:pPr>
    <w:rPr>
      <w:rFonts w:ascii="Times New Roman" w:hAnsi="Times New Roman"/>
      <w:sz w:val="24"/>
      <w:lang w:eastAsia="en-US"/>
    </w:rPr>
  </w:style>
  <w:style w:type="paragraph" w:customStyle="1" w:styleId="NormalRight">
    <w:name w:val="Normal Right"/>
    <w:basedOn w:val="Normal"/>
    <w:uiPriority w:val="29"/>
    <w:qFormat/>
    <w:pPr>
      <w:spacing w:before="120" w:after="120"/>
      <w:jc w:val="right"/>
    </w:pPr>
    <w:rPr>
      <w:rFonts w:ascii="Times New Roman" w:hAnsi="Times New Roman"/>
      <w:sz w:val="24"/>
      <w:lang w:eastAsia="en-US"/>
    </w:rPr>
  </w:style>
  <w:style w:type="paragraph" w:customStyle="1" w:styleId="QuotedText">
    <w:name w:val="Quoted Text"/>
    <w:basedOn w:val="Normal"/>
    <w:uiPriority w:val="29"/>
    <w:qFormat/>
    <w:pPr>
      <w:spacing w:before="120" w:after="120"/>
      <w:ind w:left="1417"/>
      <w:jc w:val="both"/>
    </w:pPr>
    <w:rPr>
      <w:rFonts w:ascii="Times New Roman" w:hAnsi="Times New Roman"/>
      <w:sz w:val="24"/>
      <w:lang w:eastAsia="en-US"/>
    </w:rPr>
  </w:style>
  <w:style w:type="paragraph" w:customStyle="1" w:styleId="Point0">
    <w:name w:val="Point 0"/>
    <w:basedOn w:val="Normal"/>
    <w:uiPriority w:val="29"/>
    <w:qFormat/>
    <w:pPr>
      <w:spacing w:before="120" w:after="120"/>
      <w:ind w:left="850" w:hanging="850"/>
      <w:jc w:val="both"/>
    </w:pPr>
    <w:rPr>
      <w:rFonts w:ascii="Times New Roman" w:hAnsi="Times New Roman"/>
      <w:sz w:val="24"/>
      <w:lang w:eastAsia="en-US"/>
    </w:rPr>
  </w:style>
  <w:style w:type="paragraph" w:customStyle="1" w:styleId="Point1">
    <w:name w:val="Point 1"/>
    <w:basedOn w:val="Normal"/>
    <w:uiPriority w:val="29"/>
    <w:qFormat/>
    <w:pPr>
      <w:spacing w:before="120" w:after="120"/>
      <w:ind w:left="1417" w:hanging="567"/>
      <w:jc w:val="both"/>
    </w:pPr>
    <w:rPr>
      <w:rFonts w:ascii="Times New Roman" w:hAnsi="Times New Roman"/>
      <w:sz w:val="24"/>
      <w:lang w:eastAsia="en-US"/>
    </w:rPr>
  </w:style>
  <w:style w:type="paragraph" w:customStyle="1" w:styleId="Point2">
    <w:name w:val="Point 2"/>
    <w:basedOn w:val="Normal"/>
    <w:uiPriority w:val="29"/>
    <w:qFormat/>
    <w:pPr>
      <w:spacing w:before="120" w:after="120"/>
      <w:ind w:left="1984" w:hanging="567"/>
      <w:jc w:val="both"/>
    </w:pPr>
    <w:rPr>
      <w:rFonts w:ascii="Times New Roman" w:hAnsi="Times New Roman"/>
      <w:sz w:val="24"/>
      <w:lang w:eastAsia="en-US"/>
    </w:rPr>
  </w:style>
  <w:style w:type="paragraph" w:customStyle="1" w:styleId="Point3">
    <w:name w:val="Point 3"/>
    <w:basedOn w:val="Normal"/>
    <w:uiPriority w:val="29"/>
    <w:qFormat/>
    <w:pPr>
      <w:spacing w:before="120" w:after="120"/>
      <w:ind w:left="2551" w:hanging="567"/>
      <w:jc w:val="both"/>
    </w:pPr>
    <w:rPr>
      <w:rFonts w:ascii="Times New Roman" w:hAnsi="Times New Roman"/>
      <w:sz w:val="24"/>
      <w:lang w:eastAsia="en-US"/>
    </w:rPr>
  </w:style>
  <w:style w:type="paragraph" w:customStyle="1" w:styleId="Point4">
    <w:name w:val="Point 4"/>
    <w:basedOn w:val="Normal"/>
    <w:uiPriority w:val="29"/>
    <w:qFormat/>
    <w:pPr>
      <w:spacing w:before="120" w:after="120"/>
      <w:ind w:left="3118" w:hanging="567"/>
      <w:jc w:val="both"/>
    </w:pPr>
    <w:rPr>
      <w:rFonts w:ascii="Times New Roman" w:hAnsi="Times New Roman"/>
      <w:sz w:val="24"/>
      <w:lang w:eastAsia="en-US"/>
    </w:rPr>
  </w:style>
  <w:style w:type="paragraph" w:customStyle="1" w:styleId="Tiret0">
    <w:name w:val="Tiret 0"/>
    <w:basedOn w:val="Point0"/>
    <w:uiPriority w:val="49"/>
    <w:qFormat/>
    <w:pPr>
      <w:numPr>
        <w:numId w:val="19"/>
      </w:numPr>
    </w:pPr>
  </w:style>
  <w:style w:type="paragraph" w:customStyle="1" w:styleId="Tiret2">
    <w:name w:val="Tiret 2"/>
    <w:basedOn w:val="Point2"/>
    <w:uiPriority w:val="29"/>
    <w:qFormat/>
    <w:pPr>
      <w:tabs>
        <w:tab w:val="num" w:pos="1984"/>
      </w:tabs>
    </w:pPr>
  </w:style>
  <w:style w:type="paragraph" w:customStyle="1" w:styleId="Tiret3">
    <w:name w:val="Tiret 3"/>
    <w:basedOn w:val="Point3"/>
    <w:uiPriority w:val="49"/>
    <w:qFormat/>
    <w:pPr>
      <w:numPr>
        <w:numId w:val="20"/>
      </w:numPr>
    </w:pPr>
  </w:style>
  <w:style w:type="paragraph" w:customStyle="1" w:styleId="Tiret4">
    <w:name w:val="Tiret 4"/>
    <w:basedOn w:val="Point4"/>
    <w:uiPriority w:val="49"/>
    <w:qFormat/>
    <w:pPr>
      <w:numPr>
        <w:numId w:val="21"/>
      </w:numPr>
    </w:pPr>
  </w:style>
  <w:style w:type="paragraph" w:customStyle="1" w:styleId="PointDouble0">
    <w:name w:val="PointDouble 0"/>
    <w:basedOn w:val="Normal"/>
    <w:uiPriority w:val="29"/>
    <w:qFormat/>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uiPriority w:val="29"/>
    <w:qFormat/>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uiPriority w:val="29"/>
    <w:qFormat/>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uiPriority w:val="29"/>
    <w:qFormat/>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uiPriority w:val="29"/>
    <w:qFormat/>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uiPriority w:val="29"/>
    <w:qFormat/>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uiPriority w:val="29"/>
    <w:qFormat/>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uiPriority w:val="29"/>
    <w:qFormat/>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uiPriority w:val="29"/>
    <w:qFormat/>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uiPriority w:val="29"/>
    <w:qFormat/>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uiPriority w:val="49"/>
    <w:qFormat/>
    <w:pPr>
      <w:numPr>
        <w:numId w:val="22"/>
      </w:numPr>
      <w:spacing w:before="120" w:after="120"/>
      <w:jc w:val="both"/>
    </w:pPr>
    <w:rPr>
      <w:rFonts w:ascii="Times New Roman" w:hAnsi="Times New Roman"/>
      <w:sz w:val="24"/>
      <w:lang w:eastAsia="en-US"/>
    </w:rPr>
  </w:style>
  <w:style w:type="paragraph" w:customStyle="1" w:styleId="NumPar2">
    <w:name w:val="NumPar 2"/>
    <w:basedOn w:val="Normal"/>
    <w:next w:val="Text1"/>
    <w:uiPriority w:val="49"/>
    <w:qFormat/>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l"/>
    <w:next w:val="Text1"/>
    <w:uiPriority w:val="49"/>
    <w:qFormat/>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l"/>
    <w:next w:val="Text1"/>
    <w:uiPriority w:val="49"/>
    <w:qFormat/>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l"/>
    <w:next w:val="Text1"/>
    <w:uiPriority w:val="29"/>
    <w:qFormat/>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uiPriority w:val="29"/>
    <w:qFormat/>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uiPriority w:val="29"/>
    <w:qFormat/>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uiPriority w:val="29"/>
    <w:qFormat/>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uiPriority w:val="29"/>
    <w:qFormat/>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uiPriority w:val="29"/>
    <w:qFormat/>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uiPriority w:val="29"/>
    <w:qFormat/>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uiPriority w:val="29"/>
    <w:qFormat/>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uiPriority w:val="29"/>
    <w:qFormat/>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uiPriority w:val="29"/>
    <w:qFormat/>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uiPriority w:val="29"/>
    <w:qFormat/>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uiPriority w:val="29"/>
    <w:qFormat/>
    <w:pPr>
      <w:spacing w:before="120" w:after="120"/>
      <w:jc w:val="center"/>
    </w:pPr>
    <w:rPr>
      <w:rFonts w:ascii="Times New Roman" w:hAnsi="Times New Roman"/>
      <w:b/>
      <w:sz w:val="24"/>
      <w:lang w:eastAsia="en-US"/>
    </w:rPr>
  </w:style>
  <w:style w:type="character" w:customStyle="1" w:styleId="Marker">
    <w:name w:val="Marker"/>
    <w:uiPriority w:val="29"/>
    <w:qFormat/>
    <w:rPr>
      <w:color w:val="0000FF"/>
      <w:shd w:val="clear" w:color="auto" w:fill="auto"/>
    </w:rPr>
  </w:style>
  <w:style w:type="character" w:customStyle="1" w:styleId="Marker1">
    <w:name w:val="Marker1"/>
    <w:uiPriority w:val="29"/>
    <w:qFormat/>
    <w:rPr>
      <w:color w:val="008000"/>
      <w:shd w:val="clear" w:color="auto" w:fill="auto"/>
    </w:rPr>
  </w:style>
  <w:style w:type="character" w:customStyle="1" w:styleId="Marker2">
    <w:name w:val="Marker2"/>
    <w:uiPriority w:val="29"/>
    <w:qFormat/>
    <w:rPr>
      <w:color w:val="FF0000"/>
      <w:shd w:val="clear" w:color="auto" w:fill="auto"/>
    </w:rPr>
  </w:style>
  <w:style w:type="paragraph" w:customStyle="1" w:styleId="Point0number">
    <w:name w:val="Point 0 (number)"/>
    <w:basedOn w:val="Normal"/>
    <w:uiPriority w:val="49"/>
    <w:qFormat/>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l"/>
    <w:uiPriority w:val="49"/>
    <w:qFormat/>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l"/>
    <w:uiPriority w:val="49"/>
    <w:qFormat/>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l"/>
    <w:uiPriority w:val="49"/>
    <w:qFormat/>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l"/>
    <w:uiPriority w:val="49"/>
    <w:qFormat/>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l"/>
    <w:uiPriority w:val="49"/>
    <w:qFormat/>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l"/>
    <w:uiPriority w:val="49"/>
    <w:qFormat/>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l"/>
    <w:uiPriority w:val="49"/>
    <w:qFormat/>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l"/>
    <w:uiPriority w:val="49"/>
    <w:qFormat/>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l"/>
    <w:uiPriority w:val="49"/>
    <w:qFormat/>
    <w:pPr>
      <w:numPr>
        <w:numId w:val="23"/>
      </w:numPr>
      <w:spacing w:before="120" w:after="120"/>
      <w:jc w:val="both"/>
    </w:pPr>
    <w:rPr>
      <w:rFonts w:ascii="Times New Roman" w:hAnsi="Times New Roman"/>
      <w:sz w:val="24"/>
      <w:lang w:eastAsia="en-US"/>
    </w:rPr>
  </w:style>
  <w:style w:type="paragraph" w:customStyle="1" w:styleId="Bullet1">
    <w:name w:val="Bullet 1"/>
    <w:basedOn w:val="Normal"/>
    <w:uiPriority w:val="49"/>
    <w:qFormat/>
    <w:pPr>
      <w:numPr>
        <w:numId w:val="24"/>
      </w:numPr>
      <w:spacing w:before="120" w:after="120"/>
      <w:jc w:val="both"/>
    </w:pPr>
    <w:rPr>
      <w:rFonts w:ascii="Times New Roman" w:hAnsi="Times New Roman"/>
      <w:sz w:val="24"/>
      <w:lang w:eastAsia="en-US"/>
    </w:rPr>
  </w:style>
  <w:style w:type="paragraph" w:customStyle="1" w:styleId="Bullet2">
    <w:name w:val="Bullet 2"/>
    <w:basedOn w:val="Normal"/>
    <w:uiPriority w:val="49"/>
    <w:qFormat/>
    <w:pPr>
      <w:numPr>
        <w:numId w:val="25"/>
      </w:numPr>
      <w:spacing w:before="120" w:after="120"/>
      <w:jc w:val="both"/>
    </w:pPr>
    <w:rPr>
      <w:rFonts w:ascii="Times New Roman" w:hAnsi="Times New Roman"/>
      <w:sz w:val="24"/>
      <w:lang w:eastAsia="en-US"/>
    </w:rPr>
  </w:style>
  <w:style w:type="paragraph" w:customStyle="1" w:styleId="Bullet3">
    <w:name w:val="Bullet 3"/>
    <w:basedOn w:val="Normal"/>
    <w:uiPriority w:val="49"/>
    <w:qFormat/>
    <w:pPr>
      <w:numPr>
        <w:numId w:val="26"/>
      </w:numPr>
      <w:spacing w:before="120" w:after="120"/>
      <w:jc w:val="both"/>
    </w:pPr>
    <w:rPr>
      <w:rFonts w:ascii="Times New Roman" w:hAnsi="Times New Roman"/>
      <w:sz w:val="24"/>
      <w:lang w:eastAsia="en-US"/>
    </w:rPr>
  </w:style>
  <w:style w:type="paragraph" w:customStyle="1" w:styleId="Bullet4">
    <w:name w:val="Bullet 4"/>
    <w:basedOn w:val="Normal"/>
    <w:uiPriority w:val="49"/>
    <w:qFormat/>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uiPriority w:val="29"/>
    <w:qFormat/>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uiPriority w:val="29"/>
    <w:qFormat/>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uiPriority w:val="29"/>
    <w:qFormat/>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uiPriority w:val="29"/>
    <w:qFormat/>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uiPriority w:val="29"/>
    <w:qFormat/>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uiPriority w:val="29"/>
    <w:qFormat/>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uiPriority w:val="29"/>
    <w:qFormat/>
    <w:pPr>
      <w:spacing w:after="240"/>
    </w:pPr>
    <w:rPr>
      <w:rFonts w:ascii="Times New Roman" w:hAnsi="Times New Roman"/>
      <w:sz w:val="24"/>
      <w:lang w:eastAsia="en-US"/>
    </w:rPr>
  </w:style>
  <w:style w:type="paragraph" w:customStyle="1" w:styleId="Datedadoption">
    <w:name w:val="Date d'adoption"/>
    <w:basedOn w:val="Normal"/>
    <w:next w:val="Titreobjet"/>
    <w:uiPriority w:val="29"/>
    <w:qFormat/>
    <w:pPr>
      <w:spacing w:before="360"/>
      <w:jc w:val="center"/>
    </w:pPr>
    <w:rPr>
      <w:rFonts w:ascii="Times New Roman" w:hAnsi="Times New Roman"/>
      <w:b/>
      <w:sz w:val="24"/>
      <w:lang w:eastAsia="en-US"/>
    </w:rPr>
  </w:style>
  <w:style w:type="paragraph" w:customStyle="1" w:styleId="Emission">
    <w:name w:val="Emission"/>
    <w:basedOn w:val="Normal"/>
    <w:next w:val="Rfrenceinstitutionnelle"/>
    <w:uiPriority w:val="29"/>
    <w:qFormat/>
    <w:pPr>
      <w:ind w:left="5103"/>
    </w:pPr>
    <w:rPr>
      <w:rFonts w:ascii="Times New Roman" w:hAnsi="Times New Roman"/>
      <w:sz w:val="24"/>
      <w:lang w:eastAsia="en-US"/>
    </w:rPr>
  </w:style>
  <w:style w:type="paragraph" w:customStyle="1" w:styleId="Exposdesmotifstitre">
    <w:name w:val="Exposé des motifs titre"/>
    <w:basedOn w:val="Normal"/>
    <w:next w:val="Normal"/>
    <w:uiPriority w:val="29"/>
    <w:qFormat/>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uiPriority w:val="29"/>
    <w:qFormat/>
    <w:pPr>
      <w:keepNext/>
      <w:spacing w:before="600" w:after="120"/>
      <w:jc w:val="both"/>
    </w:pPr>
    <w:rPr>
      <w:rFonts w:ascii="Times New Roman" w:hAnsi="Times New Roman"/>
      <w:sz w:val="24"/>
      <w:lang w:eastAsia="en-US"/>
    </w:rPr>
  </w:style>
  <w:style w:type="paragraph" w:customStyle="1" w:styleId="Langue">
    <w:name w:val="Langue"/>
    <w:basedOn w:val="Normal"/>
    <w:next w:val="Rfrenceinterne"/>
    <w:uiPriority w:val="29"/>
    <w:qFormat/>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uiPriority w:val="29"/>
    <w:qFormat/>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uiPriority w:val="29"/>
    <w:qFormat/>
    <w:rPr>
      <w:rFonts w:ascii="Arial" w:hAnsi="Arial" w:cs="Arial"/>
      <w:sz w:val="24"/>
      <w:lang w:eastAsia="en-US"/>
    </w:rPr>
  </w:style>
  <w:style w:type="paragraph" w:customStyle="1" w:styleId="Rfrenceinstitutionnelle">
    <w:name w:val="Référence institutionnelle"/>
    <w:basedOn w:val="Normal"/>
    <w:next w:val="Confidentialit"/>
    <w:uiPriority w:val="29"/>
    <w:qFormat/>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uiPriority w:val="29"/>
    <w:qFormat/>
    <w:pPr>
      <w:ind w:left="5103"/>
    </w:pPr>
    <w:rPr>
      <w:rFonts w:ascii="Times New Roman" w:hAnsi="Times New Roman"/>
      <w:sz w:val="24"/>
      <w:lang w:eastAsia="en-US"/>
    </w:rPr>
  </w:style>
  <w:style w:type="paragraph" w:customStyle="1" w:styleId="Rfrenceinterne">
    <w:name w:val="Référence interne"/>
    <w:basedOn w:val="Normal"/>
    <w:next w:val="Rfrenceinterinstitutionnelle"/>
    <w:uiPriority w:val="29"/>
    <w:qFormat/>
    <w:pPr>
      <w:ind w:left="5103"/>
    </w:pPr>
    <w:rPr>
      <w:rFonts w:ascii="Times New Roman" w:hAnsi="Times New Roman"/>
      <w:sz w:val="24"/>
      <w:lang w:eastAsia="en-US"/>
    </w:rPr>
  </w:style>
  <w:style w:type="paragraph" w:customStyle="1" w:styleId="Sous-titreobjet">
    <w:name w:val="Sous-titre objet"/>
    <w:basedOn w:val="Normal"/>
    <w:uiPriority w:val="29"/>
    <w:qFormat/>
    <w:pPr>
      <w:jc w:val="center"/>
    </w:pPr>
    <w:rPr>
      <w:rFonts w:ascii="Times New Roman" w:hAnsi="Times New Roman"/>
      <w:b/>
      <w:sz w:val="24"/>
      <w:lang w:eastAsia="en-US"/>
    </w:rPr>
  </w:style>
  <w:style w:type="paragraph" w:customStyle="1" w:styleId="Statut">
    <w:name w:val="Statut"/>
    <w:basedOn w:val="Normal"/>
    <w:next w:val="Typedudocument"/>
    <w:uiPriority w:val="29"/>
    <w:qFormat/>
    <w:pPr>
      <w:spacing w:before="360"/>
      <w:jc w:val="center"/>
    </w:pPr>
    <w:rPr>
      <w:rFonts w:ascii="Times New Roman" w:hAnsi="Times New Roman"/>
      <w:sz w:val="24"/>
      <w:lang w:eastAsia="en-US"/>
    </w:rPr>
  </w:style>
  <w:style w:type="character" w:customStyle="1" w:styleId="Added">
    <w:name w:val="Added"/>
    <w:uiPriority w:val="29"/>
    <w:qFormat/>
    <w:rPr>
      <w:b/>
      <w:u w:val="single"/>
      <w:shd w:val="clear" w:color="auto" w:fill="auto"/>
    </w:rPr>
  </w:style>
  <w:style w:type="character" w:customStyle="1" w:styleId="Deleted">
    <w:name w:val="Deleted"/>
    <w:uiPriority w:val="29"/>
    <w:qFormat/>
    <w:rPr>
      <w:strike/>
      <w:shd w:val="clear" w:color="auto" w:fill="auto"/>
    </w:rPr>
  </w:style>
  <w:style w:type="paragraph" w:customStyle="1" w:styleId="Address">
    <w:name w:val="Address"/>
    <w:basedOn w:val="Normal"/>
    <w:next w:val="Normal"/>
    <w:uiPriority w:val="29"/>
    <w:qFormat/>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uiPriority w:val="29"/>
    <w:qFormat/>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uiPriority w:val="29"/>
    <w:qFormat/>
    <w:pPr>
      <w:spacing w:before="120" w:after="120"/>
      <w:jc w:val="both"/>
    </w:pPr>
    <w:rPr>
      <w:rFonts w:ascii="Times New Roman" w:hAnsi="Times New Roman"/>
      <w:sz w:val="24"/>
      <w:lang w:eastAsia="en-US"/>
    </w:rPr>
  </w:style>
  <w:style w:type="paragraph" w:customStyle="1" w:styleId="Supertitre">
    <w:name w:val="Supertitre"/>
    <w:basedOn w:val="Normal"/>
    <w:next w:val="Normal"/>
    <w:uiPriority w:val="29"/>
    <w:qFormat/>
    <w:pPr>
      <w:spacing w:after="600"/>
      <w:jc w:val="center"/>
    </w:pPr>
    <w:rPr>
      <w:rFonts w:ascii="Times New Roman" w:hAnsi="Times New Roman"/>
      <w:b/>
      <w:sz w:val="24"/>
      <w:lang w:eastAsia="en-US"/>
    </w:rPr>
  </w:style>
  <w:style w:type="paragraph" w:customStyle="1" w:styleId="Languesfaisantfoi">
    <w:name w:val="Langues faisant foi"/>
    <w:basedOn w:val="Normal"/>
    <w:next w:val="Normal"/>
    <w:uiPriority w:val="29"/>
    <w:qFormat/>
    <w:pPr>
      <w:spacing w:before="360"/>
      <w:jc w:val="center"/>
    </w:pPr>
    <w:rPr>
      <w:rFonts w:ascii="Times New Roman" w:hAnsi="Times New Roman"/>
      <w:sz w:val="24"/>
      <w:lang w:eastAsia="en-US"/>
    </w:rPr>
  </w:style>
  <w:style w:type="paragraph" w:customStyle="1" w:styleId="Rfrencecroise">
    <w:name w:val="Référence croisée"/>
    <w:basedOn w:val="Normal"/>
    <w:uiPriority w:val="29"/>
    <w:qFormat/>
    <w:pPr>
      <w:jc w:val="center"/>
    </w:pPr>
    <w:rPr>
      <w:rFonts w:ascii="Times New Roman" w:hAnsi="Times New Roman"/>
      <w:sz w:val="24"/>
      <w:lang w:eastAsia="en-US"/>
    </w:rPr>
  </w:style>
  <w:style w:type="paragraph" w:customStyle="1" w:styleId="Fichefinanciretitre">
    <w:name w:val="Fiche financière titre"/>
    <w:basedOn w:val="Normal"/>
    <w:next w:val="Normal"/>
    <w:uiPriority w:val="29"/>
    <w:qFormat/>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uiPriority w:val="29"/>
    <w:qFormat/>
  </w:style>
  <w:style w:type="paragraph" w:customStyle="1" w:styleId="RfrenceinterinstitutionnellePagedecouverture">
    <w:name w:val="Référence interinstitutionnelle (Page de couverture)"/>
    <w:basedOn w:val="Rfrenceinterinstitutionnelle"/>
    <w:next w:val="Confidentialit"/>
    <w:uiPriority w:val="29"/>
    <w:qFormat/>
  </w:style>
  <w:style w:type="paragraph" w:customStyle="1" w:styleId="Sous-titreobjetPagedecouverture">
    <w:name w:val="Sous-titre objet (Page de couverture)"/>
    <w:basedOn w:val="Sous-titreobjet"/>
    <w:uiPriority w:val="29"/>
    <w:qFormat/>
  </w:style>
  <w:style w:type="paragraph" w:customStyle="1" w:styleId="StatutPagedecouverture">
    <w:name w:val="Statut (Page de couverture)"/>
    <w:basedOn w:val="Statut"/>
    <w:next w:val="TypedudocumentPagedecouverture"/>
    <w:uiPriority w:val="29"/>
    <w:qFormat/>
  </w:style>
  <w:style w:type="paragraph" w:customStyle="1" w:styleId="TitreobjetPagedecouverture">
    <w:name w:val="Titre objet (Page de couverture)"/>
    <w:basedOn w:val="Titreobjet"/>
    <w:next w:val="Sous-titreobjetPagedecouverture"/>
    <w:uiPriority w:val="29"/>
    <w:qFormat/>
  </w:style>
  <w:style w:type="paragraph" w:customStyle="1" w:styleId="TypedudocumentPagedecouverture">
    <w:name w:val="Type du document (Page de couverture)"/>
    <w:basedOn w:val="Typedudocument"/>
    <w:next w:val="TitreobjetPagedecouverture"/>
    <w:uiPriority w:val="29"/>
    <w:qFormat/>
  </w:style>
  <w:style w:type="paragraph" w:customStyle="1" w:styleId="Volume">
    <w:name w:val="Volume"/>
    <w:basedOn w:val="Normal"/>
    <w:next w:val="Confidentialit"/>
    <w:uiPriority w:val="29"/>
    <w:qFormat/>
    <w:pPr>
      <w:spacing w:after="240"/>
      <w:ind w:left="5103"/>
    </w:pPr>
    <w:rPr>
      <w:rFonts w:ascii="Times New Roman" w:hAnsi="Times New Roman"/>
      <w:sz w:val="24"/>
      <w:lang w:eastAsia="en-US"/>
    </w:rPr>
  </w:style>
  <w:style w:type="paragraph" w:customStyle="1" w:styleId="IntrtEEE">
    <w:name w:val="Intérêt EEE"/>
    <w:basedOn w:val="Languesfaisantfoi"/>
    <w:next w:val="Normal"/>
    <w:uiPriority w:val="29"/>
    <w:qFormat/>
    <w:pPr>
      <w:spacing w:after="240"/>
    </w:pPr>
  </w:style>
  <w:style w:type="paragraph" w:customStyle="1" w:styleId="Accompagnant">
    <w:name w:val="Accompagnant"/>
    <w:basedOn w:val="Normal"/>
    <w:next w:val="Typeacteprincipal"/>
    <w:uiPriority w:val="29"/>
    <w:qFormat/>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uiPriority w:val="29"/>
    <w:qFormat/>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uiPriority w:val="29"/>
    <w:qFormat/>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uiPriority w:val="29"/>
    <w:qFormat/>
  </w:style>
  <w:style w:type="paragraph" w:customStyle="1" w:styleId="AccompagnantPagedecouverture">
    <w:name w:val="Accompagnant (Page de couverture)"/>
    <w:basedOn w:val="Accompagnant"/>
    <w:next w:val="TypeacteprincipalPagedecouverture"/>
    <w:uiPriority w:val="29"/>
    <w:qFormat/>
  </w:style>
  <w:style w:type="paragraph" w:customStyle="1" w:styleId="TypeacteprincipalPagedecouverture">
    <w:name w:val="Type acte principal (Page de couverture)"/>
    <w:basedOn w:val="Typeacteprincipal"/>
    <w:next w:val="ObjetacteprincipalPagedecouverture"/>
    <w:uiPriority w:val="29"/>
    <w:qFormat/>
  </w:style>
  <w:style w:type="paragraph" w:customStyle="1" w:styleId="ObjetacteprincipalPagedecouverture">
    <w:name w:val="Objet acte principal (Page de couverture)"/>
    <w:basedOn w:val="Objetacteprincipal"/>
    <w:next w:val="Rfrencecroise"/>
    <w:uiPriority w:val="29"/>
    <w:qFormat/>
  </w:style>
  <w:style w:type="paragraph" w:customStyle="1" w:styleId="LanguesfaisantfoiPagedecouverture">
    <w:name w:val="Langues faisant foi (Page de couverture)"/>
    <w:basedOn w:val="Normal"/>
    <w:next w:val="Normal"/>
    <w:uiPriority w:val="29"/>
    <w:qFormat/>
    <w:pPr>
      <w:spacing w:before="360"/>
      <w:jc w:val="center"/>
    </w:pPr>
    <w:rPr>
      <w:rFonts w:ascii="Times New Roman" w:hAnsi="Times New Roman"/>
      <w:sz w:val="24"/>
      <w:lang w:eastAsia="en-US"/>
    </w:rPr>
  </w:style>
  <w:style w:type="paragraph" w:styleId="ListNumber2">
    <w:name w:val="List Number 2"/>
    <w:basedOn w:val="Normal"/>
    <w:uiPriority w:val="99"/>
    <w:semiHidden/>
    <w:unhideWhenUsed/>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uiPriority w:val="99"/>
    <w:semiHidden/>
    <w:unhideWhenUsed/>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uiPriority w:val="99"/>
    <w:semiHidden/>
    <w:unhideWhenUsed/>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uiPriority w:val="99"/>
    <w:semiHidden/>
    <w:unhideWhenUsed/>
    <w:pPr>
      <w:numPr>
        <w:numId w:val="15"/>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uiPriority w:val="99"/>
    <w:semiHidden/>
    <w:unhideWhenUsed/>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uiPriority w:val="99"/>
    <w:semiHidden/>
    <w:unhideWhenUsed/>
    <w:pPr>
      <w:numPr>
        <w:numId w:val="17"/>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uiPriority w:val="99"/>
    <w:semiHidden/>
    <w:unhideWhenUsed/>
    <w:pPr>
      <w:numPr>
        <w:numId w:val="18"/>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uiPriority w:val="99"/>
    <w:semiHidden/>
    <w:unhideWhenUsed/>
    <w:pPr>
      <w:spacing w:before="120" w:after="120"/>
      <w:jc w:val="both"/>
    </w:pPr>
    <w:rPr>
      <w:rFonts w:ascii="Times New Roman" w:hAnsi="Times New Roman"/>
      <w:sz w:val="24"/>
      <w:lang w:eastAsia="en-US"/>
    </w:rPr>
  </w:style>
  <w:style w:type="character" w:customStyle="1" w:styleId="CommentTextChar3">
    <w:name w:val="Comment Text Char3"/>
    <w:uiPriority w:val="29"/>
    <w:qFormat/>
    <w:locked/>
    <w:rPr>
      <w:rFonts w:ascii="Arial" w:hAnsi="Arial" w:cs="Times New Roman"/>
      <w:lang w:val="en-GB" w:eastAsia="en-GB" w:bidi="ar-SA"/>
    </w:rPr>
  </w:style>
  <w:style w:type="paragraph" w:customStyle="1" w:styleId="Paragrafoelenco3">
    <w:name w:val="Paragrafo elenco3"/>
    <w:basedOn w:val="Normal"/>
    <w:uiPriority w:val="29"/>
    <w:qFormat/>
    <w:pPr>
      <w:ind w:left="720"/>
      <w:contextualSpacing/>
    </w:pPr>
    <w:rPr>
      <w:rFonts w:ascii="Cambria" w:hAnsi="Cambria"/>
      <w:sz w:val="24"/>
      <w:lang w:val="en-US" w:eastAsia="en-US"/>
    </w:rPr>
  </w:style>
  <w:style w:type="paragraph" w:customStyle="1" w:styleId="Listeavsnitt1">
    <w:name w:val="Listeavsnitt1"/>
    <w:basedOn w:val="Normal"/>
    <w:uiPriority w:val="29"/>
    <w:qFormat/>
    <w:pPr>
      <w:spacing w:line="252" w:lineRule="auto"/>
      <w:ind w:left="720"/>
      <w:contextualSpacing/>
    </w:pPr>
    <w:rPr>
      <w:rFonts w:ascii="Times New Roman" w:hAnsi="Times New Roman"/>
      <w:sz w:val="24"/>
      <w:lang w:val="nb-NO" w:eastAsia="en-US"/>
    </w:rPr>
  </w:style>
  <w:style w:type="character" w:customStyle="1" w:styleId="PlainTextChar1">
    <w:name w:val="Plain Text Char1"/>
    <w:uiPriority w:val="29"/>
    <w:qFormat/>
    <w:rPr>
      <w:rFonts w:ascii="Consolas" w:hAnsi="Consolas" w:cs="Consolas"/>
      <w:sz w:val="21"/>
      <w:szCs w:val="21"/>
      <w:lang w:eastAsia="de-DE"/>
    </w:rPr>
  </w:style>
  <w:style w:type="character" w:customStyle="1" w:styleId="CharChar1">
    <w:name w:val="Char Char1"/>
    <w:uiPriority w:val="29"/>
    <w:qFormat/>
    <w:locked/>
    <w:rPr>
      <w:rFonts w:ascii="Arial" w:hAnsi="Arial"/>
      <w:lang w:val="en-GB" w:eastAsia="en-GB" w:bidi="ar-SA"/>
    </w:rPr>
  </w:style>
  <w:style w:type="character" w:customStyle="1" w:styleId="CharChar">
    <w:name w:val="Char Char"/>
    <w:uiPriority w:val="29"/>
    <w:qFormat/>
    <w:locked/>
    <w:rPr>
      <w:rFonts w:ascii="Arial" w:hAnsi="Arial"/>
      <w:lang w:val="en-GB" w:eastAsia="en-GB" w:bidi="ar-SA"/>
    </w:rPr>
  </w:style>
  <w:style w:type="character" w:customStyle="1" w:styleId="CharChar2">
    <w:name w:val="Char Char2"/>
    <w:uiPriority w:val="29"/>
    <w:qFormat/>
    <w:locked/>
    <w:rPr>
      <w:rFonts w:ascii="Arial" w:hAnsi="Arial"/>
      <w:lang w:val="en-GB" w:eastAsia="en-GB" w:bidi="ar-SA"/>
    </w:rPr>
  </w:style>
  <w:style w:type="character" w:customStyle="1" w:styleId="CharChar4">
    <w:name w:val="Char Char4"/>
    <w:uiPriority w:val="29"/>
    <w:qFormat/>
    <w:locked/>
    <w:rPr>
      <w:rFonts w:ascii="Arial" w:hAnsi="Arial" w:cs="Times New Roman"/>
      <w:lang w:val="en-GB" w:eastAsia="en-GB" w:bidi="ar-SA"/>
    </w:rPr>
  </w:style>
  <w:style w:type="numbering" w:customStyle="1" w:styleId="Formatvorlage1">
    <w:name w:val="Formatvorlage1"/>
    <w:uiPriority w:val="99"/>
    <w:pPr>
      <w:numPr>
        <w:numId w:val="28"/>
      </w:numPr>
    </w:pPr>
  </w:style>
  <w:style w:type="character" w:customStyle="1" w:styleId="DeltaViewDeletion">
    <w:name w:val="DeltaView Deletion"/>
    <w:uiPriority w:val="29"/>
    <w:qFormat/>
    <w:rPr>
      <w:b/>
      <w:strike/>
      <w:color w:val="FFFFFF"/>
      <w:spacing w:val="0"/>
    </w:rPr>
  </w:style>
  <w:style w:type="paragraph" w:customStyle="1" w:styleId="Listenabsatz3">
    <w:name w:val="Listenabsatz3"/>
    <w:basedOn w:val="Normal"/>
    <w:uiPriority w:val="29"/>
    <w:qFormat/>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29"/>
    <w:qFormat/>
    <w:pPr>
      <w:ind w:left="720"/>
      <w:contextualSpacing/>
    </w:pPr>
    <w:rPr>
      <w:rFonts w:ascii="Cambria" w:hAnsi="Cambria"/>
      <w:sz w:val="24"/>
      <w:lang w:val="en-US" w:eastAsia="en-US"/>
    </w:rPr>
  </w:style>
  <w:style w:type="paragraph" w:customStyle="1" w:styleId="ListParagraph2">
    <w:name w:val="List Paragraph2"/>
    <w:basedOn w:val="Normal"/>
    <w:uiPriority w:val="29"/>
    <w:qFormat/>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uiPriority w:val="29"/>
    <w:qFormat/>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Pr>
      <w:sz w:val="24"/>
      <w:szCs w:val="24"/>
      <w:lang w:eastAsia="en-US"/>
    </w:rPr>
  </w:style>
  <w:style w:type="paragraph" w:customStyle="1" w:styleId="CODParagraphes">
    <w:name w:val="COD Paragraphes"/>
    <w:basedOn w:val="Normal"/>
    <w:uiPriority w:val="29"/>
    <w:qFormat/>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Pr>
      <w:i/>
      <w:sz w:val="24"/>
      <w:szCs w:val="24"/>
      <w:lang w:val="x-none" w:eastAsia="x-none"/>
    </w:rPr>
  </w:style>
  <w:style w:type="paragraph" w:customStyle="1" w:styleId="CODArticle12">
    <w:name w:val="COD Article + 12"/>
    <w:basedOn w:val="Normal"/>
    <w:uiPriority w:val="29"/>
    <w:qFormat/>
    <w:pPr>
      <w:spacing w:after="240"/>
      <w:jc w:val="center"/>
    </w:pPr>
    <w:rPr>
      <w:rFonts w:ascii="Times New Roman" w:hAnsi="Times New Roman"/>
      <w:sz w:val="24"/>
      <w:szCs w:val="20"/>
      <w:lang w:val="fr-FR" w:eastAsia="en-GB"/>
    </w:rPr>
  </w:style>
  <w:style w:type="paragraph" w:customStyle="1" w:styleId="TableContents">
    <w:name w:val="Table Contents"/>
    <w:basedOn w:val="Normal"/>
    <w:uiPriority w:val="29"/>
    <w:qFormat/>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29"/>
    <w:qFormat/>
    <w:pPr>
      <w:ind w:left="720"/>
      <w:contextualSpacing/>
    </w:pPr>
    <w:rPr>
      <w:rFonts w:ascii="Times New Roman" w:hAnsi="Times New Roman"/>
      <w:sz w:val="24"/>
      <w:lang w:eastAsia="en-GB"/>
    </w:rPr>
  </w:style>
  <w:style w:type="paragraph" w:customStyle="1" w:styleId="Listenabsatz4">
    <w:name w:val="Listenabsatz4"/>
    <w:basedOn w:val="Normal"/>
    <w:uiPriority w:val="29"/>
    <w:qFormat/>
    <w:pPr>
      <w:ind w:left="720"/>
      <w:contextualSpacing/>
    </w:pPr>
    <w:rPr>
      <w:rFonts w:ascii="Times New Roman" w:hAnsi="Times New Roman"/>
      <w:sz w:val="24"/>
      <w:lang w:eastAsia="en-GB"/>
    </w:rPr>
  </w:style>
  <w:style w:type="character" w:customStyle="1" w:styleId="04BodyTextChar">
    <w:name w:val="04_Body Text Char"/>
    <w:link w:val="04BodyText"/>
    <w:rPr>
      <w:rFonts w:ascii="Georgia" w:hAnsi="Georgia"/>
      <w:szCs w:val="24"/>
      <w:lang w:eastAsia="de-DE"/>
    </w:rPr>
  </w:style>
  <w:style w:type="paragraph" w:customStyle="1" w:styleId="05dHeadline1line">
    <w:name w:val="05d_Headline 1 line"/>
    <w:basedOn w:val="05cHeadline1"/>
    <w:next w:val="04fBodytextline"/>
    <w:uiPriority w:val="29"/>
    <w:qFormat/>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uiPriority w:val="29"/>
    <w:qFormat/>
    <w:pPr>
      <w:pBdr>
        <w:bottom w:val="single" w:sz="4" w:space="12" w:color="000000"/>
      </w:pBdr>
      <w:tabs>
        <w:tab w:val="left" w:pos="454"/>
      </w:tabs>
    </w:pPr>
    <w:rPr>
      <w:color w:val="000000"/>
      <w:lang w:val="x-none"/>
    </w:rPr>
  </w:style>
  <w:style w:type="paragraph" w:customStyle="1" w:styleId="Annex">
    <w:name w:val="Annex"/>
    <w:basedOn w:val="04aNumeration"/>
    <w:link w:val="AnnexChar"/>
    <w:uiPriority w:val="29"/>
    <w:qFormat/>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Pr>
      <w:rFonts w:ascii="Georgia" w:hAnsi="Georgia"/>
      <w:szCs w:val="24"/>
      <w:lang w:val="x-none" w:eastAsia="de-DE"/>
    </w:rPr>
  </w:style>
  <w:style w:type="character" w:customStyle="1" w:styleId="AnnexChar">
    <w:name w:val="Annex Char"/>
    <w:link w:val="Annex"/>
    <w:rPr>
      <w:rFonts w:ascii="Georgia" w:hAnsi="Georgia"/>
      <w:b/>
      <w:color w:val="000000"/>
      <w:szCs w:val="24"/>
      <w:lang w:val="x-none" w:eastAsia="de-DE"/>
    </w:rPr>
  </w:style>
  <w:style w:type="paragraph" w:customStyle="1" w:styleId="CM1">
    <w:name w:val="CM1"/>
    <w:basedOn w:val="Default"/>
    <w:next w:val="Default"/>
    <w:uiPriority w:val="29"/>
    <w:qFormat/>
    <w:rPr>
      <w:rFonts w:ascii="EUAlbertina" w:hAnsi="EUAlbertina" w:cs="Times New Roman"/>
      <w:color w:val="auto"/>
      <w:lang w:val="de-DE" w:eastAsia="de-DE"/>
    </w:rPr>
  </w:style>
  <w:style w:type="paragraph" w:customStyle="1" w:styleId="aStyle1">
    <w:name w:val="a. Style1"/>
    <w:basedOn w:val="Normal"/>
    <w:link w:val="aStyle1Char"/>
    <w:uiPriority w:val="49"/>
    <w:qFormat/>
    <w:pPr>
      <w:numPr>
        <w:numId w:val="30"/>
      </w:numPr>
      <w:suppressAutoHyphens/>
      <w:spacing w:after="250" w:line="276" w:lineRule="auto"/>
      <w:jc w:val="both"/>
    </w:pPr>
    <w:rPr>
      <w:szCs w:val="20"/>
      <w:lang w:val="x-none" w:eastAsia="x-none"/>
    </w:rPr>
  </w:style>
  <w:style w:type="character" w:customStyle="1" w:styleId="aStyle1Char">
    <w:name w:val="a. Style1 Char"/>
    <w:link w:val="aStyle1"/>
    <w:rPr>
      <w:rFonts w:ascii="Georgia" w:hAnsi="Georgia"/>
      <w:lang w:val="x-none" w:eastAsia="x-none"/>
    </w:rPr>
  </w:style>
  <w:style w:type="paragraph" w:styleId="Title">
    <w:name w:val="Title"/>
    <w:basedOn w:val="Normal"/>
    <w:next w:val="Normal"/>
    <w:link w:val="TitleChar"/>
    <w:uiPriority w:val="99"/>
    <w:semiHidden/>
    <w:unhideWhenUsed/>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Pr>
      <w:rFonts w:ascii="Cambria" w:hAnsi="Cambria"/>
      <w:b/>
      <w:kern w:val="28"/>
      <w:sz w:val="32"/>
      <w:lang w:val="fr-FR" w:eastAsia="fr-FR"/>
    </w:rPr>
  </w:style>
  <w:style w:type="paragraph" w:customStyle="1" w:styleId="32LadilloosubtitulonotadeprensaCNMV">
    <w:name w:val="3.2. Ladillo o subtitulo nota de prensa CNMV"/>
    <w:basedOn w:val="Normal"/>
    <w:uiPriority w:val="29"/>
    <w:qFormat/>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Pr>
      <w:rFonts w:ascii="Georgia" w:hAnsi="Georgia"/>
      <w:sz w:val="22"/>
      <w:szCs w:val="24"/>
      <w:lang w:eastAsia="de-DE"/>
    </w:rPr>
  </w:style>
  <w:style w:type="table" w:customStyle="1" w:styleId="TableGrid2">
    <w:name w:val="Table Grid2"/>
    <w:basedOn w:val="TableNormal"/>
    <w:next w:val="TableGrid"/>
    <w:uiPriority w:val="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aliases w:val="Question"/>
    <w:uiPriority w:val="99"/>
    <w:semiHidden/>
    <w:unhideWhenUsed/>
    <w:rPr>
      <w:b/>
      <w:i w:val="0"/>
      <w:iCs/>
      <w:sz w:val="20"/>
    </w:rPr>
  </w:style>
  <w:style w:type="paragraph" w:customStyle="1" w:styleId="NEW-Paragraph-Level1">
    <w:name w:val="NEW-Paragraph-Level1"/>
    <w:basedOn w:val="Normal"/>
    <w:uiPriority w:val="29"/>
    <w:qFormat/>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uiPriority w:val="49"/>
    <w:qFormat/>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uiPriority w:val="49"/>
    <w:qFormat/>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Pr>
      <w:rFonts w:ascii="Georgia" w:hAnsi="Georgia"/>
      <w:lang w:eastAsia="de-DE"/>
    </w:rPr>
  </w:style>
  <w:style w:type="character" w:customStyle="1" w:styleId="NEW-Paragraph-level3Char">
    <w:name w:val="NEW-Paragraph-level3 Char"/>
    <w:link w:val="NEW-Paragraph-level3"/>
    <w:rPr>
      <w:rFonts w:ascii="Georgia" w:hAnsi="Georgia"/>
      <w:lang w:eastAsia="de-DE"/>
    </w:rPr>
  </w:style>
  <w:style w:type="paragraph" w:customStyle="1" w:styleId="NEW-Level0">
    <w:name w:val="NEW-Level0"/>
    <w:basedOn w:val="Normal"/>
    <w:uiPriority w:val="49"/>
    <w:qFormat/>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l"/>
    <w:uiPriority w:val="49"/>
    <w:qFormat/>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uiPriority w:val="29"/>
    <w:qFormat/>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Pr>
      <w:rFonts w:ascii="Georgia" w:hAnsi="Georgia" w:cs="Georgia"/>
      <w:b/>
      <w:bCs/>
      <w:color w:val="000000"/>
      <w:u w:val="single"/>
    </w:rPr>
  </w:style>
  <w:style w:type="paragraph" w:customStyle="1" w:styleId="aNEW-Level0">
    <w:name w:val="aNEW-Level0"/>
    <w:basedOn w:val="NEW-Level0"/>
    <w:link w:val="aNEW-Level0Char"/>
    <w:uiPriority w:val="49"/>
    <w:qFormat/>
    <w:pPr>
      <w:spacing w:before="120" w:after="120"/>
      <w:ind w:left="425" w:hanging="425"/>
    </w:pPr>
  </w:style>
  <w:style w:type="paragraph" w:customStyle="1" w:styleId="aNEW-Level1">
    <w:name w:val="aNEW-Level1"/>
    <w:basedOn w:val="NEW-Level1"/>
    <w:link w:val="aNEW-Level1Char"/>
    <w:uiPriority w:val="49"/>
    <w:qFormat/>
    <w:pPr>
      <w:spacing w:before="120" w:after="120"/>
      <w:ind w:left="431" w:hanging="431"/>
    </w:pPr>
  </w:style>
  <w:style w:type="character" w:customStyle="1" w:styleId="aNEW-Level0Char">
    <w:name w:val="aNEW-Level0 Char"/>
    <w:link w:val="aNEW-Level0"/>
    <w:rPr>
      <w:rFonts w:ascii="Georgia" w:hAnsi="Georgia" w:cs="Arial"/>
      <w:b/>
      <w:bCs/>
      <w:kern w:val="32"/>
      <w:sz w:val="28"/>
      <w:szCs w:val="28"/>
      <w:lang w:eastAsia="de-DE"/>
    </w:rPr>
  </w:style>
  <w:style w:type="character" w:customStyle="1" w:styleId="aNEW-Level1Char">
    <w:name w:val="aNEW-Level1 Char"/>
    <w:link w:val="aNEW-Level1"/>
    <w:rPr>
      <w:rFonts w:ascii="Georgia" w:hAnsi="Georgia" w:cs="Arial"/>
      <w:b/>
      <w:bCs/>
      <w:kern w:val="32"/>
      <w:sz w:val="24"/>
      <w:szCs w:val="32"/>
      <w:lang w:eastAsia="de-DE"/>
    </w:rPr>
  </w:style>
  <w:style w:type="paragraph" w:customStyle="1" w:styleId="aNEW-Level2">
    <w:name w:val="aNEW-Level2"/>
    <w:basedOn w:val="NEW-Level2"/>
    <w:link w:val="aNEW-Level2Char"/>
    <w:uiPriority w:val="29"/>
    <w:qFormat/>
  </w:style>
  <w:style w:type="paragraph" w:customStyle="1" w:styleId="aNEW-Level4">
    <w:name w:val="aNEW-Level4"/>
    <w:basedOn w:val="Normal"/>
    <w:link w:val="aNEW-Level4Char"/>
    <w:uiPriority w:val="29"/>
    <w:qFormat/>
    <w:pPr>
      <w:tabs>
        <w:tab w:val="left" w:pos="720"/>
      </w:tabs>
      <w:spacing w:after="250" w:line="276" w:lineRule="auto"/>
      <w:jc w:val="both"/>
    </w:pPr>
    <w:rPr>
      <w:i/>
      <w:szCs w:val="20"/>
    </w:rPr>
  </w:style>
  <w:style w:type="character" w:customStyle="1" w:styleId="aNEW-Level2Char">
    <w:name w:val="aNEW-Level2 Char"/>
    <w:link w:val="aNEW-Level2"/>
    <w:rPr>
      <w:rFonts w:ascii="Georgia" w:hAnsi="Georgia" w:cs="Georgia"/>
      <w:b/>
      <w:bCs/>
      <w:color w:val="000000"/>
      <w:u w:val="single"/>
    </w:rPr>
  </w:style>
  <w:style w:type="paragraph" w:customStyle="1" w:styleId="aNEW-Questions">
    <w:name w:val="aNEW-Questions"/>
    <w:basedOn w:val="Normal"/>
    <w:link w:val="aNEW-QuestionsChar"/>
    <w:uiPriority w:val="49"/>
    <w:qFormat/>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Pr>
      <w:rFonts w:ascii="Georgia" w:hAnsi="Georgia"/>
      <w:i/>
      <w:lang w:eastAsia="de-DE"/>
    </w:rPr>
  </w:style>
  <w:style w:type="paragraph" w:customStyle="1" w:styleId="aNEW-Paragraph">
    <w:name w:val="aNEW-Paragraph"/>
    <w:basedOn w:val="NEW-Paragraph-Level1"/>
    <w:link w:val="aNEW-ParagraphChar"/>
    <w:uiPriority w:val="49"/>
    <w:qFormat/>
    <w:pPr>
      <w:numPr>
        <w:numId w:val="2"/>
      </w:numPr>
      <w:tabs>
        <w:tab w:val="clear" w:pos="851"/>
        <w:tab w:val="num" w:pos="426"/>
      </w:tabs>
      <w:ind w:left="426" w:hanging="426"/>
    </w:pPr>
    <w:rPr>
      <w:rFonts w:eastAsia="Calibri"/>
    </w:rPr>
  </w:style>
  <w:style w:type="character" w:customStyle="1" w:styleId="aNEW-QuestionsChar">
    <w:name w:val="aNEW-Questions Char"/>
    <w:link w:val="aNEW-Questions"/>
    <w:rPr>
      <w:rFonts w:ascii="Georgia" w:eastAsia="Calibri" w:hAnsi="Georgia"/>
      <w:b/>
      <w:bCs/>
      <w:kern w:val="28"/>
      <w:szCs w:val="32"/>
      <w:lang w:eastAsia="en-US"/>
    </w:rPr>
  </w:style>
  <w:style w:type="character" w:customStyle="1" w:styleId="aNEW-ParagraphChar">
    <w:name w:val="aNEW-Paragraph Char"/>
    <w:link w:val="aNEW-Paragraph"/>
    <w:rPr>
      <w:rFonts w:ascii="Georgia" w:eastAsia="Calibri" w:hAnsi="Georgia"/>
      <w:lang w:eastAsia="de-DE"/>
    </w:rPr>
  </w:style>
  <w:style w:type="paragraph" w:customStyle="1" w:styleId="aNew-Level33">
    <w:name w:val="aNew-Level33"/>
    <w:basedOn w:val="Normal"/>
    <w:link w:val="aNew-Level33Char"/>
    <w:uiPriority w:val="29"/>
    <w:qFormat/>
    <w:pPr>
      <w:spacing w:after="250" w:line="276" w:lineRule="auto"/>
      <w:ind w:left="426" w:hanging="426"/>
      <w:jc w:val="both"/>
    </w:pPr>
    <w:rPr>
      <w:b/>
    </w:rPr>
  </w:style>
  <w:style w:type="paragraph" w:customStyle="1" w:styleId="aNew-BoxTitle">
    <w:name w:val="aNew-BoxTitle"/>
    <w:basedOn w:val="04aNumbering"/>
    <w:link w:val="aNew-BoxTitleChar"/>
    <w:uiPriority w:val="29"/>
    <w:qFormat/>
    <w:pPr>
      <w:shd w:val="clear" w:color="auto" w:fill="D9D9D9"/>
      <w:tabs>
        <w:tab w:val="clear" w:pos="851"/>
        <w:tab w:val="left" w:pos="720"/>
      </w:tabs>
      <w:ind w:left="284"/>
    </w:pPr>
    <w:rPr>
      <w:b/>
    </w:rPr>
  </w:style>
  <w:style w:type="character" w:customStyle="1" w:styleId="aNew-Level33Char">
    <w:name w:val="aNew-Level33 Char"/>
    <w:link w:val="aNew-Level33"/>
    <w:rPr>
      <w:rFonts w:ascii="Georgia" w:hAnsi="Georgia"/>
      <w:b/>
      <w:szCs w:val="24"/>
      <w:lang w:eastAsia="de-DE"/>
    </w:rPr>
  </w:style>
  <w:style w:type="character" w:customStyle="1" w:styleId="aNew-BoxTitleChar">
    <w:name w:val="aNew-BoxTitle Char"/>
    <w:link w:val="aNew-BoxTitle"/>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uiPriority w:val="49"/>
    <w:qFormat/>
    <w:pPr>
      <w:ind w:left="851" w:hanging="425"/>
    </w:pPr>
  </w:style>
  <w:style w:type="paragraph" w:customStyle="1" w:styleId="aNEW-Paragraph-level3">
    <w:name w:val="aNEW-Paragraph-level3"/>
    <w:basedOn w:val="NEW-Paragraph-level3"/>
    <w:link w:val="aNEW-Paragraph-level3Char"/>
    <w:uiPriority w:val="49"/>
    <w:qFormat/>
    <w:pPr>
      <w:ind w:left="1276" w:hanging="426"/>
    </w:pPr>
  </w:style>
  <w:style w:type="character" w:customStyle="1" w:styleId="aNEW-Paragraph-level2Char">
    <w:name w:val="aNEW-Paragraph-level2 Char"/>
    <w:link w:val="aNEW-Paragraph-level2"/>
    <w:rPr>
      <w:rFonts w:ascii="Georgia" w:hAnsi="Georgia"/>
      <w:lang w:eastAsia="de-DE"/>
    </w:rPr>
  </w:style>
  <w:style w:type="character" w:customStyle="1" w:styleId="aNEW-Paragraph-level3Char">
    <w:name w:val="aNEW-Paragraph-level3 Char"/>
    <w:link w:val="aNEW-Paragraph-level3"/>
    <w:rPr>
      <w:rFonts w:ascii="Georgia" w:hAnsi="Georgia"/>
      <w:lang w:eastAsia="de-DE"/>
    </w:rPr>
  </w:style>
  <w:style w:type="paragraph" w:customStyle="1" w:styleId="aNew-Level5">
    <w:name w:val="aNew-Level5"/>
    <w:basedOn w:val="Normal"/>
    <w:link w:val="aNew-Level5Char"/>
    <w:uiPriority w:val="29"/>
    <w:qFormat/>
    <w:pPr>
      <w:tabs>
        <w:tab w:val="left" w:pos="720"/>
      </w:tabs>
      <w:spacing w:after="250" w:line="276" w:lineRule="auto"/>
      <w:jc w:val="both"/>
    </w:pPr>
    <w:rPr>
      <w:i/>
      <w:szCs w:val="20"/>
      <w:u w:val="single"/>
    </w:rPr>
  </w:style>
  <w:style w:type="character" w:customStyle="1" w:styleId="aNew-Level5Char">
    <w:name w:val="aNew-Level5 Char"/>
    <w:link w:val="aNew-Level5"/>
    <w:rPr>
      <w:rFonts w:ascii="Georgia" w:hAnsi="Georgia"/>
      <w:i/>
      <w:u w:val="single"/>
      <w:lang w:eastAsia="de-DE"/>
    </w:rPr>
  </w:style>
  <w:style w:type="paragraph" w:customStyle="1" w:styleId="BodyText0">
    <w:name w:val="#BodyText"/>
    <w:basedOn w:val="Normal"/>
    <w:qFormat/>
    <w:pPr>
      <w:spacing w:after="240"/>
      <w:jc w:val="both"/>
    </w:pPr>
    <w:rPr>
      <w:rFonts w:ascii="Arial" w:hAnsi="Arial"/>
      <w:szCs w:val="20"/>
      <w:lang w:eastAsia="en-CA"/>
    </w:rPr>
  </w:style>
  <w:style w:type="paragraph" w:styleId="Bibliography">
    <w:name w:val="Bibliography"/>
    <w:basedOn w:val="Normal"/>
    <w:next w:val="Normal"/>
    <w:uiPriority w:val="99"/>
    <w:semiHidden/>
    <w:unhideWhenUsed/>
  </w:style>
  <w:style w:type="paragraph" w:styleId="BlockText">
    <w:name w:val="Block Text"/>
    <w:basedOn w:val="Normal"/>
    <w:uiPriority w:val="99"/>
    <w:semiHidden/>
    <w:unhideWhenUsed/>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rPr>
      <w:rFonts w:ascii="Georgia" w:hAnsi="Georgia"/>
      <w:szCs w:val="24"/>
      <w:lang w:eastAsia="de-DE"/>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rPr>
      <w:rFonts w:ascii="Georgia" w:hAnsi="Georgia"/>
      <w:sz w:val="16"/>
      <w:szCs w:val="16"/>
      <w:lang w:eastAsia="de-DE"/>
    </w:rPr>
  </w:style>
  <w:style w:type="paragraph" w:styleId="BodyTextFirstIndent">
    <w:name w:val="Body Text First Indent"/>
    <w:basedOn w:val="BodyText"/>
    <w:link w:val="BodyTextFirstIndentChar"/>
    <w:uiPriority w:val="99"/>
    <w:semiHidden/>
    <w:unhideWhenUsed/>
    <w:pPr>
      <w:numPr>
        <w:numId w:val="0"/>
      </w:numPr>
      <w:spacing w:after="0"/>
      <w:ind w:firstLine="360"/>
      <w:jc w:val="left"/>
    </w:pPr>
    <w:rPr>
      <w:rFonts w:ascii="Georgia" w:hAnsi="Georgia"/>
      <w:sz w:val="20"/>
      <w:szCs w:val="24"/>
      <w:lang w:eastAsia="de-DE"/>
    </w:rPr>
  </w:style>
  <w:style w:type="character" w:customStyle="1" w:styleId="BodyTextFirstIndentChar">
    <w:name w:val="Body Text First Indent Char"/>
    <w:basedOn w:val="BodyTextChar"/>
    <w:link w:val="BodyTextFirstIndent"/>
    <w:rPr>
      <w:rFonts w:ascii="Georgia" w:hAnsi="Georgia"/>
      <w:sz w:val="24"/>
      <w:szCs w:val="24"/>
      <w:lang w:eastAsia="de-DE"/>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rPr>
      <w:rFonts w:ascii="Georgia" w:hAnsi="Georgia"/>
      <w:szCs w:val="24"/>
      <w:lang w:eastAsia="de-DE"/>
    </w:rPr>
  </w:style>
  <w:style w:type="paragraph" w:styleId="BodyTextFirstIndent2">
    <w:name w:val="Body Text First Indent 2"/>
    <w:basedOn w:val="BodyTextIndent"/>
    <w:link w:val="BodyTextFirstIndent2Char"/>
    <w:uiPriority w:val="99"/>
    <w:semiHidden/>
    <w:unhideWhenUsed/>
    <w:pPr>
      <w:spacing w:after="0"/>
      <w:ind w:left="360" w:firstLine="360"/>
    </w:pPr>
  </w:style>
  <w:style w:type="character" w:customStyle="1" w:styleId="BodyTextFirstIndent2Char">
    <w:name w:val="Body Text First Indent 2 Char"/>
    <w:basedOn w:val="BodyTextIndentChar"/>
    <w:link w:val="BodyTextFirstIndent2"/>
    <w:rPr>
      <w:rFonts w:ascii="Georgia" w:hAnsi="Georgia"/>
      <w:szCs w:val="24"/>
      <w:lang w:eastAsia="de-DE"/>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
    <w:rPr>
      <w:rFonts w:ascii="Georgia" w:hAnsi="Georgia"/>
      <w:szCs w:val="24"/>
      <w:lang w:eastAsia="de-DE"/>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
    <w:rPr>
      <w:rFonts w:ascii="Georgia" w:hAnsi="Georgia"/>
      <w:sz w:val="16"/>
      <w:szCs w:val="16"/>
      <w:lang w:eastAsia="de-DE"/>
    </w:rPr>
  </w:style>
  <w:style w:type="character" w:styleId="BookTitle">
    <w:name w:val="Book Title"/>
    <w:basedOn w:val="DefaultParagraphFont"/>
    <w:uiPriority w:val="99"/>
    <w:semiHidden/>
    <w:unhideWhenUsed/>
    <w:rPr>
      <w:b/>
      <w:bCs/>
      <w:smallCaps/>
      <w:spacing w:val="5"/>
    </w:rPr>
  </w:style>
  <w:style w:type="paragraph" w:styleId="Closing">
    <w:name w:val="Closing"/>
    <w:basedOn w:val="Normal"/>
    <w:link w:val="ClosingChar"/>
    <w:uiPriority w:val="29"/>
    <w:unhideWhenUsed/>
    <w:qFormat/>
    <w:pPr>
      <w:ind w:left="4252"/>
    </w:pPr>
  </w:style>
  <w:style w:type="character" w:customStyle="1" w:styleId="ClosingChar">
    <w:name w:val="Closing Char"/>
    <w:basedOn w:val="DefaultParagraphFont"/>
    <w:link w:val="Closing"/>
    <w:rPr>
      <w:rFonts w:ascii="Georgia" w:hAnsi="Georgia"/>
      <w:szCs w:val="24"/>
      <w:lang w:eastAsia="de-DE"/>
    </w:rPr>
  </w:style>
  <w:style w:type="table" w:styleId="ColorfulGrid">
    <w:name w:val="Colorful Grid"/>
    <w:basedOn w:val="TableNormal"/>
    <w:uiPriority w:val="99"/>
    <w:semiHidden/>
    <w:unhideWhenUse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semiHidden/>
    <w:unhideWhenUse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semiHidden/>
    <w:unhideWhenUse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semiHidden/>
    <w:unhideWhenUse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semiHidden/>
    <w:unhideWhenUse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semiHidden/>
    <w:unhideWhenUse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semiHidden/>
    <w:unhideWhenUsed/>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semiHidden/>
    <w:unhideWhenUsed/>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semiHidden/>
    <w:unhideWhenUsed/>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semiHidden/>
    <w:unhideWhenUsed/>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semiHidden/>
    <w:unhideWhenUsed/>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semiHidden/>
    <w:unhideWhenUsed/>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semiHidden/>
    <w:unhideWhenUsed/>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semiHidden/>
    <w:unhideWhenUsed/>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99"/>
    <w:semiHidden/>
    <w:unhideWhenUse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semiHidden/>
    <w:unhideWhenUse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semiHidden/>
    <w:unhideWhenUse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semiHidden/>
    <w:unhideWhenUse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semiHidden/>
    <w:unhideWhenUse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semiHidden/>
    <w:unhideWhenUse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29"/>
    <w:unhideWhenUsed/>
    <w:qFormat/>
  </w:style>
  <w:style w:type="character" w:customStyle="1" w:styleId="DateChar">
    <w:name w:val="Date Char"/>
    <w:basedOn w:val="DefaultParagraphFont"/>
    <w:link w:val="Date"/>
    <w:rPr>
      <w:rFonts w:ascii="Georgia" w:hAnsi="Georgia"/>
      <w:szCs w:val="24"/>
      <w:lang w:eastAsia="de-DE"/>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basedOn w:val="DefaultParagraphFont"/>
    <w:link w:val="E-mailSignature"/>
    <w:rPr>
      <w:rFonts w:ascii="Georgia" w:hAnsi="Georgia"/>
      <w:szCs w:val="24"/>
      <w:lang w:eastAsia="de-DE"/>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Pr>
      <w:rFonts w:asciiTheme="majorHAnsi" w:eastAsiaTheme="majorEastAsia" w:hAnsiTheme="majorHAnsi" w:cstheme="majorBidi"/>
      <w:szCs w:val="20"/>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basedOn w:val="DefaultParagraphFont"/>
    <w:link w:val="HTMLAddress"/>
    <w:rPr>
      <w:rFonts w:ascii="Georgia" w:hAnsi="Georgia"/>
      <w:i/>
      <w:iCs/>
      <w:szCs w:val="24"/>
      <w:lang w:eastAsia="de-DE"/>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rPr>
      <w:rFonts w:ascii="Consolas" w:hAnsi="Consolas" w:cs="Consolas"/>
      <w:szCs w:val="20"/>
    </w:rPr>
  </w:style>
  <w:style w:type="character" w:customStyle="1" w:styleId="HTMLPreformattedChar">
    <w:name w:val="HTML Preformatted Char"/>
    <w:basedOn w:val="DefaultParagraphFont"/>
    <w:link w:val="HTMLPreformatted"/>
    <w:rPr>
      <w:rFonts w:ascii="Consolas" w:hAnsi="Consolas" w:cs="Consolas"/>
      <w:lang w:eastAsia="de-DE"/>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paragraph" w:styleId="Index1">
    <w:name w:val="index 1"/>
    <w:basedOn w:val="Normal"/>
    <w:next w:val="Normal"/>
    <w:autoRedefine/>
    <w:uiPriority w:val="99"/>
    <w:semiHidden/>
    <w:unhideWhenUsed/>
    <w:pPr>
      <w:ind w:left="200" w:hanging="200"/>
    </w:pPr>
  </w:style>
  <w:style w:type="paragraph" w:styleId="Index2">
    <w:name w:val="index 2"/>
    <w:basedOn w:val="Normal"/>
    <w:next w:val="Normal"/>
    <w:autoRedefine/>
    <w:uiPriority w:val="99"/>
    <w:semiHidden/>
    <w:unhideWhenUsed/>
    <w:pPr>
      <w:ind w:left="400" w:hanging="200"/>
    </w:pPr>
  </w:style>
  <w:style w:type="paragraph" w:styleId="Index3">
    <w:name w:val="index 3"/>
    <w:basedOn w:val="Normal"/>
    <w:next w:val="Normal"/>
    <w:autoRedefine/>
    <w:uiPriority w:val="99"/>
    <w:semiHidden/>
    <w:unhideWhenUsed/>
    <w:pPr>
      <w:ind w:left="600" w:hanging="200"/>
    </w:pPr>
  </w:style>
  <w:style w:type="paragraph" w:styleId="Index4">
    <w:name w:val="index 4"/>
    <w:basedOn w:val="Normal"/>
    <w:next w:val="Normal"/>
    <w:autoRedefine/>
    <w:uiPriority w:val="99"/>
    <w:semiHidden/>
    <w:unhideWhenUsed/>
    <w:pPr>
      <w:ind w:left="800" w:hanging="200"/>
    </w:pPr>
  </w:style>
  <w:style w:type="paragraph" w:styleId="Index5">
    <w:name w:val="index 5"/>
    <w:basedOn w:val="Normal"/>
    <w:next w:val="Normal"/>
    <w:autoRedefine/>
    <w:uiPriority w:val="99"/>
    <w:semiHidden/>
    <w:unhideWhenUsed/>
    <w:pPr>
      <w:ind w:left="1000" w:hanging="200"/>
    </w:pPr>
  </w:style>
  <w:style w:type="paragraph" w:styleId="Index6">
    <w:name w:val="index 6"/>
    <w:basedOn w:val="Normal"/>
    <w:next w:val="Normal"/>
    <w:autoRedefine/>
    <w:uiPriority w:val="99"/>
    <w:semiHidden/>
    <w:unhideWhenUsed/>
    <w:pPr>
      <w:ind w:left="1200" w:hanging="200"/>
    </w:pPr>
  </w:style>
  <w:style w:type="paragraph" w:styleId="Index7">
    <w:name w:val="index 7"/>
    <w:basedOn w:val="Normal"/>
    <w:next w:val="Normal"/>
    <w:autoRedefine/>
    <w:uiPriority w:val="99"/>
    <w:semiHidden/>
    <w:unhideWhenUsed/>
    <w:pPr>
      <w:ind w:left="1400" w:hanging="200"/>
    </w:pPr>
  </w:style>
  <w:style w:type="paragraph" w:styleId="Index8">
    <w:name w:val="index 8"/>
    <w:basedOn w:val="Normal"/>
    <w:next w:val="Normal"/>
    <w:autoRedefine/>
    <w:uiPriority w:val="99"/>
    <w:semiHidden/>
    <w:unhideWhenUsed/>
    <w:pPr>
      <w:ind w:left="1600" w:hanging="200"/>
    </w:pPr>
  </w:style>
  <w:style w:type="paragraph" w:styleId="Index9">
    <w:name w:val="index 9"/>
    <w:basedOn w:val="Normal"/>
    <w:next w:val="Normal"/>
    <w:autoRedefine/>
    <w:uiPriority w:val="99"/>
    <w:semiHidden/>
    <w:unhideWhenUsed/>
    <w:pPr>
      <w:ind w:left="1800" w:hanging="20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99"/>
    <w:semiHidden/>
    <w:unhideWhenUsed/>
    <w:rPr>
      <w:b/>
      <w:bCs/>
      <w:i/>
      <w:iCs/>
      <w:color w:val="4F81BD" w:themeColor="accent1"/>
    </w:rPr>
  </w:style>
  <w:style w:type="paragraph" w:styleId="IntenseQuote">
    <w:name w:val="Intense Quote"/>
    <w:basedOn w:val="Normal"/>
    <w:next w:val="Normal"/>
    <w:link w:val="IntenseQuoteChar"/>
    <w:uiPriority w:val="99"/>
    <w:semiHidden/>
    <w:unhideWhenUse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rFonts w:ascii="Georgia" w:hAnsi="Georgia"/>
      <w:b/>
      <w:bCs/>
      <w:i/>
      <w:iCs/>
      <w:color w:val="4F81BD" w:themeColor="accent1"/>
      <w:szCs w:val="24"/>
      <w:lang w:eastAsia="de-DE"/>
    </w:rPr>
  </w:style>
  <w:style w:type="character" w:styleId="IntenseReference">
    <w:name w:val="Intense Reference"/>
    <w:basedOn w:val="DefaultParagraphFont"/>
    <w:uiPriority w:val="99"/>
    <w:semiHidden/>
    <w:unhideWhenUsed/>
    <w:rPr>
      <w:b/>
      <w:bCs/>
      <w:smallCaps/>
      <w:color w:val="C0504D" w:themeColor="accent2"/>
      <w:spacing w:val="5"/>
      <w:u w:val="single"/>
    </w:rPr>
  </w:style>
  <w:style w:type="table" w:styleId="LightGrid">
    <w:name w:val="Light Grid"/>
    <w:basedOn w:val="TableNormal"/>
    <w:uiPriority w:val="99"/>
    <w:semiHidden/>
    <w:unhideWhenUsed/>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semiHidden/>
    <w:unhideWhenUsed/>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semiHidden/>
    <w:unhideWhenUsed/>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semiHidden/>
    <w:unhideWhenUsed/>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semiHidden/>
    <w:unhideWhenUsed/>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semiHidden/>
    <w:unhideWhenUsed/>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semiHidden/>
    <w:unhideWhenUsed/>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4">
    <w:name w:val="Light List Accent 4"/>
    <w:basedOn w:val="TableNormal"/>
    <w:uiPriority w:val="99"/>
    <w:semiHidden/>
    <w:unhideWhenUsed/>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semiHidden/>
    <w:unhideWhenUsed/>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semiHidden/>
    <w:unhideWhenUsed/>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semiHidden/>
    <w:unhideWhenUsed/>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semiHidden/>
    <w:unhideWhenUsed/>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semiHidden/>
    <w:unhideWhenUsed/>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semiHidden/>
    <w:unhideWhenUsed/>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semiHidden/>
    <w:unhideWhenUsed/>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5">
    <w:name w:val="List Bullet 5"/>
    <w:basedOn w:val="Normal"/>
    <w:uiPriority w:val="99"/>
    <w:semiHidden/>
    <w:unhideWhenUsed/>
    <w:pPr>
      <w:numPr>
        <w:numId w:val="43"/>
      </w:numPr>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5">
    <w:name w:val="List Number 5"/>
    <w:basedOn w:val="Normal"/>
    <w:uiPriority w:val="99"/>
    <w:semiHidden/>
    <w:unhideWhenUsed/>
    <w:pPr>
      <w:numPr>
        <w:numId w:val="44"/>
      </w:numPr>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de-DE"/>
    </w:rPr>
  </w:style>
  <w:style w:type="character" w:customStyle="1" w:styleId="MacroTextChar">
    <w:name w:val="Macro Text Char"/>
    <w:basedOn w:val="DefaultParagraphFont"/>
    <w:link w:val="MacroText"/>
    <w:rPr>
      <w:rFonts w:ascii="Consolas" w:hAnsi="Consolas" w:cs="Consolas"/>
      <w:lang w:eastAsia="de-DE"/>
    </w:rPr>
  </w:style>
  <w:style w:type="table" w:styleId="MediumGrid1">
    <w:name w:val="Medium Grid 1"/>
    <w:basedOn w:val="TableNormal"/>
    <w:uiPriority w:val="99"/>
    <w:semiHidden/>
    <w:unhideWhenUsed/>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semiHidden/>
    <w:unhideWhenUsed/>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semiHidden/>
    <w:unhideWhenUsed/>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semiHidden/>
    <w:unhideWhenUsed/>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semiHidden/>
    <w:unhideWhenUsed/>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semiHidden/>
    <w:unhideWhenUsed/>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semiHidden/>
    <w:unhideWhenUse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semiHidden/>
    <w:unhideWhenUse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semiHidden/>
    <w:unhideWhenUse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semiHidden/>
    <w:unhideWhenUse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semiHidden/>
    <w:unhideWhenUse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semiHidden/>
    <w:unhideWhenUsed/>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semiHidden/>
    <w:unhideWhenUsed/>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semiHidden/>
    <w:unhideWhenUsed/>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semiHidden/>
    <w:unhideWhenUsed/>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semiHidden/>
    <w:unhideWhenUsed/>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lang w:eastAsia="de-DE"/>
    </w:rPr>
  </w:style>
  <w:style w:type="paragraph" w:styleId="NoSpacing">
    <w:name w:val="No Spacing"/>
    <w:uiPriority w:val="99"/>
    <w:semiHidden/>
    <w:unhideWhenUsed/>
    <w:rPr>
      <w:rFonts w:ascii="Georgia" w:hAnsi="Georgia"/>
      <w:szCs w:val="24"/>
      <w:lang w:eastAsia="de-DE"/>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basedOn w:val="DefaultParagraphFont"/>
    <w:link w:val="NoteHeading"/>
    <w:rPr>
      <w:rFonts w:ascii="Georgia" w:hAnsi="Georgia"/>
      <w:szCs w:val="24"/>
      <w:lang w:eastAsia="de-DE"/>
    </w:rPr>
  </w:style>
  <w:style w:type="paragraph" w:styleId="Quote">
    <w:name w:val="Quote"/>
    <w:basedOn w:val="Normal"/>
    <w:next w:val="Normal"/>
    <w:link w:val="QuoteChar"/>
    <w:uiPriority w:val="99"/>
    <w:semiHidden/>
    <w:unhideWhenUsed/>
    <w:rPr>
      <w:i/>
      <w:iCs/>
      <w:color w:val="000000" w:themeColor="text1"/>
    </w:rPr>
  </w:style>
  <w:style w:type="character" w:customStyle="1" w:styleId="QuoteChar">
    <w:name w:val="Quote Char"/>
    <w:basedOn w:val="DefaultParagraphFont"/>
    <w:link w:val="Quote"/>
    <w:uiPriority w:val="29"/>
    <w:rPr>
      <w:rFonts w:ascii="Georgia" w:hAnsi="Georgia"/>
      <w:i/>
      <w:iCs/>
      <w:color w:val="000000" w:themeColor="text1"/>
      <w:szCs w:val="24"/>
      <w:lang w:eastAsia="de-DE"/>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rPr>
      <w:rFonts w:ascii="Georgia" w:hAnsi="Georgia"/>
      <w:szCs w:val="24"/>
      <w:lang w:eastAsia="de-DE"/>
    </w:rPr>
  </w:style>
  <w:style w:type="paragraph" w:styleId="Signature">
    <w:name w:val="Signature"/>
    <w:basedOn w:val="Normal"/>
    <w:link w:val="SignatureChar"/>
    <w:uiPriority w:val="99"/>
    <w:semiHidden/>
    <w:unhideWhenUsed/>
    <w:pPr>
      <w:ind w:left="4252"/>
    </w:pPr>
  </w:style>
  <w:style w:type="character" w:customStyle="1" w:styleId="SignatureChar">
    <w:name w:val="Signature Char"/>
    <w:basedOn w:val="DefaultParagraphFont"/>
    <w:link w:val="Signature"/>
    <w:rPr>
      <w:rFonts w:ascii="Georgia" w:hAnsi="Georgia"/>
      <w:szCs w:val="24"/>
      <w:lang w:eastAsia="de-DE"/>
    </w:rPr>
  </w:style>
  <w:style w:type="paragraph" w:styleId="Subtitle">
    <w:name w:val="Subtitle"/>
    <w:basedOn w:val="Normal"/>
    <w:next w:val="Normal"/>
    <w:link w:val="SubtitleChar"/>
    <w:uiPriority w:val="99"/>
    <w:semiHidden/>
    <w:unhideWhenUsed/>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Pr>
      <w:rFonts w:asciiTheme="majorHAnsi" w:eastAsiaTheme="majorEastAsia" w:hAnsiTheme="majorHAnsi" w:cstheme="majorBidi"/>
      <w:i/>
      <w:iCs/>
      <w:color w:val="4F81BD" w:themeColor="accent1"/>
      <w:spacing w:val="15"/>
      <w:sz w:val="24"/>
      <w:szCs w:val="24"/>
      <w:lang w:eastAsia="de-DE"/>
    </w:rPr>
  </w:style>
  <w:style w:type="character" w:styleId="SubtleReference">
    <w:name w:val="Subtle Reference"/>
    <w:basedOn w:val="DefaultParagraphFont"/>
    <w:uiPriority w:val="99"/>
    <w:semiHidden/>
    <w:unhideWhenUsed/>
    <w:rPr>
      <w:smallCaps/>
      <w:color w:val="C0504D" w:themeColor="accent2"/>
      <w:u w:val="single"/>
    </w:rPr>
  </w:style>
  <w:style w:type="table" w:styleId="Table3Deffects1">
    <w:name w:val="Table 3D effects 1"/>
    <w:basedOn w:val="TableNormal"/>
    <w:uiPriority w:val="99"/>
    <w:semiHidden/>
    <w:unhideWhenUse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uiPriority w:val="99"/>
    <w:semiHidden/>
    <w:unhideWhenUse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ind w:left="200" w:hanging="200"/>
    </w:pPr>
  </w:style>
  <w:style w:type="table" w:styleId="TableProfessional">
    <w:name w:val="Table Professional"/>
    <w:basedOn w:val="TableNormal"/>
    <w:uiPriority w:val="99"/>
    <w:semiHidden/>
    <w:unhideWhenUse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1" w:defQFormat="0" w:count="267">
    <w:lsdException w:name="Normal" w:uiPriority="29" w:qFormat="1"/>
    <w:lsdException w:name="caption" w:semiHidden="1"/>
    <w:lsdException w:name="page number" w:uiPriority="29" w:qFormat="1"/>
    <w:lsdException w:name="Closing" w:uiPriority="29" w:qFormat="1"/>
    <w:lsdException w:name="Date" w:uiPriority="29" w:qFormat="1"/>
    <w:lsdException w:name="HTML Top of Form" w:uiPriority="0" w:unhideWhenUsed="0"/>
    <w:lsdException w:name="HTML Bottom of Form" w:uiPriority="0" w:unhideWhenUsed="0"/>
    <w:lsdException w:name="No List" w:unhideWhenUsed="0"/>
    <w:lsdException w:name="Outline List 1" w:uiPriority="0" w:unhideWhenUsed="0"/>
    <w:lsdException w:name="Outline List 2" w:uiPriority="0" w:unhideWhenUsed="0"/>
    <w:lsdException w:name="Outline List 3" w:uiPriority="0" w:unhideWhenUsed="0"/>
    <w:lsdException w:name="Placeholder Text" w:semiHidden="1"/>
    <w:lsdException w:name="Revision" w:semiHidden="1" w:unhideWhenUsed="0"/>
    <w:lsdException w:name="Bibliography" w:semiHidden="1"/>
    <w:lsdException w:name="TOC Heading" w:semiHidden="1"/>
  </w:latentStyles>
  <w:style w:type="paragraph" w:default="1" w:styleId="Normal">
    <w:name w:val="Normal"/>
    <w:uiPriority w:val="29"/>
    <w:unhideWhenUsed/>
    <w:qFormat/>
    <w:rPr>
      <w:rFonts w:ascii="Georgia" w:hAnsi="Georgia"/>
      <w:szCs w:val="24"/>
      <w:lang w:eastAsia="de-DE"/>
    </w:rPr>
  </w:style>
  <w:style w:type="paragraph" w:styleId="Heading1">
    <w:name w:val="heading 1"/>
    <w:basedOn w:val="Normal"/>
    <w:next w:val="Normal"/>
    <w:link w:val="Heading1Char"/>
    <w:uiPriority w:val="99"/>
    <w:semiHidden/>
    <w:unhideWhenUsed/>
    <w:pPr>
      <w:keepNext/>
      <w:numPr>
        <w:numId w:val="6"/>
      </w:numPr>
      <w:spacing w:before="240" w:after="60"/>
      <w:outlineLvl w:val="0"/>
    </w:pPr>
    <w:rPr>
      <w:rFonts w:cs="Arial"/>
      <w:b/>
      <w:bCs/>
      <w:kern w:val="32"/>
      <w:sz w:val="24"/>
      <w:szCs w:val="32"/>
    </w:rPr>
  </w:style>
  <w:style w:type="paragraph" w:styleId="Heading2">
    <w:name w:val="heading 2"/>
    <w:basedOn w:val="Normal"/>
    <w:next w:val="Normal"/>
    <w:link w:val="Heading2Char2"/>
    <w:uiPriority w:val="99"/>
    <w:semiHidden/>
    <w:unhideWhenUsed/>
    <w:pPr>
      <w:keepNext/>
      <w:keepLines/>
      <w:spacing w:before="200" w:after="120"/>
      <w:outlineLvl w:val="1"/>
    </w:pPr>
    <w:rPr>
      <w:b/>
      <w:bCs/>
      <w:szCs w:val="26"/>
    </w:rPr>
  </w:style>
  <w:style w:type="paragraph" w:styleId="Heading3">
    <w:name w:val="heading 3"/>
    <w:basedOn w:val="Normal"/>
    <w:next w:val="Normal"/>
    <w:link w:val="Heading3Char2"/>
    <w:uiPriority w:val="99"/>
    <w:semiHidden/>
    <w:unhideWhenUsed/>
    <w:pPr>
      <w:keepNext/>
      <w:keepLines/>
      <w:spacing w:before="200"/>
      <w:outlineLvl w:val="2"/>
    </w:pPr>
    <w:rPr>
      <w:rFonts w:ascii="Cambria" w:hAnsi="Cambria"/>
      <w:b/>
      <w:bCs/>
      <w:color w:val="4F81BD"/>
    </w:rPr>
  </w:style>
  <w:style w:type="paragraph" w:styleId="Heading4">
    <w:name w:val="heading 4"/>
    <w:basedOn w:val="Normal"/>
    <w:next w:val="Normal"/>
    <w:link w:val="Heading4Char1"/>
    <w:uiPriority w:val="99"/>
    <w:semiHidden/>
    <w:unhideWhenUsed/>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9"/>
    <w:semiHidden/>
    <w:unhideWhenUsed/>
    <w:pPr>
      <w:keepNext/>
      <w:keepLines/>
      <w:numPr>
        <w:numId w:val="14"/>
      </w:numPr>
      <w:spacing w:before="200"/>
      <w:jc w:val="both"/>
      <w:outlineLvl w:val="4"/>
    </w:pPr>
    <w:rPr>
      <w:b/>
    </w:rPr>
  </w:style>
  <w:style w:type="paragraph" w:styleId="Heading6">
    <w:name w:val="heading 6"/>
    <w:basedOn w:val="Normal"/>
    <w:next w:val="Normal"/>
    <w:link w:val="Heading6Char"/>
    <w:uiPriority w:val="99"/>
    <w:semiHidden/>
    <w:unhideWhenUsed/>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semiHidden/>
    <w:unhideWhenUsed/>
    <w:pPr>
      <w:spacing w:before="240" w:after="60"/>
      <w:ind w:left="1296" w:hanging="1296"/>
      <w:outlineLvl w:val="6"/>
    </w:pPr>
    <w:rPr>
      <w:rFonts w:ascii="Times New Roman" w:hAnsi="Times New Roman"/>
    </w:rPr>
  </w:style>
  <w:style w:type="paragraph" w:styleId="Heading8">
    <w:name w:val="heading 8"/>
    <w:basedOn w:val="Normal"/>
    <w:next w:val="Normal"/>
    <w:link w:val="Heading8Char"/>
    <w:uiPriority w:val="99"/>
    <w:semiHidden/>
    <w:unhideWhenUsed/>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uiPriority w:val="99"/>
    <w:semiHidden/>
    <w:unhideWhenUsed/>
    <w:pPr>
      <w:tabs>
        <w:tab w:val="num" w:pos="1584"/>
      </w:tabs>
      <w:spacing w:before="240" w:after="60"/>
      <w:ind w:left="1584" w:hanging="1584"/>
      <w:outlineLvl w:val="8"/>
    </w:pPr>
    <w:rPr>
      <w:rFonts w:ascii="Arial" w:hAnsi="Arial" w:cs="Arial"/>
      <w:szCs w:val="22"/>
    </w:rPr>
  </w:style>
  <w:style w:type="character" w:default="1" w:styleId="DefaultParagraphFont">
    <w:name w:val="Default Paragraph Font"/>
    <w:uiPriority w:val="99"/>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pPr>
      <w:tabs>
        <w:tab w:val="center" w:pos="4536"/>
        <w:tab w:val="right" w:pos="9072"/>
      </w:tabs>
    </w:pPr>
  </w:style>
  <w:style w:type="paragraph" w:styleId="Footer">
    <w:name w:val="footer"/>
    <w:basedOn w:val="Normal"/>
    <w:link w:val="FooterChar"/>
    <w:uiPriority w:val="99"/>
    <w:semiHidden/>
    <w:unhideWhenUsed/>
    <w:pPr>
      <w:tabs>
        <w:tab w:val="center" w:pos="4536"/>
        <w:tab w:val="right" w:pos="9072"/>
      </w:tabs>
    </w:pPr>
  </w:style>
  <w:style w:type="table" w:styleId="TableGrid">
    <w:name w:val="Table Grid"/>
    <w:basedOn w:val="TableNormal"/>
    <w:uiPriority w:val="99"/>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
    <w:uiPriority w:val="29"/>
    <w:qFormat/>
    <w:pPr>
      <w:spacing w:line="200" w:lineRule="exact"/>
    </w:pPr>
    <w:rPr>
      <w:color w:val="2D4190"/>
      <w:sz w:val="16"/>
    </w:rPr>
  </w:style>
  <w:style w:type="paragraph" w:customStyle="1" w:styleId="05aTitle">
    <w:name w:val="05a_Title"/>
    <w:basedOn w:val="Normal"/>
    <w:uiPriority w:val="29"/>
    <w:qFormat/>
    <w:pPr>
      <w:spacing w:line="340" w:lineRule="exact"/>
    </w:pPr>
    <w:rPr>
      <w:b/>
      <w:color w:val="000000"/>
      <w:sz w:val="28"/>
    </w:rPr>
  </w:style>
  <w:style w:type="paragraph" w:customStyle="1" w:styleId="02Date">
    <w:name w:val="02_Date"/>
    <w:basedOn w:val="Normal"/>
    <w:uiPriority w:val="29"/>
    <w:qFormat/>
    <w:pPr>
      <w:spacing w:line="220" w:lineRule="exact"/>
    </w:pPr>
    <w:rPr>
      <w:sz w:val="17"/>
    </w:rPr>
  </w:style>
  <w:style w:type="paragraph" w:customStyle="1" w:styleId="00aPagenumber">
    <w:name w:val="00a_Page number"/>
    <w:basedOn w:val="00Footer"/>
    <w:uiPriority w:val="29"/>
    <w:qFormat/>
    <w:pPr>
      <w:spacing w:line="280" w:lineRule="atLeast"/>
      <w:jc w:val="right"/>
    </w:pPr>
    <w:rPr>
      <w:color w:val="000000"/>
      <w:sz w:val="20"/>
    </w:rPr>
  </w:style>
  <w:style w:type="paragraph" w:customStyle="1" w:styleId="04BodyText">
    <w:name w:val="04_Body Text"/>
    <w:basedOn w:val="Normal"/>
    <w:link w:val="04BodyTextChar"/>
    <w:uiPriority w:val="29"/>
    <w:qFormat/>
    <w:pPr>
      <w:spacing w:after="250" w:line="276" w:lineRule="auto"/>
      <w:jc w:val="both"/>
    </w:pPr>
  </w:style>
  <w:style w:type="paragraph" w:customStyle="1" w:styleId="05HeadlinenoIndex">
    <w:name w:val="05_Headline no Index"/>
    <w:basedOn w:val="04BodyText"/>
    <w:uiPriority w:val="29"/>
    <w:qFormat/>
    <w:pPr>
      <w:spacing w:line="300" w:lineRule="exact"/>
    </w:pPr>
    <w:rPr>
      <w:b/>
      <w:sz w:val="24"/>
    </w:rPr>
  </w:style>
  <w:style w:type="paragraph" w:customStyle="1" w:styleId="05cHeadline1">
    <w:name w:val="05c_Headline 1"/>
    <w:basedOn w:val="05HeadlinenoIndex"/>
    <w:next w:val="04BodyText"/>
    <w:uiPriority w:val="49"/>
    <w:qFormat/>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29"/>
    <w:qFormat/>
    <w:pPr>
      <w:tabs>
        <w:tab w:val="num" w:pos="851"/>
      </w:tabs>
      <w:ind w:left="851" w:hanging="284"/>
    </w:pPr>
  </w:style>
  <w:style w:type="character" w:styleId="PageNumber">
    <w:name w:val="page number"/>
    <w:basedOn w:val="DefaultParagraphFont"/>
    <w:uiPriority w:val="29"/>
    <w:unhideWhenUsed/>
    <w:qFormat/>
  </w:style>
  <w:style w:type="paragraph" w:customStyle="1" w:styleId="00bDBInfo">
    <w:name w:val="00b_DB_Info"/>
    <w:basedOn w:val="00aPagenumber"/>
    <w:uiPriority w:val="29"/>
    <w:qFormat/>
    <w:rPr>
      <w:color w:val="FFFFFF"/>
    </w:rPr>
  </w:style>
  <w:style w:type="paragraph" w:customStyle="1" w:styleId="01aDBTitle">
    <w:name w:val="01a_DB_Title"/>
    <w:basedOn w:val="05aTitle"/>
    <w:uiPriority w:val="29"/>
    <w:qFormat/>
    <w:pPr>
      <w:spacing w:line="400" w:lineRule="exact"/>
      <w:jc w:val="right"/>
    </w:pPr>
    <w:rPr>
      <w:color w:val="2D4190"/>
      <w:sz w:val="40"/>
    </w:rPr>
  </w:style>
  <w:style w:type="paragraph" w:customStyle="1" w:styleId="01bDBSubtitle">
    <w:name w:val="01b_DB_Subtitle"/>
    <w:uiPriority w:val="29"/>
    <w:qFormat/>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uiPriority w:val="49"/>
    <w:qFormat/>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99"/>
    <w:semiHidden/>
    <w:unhideWhenUsed/>
    <w:pPr>
      <w:tabs>
        <w:tab w:val="left" w:pos="510"/>
        <w:tab w:val="right" w:leader="underscore" w:pos="9412"/>
      </w:tabs>
      <w:spacing w:line="250" w:lineRule="exact"/>
    </w:pPr>
  </w:style>
  <w:style w:type="paragraph" w:customStyle="1" w:styleId="04fBodytextblue">
    <w:name w:val="04f_Body text blue"/>
    <w:basedOn w:val="04BodyText"/>
    <w:uiPriority w:val="29"/>
    <w:qFormat/>
    <w:pPr>
      <w:pBdr>
        <w:bottom w:val="single" w:sz="4" w:space="12" w:color="283583"/>
      </w:pBdr>
    </w:pPr>
    <w:rPr>
      <w:color w:val="2D4190"/>
    </w:rPr>
  </w:style>
  <w:style w:type="character" w:styleId="Hyperlink">
    <w:name w:val="Hyperlink"/>
    <w:uiPriority w:val="99"/>
    <w:semiHidden/>
    <w:unhideWhenUsed/>
    <w:rPr>
      <w:color w:val="0000FF"/>
      <w:u w:val="single"/>
    </w:rPr>
  </w:style>
  <w:style w:type="paragraph" w:customStyle="1" w:styleId="04bList">
    <w:name w:val="04b_List"/>
    <w:basedOn w:val="04BodyText"/>
    <w:uiPriority w:val="49"/>
    <w:qFormat/>
    <w:pPr>
      <w:numPr>
        <w:numId w:val="3"/>
      </w:numPr>
    </w:pPr>
  </w:style>
  <w:style w:type="paragraph" w:customStyle="1" w:styleId="04eBodytextleft">
    <w:name w:val="04e_Body text left"/>
    <w:basedOn w:val="04BodyText"/>
    <w:uiPriority w:val="29"/>
    <w:qFormat/>
    <w:pPr>
      <w:spacing w:after="0"/>
      <w:jc w:val="left"/>
    </w:pPr>
  </w:style>
  <w:style w:type="paragraph" w:customStyle="1" w:styleId="05eHeadline2">
    <w:name w:val="05e_Headline 2"/>
    <w:uiPriority w:val="49"/>
    <w:qFormat/>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
    <w:basedOn w:val="Normal"/>
    <w:link w:val="FootnoteTextChar"/>
    <w:uiPriority w:val="99"/>
    <w:semiHidden/>
    <w:unhideWhenUsed/>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semiHidden/>
    <w:unhideWhenUsed/>
    <w:rPr>
      <w:vertAlign w:val="superscript"/>
    </w:rPr>
  </w:style>
  <w:style w:type="paragraph" w:styleId="TOC2">
    <w:name w:val="toc 2"/>
    <w:basedOn w:val="Normal"/>
    <w:next w:val="Normal"/>
    <w:autoRedefine/>
    <w:uiPriority w:val="99"/>
    <w:semiHidden/>
    <w:unhideWhenUsed/>
    <w:pPr>
      <w:spacing w:after="100"/>
      <w:ind w:left="220"/>
    </w:pPr>
  </w:style>
  <w:style w:type="paragraph" w:customStyle="1" w:styleId="05bHeadline1black">
    <w:name w:val="05b_Headline 1 black"/>
    <w:basedOn w:val="05dHeadline1blue"/>
    <w:uiPriority w:val="49"/>
    <w:qFormat/>
    <w:pPr>
      <w:pBdr>
        <w:top w:val="none" w:sz="0" w:space="0" w:color="auto"/>
      </w:pBdr>
    </w:pPr>
    <w:rPr>
      <w:color w:val="000000"/>
    </w:rPr>
  </w:style>
  <w:style w:type="paragraph" w:customStyle="1" w:styleId="03Headbold">
    <w:name w:val="03_Head_bold"/>
    <w:basedOn w:val="04BodyText"/>
    <w:uiPriority w:val="29"/>
    <w:qFormat/>
    <w:pPr>
      <w:tabs>
        <w:tab w:val="left" w:pos="414"/>
        <w:tab w:val="left" w:pos="454"/>
      </w:tabs>
      <w:spacing w:after="0" w:line="240" w:lineRule="auto"/>
    </w:pPr>
    <w:rPr>
      <w:b/>
    </w:rPr>
  </w:style>
  <w:style w:type="paragraph" w:customStyle="1" w:styleId="03aHead">
    <w:name w:val="03a_Head"/>
    <w:basedOn w:val="03Headbold"/>
    <w:uiPriority w:val="29"/>
    <w:qFormat/>
    <w:rPr>
      <w:b w:val="0"/>
    </w:rPr>
  </w:style>
  <w:style w:type="paragraph" w:customStyle="1" w:styleId="04dBodyTextbold">
    <w:name w:val="04d_Body Text bold"/>
    <w:basedOn w:val="04BodyText"/>
    <w:uiPriority w:val="29"/>
    <w:qFormat/>
    <w:pPr>
      <w:tabs>
        <w:tab w:val="left" w:pos="414"/>
      </w:tabs>
    </w:pPr>
    <w:rPr>
      <w:b/>
    </w:rPr>
  </w:style>
  <w:style w:type="paragraph" w:customStyle="1" w:styleId="06InfoTitle">
    <w:name w:val="06_Info_Title"/>
    <w:basedOn w:val="Normal"/>
    <w:link w:val="06InfoTitleZchn"/>
    <w:uiPriority w:val="29"/>
    <w:qFormat/>
    <w:pPr>
      <w:spacing w:after="40"/>
      <w:jc w:val="both"/>
    </w:pPr>
    <w:rPr>
      <w:b/>
      <w:sz w:val="24"/>
    </w:rPr>
  </w:style>
  <w:style w:type="character" w:customStyle="1" w:styleId="06InfoTitleZchn">
    <w:name w:val="06_Info_Title Zchn"/>
    <w:link w:val="06InfoTitle"/>
    <w:rPr>
      <w:rFonts w:ascii="Georgia" w:hAnsi="Georgia"/>
      <w:b/>
      <w:sz w:val="24"/>
      <w:szCs w:val="24"/>
      <w:lang w:val="en-GB" w:eastAsia="de-DE" w:bidi="ar-SA"/>
    </w:rPr>
  </w:style>
  <w:style w:type="paragraph" w:customStyle="1" w:styleId="06aInfoTitle">
    <w:name w:val="06a_Info_Title"/>
    <w:basedOn w:val="06InfoTitle"/>
    <w:link w:val="06aInfoTitleZchn"/>
    <w:uiPriority w:val="29"/>
    <w:qFormat/>
    <w:rPr>
      <w:sz w:val="16"/>
    </w:rPr>
  </w:style>
  <w:style w:type="character" w:customStyle="1" w:styleId="06aInfoTitleZchn">
    <w:name w:val="06a_Info_Title Zchn"/>
    <w:link w:val="06aInfoTitle"/>
    <w:rPr>
      <w:rFonts w:ascii="Georgia" w:hAnsi="Georgia"/>
      <w:b/>
      <w:sz w:val="16"/>
      <w:szCs w:val="24"/>
      <w:lang w:val="en-GB" w:eastAsia="de-DE" w:bidi="ar-SA"/>
    </w:rPr>
  </w:style>
  <w:style w:type="paragraph" w:customStyle="1" w:styleId="04cA">
    <w:name w:val="04c_A"/>
    <w:aliases w:val="B,C"/>
    <w:uiPriority w:val="29"/>
    <w:qFormat/>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uiPriority w:val="29"/>
    <w:qFormat/>
    <w:pPr>
      <w:spacing w:line="300" w:lineRule="exact"/>
    </w:pPr>
    <w:rPr>
      <w:b/>
      <w:sz w:val="24"/>
    </w:rPr>
  </w:style>
  <w:style w:type="paragraph" w:customStyle="1" w:styleId="05aHeadline2">
    <w:name w:val="05a_Headline 2"/>
    <w:basedOn w:val="05Headline1"/>
    <w:next w:val="04BodyText"/>
    <w:uiPriority w:val="29"/>
    <w:qFormat/>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uiPriority w:val="29"/>
    <w:qFormat/>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uiPriority w:val="29"/>
    <w:qFormat/>
    <w:pPr>
      <w:pBdr>
        <w:bottom w:val="single" w:sz="4" w:space="12" w:color="283583"/>
      </w:pBdr>
    </w:pPr>
    <w:rPr>
      <w:color w:val="2D4190"/>
    </w:rPr>
  </w:style>
  <w:style w:type="paragraph" w:customStyle="1" w:styleId="04cBodytextleft">
    <w:name w:val="04c_Body text left"/>
    <w:basedOn w:val="04BodyText"/>
    <w:uiPriority w:val="29"/>
    <w:qFormat/>
    <w:pPr>
      <w:spacing w:after="0"/>
      <w:jc w:val="left"/>
    </w:pPr>
  </w:style>
  <w:style w:type="paragraph" w:customStyle="1" w:styleId="Style04RunningTextBold">
    <w:name w:val="Style 04_Running Text + Bold"/>
    <w:basedOn w:val="04BodyText"/>
    <w:uiPriority w:val="29"/>
    <w:qFormat/>
    <w:pPr>
      <w:keepNext/>
    </w:pPr>
    <w:rPr>
      <w:b/>
      <w:bCs/>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link w:val="CommentText"/>
    <w:uiPriority w:val="99"/>
    <w:rPr>
      <w:rFonts w:ascii="Georgia" w:hAnsi="Georgia"/>
      <w:lang w:eastAsia="de-D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rPr>
      <w:rFonts w:ascii="Georgia" w:hAnsi="Georgia"/>
      <w:b/>
      <w:bCs/>
      <w:lang w:eastAsia="de-DE"/>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99"/>
    <w:semiHidden/>
    <w:unhideWhenUsed/>
    <w:pPr>
      <w:ind w:left="720"/>
      <w:contextualSpacing/>
    </w:pPr>
  </w:style>
  <w:style w:type="paragraph" w:styleId="TOCHeading">
    <w:name w:val="TOC Heading"/>
    <w:basedOn w:val="Heading1"/>
    <w:next w:val="Normal"/>
    <w:uiPriority w:val="99"/>
    <w:semiHidden/>
    <w:unhideWhenUsed/>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uiPriority w:val="29"/>
    <w:qFormat/>
    <w:pPr>
      <w:tabs>
        <w:tab w:val="num" w:pos="454"/>
      </w:tabs>
      <w:ind w:left="454" w:hanging="454"/>
    </w:pPr>
    <w:rPr>
      <w:lang w:val="fr-FR"/>
    </w:rPr>
  </w:style>
  <w:style w:type="character" w:customStyle="1" w:styleId="04aNumerationChar">
    <w:name w:val="04a_Numeration Char"/>
    <w:link w:val="04aNumeration"/>
    <w:locked/>
    <w:rPr>
      <w:rFonts w:ascii="Georgia" w:hAnsi="Georgia"/>
      <w:szCs w:val="24"/>
      <w:lang w:val="fr-FR" w:eastAsia="de-DE"/>
    </w:rPr>
  </w:style>
  <w:style w:type="character" w:customStyle="1" w:styleId="FootnoteTextChar">
    <w:name w:val="Footnote Text Char"/>
    <w:aliases w:val="Char3 Char, Char3 Char"/>
    <w:link w:val="FootnoteText"/>
    <w:locked/>
    <w:rPr>
      <w:rFonts w:ascii="Georgia" w:hAnsi="Georgia"/>
      <w:sz w:val="16"/>
      <w:lang w:eastAsia="de-DE"/>
    </w:rPr>
  </w:style>
  <w:style w:type="paragraph" w:customStyle="1" w:styleId="DPpara">
    <w:name w:val="DP para"/>
    <w:basedOn w:val="04aNumeration"/>
    <w:link w:val="DPparaChar"/>
    <w:uiPriority w:val="49"/>
    <w:qFormat/>
    <w:pPr>
      <w:numPr>
        <w:numId w:val="7"/>
      </w:numPr>
    </w:pPr>
    <w:rPr>
      <w:szCs w:val="20"/>
    </w:rPr>
  </w:style>
  <w:style w:type="character" w:customStyle="1" w:styleId="DPparaChar">
    <w:name w:val="DP para Char"/>
    <w:link w:val="DPpara"/>
    <w:locked/>
    <w:rPr>
      <w:rFonts w:ascii="Georgia" w:hAnsi="Georgia"/>
      <w:lang w:val="fr-FR" w:eastAsia="de-DE"/>
    </w:rPr>
  </w:style>
  <w:style w:type="character" w:customStyle="1" w:styleId="CommentTextChar1">
    <w:name w:val="Comment Text Char1"/>
    <w:uiPriority w:val="29"/>
    <w:qFormat/>
    <w:rPr>
      <w:rFonts w:ascii="Georgia" w:hAnsi="Georgia"/>
      <w:lang w:eastAsia="de-DE"/>
    </w:rPr>
  </w:style>
  <w:style w:type="character" w:customStyle="1" w:styleId="FootnoteTextChar1">
    <w:name w:val="Footnote Text Char1"/>
    <w:aliases w:val="Char3 Char1, Char3 Char1"/>
    <w:uiPriority w:val="29"/>
    <w:qFormat/>
    <w:locked/>
    <w:rPr>
      <w:rFonts w:ascii="Georgia" w:hAnsi="Georgia"/>
      <w:sz w:val="16"/>
      <w:lang w:eastAsia="de-DE"/>
    </w:rPr>
  </w:style>
  <w:style w:type="paragraph" w:customStyle="1" w:styleId="Default">
    <w:name w:val="Default"/>
    <w:uiPriority w:val="29"/>
    <w:qFormat/>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uiPriority w:val="29"/>
    <w:qFormat/>
  </w:style>
  <w:style w:type="paragraph" w:customStyle="1" w:styleId="ManualNumPar1">
    <w:name w:val="Manual NumPar 1"/>
    <w:basedOn w:val="Normal"/>
    <w:next w:val="Normal"/>
    <w:link w:val="ManualNumPar1Char"/>
    <w:uiPriority w:val="29"/>
    <w:qFormat/>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Pr>
      <w:sz w:val="24"/>
      <w:szCs w:val="24"/>
      <w:lang w:eastAsia="en-US"/>
    </w:rPr>
  </w:style>
  <w:style w:type="character" w:customStyle="1" w:styleId="Heading1Char">
    <w:name w:val="Heading 1 Char"/>
    <w:link w:val="Heading1"/>
    <w:rPr>
      <w:rFonts w:ascii="Georgia" w:hAnsi="Georgia" w:cs="Arial"/>
      <w:b/>
      <w:bCs/>
      <w:kern w:val="32"/>
      <w:sz w:val="24"/>
      <w:szCs w:val="32"/>
      <w:lang w:eastAsia="de-DE"/>
    </w:rPr>
  </w:style>
  <w:style w:type="character" w:customStyle="1" w:styleId="Heading2Char">
    <w:name w:val="Heading 2 Char"/>
    <w:uiPriority w:val="29"/>
    <w:qFormat/>
    <w:rPr>
      <w:rFonts w:ascii="Georgia" w:hAnsi="Georgia" w:cs="Arial"/>
      <w:bCs/>
      <w:i/>
      <w:kern w:val="32"/>
      <w:szCs w:val="32"/>
      <w:lang w:eastAsia="de-DE"/>
    </w:rPr>
  </w:style>
  <w:style w:type="character" w:styleId="Emphasis">
    <w:name w:val="Emphasis"/>
    <w:uiPriority w:val="99"/>
    <w:semiHidden/>
    <w:unhideWhenUsed/>
    <w:rPr>
      <w:i/>
      <w:iCs/>
    </w:rPr>
  </w:style>
  <w:style w:type="paragraph" w:styleId="Revision">
    <w:name w:val="Revision"/>
    <w:link w:val="RevisionChar"/>
    <w:hidden/>
    <w:uiPriority w:val="99"/>
    <w:semiHidden/>
    <w:rPr>
      <w:rFonts w:ascii="Georgia" w:hAnsi="Georgia"/>
      <w:sz w:val="22"/>
      <w:szCs w:val="24"/>
      <w:lang w:eastAsia="de-DE"/>
    </w:rPr>
  </w:style>
  <w:style w:type="paragraph" w:styleId="TOC3">
    <w:name w:val="toc 3"/>
    <w:basedOn w:val="Normal"/>
    <w:next w:val="Normal"/>
    <w:autoRedefine/>
    <w:uiPriority w:val="99"/>
    <w:semiHidden/>
    <w:unhideWhenUsed/>
    <w:pPr>
      <w:spacing w:after="100"/>
      <w:ind w:left="440"/>
    </w:pPr>
  </w:style>
  <w:style w:type="character" w:customStyle="1" w:styleId="SprechblasentextZeichen">
    <w:name w:val="Sprechblasentext Zeichen"/>
    <w:uiPriority w:val="29"/>
    <w:qFormat/>
    <w:rPr>
      <w:rFonts w:ascii="Lucida Grande" w:hAnsi="Lucida Grande"/>
      <w:sz w:val="18"/>
      <w:szCs w:val="18"/>
    </w:rPr>
  </w:style>
  <w:style w:type="paragraph" w:customStyle="1" w:styleId="CM3">
    <w:name w:val="CM3"/>
    <w:basedOn w:val="Normal"/>
    <w:next w:val="Normal"/>
    <w:uiPriority w:val="29"/>
    <w:qFormat/>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29"/>
    <w:qFormat/>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99"/>
    <w:semiHidden/>
    <w:unhideWhenUsed/>
    <w:pPr>
      <w:spacing w:after="100" w:line="276" w:lineRule="auto"/>
      <w:ind w:left="660"/>
    </w:pPr>
    <w:rPr>
      <w:rFonts w:ascii="Calibri" w:hAnsi="Calibri"/>
      <w:szCs w:val="22"/>
      <w:lang w:eastAsia="en-GB"/>
    </w:rPr>
  </w:style>
  <w:style w:type="paragraph" w:styleId="TOC5">
    <w:name w:val="toc 5"/>
    <w:basedOn w:val="Normal"/>
    <w:next w:val="Normal"/>
    <w:autoRedefine/>
    <w:uiPriority w:val="99"/>
    <w:semiHidden/>
    <w:unhideWhenUsed/>
    <w:pPr>
      <w:spacing w:after="100" w:line="276" w:lineRule="auto"/>
      <w:ind w:left="880"/>
    </w:pPr>
    <w:rPr>
      <w:rFonts w:ascii="Calibri" w:hAnsi="Calibri"/>
      <w:szCs w:val="22"/>
      <w:lang w:eastAsia="en-GB"/>
    </w:rPr>
  </w:style>
  <w:style w:type="paragraph" w:styleId="TOC6">
    <w:name w:val="toc 6"/>
    <w:basedOn w:val="Normal"/>
    <w:next w:val="Normal"/>
    <w:autoRedefine/>
    <w:uiPriority w:val="99"/>
    <w:semiHidden/>
    <w:unhideWhenUsed/>
    <w:pPr>
      <w:spacing w:after="100" w:line="276" w:lineRule="auto"/>
      <w:ind w:left="1100"/>
    </w:pPr>
    <w:rPr>
      <w:rFonts w:ascii="Calibri" w:hAnsi="Calibri"/>
      <w:szCs w:val="22"/>
      <w:lang w:eastAsia="en-GB"/>
    </w:rPr>
  </w:style>
  <w:style w:type="paragraph" w:styleId="TOC7">
    <w:name w:val="toc 7"/>
    <w:basedOn w:val="Normal"/>
    <w:next w:val="Normal"/>
    <w:autoRedefine/>
    <w:uiPriority w:val="99"/>
    <w:semiHidden/>
    <w:unhideWhenUsed/>
    <w:pPr>
      <w:spacing w:after="100" w:line="276" w:lineRule="auto"/>
      <w:ind w:left="1320"/>
    </w:pPr>
    <w:rPr>
      <w:rFonts w:ascii="Calibri" w:hAnsi="Calibri"/>
      <w:szCs w:val="22"/>
      <w:lang w:eastAsia="en-GB"/>
    </w:rPr>
  </w:style>
  <w:style w:type="paragraph" w:styleId="TOC8">
    <w:name w:val="toc 8"/>
    <w:basedOn w:val="Normal"/>
    <w:next w:val="Normal"/>
    <w:autoRedefine/>
    <w:uiPriority w:val="99"/>
    <w:semiHidden/>
    <w:unhideWhenUsed/>
    <w:pPr>
      <w:spacing w:after="100" w:line="276" w:lineRule="auto"/>
      <w:ind w:left="1540"/>
    </w:pPr>
    <w:rPr>
      <w:rFonts w:ascii="Calibri" w:hAnsi="Calibri"/>
      <w:szCs w:val="22"/>
      <w:lang w:eastAsia="en-GB"/>
    </w:rPr>
  </w:style>
  <w:style w:type="paragraph" w:styleId="TOC9">
    <w:name w:val="toc 9"/>
    <w:basedOn w:val="Normal"/>
    <w:next w:val="Normal"/>
    <w:autoRedefine/>
    <w:uiPriority w:val="99"/>
    <w:semiHidden/>
    <w:unhideWhenUsed/>
    <w:pPr>
      <w:spacing w:after="100" w:line="276" w:lineRule="auto"/>
      <w:ind w:left="1760"/>
    </w:pPr>
    <w:rPr>
      <w:rFonts w:ascii="Calibri" w:hAnsi="Calibri"/>
      <w:szCs w:val="22"/>
      <w:lang w:eastAsia="en-GB"/>
    </w:rPr>
  </w:style>
  <w:style w:type="character" w:customStyle="1" w:styleId="DeltaViewInsertion">
    <w:name w:val="DeltaView Insertion"/>
    <w:uiPriority w:val="29"/>
    <w:qFormat/>
    <w:rPr>
      <w:b/>
      <w:bCs/>
      <w:color w:val="FFFFFF"/>
      <w:spacing w:val="0"/>
      <w:u w:val="single"/>
    </w:rPr>
  </w:style>
  <w:style w:type="paragraph" w:styleId="Caption">
    <w:name w:val="caption"/>
    <w:basedOn w:val="Normal"/>
    <w:next w:val="Normal"/>
    <w:uiPriority w:val="99"/>
    <w:semiHidden/>
    <w:unhideWhenUsed/>
    <w:pPr>
      <w:spacing w:after="200"/>
    </w:pPr>
    <w:rPr>
      <w:b/>
      <w:bCs/>
      <w:sz w:val="18"/>
      <w:szCs w:val="18"/>
    </w:rPr>
  </w:style>
  <w:style w:type="character" w:customStyle="1" w:styleId="Heading5Char">
    <w:name w:val="Heading 5 Char"/>
    <w:uiPriority w:val="29"/>
    <w:qFormat/>
    <w:rPr>
      <w:rFonts w:ascii="Georgia" w:eastAsia="Times New Roman" w:hAnsi="Georgia" w:cs="Times New Roman"/>
      <w:b/>
      <w:szCs w:val="24"/>
      <w:lang w:eastAsia="de-DE"/>
    </w:rPr>
  </w:style>
  <w:style w:type="paragraph" w:styleId="NormalWeb">
    <w:name w:val="Normal (Web)"/>
    <w:basedOn w:val="Normal"/>
    <w:uiPriority w:val="99"/>
    <w:semiHidden/>
    <w:unhideWhenUsed/>
    <w:pPr>
      <w:spacing w:before="100" w:beforeAutospacing="1" w:after="100" w:afterAutospacing="1"/>
    </w:pPr>
    <w:rPr>
      <w:rFonts w:ascii="Times New Roman" w:hAnsi="Times New Roman"/>
      <w:sz w:val="24"/>
      <w:lang w:val="fr-FR" w:eastAsia="fr-FR"/>
    </w:rPr>
  </w:style>
  <w:style w:type="character" w:customStyle="1" w:styleId="Heading5Char1">
    <w:name w:val="Heading 5 Char1"/>
    <w:uiPriority w:val="29"/>
    <w:qFormat/>
    <w:rPr>
      <w:rFonts w:ascii="Georgia" w:hAnsi="Georgia"/>
      <w:b/>
      <w:bCs/>
      <w:iCs/>
      <w:szCs w:val="26"/>
      <w:lang w:eastAsia="de-DE"/>
    </w:rPr>
  </w:style>
  <w:style w:type="paragraph" w:styleId="DocumentMap">
    <w:name w:val="Document Map"/>
    <w:basedOn w:val="Normal"/>
    <w:link w:val="DocumentMapChar"/>
    <w:uiPriority w:val="99"/>
    <w:semiHidden/>
    <w:unhideWhenUsed/>
    <w:rPr>
      <w:rFonts w:ascii="Tahoma" w:hAnsi="Tahoma" w:cs="Tahoma"/>
      <w:sz w:val="16"/>
      <w:szCs w:val="16"/>
    </w:rPr>
  </w:style>
  <w:style w:type="character" w:customStyle="1" w:styleId="DocumentMapChar">
    <w:name w:val="Document Map Char"/>
    <w:link w:val="DocumentMap"/>
    <w:rPr>
      <w:rFonts w:ascii="Tahoma" w:hAnsi="Tahoma" w:cs="Tahoma"/>
      <w:sz w:val="16"/>
      <w:szCs w:val="16"/>
      <w:lang w:eastAsia="de-DE"/>
    </w:rPr>
  </w:style>
  <w:style w:type="paragraph" w:styleId="PlainText">
    <w:name w:val="Plain Text"/>
    <w:basedOn w:val="Normal"/>
    <w:link w:val="PlainTextChar"/>
    <w:uiPriority w:val="99"/>
    <w:semiHidden/>
    <w:unhideWhenUsed/>
    <w:rPr>
      <w:rFonts w:ascii="Consolas" w:hAnsi="Consolas"/>
      <w:sz w:val="21"/>
      <w:szCs w:val="21"/>
      <w:lang w:val="de-DE"/>
    </w:rPr>
  </w:style>
  <w:style w:type="character" w:customStyle="1" w:styleId="PlainTextChar">
    <w:name w:val="Plain Text Char"/>
    <w:link w:val="PlainText"/>
    <w:rPr>
      <w:rFonts w:ascii="Consolas" w:hAnsi="Consolas"/>
      <w:sz w:val="21"/>
      <w:szCs w:val="21"/>
      <w:lang w:val="de-DE" w:eastAsia="de-DE"/>
    </w:rPr>
  </w:style>
  <w:style w:type="paragraph" w:styleId="BodyText">
    <w:name w:val="Body Text"/>
    <w:basedOn w:val="Normal"/>
    <w:link w:val="BodyTextChar"/>
    <w:uiPriority w:val="99"/>
    <w:semiHidden/>
    <w:unhideWhenUsed/>
    <w:pPr>
      <w:numPr>
        <w:numId w:val="9"/>
      </w:numPr>
      <w:spacing w:after="240"/>
      <w:jc w:val="both"/>
    </w:pPr>
    <w:rPr>
      <w:rFonts w:ascii="Times New Roman" w:hAnsi="Times New Roman"/>
      <w:sz w:val="24"/>
      <w:szCs w:val="20"/>
      <w:lang w:eastAsia="en-GB"/>
    </w:rPr>
  </w:style>
  <w:style w:type="character" w:customStyle="1" w:styleId="BodyTextChar">
    <w:name w:val="Body Text Char"/>
    <w:link w:val="BodyText"/>
    <w:rPr>
      <w:sz w:val="24"/>
    </w:rPr>
  </w:style>
  <w:style w:type="paragraph" w:customStyle="1" w:styleId="ListParagraph1">
    <w:name w:val="List Paragraph1"/>
    <w:basedOn w:val="Normal"/>
    <w:uiPriority w:val="29"/>
    <w:qFormat/>
    <w:pPr>
      <w:spacing w:after="200" w:line="276" w:lineRule="atLeast"/>
      <w:ind w:left="720"/>
    </w:pPr>
    <w:rPr>
      <w:rFonts w:ascii="Calibri" w:hAnsi="Calibri" w:cs="Calibri"/>
      <w:szCs w:val="20"/>
      <w:lang w:val="el-GR" w:eastAsia="en-US"/>
    </w:rPr>
  </w:style>
  <w:style w:type="character" w:customStyle="1" w:styleId="Heading5Char2">
    <w:name w:val="Heading 5 Char2"/>
    <w:uiPriority w:val="29"/>
    <w:qFormat/>
    <w:rPr>
      <w:rFonts w:ascii="Georgia" w:eastAsia="Times New Roman" w:hAnsi="Georgia" w:cs="Times New Roman"/>
      <w:b/>
      <w:szCs w:val="24"/>
      <w:lang w:eastAsia="de-DE"/>
    </w:rPr>
  </w:style>
  <w:style w:type="character" w:styleId="Strong">
    <w:name w:val="Strong"/>
    <w:aliases w:val="Bolded"/>
    <w:uiPriority w:val="99"/>
    <w:semiHidden/>
    <w:unhideWhenUsed/>
    <w:rPr>
      <w:b/>
      <w:bCs/>
    </w:rPr>
  </w:style>
  <w:style w:type="character" w:customStyle="1" w:styleId="Strong1">
    <w:name w:val="Strong1"/>
    <w:uiPriority w:val="29"/>
    <w:qFormat/>
    <w:rPr>
      <w:b/>
      <w:bCs/>
    </w:rPr>
  </w:style>
  <w:style w:type="character" w:customStyle="1" w:styleId="Strong2">
    <w:name w:val="Strong2"/>
    <w:uiPriority w:val="29"/>
    <w:qFormat/>
    <w:rPr>
      <w:b/>
      <w:bCs/>
    </w:rPr>
  </w:style>
  <w:style w:type="character" w:customStyle="1" w:styleId="Heading5Char3">
    <w:name w:val="Heading 5 Char3"/>
    <w:uiPriority w:val="29"/>
    <w:qFormat/>
    <w:rPr>
      <w:rFonts w:ascii="Georgia" w:eastAsia="Times New Roman" w:hAnsi="Georgia" w:cs="Times New Roman"/>
      <w:b/>
      <w:szCs w:val="24"/>
      <w:lang w:eastAsia="de-DE"/>
    </w:rPr>
  </w:style>
  <w:style w:type="character" w:customStyle="1" w:styleId="Heading5Char4">
    <w:name w:val="Heading 5 Char4"/>
    <w:uiPriority w:val="29"/>
    <w:qFormat/>
    <w:rPr>
      <w:rFonts w:ascii="Georgia" w:eastAsia="Times New Roman" w:hAnsi="Georgia" w:cs="Times New Roman"/>
      <w:b/>
      <w:szCs w:val="24"/>
      <w:lang w:eastAsia="de-DE"/>
    </w:rPr>
  </w:style>
  <w:style w:type="character" w:customStyle="1" w:styleId="Heading2Char1">
    <w:name w:val="Heading 2 Char1"/>
    <w:uiPriority w:val="29"/>
    <w:qFormat/>
    <w:rPr>
      <w:rFonts w:ascii="Georgia" w:eastAsia="Times New Roman" w:hAnsi="Georgia" w:cs="Times New Roman"/>
      <w:b/>
      <w:bCs/>
      <w:sz w:val="22"/>
      <w:szCs w:val="26"/>
      <w:lang w:eastAsia="de-DE"/>
    </w:rPr>
  </w:style>
  <w:style w:type="character" w:customStyle="1" w:styleId="Heading3Char">
    <w:name w:val="Heading 3 Char"/>
    <w:uiPriority w:val="29"/>
    <w:qFormat/>
    <w:rPr>
      <w:rFonts w:ascii="Georgia" w:eastAsia="Times New Roman" w:hAnsi="Georgia" w:cs="Times New Roman"/>
      <w:b/>
      <w:sz w:val="22"/>
      <w:szCs w:val="26"/>
      <w:lang w:eastAsia="de-DE"/>
    </w:rPr>
  </w:style>
  <w:style w:type="character" w:customStyle="1" w:styleId="Heading5Char5">
    <w:name w:val="Heading 5 Char5"/>
    <w:uiPriority w:val="29"/>
    <w:qFormat/>
    <w:rPr>
      <w:rFonts w:ascii="Georgia" w:eastAsia="Times New Roman" w:hAnsi="Georgia" w:cs="Times New Roman"/>
      <w:b/>
      <w:szCs w:val="24"/>
      <w:lang w:eastAsia="de-DE"/>
    </w:rPr>
  </w:style>
  <w:style w:type="character" w:customStyle="1" w:styleId="Heading2Char2">
    <w:name w:val="Heading 2 Char2"/>
    <w:link w:val="Heading2"/>
    <w:rPr>
      <w:rFonts w:ascii="Georgia" w:eastAsia="Times New Roman" w:hAnsi="Georgia" w:cs="Times New Roman"/>
      <w:b/>
      <w:bCs/>
      <w:sz w:val="22"/>
      <w:szCs w:val="26"/>
      <w:lang w:eastAsia="de-DE"/>
    </w:rPr>
  </w:style>
  <w:style w:type="character" w:customStyle="1" w:styleId="Strong3">
    <w:name w:val="Strong3"/>
    <w:uiPriority w:val="29"/>
    <w:qFormat/>
    <w:rPr>
      <w:b/>
      <w:bCs/>
    </w:rPr>
  </w:style>
  <w:style w:type="character" w:customStyle="1" w:styleId="Heading5Char6">
    <w:name w:val="Heading 5 Char6"/>
    <w:uiPriority w:val="29"/>
    <w:qFormat/>
    <w:rPr>
      <w:rFonts w:ascii="Georgia" w:eastAsia="Times New Roman" w:hAnsi="Georgia" w:cs="Times New Roman"/>
      <w:b/>
      <w:szCs w:val="24"/>
      <w:lang w:eastAsia="de-DE"/>
    </w:rPr>
  </w:style>
  <w:style w:type="character" w:customStyle="1" w:styleId="Heading4Char">
    <w:name w:val="Heading 4 Char"/>
    <w:uiPriority w:val="29"/>
    <w:qFormat/>
    <w:rPr>
      <w:rFonts w:ascii="Georgia" w:eastAsia="Times New Roman" w:hAnsi="Georgia" w:cs="Times New Roman"/>
      <w:b/>
      <w:i/>
      <w:szCs w:val="28"/>
      <w:lang w:eastAsia="de-DE"/>
    </w:rPr>
  </w:style>
  <w:style w:type="character" w:customStyle="1" w:styleId="Heading9Char">
    <w:name w:val="Heading 9 Char"/>
    <w:link w:val="Heading9"/>
    <w:rPr>
      <w:rFonts w:ascii="Arial" w:hAnsi="Arial" w:cs="Arial"/>
      <w:sz w:val="22"/>
      <w:szCs w:val="22"/>
      <w:lang w:eastAsia="de-DE"/>
    </w:rPr>
  </w:style>
  <w:style w:type="character" w:customStyle="1" w:styleId="italic1">
    <w:name w:val="italic1"/>
    <w:uiPriority w:val="29"/>
    <w:qFormat/>
    <w:rPr>
      <w:rFonts w:cs="Times New Roman"/>
      <w:i/>
      <w:iCs/>
    </w:rPr>
  </w:style>
  <w:style w:type="paragraph" w:customStyle="1" w:styleId="5Normal">
    <w:name w:val="5 Normal"/>
    <w:basedOn w:val="Normal"/>
    <w:link w:val="5NormalChar"/>
    <w:uiPriority w:val="29"/>
    <w:qFormat/>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Pr>
      <w:rFonts w:ascii="Verdana" w:hAnsi="Verdana"/>
      <w:spacing w:val="-2"/>
      <w:szCs w:val="24"/>
    </w:rPr>
  </w:style>
  <w:style w:type="character" w:customStyle="1" w:styleId="Heading5Char7">
    <w:name w:val="Heading 5 Char7"/>
    <w:aliases w:val="Questions Char"/>
    <w:uiPriority w:val="29"/>
    <w:qFormat/>
    <w:rPr>
      <w:rFonts w:ascii="Georgia" w:eastAsia="Times New Roman" w:hAnsi="Georgia" w:cs="Times New Roman"/>
      <w:b/>
      <w:szCs w:val="24"/>
      <w:lang w:eastAsia="de-DE"/>
    </w:rPr>
  </w:style>
  <w:style w:type="character" w:customStyle="1" w:styleId="Heading5Char8">
    <w:name w:val="Heading 5 Char8"/>
    <w:aliases w:val="Questions Char1"/>
    <w:uiPriority w:val="29"/>
    <w:qFormat/>
    <w:rPr>
      <w:rFonts w:ascii="Georgia" w:eastAsia="Times New Roman" w:hAnsi="Georgia" w:cs="Times New Roman"/>
      <w:b/>
      <w:szCs w:val="24"/>
      <w:lang w:eastAsia="de-DE"/>
    </w:rPr>
  </w:style>
  <w:style w:type="character" w:customStyle="1" w:styleId="Heading7Char">
    <w:name w:val="Heading 7 Char"/>
    <w:link w:val="Heading7"/>
    <w:rPr>
      <w:sz w:val="22"/>
      <w:szCs w:val="24"/>
      <w:lang w:eastAsia="de-DE"/>
    </w:rPr>
  </w:style>
  <w:style w:type="character" w:customStyle="1" w:styleId="Heading6Char">
    <w:name w:val="Heading 6 Char"/>
    <w:link w:val="Heading6"/>
    <w:rPr>
      <w:b/>
      <w:bCs/>
      <w:szCs w:val="22"/>
      <w:lang w:eastAsia="de-DE"/>
    </w:rPr>
  </w:style>
  <w:style w:type="character" w:customStyle="1" w:styleId="Heading8Char">
    <w:name w:val="Heading 8 Char"/>
    <w:link w:val="Heading8"/>
    <w:rPr>
      <w:i/>
      <w:iCs/>
      <w:szCs w:val="24"/>
      <w:lang w:eastAsia="de-DE"/>
    </w:rPr>
  </w:style>
  <w:style w:type="numbering" w:customStyle="1" w:styleId="NoList1">
    <w:name w:val="No List1"/>
    <w:next w:val="NoList"/>
    <w:uiPriority w:val="99"/>
    <w:semiHidden/>
    <w:unhideWhenUsed/>
  </w:style>
  <w:style w:type="character" w:styleId="FollowedHyperlink">
    <w:name w:val="FollowedHyperlink"/>
    <w:uiPriority w:val="99"/>
    <w:semiHidden/>
    <w:unhideWhenUsed/>
    <w:rPr>
      <w:color w:val="800080"/>
      <w:u w:val="single"/>
    </w:rPr>
  </w:style>
  <w:style w:type="character" w:customStyle="1" w:styleId="HeaderChar">
    <w:name w:val="Header Char"/>
    <w:link w:val="Header"/>
    <w:rPr>
      <w:rFonts w:ascii="Georgia" w:hAnsi="Georgia"/>
      <w:sz w:val="22"/>
      <w:szCs w:val="24"/>
      <w:lang w:eastAsia="de-DE"/>
    </w:rPr>
  </w:style>
  <w:style w:type="character" w:customStyle="1" w:styleId="FooterChar">
    <w:name w:val="Footer Char"/>
    <w:link w:val="Footer"/>
    <w:rPr>
      <w:rFonts w:ascii="Georgia" w:hAnsi="Georgia"/>
      <w:sz w:val="22"/>
      <w:szCs w:val="24"/>
      <w:lang w:eastAsia="de-DE"/>
    </w:rPr>
  </w:style>
  <w:style w:type="paragraph" w:styleId="EndnoteText">
    <w:name w:val="endnote text"/>
    <w:basedOn w:val="Normal"/>
    <w:link w:val="EndnoteTextChar"/>
    <w:uiPriority w:val="99"/>
    <w:semiHidden/>
    <w:unhideWhenUsed/>
    <w:rPr>
      <w:szCs w:val="20"/>
    </w:rPr>
  </w:style>
  <w:style w:type="character" w:customStyle="1" w:styleId="EndnoteTextChar">
    <w:name w:val="Endnote Text Char"/>
    <w:link w:val="EndnoteText"/>
    <w:rPr>
      <w:rFonts w:ascii="Georgia" w:hAnsi="Georgia"/>
      <w:lang w:eastAsia="de-DE"/>
    </w:rPr>
  </w:style>
  <w:style w:type="paragraph" w:styleId="ListNumber">
    <w:name w:val="List Number"/>
    <w:basedOn w:val="Normal"/>
    <w:uiPriority w:val="99"/>
    <w:semiHidden/>
    <w:unhideWhenUsed/>
    <w:pPr>
      <w:numPr>
        <w:numId w:val="10"/>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Pr>
      <w:rFonts w:ascii="Georgia" w:hAnsi="Georgia"/>
      <w:sz w:val="22"/>
      <w:szCs w:val="24"/>
      <w:lang w:eastAsia="de-DE"/>
    </w:rPr>
  </w:style>
  <w:style w:type="paragraph" w:customStyle="1" w:styleId="04anumbering0">
    <w:name w:val="04anumbering"/>
    <w:basedOn w:val="Normal"/>
    <w:uiPriority w:val="29"/>
    <w:qFormat/>
    <w:pPr>
      <w:tabs>
        <w:tab w:val="num" w:pos="360"/>
      </w:tabs>
      <w:spacing w:after="250" w:line="276" w:lineRule="auto"/>
      <w:jc w:val="both"/>
    </w:pPr>
    <w:rPr>
      <w:rFonts w:eastAsia="Calibri"/>
      <w:szCs w:val="20"/>
      <w:lang w:eastAsia="en-GB"/>
    </w:rPr>
  </w:style>
  <w:style w:type="paragraph" w:customStyle="1" w:styleId="Tiret1">
    <w:name w:val="Tiret 1"/>
    <w:basedOn w:val="Normal"/>
    <w:uiPriority w:val="49"/>
    <w:qFormat/>
    <w:pPr>
      <w:numPr>
        <w:numId w:val="11"/>
      </w:numPr>
      <w:spacing w:before="120" w:after="120"/>
      <w:jc w:val="both"/>
    </w:pPr>
    <w:rPr>
      <w:rFonts w:ascii="Times New Roman" w:hAnsi="Times New Roman"/>
      <w:sz w:val="24"/>
      <w:lang w:eastAsia="en-US"/>
    </w:rPr>
  </w:style>
  <w:style w:type="character" w:customStyle="1" w:styleId="DPChar">
    <w:name w:val="DP Char"/>
    <w:link w:val="DP"/>
    <w:locked/>
    <w:rPr>
      <w:rFonts w:ascii="Georgia" w:hAnsi="Georgia"/>
      <w:b/>
      <w:u w:val="single"/>
      <w:lang w:eastAsia="de-DE"/>
    </w:rPr>
  </w:style>
  <w:style w:type="paragraph" w:customStyle="1" w:styleId="DP">
    <w:name w:val="DP"/>
    <w:basedOn w:val="ListParagraph"/>
    <w:link w:val="DPChar"/>
    <w:uiPriority w:val="29"/>
    <w:qFormat/>
    <w:pPr>
      <w:ind w:left="708"/>
      <w:contextualSpacing w:val="0"/>
      <w:jc w:val="both"/>
    </w:pPr>
    <w:rPr>
      <w:b/>
      <w:szCs w:val="20"/>
      <w:u w:val="single"/>
    </w:rPr>
  </w:style>
  <w:style w:type="paragraph" w:customStyle="1" w:styleId="Bullet">
    <w:name w:val="Bullet"/>
    <w:basedOn w:val="Normal"/>
    <w:uiPriority w:val="49"/>
    <w:qFormat/>
    <w:pPr>
      <w:numPr>
        <w:numId w:val="12"/>
      </w:numPr>
      <w:tabs>
        <w:tab w:val="left" w:pos="708"/>
      </w:tabs>
      <w:spacing w:before="120" w:after="120" w:line="276" w:lineRule="auto"/>
      <w:jc w:val="both"/>
    </w:pPr>
    <w:rPr>
      <w:szCs w:val="20"/>
      <w:lang w:eastAsia="en-GB"/>
    </w:rPr>
  </w:style>
  <w:style w:type="character" w:styleId="EndnoteReference">
    <w:name w:val="endnote reference"/>
    <w:uiPriority w:val="99"/>
    <w:semiHidden/>
    <w:unhideWhenUsed/>
    <w:rPr>
      <w:vertAlign w:val="superscript"/>
    </w:rPr>
  </w:style>
  <w:style w:type="character" w:styleId="PlaceholderText">
    <w:name w:val="Placeholder Text"/>
    <w:uiPriority w:val="99"/>
    <w:semiHidden/>
    <w:unhideWhenUsed/>
    <w:rPr>
      <w:color w:val="808080"/>
    </w:rPr>
  </w:style>
  <w:style w:type="character" w:customStyle="1" w:styleId="apple-converted-space">
    <w:name w:val="apple-converted-space"/>
    <w:uiPriority w:val="29"/>
    <w:qFormat/>
  </w:style>
  <w:style w:type="table" w:customStyle="1" w:styleId="TableGrid1">
    <w:name w:val="Table Grid1"/>
    <w:basedOn w:val="TableNormal"/>
    <w:uiPriority w:val="2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style>
  <w:style w:type="paragraph" w:customStyle="1" w:styleId="AutoCorrect">
    <w:name w:val="AutoCorrect"/>
    <w:uiPriority w:val="29"/>
    <w:qFormat/>
    <w:pPr>
      <w:spacing w:after="200" w:line="276" w:lineRule="auto"/>
    </w:pPr>
    <w:rPr>
      <w:rFonts w:ascii="Calibri" w:hAnsi="Calibri"/>
      <w:sz w:val="22"/>
      <w:szCs w:val="22"/>
      <w:lang w:val="en-US" w:eastAsia="en-US"/>
    </w:rPr>
  </w:style>
  <w:style w:type="character" w:styleId="LineNumber">
    <w:name w:val="line number"/>
    <w:basedOn w:val="DefaultParagraphFont"/>
    <w:uiPriority w:val="99"/>
    <w:semiHidden/>
    <w:unhideWhenUsed/>
  </w:style>
  <w:style w:type="paragraph" w:customStyle="1" w:styleId="aStyle">
    <w:name w:val="a) Style"/>
    <w:basedOn w:val="Normal"/>
    <w:uiPriority w:val="49"/>
    <w:qFormat/>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Pr>
      <w:rFonts w:ascii="Georgia" w:hAnsi="Georgia"/>
      <w:szCs w:val="24"/>
      <w:lang w:eastAsia="de-DE"/>
    </w:rPr>
  </w:style>
  <w:style w:type="paragraph" w:customStyle="1" w:styleId="Anwer">
    <w:name w:val="Anwer"/>
    <w:basedOn w:val="Caption"/>
    <w:link w:val="AnwerChar"/>
    <w:uiPriority w:val="29"/>
    <w:qFormat/>
    <w:pPr>
      <w:spacing w:before="120"/>
      <w:jc w:val="both"/>
    </w:pPr>
    <w:rPr>
      <w:color w:val="C0504D"/>
    </w:rPr>
  </w:style>
  <w:style w:type="character" w:customStyle="1" w:styleId="AnwerChar">
    <w:name w:val="Anwer Char"/>
    <w:link w:val="Anwer"/>
    <w:rPr>
      <w:rFonts w:ascii="Georgia" w:hAnsi="Georgia"/>
      <w:b/>
      <w:bCs/>
      <w:color w:val="C0504D"/>
      <w:sz w:val="18"/>
      <w:szCs w:val="18"/>
      <w:lang w:eastAsia="de-DE"/>
    </w:rPr>
  </w:style>
  <w:style w:type="paragraph" w:customStyle="1" w:styleId="MYNORMAL">
    <w:name w:val="MYNORMAL"/>
    <w:basedOn w:val="04aNumeration"/>
    <w:link w:val="MYNORMALChar"/>
    <w:uiPriority w:val="29"/>
    <w:qFormat/>
    <w:pPr>
      <w:tabs>
        <w:tab w:val="clear" w:pos="454"/>
      </w:tabs>
      <w:spacing w:before="120"/>
      <w:ind w:left="0" w:firstLine="0"/>
    </w:pPr>
  </w:style>
  <w:style w:type="character" w:customStyle="1" w:styleId="MYNORMALChar">
    <w:name w:val="MYNORMAL Char"/>
    <w:link w:val="MYNORMAL"/>
    <w:rPr>
      <w:rFonts w:ascii="Georgia" w:hAnsi="Georgia"/>
      <w:szCs w:val="24"/>
      <w:lang w:val="fr-FR" w:eastAsia="de-DE"/>
    </w:rPr>
  </w:style>
  <w:style w:type="paragraph" w:customStyle="1" w:styleId="Normal1">
    <w:name w:val="Normal1"/>
    <w:basedOn w:val="Normal"/>
    <w:uiPriority w:val="29"/>
    <w:qFormat/>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uiPriority w:val="29"/>
    <w:qFormat/>
    <w:rPr>
      <w:rFonts w:ascii="Georgia" w:eastAsia="Times New Roman" w:hAnsi="Georgia" w:cs="Times New Roman"/>
      <w:b/>
      <w:szCs w:val="24"/>
      <w:lang w:eastAsia="de-DE"/>
    </w:rPr>
  </w:style>
  <w:style w:type="character" w:customStyle="1" w:styleId="Heading5Char10">
    <w:name w:val="Heading 5 Char10"/>
    <w:aliases w:val="Questions Char3"/>
    <w:uiPriority w:val="29"/>
    <w:qFormat/>
    <w:rPr>
      <w:rFonts w:ascii="Georgia" w:eastAsia="Times New Roman" w:hAnsi="Georgia" w:cs="Times New Roman"/>
      <w:b/>
      <w:szCs w:val="24"/>
      <w:lang w:eastAsia="de-DE"/>
    </w:rPr>
  </w:style>
  <w:style w:type="character" w:customStyle="1" w:styleId="Heading5Char11">
    <w:name w:val="Heading 5 Char11"/>
    <w:aliases w:val="Questions Char4"/>
    <w:uiPriority w:val="29"/>
    <w:qFormat/>
    <w:rPr>
      <w:rFonts w:ascii="Georgia" w:eastAsia="Times New Roman" w:hAnsi="Georgia" w:cs="Times New Roman"/>
      <w:b/>
      <w:szCs w:val="24"/>
      <w:lang w:eastAsia="de-DE"/>
    </w:rPr>
  </w:style>
  <w:style w:type="character" w:customStyle="1" w:styleId="Heading3Char1">
    <w:name w:val="Heading 3 Char1"/>
    <w:uiPriority w:val="29"/>
    <w:qFormat/>
    <w:rPr>
      <w:rFonts w:ascii="Georgia" w:eastAsia="Times New Roman" w:hAnsi="Georgia" w:cs="Times New Roman"/>
      <w:b/>
      <w:sz w:val="22"/>
      <w:szCs w:val="26"/>
      <w:lang w:eastAsia="de-DE"/>
    </w:rPr>
  </w:style>
  <w:style w:type="character" w:customStyle="1" w:styleId="Heading5Char12">
    <w:name w:val="Heading 5 Char12"/>
    <w:aliases w:val="Questions Char5"/>
    <w:uiPriority w:val="29"/>
    <w:qFormat/>
    <w:rPr>
      <w:rFonts w:ascii="Georgia" w:eastAsia="Times New Roman" w:hAnsi="Georgia" w:cs="Times New Roman"/>
      <w:b/>
      <w:szCs w:val="24"/>
      <w:lang w:eastAsia="de-DE"/>
    </w:rPr>
  </w:style>
  <w:style w:type="character" w:customStyle="1" w:styleId="Heading5Char13">
    <w:name w:val="Heading 5 Char13"/>
    <w:aliases w:val="Questions Char6"/>
    <w:uiPriority w:val="29"/>
    <w:qFormat/>
    <w:rPr>
      <w:rFonts w:ascii="Georgia" w:eastAsia="Times New Roman" w:hAnsi="Georgia" w:cs="Times New Roman"/>
      <w:b/>
      <w:szCs w:val="24"/>
      <w:lang w:eastAsia="de-DE"/>
    </w:rPr>
  </w:style>
  <w:style w:type="character" w:customStyle="1" w:styleId="Strong4">
    <w:name w:val="Strong4"/>
    <w:uiPriority w:val="29"/>
    <w:qFormat/>
    <w:rPr>
      <w:b/>
      <w:bCs/>
    </w:rPr>
  </w:style>
  <w:style w:type="character" w:customStyle="1" w:styleId="Heading5Char14">
    <w:name w:val="Heading 5 Char14"/>
    <w:aliases w:val="Questions Char7"/>
    <w:link w:val="Heading5"/>
    <w:rPr>
      <w:rFonts w:ascii="Georgia" w:hAnsi="Georgia"/>
      <w:b/>
      <w:szCs w:val="24"/>
      <w:lang w:eastAsia="de-DE"/>
    </w:rPr>
  </w:style>
  <w:style w:type="character" w:customStyle="1" w:styleId="Heading3Char2">
    <w:name w:val="Heading 3 Char2"/>
    <w:link w:val="Heading3"/>
    <w:rPr>
      <w:rFonts w:ascii="Cambria" w:eastAsia="Times New Roman" w:hAnsi="Cambria" w:cs="Times New Roman"/>
      <w:b/>
      <w:bCs/>
      <w:color w:val="4F81BD"/>
      <w:sz w:val="22"/>
      <w:szCs w:val="24"/>
      <w:lang w:eastAsia="de-DE"/>
    </w:rPr>
  </w:style>
  <w:style w:type="character" w:customStyle="1" w:styleId="Heading4Char1">
    <w:name w:val="Heading 4 Char1"/>
    <w:link w:val="Heading4"/>
    <w:rPr>
      <w:b/>
      <w:bCs/>
      <w:sz w:val="28"/>
      <w:szCs w:val="28"/>
      <w:lang w:eastAsia="de-DE"/>
    </w:rPr>
  </w:style>
  <w:style w:type="table" w:styleId="LightList-Accent3">
    <w:name w:val="Light List Accent 3"/>
    <w:basedOn w:val="TableNormal"/>
    <w:uiPriority w:val="99"/>
    <w:semiHidden/>
    <w:unhideWhenUsed/>
    <w:rPr>
      <w:rFonts w:ascii="Calibri"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29"/>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29"/>
    <w:qFormat/>
    <w:rPr>
      <w:rFonts w:ascii="Tahoma" w:hAnsi="Tahoma" w:cs="Tahoma"/>
      <w:sz w:val="16"/>
      <w:szCs w:val="16"/>
      <w:lang w:val="en-GB" w:eastAsia="en-GB"/>
    </w:rPr>
  </w:style>
  <w:style w:type="character" w:customStyle="1" w:styleId="31TextobasenotadeprensaCNMVCar">
    <w:name w:val="3.1. Texto base nota de prensa CNMV Car"/>
    <w:uiPriority w:val="29"/>
    <w:qFormat/>
    <w:rPr>
      <w:rFonts w:ascii="Celeste" w:hAnsi="Celeste" w:cs="Times New Roman"/>
      <w:sz w:val="22"/>
      <w:lang w:val="es-ES" w:eastAsia="es-ES" w:bidi="ar-SA"/>
    </w:rPr>
  </w:style>
  <w:style w:type="paragraph" w:customStyle="1" w:styleId="01Title">
    <w:name w:val="01_Title"/>
    <w:basedOn w:val="Normal"/>
    <w:uiPriority w:val="29"/>
    <w:qFormat/>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uiPriority w:val="29"/>
    <w:qFormat/>
    <w:pPr>
      <w:spacing w:after="250" w:line="276" w:lineRule="auto"/>
      <w:ind w:left="397" w:hanging="397"/>
      <w:jc w:val="both"/>
    </w:pPr>
    <w:rPr>
      <w:lang w:val="x-none"/>
    </w:rPr>
  </w:style>
  <w:style w:type="paragraph" w:customStyle="1" w:styleId="04bListing">
    <w:name w:val="04b_Listing"/>
    <w:basedOn w:val="04RunningText"/>
    <w:uiPriority w:val="29"/>
    <w:qFormat/>
    <w:pPr>
      <w:tabs>
        <w:tab w:val="num" w:pos="568"/>
      </w:tabs>
      <w:ind w:left="568" w:hanging="284"/>
    </w:pPr>
  </w:style>
  <w:style w:type="paragraph" w:customStyle="1" w:styleId="04cRunningtextleft">
    <w:name w:val="04c_Running text left"/>
    <w:basedOn w:val="04RunningText"/>
    <w:uiPriority w:val="29"/>
    <w:qFormat/>
    <w:pPr>
      <w:spacing w:after="0"/>
      <w:jc w:val="left"/>
    </w:pPr>
  </w:style>
  <w:style w:type="paragraph" w:customStyle="1" w:styleId="05bHeadline3">
    <w:name w:val="05b_Headline 3"/>
    <w:basedOn w:val="Heading2"/>
    <w:uiPriority w:val="29"/>
    <w:qFormat/>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uiPriority w:val="29"/>
    <w:qFormat/>
    <w:rPr>
      <w:rFonts w:ascii="Courier New" w:hAnsi="Courier New" w:cs="Courier New"/>
    </w:rPr>
  </w:style>
  <w:style w:type="paragraph" w:customStyle="1" w:styleId="TOCHeading1">
    <w:name w:val="TOC Heading1"/>
    <w:basedOn w:val="Heading1"/>
    <w:next w:val="Normal"/>
    <w:uiPriority w:val="29"/>
    <w:unhideWhenUsed/>
    <w:qFormat/>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29"/>
    <w:qFormat/>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uiPriority w:val="29"/>
    <w:qFormat/>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uiPriority w:val="29"/>
    <w:qFormat/>
    <w:pPr>
      <w:spacing w:line="260" w:lineRule="atLeast"/>
      <w:ind w:left="720"/>
      <w:contextualSpacing/>
    </w:pPr>
    <w:rPr>
      <w:rFonts w:ascii="Verdana" w:hAnsi="Verdana"/>
      <w:kern w:val="10"/>
      <w:szCs w:val="20"/>
      <w:lang w:val="de-DE"/>
    </w:rPr>
  </w:style>
  <w:style w:type="paragraph" w:customStyle="1" w:styleId="Listenabsatz2">
    <w:name w:val="Listenabsatz2"/>
    <w:basedOn w:val="Normal"/>
    <w:uiPriority w:val="29"/>
    <w:qFormat/>
    <w:pPr>
      <w:spacing w:line="260" w:lineRule="atLeast"/>
      <w:ind w:left="720"/>
      <w:contextualSpacing/>
    </w:pPr>
    <w:rPr>
      <w:rFonts w:ascii="Verdana" w:hAnsi="Verdana"/>
      <w:kern w:val="10"/>
      <w:szCs w:val="20"/>
      <w:lang w:val="de-DE"/>
    </w:rPr>
  </w:style>
  <w:style w:type="paragraph" w:customStyle="1" w:styleId="Considrant">
    <w:name w:val="Considérant"/>
    <w:basedOn w:val="Normal"/>
    <w:uiPriority w:val="49"/>
    <w:qFormat/>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uiPriority w:val="29"/>
    <w:qFormat/>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uiPriority w:val="29"/>
    <w:qFormat/>
    <w:pPr>
      <w:ind w:left="720"/>
      <w:contextualSpacing/>
    </w:pPr>
    <w:rPr>
      <w:rFonts w:ascii="Cambria" w:hAnsi="Cambria"/>
      <w:sz w:val="24"/>
      <w:lang w:val="en-US" w:eastAsia="en-US"/>
    </w:rPr>
  </w:style>
  <w:style w:type="character" w:customStyle="1" w:styleId="CommentTextChar2">
    <w:name w:val="Comment Text Char2"/>
    <w:uiPriority w:val="29"/>
    <w:qFormat/>
    <w:locked/>
    <w:rPr>
      <w:rFonts w:ascii="Arial" w:hAnsi="Arial" w:cs="Times New Roman"/>
      <w:lang w:val="en-GB" w:eastAsia="en-GB" w:bidi="ar-SA"/>
    </w:rPr>
  </w:style>
  <w:style w:type="character" w:customStyle="1" w:styleId="subparatext">
    <w:name w:val="subparatext"/>
    <w:uiPriority w:val="29"/>
    <w:qFormat/>
    <w:rPr>
      <w:rFonts w:cs="Times New Roman"/>
    </w:rPr>
  </w:style>
  <w:style w:type="paragraph" w:customStyle="1" w:styleId="Normal12Hanging">
    <w:name w:val="Normal12Hanging"/>
    <w:basedOn w:val="Normal"/>
    <w:uiPriority w:val="29"/>
    <w:qFormat/>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uiPriority w:val="29"/>
    <w:qFormat/>
    <w:rPr>
      <w:szCs w:val="20"/>
    </w:rPr>
  </w:style>
  <w:style w:type="paragraph" w:customStyle="1" w:styleId="Sbuchead">
    <w:name w:val="Sbuchead"/>
    <w:basedOn w:val="Normal"/>
    <w:uiPriority w:val="29"/>
    <w:qFormat/>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uiPriority w:val="29"/>
    <w:qFormat/>
    <w:pPr>
      <w:spacing w:before="480" w:after="120"/>
      <w:jc w:val="both"/>
    </w:pPr>
    <w:rPr>
      <w:rFonts w:ascii="Times New Roman" w:hAnsi="Times New Roman"/>
      <w:sz w:val="24"/>
      <w:lang w:eastAsia="en-US"/>
    </w:rPr>
  </w:style>
  <w:style w:type="paragraph" w:customStyle="1" w:styleId="Fait">
    <w:name w:val="Fait à"/>
    <w:basedOn w:val="Normal"/>
    <w:next w:val="Institutionquisigne"/>
    <w:uiPriority w:val="29"/>
    <w:qFormat/>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uiPriority w:val="29"/>
    <w:qFormat/>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uiPriority w:val="29"/>
    <w:qFormat/>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29"/>
    <w:qFormat/>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uiPriority w:val="29"/>
    <w:qFormat/>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uiPriority w:val="29"/>
    <w:qFormat/>
    <w:pPr>
      <w:spacing w:before="360"/>
      <w:jc w:val="center"/>
    </w:pPr>
    <w:rPr>
      <w:rFonts w:ascii="Times New Roman" w:hAnsi="Times New Roman"/>
      <w:b/>
      <w:sz w:val="24"/>
      <w:lang w:eastAsia="en-US"/>
    </w:rPr>
  </w:style>
  <w:style w:type="paragraph" w:customStyle="1" w:styleId="HeaderLandscape">
    <w:name w:val="HeaderLandscape"/>
    <w:basedOn w:val="Normal"/>
    <w:uiPriority w:val="29"/>
    <w:qFormat/>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uiPriority w:val="29"/>
    <w:qFormat/>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uiPriority w:val="29"/>
    <w:qFormat/>
    <w:pPr>
      <w:spacing w:before="120" w:after="120"/>
      <w:ind w:left="850"/>
      <w:jc w:val="both"/>
    </w:pPr>
    <w:rPr>
      <w:rFonts w:ascii="Times New Roman" w:hAnsi="Times New Roman"/>
      <w:sz w:val="24"/>
      <w:lang w:eastAsia="en-US"/>
    </w:rPr>
  </w:style>
  <w:style w:type="paragraph" w:customStyle="1" w:styleId="Text2">
    <w:name w:val="Text 2"/>
    <w:basedOn w:val="Normal"/>
    <w:uiPriority w:val="29"/>
    <w:qFormat/>
    <w:pPr>
      <w:spacing w:before="120" w:after="120"/>
      <w:ind w:left="1417"/>
      <w:jc w:val="both"/>
    </w:pPr>
    <w:rPr>
      <w:rFonts w:ascii="Times New Roman" w:hAnsi="Times New Roman"/>
      <w:sz w:val="24"/>
      <w:lang w:eastAsia="en-US"/>
    </w:rPr>
  </w:style>
  <w:style w:type="paragraph" w:customStyle="1" w:styleId="Text3">
    <w:name w:val="Text 3"/>
    <w:basedOn w:val="Normal"/>
    <w:uiPriority w:val="29"/>
    <w:qFormat/>
    <w:pPr>
      <w:spacing w:before="120" w:after="120"/>
      <w:ind w:left="1984"/>
      <w:jc w:val="both"/>
    </w:pPr>
    <w:rPr>
      <w:rFonts w:ascii="Times New Roman" w:hAnsi="Times New Roman"/>
      <w:sz w:val="24"/>
      <w:lang w:eastAsia="en-US"/>
    </w:rPr>
  </w:style>
  <w:style w:type="paragraph" w:customStyle="1" w:styleId="Text4">
    <w:name w:val="Text 4"/>
    <w:basedOn w:val="Normal"/>
    <w:uiPriority w:val="29"/>
    <w:qFormat/>
    <w:pPr>
      <w:spacing w:before="120" w:after="120"/>
      <w:ind w:left="2551"/>
      <w:jc w:val="both"/>
    </w:pPr>
    <w:rPr>
      <w:rFonts w:ascii="Times New Roman" w:hAnsi="Times New Roman"/>
      <w:sz w:val="24"/>
      <w:lang w:eastAsia="en-US"/>
    </w:rPr>
  </w:style>
  <w:style w:type="paragraph" w:customStyle="1" w:styleId="NormalCentered">
    <w:name w:val="Normal Centered"/>
    <w:basedOn w:val="Normal"/>
    <w:uiPriority w:val="29"/>
    <w:qFormat/>
    <w:pPr>
      <w:spacing w:before="120" w:after="120"/>
      <w:jc w:val="center"/>
    </w:pPr>
    <w:rPr>
      <w:rFonts w:ascii="Times New Roman" w:hAnsi="Times New Roman"/>
      <w:sz w:val="24"/>
      <w:lang w:eastAsia="en-US"/>
    </w:rPr>
  </w:style>
  <w:style w:type="paragraph" w:customStyle="1" w:styleId="NormalLeft">
    <w:name w:val="Normal Left"/>
    <w:basedOn w:val="Normal"/>
    <w:uiPriority w:val="29"/>
    <w:qFormat/>
    <w:pPr>
      <w:spacing w:before="120" w:after="120"/>
    </w:pPr>
    <w:rPr>
      <w:rFonts w:ascii="Times New Roman" w:hAnsi="Times New Roman"/>
      <w:sz w:val="24"/>
      <w:lang w:eastAsia="en-US"/>
    </w:rPr>
  </w:style>
  <w:style w:type="paragraph" w:customStyle="1" w:styleId="NormalRight">
    <w:name w:val="Normal Right"/>
    <w:basedOn w:val="Normal"/>
    <w:uiPriority w:val="29"/>
    <w:qFormat/>
    <w:pPr>
      <w:spacing w:before="120" w:after="120"/>
      <w:jc w:val="right"/>
    </w:pPr>
    <w:rPr>
      <w:rFonts w:ascii="Times New Roman" w:hAnsi="Times New Roman"/>
      <w:sz w:val="24"/>
      <w:lang w:eastAsia="en-US"/>
    </w:rPr>
  </w:style>
  <w:style w:type="paragraph" w:customStyle="1" w:styleId="QuotedText">
    <w:name w:val="Quoted Text"/>
    <w:basedOn w:val="Normal"/>
    <w:uiPriority w:val="29"/>
    <w:qFormat/>
    <w:pPr>
      <w:spacing w:before="120" w:after="120"/>
      <w:ind w:left="1417"/>
      <w:jc w:val="both"/>
    </w:pPr>
    <w:rPr>
      <w:rFonts w:ascii="Times New Roman" w:hAnsi="Times New Roman"/>
      <w:sz w:val="24"/>
      <w:lang w:eastAsia="en-US"/>
    </w:rPr>
  </w:style>
  <w:style w:type="paragraph" w:customStyle="1" w:styleId="Point0">
    <w:name w:val="Point 0"/>
    <w:basedOn w:val="Normal"/>
    <w:uiPriority w:val="29"/>
    <w:qFormat/>
    <w:pPr>
      <w:spacing w:before="120" w:after="120"/>
      <w:ind w:left="850" w:hanging="850"/>
      <w:jc w:val="both"/>
    </w:pPr>
    <w:rPr>
      <w:rFonts w:ascii="Times New Roman" w:hAnsi="Times New Roman"/>
      <w:sz w:val="24"/>
      <w:lang w:eastAsia="en-US"/>
    </w:rPr>
  </w:style>
  <w:style w:type="paragraph" w:customStyle="1" w:styleId="Point1">
    <w:name w:val="Point 1"/>
    <w:basedOn w:val="Normal"/>
    <w:uiPriority w:val="29"/>
    <w:qFormat/>
    <w:pPr>
      <w:spacing w:before="120" w:after="120"/>
      <w:ind w:left="1417" w:hanging="567"/>
      <w:jc w:val="both"/>
    </w:pPr>
    <w:rPr>
      <w:rFonts w:ascii="Times New Roman" w:hAnsi="Times New Roman"/>
      <w:sz w:val="24"/>
      <w:lang w:eastAsia="en-US"/>
    </w:rPr>
  </w:style>
  <w:style w:type="paragraph" w:customStyle="1" w:styleId="Point2">
    <w:name w:val="Point 2"/>
    <w:basedOn w:val="Normal"/>
    <w:uiPriority w:val="29"/>
    <w:qFormat/>
    <w:pPr>
      <w:spacing w:before="120" w:after="120"/>
      <w:ind w:left="1984" w:hanging="567"/>
      <w:jc w:val="both"/>
    </w:pPr>
    <w:rPr>
      <w:rFonts w:ascii="Times New Roman" w:hAnsi="Times New Roman"/>
      <w:sz w:val="24"/>
      <w:lang w:eastAsia="en-US"/>
    </w:rPr>
  </w:style>
  <w:style w:type="paragraph" w:customStyle="1" w:styleId="Point3">
    <w:name w:val="Point 3"/>
    <w:basedOn w:val="Normal"/>
    <w:uiPriority w:val="29"/>
    <w:qFormat/>
    <w:pPr>
      <w:spacing w:before="120" w:after="120"/>
      <w:ind w:left="2551" w:hanging="567"/>
      <w:jc w:val="both"/>
    </w:pPr>
    <w:rPr>
      <w:rFonts w:ascii="Times New Roman" w:hAnsi="Times New Roman"/>
      <w:sz w:val="24"/>
      <w:lang w:eastAsia="en-US"/>
    </w:rPr>
  </w:style>
  <w:style w:type="paragraph" w:customStyle="1" w:styleId="Point4">
    <w:name w:val="Point 4"/>
    <w:basedOn w:val="Normal"/>
    <w:uiPriority w:val="29"/>
    <w:qFormat/>
    <w:pPr>
      <w:spacing w:before="120" w:after="120"/>
      <w:ind w:left="3118" w:hanging="567"/>
      <w:jc w:val="both"/>
    </w:pPr>
    <w:rPr>
      <w:rFonts w:ascii="Times New Roman" w:hAnsi="Times New Roman"/>
      <w:sz w:val="24"/>
      <w:lang w:eastAsia="en-US"/>
    </w:rPr>
  </w:style>
  <w:style w:type="paragraph" w:customStyle="1" w:styleId="Tiret0">
    <w:name w:val="Tiret 0"/>
    <w:basedOn w:val="Point0"/>
    <w:uiPriority w:val="49"/>
    <w:qFormat/>
    <w:pPr>
      <w:numPr>
        <w:numId w:val="19"/>
      </w:numPr>
    </w:pPr>
  </w:style>
  <w:style w:type="paragraph" w:customStyle="1" w:styleId="Tiret2">
    <w:name w:val="Tiret 2"/>
    <w:basedOn w:val="Point2"/>
    <w:uiPriority w:val="29"/>
    <w:qFormat/>
    <w:pPr>
      <w:tabs>
        <w:tab w:val="num" w:pos="1984"/>
      </w:tabs>
    </w:pPr>
  </w:style>
  <w:style w:type="paragraph" w:customStyle="1" w:styleId="Tiret3">
    <w:name w:val="Tiret 3"/>
    <w:basedOn w:val="Point3"/>
    <w:uiPriority w:val="49"/>
    <w:qFormat/>
    <w:pPr>
      <w:numPr>
        <w:numId w:val="20"/>
      </w:numPr>
    </w:pPr>
  </w:style>
  <w:style w:type="paragraph" w:customStyle="1" w:styleId="Tiret4">
    <w:name w:val="Tiret 4"/>
    <w:basedOn w:val="Point4"/>
    <w:uiPriority w:val="49"/>
    <w:qFormat/>
    <w:pPr>
      <w:numPr>
        <w:numId w:val="21"/>
      </w:numPr>
    </w:pPr>
  </w:style>
  <w:style w:type="paragraph" w:customStyle="1" w:styleId="PointDouble0">
    <w:name w:val="PointDouble 0"/>
    <w:basedOn w:val="Normal"/>
    <w:uiPriority w:val="29"/>
    <w:qFormat/>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uiPriority w:val="29"/>
    <w:qFormat/>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uiPriority w:val="29"/>
    <w:qFormat/>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uiPriority w:val="29"/>
    <w:qFormat/>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uiPriority w:val="29"/>
    <w:qFormat/>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uiPriority w:val="29"/>
    <w:qFormat/>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uiPriority w:val="29"/>
    <w:qFormat/>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uiPriority w:val="29"/>
    <w:qFormat/>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uiPriority w:val="29"/>
    <w:qFormat/>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uiPriority w:val="29"/>
    <w:qFormat/>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uiPriority w:val="49"/>
    <w:qFormat/>
    <w:pPr>
      <w:numPr>
        <w:numId w:val="22"/>
      </w:numPr>
      <w:spacing w:before="120" w:after="120"/>
      <w:jc w:val="both"/>
    </w:pPr>
    <w:rPr>
      <w:rFonts w:ascii="Times New Roman" w:hAnsi="Times New Roman"/>
      <w:sz w:val="24"/>
      <w:lang w:eastAsia="en-US"/>
    </w:rPr>
  </w:style>
  <w:style w:type="paragraph" w:customStyle="1" w:styleId="NumPar2">
    <w:name w:val="NumPar 2"/>
    <w:basedOn w:val="Normal"/>
    <w:next w:val="Text1"/>
    <w:uiPriority w:val="49"/>
    <w:qFormat/>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l"/>
    <w:next w:val="Text1"/>
    <w:uiPriority w:val="49"/>
    <w:qFormat/>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l"/>
    <w:next w:val="Text1"/>
    <w:uiPriority w:val="49"/>
    <w:qFormat/>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l"/>
    <w:next w:val="Text1"/>
    <w:uiPriority w:val="29"/>
    <w:qFormat/>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uiPriority w:val="29"/>
    <w:qFormat/>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uiPriority w:val="29"/>
    <w:qFormat/>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uiPriority w:val="29"/>
    <w:qFormat/>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uiPriority w:val="29"/>
    <w:qFormat/>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uiPriority w:val="29"/>
    <w:qFormat/>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uiPriority w:val="29"/>
    <w:qFormat/>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uiPriority w:val="29"/>
    <w:qFormat/>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uiPriority w:val="29"/>
    <w:qFormat/>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uiPriority w:val="29"/>
    <w:qFormat/>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uiPriority w:val="29"/>
    <w:qFormat/>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uiPriority w:val="29"/>
    <w:qFormat/>
    <w:pPr>
      <w:spacing w:before="120" w:after="120"/>
      <w:jc w:val="center"/>
    </w:pPr>
    <w:rPr>
      <w:rFonts w:ascii="Times New Roman" w:hAnsi="Times New Roman"/>
      <w:b/>
      <w:sz w:val="24"/>
      <w:lang w:eastAsia="en-US"/>
    </w:rPr>
  </w:style>
  <w:style w:type="character" w:customStyle="1" w:styleId="Marker">
    <w:name w:val="Marker"/>
    <w:uiPriority w:val="29"/>
    <w:qFormat/>
    <w:rPr>
      <w:color w:val="0000FF"/>
      <w:shd w:val="clear" w:color="auto" w:fill="auto"/>
    </w:rPr>
  </w:style>
  <w:style w:type="character" w:customStyle="1" w:styleId="Marker1">
    <w:name w:val="Marker1"/>
    <w:uiPriority w:val="29"/>
    <w:qFormat/>
    <w:rPr>
      <w:color w:val="008000"/>
      <w:shd w:val="clear" w:color="auto" w:fill="auto"/>
    </w:rPr>
  </w:style>
  <w:style w:type="character" w:customStyle="1" w:styleId="Marker2">
    <w:name w:val="Marker2"/>
    <w:uiPriority w:val="29"/>
    <w:qFormat/>
    <w:rPr>
      <w:color w:val="FF0000"/>
      <w:shd w:val="clear" w:color="auto" w:fill="auto"/>
    </w:rPr>
  </w:style>
  <w:style w:type="paragraph" w:customStyle="1" w:styleId="Point0number">
    <w:name w:val="Point 0 (number)"/>
    <w:basedOn w:val="Normal"/>
    <w:uiPriority w:val="49"/>
    <w:qFormat/>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l"/>
    <w:uiPriority w:val="49"/>
    <w:qFormat/>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l"/>
    <w:uiPriority w:val="49"/>
    <w:qFormat/>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l"/>
    <w:uiPriority w:val="49"/>
    <w:qFormat/>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l"/>
    <w:uiPriority w:val="49"/>
    <w:qFormat/>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l"/>
    <w:uiPriority w:val="49"/>
    <w:qFormat/>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l"/>
    <w:uiPriority w:val="49"/>
    <w:qFormat/>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l"/>
    <w:uiPriority w:val="49"/>
    <w:qFormat/>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l"/>
    <w:uiPriority w:val="49"/>
    <w:qFormat/>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l"/>
    <w:uiPriority w:val="49"/>
    <w:qFormat/>
    <w:pPr>
      <w:numPr>
        <w:numId w:val="23"/>
      </w:numPr>
      <w:spacing w:before="120" w:after="120"/>
      <w:jc w:val="both"/>
    </w:pPr>
    <w:rPr>
      <w:rFonts w:ascii="Times New Roman" w:hAnsi="Times New Roman"/>
      <w:sz w:val="24"/>
      <w:lang w:eastAsia="en-US"/>
    </w:rPr>
  </w:style>
  <w:style w:type="paragraph" w:customStyle="1" w:styleId="Bullet1">
    <w:name w:val="Bullet 1"/>
    <w:basedOn w:val="Normal"/>
    <w:uiPriority w:val="49"/>
    <w:qFormat/>
    <w:pPr>
      <w:numPr>
        <w:numId w:val="24"/>
      </w:numPr>
      <w:spacing w:before="120" w:after="120"/>
      <w:jc w:val="both"/>
    </w:pPr>
    <w:rPr>
      <w:rFonts w:ascii="Times New Roman" w:hAnsi="Times New Roman"/>
      <w:sz w:val="24"/>
      <w:lang w:eastAsia="en-US"/>
    </w:rPr>
  </w:style>
  <w:style w:type="paragraph" w:customStyle="1" w:styleId="Bullet2">
    <w:name w:val="Bullet 2"/>
    <w:basedOn w:val="Normal"/>
    <w:uiPriority w:val="49"/>
    <w:qFormat/>
    <w:pPr>
      <w:numPr>
        <w:numId w:val="25"/>
      </w:numPr>
      <w:spacing w:before="120" w:after="120"/>
      <w:jc w:val="both"/>
    </w:pPr>
    <w:rPr>
      <w:rFonts w:ascii="Times New Roman" w:hAnsi="Times New Roman"/>
      <w:sz w:val="24"/>
      <w:lang w:eastAsia="en-US"/>
    </w:rPr>
  </w:style>
  <w:style w:type="paragraph" w:customStyle="1" w:styleId="Bullet3">
    <w:name w:val="Bullet 3"/>
    <w:basedOn w:val="Normal"/>
    <w:uiPriority w:val="49"/>
    <w:qFormat/>
    <w:pPr>
      <w:numPr>
        <w:numId w:val="26"/>
      </w:numPr>
      <w:spacing w:before="120" w:after="120"/>
      <w:jc w:val="both"/>
    </w:pPr>
    <w:rPr>
      <w:rFonts w:ascii="Times New Roman" w:hAnsi="Times New Roman"/>
      <w:sz w:val="24"/>
      <w:lang w:eastAsia="en-US"/>
    </w:rPr>
  </w:style>
  <w:style w:type="paragraph" w:customStyle="1" w:styleId="Bullet4">
    <w:name w:val="Bullet 4"/>
    <w:basedOn w:val="Normal"/>
    <w:uiPriority w:val="49"/>
    <w:qFormat/>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uiPriority w:val="29"/>
    <w:qFormat/>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uiPriority w:val="29"/>
    <w:qFormat/>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uiPriority w:val="29"/>
    <w:qFormat/>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uiPriority w:val="29"/>
    <w:qFormat/>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uiPriority w:val="29"/>
    <w:qFormat/>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uiPriority w:val="29"/>
    <w:qFormat/>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uiPriority w:val="29"/>
    <w:qFormat/>
    <w:pPr>
      <w:spacing w:after="240"/>
    </w:pPr>
    <w:rPr>
      <w:rFonts w:ascii="Times New Roman" w:hAnsi="Times New Roman"/>
      <w:sz w:val="24"/>
      <w:lang w:eastAsia="en-US"/>
    </w:rPr>
  </w:style>
  <w:style w:type="paragraph" w:customStyle="1" w:styleId="Datedadoption">
    <w:name w:val="Date d'adoption"/>
    <w:basedOn w:val="Normal"/>
    <w:next w:val="Titreobjet"/>
    <w:uiPriority w:val="29"/>
    <w:qFormat/>
    <w:pPr>
      <w:spacing w:before="360"/>
      <w:jc w:val="center"/>
    </w:pPr>
    <w:rPr>
      <w:rFonts w:ascii="Times New Roman" w:hAnsi="Times New Roman"/>
      <w:b/>
      <w:sz w:val="24"/>
      <w:lang w:eastAsia="en-US"/>
    </w:rPr>
  </w:style>
  <w:style w:type="paragraph" w:customStyle="1" w:styleId="Emission">
    <w:name w:val="Emission"/>
    <w:basedOn w:val="Normal"/>
    <w:next w:val="Rfrenceinstitutionnelle"/>
    <w:uiPriority w:val="29"/>
    <w:qFormat/>
    <w:pPr>
      <w:ind w:left="5103"/>
    </w:pPr>
    <w:rPr>
      <w:rFonts w:ascii="Times New Roman" w:hAnsi="Times New Roman"/>
      <w:sz w:val="24"/>
      <w:lang w:eastAsia="en-US"/>
    </w:rPr>
  </w:style>
  <w:style w:type="paragraph" w:customStyle="1" w:styleId="Exposdesmotifstitre">
    <w:name w:val="Exposé des motifs titre"/>
    <w:basedOn w:val="Normal"/>
    <w:next w:val="Normal"/>
    <w:uiPriority w:val="29"/>
    <w:qFormat/>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uiPriority w:val="29"/>
    <w:qFormat/>
    <w:pPr>
      <w:keepNext/>
      <w:spacing w:before="600" w:after="120"/>
      <w:jc w:val="both"/>
    </w:pPr>
    <w:rPr>
      <w:rFonts w:ascii="Times New Roman" w:hAnsi="Times New Roman"/>
      <w:sz w:val="24"/>
      <w:lang w:eastAsia="en-US"/>
    </w:rPr>
  </w:style>
  <w:style w:type="paragraph" w:customStyle="1" w:styleId="Langue">
    <w:name w:val="Langue"/>
    <w:basedOn w:val="Normal"/>
    <w:next w:val="Rfrenceinterne"/>
    <w:uiPriority w:val="29"/>
    <w:qFormat/>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uiPriority w:val="29"/>
    <w:qFormat/>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uiPriority w:val="29"/>
    <w:qFormat/>
    <w:rPr>
      <w:rFonts w:ascii="Arial" w:hAnsi="Arial" w:cs="Arial"/>
      <w:sz w:val="24"/>
      <w:lang w:eastAsia="en-US"/>
    </w:rPr>
  </w:style>
  <w:style w:type="paragraph" w:customStyle="1" w:styleId="Rfrenceinstitutionnelle">
    <w:name w:val="Référence institutionnelle"/>
    <w:basedOn w:val="Normal"/>
    <w:next w:val="Confidentialit"/>
    <w:uiPriority w:val="29"/>
    <w:qFormat/>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uiPriority w:val="29"/>
    <w:qFormat/>
    <w:pPr>
      <w:ind w:left="5103"/>
    </w:pPr>
    <w:rPr>
      <w:rFonts w:ascii="Times New Roman" w:hAnsi="Times New Roman"/>
      <w:sz w:val="24"/>
      <w:lang w:eastAsia="en-US"/>
    </w:rPr>
  </w:style>
  <w:style w:type="paragraph" w:customStyle="1" w:styleId="Rfrenceinterne">
    <w:name w:val="Référence interne"/>
    <w:basedOn w:val="Normal"/>
    <w:next w:val="Rfrenceinterinstitutionnelle"/>
    <w:uiPriority w:val="29"/>
    <w:qFormat/>
    <w:pPr>
      <w:ind w:left="5103"/>
    </w:pPr>
    <w:rPr>
      <w:rFonts w:ascii="Times New Roman" w:hAnsi="Times New Roman"/>
      <w:sz w:val="24"/>
      <w:lang w:eastAsia="en-US"/>
    </w:rPr>
  </w:style>
  <w:style w:type="paragraph" w:customStyle="1" w:styleId="Sous-titreobjet">
    <w:name w:val="Sous-titre objet"/>
    <w:basedOn w:val="Normal"/>
    <w:uiPriority w:val="29"/>
    <w:qFormat/>
    <w:pPr>
      <w:jc w:val="center"/>
    </w:pPr>
    <w:rPr>
      <w:rFonts w:ascii="Times New Roman" w:hAnsi="Times New Roman"/>
      <w:b/>
      <w:sz w:val="24"/>
      <w:lang w:eastAsia="en-US"/>
    </w:rPr>
  </w:style>
  <w:style w:type="paragraph" w:customStyle="1" w:styleId="Statut">
    <w:name w:val="Statut"/>
    <w:basedOn w:val="Normal"/>
    <w:next w:val="Typedudocument"/>
    <w:uiPriority w:val="29"/>
    <w:qFormat/>
    <w:pPr>
      <w:spacing w:before="360"/>
      <w:jc w:val="center"/>
    </w:pPr>
    <w:rPr>
      <w:rFonts w:ascii="Times New Roman" w:hAnsi="Times New Roman"/>
      <w:sz w:val="24"/>
      <w:lang w:eastAsia="en-US"/>
    </w:rPr>
  </w:style>
  <w:style w:type="character" w:customStyle="1" w:styleId="Added">
    <w:name w:val="Added"/>
    <w:uiPriority w:val="29"/>
    <w:qFormat/>
    <w:rPr>
      <w:b/>
      <w:u w:val="single"/>
      <w:shd w:val="clear" w:color="auto" w:fill="auto"/>
    </w:rPr>
  </w:style>
  <w:style w:type="character" w:customStyle="1" w:styleId="Deleted">
    <w:name w:val="Deleted"/>
    <w:uiPriority w:val="29"/>
    <w:qFormat/>
    <w:rPr>
      <w:strike/>
      <w:shd w:val="clear" w:color="auto" w:fill="auto"/>
    </w:rPr>
  </w:style>
  <w:style w:type="paragraph" w:customStyle="1" w:styleId="Address">
    <w:name w:val="Address"/>
    <w:basedOn w:val="Normal"/>
    <w:next w:val="Normal"/>
    <w:uiPriority w:val="29"/>
    <w:qFormat/>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uiPriority w:val="29"/>
    <w:qFormat/>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uiPriority w:val="29"/>
    <w:qFormat/>
    <w:pPr>
      <w:spacing w:before="120" w:after="120"/>
      <w:jc w:val="both"/>
    </w:pPr>
    <w:rPr>
      <w:rFonts w:ascii="Times New Roman" w:hAnsi="Times New Roman"/>
      <w:sz w:val="24"/>
      <w:lang w:eastAsia="en-US"/>
    </w:rPr>
  </w:style>
  <w:style w:type="paragraph" w:customStyle="1" w:styleId="Supertitre">
    <w:name w:val="Supertitre"/>
    <w:basedOn w:val="Normal"/>
    <w:next w:val="Normal"/>
    <w:uiPriority w:val="29"/>
    <w:qFormat/>
    <w:pPr>
      <w:spacing w:after="600"/>
      <w:jc w:val="center"/>
    </w:pPr>
    <w:rPr>
      <w:rFonts w:ascii="Times New Roman" w:hAnsi="Times New Roman"/>
      <w:b/>
      <w:sz w:val="24"/>
      <w:lang w:eastAsia="en-US"/>
    </w:rPr>
  </w:style>
  <w:style w:type="paragraph" w:customStyle="1" w:styleId="Languesfaisantfoi">
    <w:name w:val="Langues faisant foi"/>
    <w:basedOn w:val="Normal"/>
    <w:next w:val="Normal"/>
    <w:uiPriority w:val="29"/>
    <w:qFormat/>
    <w:pPr>
      <w:spacing w:before="360"/>
      <w:jc w:val="center"/>
    </w:pPr>
    <w:rPr>
      <w:rFonts w:ascii="Times New Roman" w:hAnsi="Times New Roman"/>
      <w:sz w:val="24"/>
      <w:lang w:eastAsia="en-US"/>
    </w:rPr>
  </w:style>
  <w:style w:type="paragraph" w:customStyle="1" w:styleId="Rfrencecroise">
    <w:name w:val="Référence croisée"/>
    <w:basedOn w:val="Normal"/>
    <w:uiPriority w:val="29"/>
    <w:qFormat/>
    <w:pPr>
      <w:jc w:val="center"/>
    </w:pPr>
    <w:rPr>
      <w:rFonts w:ascii="Times New Roman" w:hAnsi="Times New Roman"/>
      <w:sz w:val="24"/>
      <w:lang w:eastAsia="en-US"/>
    </w:rPr>
  </w:style>
  <w:style w:type="paragraph" w:customStyle="1" w:styleId="Fichefinanciretitre">
    <w:name w:val="Fiche financière titre"/>
    <w:basedOn w:val="Normal"/>
    <w:next w:val="Normal"/>
    <w:uiPriority w:val="29"/>
    <w:qFormat/>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uiPriority w:val="29"/>
    <w:qFormat/>
  </w:style>
  <w:style w:type="paragraph" w:customStyle="1" w:styleId="RfrenceinterinstitutionnellePagedecouverture">
    <w:name w:val="Référence interinstitutionnelle (Page de couverture)"/>
    <w:basedOn w:val="Rfrenceinterinstitutionnelle"/>
    <w:next w:val="Confidentialit"/>
    <w:uiPriority w:val="29"/>
    <w:qFormat/>
  </w:style>
  <w:style w:type="paragraph" w:customStyle="1" w:styleId="Sous-titreobjetPagedecouverture">
    <w:name w:val="Sous-titre objet (Page de couverture)"/>
    <w:basedOn w:val="Sous-titreobjet"/>
    <w:uiPriority w:val="29"/>
    <w:qFormat/>
  </w:style>
  <w:style w:type="paragraph" w:customStyle="1" w:styleId="StatutPagedecouverture">
    <w:name w:val="Statut (Page de couverture)"/>
    <w:basedOn w:val="Statut"/>
    <w:next w:val="TypedudocumentPagedecouverture"/>
    <w:uiPriority w:val="29"/>
    <w:qFormat/>
  </w:style>
  <w:style w:type="paragraph" w:customStyle="1" w:styleId="TitreobjetPagedecouverture">
    <w:name w:val="Titre objet (Page de couverture)"/>
    <w:basedOn w:val="Titreobjet"/>
    <w:next w:val="Sous-titreobjetPagedecouverture"/>
    <w:uiPriority w:val="29"/>
    <w:qFormat/>
  </w:style>
  <w:style w:type="paragraph" w:customStyle="1" w:styleId="TypedudocumentPagedecouverture">
    <w:name w:val="Type du document (Page de couverture)"/>
    <w:basedOn w:val="Typedudocument"/>
    <w:next w:val="TitreobjetPagedecouverture"/>
    <w:uiPriority w:val="29"/>
    <w:qFormat/>
  </w:style>
  <w:style w:type="paragraph" w:customStyle="1" w:styleId="Volume">
    <w:name w:val="Volume"/>
    <w:basedOn w:val="Normal"/>
    <w:next w:val="Confidentialit"/>
    <w:uiPriority w:val="29"/>
    <w:qFormat/>
    <w:pPr>
      <w:spacing w:after="240"/>
      <w:ind w:left="5103"/>
    </w:pPr>
    <w:rPr>
      <w:rFonts w:ascii="Times New Roman" w:hAnsi="Times New Roman"/>
      <w:sz w:val="24"/>
      <w:lang w:eastAsia="en-US"/>
    </w:rPr>
  </w:style>
  <w:style w:type="paragraph" w:customStyle="1" w:styleId="IntrtEEE">
    <w:name w:val="Intérêt EEE"/>
    <w:basedOn w:val="Languesfaisantfoi"/>
    <w:next w:val="Normal"/>
    <w:uiPriority w:val="29"/>
    <w:qFormat/>
    <w:pPr>
      <w:spacing w:after="240"/>
    </w:pPr>
  </w:style>
  <w:style w:type="paragraph" w:customStyle="1" w:styleId="Accompagnant">
    <w:name w:val="Accompagnant"/>
    <w:basedOn w:val="Normal"/>
    <w:next w:val="Typeacteprincipal"/>
    <w:uiPriority w:val="29"/>
    <w:qFormat/>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uiPriority w:val="29"/>
    <w:qFormat/>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uiPriority w:val="29"/>
    <w:qFormat/>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uiPriority w:val="29"/>
    <w:qFormat/>
  </w:style>
  <w:style w:type="paragraph" w:customStyle="1" w:styleId="AccompagnantPagedecouverture">
    <w:name w:val="Accompagnant (Page de couverture)"/>
    <w:basedOn w:val="Accompagnant"/>
    <w:next w:val="TypeacteprincipalPagedecouverture"/>
    <w:uiPriority w:val="29"/>
    <w:qFormat/>
  </w:style>
  <w:style w:type="paragraph" w:customStyle="1" w:styleId="TypeacteprincipalPagedecouverture">
    <w:name w:val="Type acte principal (Page de couverture)"/>
    <w:basedOn w:val="Typeacteprincipal"/>
    <w:next w:val="ObjetacteprincipalPagedecouverture"/>
    <w:uiPriority w:val="29"/>
    <w:qFormat/>
  </w:style>
  <w:style w:type="paragraph" w:customStyle="1" w:styleId="ObjetacteprincipalPagedecouverture">
    <w:name w:val="Objet acte principal (Page de couverture)"/>
    <w:basedOn w:val="Objetacteprincipal"/>
    <w:next w:val="Rfrencecroise"/>
    <w:uiPriority w:val="29"/>
    <w:qFormat/>
  </w:style>
  <w:style w:type="paragraph" w:customStyle="1" w:styleId="LanguesfaisantfoiPagedecouverture">
    <w:name w:val="Langues faisant foi (Page de couverture)"/>
    <w:basedOn w:val="Normal"/>
    <w:next w:val="Normal"/>
    <w:uiPriority w:val="29"/>
    <w:qFormat/>
    <w:pPr>
      <w:spacing w:before="360"/>
      <w:jc w:val="center"/>
    </w:pPr>
    <w:rPr>
      <w:rFonts w:ascii="Times New Roman" w:hAnsi="Times New Roman"/>
      <w:sz w:val="24"/>
      <w:lang w:eastAsia="en-US"/>
    </w:rPr>
  </w:style>
  <w:style w:type="paragraph" w:styleId="ListNumber2">
    <w:name w:val="List Number 2"/>
    <w:basedOn w:val="Normal"/>
    <w:uiPriority w:val="99"/>
    <w:semiHidden/>
    <w:unhideWhenUsed/>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uiPriority w:val="99"/>
    <w:semiHidden/>
    <w:unhideWhenUsed/>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uiPriority w:val="99"/>
    <w:semiHidden/>
    <w:unhideWhenUsed/>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uiPriority w:val="99"/>
    <w:semiHidden/>
    <w:unhideWhenUsed/>
    <w:pPr>
      <w:numPr>
        <w:numId w:val="15"/>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uiPriority w:val="99"/>
    <w:semiHidden/>
    <w:unhideWhenUsed/>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uiPriority w:val="99"/>
    <w:semiHidden/>
    <w:unhideWhenUsed/>
    <w:pPr>
      <w:numPr>
        <w:numId w:val="17"/>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uiPriority w:val="99"/>
    <w:semiHidden/>
    <w:unhideWhenUsed/>
    <w:pPr>
      <w:numPr>
        <w:numId w:val="18"/>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uiPriority w:val="99"/>
    <w:semiHidden/>
    <w:unhideWhenUsed/>
    <w:pPr>
      <w:spacing w:before="120" w:after="120"/>
      <w:jc w:val="both"/>
    </w:pPr>
    <w:rPr>
      <w:rFonts w:ascii="Times New Roman" w:hAnsi="Times New Roman"/>
      <w:sz w:val="24"/>
      <w:lang w:eastAsia="en-US"/>
    </w:rPr>
  </w:style>
  <w:style w:type="character" w:customStyle="1" w:styleId="CommentTextChar3">
    <w:name w:val="Comment Text Char3"/>
    <w:uiPriority w:val="29"/>
    <w:qFormat/>
    <w:locked/>
    <w:rPr>
      <w:rFonts w:ascii="Arial" w:hAnsi="Arial" w:cs="Times New Roman"/>
      <w:lang w:val="en-GB" w:eastAsia="en-GB" w:bidi="ar-SA"/>
    </w:rPr>
  </w:style>
  <w:style w:type="paragraph" w:customStyle="1" w:styleId="Paragrafoelenco3">
    <w:name w:val="Paragrafo elenco3"/>
    <w:basedOn w:val="Normal"/>
    <w:uiPriority w:val="29"/>
    <w:qFormat/>
    <w:pPr>
      <w:ind w:left="720"/>
      <w:contextualSpacing/>
    </w:pPr>
    <w:rPr>
      <w:rFonts w:ascii="Cambria" w:hAnsi="Cambria"/>
      <w:sz w:val="24"/>
      <w:lang w:val="en-US" w:eastAsia="en-US"/>
    </w:rPr>
  </w:style>
  <w:style w:type="paragraph" w:customStyle="1" w:styleId="Listeavsnitt1">
    <w:name w:val="Listeavsnitt1"/>
    <w:basedOn w:val="Normal"/>
    <w:uiPriority w:val="29"/>
    <w:qFormat/>
    <w:pPr>
      <w:spacing w:line="252" w:lineRule="auto"/>
      <w:ind w:left="720"/>
      <w:contextualSpacing/>
    </w:pPr>
    <w:rPr>
      <w:rFonts w:ascii="Times New Roman" w:hAnsi="Times New Roman"/>
      <w:sz w:val="24"/>
      <w:lang w:val="nb-NO" w:eastAsia="en-US"/>
    </w:rPr>
  </w:style>
  <w:style w:type="character" w:customStyle="1" w:styleId="PlainTextChar1">
    <w:name w:val="Plain Text Char1"/>
    <w:uiPriority w:val="29"/>
    <w:qFormat/>
    <w:rPr>
      <w:rFonts w:ascii="Consolas" w:hAnsi="Consolas" w:cs="Consolas"/>
      <w:sz w:val="21"/>
      <w:szCs w:val="21"/>
      <w:lang w:eastAsia="de-DE"/>
    </w:rPr>
  </w:style>
  <w:style w:type="character" w:customStyle="1" w:styleId="CharChar1">
    <w:name w:val="Char Char1"/>
    <w:uiPriority w:val="29"/>
    <w:qFormat/>
    <w:locked/>
    <w:rPr>
      <w:rFonts w:ascii="Arial" w:hAnsi="Arial"/>
      <w:lang w:val="en-GB" w:eastAsia="en-GB" w:bidi="ar-SA"/>
    </w:rPr>
  </w:style>
  <w:style w:type="character" w:customStyle="1" w:styleId="CharChar">
    <w:name w:val="Char Char"/>
    <w:uiPriority w:val="29"/>
    <w:qFormat/>
    <w:locked/>
    <w:rPr>
      <w:rFonts w:ascii="Arial" w:hAnsi="Arial"/>
      <w:lang w:val="en-GB" w:eastAsia="en-GB" w:bidi="ar-SA"/>
    </w:rPr>
  </w:style>
  <w:style w:type="character" w:customStyle="1" w:styleId="CharChar2">
    <w:name w:val="Char Char2"/>
    <w:uiPriority w:val="29"/>
    <w:qFormat/>
    <w:locked/>
    <w:rPr>
      <w:rFonts w:ascii="Arial" w:hAnsi="Arial"/>
      <w:lang w:val="en-GB" w:eastAsia="en-GB" w:bidi="ar-SA"/>
    </w:rPr>
  </w:style>
  <w:style w:type="character" w:customStyle="1" w:styleId="CharChar4">
    <w:name w:val="Char Char4"/>
    <w:uiPriority w:val="29"/>
    <w:qFormat/>
    <w:locked/>
    <w:rPr>
      <w:rFonts w:ascii="Arial" w:hAnsi="Arial" w:cs="Times New Roman"/>
      <w:lang w:val="en-GB" w:eastAsia="en-GB" w:bidi="ar-SA"/>
    </w:rPr>
  </w:style>
  <w:style w:type="numbering" w:customStyle="1" w:styleId="Formatvorlage1">
    <w:name w:val="Formatvorlage1"/>
    <w:uiPriority w:val="99"/>
    <w:pPr>
      <w:numPr>
        <w:numId w:val="28"/>
      </w:numPr>
    </w:pPr>
  </w:style>
  <w:style w:type="character" w:customStyle="1" w:styleId="DeltaViewDeletion">
    <w:name w:val="DeltaView Deletion"/>
    <w:uiPriority w:val="29"/>
    <w:qFormat/>
    <w:rPr>
      <w:b/>
      <w:strike/>
      <w:color w:val="FFFFFF"/>
      <w:spacing w:val="0"/>
    </w:rPr>
  </w:style>
  <w:style w:type="paragraph" w:customStyle="1" w:styleId="Listenabsatz3">
    <w:name w:val="Listenabsatz3"/>
    <w:basedOn w:val="Normal"/>
    <w:uiPriority w:val="29"/>
    <w:qFormat/>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29"/>
    <w:qFormat/>
    <w:pPr>
      <w:ind w:left="720"/>
      <w:contextualSpacing/>
    </w:pPr>
    <w:rPr>
      <w:rFonts w:ascii="Cambria" w:hAnsi="Cambria"/>
      <w:sz w:val="24"/>
      <w:lang w:val="en-US" w:eastAsia="en-US"/>
    </w:rPr>
  </w:style>
  <w:style w:type="paragraph" w:customStyle="1" w:styleId="ListParagraph2">
    <w:name w:val="List Paragraph2"/>
    <w:basedOn w:val="Normal"/>
    <w:uiPriority w:val="29"/>
    <w:qFormat/>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uiPriority w:val="29"/>
    <w:qFormat/>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Pr>
      <w:sz w:val="24"/>
      <w:szCs w:val="24"/>
      <w:lang w:eastAsia="en-US"/>
    </w:rPr>
  </w:style>
  <w:style w:type="paragraph" w:customStyle="1" w:styleId="CODParagraphes">
    <w:name w:val="COD Paragraphes"/>
    <w:basedOn w:val="Normal"/>
    <w:uiPriority w:val="29"/>
    <w:qFormat/>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Pr>
      <w:i/>
      <w:sz w:val="24"/>
      <w:szCs w:val="24"/>
      <w:lang w:val="x-none" w:eastAsia="x-none"/>
    </w:rPr>
  </w:style>
  <w:style w:type="paragraph" w:customStyle="1" w:styleId="CODArticle12">
    <w:name w:val="COD Article + 12"/>
    <w:basedOn w:val="Normal"/>
    <w:uiPriority w:val="29"/>
    <w:qFormat/>
    <w:pPr>
      <w:spacing w:after="240"/>
      <w:jc w:val="center"/>
    </w:pPr>
    <w:rPr>
      <w:rFonts w:ascii="Times New Roman" w:hAnsi="Times New Roman"/>
      <w:sz w:val="24"/>
      <w:szCs w:val="20"/>
      <w:lang w:val="fr-FR" w:eastAsia="en-GB"/>
    </w:rPr>
  </w:style>
  <w:style w:type="paragraph" w:customStyle="1" w:styleId="TableContents">
    <w:name w:val="Table Contents"/>
    <w:basedOn w:val="Normal"/>
    <w:uiPriority w:val="29"/>
    <w:qFormat/>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29"/>
    <w:qFormat/>
    <w:pPr>
      <w:ind w:left="720"/>
      <w:contextualSpacing/>
    </w:pPr>
    <w:rPr>
      <w:rFonts w:ascii="Times New Roman" w:hAnsi="Times New Roman"/>
      <w:sz w:val="24"/>
      <w:lang w:eastAsia="en-GB"/>
    </w:rPr>
  </w:style>
  <w:style w:type="paragraph" w:customStyle="1" w:styleId="Listenabsatz4">
    <w:name w:val="Listenabsatz4"/>
    <w:basedOn w:val="Normal"/>
    <w:uiPriority w:val="29"/>
    <w:qFormat/>
    <w:pPr>
      <w:ind w:left="720"/>
      <w:contextualSpacing/>
    </w:pPr>
    <w:rPr>
      <w:rFonts w:ascii="Times New Roman" w:hAnsi="Times New Roman"/>
      <w:sz w:val="24"/>
      <w:lang w:eastAsia="en-GB"/>
    </w:rPr>
  </w:style>
  <w:style w:type="character" w:customStyle="1" w:styleId="04BodyTextChar">
    <w:name w:val="04_Body Text Char"/>
    <w:link w:val="04BodyText"/>
    <w:rPr>
      <w:rFonts w:ascii="Georgia" w:hAnsi="Georgia"/>
      <w:szCs w:val="24"/>
      <w:lang w:eastAsia="de-DE"/>
    </w:rPr>
  </w:style>
  <w:style w:type="paragraph" w:customStyle="1" w:styleId="05dHeadline1line">
    <w:name w:val="05d_Headline 1 line"/>
    <w:basedOn w:val="05cHeadline1"/>
    <w:next w:val="04fBodytextline"/>
    <w:uiPriority w:val="29"/>
    <w:qFormat/>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uiPriority w:val="29"/>
    <w:qFormat/>
    <w:pPr>
      <w:pBdr>
        <w:bottom w:val="single" w:sz="4" w:space="12" w:color="000000"/>
      </w:pBdr>
      <w:tabs>
        <w:tab w:val="left" w:pos="454"/>
      </w:tabs>
    </w:pPr>
    <w:rPr>
      <w:color w:val="000000"/>
      <w:lang w:val="x-none"/>
    </w:rPr>
  </w:style>
  <w:style w:type="paragraph" w:customStyle="1" w:styleId="Annex">
    <w:name w:val="Annex"/>
    <w:basedOn w:val="04aNumeration"/>
    <w:link w:val="AnnexChar"/>
    <w:uiPriority w:val="29"/>
    <w:qFormat/>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Pr>
      <w:rFonts w:ascii="Georgia" w:hAnsi="Georgia"/>
      <w:szCs w:val="24"/>
      <w:lang w:val="x-none" w:eastAsia="de-DE"/>
    </w:rPr>
  </w:style>
  <w:style w:type="character" w:customStyle="1" w:styleId="AnnexChar">
    <w:name w:val="Annex Char"/>
    <w:link w:val="Annex"/>
    <w:rPr>
      <w:rFonts w:ascii="Georgia" w:hAnsi="Georgia"/>
      <w:b/>
      <w:color w:val="000000"/>
      <w:szCs w:val="24"/>
      <w:lang w:val="x-none" w:eastAsia="de-DE"/>
    </w:rPr>
  </w:style>
  <w:style w:type="paragraph" w:customStyle="1" w:styleId="CM1">
    <w:name w:val="CM1"/>
    <w:basedOn w:val="Default"/>
    <w:next w:val="Default"/>
    <w:uiPriority w:val="29"/>
    <w:qFormat/>
    <w:rPr>
      <w:rFonts w:ascii="EUAlbertina" w:hAnsi="EUAlbertina" w:cs="Times New Roman"/>
      <w:color w:val="auto"/>
      <w:lang w:val="de-DE" w:eastAsia="de-DE"/>
    </w:rPr>
  </w:style>
  <w:style w:type="paragraph" w:customStyle="1" w:styleId="aStyle1">
    <w:name w:val="a. Style1"/>
    <w:basedOn w:val="Normal"/>
    <w:link w:val="aStyle1Char"/>
    <w:uiPriority w:val="49"/>
    <w:qFormat/>
    <w:pPr>
      <w:numPr>
        <w:numId w:val="30"/>
      </w:numPr>
      <w:suppressAutoHyphens/>
      <w:spacing w:after="250" w:line="276" w:lineRule="auto"/>
      <w:jc w:val="both"/>
    </w:pPr>
    <w:rPr>
      <w:szCs w:val="20"/>
      <w:lang w:val="x-none" w:eastAsia="x-none"/>
    </w:rPr>
  </w:style>
  <w:style w:type="character" w:customStyle="1" w:styleId="aStyle1Char">
    <w:name w:val="a. Style1 Char"/>
    <w:link w:val="aStyle1"/>
    <w:rPr>
      <w:rFonts w:ascii="Georgia" w:hAnsi="Georgia"/>
      <w:lang w:val="x-none" w:eastAsia="x-none"/>
    </w:rPr>
  </w:style>
  <w:style w:type="paragraph" w:styleId="Title">
    <w:name w:val="Title"/>
    <w:basedOn w:val="Normal"/>
    <w:next w:val="Normal"/>
    <w:link w:val="TitleChar"/>
    <w:uiPriority w:val="99"/>
    <w:semiHidden/>
    <w:unhideWhenUsed/>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Pr>
      <w:rFonts w:ascii="Cambria" w:hAnsi="Cambria"/>
      <w:b/>
      <w:kern w:val="28"/>
      <w:sz w:val="32"/>
      <w:lang w:val="fr-FR" w:eastAsia="fr-FR"/>
    </w:rPr>
  </w:style>
  <w:style w:type="paragraph" w:customStyle="1" w:styleId="32LadilloosubtitulonotadeprensaCNMV">
    <w:name w:val="3.2. Ladillo o subtitulo nota de prensa CNMV"/>
    <w:basedOn w:val="Normal"/>
    <w:uiPriority w:val="29"/>
    <w:qFormat/>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Pr>
      <w:rFonts w:ascii="Georgia" w:hAnsi="Georgia"/>
      <w:sz w:val="22"/>
      <w:szCs w:val="24"/>
      <w:lang w:eastAsia="de-DE"/>
    </w:rPr>
  </w:style>
  <w:style w:type="table" w:customStyle="1" w:styleId="TableGrid2">
    <w:name w:val="Table Grid2"/>
    <w:basedOn w:val="TableNormal"/>
    <w:next w:val="TableGrid"/>
    <w:uiPriority w:val="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aliases w:val="Question"/>
    <w:uiPriority w:val="99"/>
    <w:semiHidden/>
    <w:unhideWhenUsed/>
    <w:rPr>
      <w:b/>
      <w:i w:val="0"/>
      <w:iCs/>
      <w:sz w:val="20"/>
    </w:rPr>
  </w:style>
  <w:style w:type="paragraph" w:customStyle="1" w:styleId="NEW-Paragraph-Level1">
    <w:name w:val="NEW-Paragraph-Level1"/>
    <w:basedOn w:val="Normal"/>
    <w:uiPriority w:val="29"/>
    <w:qFormat/>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uiPriority w:val="49"/>
    <w:qFormat/>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uiPriority w:val="49"/>
    <w:qFormat/>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Pr>
      <w:rFonts w:ascii="Georgia" w:hAnsi="Georgia"/>
      <w:lang w:eastAsia="de-DE"/>
    </w:rPr>
  </w:style>
  <w:style w:type="character" w:customStyle="1" w:styleId="NEW-Paragraph-level3Char">
    <w:name w:val="NEW-Paragraph-level3 Char"/>
    <w:link w:val="NEW-Paragraph-level3"/>
    <w:rPr>
      <w:rFonts w:ascii="Georgia" w:hAnsi="Georgia"/>
      <w:lang w:eastAsia="de-DE"/>
    </w:rPr>
  </w:style>
  <w:style w:type="paragraph" w:customStyle="1" w:styleId="NEW-Level0">
    <w:name w:val="NEW-Level0"/>
    <w:basedOn w:val="Normal"/>
    <w:uiPriority w:val="49"/>
    <w:qFormat/>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l"/>
    <w:uiPriority w:val="49"/>
    <w:qFormat/>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uiPriority w:val="29"/>
    <w:qFormat/>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Pr>
      <w:rFonts w:ascii="Georgia" w:hAnsi="Georgia" w:cs="Georgia"/>
      <w:b/>
      <w:bCs/>
      <w:color w:val="000000"/>
      <w:u w:val="single"/>
    </w:rPr>
  </w:style>
  <w:style w:type="paragraph" w:customStyle="1" w:styleId="aNEW-Level0">
    <w:name w:val="aNEW-Level0"/>
    <w:basedOn w:val="NEW-Level0"/>
    <w:link w:val="aNEW-Level0Char"/>
    <w:uiPriority w:val="49"/>
    <w:qFormat/>
    <w:pPr>
      <w:spacing w:before="120" w:after="120"/>
      <w:ind w:left="425" w:hanging="425"/>
    </w:pPr>
  </w:style>
  <w:style w:type="paragraph" w:customStyle="1" w:styleId="aNEW-Level1">
    <w:name w:val="aNEW-Level1"/>
    <w:basedOn w:val="NEW-Level1"/>
    <w:link w:val="aNEW-Level1Char"/>
    <w:uiPriority w:val="49"/>
    <w:qFormat/>
    <w:pPr>
      <w:spacing w:before="120" w:after="120"/>
      <w:ind w:left="431" w:hanging="431"/>
    </w:pPr>
  </w:style>
  <w:style w:type="character" w:customStyle="1" w:styleId="aNEW-Level0Char">
    <w:name w:val="aNEW-Level0 Char"/>
    <w:link w:val="aNEW-Level0"/>
    <w:rPr>
      <w:rFonts w:ascii="Georgia" w:hAnsi="Georgia" w:cs="Arial"/>
      <w:b/>
      <w:bCs/>
      <w:kern w:val="32"/>
      <w:sz w:val="28"/>
      <w:szCs w:val="28"/>
      <w:lang w:eastAsia="de-DE"/>
    </w:rPr>
  </w:style>
  <w:style w:type="character" w:customStyle="1" w:styleId="aNEW-Level1Char">
    <w:name w:val="aNEW-Level1 Char"/>
    <w:link w:val="aNEW-Level1"/>
    <w:rPr>
      <w:rFonts w:ascii="Georgia" w:hAnsi="Georgia" w:cs="Arial"/>
      <w:b/>
      <w:bCs/>
      <w:kern w:val="32"/>
      <w:sz w:val="24"/>
      <w:szCs w:val="32"/>
      <w:lang w:eastAsia="de-DE"/>
    </w:rPr>
  </w:style>
  <w:style w:type="paragraph" w:customStyle="1" w:styleId="aNEW-Level2">
    <w:name w:val="aNEW-Level2"/>
    <w:basedOn w:val="NEW-Level2"/>
    <w:link w:val="aNEW-Level2Char"/>
    <w:uiPriority w:val="29"/>
    <w:qFormat/>
  </w:style>
  <w:style w:type="paragraph" w:customStyle="1" w:styleId="aNEW-Level4">
    <w:name w:val="aNEW-Level4"/>
    <w:basedOn w:val="Normal"/>
    <w:link w:val="aNEW-Level4Char"/>
    <w:uiPriority w:val="29"/>
    <w:qFormat/>
    <w:pPr>
      <w:tabs>
        <w:tab w:val="left" w:pos="720"/>
      </w:tabs>
      <w:spacing w:after="250" w:line="276" w:lineRule="auto"/>
      <w:jc w:val="both"/>
    </w:pPr>
    <w:rPr>
      <w:i/>
      <w:szCs w:val="20"/>
    </w:rPr>
  </w:style>
  <w:style w:type="character" w:customStyle="1" w:styleId="aNEW-Level2Char">
    <w:name w:val="aNEW-Level2 Char"/>
    <w:link w:val="aNEW-Level2"/>
    <w:rPr>
      <w:rFonts w:ascii="Georgia" w:hAnsi="Georgia" w:cs="Georgia"/>
      <w:b/>
      <w:bCs/>
      <w:color w:val="000000"/>
      <w:u w:val="single"/>
    </w:rPr>
  </w:style>
  <w:style w:type="paragraph" w:customStyle="1" w:styleId="aNEW-Questions">
    <w:name w:val="aNEW-Questions"/>
    <w:basedOn w:val="Normal"/>
    <w:link w:val="aNEW-QuestionsChar"/>
    <w:uiPriority w:val="49"/>
    <w:qFormat/>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Pr>
      <w:rFonts w:ascii="Georgia" w:hAnsi="Georgia"/>
      <w:i/>
      <w:lang w:eastAsia="de-DE"/>
    </w:rPr>
  </w:style>
  <w:style w:type="paragraph" w:customStyle="1" w:styleId="aNEW-Paragraph">
    <w:name w:val="aNEW-Paragraph"/>
    <w:basedOn w:val="NEW-Paragraph-Level1"/>
    <w:link w:val="aNEW-ParagraphChar"/>
    <w:uiPriority w:val="49"/>
    <w:qFormat/>
    <w:pPr>
      <w:numPr>
        <w:numId w:val="2"/>
      </w:numPr>
      <w:tabs>
        <w:tab w:val="clear" w:pos="851"/>
        <w:tab w:val="num" w:pos="426"/>
      </w:tabs>
      <w:ind w:left="426" w:hanging="426"/>
    </w:pPr>
    <w:rPr>
      <w:rFonts w:eastAsia="Calibri"/>
    </w:rPr>
  </w:style>
  <w:style w:type="character" w:customStyle="1" w:styleId="aNEW-QuestionsChar">
    <w:name w:val="aNEW-Questions Char"/>
    <w:link w:val="aNEW-Questions"/>
    <w:rPr>
      <w:rFonts w:ascii="Georgia" w:eastAsia="Calibri" w:hAnsi="Georgia"/>
      <w:b/>
      <w:bCs/>
      <w:kern w:val="28"/>
      <w:szCs w:val="32"/>
      <w:lang w:eastAsia="en-US"/>
    </w:rPr>
  </w:style>
  <w:style w:type="character" w:customStyle="1" w:styleId="aNEW-ParagraphChar">
    <w:name w:val="aNEW-Paragraph Char"/>
    <w:link w:val="aNEW-Paragraph"/>
    <w:rPr>
      <w:rFonts w:ascii="Georgia" w:eastAsia="Calibri" w:hAnsi="Georgia"/>
      <w:lang w:eastAsia="de-DE"/>
    </w:rPr>
  </w:style>
  <w:style w:type="paragraph" w:customStyle="1" w:styleId="aNew-Level33">
    <w:name w:val="aNew-Level33"/>
    <w:basedOn w:val="Normal"/>
    <w:link w:val="aNew-Level33Char"/>
    <w:uiPriority w:val="29"/>
    <w:qFormat/>
    <w:pPr>
      <w:spacing w:after="250" w:line="276" w:lineRule="auto"/>
      <w:ind w:left="426" w:hanging="426"/>
      <w:jc w:val="both"/>
    </w:pPr>
    <w:rPr>
      <w:b/>
    </w:rPr>
  </w:style>
  <w:style w:type="paragraph" w:customStyle="1" w:styleId="aNew-BoxTitle">
    <w:name w:val="aNew-BoxTitle"/>
    <w:basedOn w:val="04aNumbering"/>
    <w:link w:val="aNew-BoxTitleChar"/>
    <w:uiPriority w:val="29"/>
    <w:qFormat/>
    <w:pPr>
      <w:shd w:val="clear" w:color="auto" w:fill="D9D9D9"/>
      <w:tabs>
        <w:tab w:val="clear" w:pos="851"/>
        <w:tab w:val="left" w:pos="720"/>
      </w:tabs>
      <w:ind w:left="284"/>
    </w:pPr>
    <w:rPr>
      <w:b/>
    </w:rPr>
  </w:style>
  <w:style w:type="character" w:customStyle="1" w:styleId="aNew-Level33Char">
    <w:name w:val="aNew-Level33 Char"/>
    <w:link w:val="aNew-Level33"/>
    <w:rPr>
      <w:rFonts w:ascii="Georgia" w:hAnsi="Georgia"/>
      <w:b/>
      <w:szCs w:val="24"/>
      <w:lang w:eastAsia="de-DE"/>
    </w:rPr>
  </w:style>
  <w:style w:type="character" w:customStyle="1" w:styleId="aNew-BoxTitleChar">
    <w:name w:val="aNew-BoxTitle Char"/>
    <w:link w:val="aNew-BoxTitle"/>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uiPriority w:val="49"/>
    <w:qFormat/>
    <w:pPr>
      <w:ind w:left="851" w:hanging="425"/>
    </w:pPr>
  </w:style>
  <w:style w:type="paragraph" w:customStyle="1" w:styleId="aNEW-Paragraph-level3">
    <w:name w:val="aNEW-Paragraph-level3"/>
    <w:basedOn w:val="NEW-Paragraph-level3"/>
    <w:link w:val="aNEW-Paragraph-level3Char"/>
    <w:uiPriority w:val="49"/>
    <w:qFormat/>
    <w:pPr>
      <w:ind w:left="1276" w:hanging="426"/>
    </w:pPr>
  </w:style>
  <w:style w:type="character" w:customStyle="1" w:styleId="aNEW-Paragraph-level2Char">
    <w:name w:val="aNEW-Paragraph-level2 Char"/>
    <w:link w:val="aNEW-Paragraph-level2"/>
    <w:rPr>
      <w:rFonts w:ascii="Georgia" w:hAnsi="Georgia"/>
      <w:lang w:eastAsia="de-DE"/>
    </w:rPr>
  </w:style>
  <w:style w:type="character" w:customStyle="1" w:styleId="aNEW-Paragraph-level3Char">
    <w:name w:val="aNEW-Paragraph-level3 Char"/>
    <w:link w:val="aNEW-Paragraph-level3"/>
    <w:rPr>
      <w:rFonts w:ascii="Georgia" w:hAnsi="Georgia"/>
      <w:lang w:eastAsia="de-DE"/>
    </w:rPr>
  </w:style>
  <w:style w:type="paragraph" w:customStyle="1" w:styleId="aNew-Level5">
    <w:name w:val="aNew-Level5"/>
    <w:basedOn w:val="Normal"/>
    <w:link w:val="aNew-Level5Char"/>
    <w:uiPriority w:val="29"/>
    <w:qFormat/>
    <w:pPr>
      <w:tabs>
        <w:tab w:val="left" w:pos="720"/>
      </w:tabs>
      <w:spacing w:after="250" w:line="276" w:lineRule="auto"/>
      <w:jc w:val="both"/>
    </w:pPr>
    <w:rPr>
      <w:i/>
      <w:szCs w:val="20"/>
      <w:u w:val="single"/>
    </w:rPr>
  </w:style>
  <w:style w:type="character" w:customStyle="1" w:styleId="aNew-Level5Char">
    <w:name w:val="aNew-Level5 Char"/>
    <w:link w:val="aNew-Level5"/>
    <w:rPr>
      <w:rFonts w:ascii="Georgia" w:hAnsi="Georgia"/>
      <w:i/>
      <w:u w:val="single"/>
      <w:lang w:eastAsia="de-DE"/>
    </w:rPr>
  </w:style>
  <w:style w:type="paragraph" w:customStyle="1" w:styleId="BodyText0">
    <w:name w:val="#BodyText"/>
    <w:basedOn w:val="Normal"/>
    <w:qFormat/>
    <w:pPr>
      <w:spacing w:after="240"/>
      <w:jc w:val="both"/>
    </w:pPr>
    <w:rPr>
      <w:rFonts w:ascii="Arial" w:hAnsi="Arial"/>
      <w:szCs w:val="20"/>
      <w:lang w:eastAsia="en-CA"/>
    </w:rPr>
  </w:style>
  <w:style w:type="paragraph" w:styleId="Bibliography">
    <w:name w:val="Bibliography"/>
    <w:basedOn w:val="Normal"/>
    <w:next w:val="Normal"/>
    <w:uiPriority w:val="99"/>
    <w:semiHidden/>
    <w:unhideWhenUsed/>
  </w:style>
  <w:style w:type="paragraph" w:styleId="BlockText">
    <w:name w:val="Block Text"/>
    <w:basedOn w:val="Normal"/>
    <w:uiPriority w:val="99"/>
    <w:semiHidden/>
    <w:unhideWhenUsed/>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rPr>
      <w:rFonts w:ascii="Georgia" w:hAnsi="Georgia"/>
      <w:szCs w:val="24"/>
      <w:lang w:eastAsia="de-DE"/>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rPr>
      <w:rFonts w:ascii="Georgia" w:hAnsi="Georgia"/>
      <w:sz w:val="16"/>
      <w:szCs w:val="16"/>
      <w:lang w:eastAsia="de-DE"/>
    </w:rPr>
  </w:style>
  <w:style w:type="paragraph" w:styleId="BodyTextFirstIndent">
    <w:name w:val="Body Text First Indent"/>
    <w:basedOn w:val="BodyText"/>
    <w:link w:val="BodyTextFirstIndentChar"/>
    <w:uiPriority w:val="99"/>
    <w:semiHidden/>
    <w:unhideWhenUsed/>
    <w:pPr>
      <w:numPr>
        <w:numId w:val="0"/>
      </w:numPr>
      <w:spacing w:after="0"/>
      <w:ind w:firstLine="360"/>
      <w:jc w:val="left"/>
    </w:pPr>
    <w:rPr>
      <w:rFonts w:ascii="Georgia" w:hAnsi="Georgia"/>
      <w:sz w:val="20"/>
      <w:szCs w:val="24"/>
      <w:lang w:eastAsia="de-DE"/>
    </w:rPr>
  </w:style>
  <w:style w:type="character" w:customStyle="1" w:styleId="BodyTextFirstIndentChar">
    <w:name w:val="Body Text First Indent Char"/>
    <w:basedOn w:val="BodyTextChar"/>
    <w:link w:val="BodyTextFirstIndent"/>
    <w:rPr>
      <w:rFonts w:ascii="Georgia" w:hAnsi="Georgia"/>
      <w:sz w:val="24"/>
      <w:szCs w:val="24"/>
      <w:lang w:eastAsia="de-DE"/>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rPr>
      <w:rFonts w:ascii="Georgia" w:hAnsi="Georgia"/>
      <w:szCs w:val="24"/>
      <w:lang w:eastAsia="de-DE"/>
    </w:rPr>
  </w:style>
  <w:style w:type="paragraph" w:styleId="BodyTextFirstIndent2">
    <w:name w:val="Body Text First Indent 2"/>
    <w:basedOn w:val="BodyTextIndent"/>
    <w:link w:val="BodyTextFirstIndent2Char"/>
    <w:uiPriority w:val="99"/>
    <w:semiHidden/>
    <w:unhideWhenUsed/>
    <w:pPr>
      <w:spacing w:after="0"/>
      <w:ind w:left="360" w:firstLine="360"/>
    </w:pPr>
  </w:style>
  <w:style w:type="character" w:customStyle="1" w:styleId="BodyTextFirstIndent2Char">
    <w:name w:val="Body Text First Indent 2 Char"/>
    <w:basedOn w:val="BodyTextIndentChar"/>
    <w:link w:val="BodyTextFirstIndent2"/>
    <w:rPr>
      <w:rFonts w:ascii="Georgia" w:hAnsi="Georgia"/>
      <w:szCs w:val="24"/>
      <w:lang w:eastAsia="de-DE"/>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
    <w:rPr>
      <w:rFonts w:ascii="Georgia" w:hAnsi="Georgia"/>
      <w:szCs w:val="24"/>
      <w:lang w:eastAsia="de-DE"/>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
    <w:rPr>
      <w:rFonts w:ascii="Georgia" w:hAnsi="Georgia"/>
      <w:sz w:val="16"/>
      <w:szCs w:val="16"/>
      <w:lang w:eastAsia="de-DE"/>
    </w:rPr>
  </w:style>
  <w:style w:type="character" w:styleId="BookTitle">
    <w:name w:val="Book Title"/>
    <w:basedOn w:val="DefaultParagraphFont"/>
    <w:uiPriority w:val="99"/>
    <w:semiHidden/>
    <w:unhideWhenUsed/>
    <w:rPr>
      <w:b/>
      <w:bCs/>
      <w:smallCaps/>
      <w:spacing w:val="5"/>
    </w:rPr>
  </w:style>
  <w:style w:type="paragraph" w:styleId="Closing">
    <w:name w:val="Closing"/>
    <w:basedOn w:val="Normal"/>
    <w:link w:val="ClosingChar"/>
    <w:uiPriority w:val="29"/>
    <w:unhideWhenUsed/>
    <w:qFormat/>
    <w:pPr>
      <w:ind w:left="4252"/>
    </w:pPr>
  </w:style>
  <w:style w:type="character" w:customStyle="1" w:styleId="ClosingChar">
    <w:name w:val="Closing Char"/>
    <w:basedOn w:val="DefaultParagraphFont"/>
    <w:link w:val="Closing"/>
    <w:rPr>
      <w:rFonts w:ascii="Georgia" w:hAnsi="Georgia"/>
      <w:szCs w:val="24"/>
      <w:lang w:eastAsia="de-DE"/>
    </w:rPr>
  </w:style>
  <w:style w:type="table" w:styleId="ColorfulGrid">
    <w:name w:val="Colorful Grid"/>
    <w:basedOn w:val="TableNormal"/>
    <w:uiPriority w:val="99"/>
    <w:semiHidden/>
    <w:unhideWhenUse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semiHidden/>
    <w:unhideWhenUse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semiHidden/>
    <w:unhideWhenUse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semiHidden/>
    <w:unhideWhenUse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semiHidden/>
    <w:unhideWhenUse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semiHidden/>
    <w:unhideWhenUse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semiHidden/>
    <w:unhideWhenUsed/>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semiHidden/>
    <w:unhideWhenUsed/>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semiHidden/>
    <w:unhideWhenUsed/>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semiHidden/>
    <w:unhideWhenUsed/>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semiHidden/>
    <w:unhideWhenUsed/>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semiHidden/>
    <w:unhideWhenUsed/>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semiHidden/>
    <w:unhideWhenUsed/>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semiHidden/>
    <w:unhideWhenUsed/>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99"/>
    <w:semiHidden/>
    <w:unhideWhenUse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semiHidden/>
    <w:unhideWhenUse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semiHidden/>
    <w:unhideWhenUse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semiHidden/>
    <w:unhideWhenUse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semiHidden/>
    <w:unhideWhenUse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semiHidden/>
    <w:unhideWhenUse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29"/>
    <w:unhideWhenUsed/>
    <w:qFormat/>
  </w:style>
  <w:style w:type="character" w:customStyle="1" w:styleId="DateChar">
    <w:name w:val="Date Char"/>
    <w:basedOn w:val="DefaultParagraphFont"/>
    <w:link w:val="Date"/>
    <w:rPr>
      <w:rFonts w:ascii="Georgia" w:hAnsi="Georgia"/>
      <w:szCs w:val="24"/>
      <w:lang w:eastAsia="de-DE"/>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basedOn w:val="DefaultParagraphFont"/>
    <w:link w:val="E-mailSignature"/>
    <w:rPr>
      <w:rFonts w:ascii="Georgia" w:hAnsi="Georgia"/>
      <w:szCs w:val="24"/>
      <w:lang w:eastAsia="de-DE"/>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Pr>
      <w:rFonts w:asciiTheme="majorHAnsi" w:eastAsiaTheme="majorEastAsia" w:hAnsiTheme="majorHAnsi" w:cstheme="majorBidi"/>
      <w:szCs w:val="20"/>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basedOn w:val="DefaultParagraphFont"/>
    <w:link w:val="HTMLAddress"/>
    <w:rPr>
      <w:rFonts w:ascii="Georgia" w:hAnsi="Georgia"/>
      <w:i/>
      <w:iCs/>
      <w:szCs w:val="24"/>
      <w:lang w:eastAsia="de-DE"/>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rPr>
      <w:rFonts w:ascii="Consolas" w:hAnsi="Consolas" w:cs="Consolas"/>
      <w:szCs w:val="20"/>
    </w:rPr>
  </w:style>
  <w:style w:type="character" w:customStyle="1" w:styleId="HTMLPreformattedChar">
    <w:name w:val="HTML Preformatted Char"/>
    <w:basedOn w:val="DefaultParagraphFont"/>
    <w:link w:val="HTMLPreformatted"/>
    <w:rPr>
      <w:rFonts w:ascii="Consolas" w:hAnsi="Consolas" w:cs="Consolas"/>
      <w:lang w:eastAsia="de-DE"/>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paragraph" w:styleId="Index1">
    <w:name w:val="index 1"/>
    <w:basedOn w:val="Normal"/>
    <w:next w:val="Normal"/>
    <w:autoRedefine/>
    <w:uiPriority w:val="99"/>
    <w:semiHidden/>
    <w:unhideWhenUsed/>
    <w:pPr>
      <w:ind w:left="200" w:hanging="200"/>
    </w:pPr>
  </w:style>
  <w:style w:type="paragraph" w:styleId="Index2">
    <w:name w:val="index 2"/>
    <w:basedOn w:val="Normal"/>
    <w:next w:val="Normal"/>
    <w:autoRedefine/>
    <w:uiPriority w:val="99"/>
    <w:semiHidden/>
    <w:unhideWhenUsed/>
    <w:pPr>
      <w:ind w:left="400" w:hanging="200"/>
    </w:pPr>
  </w:style>
  <w:style w:type="paragraph" w:styleId="Index3">
    <w:name w:val="index 3"/>
    <w:basedOn w:val="Normal"/>
    <w:next w:val="Normal"/>
    <w:autoRedefine/>
    <w:uiPriority w:val="99"/>
    <w:semiHidden/>
    <w:unhideWhenUsed/>
    <w:pPr>
      <w:ind w:left="600" w:hanging="200"/>
    </w:pPr>
  </w:style>
  <w:style w:type="paragraph" w:styleId="Index4">
    <w:name w:val="index 4"/>
    <w:basedOn w:val="Normal"/>
    <w:next w:val="Normal"/>
    <w:autoRedefine/>
    <w:uiPriority w:val="99"/>
    <w:semiHidden/>
    <w:unhideWhenUsed/>
    <w:pPr>
      <w:ind w:left="800" w:hanging="200"/>
    </w:pPr>
  </w:style>
  <w:style w:type="paragraph" w:styleId="Index5">
    <w:name w:val="index 5"/>
    <w:basedOn w:val="Normal"/>
    <w:next w:val="Normal"/>
    <w:autoRedefine/>
    <w:uiPriority w:val="99"/>
    <w:semiHidden/>
    <w:unhideWhenUsed/>
    <w:pPr>
      <w:ind w:left="1000" w:hanging="200"/>
    </w:pPr>
  </w:style>
  <w:style w:type="paragraph" w:styleId="Index6">
    <w:name w:val="index 6"/>
    <w:basedOn w:val="Normal"/>
    <w:next w:val="Normal"/>
    <w:autoRedefine/>
    <w:uiPriority w:val="99"/>
    <w:semiHidden/>
    <w:unhideWhenUsed/>
    <w:pPr>
      <w:ind w:left="1200" w:hanging="200"/>
    </w:pPr>
  </w:style>
  <w:style w:type="paragraph" w:styleId="Index7">
    <w:name w:val="index 7"/>
    <w:basedOn w:val="Normal"/>
    <w:next w:val="Normal"/>
    <w:autoRedefine/>
    <w:uiPriority w:val="99"/>
    <w:semiHidden/>
    <w:unhideWhenUsed/>
    <w:pPr>
      <w:ind w:left="1400" w:hanging="200"/>
    </w:pPr>
  </w:style>
  <w:style w:type="paragraph" w:styleId="Index8">
    <w:name w:val="index 8"/>
    <w:basedOn w:val="Normal"/>
    <w:next w:val="Normal"/>
    <w:autoRedefine/>
    <w:uiPriority w:val="99"/>
    <w:semiHidden/>
    <w:unhideWhenUsed/>
    <w:pPr>
      <w:ind w:left="1600" w:hanging="200"/>
    </w:pPr>
  </w:style>
  <w:style w:type="paragraph" w:styleId="Index9">
    <w:name w:val="index 9"/>
    <w:basedOn w:val="Normal"/>
    <w:next w:val="Normal"/>
    <w:autoRedefine/>
    <w:uiPriority w:val="99"/>
    <w:semiHidden/>
    <w:unhideWhenUsed/>
    <w:pPr>
      <w:ind w:left="1800" w:hanging="20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99"/>
    <w:semiHidden/>
    <w:unhideWhenUsed/>
    <w:rPr>
      <w:b/>
      <w:bCs/>
      <w:i/>
      <w:iCs/>
      <w:color w:val="4F81BD" w:themeColor="accent1"/>
    </w:rPr>
  </w:style>
  <w:style w:type="paragraph" w:styleId="IntenseQuote">
    <w:name w:val="Intense Quote"/>
    <w:basedOn w:val="Normal"/>
    <w:next w:val="Normal"/>
    <w:link w:val="IntenseQuoteChar"/>
    <w:uiPriority w:val="99"/>
    <w:semiHidden/>
    <w:unhideWhenUse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rFonts w:ascii="Georgia" w:hAnsi="Georgia"/>
      <w:b/>
      <w:bCs/>
      <w:i/>
      <w:iCs/>
      <w:color w:val="4F81BD" w:themeColor="accent1"/>
      <w:szCs w:val="24"/>
      <w:lang w:eastAsia="de-DE"/>
    </w:rPr>
  </w:style>
  <w:style w:type="character" w:styleId="IntenseReference">
    <w:name w:val="Intense Reference"/>
    <w:basedOn w:val="DefaultParagraphFont"/>
    <w:uiPriority w:val="99"/>
    <w:semiHidden/>
    <w:unhideWhenUsed/>
    <w:rPr>
      <w:b/>
      <w:bCs/>
      <w:smallCaps/>
      <w:color w:val="C0504D" w:themeColor="accent2"/>
      <w:spacing w:val="5"/>
      <w:u w:val="single"/>
    </w:rPr>
  </w:style>
  <w:style w:type="table" w:styleId="LightGrid">
    <w:name w:val="Light Grid"/>
    <w:basedOn w:val="TableNormal"/>
    <w:uiPriority w:val="99"/>
    <w:semiHidden/>
    <w:unhideWhenUsed/>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semiHidden/>
    <w:unhideWhenUsed/>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semiHidden/>
    <w:unhideWhenUsed/>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semiHidden/>
    <w:unhideWhenUsed/>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semiHidden/>
    <w:unhideWhenUsed/>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semiHidden/>
    <w:unhideWhenUsed/>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semiHidden/>
    <w:unhideWhenUsed/>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4">
    <w:name w:val="Light List Accent 4"/>
    <w:basedOn w:val="TableNormal"/>
    <w:uiPriority w:val="99"/>
    <w:semiHidden/>
    <w:unhideWhenUsed/>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semiHidden/>
    <w:unhideWhenUsed/>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semiHidden/>
    <w:unhideWhenUsed/>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semiHidden/>
    <w:unhideWhenUsed/>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semiHidden/>
    <w:unhideWhenUsed/>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semiHidden/>
    <w:unhideWhenUsed/>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semiHidden/>
    <w:unhideWhenUsed/>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semiHidden/>
    <w:unhideWhenUsed/>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5">
    <w:name w:val="List Bullet 5"/>
    <w:basedOn w:val="Normal"/>
    <w:uiPriority w:val="99"/>
    <w:semiHidden/>
    <w:unhideWhenUsed/>
    <w:pPr>
      <w:numPr>
        <w:numId w:val="43"/>
      </w:numPr>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5">
    <w:name w:val="List Number 5"/>
    <w:basedOn w:val="Normal"/>
    <w:uiPriority w:val="99"/>
    <w:semiHidden/>
    <w:unhideWhenUsed/>
    <w:pPr>
      <w:numPr>
        <w:numId w:val="44"/>
      </w:numPr>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de-DE"/>
    </w:rPr>
  </w:style>
  <w:style w:type="character" w:customStyle="1" w:styleId="MacroTextChar">
    <w:name w:val="Macro Text Char"/>
    <w:basedOn w:val="DefaultParagraphFont"/>
    <w:link w:val="MacroText"/>
    <w:rPr>
      <w:rFonts w:ascii="Consolas" w:hAnsi="Consolas" w:cs="Consolas"/>
      <w:lang w:eastAsia="de-DE"/>
    </w:rPr>
  </w:style>
  <w:style w:type="table" w:styleId="MediumGrid1">
    <w:name w:val="Medium Grid 1"/>
    <w:basedOn w:val="TableNormal"/>
    <w:uiPriority w:val="99"/>
    <w:semiHidden/>
    <w:unhideWhenUsed/>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semiHidden/>
    <w:unhideWhenUsed/>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semiHidden/>
    <w:unhideWhenUsed/>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semiHidden/>
    <w:unhideWhenUsed/>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semiHidden/>
    <w:unhideWhenUsed/>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semiHidden/>
    <w:unhideWhenUsed/>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semiHidden/>
    <w:unhideWhenUse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semiHidden/>
    <w:unhideWhenUse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semiHidden/>
    <w:unhideWhenUse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semiHidden/>
    <w:unhideWhenUse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semiHidden/>
    <w:unhideWhenUse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semiHidden/>
    <w:unhideWhenUsed/>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semiHidden/>
    <w:unhideWhenUsed/>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semiHidden/>
    <w:unhideWhenUsed/>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semiHidden/>
    <w:unhideWhenUsed/>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semiHidden/>
    <w:unhideWhenUsed/>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lang w:eastAsia="de-DE"/>
    </w:rPr>
  </w:style>
  <w:style w:type="paragraph" w:styleId="NoSpacing">
    <w:name w:val="No Spacing"/>
    <w:uiPriority w:val="99"/>
    <w:semiHidden/>
    <w:unhideWhenUsed/>
    <w:rPr>
      <w:rFonts w:ascii="Georgia" w:hAnsi="Georgia"/>
      <w:szCs w:val="24"/>
      <w:lang w:eastAsia="de-DE"/>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basedOn w:val="DefaultParagraphFont"/>
    <w:link w:val="NoteHeading"/>
    <w:rPr>
      <w:rFonts w:ascii="Georgia" w:hAnsi="Georgia"/>
      <w:szCs w:val="24"/>
      <w:lang w:eastAsia="de-DE"/>
    </w:rPr>
  </w:style>
  <w:style w:type="paragraph" w:styleId="Quote">
    <w:name w:val="Quote"/>
    <w:basedOn w:val="Normal"/>
    <w:next w:val="Normal"/>
    <w:link w:val="QuoteChar"/>
    <w:uiPriority w:val="99"/>
    <w:semiHidden/>
    <w:unhideWhenUsed/>
    <w:rPr>
      <w:i/>
      <w:iCs/>
      <w:color w:val="000000" w:themeColor="text1"/>
    </w:rPr>
  </w:style>
  <w:style w:type="character" w:customStyle="1" w:styleId="QuoteChar">
    <w:name w:val="Quote Char"/>
    <w:basedOn w:val="DefaultParagraphFont"/>
    <w:link w:val="Quote"/>
    <w:uiPriority w:val="29"/>
    <w:rPr>
      <w:rFonts w:ascii="Georgia" w:hAnsi="Georgia"/>
      <w:i/>
      <w:iCs/>
      <w:color w:val="000000" w:themeColor="text1"/>
      <w:szCs w:val="24"/>
      <w:lang w:eastAsia="de-DE"/>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rPr>
      <w:rFonts w:ascii="Georgia" w:hAnsi="Georgia"/>
      <w:szCs w:val="24"/>
      <w:lang w:eastAsia="de-DE"/>
    </w:rPr>
  </w:style>
  <w:style w:type="paragraph" w:styleId="Signature">
    <w:name w:val="Signature"/>
    <w:basedOn w:val="Normal"/>
    <w:link w:val="SignatureChar"/>
    <w:uiPriority w:val="99"/>
    <w:semiHidden/>
    <w:unhideWhenUsed/>
    <w:pPr>
      <w:ind w:left="4252"/>
    </w:pPr>
  </w:style>
  <w:style w:type="character" w:customStyle="1" w:styleId="SignatureChar">
    <w:name w:val="Signature Char"/>
    <w:basedOn w:val="DefaultParagraphFont"/>
    <w:link w:val="Signature"/>
    <w:rPr>
      <w:rFonts w:ascii="Georgia" w:hAnsi="Georgia"/>
      <w:szCs w:val="24"/>
      <w:lang w:eastAsia="de-DE"/>
    </w:rPr>
  </w:style>
  <w:style w:type="paragraph" w:styleId="Subtitle">
    <w:name w:val="Subtitle"/>
    <w:basedOn w:val="Normal"/>
    <w:next w:val="Normal"/>
    <w:link w:val="SubtitleChar"/>
    <w:uiPriority w:val="99"/>
    <w:semiHidden/>
    <w:unhideWhenUsed/>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Pr>
      <w:rFonts w:asciiTheme="majorHAnsi" w:eastAsiaTheme="majorEastAsia" w:hAnsiTheme="majorHAnsi" w:cstheme="majorBidi"/>
      <w:i/>
      <w:iCs/>
      <w:color w:val="4F81BD" w:themeColor="accent1"/>
      <w:spacing w:val="15"/>
      <w:sz w:val="24"/>
      <w:szCs w:val="24"/>
      <w:lang w:eastAsia="de-DE"/>
    </w:rPr>
  </w:style>
  <w:style w:type="character" w:styleId="SubtleReference">
    <w:name w:val="Subtle Reference"/>
    <w:basedOn w:val="DefaultParagraphFont"/>
    <w:uiPriority w:val="99"/>
    <w:semiHidden/>
    <w:unhideWhenUsed/>
    <w:rPr>
      <w:smallCaps/>
      <w:color w:val="C0504D" w:themeColor="accent2"/>
      <w:u w:val="single"/>
    </w:rPr>
  </w:style>
  <w:style w:type="table" w:styleId="Table3Deffects1">
    <w:name w:val="Table 3D effects 1"/>
    <w:basedOn w:val="TableNormal"/>
    <w:uiPriority w:val="99"/>
    <w:semiHidden/>
    <w:unhideWhenUse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uiPriority w:val="99"/>
    <w:semiHidden/>
    <w:unhideWhenUse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ind w:left="200" w:hanging="200"/>
    </w:pPr>
  </w:style>
  <w:style w:type="table" w:styleId="TableProfessional">
    <w:name w:val="Table Professional"/>
    <w:basedOn w:val="TableNormal"/>
    <w:uiPriority w:val="99"/>
    <w:semiHidden/>
    <w:unhideWhenUse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02208491">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363291954">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0405753">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ma.europa.eu/consultation/Consultation-Paper-Draft-technical-standards-Market-Abuse-Regulation-MAR"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http://www.esma.europa.eu"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128E631859144A8B774ACA138C88107"/>
        <w:category>
          <w:name w:val="General"/>
          <w:gallery w:val="placeholder"/>
        </w:category>
        <w:types>
          <w:type w:val="bbPlcHdr"/>
        </w:types>
        <w:behaviors>
          <w:behavior w:val="content"/>
        </w:behaviors>
        <w:guid w:val="{7C1C9E0B-C839-4987-87CF-4800F69CEEA2}"/>
      </w:docPartPr>
      <w:docPartBody>
        <w:p>
          <w:pPr>
            <w:pStyle w:val="6128E631859144A8B774ACA138C88107"/>
          </w:pPr>
          <w:r>
            <w:rPr>
              <w:rStyle w:val="PlaceholderText"/>
            </w:rPr>
            <w:t>Choose an item.</w:t>
          </w:r>
        </w:p>
      </w:docPartBody>
    </w:docPart>
    <w:docPart>
      <w:docPartPr>
        <w:name w:val="FC2190542B92485096F7FC0D27709BC6"/>
        <w:category>
          <w:name w:val="General"/>
          <w:gallery w:val="placeholder"/>
        </w:category>
        <w:types>
          <w:type w:val="bbPlcHdr"/>
        </w:types>
        <w:behaviors>
          <w:behavior w:val="content"/>
        </w:behaviors>
        <w:guid w:val="{9EF287E9-87F4-4B64-9D3D-4FE25A3E74B6}"/>
      </w:docPartPr>
      <w:docPartBody>
        <w:p>
          <w:pPr>
            <w:pStyle w:val="FC2190542B92485096F7FC0D27709BC6"/>
          </w:pPr>
          <w:r>
            <w:rPr>
              <w:rStyle w:val="PlaceholderText"/>
            </w:rPr>
            <w:t>Choose an item.</w:t>
          </w:r>
        </w:p>
      </w:docPartBody>
    </w:docPart>
    <w:docPart>
      <w:docPartPr>
        <w:name w:val="4E8AEA97C42B4F2684FB1FBEA9C94252"/>
        <w:category>
          <w:name w:val="General"/>
          <w:gallery w:val="placeholder"/>
        </w:category>
        <w:types>
          <w:type w:val="bbPlcHdr"/>
        </w:types>
        <w:behaviors>
          <w:behavior w:val="content"/>
        </w:behaviors>
        <w:guid w:val="{ACD6C047-6D02-4E34-AE54-4D3DFD8F9F2A}"/>
      </w:docPartPr>
      <w:docPartBody>
        <w:p>
          <w:pPr>
            <w:pStyle w:val="4E8AEA97C42B4F2684FB1FBEA9C94252"/>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altName w:val="Century"/>
    <w:charset w:val="00"/>
    <w:family w:val="roman"/>
    <w:pitch w:val="variable"/>
    <w:sig w:usb0="00000001"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rsid/>
    <w:rsid/>
    <w:rsid/>
    <w:rsi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1EA8"/>
    <w:rPr>
      <w:color w:val="808080"/>
    </w:rPr>
  </w:style>
  <w:style w:type="paragraph" w:customStyle="1" w:styleId="6128E631859144A8B774ACA138C88107">
    <w:name w:val="6128E631859144A8B774ACA138C88107"/>
    <w:rsid w:val="00211EA8"/>
  </w:style>
  <w:style w:type="paragraph" w:customStyle="1" w:styleId="FC2190542B92485096F7FC0D27709BC6">
    <w:name w:val="FC2190542B92485096F7FC0D27709BC6"/>
    <w:rsid w:val="00211EA8"/>
  </w:style>
  <w:style w:type="paragraph" w:customStyle="1" w:styleId="4E8AEA97C42B4F2684FB1FBEA9C94252">
    <w:name w:val="4E8AEA97C42B4F2684FB1FBEA9C94252"/>
    <w:rsid w:val="00211EA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1EA8"/>
    <w:rPr>
      <w:color w:val="808080"/>
    </w:rPr>
  </w:style>
  <w:style w:type="paragraph" w:customStyle="1" w:styleId="6128E631859144A8B774ACA138C88107">
    <w:name w:val="6128E631859144A8B774ACA138C88107"/>
    <w:rsid w:val="00211EA8"/>
  </w:style>
  <w:style w:type="paragraph" w:customStyle="1" w:styleId="FC2190542B92485096F7FC0D27709BC6">
    <w:name w:val="FC2190542B92485096F7FC0D27709BC6"/>
    <w:rsid w:val="00211EA8"/>
  </w:style>
  <w:style w:type="paragraph" w:customStyle="1" w:styleId="4E8AEA97C42B4F2684FB1FBEA9C94252">
    <w:name w:val="4E8AEA97C42B4F2684FB1FBEA9C94252"/>
    <w:rsid w:val="00211E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5571A-6CAD-401E-B44D-5273B7D7AB60}">
  <ds:schemaRefs>
    <ds:schemaRef ds:uri="http://schemas.openxmlformats.org/officeDocument/2006/bibliography"/>
  </ds:schemaRefs>
</ds:datastoreItem>
</file>

<file path=customXml/itemProps2.xml><?xml version="1.0" encoding="utf-8"?>
<ds:datastoreItem xmlns:ds="http://schemas.openxmlformats.org/officeDocument/2006/customXml" ds:itemID="{74E16E1E-FEBF-442D-AD39-6DF58A3C5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3258</Words>
  <Characters>19072</Characters>
  <Application>Microsoft Office Word</Application>
  <DocSecurity>8</DocSecurity>
  <Lines>340</Lines>
  <Paragraphs>177</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22153</CharactersWithSpaces>
  <SharedDoc>false</SharedDoc>
  <HLinks>
    <vt:vector size="18" baseType="variant">
      <vt:variant>
        <vt:i4>3932286</vt:i4>
      </vt:variant>
      <vt:variant>
        <vt:i4>6</vt:i4>
      </vt:variant>
      <vt:variant>
        <vt:i4>0</vt:i4>
      </vt:variant>
      <vt:variant>
        <vt:i4>5</vt:i4>
      </vt:variant>
      <vt:variant>
        <vt:lpwstr>http://www.esma.europa.eu/</vt:lpwstr>
      </vt:variant>
      <vt:variant>
        <vt:lpwstr/>
      </vt:variant>
      <vt:variant>
        <vt:i4>3932286</vt:i4>
      </vt:variant>
      <vt:variant>
        <vt:i4>3</vt:i4>
      </vt:variant>
      <vt:variant>
        <vt:i4>0</vt:i4>
      </vt:variant>
      <vt:variant>
        <vt:i4>5</vt:i4>
      </vt:variant>
      <vt:variant>
        <vt:lpwstr>http://www.esma.europa.eu/</vt:lpwstr>
      </vt:variant>
      <vt:variant>
        <vt:lpwstr/>
      </vt:variant>
      <vt:variant>
        <vt:i4>3866658</vt:i4>
      </vt:variant>
      <vt:variant>
        <vt:i4>0</vt:i4>
      </vt:variant>
      <vt:variant>
        <vt:i4>0</vt:i4>
      </vt:variant>
      <vt:variant>
        <vt:i4>5</vt:i4>
      </vt:variant>
      <vt:variant>
        <vt:lpwstr>http://www.esma.europa.eu/consultation/Consultation-Paper-Draft-technical-standards-Market-Abuse-Regulation-MAR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Wolters, Lara</cp:lastModifiedBy>
  <cp:revision>2</cp:revision>
  <cp:lastPrinted>2014-05-08T15:06:00Z</cp:lastPrinted>
  <dcterms:created xsi:type="dcterms:W3CDTF">2014-10-15T15:15:00Z</dcterms:created>
  <dcterms:modified xsi:type="dcterms:W3CDTF">2014-10-15T15:15:00Z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AutoUpdate">
    <vt:lpwstr>ALL</vt:lpwstr>
  </property>
</Properties>
</file>