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6A3398"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Technical standards</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w:t>
      </w:r>
      <w:r w:rsidR="00F574D0" w:rsidRPr="0081710D">
        <w:t>s</w:t>
      </w:r>
      <w:r w:rsidR="00F574D0" w:rsidRPr="0081710D">
        <w:t>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8627FF" w:rsidRDefault="008627FF" w:rsidP="008627FF">
      <w:pPr>
        <w:pStyle w:val="04BodyText"/>
        <w:spacing w:before="120" w:after="120"/>
      </w:pPr>
      <w:r>
        <w:t>Naming protocol - In order to facilitate the handling of stakeholders responses please save your document using the following format:</w:t>
      </w:r>
    </w:p>
    <w:p w:rsidR="008627FF" w:rsidRDefault="008627FF" w:rsidP="00F574D0">
      <w:pPr>
        <w:pStyle w:val="04BodyText"/>
        <w:spacing w:before="120" w:after="120"/>
      </w:pPr>
      <w:r>
        <w:t>ESMA_MAR_CP_TS_NAMEOFCOMPANY_NAMEOFDOCUMENT: e.g.if the respondent were ESMA, the name of the reply form would be ESMA_MAR_CP_TS_ESMA_REPLYFORM or E</w:t>
      </w:r>
      <w:r>
        <w:t>S</w:t>
      </w:r>
      <w:r>
        <w:t>MA_MAR_CP_TS_ESMA_ANNEX1</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r w:rsidR="005D1023" w:rsidRPr="00321CD3">
        <w:br w:type="page"/>
      </w:r>
      <w:bookmarkEnd w:id="0"/>
      <w:r w:rsidR="008627FF">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8627FF" w:rsidTr="008313E5">
        <w:tc>
          <w:tcPr>
            <w:tcW w:w="3510" w:type="dxa"/>
          </w:tcPr>
          <w:p w:rsidR="008627FF" w:rsidRDefault="008627FF" w:rsidP="008313E5">
            <w:r>
              <w:t>Are you representing an association?</w:t>
            </w:r>
          </w:p>
        </w:tc>
        <w:tc>
          <w:tcPr>
            <w:tcW w:w="6118" w:type="dxa"/>
          </w:tcPr>
          <w:p w:rsidR="008627FF" w:rsidRDefault="00E23880" w:rsidP="008313E5">
            <w:sdt>
              <w:sdtPr>
                <w:alias w:val="Association"/>
                <w:tag w:val="Association"/>
                <w:id w:val="-1769143793"/>
                <w:placeholder>
                  <w:docPart w:val="6128E631859144A8B774ACA138C88107"/>
                </w:placeholder>
                <w:comboBox>
                  <w:listItem w:displayText="Yes" w:value="Yes"/>
                  <w:listItem w:displayText="No" w:value="No"/>
                </w:comboBox>
              </w:sdtPr>
              <w:sdtEndPr/>
              <w:sdtContent>
                <w:permStart w:id="345052661" w:edGrp="everyone"/>
                <w:r w:rsidR="00273DDA">
                  <w:t>Yes</w:t>
                </w:r>
                <w:permEnd w:id="345052661"/>
              </w:sdtContent>
            </w:sdt>
          </w:p>
        </w:tc>
      </w:tr>
      <w:tr w:rsidR="008627FF" w:rsidTr="008313E5">
        <w:tc>
          <w:tcPr>
            <w:tcW w:w="3510" w:type="dxa"/>
          </w:tcPr>
          <w:p w:rsidR="008627FF" w:rsidRDefault="008627FF" w:rsidP="008313E5">
            <w:r>
              <w:t>Activity:</w:t>
            </w:r>
          </w:p>
        </w:tc>
        <w:tc>
          <w:tcPr>
            <w:tcW w:w="6118" w:type="dxa"/>
          </w:tcPr>
          <w:p w:rsidR="008627FF" w:rsidRDefault="00E23880" w:rsidP="008313E5">
            <w:sdt>
              <w:sdtPr>
                <w:alias w:val="Activity"/>
                <w:tag w:val="Activity"/>
                <w:id w:val="1654095920"/>
                <w:placeholder>
                  <w:docPart w:val="FC2190542B92485096F7FC0D27709BC6"/>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763212612" w:edGrp="everyone"/>
                <w:r w:rsidR="00273DDA">
                  <w:t>Banking sector</w:t>
                </w:r>
                <w:permEnd w:id="1763212612"/>
              </w:sdtContent>
            </w:sdt>
          </w:p>
        </w:tc>
      </w:tr>
      <w:tr w:rsidR="008627FF" w:rsidTr="008313E5">
        <w:tc>
          <w:tcPr>
            <w:tcW w:w="3510" w:type="dxa"/>
          </w:tcPr>
          <w:p w:rsidR="008627FF" w:rsidRDefault="008627FF" w:rsidP="008313E5">
            <w:r>
              <w:t>Country/Region</w:t>
            </w:r>
          </w:p>
        </w:tc>
        <w:sdt>
          <w:sdtPr>
            <w:alias w:val="Country"/>
            <w:tag w:val="Country"/>
            <w:id w:val="-1549134410"/>
            <w:placeholder>
              <w:docPart w:val="4E8AEA97C42B4F2684FB1FBEA9C9425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725419225" w:edGrp="everyone" w:displacedByCustomXml="prev"/>
            <w:tc>
              <w:tcPr>
                <w:tcW w:w="6118" w:type="dxa"/>
              </w:tcPr>
              <w:p w:rsidR="008627FF" w:rsidRDefault="00273DDA" w:rsidP="008313E5">
                <w:r>
                  <w:t>UK</w:t>
                </w:r>
              </w:p>
            </w:tc>
            <w:permEnd w:id="725419225" w:displacedByCustomXml="next"/>
          </w:sdtContent>
        </w:sdt>
      </w:tr>
    </w:tbl>
    <w:p w:rsidR="008627FF" w:rsidRDefault="008627FF" w:rsidP="008627FF">
      <w:pPr>
        <w:pStyle w:val="Heading1"/>
        <w:numPr>
          <w:ilvl w:val="0"/>
          <w:numId w:val="0"/>
        </w:numPr>
      </w:pPr>
      <w:r w:rsidRPr="00321CD3">
        <w:br w:type="page"/>
      </w:r>
      <w:bookmarkStart w:id="3" w:name="_Toc392599420"/>
      <w:r w:rsidRPr="004C2CD3">
        <w:lastRenderedPageBreak/>
        <w:t>Introduction</w:t>
      </w:r>
      <w:bookmarkEnd w:id="3"/>
    </w:p>
    <w:p w:rsidR="008627FF" w:rsidRDefault="008627FF" w:rsidP="008627FF"/>
    <w:p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rsidR="008627FF" w:rsidRDefault="008627FF" w:rsidP="008627FF"/>
    <w:p w:rsidR="008627FF" w:rsidRPr="00513956" w:rsidRDefault="008627FF" w:rsidP="008627FF">
      <w:r w:rsidRPr="00513956">
        <w:t>&lt;</w:t>
      </w:r>
      <w:r w:rsidRPr="00D74C9D">
        <w:t xml:space="preserve"> </w:t>
      </w:r>
      <w:r>
        <w:t>ESMA_COMMENT</w:t>
      </w:r>
      <w:r w:rsidRPr="00513956">
        <w:t>_MAR_TA_1&gt;</w:t>
      </w:r>
    </w:p>
    <w:p w:rsidR="00F94AC5" w:rsidRDefault="00F94AC5" w:rsidP="00F94AC5">
      <w:pPr>
        <w:autoSpaceDE w:val="0"/>
        <w:autoSpaceDN w:val="0"/>
        <w:jc w:val="both"/>
        <w:rPr>
          <w:rFonts w:ascii="Arial" w:hAnsi="Arial" w:cs="Arial"/>
          <w:color w:val="585757"/>
          <w:sz w:val="22"/>
          <w:szCs w:val="22"/>
          <w:lang w:eastAsia="en-GB"/>
        </w:rPr>
      </w:pPr>
      <w:permStart w:id="1961231609" w:edGrp="everyone"/>
    </w:p>
    <w:p w:rsidR="00F94AC5" w:rsidRPr="00F94AC5" w:rsidRDefault="00F94AC5" w:rsidP="00F94AC5">
      <w:pPr>
        <w:autoSpaceDE w:val="0"/>
        <w:autoSpaceDN w:val="0"/>
        <w:jc w:val="both"/>
        <w:rPr>
          <w:rFonts w:ascii="Arial" w:hAnsi="Arial" w:cs="Arial"/>
          <w:color w:val="585757"/>
          <w:sz w:val="22"/>
          <w:szCs w:val="22"/>
          <w:lang w:eastAsia="en-GB"/>
        </w:rPr>
      </w:pPr>
      <w:r>
        <w:rPr>
          <w:rFonts w:ascii="Arial" w:hAnsi="Arial" w:cs="Arial"/>
          <w:color w:val="585757"/>
          <w:sz w:val="22"/>
          <w:szCs w:val="22"/>
          <w:lang w:eastAsia="en-GB"/>
        </w:rPr>
        <w:t>T</w:t>
      </w:r>
      <w:r w:rsidRPr="00F94AC5">
        <w:rPr>
          <w:rFonts w:ascii="Arial" w:hAnsi="Arial" w:cs="Arial"/>
          <w:color w:val="585757"/>
          <w:sz w:val="22"/>
          <w:szCs w:val="22"/>
          <w:lang w:eastAsia="en-GB"/>
        </w:rPr>
        <w:t>he BBA is the UK’s leading association for the banking sector</w:t>
      </w:r>
      <w:r>
        <w:rPr>
          <w:rFonts w:ascii="Arial" w:hAnsi="Arial" w:cs="Arial"/>
          <w:color w:val="585757"/>
          <w:sz w:val="22"/>
          <w:szCs w:val="22"/>
          <w:lang w:eastAsia="en-GB"/>
        </w:rPr>
        <w:t xml:space="preserve"> it</w:t>
      </w:r>
      <w:r w:rsidRPr="00F94AC5">
        <w:rPr>
          <w:rFonts w:ascii="Arial" w:hAnsi="Arial" w:cs="Arial"/>
          <w:color w:val="585757"/>
          <w:sz w:val="22"/>
          <w:szCs w:val="22"/>
          <w:lang w:eastAsia="en-GB"/>
        </w:rPr>
        <w:t xml:space="preserve"> represent</w:t>
      </w:r>
      <w:r>
        <w:rPr>
          <w:rFonts w:ascii="Arial" w:hAnsi="Arial" w:cs="Arial"/>
          <w:color w:val="585757"/>
          <w:sz w:val="22"/>
          <w:szCs w:val="22"/>
          <w:lang w:eastAsia="en-GB"/>
        </w:rPr>
        <w:t>s</w:t>
      </w:r>
      <w:r w:rsidRPr="00F94AC5">
        <w:rPr>
          <w:rFonts w:ascii="Arial" w:hAnsi="Arial" w:cs="Arial"/>
          <w:color w:val="585757"/>
          <w:sz w:val="22"/>
          <w:szCs w:val="22"/>
          <w:lang w:eastAsia="en-GB"/>
        </w:rPr>
        <w:t xml:space="preserve"> the interests of more than 250 member organisations with a worldwide presence in 180 countries.</w:t>
      </w:r>
    </w:p>
    <w:p w:rsidR="00F94AC5" w:rsidRPr="00F94AC5" w:rsidRDefault="00F94AC5" w:rsidP="000E193E">
      <w:pPr>
        <w:tabs>
          <w:tab w:val="left" w:pos="1020"/>
        </w:tabs>
        <w:autoSpaceDE w:val="0"/>
        <w:autoSpaceDN w:val="0"/>
        <w:jc w:val="both"/>
        <w:rPr>
          <w:rFonts w:ascii="Arial" w:hAnsi="Arial" w:cs="Arial"/>
          <w:color w:val="585757"/>
          <w:sz w:val="22"/>
          <w:szCs w:val="22"/>
          <w:lang w:eastAsia="en-GB"/>
        </w:rPr>
      </w:pPr>
    </w:p>
    <w:p w:rsidR="00F94AC5" w:rsidRPr="00F94AC5" w:rsidRDefault="00F94AC5" w:rsidP="00F94AC5">
      <w:pPr>
        <w:autoSpaceDE w:val="0"/>
        <w:autoSpaceDN w:val="0"/>
        <w:jc w:val="both"/>
        <w:rPr>
          <w:rFonts w:ascii="Arial" w:hAnsi="Arial" w:cs="Arial"/>
          <w:color w:val="585757"/>
          <w:sz w:val="22"/>
          <w:szCs w:val="22"/>
          <w:lang w:eastAsia="en-GB"/>
        </w:rPr>
      </w:pPr>
      <w:r w:rsidRPr="00F94AC5">
        <w:rPr>
          <w:rFonts w:ascii="Arial" w:hAnsi="Arial" w:cs="Arial"/>
          <w:color w:val="585757"/>
          <w:sz w:val="22"/>
          <w:szCs w:val="22"/>
          <w:lang w:eastAsia="en-GB"/>
        </w:rPr>
        <w:t>Our member banks make up the world’s largest international banking cluster, operating 150 million personal accounts for UK customers and contributing over £60 billion annually to UK economic growth.</w:t>
      </w:r>
    </w:p>
    <w:p w:rsidR="00F94AC5" w:rsidRPr="00F94AC5" w:rsidRDefault="00F94AC5" w:rsidP="00F94AC5">
      <w:pPr>
        <w:autoSpaceDE w:val="0"/>
        <w:autoSpaceDN w:val="0"/>
        <w:jc w:val="both"/>
        <w:rPr>
          <w:rFonts w:ascii="Arial" w:hAnsi="Arial" w:cs="Arial"/>
          <w:color w:val="585757"/>
          <w:sz w:val="22"/>
          <w:szCs w:val="22"/>
          <w:lang w:eastAsia="en-GB"/>
        </w:rPr>
      </w:pPr>
    </w:p>
    <w:p w:rsidR="00F94AC5" w:rsidRPr="00F94AC5" w:rsidRDefault="00F94AC5" w:rsidP="00F94AC5">
      <w:pPr>
        <w:autoSpaceDE w:val="0"/>
        <w:autoSpaceDN w:val="0"/>
        <w:jc w:val="both"/>
        <w:rPr>
          <w:rFonts w:ascii="Arial" w:hAnsi="Arial" w:cs="Arial"/>
          <w:color w:val="585757"/>
          <w:sz w:val="22"/>
          <w:szCs w:val="22"/>
          <w:lang w:eastAsia="en-GB"/>
        </w:rPr>
      </w:pPr>
      <w:r>
        <w:rPr>
          <w:rFonts w:ascii="Arial" w:hAnsi="Arial" w:cs="Arial"/>
          <w:color w:val="585757"/>
          <w:sz w:val="22"/>
          <w:szCs w:val="22"/>
          <w:lang w:eastAsia="en-GB"/>
        </w:rPr>
        <w:t>W</w:t>
      </w:r>
      <w:r w:rsidRPr="00F94AC5">
        <w:rPr>
          <w:rFonts w:ascii="Arial" w:hAnsi="Arial" w:cs="Arial"/>
          <w:color w:val="585757"/>
          <w:sz w:val="22"/>
          <w:szCs w:val="22"/>
          <w:lang w:eastAsia="en-GB"/>
        </w:rPr>
        <w:t>e represent our members to policymakers, regulators, the media and all key stakeholders across the UK, Europe and beyond, working together to promote a legislative and regulatory system that helps customers,</w:t>
      </w:r>
      <w:r>
        <w:rPr>
          <w:rFonts w:ascii="Arial" w:hAnsi="Arial" w:cs="Arial"/>
          <w:color w:val="585757"/>
          <w:sz w:val="22"/>
          <w:szCs w:val="22"/>
          <w:lang w:eastAsia="en-GB"/>
        </w:rPr>
        <w:t xml:space="preserve"> </w:t>
      </w:r>
      <w:r w:rsidRPr="00F94AC5">
        <w:rPr>
          <w:rFonts w:ascii="Arial" w:hAnsi="Arial" w:cs="Arial"/>
          <w:color w:val="585757"/>
          <w:sz w:val="22"/>
          <w:szCs w:val="22"/>
          <w:lang w:eastAsia="en-GB"/>
        </w:rPr>
        <w:t>promotes growth and raises standards in the industry.</w:t>
      </w:r>
    </w:p>
    <w:p w:rsidR="00F94AC5" w:rsidRDefault="00F94AC5" w:rsidP="00F94AC5">
      <w:pPr>
        <w:autoSpaceDE w:val="0"/>
        <w:autoSpaceDN w:val="0"/>
        <w:jc w:val="both"/>
        <w:rPr>
          <w:rFonts w:ascii="Arial" w:hAnsi="Arial" w:cs="Arial"/>
          <w:color w:val="585757"/>
          <w:sz w:val="22"/>
          <w:szCs w:val="22"/>
          <w:lang w:eastAsia="en-GB"/>
        </w:rPr>
      </w:pPr>
    </w:p>
    <w:p w:rsidR="00F94AC5" w:rsidRDefault="00F94AC5" w:rsidP="00F94AC5">
      <w:pPr>
        <w:autoSpaceDE w:val="0"/>
        <w:autoSpaceDN w:val="0"/>
        <w:jc w:val="both"/>
        <w:rPr>
          <w:rFonts w:ascii="Arial" w:hAnsi="Arial" w:cs="Arial"/>
          <w:color w:val="585757"/>
          <w:sz w:val="22"/>
          <w:szCs w:val="22"/>
          <w:lang w:eastAsia="en-GB"/>
        </w:rPr>
      </w:pPr>
      <w:r>
        <w:rPr>
          <w:rFonts w:ascii="Arial" w:hAnsi="Arial" w:cs="Arial"/>
          <w:color w:val="585757"/>
          <w:sz w:val="22"/>
          <w:szCs w:val="22"/>
          <w:lang w:eastAsia="en-GB"/>
        </w:rPr>
        <w:t>The BBA welcomes the opportunity to respond to this consultation and in particular is grateful that the consultation period was 3 months.</w:t>
      </w:r>
    </w:p>
    <w:p w:rsidR="008627FF" w:rsidRDefault="008627FF" w:rsidP="008627FF"/>
    <w:permEnd w:id="1961231609"/>
    <w:p w:rsidR="008627FF" w:rsidRDefault="008627FF" w:rsidP="008627FF">
      <w:r>
        <w:t>&lt;</w:t>
      </w:r>
      <w:r w:rsidRPr="00D74C9D">
        <w:t xml:space="preserve"> </w:t>
      </w:r>
      <w:r>
        <w:t>ESMA_COMMENT_MAR_TA_1&gt;</w:t>
      </w:r>
    </w:p>
    <w:p w:rsidR="008627FF" w:rsidRDefault="008627FF" w:rsidP="008627FF">
      <w:r>
        <w:br w:type="page"/>
      </w:r>
    </w:p>
    <w:p w:rsidR="00C8677B" w:rsidRPr="00E95E0E" w:rsidRDefault="00C8677B" w:rsidP="00C8677B">
      <w:pPr>
        <w:pStyle w:val="Heading1"/>
      </w:pPr>
      <w:r>
        <w:lastRenderedPageBreak/>
        <w:t>B</w:t>
      </w:r>
      <w:r w:rsidRPr="00ED7403">
        <w:t>uy-backs and stabilisation: the conditions for buy-back programmes and stabilisation measures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rsidR="00C8677B" w:rsidRDefault="00C8677B" w:rsidP="00C8677B">
      <w:r>
        <w:t>&lt;</w:t>
      </w:r>
      <w:r w:rsidR="00CB6CDD">
        <w:t>ESMA_QUESTION_MAR_TS_</w:t>
      </w:r>
      <w:r>
        <w:t>1&gt;</w:t>
      </w:r>
    </w:p>
    <w:p w:rsidR="00273DDA" w:rsidRPr="00273DDA" w:rsidRDefault="00273DDA" w:rsidP="00273DDA">
      <w:pPr>
        <w:jc w:val="both"/>
        <w:rPr>
          <w:rFonts w:ascii="Arial" w:hAnsi="Arial" w:cs="Arial"/>
          <w:b/>
          <w:bCs/>
          <w:i/>
          <w:sz w:val="22"/>
          <w:szCs w:val="22"/>
          <w:lang w:val="en-US"/>
        </w:rPr>
      </w:pPr>
      <w:permStart w:id="560103249" w:edGrp="everyone"/>
      <w:r>
        <w:t xml:space="preserve"> </w:t>
      </w:r>
      <w:r w:rsidRPr="00273DDA">
        <w:rPr>
          <w:rFonts w:ascii="Arial" w:hAnsi="Arial" w:cs="Arial"/>
          <w:b/>
          <w:bCs/>
          <w:i/>
          <w:sz w:val="22"/>
          <w:szCs w:val="22"/>
          <w:lang w:val="en-US"/>
        </w:rPr>
        <w:t xml:space="preserve">Buy-backs undertaken through derivatives: </w:t>
      </w:r>
    </w:p>
    <w:p w:rsidR="00273DDA" w:rsidRPr="00273DDA" w:rsidRDefault="00273DDA" w:rsidP="00273DDA">
      <w:pPr>
        <w:jc w:val="both"/>
        <w:rPr>
          <w:rFonts w:ascii="Arial" w:hAnsi="Arial" w:cs="Arial"/>
          <w:sz w:val="22"/>
          <w:szCs w:val="22"/>
          <w:lang w:val="en-US"/>
        </w:rPr>
      </w:pPr>
    </w:p>
    <w:p w:rsidR="00273DDA" w:rsidRPr="00273DDA" w:rsidRDefault="00273DDA" w:rsidP="00273DDA">
      <w:pPr>
        <w:jc w:val="both"/>
        <w:rPr>
          <w:rFonts w:ascii="Arial" w:hAnsi="Arial" w:cs="Arial"/>
          <w:sz w:val="22"/>
          <w:szCs w:val="22"/>
        </w:rPr>
      </w:pPr>
      <w:r w:rsidRPr="00273DDA">
        <w:rPr>
          <w:rFonts w:ascii="Arial" w:hAnsi="Arial" w:cs="Arial"/>
          <w:sz w:val="22"/>
          <w:szCs w:val="22"/>
          <w:lang w:val="en-US"/>
        </w:rPr>
        <w:t xml:space="preserve">Article 8 of Directive 2003/6/EC (MAD) provides that the prohibitions on insider dealing and on market manipulation shall not apply to trading in own shares in </w:t>
      </w:r>
      <w:r w:rsidR="00E23880">
        <w:rPr>
          <w:rFonts w:ascii="Arial" w:hAnsi="Arial" w:cs="Arial"/>
          <w:sz w:val="22"/>
          <w:szCs w:val="22"/>
          <w:lang w:val="en-US"/>
        </w:rPr>
        <w:t>‘</w:t>
      </w:r>
      <w:r w:rsidRPr="00273DDA">
        <w:rPr>
          <w:rFonts w:ascii="Arial" w:hAnsi="Arial" w:cs="Arial"/>
          <w:sz w:val="22"/>
          <w:szCs w:val="22"/>
          <w:lang w:val="en-US"/>
        </w:rPr>
        <w:t>buy-back</w:t>
      </w:r>
      <w:r w:rsidR="00E23880">
        <w:rPr>
          <w:rFonts w:ascii="Arial" w:hAnsi="Arial" w:cs="Arial"/>
          <w:sz w:val="22"/>
          <w:szCs w:val="22"/>
          <w:lang w:val="en-US"/>
        </w:rPr>
        <w:t>’</w:t>
      </w:r>
      <w:r w:rsidRPr="00273DDA">
        <w:rPr>
          <w:rFonts w:ascii="Arial" w:hAnsi="Arial" w:cs="Arial"/>
          <w:sz w:val="22"/>
          <w:szCs w:val="22"/>
          <w:lang w:val="en-US"/>
        </w:rPr>
        <w:t xml:space="preserve"> </w:t>
      </w:r>
      <w:proofErr w:type="spellStart"/>
      <w:r w:rsidRPr="00273DDA">
        <w:rPr>
          <w:rFonts w:ascii="Arial" w:hAnsi="Arial" w:cs="Arial"/>
          <w:sz w:val="22"/>
          <w:szCs w:val="22"/>
          <w:lang w:val="en-US"/>
        </w:rPr>
        <w:t>programmes</w:t>
      </w:r>
      <w:proofErr w:type="spellEnd"/>
      <w:r w:rsidRPr="00273DDA">
        <w:rPr>
          <w:rFonts w:ascii="Arial" w:hAnsi="Arial" w:cs="Arial"/>
          <w:sz w:val="22"/>
          <w:szCs w:val="22"/>
          <w:lang w:val="en-US"/>
        </w:rPr>
        <w:t xml:space="preserve"> or to the stabilisation of a financial instrument provided such trading is carried out in accordan</w:t>
      </w:r>
      <w:r w:rsidR="00E23880">
        <w:rPr>
          <w:rFonts w:ascii="Arial" w:hAnsi="Arial" w:cs="Arial"/>
          <w:sz w:val="22"/>
          <w:szCs w:val="22"/>
          <w:lang w:val="en-US"/>
        </w:rPr>
        <w:t xml:space="preserve">ce with implementing measures. </w:t>
      </w:r>
      <w:r w:rsidRPr="00273DDA">
        <w:rPr>
          <w:rFonts w:ascii="Arial" w:hAnsi="Arial" w:cs="Arial"/>
          <w:sz w:val="22"/>
          <w:szCs w:val="22"/>
          <w:lang w:val="en-US"/>
        </w:rPr>
        <w:t>The third paragraph of A</w:t>
      </w:r>
      <w:proofErr w:type="spellStart"/>
      <w:r w:rsidRPr="00273DDA">
        <w:rPr>
          <w:rFonts w:ascii="Arial" w:hAnsi="Arial" w:cs="Arial"/>
          <w:sz w:val="22"/>
          <w:szCs w:val="22"/>
        </w:rPr>
        <w:t>rticle</w:t>
      </w:r>
      <w:proofErr w:type="spellEnd"/>
      <w:r w:rsidRPr="00273DDA">
        <w:rPr>
          <w:rFonts w:ascii="Arial" w:hAnsi="Arial" w:cs="Arial"/>
          <w:sz w:val="22"/>
          <w:szCs w:val="22"/>
        </w:rPr>
        <w:t xml:space="preserve"> 5(1) of Commission Implementing Reg</w:t>
      </w:r>
      <w:r w:rsidRPr="00273DDA">
        <w:rPr>
          <w:rFonts w:ascii="Arial" w:hAnsi="Arial" w:cs="Arial"/>
          <w:sz w:val="22"/>
          <w:szCs w:val="22"/>
        </w:rPr>
        <w:t>u</w:t>
      </w:r>
      <w:r w:rsidRPr="00273DDA">
        <w:rPr>
          <w:rFonts w:ascii="Arial" w:hAnsi="Arial" w:cs="Arial"/>
          <w:sz w:val="22"/>
          <w:szCs w:val="22"/>
        </w:rPr>
        <w:t xml:space="preserve">lation 2273/2003 acknowledged that </w:t>
      </w:r>
      <w:r w:rsidRPr="00273DDA">
        <w:rPr>
          <w:rFonts w:ascii="Arial" w:hAnsi="Arial" w:cs="Arial"/>
          <w:bCs/>
          <w:sz w:val="22"/>
          <w:szCs w:val="22"/>
        </w:rPr>
        <w:t>the purchase of own shares</w:t>
      </w:r>
      <w:r w:rsidRPr="00273DDA">
        <w:rPr>
          <w:rFonts w:ascii="Arial" w:hAnsi="Arial" w:cs="Arial"/>
          <w:sz w:val="22"/>
          <w:szCs w:val="22"/>
        </w:rPr>
        <w:t xml:space="preserve"> can be effected through deriv</w:t>
      </w:r>
      <w:r w:rsidRPr="00273DDA">
        <w:rPr>
          <w:rFonts w:ascii="Arial" w:hAnsi="Arial" w:cs="Arial"/>
          <w:sz w:val="22"/>
          <w:szCs w:val="22"/>
        </w:rPr>
        <w:t>a</w:t>
      </w:r>
      <w:r w:rsidR="00E23880">
        <w:rPr>
          <w:rFonts w:ascii="Arial" w:hAnsi="Arial" w:cs="Arial"/>
          <w:sz w:val="22"/>
          <w:szCs w:val="22"/>
        </w:rPr>
        <w:t xml:space="preserve">tive financial instruments. </w:t>
      </w:r>
      <w:r w:rsidRPr="00273DDA">
        <w:rPr>
          <w:rFonts w:ascii="Arial" w:hAnsi="Arial" w:cs="Arial"/>
          <w:sz w:val="22"/>
          <w:szCs w:val="22"/>
          <w:lang w:val="en-US"/>
        </w:rPr>
        <w:t xml:space="preserve">That Implementing Regulation also specified the price limitations with which the issuer should comply with to fall under the safe harbour. </w:t>
      </w:r>
    </w:p>
    <w:p w:rsidR="00273DDA" w:rsidRPr="00273DDA" w:rsidRDefault="00273DDA" w:rsidP="00273DDA">
      <w:pPr>
        <w:jc w:val="both"/>
        <w:rPr>
          <w:rFonts w:ascii="Arial" w:hAnsi="Arial" w:cs="Arial"/>
          <w:sz w:val="22"/>
          <w:szCs w:val="22"/>
          <w:lang w:val="en-US"/>
        </w:rPr>
      </w:pPr>
    </w:p>
    <w:p w:rsidR="00273DDA" w:rsidRPr="00273DDA" w:rsidRDefault="00273DDA" w:rsidP="00273DDA">
      <w:pPr>
        <w:jc w:val="both"/>
        <w:rPr>
          <w:rFonts w:ascii="Arial" w:hAnsi="Arial" w:cs="Arial"/>
          <w:sz w:val="22"/>
          <w:szCs w:val="22"/>
          <w:lang w:val="en-US"/>
        </w:rPr>
      </w:pPr>
      <w:r w:rsidRPr="00273DDA">
        <w:rPr>
          <w:rFonts w:ascii="Arial" w:hAnsi="Arial" w:cs="Arial"/>
          <w:sz w:val="22"/>
          <w:szCs w:val="22"/>
          <w:lang w:val="en-US"/>
        </w:rPr>
        <w:t xml:space="preserve">In the same way as MAD contrasts trading in </w:t>
      </w:r>
      <w:r w:rsidRPr="00273DDA">
        <w:rPr>
          <w:rFonts w:ascii="Arial" w:hAnsi="Arial" w:cs="Arial"/>
          <w:b/>
          <w:sz w:val="22"/>
          <w:szCs w:val="22"/>
          <w:lang w:val="en-US"/>
        </w:rPr>
        <w:t>own shares</w:t>
      </w:r>
      <w:r w:rsidRPr="00273DDA">
        <w:rPr>
          <w:rFonts w:ascii="Arial" w:hAnsi="Arial" w:cs="Arial"/>
          <w:sz w:val="22"/>
          <w:szCs w:val="22"/>
          <w:lang w:val="en-US"/>
        </w:rPr>
        <w:t xml:space="preserve"> in </w:t>
      </w:r>
      <w:r w:rsidR="00E23880">
        <w:rPr>
          <w:rFonts w:ascii="Arial" w:hAnsi="Arial" w:cs="Arial"/>
          <w:sz w:val="22"/>
          <w:szCs w:val="22"/>
          <w:lang w:val="en-US"/>
        </w:rPr>
        <w:t>‘</w:t>
      </w:r>
      <w:r w:rsidRPr="00273DDA">
        <w:rPr>
          <w:rFonts w:ascii="Arial" w:hAnsi="Arial" w:cs="Arial"/>
          <w:sz w:val="22"/>
          <w:szCs w:val="22"/>
          <w:lang w:val="en-US"/>
        </w:rPr>
        <w:t>buy-back</w:t>
      </w:r>
      <w:r w:rsidR="00E23880">
        <w:rPr>
          <w:rFonts w:ascii="Arial" w:hAnsi="Arial" w:cs="Arial"/>
          <w:sz w:val="22"/>
          <w:szCs w:val="22"/>
          <w:lang w:val="en-US"/>
        </w:rPr>
        <w:t>’</w:t>
      </w:r>
      <w:r w:rsidRPr="00273DDA">
        <w:rPr>
          <w:rFonts w:ascii="Arial" w:hAnsi="Arial" w:cs="Arial"/>
          <w:sz w:val="22"/>
          <w:szCs w:val="22"/>
          <w:lang w:val="en-US"/>
        </w:rPr>
        <w:t xml:space="preserve"> </w:t>
      </w:r>
      <w:proofErr w:type="spellStart"/>
      <w:r w:rsidRPr="00273DDA">
        <w:rPr>
          <w:rFonts w:ascii="Arial" w:hAnsi="Arial" w:cs="Arial"/>
          <w:sz w:val="22"/>
          <w:szCs w:val="22"/>
          <w:lang w:val="en-US"/>
        </w:rPr>
        <w:t>programmes</w:t>
      </w:r>
      <w:proofErr w:type="spellEnd"/>
      <w:r w:rsidRPr="00273DDA">
        <w:rPr>
          <w:rFonts w:ascii="Arial" w:hAnsi="Arial" w:cs="Arial"/>
          <w:sz w:val="22"/>
          <w:szCs w:val="22"/>
          <w:lang w:val="en-US"/>
        </w:rPr>
        <w:t xml:space="preserve"> with the stabilisation of a </w:t>
      </w:r>
      <w:r w:rsidRPr="00273DDA">
        <w:rPr>
          <w:rFonts w:ascii="Arial" w:hAnsi="Arial" w:cs="Arial"/>
          <w:b/>
          <w:sz w:val="22"/>
          <w:szCs w:val="22"/>
          <w:lang w:val="en-US"/>
        </w:rPr>
        <w:t>financial instrument</w:t>
      </w:r>
      <w:r w:rsidRPr="00273DDA">
        <w:rPr>
          <w:rFonts w:ascii="Arial" w:hAnsi="Arial" w:cs="Arial"/>
          <w:sz w:val="22"/>
          <w:szCs w:val="22"/>
          <w:lang w:val="en-US"/>
        </w:rPr>
        <w:t xml:space="preserve">, Regulation 596/2014 (MAR) contrasts trading in </w:t>
      </w:r>
      <w:r w:rsidRPr="00273DDA">
        <w:rPr>
          <w:rFonts w:ascii="Arial" w:hAnsi="Arial" w:cs="Arial"/>
          <w:b/>
          <w:sz w:val="22"/>
          <w:szCs w:val="22"/>
          <w:lang w:val="en-US"/>
        </w:rPr>
        <w:t>own shares</w:t>
      </w:r>
      <w:r w:rsidRPr="00273DDA">
        <w:rPr>
          <w:rFonts w:ascii="Arial" w:hAnsi="Arial" w:cs="Arial"/>
          <w:sz w:val="22"/>
          <w:szCs w:val="22"/>
          <w:lang w:val="en-US"/>
        </w:rPr>
        <w:t xml:space="preserve"> in buy-back </w:t>
      </w:r>
      <w:proofErr w:type="spellStart"/>
      <w:r w:rsidRPr="00273DDA">
        <w:rPr>
          <w:rFonts w:ascii="Arial" w:hAnsi="Arial" w:cs="Arial"/>
          <w:sz w:val="22"/>
          <w:szCs w:val="22"/>
          <w:lang w:val="en-US"/>
        </w:rPr>
        <w:t>programmes</w:t>
      </w:r>
      <w:proofErr w:type="spellEnd"/>
      <w:r w:rsidRPr="00273DDA">
        <w:rPr>
          <w:rFonts w:ascii="Arial" w:hAnsi="Arial" w:cs="Arial"/>
          <w:sz w:val="22"/>
          <w:szCs w:val="22"/>
          <w:lang w:val="en-US"/>
        </w:rPr>
        <w:t xml:space="preserve"> and trading in </w:t>
      </w:r>
      <w:r w:rsidRPr="00273DDA">
        <w:rPr>
          <w:rFonts w:ascii="Arial" w:hAnsi="Arial" w:cs="Arial"/>
          <w:b/>
          <w:sz w:val="22"/>
          <w:szCs w:val="22"/>
          <w:lang w:val="en-US"/>
        </w:rPr>
        <w:t>securities or associated instruments</w:t>
      </w:r>
      <w:r w:rsidRPr="00273DDA">
        <w:rPr>
          <w:rFonts w:ascii="Arial" w:hAnsi="Arial" w:cs="Arial"/>
          <w:sz w:val="22"/>
          <w:szCs w:val="22"/>
          <w:lang w:val="en-US"/>
        </w:rPr>
        <w:t xml:space="preserve"> for the stabilisation of securities</w:t>
      </w:r>
      <w:r w:rsidR="00E23880">
        <w:rPr>
          <w:rFonts w:ascii="Arial" w:hAnsi="Arial" w:cs="Arial"/>
          <w:sz w:val="22"/>
          <w:szCs w:val="22"/>
          <w:lang w:val="en-US"/>
        </w:rPr>
        <w:t xml:space="preserve">. </w:t>
      </w:r>
      <w:r w:rsidRPr="00273DDA">
        <w:rPr>
          <w:rFonts w:ascii="Arial" w:hAnsi="Arial" w:cs="Arial"/>
          <w:sz w:val="22"/>
          <w:szCs w:val="22"/>
          <w:lang w:val="en-US"/>
        </w:rPr>
        <w:t xml:space="preserve">Accordingly, we believe that ESMA is mistaken in concluding that MAR excludes a buy-back </w:t>
      </w:r>
      <w:proofErr w:type="spellStart"/>
      <w:r w:rsidRPr="00273DDA">
        <w:rPr>
          <w:rFonts w:ascii="Arial" w:hAnsi="Arial" w:cs="Arial"/>
          <w:sz w:val="22"/>
          <w:szCs w:val="22"/>
          <w:lang w:val="en-US"/>
        </w:rPr>
        <w:t>programme</w:t>
      </w:r>
      <w:proofErr w:type="spellEnd"/>
      <w:r w:rsidRPr="00273DDA">
        <w:rPr>
          <w:rFonts w:ascii="Arial" w:hAnsi="Arial" w:cs="Arial"/>
          <w:sz w:val="22"/>
          <w:szCs w:val="22"/>
          <w:lang w:val="en-US"/>
        </w:rPr>
        <w:t xml:space="preserve"> which includes the purchase of own shares undertaken through derivatives (provided that disclosure, price and volume conditions, and reporting r</w:t>
      </w:r>
      <w:r w:rsidRPr="00273DDA">
        <w:rPr>
          <w:rFonts w:ascii="Arial" w:hAnsi="Arial" w:cs="Arial"/>
          <w:sz w:val="22"/>
          <w:szCs w:val="22"/>
          <w:lang w:val="en-US"/>
        </w:rPr>
        <w:t>e</w:t>
      </w:r>
      <w:r w:rsidRPr="00273DDA">
        <w:rPr>
          <w:rFonts w:ascii="Arial" w:hAnsi="Arial" w:cs="Arial"/>
          <w:sz w:val="22"/>
          <w:szCs w:val="22"/>
          <w:lang w:val="en-US"/>
        </w:rPr>
        <w:t xml:space="preserve">quirements are complied with).   </w:t>
      </w:r>
    </w:p>
    <w:p w:rsidR="00273DDA" w:rsidRPr="00273DDA" w:rsidRDefault="00273DDA" w:rsidP="00273DDA">
      <w:pPr>
        <w:jc w:val="both"/>
        <w:rPr>
          <w:rFonts w:ascii="Arial" w:hAnsi="Arial" w:cs="Arial"/>
          <w:sz w:val="22"/>
          <w:szCs w:val="22"/>
          <w:lang w:val="en-US"/>
        </w:rPr>
      </w:pPr>
    </w:p>
    <w:p w:rsidR="00273DDA" w:rsidRPr="00273DDA" w:rsidRDefault="00273DDA" w:rsidP="00273DDA">
      <w:pPr>
        <w:jc w:val="both"/>
        <w:rPr>
          <w:rFonts w:ascii="Arial" w:hAnsi="Arial" w:cs="Arial"/>
          <w:sz w:val="22"/>
          <w:szCs w:val="22"/>
          <w:lang w:val="en-US"/>
        </w:rPr>
      </w:pPr>
      <w:r w:rsidRPr="00273DDA">
        <w:rPr>
          <w:rFonts w:ascii="Arial" w:hAnsi="Arial" w:cs="Arial"/>
          <w:sz w:val="22"/>
          <w:szCs w:val="22"/>
          <w:lang w:val="en-US"/>
        </w:rPr>
        <w:t>The proposed provisions set out in recitals (2) and (3) of Annex IV draft RTS represent a signif</w:t>
      </w:r>
      <w:r w:rsidRPr="00273DDA">
        <w:rPr>
          <w:rFonts w:ascii="Arial" w:hAnsi="Arial" w:cs="Arial"/>
          <w:sz w:val="22"/>
          <w:szCs w:val="22"/>
          <w:lang w:val="en-US"/>
        </w:rPr>
        <w:t>i</w:t>
      </w:r>
      <w:r w:rsidRPr="00273DDA">
        <w:rPr>
          <w:rFonts w:ascii="Arial" w:hAnsi="Arial" w:cs="Arial"/>
          <w:sz w:val="22"/>
          <w:szCs w:val="22"/>
          <w:lang w:val="en-US"/>
        </w:rPr>
        <w:t>cant change to the existing buy-back safe</w:t>
      </w:r>
      <w:r w:rsidR="00E23880">
        <w:rPr>
          <w:rFonts w:ascii="Arial" w:hAnsi="Arial" w:cs="Arial"/>
          <w:sz w:val="22"/>
          <w:szCs w:val="22"/>
          <w:lang w:val="en-US"/>
        </w:rPr>
        <w:t>-</w:t>
      </w:r>
      <w:r w:rsidRPr="00273DDA">
        <w:rPr>
          <w:rFonts w:ascii="Arial" w:hAnsi="Arial" w:cs="Arial"/>
          <w:sz w:val="22"/>
          <w:szCs w:val="22"/>
          <w:lang w:val="en-US"/>
        </w:rPr>
        <w:t xml:space="preserve">harbour. So far as we are aware, this was not the subject of debate or consideration by the legislators.  </w:t>
      </w:r>
    </w:p>
    <w:p w:rsidR="00273DDA" w:rsidRPr="00273DDA" w:rsidRDefault="00273DDA" w:rsidP="00273DDA">
      <w:pPr>
        <w:jc w:val="both"/>
        <w:rPr>
          <w:rFonts w:ascii="Arial" w:hAnsi="Arial" w:cs="Arial"/>
          <w:sz w:val="22"/>
          <w:szCs w:val="22"/>
          <w:lang w:val="en-US"/>
        </w:rPr>
      </w:pPr>
    </w:p>
    <w:p w:rsidR="00273DDA" w:rsidRPr="00273DDA" w:rsidRDefault="00273DDA" w:rsidP="00273DDA">
      <w:pPr>
        <w:jc w:val="both"/>
        <w:rPr>
          <w:rFonts w:ascii="Arial" w:hAnsi="Arial" w:cs="Arial"/>
          <w:sz w:val="22"/>
          <w:szCs w:val="22"/>
          <w:lang w:val="en-US"/>
        </w:rPr>
      </w:pPr>
      <w:r w:rsidRPr="00273DDA">
        <w:rPr>
          <w:rFonts w:ascii="Arial" w:hAnsi="Arial" w:cs="Arial"/>
          <w:sz w:val="22"/>
          <w:szCs w:val="22"/>
          <w:lang w:val="en-US"/>
        </w:rPr>
        <w:t>We also note that such a restrictive interpretation of trading in shares would potentially unde</w:t>
      </w:r>
      <w:r w:rsidRPr="00273DDA">
        <w:rPr>
          <w:rFonts w:ascii="Arial" w:hAnsi="Arial" w:cs="Arial"/>
          <w:sz w:val="22"/>
          <w:szCs w:val="22"/>
          <w:lang w:val="en-US"/>
        </w:rPr>
        <w:t>r</w:t>
      </w:r>
      <w:r w:rsidRPr="00273DDA">
        <w:rPr>
          <w:rFonts w:ascii="Arial" w:hAnsi="Arial" w:cs="Arial"/>
          <w:sz w:val="22"/>
          <w:szCs w:val="22"/>
          <w:lang w:val="en-US"/>
        </w:rPr>
        <w:t xml:space="preserve">mine the effectiveness of the restrictions which ESMA seeks to impose under Article 5(1) of the proposed draft implementing regulation.  </w:t>
      </w:r>
    </w:p>
    <w:p w:rsidR="00E23880" w:rsidRDefault="00E23880" w:rsidP="00273DDA">
      <w:pPr>
        <w:jc w:val="both"/>
        <w:rPr>
          <w:rFonts w:ascii="Arial" w:hAnsi="Arial" w:cs="Arial"/>
          <w:sz w:val="22"/>
          <w:szCs w:val="22"/>
          <w:lang w:val="en-US"/>
        </w:rPr>
      </w:pPr>
    </w:p>
    <w:p w:rsidR="00273DDA" w:rsidRPr="00273DDA" w:rsidRDefault="00273DDA" w:rsidP="00273DDA">
      <w:pPr>
        <w:jc w:val="both"/>
        <w:rPr>
          <w:rFonts w:ascii="Arial" w:hAnsi="Arial" w:cs="Arial"/>
          <w:sz w:val="22"/>
          <w:szCs w:val="22"/>
          <w:lang w:val="en-US"/>
        </w:rPr>
      </w:pPr>
      <w:r w:rsidRPr="00273DDA">
        <w:rPr>
          <w:rFonts w:ascii="Arial" w:hAnsi="Arial" w:cs="Arial"/>
          <w:sz w:val="22"/>
          <w:szCs w:val="22"/>
          <w:lang w:val="en-US"/>
        </w:rPr>
        <w:t>We strongly believe that the purchase of own shares undertaken through derivative instruments should be covered by the safe</w:t>
      </w:r>
      <w:r w:rsidR="00E23880">
        <w:rPr>
          <w:rFonts w:ascii="Arial" w:hAnsi="Arial" w:cs="Arial"/>
          <w:sz w:val="22"/>
          <w:szCs w:val="22"/>
          <w:lang w:val="en-US"/>
        </w:rPr>
        <w:t>-</w:t>
      </w:r>
      <w:r w:rsidRPr="00273DDA">
        <w:rPr>
          <w:rFonts w:ascii="Arial" w:hAnsi="Arial" w:cs="Arial"/>
          <w:sz w:val="22"/>
          <w:szCs w:val="22"/>
          <w:lang w:val="en-US"/>
        </w:rPr>
        <w:t xml:space="preserve">harbour, provided that appropriate disclosure, volume and price limitation, and reporting requirements are complied with.   </w:t>
      </w:r>
    </w:p>
    <w:p w:rsidR="00273DDA" w:rsidRPr="00273DDA" w:rsidRDefault="00273DDA" w:rsidP="00273DDA">
      <w:pPr>
        <w:pStyle w:val="ListParagraph"/>
        <w:ind w:left="0"/>
        <w:jc w:val="both"/>
        <w:rPr>
          <w:rFonts w:ascii="Arial" w:hAnsi="Arial" w:cs="Arial"/>
          <w:sz w:val="22"/>
          <w:szCs w:val="22"/>
          <w:lang w:val="en-US"/>
        </w:rPr>
      </w:pPr>
    </w:p>
    <w:p w:rsidR="00273DDA" w:rsidRPr="00273DDA" w:rsidRDefault="00273DDA" w:rsidP="00273DDA">
      <w:pPr>
        <w:jc w:val="both"/>
        <w:rPr>
          <w:rFonts w:ascii="Arial" w:hAnsi="Arial" w:cs="Arial"/>
          <w:b/>
          <w:bCs/>
          <w:i/>
          <w:sz w:val="22"/>
          <w:szCs w:val="22"/>
          <w:lang w:val="en-US"/>
        </w:rPr>
      </w:pPr>
      <w:r w:rsidRPr="00273DDA">
        <w:rPr>
          <w:rFonts w:ascii="Arial" w:hAnsi="Arial" w:cs="Arial"/>
          <w:b/>
          <w:bCs/>
          <w:i/>
          <w:sz w:val="22"/>
          <w:szCs w:val="22"/>
          <w:lang w:val="en-US"/>
        </w:rPr>
        <w:t>OTC trades:</w:t>
      </w:r>
    </w:p>
    <w:p w:rsidR="00273DDA" w:rsidRPr="00273DDA" w:rsidRDefault="00273DDA" w:rsidP="00273DDA">
      <w:pPr>
        <w:jc w:val="both"/>
        <w:rPr>
          <w:rFonts w:ascii="Arial" w:hAnsi="Arial" w:cs="Arial"/>
          <w:sz w:val="22"/>
          <w:szCs w:val="22"/>
          <w:lang w:val="en-US"/>
        </w:rPr>
      </w:pPr>
    </w:p>
    <w:p w:rsidR="00273DDA" w:rsidRPr="00273DDA" w:rsidRDefault="00273DDA" w:rsidP="00273DDA">
      <w:pPr>
        <w:jc w:val="both"/>
        <w:rPr>
          <w:rFonts w:ascii="Arial" w:hAnsi="Arial" w:cs="Arial"/>
          <w:sz w:val="22"/>
          <w:szCs w:val="22"/>
          <w:lang w:val="en-US"/>
        </w:rPr>
      </w:pPr>
      <w:r w:rsidRPr="00273DDA">
        <w:rPr>
          <w:rFonts w:ascii="Arial" w:hAnsi="Arial" w:cs="Arial"/>
          <w:sz w:val="22"/>
          <w:szCs w:val="22"/>
          <w:lang w:val="en-US"/>
        </w:rPr>
        <w:t xml:space="preserve">Annex IV draft RTS Article 4(1) seeks to restrict the safe-harbour to transactions carried out on a trading venue where the shares are </w:t>
      </w:r>
      <w:r w:rsidR="00E23880">
        <w:rPr>
          <w:rFonts w:ascii="Arial" w:hAnsi="Arial" w:cs="Arial"/>
          <w:sz w:val="22"/>
          <w:szCs w:val="22"/>
          <w:lang w:val="en-US"/>
        </w:rPr>
        <w:t xml:space="preserve">admitted to trading or traded. </w:t>
      </w:r>
      <w:r w:rsidRPr="00273DDA">
        <w:rPr>
          <w:rFonts w:ascii="Arial" w:hAnsi="Arial" w:cs="Arial"/>
          <w:sz w:val="22"/>
          <w:szCs w:val="22"/>
          <w:lang w:val="en-US"/>
        </w:rPr>
        <w:t>There is no legal requirement which would require the scope of the exemption to exclude OTC trading. We consider that it does not matter where the instruments were traded, provided that appropriate disclosure, vo</w:t>
      </w:r>
      <w:r w:rsidRPr="00273DDA">
        <w:rPr>
          <w:rFonts w:ascii="Arial" w:hAnsi="Arial" w:cs="Arial"/>
          <w:sz w:val="22"/>
          <w:szCs w:val="22"/>
          <w:lang w:val="en-US"/>
        </w:rPr>
        <w:t>l</w:t>
      </w:r>
      <w:r w:rsidRPr="00273DDA">
        <w:rPr>
          <w:rFonts w:ascii="Arial" w:hAnsi="Arial" w:cs="Arial"/>
          <w:sz w:val="22"/>
          <w:szCs w:val="22"/>
          <w:lang w:val="en-US"/>
        </w:rPr>
        <w:t>ume and price limitation, and reporting r</w:t>
      </w:r>
      <w:r w:rsidR="00E23880">
        <w:rPr>
          <w:rFonts w:ascii="Arial" w:hAnsi="Arial" w:cs="Arial"/>
          <w:sz w:val="22"/>
          <w:szCs w:val="22"/>
          <w:lang w:val="en-US"/>
        </w:rPr>
        <w:t xml:space="preserve">equirements are complied with. </w:t>
      </w:r>
      <w:r w:rsidRPr="00273DDA">
        <w:rPr>
          <w:rFonts w:ascii="Arial" w:hAnsi="Arial" w:cs="Arial"/>
          <w:sz w:val="22"/>
          <w:szCs w:val="22"/>
          <w:lang w:val="en-US"/>
        </w:rPr>
        <w:t xml:space="preserve">To comply with the public disclosure of aggregated volume per day and per venue, trades not executed on a trading venue should be identified as OTC. </w:t>
      </w:r>
    </w:p>
    <w:p w:rsidR="00273DDA" w:rsidRDefault="00273DDA" w:rsidP="00273DDA">
      <w:pPr>
        <w:jc w:val="both"/>
        <w:rPr>
          <w:rFonts w:ascii="Arial" w:hAnsi="Arial" w:cs="Arial"/>
          <w:sz w:val="22"/>
          <w:szCs w:val="22"/>
          <w:lang w:val="en-US"/>
        </w:rPr>
      </w:pPr>
    </w:p>
    <w:p w:rsidR="00E23880" w:rsidRDefault="00E23880" w:rsidP="00273DDA">
      <w:pPr>
        <w:jc w:val="both"/>
        <w:rPr>
          <w:rFonts w:ascii="Arial" w:hAnsi="Arial" w:cs="Arial"/>
          <w:sz w:val="22"/>
          <w:szCs w:val="22"/>
          <w:lang w:val="en-US"/>
        </w:rPr>
      </w:pPr>
    </w:p>
    <w:p w:rsidR="00E23880" w:rsidRPr="00273DDA" w:rsidRDefault="00E23880" w:rsidP="00273DDA">
      <w:pPr>
        <w:jc w:val="both"/>
        <w:rPr>
          <w:rFonts w:ascii="Arial" w:hAnsi="Arial" w:cs="Arial"/>
          <w:sz w:val="22"/>
          <w:szCs w:val="22"/>
          <w:lang w:val="en-US"/>
        </w:rPr>
      </w:pPr>
    </w:p>
    <w:p w:rsidR="00273DDA" w:rsidRPr="00273DDA" w:rsidRDefault="00273DDA" w:rsidP="00273DDA">
      <w:pPr>
        <w:pStyle w:val="CommentText"/>
        <w:jc w:val="both"/>
        <w:rPr>
          <w:rFonts w:ascii="Arial" w:hAnsi="Arial" w:cs="Arial"/>
          <w:b/>
          <w:bCs/>
          <w:i/>
          <w:sz w:val="22"/>
          <w:szCs w:val="22"/>
        </w:rPr>
      </w:pPr>
      <w:r w:rsidRPr="00273DDA">
        <w:rPr>
          <w:rFonts w:ascii="Arial" w:hAnsi="Arial" w:cs="Arial"/>
          <w:b/>
          <w:bCs/>
          <w:i/>
          <w:sz w:val="22"/>
          <w:szCs w:val="22"/>
        </w:rPr>
        <w:lastRenderedPageBreak/>
        <w:t>Volume limit for buy-backs</w:t>
      </w:r>
    </w:p>
    <w:p w:rsidR="00273DDA" w:rsidRPr="00273DDA" w:rsidRDefault="00273DDA" w:rsidP="00273DDA">
      <w:pPr>
        <w:pStyle w:val="CommentText"/>
        <w:jc w:val="both"/>
        <w:rPr>
          <w:rFonts w:ascii="Arial" w:hAnsi="Arial" w:cs="Arial"/>
          <w:b/>
          <w:bCs/>
          <w:sz w:val="22"/>
          <w:szCs w:val="22"/>
          <w:u w:val="single"/>
        </w:rPr>
      </w:pPr>
    </w:p>
    <w:p w:rsidR="00273DDA" w:rsidRPr="00273DDA" w:rsidRDefault="00273DDA" w:rsidP="00273DDA">
      <w:pPr>
        <w:pStyle w:val="CommentText"/>
        <w:jc w:val="both"/>
        <w:rPr>
          <w:rFonts w:ascii="Arial" w:hAnsi="Arial" w:cs="Arial"/>
          <w:i/>
          <w:color w:val="FF0000"/>
          <w:sz w:val="22"/>
          <w:szCs w:val="22"/>
        </w:rPr>
      </w:pPr>
      <w:r w:rsidRPr="00273DDA">
        <w:rPr>
          <w:rFonts w:ascii="Arial" w:hAnsi="Arial" w:cs="Arial"/>
          <w:sz w:val="22"/>
          <w:szCs w:val="22"/>
        </w:rPr>
        <w:t xml:space="preserve">We would strongly argue for the maintenance the 50% volume limit to cater for </w:t>
      </w:r>
      <w:r w:rsidRPr="00273DDA">
        <w:rPr>
          <w:rFonts w:ascii="Arial" w:hAnsi="Arial" w:cs="Arial"/>
          <w:sz w:val="22"/>
          <w:szCs w:val="22"/>
          <w:lang w:val="en-US"/>
        </w:rPr>
        <w:t>stocks with low liquidity. If buy-backs were to be conducted in illiquid stocks a higher thresholds would be ne</w:t>
      </w:r>
      <w:r w:rsidRPr="00273DDA">
        <w:rPr>
          <w:rFonts w:ascii="Arial" w:hAnsi="Arial" w:cs="Arial"/>
          <w:sz w:val="22"/>
          <w:szCs w:val="22"/>
          <w:lang w:val="en-US"/>
        </w:rPr>
        <w:t>c</w:t>
      </w:r>
      <w:r w:rsidR="00E23880">
        <w:rPr>
          <w:rFonts w:ascii="Arial" w:hAnsi="Arial" w:cs="Arial"/>
          <w:sz w:val="22"/>
          <w:szCs w:val="22"/>
          <w:lang w:val="en-US"/>
        </w:rPr>
        <w:t xml:space="preserve">essary for these stocks. </w:t>
      </w:r>
      <w:r w:rsidRPr="00273DDA">
        <w:rPr>
          <w:rFonts w:ascii="Arial" w:hAnsi="Arial" w:cs="Arial"/>
          <w:sz w:val="22"/>
          <w:szCs w:val="22"/>
        </w:rPr>
        <w:t>The maintenance of an extended volume limitation allows for a more flexible approach in extreme circumstances, and it seems clear that the flexibility has not been abused</w:t>
      </w:r>
      <w:r w:rsidR="00E23880">
        <w:rPr>
          <w:rFonts w:ascii="Arial" w:hAnsi="Arial" w:cs="Arial"/>
          <w:sz w:val="22"/>
          <w:szCs w:val="22"/>
        </w:rPr>
        <w:t>.</w:t>
      </w:r>
    </w:p>
    <w:p w:rsidR="00273DDA" w:rsidRPr="00273DDA" w:rsidRDefault="00273DDA" w:rsidP="00273DDA">
      <w:pPr>
        <w:pStyle w:val="CommentText"/>
        <w:jc w:val="both"/>
        <w:rPr>
          <w:rFonts w:ascii="Arial" w:hAnsi="Arial" w:cs="Arial"/>
          <w:sz w:val="22"/>
          <w:szCs w:val="22"/>
          <w:lang w:val="en-US"/>
        </w:rPr>
      </w:pPr>
    </w:p>
    <w:p w:rsidR="00273DDA" w:rsidRPr="00273DDA" w:rsidRDefault="00273DDA" w:rsidP="00273DDA">
      <w:pPr>
        <w:pStyle w:val="Body1"/>
        <w:ind w:left="0"/>
        <w:rPr>
          <w:b/>
          <w:i/>
          <w:sz w:val="22"/>
          <w:szCs w:val="22"/>
          <w:lang w:val="en-US"/>
        </w:rPr>
      </w:pPr>
      <w:r w:rsidRPr="00273DDA">
        <w:rPr>
          <w:b/>
          <w:i/>
          <w:sz w:val="22"/>
          <w:szCs w:val="22"/>
          <w:lang w:val="en-US"/>
        </w:rPr>
        <w:t>Per venue volume limit</w:t>
      </w:r>
    </w:p>
    <w:p w:rsidR="00273DDA" w:rsidRPr="00273DDA" w:rsidRDefault="00273DDA" w:rsidP="00273DDA">
      <w:pPr>
        <w:jc w:val="both"/>
        <w:rPr>
          <w:rFonts w:ascii="Arial" w:hAnsi="Arial" w:cs="Arial"/>
          <w:sz w:val="22"/>
          <w:szCs w:val="22"/>
          <w:lang w:val="en-US"/>
        </w:rPr>
      </w:pPr>
      <w:r w:rsidRPr="00273DDA">
        <w:rPr>
          <w:rFonts w:ascii="Arial" w:hAnsi="Arial" w:cs="Arial"/>
          <w:sz w:val="22"/>
          <w:szCs w:val="22"/>
          <w:lang w:val="en-US"/>
        </w:rPr>
        <w:t xml:space="preserve">We believe that further consideration should be given to the impact of a per venue volume limit. Some issuers may be limited by company law requirements to make repurchases on certain types of venue. It should be open to them to benefit from </w:t>
      </w:r>
      <w:proofErr w:type="gramStart"/>
      <w:r w:rsidRPr="00273DDA">
        <w:rPr>
          <w:rFonts w:ascii="Arial" w:hAnsi="Arial" w:cs="Arial"/>
          <w:sz w:val="22"/>
          <w:szCs w:val="22"/>
          <w:lang w:val="en-US"/>
        </w:rPr>
        <w:t>a greater</w:t>
      </w:r>
      <w:proofErr w:type="gramEnd"/>
      <w:r w:rsidRPr="00273DDA">
        <w:rPr>
          <w:rFonts w:ascii="Arial" w:hAnsi="Arial" w:cs="Arial"/>
          <w:sz w:val="22"/>
          <w:szCs w:val="22"/>
          <w:lang w:val="en-US"/>
        </w:rPr>
        <w:t xml:space="preserve"> aggregate market liquidity within the safe</w:t>
      </w:r>
      <w:r w:rsidR="00E23880">
        <w:rPr>
          <w:rFonts w:ascii="Arial" w:hAnsi="Arial" w:cs="Arial"/>
          <w:sz w:val="22"/>
          <w:szCs w:val="22"/>
          <w:lang w:val="en-US"/>
        </w:rPr>
        <w:t>-</w:t>
      </w:r>
      <w:r w:rsidRPr="00273DDA">
        <w:rPr>
          <w:rFonts w:ascii="Arial" w:hAnsi="Arial" w:cs="Arial"/>
          <w:sz w:val="22"/>
          <w:szCs w:val="22"/>
          <w:lang w:val="en-US"/>
        </w:rPr>
        <w:t>harbour.</w:t>
      </w:r>
    </w:p>
    <w:p w:rsidR="00273DDA" w:rsidRPr="00273DDA" w:rsidRDefault="00273DDA" w:rsidP="00273DDA">
      <w:pPr>
        <w:jc w:val="both"/>
        <w:rPr>
          <w:rFonts w:ascii="Arial" w:hAnsi="Arial" w:cs="Arial"/>
          <w:sz w:val="22"/>
          <w:szCs w:val="22"/>
          <w:lang w:val="en-US"/>
        </w:rPr>
      </w:pPr>
    </w:p>
    <w:p w:rsidR="00273DDA" w:rsidRPr="00273DDA" w:rsidRDefault="00273DDA" w:rsidP="00273DDA">
      <w:pPr>
        <w:jc w:val="both"/>
        <w:rPr>
          <w:rFonts w:ascii="Arial" w:hAnsi="Arial" w:cs="Arial"/>
          <w:sz w:val="22"/>
          <w:szCs w:val="22"/>
          <w:lang w:val="en-US"/>
        </w:rPr>
      </w:pPr>
      <w:r w:rsidRPr="00273DDA">
        <w:rPr>
          <w:rFonts w:ascii="Arial" w:hAnsi="Arial" w:cs="Arial"/>
          <w:sz w:val="22"/>
          <w:szCs w:val="22"/>
          <w:lang w:val="en-US"/>
        </w:rPr>
        <w:t>In addition, limiting permitted repurchase to 25% on the venue where the repurchase takes place would deny issuers the opportunity to benefit from market fragmentation by purchasing a higher volume of shares on the venue where they can achieve the best price, in a way that is still co</w:t>
      </w:r>
      <w:r w:rsidRPr="00273DDA">
        <w:rPr>
          <w:rFonts w:ascii="Arial" w:hAnsi="Arial" w:cs="Arial"/>
          <w:sz w:val="22"/>
          <w:szCs w:val="22"/>
          <w:lang w:val="en-US"/>
        </w:rPr>
        <w:t>n</w:t>
      </w:r>
      <w:r w:rsidRPr="00273DDA">
        <w:rPr>
          <w:rFonts w:ascii="Arial" w:hAnsi="Arial" w:cs="Arial"/>
          <w:sz w:val="22"/>
          <w:szCs w:val="22"/>
          <w:lang w:val="en-US"/>
        </w:rPr>
        <w:t>sistent with the principles of the safe</w:t>
      </w:r>
      <w:r w:rsidR="00E23880">
        <w:rPr>
          <w:rFonts w:ascii="Arial" w:hAnsi="Arial" w:cs="Arial"/>
          <w:sz w:val="22"/>
          <w:szCs w:val="22"/>
          <w:lang w:val="en-US"/>
        </w:rPr>
        <w:t>-</w:t>
      </w:r>
      <w:r w:rsidRPr="00273DDA">
        <w:rPr>
          <w:rFonts w:ascii="Arial" w:hAnsi="Arial" w:cs="Arial"/>
          <w:sz w:val="22"/>
          <w:szCs w:val="22"/>
          <w:lang w:val="en-US"/>
        </w:rPr>
        <w:t>harbour.</w:t>
      </w:r>
    </w:p>
    <w:p w:rsidR="00273DDA" w:rsidRPr="00273DDA" w:rsidRDefault="00273DDA" w:rsidP="00273DDA">
      <w:pPr>
        <w:jc w:val="both"/>
        <w:rPr>
          <w:rFonts w:ascii="Arial" w:hAnsi="Arial" w:cs="Arial"/>
          <w:sz w:val="22"/>
          <w:szCs w:val="22"/>
          <w:lang w:val="en-US"/>
        </w:rPr>
      </w:pPr>
    </w:p>
    <w:p w:rsidR="00273DDA" w:rsidRPr="00273DDA" w:rsidRDefault="00273DDA" w:rsidP="00273DDA">
      <w:pPr>
        <w:jc w:val="both"/>
        <w:rPr>
          <w:rFonts w:ascii="Arial" w:hAnsi="Arial" w:cs="Arial"/>
          <w:sz w:val="22"/>
          <w:szCs w:val="22"/>
          <w:lang w:val="en-US"/>
        </w:rPr>
      </w:pPr>
      <w:r w:rsidRPr="00273DDA">
        <w:rPr>
          <w:rFonts w:ascii="Arial" w:hAnsi="Arial" w:cs="Arial"/>
          <w:sz w:val="22"/>
          <w:szCs w:val="22"/>
          <w:lang w:val="en-US"/>
        </w:rPr>
        <w:t>We think it should be open for issuers to use an aggregate calculation. For an issuer to have flexibility to determine an aggregate market volume need not oblige all issuers to perform this calculation since applying a per-venue limit will inevitably also be compliant with an aggregate volume limit.</w:t>
      </w:r>
    </w:p>
    <w:p w:rsidR="00273DDA" w:rsidRPr="00273DDA" w:rsidRDefault="00273DDA" w:rsidP="00273DDA">
      <w:pPr>
        <w:jc w:val="both"/>
        <w:rPr>
          <w:rFonts w:ascii="Arial" w:hAnsi="Arial" w:cs="Arial"/>
          <w:sz w:val="22"/>
          <w:szCs w:val="22"/>
          <w:lang w:val="en-US"/>
        </w:rPr>
      </w:pPr>
    </w:p>
    <w:p w:rsidR="00273DDA" w:rsidRPr="00273DDA" w:rsidRDefault="00273DDA" w:rsidP="00273DDA">
      <w:pPr>
        <w:jc w:val="both"/>
        <w:rPr>
          <w:rFonts w:ascii="Arial" w:hAnsi="Arial" w:cs="Arial"/>
          <w:sz w:val="22"/>
          <w:szCs w:val="22"/>
          <w:lang w:val="en-US"/>
        </w:rPr>
      </w:pPr>
      <w:r w:rsidRPr="00273DDA">
        <w:rPr>
          <w:rFonts w:ascii="Arial" w:hAnsi="Arial" w:cs="Arial"/>
          <w:sz w:val="22"/>
          <w:szCs w:val="22"/>
          <w:lang w:val="en-US"/>
        </w:rPr>
        <w:t>We also believe it would be helpful for ESMA to make clear that share purchases made on a riskless principal basis, where the corresponding transaction being made on a trading venue, are also within the safe</w:t>
      </w:r>
      <w:r w:rsidR="00E23880">
        <w:rPr>
          <w:rFonts w:ascii="Arial" w:hAnsi="Arial" w:cs="Arial"/>
          <w:sz w:val="22"/>
          <w:szCs w:val="22"/>
          <w:lang w:val="en-US"/>
        </w:rPr>
        <w:t>-</w:t>
      </w:r>
      <w:r w:rsidRPr="00273DDA">
        <w:rPr>
          <w:rFonts w:ascii="Arial" w:hAnsi="Arial" w:cs="Arial"/>
          <w:sz w:val="22"/>
          <w:szCs w:val="22"/>
          <w:lang w:val="en-US"/>
        </w:rPr>
        <w:t xml:space="preserve">harbour. Such transactions should be viewed as a whole rather than a trade leg by trade leg basis.  </w:t>
      </w:r>
    </w:p>
    <w:p w:rsidR="00273DDA" w:rsidRPr="00273DDA" w:rsidRDefault="00273DDA" w:rsidP="00273DDA">
      <w:pPr>
        <w:jc w:val="both"/>
        <w:rPr>
          <w:rFonts w:ascii="Arial" w:hAnsi="Arial" w:cs="Arial"/>
          <w:sz w:val="22"/>
          <w:szCs w:val="22"/>
        </w:rPr>
      </w:pPr>
      <w:r w:rsidRPr="00273DDA">
        <w:rPr>
          <w:rFonts w:ascii="Arial" w:hAnsi="Arial" w:cs="Arial"/>
          <w:sz w:val="22"/>
          <w:szCs w:val="22"/>
        </w:rPr>
        <w:t>.</w:t>
      </w:r>
    </w:p>
    <w:p w:rsidR="00273DDA" w:rsidRPr="00273DDA" w:rsidRDefault="00273DDA" w:rsidP="00273DDA">
      <w:pPr>
        <w:pStyle w:val="Body1"/>
        <w:ind w:left="0"/>
        <w:rPr>
          <w:i/>
          <w:sz w:val="22"/>
          <w:szCs w:val="22"/>
          <w:lang w:val="en-US"/>
        </w:rPr>
      </w:pPr>
      <w:r w:rsidRPr="00273DDA">
        <w:rPr>
          <w:b/>
          <w:bCs/>
          <w:i/>
          <w:sz w:val="22"/>
          <w:szCs w:val="22"/>
          <w:lang w:val="en-US"/>
        </w:rPr>
        <w:t>Disclosure to competent authorities:</w:t>
      </w:r>
      <w:r w:rsidRPr="00273DDA">
        <w:rPr>
          <w:i/>
          <w:sz w:val="22"/>
          <w:szCs w:val="22"/>
          <w:lang w:val="en-US"/>
        </w:rPr>
        <w:t xml:space="preserve"> </w:t>
      </w:r>
    </w:p>
    <w:p w:rsidR="00273DDA" w:rsidRPr="00273DDA" w:rsidRDefault="00273DDA" w:rsidP="00273DDA">
      <w:pPr>
        <w:jc w:val="both"/>
        <w:rPr>
          <w:rFonts w:ascii="Arial" w:hAnsi="Arial" w:cs="Arial"/>
          <w:sz w:val="22"/>
          <w:szCs w:val="22"/>
          <w:lang w:val="en-US"/>
        </w:rPr>
      </w:pPr>
      <w:r w:rsidRPr="00273DDA">
        <w:rPr>
          <w:rFonts w:ascii="Arial" w:hAnsi="Arial" w:cs="Arial"/>
          <w:sz w:val="22"/>
          <w:szCs w:val="22"/>
          <w:lang w:val="en-US"/>
        </w:rPr>
        <w:t>We do not agree with the ESMA interpretation that the MAR Level 1 text precludes firms from sending the reports to a single competent authority, and we do not support the proposal that, in cases of multiple listings, buy-back transactions should be reported to more than one competent authority across Europe.</w:t>
      </w:r>
    </w:p>
    <w:p w:rsidR="00273DDA" w:rsidRPr="00273DDA" w:rsidRDefault="00273DDA" w:rsidP="00273DDA">
      <w:pPr>
        <w:jc w:val="both"/>
        <w:rPr>
          <w:rFonts w:ascii="Arial" w:hAnsi="Arial" w:cs="Arial"/>
          <w:sz w:val="22"/>
          <w:szCs w:val="22"/>
          <w:lang w:val="en-US"/>
        </w:rPr>
      </w:pPr>
    </w:p>
    <w:p w:rsidR="00273DDA" w:rsidRPr="00273DDA" w:rsidRDefault="00273DDA" w:rsidP="00273DDA">
      <w:pPr>
        <w:jc w:val="both"/>
        <w:rPr>
          <w:rFonts w:ascii="Arial" w:hAnsi="Arial" w:cs="Arial"/>
          <w:sz w:val="22"/>
          <w:szCs w:val="22"/>
          <w:lang w:val="en-US"/>
        </w:rPr>
      </w:pPr>
      <w:r w:rsidRPr="00273DDA">
        <w:rPr>
          <w:rFonts w:ascii="Arial" w:hAnsi="Arial" w:cs="Arial"/>
          <w:sz w:val="22"/>
          <w:szCs w:val="22"/>
          <w:lang w:val="en-US"/>
        </w:rPr>
        <w:t xml:space="preserve">We note that Article 5(3) of MAR states that issuers should report to the competent authority of the trading venue on which the shares have been admitted to trading ‘or’ the trading venue on which the shares are traded. Furthermore, we note the ‘or’ is intended to capture instruments for which there is no process of admission to trading, such as instrument traded on </w:t>
      </w:r>
      <w:proofErr w:type="spellStart"/>
      <w:r w:rsidRPr="00273DDA">
        <w:rPr>
          <w:rFonts w:ascii="Arial" w:hAnsi="Arial" w:cs="Arial"/>
          <w:sz w:val="22"/>
          <w:szCs w:val="22"/>
          <w:lang w:val="en-US"/>
        </w:rPr>
        <w:t>Organised</w:t>
      </w:r>
      <w:proofErr w:type="spellEnd"/>
      <w:r w:rsidRPr="00273DDA">
        <w:rPr>
          <w:rFonts w:ascii="Arial" w:hAnsi="Arial" w:cs="Arial"/>
          <w:sz w:val="22"/>
          <w:szCs w:val="22"/>
          <w:lang w:val="en-US"/>
        </w:rPr>
        <w:t xml:space="preserve"> Trading Facilities under </w:t>
      </w:r>
      <w:proofErr w:type="spellStart"/>
      <w:r w:rsidRPr="00273DDA">
        <w:rPr>
          <w:rFonts w:ascii="Arial" w:hAnsi="Arial" w:cs="Arial"/>
          <w:sz w:val="22"/>
          <w:szCs w:val="22"/>
          <w:lang w:val="en-US"/>
        </w:rPr>
        <w:t>MiFID</w:t>
      </w:r>
      <w:proofErr w:type="spellEnd"/>
      <w:r w:rsidRPr="00273DDA">
        <w:rPr>
          <w:rFonts w:ascii="Arial" w:hAnsi="Arial" w:cs="Arial"/>
          <w:sz w:val="22"/>
          <w:szCs w:val="22"/>
          <w:lang w:val="en-US"/>
        </w:rPr>
        <w:t xml:space="preserve"> II/R.  Had the intention of the legislators been to suggest reporting to every venue, the text of 5 (3) would have stated ‘</w:t>
      </w:r>
      <w:r w:rsidRPr="00273DDA">
        <w:rPr>
          <w:rFonts w:ascii="Arial" w:hAnsi="Arial" w:cs="Arial"/>
          <w:i/>
          <w:sz w:val="22"/>
          <w:szCs w:val="22"/>
          <w:lang w:val="en-US"/>
        </w:rPr>
        <w:t>each</w:t>
      </w:r>
      <w:r w:rsidRPr="00273DDA">
        <w:rPr>
          <w:rFonts w:ascii="Arial" w:hAnsi="Arial" w:cs="Arial"/>
          <w:sz w:val="22"/>
          <w:szCs w:val="22"/>
          <w:lang w:val="en-US"/>
        </w:rPr>
        <w:t xml:space="preserve"> trading venue/the trading venue</w:t>
      </w:r>
      <w:r w:rsidRPr="00273DDA">
        <w:rPr>
          <w:rFonts w:ascii="Arial" w:hAnsi="Arial" w:cs="Arial"/>
          <w:i/>
          <w:sz w:val="22"/>
          <w:szCs w:val="22"/>
          <w:lang w:val="en-US"/>
        </w:rPr>
        <w:t>s</w:t>
      </w:r>
      <w:r w:rsidRPr="00273DDA">
        <w:rPr>
          <w:rFonts w:ascii="Arial" w:hAnsi="Arial" w:cs="Arial"/>
          <w:sz w:val="22"/>
          <w:szCs w:val="22"/>
          <w:lang w:val="en-US"/>
        </w:rPr>
        <w:t>’. As such, this strongly suggests that the Level 1 text does not require the reporting to be made to the Competent Authority of each trading venue (as suggested by ESMA). The interpretation made by ESMA will place a significant and disproportionate burden on issuers.</w:t>
      </w:r>
    </w:p>
    <w:p w:rsidR="00273DDA" w:rsidRPr="00273DDA" w:rsidRDefault="00273DDA" w:rsidP="00273DDA">
      <w:pPr>
        <w:jc w:val="both"/>
        <w:rPr>
          <w:rFonts w:ascii="Arial" w:hAnsi="Arial" w:cs="Arial"/>
          <w:sz w:val="22"/>
          <w:szCs w:val="22"/>
          <w:lang w:val="en-US"/>
        </w:rPr>
      </w:pPr>
    </w:p>
    <w:p w:rsidR="00273DDA" w:rsidRPr="00273DDA" w:rsidRDefault="00273DDA" w:rsidP="00273DDA">
      <w:pPr>
        <w:jc w:val="both"/>
        <w:rPr>
          <w:rFonts w:ascii="Arial" w:hAnsi="Arial" w:cs="Arial"/>
          <w:sz w:val="22"/>
          <w:szCs w:val="22"/>
          <w:lang w:val="en-US"/>
        </w:rPr>
      </w:pPr>
      <w:r w:rsidRPr="00273DDA">
        <w:rPr>
          <w:rFonts w:ascii="Arial" w:hAnsi="Arial" w:cs="Arial"/>
          <w:sz w:val="22"/>
          <w:szCs w:val="22"/>
          <w:lang w:val="en-US"/>
        </w:rPr>
        <w:t>We also note that ESMA’s interpretation requires issuers to report to the Competent Authority of platforms/venues to which they had not made a request for, or given consent to, trading of their shares. This would also contradict the policy intention set out in the provisions of Article 17 (1) second paragraph. In this context the legislator expressly restricted the application of the discl</w:t>
      </w:r>
      <w:r w:rsidRPr="00273DDA">
        <w:rPr>
          <w:rFonts w:ascii="Arial" w:hAnsi="Arial" w:cs="Arial"/>
          <w:sz w:val="22"/>
          <w:szCs w:val="22"/>
          <w:lang w:val="en-US"/>
        </w:rPr>
        <w:t>o</w:t>
      </w:r>
      <w:r w:rsidRPr="00273DDA">
        <w:rPr>
          <w:rFonts w:ascii="Arial" w:hAnsi="Arial" w:cs="Arial"/>
          <w:sz w:val="22"/>
          <w:szCs w:val="22"/>
          <w:lang w:val="en-US"/>
        </w:rPr>
        <w:lastRenderedPageBreak/>
        <w:t>sure requirement to issuers who have approved admission of their financial instrument to trading on a regulated market in a Members State or instruments traded on an MTF or on an OTF where the issuer has approved trading of their financial instrument on an MTF or an OTF or have r</w:t>
      </w:r>
      <w:r w:rsidRPr="00273DDA">
        <w:rPr>
          <w:rFonts w:ascii="Arial" w:hAnsi="Arial" w:cs="Arial"/>
          <w:sz w:val="22"/>
          <w:szCs w:val="22"/>
          <w:lang w:val="en-US"/>
        </w:rPr>
        <w:t>e</w:t>
      </w:r>
      <w:r w:rsidRPr="00273DDA">
        <w:rPr>
          <w:rFonts w:ascii="Arial" w:hAnsi="Arial" w:cs="Arial"/>
          <w:sz w:val="22"/>
          <w:szCs w:val="22"/>
          <w:lang w:val="en-US"/>
        </w:rPr>
        <w:t>quested admission to trading of their financial instruments on an MTF in a Member State.</w:t>
      </w:r>
    </w:p>
    <w:p w:rsidR="00273DDA" w:rsidRPr="00273DDA" w:rsidRDefault="00273DDA" w:rsidP="00273DDA">
      <w:pPr>
        <w:jc w:val="both"/>
        <w:rPr>
          <w:rFonts w:ascii="Arial" w:hAnsi="Arial" w:cs="Arial"/>
          <w:sz w:val="22"/>
          <w:szCs w:val="22"/>
          <w:lang w:val="en-US"/>
        </w:rPr>
      </w:pPr>
    </w:p>
    <w:p w:rsidR="00C8677B" w:rsidRDefault="00273DDA" w:rsidP="00E23880">
      <w:pPr>
        <w:jc w:val="both"/>
        <w:rPr>
          <w:rFonts w:ascii="Arial" w:hAnsi="Arial" w:cs="Arial"/>
          <w:sz w:val="22"/>
          <w:szCs w:val="22"/>
          <w:lang w:val="en-US"/>
        </w:rPr>
      </w:pPr>
      <w:r w:rsidRPr="00273DDA">
        <w:rPr>
          <w:rFonts w:ascii="Arial" w:hAnsi="Arial" w:cs="Arial"/>
          <w:sz w:val="22"/>
          <w:szCs w:val="22"/>
          <w:lang w:val="en-US"/>
        </w:rPr>
        <w:t>In addition, Article 16(4) of MAR on the reporting of suspicious transactions and order reporting implies that competent authorities shall have in place mechanisms to exchange information amongst them.</w:t>
      </w:r>
    </w:p>
    <w:p w:rsidR="00273DDA" w:rsidRDefault="00273DDA" w:rsidP="00273DDA"/>
    <w:permEnd w:id="560103249"/>
    <w:p w:rsidR="00C8677B" w:rsidRDefault="00C8677B" w:rsidP="00C8677B">
      <w:r>
        <w:t>&lt;</w:t>
      </w:r>
      <w:r w:rsidR="00CB6CDD">
        <w:t>ESMA_QUESTION_MAR_TS_</w:t>
      </w:r>
      <w:r>
        <w:t>1&gt;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approach set out for stabilisation measures? If not, please e</w:t>
      </w:r>
      <w:r w:rsidRPr="0091447F">
        <w:t>x</w:t>
      </w:r>
      <w:r w:rsidRPr="0091447F">
        <w:t>plain.</w:t>
      </w:r>
    </w:p>
    <w:p w:rsidR="00C8677B" w:rsidRDefault="00C8677B" w:rsidP="00C8677B">
      <w:r>
        <w:t>&lt;</w:t>
      </w:r>
      <w:r w:rsidR="00CB6CDD">
        <w:t>ESMA_QUESTION_MAR_TS_</w:t>
      </w:r>
      <w:r>
        <w:t>2&gt;</w:t>
      </w:r>
    </w:p>
    <w:p w:rsidR="00273DDA" w:rsidRDefault="00273DDA" w:rsidP="00273DDA">
      <w:pPr>
        <w:jc w:val="both"/>
        <w:rPr>
          <w:rFonts w:ascii="Arial" w:hAnsi="Arial" w:cs="Arial"/>
          <w:sz w:val="22"/>
          <w:szCs w:val="22"/>
          <w:lang w:val="en-US"/>
        </w:rPr>
      </w:pPr>
      <w:permStart w:id="1846308954" w:edGrp="everyone"/>
      <w:r w:rsidRPr="00273DDA">
        <w:rPr>
          <w:rFonts w:ascii="Arial" w:hAnsi="Arial" w:cs="Arial"/>
          <w:sz w:val="22"/>
          <w:szCs w:val="22"/>
          <w:lang w:val="en-US"/>
        </w:rPr>
        <w:t>We believe that if Article 10 is to be included in Annex IV draft RTS, it is important that the reci</w:t>
      </w:r>
      <w:r w:rsidRPr="00273DDA">
        <w:rPr>
          <w:rFonts w:ascii="Arial" w:hAnsi="Arial" w:cs="Arial"/>
          <w:sz w:val="22"/>
          <w:szCs w:val="22"/>
          <w:lang w:val="en-US"/>
        </w:rPr>
        <w:t>t</w:t>
      </w:r>
      <w:r w:rsidRPr="00273DDA">
        <w:rPr>
          <w:rFonts w:ascii="Arial" w:hAnsi="Arial" w:cs="Arial"/>
          <w:sz w:val="22"/>
          <w:szCs w:val="22"/>
          <w:lang w:val="en-US"/>
        </w:rPr>
        <w:t>als should note that the mere act of selling securities will not be deemed abusive solely because it falls outside the scope of the safe</w:t>
      </w:r>
      <w:r w:rsidR="00E23880">
        <w:rPr>
          <w:rFonts w:ascii="Arial" w:hAnsi="Arial" w:cs="Arial"/>
          <w:sz w:val="22"/>
          <w:szCs w:val="22"/>
          <w:lang w:val="en-US"/>
        </w:rPr>
        <w:t>-</w:t>
      </w:r>
      <w:r w:rsidRPr="00273DDA">
        <w:rPr>
          <w:rFonts w:ascii="Arial" w:hAnsi="Arial" w:cs="Arial"/>
          <w:sz w:val="22"/>
          <w:szCs w:val="22"/>
          <w:lang w:val="en-US"/>
        </w:rPr>
        <w:t>harbour.</w:t>
      </w:r>
    </w:p>
    <w:p w:rsidR="00273DDA" w:rsidRPr="00273DDA" w:rsidRDefault="00273DDA" w:rsidP="00273DDA">
      <w:pPr>
        <w:jc w:val="both"/>
        <w:rPr>
          <w:rFonts w:ascii="Arial" w:hAnsi="Arial" w:cs="Arial"/>
          <w:sz w:val="22"/>
          <w:szCs w:val="22"/>
          <w:lang w:val="en-US"/>
        </w:rPr>
      </w:pPr>
    </w:p>
    <w:p w:rsidR="00273DDA" w:rsidRPr="00273DDA" w:rsidRDefault="00273DDA" w:rsidP="00273DDA">
      <w:pPr>
        <w:jc w:val="both"/>
        <w:rPr>
          <w:rFonts w:ascii="Arial" w:hAnsi="Arial" w:cs="Arial"/>
          <w:sz w:val="22"/>
          <w:szCs w:val="22"/>
          <w:lang w:val="en-US"/>
        </w:rPr>
      </w:pPr>
      <w:r w:rsidRPr="00273DDA">
        <w:rPr>
          <w:rFonts w:ascii="Arial" w:hAnsi="Arial" w:cs="Arial"/>
          <w:sz w:val="22"/>
          <w:szCs w:val="22"/>
          <w:lang w:val="en-US"/>
        </w:rPr>
        <w:t>It is common practice to have a "coordinating stabilisation manager" who would make reports centrally.</w:t>
      </w:r>
    </w:p>
    <w:p w:rsidR="00273DDA" w:rsidRPr="00273DDA" w:rsidRDefault="00273DDA" w:rsidP="00273DDA">
      <w:pPr>
        <w:jc w:val="both"/>
        <w:rPr>
          <w:rFonts w:ascii="Arial" w:hAnsi="Arial" w:cs="Arial"/>
          <w:sz w:val="22"/>
          <w:szCs w:val="22"/>
          <w:lang w:val="en-US"/>
        </w:rPr>
      </w:pPr>
    </w:p>
    <w:p w:rsidR="00273DDA" w:rsidRPr="00273DDA" w:rsidRDefault="00273DDA" w:rsidP="00273DDA">
      <w:pPr>
        <w:jc w:val="both"/>
        <w:rPr>
          <w:rFonts w:ascii="Arial" w:hAnsi="Arial" w:cs="Arial"/>
          <w:sz w:val="22"/>
          <w:szCs w:val="22"/>
          <w:lang w:val="en-US"/>
        </w:rPr>
      </w:pPr>
      <w:r w:rsidRPr="00273DDA">
        <w:rPr>
          <w:rFonts w:ascii="Arial" w:hAnsi="Arial" w:cs="Arial"/>
          <w:sz w:val="22"/>
          <w:szCs w:val="22"/>
          <w:lang w:val="en-US"/>
        </w:rPr>
        <w:t xml:space="preserve">Paragraph 45 of the CP and Article 7(3) of the draft RTS envisage that a </w:t>
      </w:r>
      <w:r w:rsidR="00E23880">
        <w:rPr>
          <w:rFonts w:ascii="Arial" w:hAnsi="Arial" w:cs="Arial"/>
          <w:sz w:val="22"/>
          <w:szCs w:val="22"/>
          <w:lang w:val="en-US"/>
        </w:rPr>
        <w:t>‘</w:t>
      </w:r>
      <w:r w:rsidRPr="00273DDA">
        <w:rPr>
          <w:rFonts w:ascii="Arial" w:hAnsi="Arial" w:cs="Arial"/>
          <w:sz w:val="22"/>
          <w:szCs w:val="22"/>
          <w:lang w:val="en-US"/>
        </w:rPr>
        <w:t>stabilisation mana</w:t>
      </w:r>
      <w:r w:rsidRPr="00273DDA">
        <w:rPr>
          <w:rFonts w:ascii="Arial" w:hAnsi="Arial" w:cs="Arial"/>
          <w:sz w:val="22"/>
          <w:szCs w:val="22"/>
          <w:lang w:val="en-US"/>
        </w:rPr>
        <w:t>g</w:t>
      </w:r>
      <w:r w:rsidRPr="00273DDA">
        <w:rPr>
          <w:rFonts w:ascii="Arial" w:hAnsi="Arial" w:cs="Arial"/>
          <w:sz w:val="22"/>
          <w:szCs w:val="22"/>
          <w:lang w:val="en-US"/>
        </w:rPr>
        <w:t>er</w:t>
      </w:r>
      <w:r w:rsidR="00E23880">
        <w:rPr>
          <w:rFonts w:ascii="Arial" w:hAnsi="Arial" w:cs="Arial"/>
          <w:sz w:val="22"/>
          <w:szCs w:val="22"/>
          <w:lang w:val="en-US"/>
        </w:rPr>
        <w:t xml:space="preserve">’ </w:t>
      </w:r>
      <w:r w:rsidRPr="00273DDA">
        <w:rPr>
          <w:rFonts w:ascii="Arial" w:hAnsi="Arial" w:cs="Arial"/>
          <w:sz w:val="22"/>
          <w:szCs w:val="22"/>
          <w:lang w:val="en-US"/>
        </w:rPr>
        <w:t>should be appointed to take responsibility for pre-stabilisation disclosures, and that where se</w:t>
      </w:r>
      <w:r w:rsidRPr="00273DDA">
        <w:rPr>
          <w:rFonts w:ascii="Arial" w:hAnsi="Arial" w:cs="Arial"/>
          <w:sz w:val="22"/>
          <w:szCs w:val="22"/>
          <w:lang w:val="en-US"/>
        </w:rPr>
        <w:t>v</w:t>
      </w:r>
      <w:r w:rsidRPr="00273DDA">
        <w:rPr>
          <w:rFonts w:ascii="Arial" w:hAnsi="Arial" w:cs="Arial"/>
          <w:sz w:val="22"/>
          <w:szCs w:val="22"/>
          <w:lang w:val="en-US"/>
        </w:rPr>
        <w:t>eral firms undertake stabilisation measures, one should act as a "central contact point" in rel</w:t>
      </w:r>
      <w:r w:rsidRPr="00273DDA">
        <w:rPr>
          <w:rFonts w:ascii="Arial" w:hAnsi="Arial" w:cs="Arial"/>
          <w:sz w:val="22"/>
          <w:szCs w:val="22"/>
          <w:lang w:val="en-US"/>
        </w:rPr>
        <w:t>a</w:t>
      </w:r>
      <w:r w:rsidRPr="00273DDA">
        <w:rPr>
          <w:rFonts w:ascii="Arial" w:hAnsi="Arial" w:cs="Arial"/>
          <w:sz w:val="22"/>
          <w:szCs w:val="22"/>
          <w:lang w:val="en-US"/>
        </w:rPr>
        <w:t xml:space="preserve">tion to requests from the competent authorities of the (potentially) multiple trading venues on which the securities have been admitted to trading.  </w:t>
      </w:r>
    </w:p>
    <w:p w:rsidR="00273DDA" w:rsidRPr="00273DDA" w:rsidRDefault="00273DDA" w:rsidP="00273DDA">
      <w:pPr>
        <w:jc w:val="both"/>
        <w:rPr>
          <w:rFonts w:ascii="Arial" w:hAnsi="Arial" w:cs="Arial"/>
          <w:sz w:val="22"/>
          <w:szCs w:val="22"/>
          <w:lang w:val="en-US"/>
        </w:rPr>
      </w:pPr>
    </w:p>
    <w:p w:rsidR="00273DDA" w:rsidRPr="00273DDA" w:rsidRDefault="00273DDA" w:rsidP="00273DDA">
      <w:pPr>
        <w:pStyle w:val="ListParagraph"/>
        <w:numPr>
          <w:ilvl w:val="0"/>
          <w:numId w:val="37"/>
        </w:numPr>
        <w:ind w:left="709" w:hanging="709"/>
        <w:contextualSpacing w:val="0"/>
        <w:jc w:val="both"/>
        <w:rPr>
          <w:rFonts w:ascii="Arial" w:eastAsiaTheme="minorHAnsi" w:hAnsi="Arial" w:cs="Arial"/>
          <w:sz w:val="22"/>
          <w:szCs w:val="22"/>
          <w:lang w:val="en-US" w:eastAsia="en-US"/>
        </w:rPr>
      </w:pPr>
      <w:r w:rsidRPr="00273DDA">
        <w:rPr>
          <w:rFonts w:ascii="Arial" w:eastAsiaTheme="minorHAnsi" w:hAnsi="Arial" w:cs="Arial"/>
          <w:sz w:val="22"/>
          <w:szCs w:val="22"/>
          <w:lang w:val="en-US" w:eastAsia="en-US"/>
        </w:rPr>
        <w:t>It is unclear whether ESMA envisages that this central contact point should be the coo</w:t>
      </w:r>
      <w:r w:rsidRPr="00273DDA">
        <w:rPr>
          <w:rFonts w:ascii="Arial" w:eastAsiaTheme="minorHAnsi" w:hAnsi="Arial" w:cs="Arial"/>
          <w:sz w:val="22"/>
          <w:szCs w:val="22"/>
          <w:lang w:val="en-US" w:eastAsia="en-US"/>
        </w:rPr>
        <w:t>r</w:t>
      </w:r>
      <w:r w:rsidRPr="00273DDA">
        <w:rPr>
          <w:rFonts w:ascii="Arial" w:eastAsiaTheme="minorHAnsi" w:hAnsi="Arial" w:cs="Arial"/>
          <w:sz w:val="22"/>
          <w:szCs w:val="22"/>
          <w:lang w:val="en-US" w:eastAsia="en-US"/>
        </w:rPr>
        <w:t>dinating stabilisation manager" as per the common practice described above.</w:t>
      </w:r>
    </w:p>
    <w:p w:rsidR="00273DDA" w:rsidRPr="00273DDA" w:rsidRDefault="00273DDA" w:rsidP="00273DDA">
      <w:pPr>
        <w:pStyle w:val="ListParagraph"/>
        <w:ind w:left="709" w:hanging="709"/>
        <w:jc w:val="both"/>
        <w:rPr>
          <w:rFonts w:ascii="Arial" w:eastAsiaTheme="minorHAnsi" w:hAnsi="Arial" w:cs="Arial"/>
          <w:sz w:val="22"/>
          <w:szCs w:val="22"/>
          <w:lang w:val="en-US" w:eastAsia="en-US"/>
        </w:rPr>
      </w:pPr>
    </w:p>
    <w:p w:rsidR="00273DDA" w:rsidRPr="00273DDA" w:rsidRDefault="00273DDA" w:rsidP="00273DDA">
      <w:pPr>
        <w:pStyle w:val="ListParagraph"/>
        <w:numPr>
          <w:ilvl w:val="0"/>
          <w:numId w:val="37"/>
        </w:numPr>
        <w:ind w:left="709" w:hanging="709"/>
        <w:contextualSpacing w:val="0"/>
        <w:jc w:val="both"/>
        <w:rPr>
          <w:rFonts w:ascii="Arial" w:eastAsiaTheme="minorHAnsi" w:hAnsi="Arial" w:cs="Arial"/>
          <w:sz w:val="22"/>
          <w:szCs w:val="22"/>
          <w:lang w:val="en-US" w:eastAsia="en-US"/>
        </w:rPr>
      </w:pPr>
      <w:r w:rsidRPr="00273DDA">
        <w:rPr>
          <w:rFonts w:ascii="Arial" w:eastAsiaTheme="minorHAnsi" w:hAnsi="Arial" w:cs="Arial"/>
          <w:sz w:val="22"/>
          <w:szCs w:val="22"/>
          <w:lang w:val="en-US" w:eastAsia="en-US"/>
        </w:rPr>
        <w:t xml:space="preserve">Paragraph 47 of the CP proposes that the entity undertaking </w:t>
      </w:r>
      <w:r w:rsidR="00E23880">
        <w:rPr>
          <w:rFonts w:ascii="Arial" w:eastAsiaTheme="minorHAnsi" w:hAnsi="Arial" w:cs="Arial"/>
          <w:sz w:val="22"/>
          <w:szCs w:val="22"/>
          <w:lang w:val="en-US" w:eastAsia="en-US"/>
        </w:rPr>
        <w:t>‘</w:t>
      </w:r>
      <w:r w:rsidRPr="00273DDA">
        <w:rPr>
          <w:rFonts w:ascii="Arial" w:eastAsiaTheme="minorHAnsi" w:hAnsi="Arial" w:cs="Arial"/>
          <w:sz w:val="22"/>
          <w:szCs w:val="22"/>
          <w:lang w:val="en-US" w:eastAsia="en-US"/>
        </w:rPr>
        <w:t>the stabilisation measures</w:t>
      </w:r>
      <w:r w:rsidR="00E23880">
        <w:rPr>
          <w:rFonts w:ascii="Arial" w:eastAsiaTheme="minorHAnsi" w:hAnsi="Arial" w:cs="Arial"/>
          <w:sz w:val="22"/>
          <w:szCs w:val="22"/>
          <w:lang w:val="en-US" w:eastAsia="en-US"/>
        </w:rPr>
        <w:t>’</w:t>
      </w:r>
      <w:r w:rsidRPr="00273DDA">
        <w:rPr>
          <w:rFonts w:ascii="Arial" w:eastAsiaTheme="minorHAnsi" w:hAnsi="Arial" w:cs="Arial"/>
          <w:sz w:val="22"/>
          <w:szCs w:val="22"/>
          <w:lang w:val="en-US" w:eastAsia="en-US"/>
        </w:rPr>
        <w:t xml:space="preserve"> should have exclusive responsibility for reporting to the competent authority of the trading venue on which the relevant stabilisation transactions took place.  Plainly each party u</w:t>
      </w:r>
      <w:r w:rsidRPr="00273DDA">
        <w:rPr>
          <w:rFonts w:ascii="Arial" w:eastAsiaTheme="minorHAnsi" w:hAnsi="Arial" w:cs="Arial"/>
          <w:sz w:val="22"/>
          <w:szCs w:val="22"/>
          <w:lang w:val="en-US" w:eastAsia="en-US"/>
        </w:rPr>
        <w:t>n</w:t>
      </w:r>
      <w:r w:rsidRPr="00273DDA">
        <w:rPr>
          <w:rFonts w:ascii="Arial" w:eastAsiaTheme="minorHAnsi" w:hAnsi="Arial" w:cs="Arial"/>
          <w:sz w:val="22"/>
          <w:szCs w:val="22"/>
          <w:lang w:val="en-US" w:eastAsia="en-US"/>
        </w:rPr>
        <w:t xml:space="preserve">dertaking stabilisation measures should have responsibility for recording and reporting the stabilisation transactions it has undertaken.  </w:t>
      </w:r>
    </w:p>
    <w:p w:rsidR="00273DDA" w:rsidRPr="00273DDA" w:rsidRDefault="00273DDA" w:rsidP="00273DDA">
      <w:pPr>
        <w:pStyle w:val="ListParagraph"/>
        <w:ind w:left="0"/>
        <w:jc w:val="both"/>
        <w:rPr>
          <w:rFonts w:ascii="Arial" w:eastAsiaTheme="minorHAnsi" w:hAnsi="Arial" w:cs="Arial"/>
          <w:sz w:val="22"/>
          <w:szCs w:val="22"/>
          <w:lang w:val="en-US" w:eastAsia="en-US"/>
        </w:rPr>
      </w:pPr>
    </w:p>
    <w:p w:rsidR="00C8677B" w:rsidRPr="00273DDA" w:rsidRDefault="00273DDA" w:rsidP="00273DDA">
      <w:pPr>
        <w:jc w:val="both"/>
        <w:rPr>
          <w:rFonts w:ascii="Arial" w:hAnsi="Arial" w:cs="Arial"/>
          <w:sz w:val="22"/>
          <w:szCs w:val="22"/>
        </w:rPr>
      </w:pPr>
      <w:r w:rsidRPr="00273DDA">
        <w:rPr>
          <w:rFonts w:ascii="Arial" w:eastAsiaTheme="minorHAnsi" w:hAnsi="Arial" w:cs="Arial"/>
          <w:sz w:val="22"/>
          <w:szCs w:val="22"/>
          <w:lang w:val="en-US" w:eastAsia="en-US"/>
        </w:rPr>
        <w:t xml:space="preserve">In view of the established practice of appointing a </w:t>
      </w:r>
      <w:r w:rsidR="00E23880">
        <w:rPr>
          <w:rFonts w:ascii="Arial" w:eastAsiaTheme="minorHAnsi" w:hAnsi="Arial" w:cs="Arial"/>
          <w:sz w:val="22"/>
          <w:szCs w:val="22"/>
          <w:lang w:val="en-US" w:eastAsia="en-US"/>
        </w:rPr>
        <w:t>‘</w:t>
      </w:r>
      <w:r w:rsidRPr="00273DDA">
        <w:rPr>
          <w:rFonts w:ascii="Arial" w:eastAsiaTheme="minorHAnsi" w:hAnsi="Arial" w:cs="Arial"/>
          <w:sz w:val="22"/>
          <w:szCs w:val="22"/>
          <w:lang w:val="en-US" w:eastAsia="en-US"/>
        </w:rPr>
        <w:t>coordinating stabilisation manager</w:t>
      </w:r>
      <w:r w:rsidR="00E23880">
        <w:rPr>
          <w:rFonts w:ascii="Arial" w:eastAsiaTheme="minorHAnsi" w:hAnsi="Arial" w:cs="Arial"/>
          <w:sz w:val="22"/>
          <w:szCs w:val="22"/>
          <w:lang w:val="en-US" w:eastAsia="en-US"/>
        </w:rPr>
        <w:t>’</w:t>
      </w:r>
      <w:r w:rsidRPr="00273DDA">
        <w:rPr>
          <w:rFonts w:ascii="Arial" w:eastAsiaTheme="minorHAnsi" w:hAnsi="Arial" w:cs="Arial"/>
          <w:sz w:val="22"/>
          <w:szCs w:val="22"/>
          <w:lang w:val="en-US" w:eastAsia="en-US"/>
        </w:rPr>
        <w:t xml:space="preserve"> who takes contractual responsibility for making reports and disclosure centrally, ESMA's drafting should recognise that the issuer, offeror and entities undertaking the stabilisation may appoint one of them as responsible for the disclosure and reporting in Article 7(2)as well as in Article 7(1), and that in those circumstances, a party which has undertaken stabilisation measures would di</w:t>
      </w:r>
      <w:r w:rsidRPr="00273DDA">
        <w:rPr>
          <w:rFonts w:ascii="Arial" w:eastAsiaTheme="minorHAnsi" w:hAnsi="Arial" w:cs="Arial"/>
          <w:sz w:val="22"/>
          <w:szCs w:val="22"/>
          <w:lang w:val="en-US" w:eastAsia="en-US"/>
        </w:rPr>
        <w:t>s</w:t>
      </w:r>
      <w:r w:rsidRPr="00273DDA">
        <w:rPr>
          <w:rFonts w:ascii="Arial" w:eastAsiaTheme="minorHAnsi" w:hAnsi="Arial" w:cs="Arial"/>
          <w:sz w:val="22"/>
          <w:szCs w:val="22"/>
          <w:lang w:val="en-US" w:eastAsia="en-US"/>
        </w:rPr>
        <w:t>charge its individual responsibility for reporting and public disclosure through timely (within T+2?) reporting to the duly appointed coordinating stabilisation manager.</w:t>
      </w:r>
    </w:p>
    <w:permEnd w:id="1846308954"/>
    <w:p w:rsidR="00C8677B" w:rsidRDefault="00C8677B" w:rsidP="00C8677B">
      <w:r>
        <w:t>&lt;</w:t>
      </w:r>
      <w:r w:rsidR="00CB6CDD">
        <w:t>ESMA_QUESTION_MAR_TS_</w:t>
      </w:r>
      <w:r>
        <w:t>2&gt;</w:t>
      </w:r>
    </w:p>
    <w:p w:rsidR="00C8677B" w:rsidRPr="00911A17" w:rsidRDefault="00C8677B" w:rsidP="00C8677B">
      <w:pPr>
        <w:pStyle w:val="Heading1"/>
        <w:keepLines/>
        <w:spacing w:before="480" w:after="0" w:line="276" w:lineRule="auto"/>
        <w:ind w:left="284" w:hanging="284"/>
      </w:pPr>
      <w:r w:rsidRPr="004C4871">
        <w:t>Mar</w:t>
      </w:r>
      <w:r>
        <w:t>ket soundings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rsidR="00C8677B" w:rsidRDefault="00C8677B" w:rsidP="00C8677B">
      <w:r>
        <w:lastRenderedPageBreak/>
        <w:t>&lt;</w:t>
      </w:r>
      <w:r w:rsidR="00CB6CDD">
        <w:t>ESMA_QUESTION_MAR_TS_</w:t>
      </w:r>
      <w:r>
        <w:t>3&gt;</w:t>
      </w:r>
    </w:p>
    <w:p w:rsidR="00273DDA" w:rsidRDefault="00273DDA" w:rsidP="00273DDA">
      <w:pPr>
        <w:pStyle w:val="Body1"/>
        <w:spacing w:after="0" w:line="240" w:lineRule="auto"/>
        <w:ind w:left="0"/>
      </w:pPr>
      <w:permStart w:id="623976530" w:edGrp="everyone"/>
    </w:p>
    <w:p w:rsidR="00273DDA" w:rsidRPr="00273DDA" w:rsidRDefault="00273DDA" w:rsidP="00273DDA">
      <w:pPr>
        <w:pStyle w:val="Body1"/>
        <w:spacing w:after="0" w:line="240" w:lineRule="auto"/>
        <w:ind w:left="0"/>
        <w:rPr>
          <w:b/>
          <w:i/>
          <w:sz w:val="22"/>
          <w:szCs w:val="22"/>
          <w:lang w:eastAsia="en-US"/>
        </w:rPr>
      </w:pPr>
      <w:r>
        <w:t xml:space="preserve"> </w:t>
      </w:r>
      <w:r w:rsidRPr="00273DDA">
        <w:rPr>
          <w:b/>
          <w:i/>
          <w:sz w:val="22"/>
          <w:szCs w:val="22"/>
          <w:lang w:eastAsia="en-US"/>
        </w:rPr>
        <w:t>Description of market soundings:</w:t>
      </w:r>
    </w:p>
    <w:p w:rsidR="00273DDA" w:rsidRDefault="00273DDA" w:rsidP="00273DDA">
      <w:pPr>
        <w:pStyle w:val="Body1"/>
        <w:spacing w:after="0" w:line="240" w:lineRule="auto"/>
        <w:ind w:left="0"/>
        <w:rPr>
          <w:sz w:val="22"/>
          <w:szCs w:val="22"/>
          <w:lang w:eastAsia="en-US"/>
        </w:rPr>
      </w:pPr>
    </w:p>
    <w:p w:rsidR="00273DDA" w:rsidRPr="00273DDA" w:rsidRDefault="00273DDA" w:rsidP="00273DDA">
      <w:pPr>
        <w:pStyle w:val="Body1"/>
        <w:spacing w:after="0" w:line="240" w:lineRule="auto"/>
        <w:ind w:left="0"/>
        <w:rPr>
          <w:sz w:val="22"/>
          <w:szCs w:val="22"/>
          <w:lang w:eastAsia="en-US"/>
        </w:rPr>
      </w:pPr>
      <w:r w:rsidRPr="00273DDA">
        <w:rPr>
          <w:sz w:val="22"/>
          <w:szCs w:val="22"/>
          <w:lang w:eastAsia="en-US"/>
        </w:rPr>
        <w:t>[</w:t>
      </w:r>
      <w:proofErr w:type="gramStart"/>
      <w:r w:rsidRPr="00273DDA">
        <w:rPr>
          <w:sz w:val="22"/>
          <w:szCs w:val="22"/>
          <w:lang w:eastAsia="en-US"/>
        </w:rPr>
        <w:t>para.64</w:t>
      </w:r>
      <w:proofErr w:type="gramEnd"/>
      <w:r w:rsidRPr="00273DDA">
        <w:rPr>
          <w:sz w:val="22"/>
          <w:szCs w:val="22"/>
          <w:lang w:eastAsia="en-US"/>
        </w:rPr>
        <w:t xml:space="preserve"> and Recital (17)] We welcome the fact that ESMA has sought to clarify in the consult</w:t>
      </w:r>
      <w:r w:rsidRPr="00273DDA">
        <w:rPr>
          <w:sz w:val="22"/>
          <w:szCs w:val="22"/>
          <w:lang w:eastAsia="en-US"/>
        </w:rPr>
        <w:t>a</w:t>
      </w:r>
      <w:r w:rsidRPr="00273DDA">
        <w:rPr>
          <w:sz w:val="22"/>
          <w:szCs w:val="22"/>
          <w:lang w:eastAsia="en-US"/>
        </w:rPr>
        <w:t xml:space="preserve">tion paper the circumstances when a market sounding takes place, but consider that ESMA should emphasise that it is </w:t>
      </w:r>
      <w:r w:rsidRPr="00273DDA">
        <w:rPr>
          <w:i/>
          <w:sz w:val="22"/>
          <w:szCs w:val="22"/>
          <w:lang w:eastAsia="en-US"/>
        </w:rPr>
        <w:t>only</w:t>
      </w:r>
      <w:r w:rsidRPr="00273DDA">
        <w:rPr>
          <w:sz w:val="22"/>
          <w:szCs w:val="22"/>
          <w:lang w:eastAsia="en-US"/>
        </w:rPr>
        <w:t xml:space="preserve"> where the disclosing market participant (“DMP”) is acting “</w:t>
      </w:r>
      <w:r w:rsidRPr="00273DDA">
        <w:rPr>
          <w:i/>
          <w:sz w:val="22"/>
          <w:szCs w:val="22"/>
          <w:lang w:eastAsia="en-US"/>
        </w:rPr>
        <w:t>at the request of a market sounding beneficiary</w:t>
      </w:r>
      <w:r w:rsidRPr="00273DDA">
        <w:rPr>
          <w:sz w:val="22"/>
          <w:szCs w:val="22"/>
          <w:lang w:eastAsia="en-US"/>
        </w:rPr>
        <w:t xml:space="preserve">” (“MSB”) that the arrangements will fall within the scope of Article 11. We agree that this would encompass situations where the DMP is acting pursuant to either written or oral instructions. </w:t>
      </w:r>
    </w:p>
    <w:p w:rsidR="00273DDA" w:rsidRDefault="00273DDA" w:rsidP="00273DDA">
      <w:pPr>
        <w:pStyle w:val="Body1"/>
        <w:spacing w:after="0" w:line="240" w:lineRule="auto"/>
        <w:ind w:left="0"/>
        <w:rPr>
          <w:sz w:val="22"/>
          <w:szCs w:val="22"/>
          <w:lang w:eastAsia="en-US"/>
        </w:rPr>
      </w:pPr>
    </w:p>
    <w:p w:rsidR="00273DDA" w:rsidRPr="00273DDA" w:rsidRDefault="00273DDA" w:rsidP="00273DDA">
      <w:pPr>
        <w:pStyle w:val="Body1"/>
        <w:spacing w:after="0" w:line="240" w:lineRule="auto"/>
        <w:ind w:left="0"/>
        <w:rPr>
          <w:sz w:val="22"/>
          <w:szCs w:val="22"/>
          <w:lang w:eastAsia="en-US"/>
        </w:rPr>
      </w:pPr>
      <w:r w:rsidRPr="00273DDA">
        <w:rPr>
          <w:sz w:val="22"/>
          <w:szCs w:val="22"/>
          <w:lang w:eastAsia="en-US"/>
        </w:rPr>
        <w:t xml:space="preserve">We also agree that those members of a syndicate who disclose information to market sounding recipients would be considered DMPs acting on behalf of the MSB. This is consistent with the definition of </w:t>
      </w:r>
      <w:r w:rsidR="00E23880">
        <w:rPr>
          <w:sz w:val="22"/>
          <w:szCs w:val="22"/>
          <w:lang w:eastAsia="en-US"/>
        </w:rPr>
        <w:t>‘</w:t>
      </w:r>
      <w:r w:rsidRPr="00273DDA">
        <w:rPr>
          <w:sz w:val="22"/>
          <w:szCs w:val="22"/>
          <w:lang w:eastAsia="en-US"/>
        </w:rPr>
        <w:t>syndicate</w:t>
      </w:r>
      <w:r w:rsidR="00E23880">
        <w:rPr>
          <w:sz w:val="22"/>
          <w:szCs w:val="22"/>
          <w:lang w:eastAsia="en-US"/>
        </w:rPr>
        <w:t>’</w:t>
      </w:r>
      <w:r w:rsidRPr="00273DDA">
        <w:rPr>
          <w:sz w:val="22"/>
          <w:szCs w:val="22"/>
          <w:lang w:eastAsia="en-US"/>
        </w:rPr>
        <w:t xml:space="preserve"> in Article 2(k) of the draft RTS, which (as drafted) currently refers to a </w:t>
      </w:r>
      <w:r w:rsidR="00E23880">
        <w:rPr>
          <w:sz w:val="22"/>
          <w:szCs w:val="22"/>
          <w:lang w:eastAsia="en-US"/>
        </w:rPr>
        <w:t>‘</w:t>
      </w:r>
      <w:r w:rsidRPr="00273DDA">
        <w:rPr>
          <w:sz w:val="22"/>
          <w:szCs w:val="22"/>
          <w:lang w:eastAsia="en-US"/>
        </w:rPr>
        <w:t>group of disclosing market participants</w:t>
      </w:r>
      <w:r w:rsidR="00E23880">
        <w:rPr>
          <w:sz w:val="22"/>
          <w:szCs w:val="22"/>
          <w:lang w:eastAsia="en-US"/>
        </w:rPr>
        <w:t>’</w:t>
      </w:r>
      <w:r w:rsidRPr="00273DDA">
        <w:rPr>
          <w:sz w:val="22"/>
          <w:szCs w:val="22"/>
          <w:lang w:eastAsia="en-US"/>
        </w:rPr>
        <w:t xml:space="preserve">. The definition of </w:t>
      </w:r>
      <w:r w:rsidR="00E23880">
        <w:rPr>
          <w:sz w:val="22"/>
          <w:szCs w:val="22"/>
          <w:lang w:eastAsia="en-US"/>
        </w:rPr>
        <w:t>‘</w:t>
      </w:r>
      <w:r w:rsidRPr="00273DDA">
        <w:rPr>
          <w:sz w:val="22"/>
          <w:szCs w:val="22"/>
          <w:lang w:eastAsia="en-US"/>
        </w:rPr>
        <w:t>disclosing market participant</w:t>
      </w:r>
      <w:r w:rsidR="00E23880">
        <w:rPr>
          <w:sz w:val="22"/>
          <w:szCs w:val="22"/>
          <w:lang w:eastAsia="en-US"/>
        </w:rPr>
        <w:t>’</w:t>
      </w:r>
      <w:r w:rsidRPr="00273DDA">
        <w:rPr>
          <w:sz w:val="22"/>
          <w:szCs w:val="22"/>
          <w:lang w:eastAsia="en-US"/>
        </w:rPr>
        <w:t xml:space="preserve"> in Art</w:t>
      </w:r>
      <w:r w:rsidRPr="00273DDA">
        <w:rPr>
          <w:sz w:val="22"/>
          <w:szCs w:val="22"/>
          <w:lang w:eastAsia="en-US"/>
        </w:rPr>
        <w:t>i</w:t>
      </w:r>
      <w:r w:rsidRPr="00273DDA">
        <w:rPr>
          <w:sz w:val="22"/>
          <w:szCs w:val="22"/>
          <w:lang w:eastAsia="en-US"/>
        </w:rPr>
        <w:t>cle 3(1) (32)</w:t>
      </w:r>
      <w:r w:rsidR="00156D7D">
        <w:rPr>
          <w:sz w:val="22"/>
          <w:szCs w:val="22"/>
          <w:lang w:eastAsia="en-US"/>
        </w:rPr>
        <w:t>,</w:t>
      </w:r>
      <w:r w:rsidRPr="00273DDA">
        <w:rPr>
          <w:sz w:val="22"/>
          <w:szCs w:val="22"/>
          <w:lang w:eastAsia="en-US"/>
        </w:rPr>
        <w:t xml:space="preserve"> importantly only cover a persons who </w:t>
      </w:r>
      <w:r w:rsidR="00E23880">
        <w:rPr>
          <w:sz w:val="22"/>
          <w:szCs w:val="22"/>
          <w:lang w:eastAsia="en-US"/>
        </w:rPr>
        <w:t>‘</w:t>
      </w:r>
      <w:r w:rsidRPr="00273DDA">
        <w:rPr>
          <w:sz w:val="22"/>
          <w:szCs w:val="22"/>
          <w:lang w:eastAsia="en-US"/>
        </w:rPr>
        <w:t>discloses information in the course of a soun</w:t>
      </w:r>
      <w:r w:rsidRPr="00273DDA">
        <w:rPr>
          <w:sz w:val="22"/>
          <w:szCs w:val="22"/>
          <w:lang w:eastAsia="en-US"/>
        </w:rPr>
        <w:t>d</w:t>
      </w:r>
      <w:r w:rsidRPr="00273DDA">
        <w:rPr>
          <w:sz w:val="22"/>
          <w:szCs w:val="22"/>
          <w:lang w:eastAsia="en-US"/>
        </w:rPr>
        <w:t>ing</w:t>
      </w:r>
      <w:r w:rsidR="00E23880">
        <w:rPr>
          <w:sz w:val="22"/>
          <w:szCs w:val="22"/>
          <w:lang w:eastAsia="en-US"/>
        </w:rPr>
        <w:t>’</w:t>
      </w:r>
      <w:r w:rsidRPr="00273DDA">
        <w:rPr>
          <w:sz w:val="22"/>
          <w:szCs w:val="22"/>
          <w:lang w:eastAsia="en-US"/>
        </w:rPr>
        <w:t>. It should therefore be clear that only those syndicate members who actually disclose info</w:t>
      </w:r>
      <w:r w:rsidRPr="00273DDA">
        <w:rPr>
          <w:sz w:val="22"/>
          <w:szCs w:val="22"/>
          <w:lang w:eastAsia="en-US"/>
        </w:rPr>
        <w:t>r</w:t>
      </w:r>
      <w:r w:rsidRPr="00273DDA">
        <w:rPr>
          <w:sz w:val="22"/>
          <w:szCs w:val="22"/>
          <w:lang w:eastAsia="en-US"/>
        </w:rPr>
        <w:t>mation w</w:t>
      </w:r>
      <w:r w:rsidR="00E23880">
        <w:rPr>
          <w:sz w:val="22"/>
          <w:szCs w:val="22"/>
          <w:lang w:eastAsia="en-US"/>
        </w:rPr>
        <w:t xml:space="preserve">ould be considered to be DMPs. </w:t>
      </w:r>
      <w:r w:rsidRPr="00273DDA">
        <w:rPr>
          <w:sz w:val="22"/>
          <w:szCs w:val="22"/>
          <w:lang w:eastAsia="en-US"/>
        </w:rPr>
        <w:t xml:space="preserve">However, we note that the normal usage of the term </w:t>
      </w:r>
      <w:r w:rsidR="00E23880">
        <w:rPr>
          <w:sz w:val="22"/>
          <w:szCs w:val="22"/>
          <w:lang w:eastAsia="en-US"/>
        </w:rPr>
        <w:t>‘</w:t>
      </w:r>
      <w:r w:rsidRPr="00273DDA">
        <w:rPr>
          <w:sz w:val="22"/>
          <w:szCs w:val="22"/>
          <w:lang w:eastAsia="en-US"/>
        </w:rPr>
        <w:t>syndicate</w:t>
      </w:r>
      <w:r w:rsidR="00E23880">
        <w:rPr>
          <w:sz w:val="22"/>
          <w:szCs w:val="22"/>
          <w:lang w:eastAsia="en-US"/>
        </w:rPr>
        <w:t>’</w:t>
      </w:r>
      <w:r w:rsidRPr="00273DDA">
        <w:rPr>
          <w:sz w:val="22"/>
          <w:szCs w:val="22"/>
          <w:lang w:eastAsia="en-US"/>
        </w:rPr>
        <w:t xml:space="preserve"> is wider than this, as it may also include members who will not disclose info</w:t>
      </w:r>
      <w:r w:rsidRPr="00273DDA">
        <w:rPr>
          <w:sz w:val="22"/>
          <w:szCs w:val="22"/>
          <w:lang w:eastAsia="en-US"/>
        </w:rPr>
        <w:t>r</w:t>
      </w:r>
      <w:r w:rsidRPr="00273DDA">
        <w:rPr>
          <w:sz w:val="22"/>
          <w:szCs w:val="22"/>
          <w:lang w:eastAsia="en-US"/>
        </w:rPr>
        <w:t xml:space="preserve">mation in the course of a sounding. We therefore agree with ESMA’s restricted definition of </w:t>
      </w:r>
      <w:r w:rsidR="00E23880">
        <w:rPr>
          <w:sz w:val="22"/>
          <w:szCs w:val="22"/>
          <w:lang w:eastAsia="en-US"/>
        </w:rPr>
        <w:t>‘</w:t>
      </w:r>
      <w:r w:rsidRPr="00273DDA">
        <w:rPr>
          <w:sz w:val="22"/>
          <w:szCs w:val="22"/>
          <w:lang w:eastAsia="en-US"/>
        </w:rPr>
        <w:t>syndicate</w:t>
      </w:r>
      <w:r w:rsidR="00E23880">
        <w:rPr>
          <w:sz w:val="22"/>
          <w:szCs w:val="22"/>
          <w:lang w:eastAsia="en-US"/>
        </w:rPr>
        <w:t>’</w:t>
      </w:r>
      <w:r w:rsidRPr="00273DDA">
        <w:rPr>
          <w:sz w:val="22"/>
          <w:szCs w:val="22"/>
          <w:lang w:eastAsia="en-US"/>
        </w:rPr>
        <w:t xml:space="preserve"> in this context, so as to ensure that it only extends to disclosing syndicate members. ESMA may consider making a specific reference to the application of the requirements to disclosing synd</w:t>
      </w:r>
      <w:r w:rsidRPr="00273DDA">
        <w:rPr>
          <w:sz w:val="22"/>
          <w:szCs w:val="22"/>
          <w:lang w:eastAsia="en-US"/>
        </w:rPr>
        <w:t>i</w:t>
      </w:r>
      <w:r w:rsidRPr="00273DDA">
        <w:rPr>
          <w:sz w:val="22"/>
          <w:szCs w:val="22"/>
          <w:lang w:eastAsia="en-US"/>
        </w:rPr>
        <w:t xml:space="preserve">cate members in the recitals in order to avoid any confusion. A wider construction of </w:t>
      </w:r>
      <w:r w:rsidR="00E23880">
        <w:rPr>
          <w:sz w:val="22"/>
          <w:szCs w:val="22"/>
          <w:lang w:eastAsia="en-US"/>
        </w:rPr>
        <w:t>‘</w:t>
      </w:r>
      <w:r w:rsidRPr="00273DDA">
        <w:rPr>
          <w:sz w:val="22"/>
          <w:szCs w:val="22"/>
          <w:lang w:eastAsia="en-US"/>
        </w:rPr>
        <w:t>syndicate</w:t>
      </w:r>
      <w:r w:rsidR="00E23880">
        <w:rPr>
          <w:sz w:val="22"/>
          <w:szCs w:val="22"/>
          <w:lang w:eastAsia="en-US"/>
        </w:rPr>
        <w:t>’</w:t>
      </w:r>
      <w:r w:rsidRPr="00273DDA">
        <w:rPr>
          <w:sz w:val="22"/>
          <w:szCs w:val="22"/>
          <w:lang w:eastAsia="en-US"/>
        </w:rPr>
        <w:t xml:space="preserve"> would capture non-disclosing syndicate members who cannot be DMPs. By way of background, we note that it is very common in the case of syndicates that only some me</w:t>
      </w:r>
      <w:r w:rsidRPr="00273DDA">
        <w:rPr>
          <w:sz w:val="22"/>
          <w:szCs w:val="22"/>
          <w:lang w:eastAsia="en-US"/>
        </w:rPr>
        <w:t>m</w:t>
      </w:r>
      <w:r w:rsidRPr="00273DDA">
        <w:rPr>
          <w:sz w:val="22"/>
          <w:szCs w:val="22"/>
          <w:lang w:eastAsia="en-US"/>
        </w:rPr>
        <w:t xml:space="preserve">bers participate in the actual sounding. Members of a syndicate not conducting the market sounding should not be liable for soundings undertaken by others. A firm clearly cannot comply with the requirements under Article 11 for something it does not have any visibility of and it is therefore inappropriate to impose a legal liability on those members. </w:t>
      </w:r>
    </w:p>
    <w:p w:rsidR="00273DDA" w:rsidRDefault="00273DDA" w:rsidP="00273DDA">
      <w:pPr>
        <w:pStyle w:val="Body1"/>
        <w:spacing w:after="0" w:line="240" w:lineRule="auto"/>
        <w:ind w:left="0"/>
        <w:rPr>
          <w:sz w:val="22"/>
          <w:szCs w:val="22"/>
          <w:lang w:eastAsia="en-US"/>
        </w:rPr>
      </w:pPr>
    </w:p>
    <w:p w:rsidR="00273DDA" w:rsidRDefault="00273DDA" w:rsidP="00273DDA">
      <w:pPr>
        <w:pStyle w:val="Body1"/>
        <w:spacing w:after="0" w:line="240" w:lineRule="auto"/>
        <w:ind w:left="0"/>
        <w:rPr>
          <w:sz w:val="22"/>
          <w:szCs w:val="22"/>
          <w:lang w:eastAsia="en-US"/>
        </w:rPr>
      </w:pPr>
      <w:r w:rsidRPr="00273DDA">
        <w:rPr>
          <w:sz w:val="22"/>
          <w:szCs w:val="22"/>
          <w:lang w:eastAsia="en-US"/>
        </w:rPr>
        <w:t xml:space="preserve">[para.65] We do not agree with ESMA that market soundings would also capture situations where soundings are performed in the days before a request for proposal, i.e. where a DMP has obtained enough information to lead it to believe that a deal launch is reasonably expected to come into existence. This appears to us to be an extension of </w:t>
      </w:r>
      <w:r w:rsidR="00E23880">
        <w:rPr>
          <w:sz w:val="22"/>
          <w:szCs w:val="22"/>
          <w:lang w:eastAsia="en-US"/>
        </w:rPr>
        <w:t>‘</w:t>
      </w:r>
      <w:r w:rsidRPr="00273DDA">
        <w:rPr>
          <w:i/>
          <w:sz w:val="22"/>
          <w:szCs w:val="22"/>
          <w:lang w:eastAsia="en-US"/>
        </w:rPr>
        <w:t>acting on behalf of or for the account of</w:t>
      </w:r>
      <w:r w:rsidR="00E23880">
        <w:rPr>
          <w:sz w:val="22"/>
          <w:szCs w:val="22"/>
          <w:lang w:eastAsia="en-US"/>
        </w:rPr>
        <w:t>’</w:t>
      </w:r>
      <w:r w:rsidRPr="00273DDA">
        <w:rPr>
          <w:sz w:val="22"/>
          <w:szCs w:val="22"/>
          <w:lang w:eastAsia="en-US"/>
        </w:rPr>
        <w:t xml:space="preserve"> that goes beyond what is envisaged in Article 11(1</w:t>
      </w:r>
      <w:proofErr w:type="gramStart"/>
      <w:r w:rsidRPr="00273DDA">
        <w:rPr>
          <w:sz w:val="22"/>
          <w:szCs w:val="22"/>
          <w:lang w:eastAsia="en-US"/>
        </w:rPr>
        <w:t>)(</w:t>
      </w:r>
      <w:proofErr w:type="gramEnd"/>
      <w:r w:rsidRPr="00273DDA">
        <w:rPr>
          <w:sz w:val="22"/>
          <w:szCs w:val="22"/>
          <w:lang w:eastAsia="en-US"/>
        </w:rPr>
        <w:t>d) of MAR. We consider it i</w:t>
      </w:r>
      <w:r w:rsidRPr="00273DDA">
        <w:rPr>
          <w:sz w:val="22"/>
          <w:szCs w:val="22"/>
          <w:lang w:eastAsia="en-US"/>
        </w:rPr>
        <w:t>m</w:t>
      </w:r>
      <w:r w:rsidRPr="00273DDA">
        <w:rPr>
          <w:sz w:val="22"/>
          <w:szCs w:val="22"/>
          <w:lang w:eastAsia="en-US"/>
        </w:rPr>
        <w:t xml:space="preserve">portant to clarify that a third party should only be considered to be </w:t>
      </w:r>
      <w:r w:rsidR="00E23880">
        <w:rPr>
          <w:sz w:val="22"/>
          <w:szCs w:val="22"/>
          <w:lang w:eastAsia="en-US"/>
        </w:rPr>
        <w:t>‘</w:t>
      </w:r>
      <w:r w:rsidRPr="00273DDA">
        <w:rPr>
          <w:i/>
          <w:sz w:val="22"/>
          <w:szCs w:val="22"/>
          <w:lang w:eastAsia="en-US"/>
        </w:rPr>
        <w:t>acting on behalf of or on the account of</w:t>
      </w:r>
      <w:r w:rsidRPr="00273DDA">
        <w:rPr>
          <w:sz w:val="22"/>
          <w:szCs w:val="22"/>
          <w:lang w:eastAsia="en-US"/>
        </w:rPr>
        <w:t>” an MSB where there has been a clear instruction from the MSB. A broader applic</w:t>
      </w:r>
      <w:r w:rsidRPr="00273DDA">
        <w:rPr>
          <w:sz w:val="22"/>
          <w:szCs w:val="22"/>
          <w:lang w:eastAsia="en-US"/>
        </w:rPr>
        <w:t>a</w:t>
      </w:r>
      <w:r w:rsidRPr="00273DDA">
        <w:rPr>
          <w:sz w:val="22"/>
          <w:szCs w:val="22"/>
          <w:lang w:eastAsia="en-US"/>
        </w:rPr>
        <w:t xml:space="preserve">tion to persons who believe that a deal is likely and as a result act on own initiative to gather information related to possible pricing etc. would not be consistent with acting on behalf of or for the account of someone else and would go beyond the Level 1 description. On this basis, we would recommend that the words </w:t>
      </w:r>
      <w:r w:rsidR="00E23880">
        <w:rPr>
          <w:sz w:val="22"/>
          <w:szCs w:val="22"/>
          <w:lang w:eastAsia="en-US"/>
        </w:rPr>
        <w:t>‘</w:t>
      </w:r>
      <w:r w:rsidRPr="00273DDA">
        <w:rPr>
          <w:sz w:val="22"/>
          <w:szCs w:val="22"/>
          <w:lang w:eastAsia="en-US"/>
        </w:rPr>
        <w:t>or, has sufficient information from the market sounding ben</w:t>
      </w:r>
      <w:r w:rsidRPr="00273DDA">
        <w:rPr>
          <w:sz w:val="22"/>
          <w:szCs w:val="22"/>
          <w:lang w:eastAsia="en-US"/>
        </w:rPr>
        <w:t>e</w:t>
      </w:r>
      <w:r w:rsidRPr="00273DDA">
        <w:rPr>
          <w:sz w:val="22"/>
          <w:szCs w:val="22"/>
          <w:lang w:eastAsia="en-US"/>
        </w:rPr>
        <w:t>ficiary to conclude that the transaction subject to the market sounding is reasonably expected to come into existence or occur</w:t>
      </w:r>
      <w:r w:rsidR="00E23880">
        <w:rPr>
          <w:sz w:val="22"/>
          <w:szCs w:val="22"/>
          <w:lang w:eastAsia="en-US"/>
        </w:rPr>
        <w:t>’</w:t>
      </w:r>
      <w:r w:rsidRPr="00273DDA">
        <w:rPr>
          <w:sz w:val="22"/>
          <w:szCs w:val="22"/>
          <w:lang w:eastAsia="en-US"/>
        </w:rPr>
        <w:t xml:space="preserve">  are deleted from Recital (17) of the draft RTS set out in Annex IV. This will also impact on the description of the communications with the MSB in Article 12(4) of the draft RTS, as the latter part of that paragraph would seem to be redundant.</w:t>
      </w:r>
      <w:r w:rsidRPr="00273DDA" w:rsidDel="00081A22">
        <w:rPr>
          <w:sz w:val="22"/>
          <w:szCs w:val="22"/>
          <w:lang w:eastAsia="en-US"/>
        </w:rPr>
        <w:t xml:space="preserve"> </w:t>
      </w:r>
      <w:r w:rsidRPr="00273DDA">
        <w:rPr>
          <w:sz w:val="22"/>
          <w:szCs w:val="22"/>
          <w:lang w:eastAsia="en-US"/>
        </w:rPr>
        <w:t>In the event that ESMA were to seek to continue to capture a broader set of circumstances, we would welcome further clarification as to what brings a person in or out of scope. For example, could a simple verbal discussion between the DMP and the MSB, where the DMP has a reasonable expectation that the issuer wants to undertake a particular transaction but the issuer does not explicitly i</w:t>
      </w:r>
      <w:r w:rsidRPr="00273DDA">
        <w:rPr>
          <w:sz w:val="22"/>
          <w:szCs w:val="22"/>
          <w:lang w:eastAsia="en-US"/>
        </w:rPr>
        <w:t>n</w:t>
      </w:r>
      <w:r w:rsidRPr="00273DDA">
        <w:rPr>
          <w:sz w:val="22"/>
          <w:szCs w:val="22"/>
          <w:lang w:eastAsia="en-US"/>
        </w:rPr>
        <w:t xml:space="preserve">struct the DMP to undertake a sounding, still come within scope on the basis that there is an implicit request or instruction? </w:t>
      </w:r>
    </w:p>
    <w:p w:rsidR="00273DDA" w:rsidRPr="00273DDA" w:rsidRDefault="00273DDA" w:rsidP="00273DDA">
      <w:pPr>
        <w:pStyle w:val="Body1"/>
        <w:spacing w:after="0" w:line="240" w:lineRule="auto"/>
        <w:ind w:left="0"/>
        <w:rPr>
          <w:sz w:val="22"/>
          <w:szCs w:val="22"/>
          <w:lang w:eastAsia="en-US"/>
        </w:rPr>
      </w:pPr>
    </w:p>
    <w:p w:rsidR="00273DDA" w:rsidRPr="00273DDA" w:rsidRDefault="00273DDA" w:rsidP="00273DDA">
      <w:pPr>
        <w:pStyle w:val="Body1"/>
        <w:spacing w:after="0" w:line="240" w:lineRule="auto"/>
        <w:ind w:left="0"/>
        <w:rPr>
          <w:sz w:val="22"/>
          <w:szCs w:val="22"/>
          <w:lang w:eastAsia="en-US"/>
        </w:rPr>
      </w:pPr>
      <w:r w:rsidRPr="00273DDA">
        <w:rPr>
          <w:sz w:val="22"/>
          <w:szCs w:val="22"/>
          <w:lang w:eastAsia="en-US"/>
        </w:rPr>
        <w:t xml:space="preserve">[para.66] </w:t>
      </w:r>
      <w:proofErr w:type="gramStart"/>
      <w:r w:rsidRPr="00273DDA">
        <w:rPr>
          <w:sz w:val="22"/>
          <w:szCs w:val="22"/>
          <w:lang w:eastAsia="en-US"/>
        </w:rPr>
        <w:t>We</w:t>
      </w:r>
      <w:proofErr w:type="gramEnd"/>
      <w:r w:rsidRPr="00273DDA">
        <w:rPr>
          <w:sz w:val="22"/>
          <w:szCs w:val="22"/>
          <w:lang w:eastAsia="en-US"/>
        </w:rPr>
        <w:t xml:space="preserve"> agree that where a DMP consults investors on its own initiative, without consulting the MSB, it should not be considered a market sounding for purposes of Article 11 of MAR. </w:t>
      </w:r>
    </w:p>
    <w:p w:rsidR="00273DDA" w:rsidRDefault="00273DDA" w:rsidP="00273DDA">
      <w:pPr>
        <w:pStyle w:val="Body1"/>
        <w:spacing w:after="0" w:line="240" w:lineRule="auto"/>
        <w:ind w:left="0" w:firstLine="720"/>
        <w:rPr>
          <w:b/>
          <w:i/>
          <w:sz w:val="22"/>
          <w:szCs w:val="22"/>
          <w:lang w:eastAsia="en-US"/>
        </w:rPr>
      </w:pPr>
    </w:p>
    <w:p w:rsidR="00273DDA" w:rsidRDefault="00273DDA" w:rsidP="00273DDA">
      <w:pPr>
        <w:pStyle w:val="Body1"/>
        <w:spacing w:after="0" w:line="240" w:lineRule="auto"/>
        <w:ind w:left="0" w:firstLine="720"/>
        <w:rPr>
          <w:b/>
          <w:i/>
          <w:sz w:val="22"/>
          <w:szCs w:val="22"/>
          <w:lang w:eastAsia="en-US"/>
        </w:rPr>
      </w:pPr>
    </w:p>
    <w:p w:rsidR="00273DDA" w:rsidRDefault="00273DDA" w:rsidP="00273DDA">
      <w:pPr>
        <w:pStyle w:val="Body1"/>
        <w:spacing w:after="0" w:line="240" w:lineRule="auto"/>
        <w:ind w:left="0"/>
        <w:rPr>
          <w:b/>
          <w:i/>
          <w:sz w:val="22"/>
          <w:szCs w:val="22"/>
          <w:lang w:eastAsia="en-US"/>
        </w:rPr>
      </w:pPr>
      <w:r w:rsidRPr="00273DDA">
        <w:rPr>
          <w:b/>
          <w:i/>
          <w:sz w:val="22"/>
          <w:szCs w:val="22"/>
          <w:lang w:eastAsia="en-US"/>
        </w:rPr>
        <w:t>Determining what information to disclose:</w:t>
      </w:r>
    </w:p>
    <w:p w:rsidR="00273DDA" w:rsidRPr="00273DDA" w:rsidRDefault="00273DDA" w:rsidP="00273DDA">
      <w:pPr>
        <w:pStyle w:val="Body1"/>
        <w:spacing w:after="0" w:line="240" w:lineRule="auto"/>
        <w:ind w:left="0"/>
        <w:rPr>
          <w:b/>
          <w:i/>
          <w:sz w:val="22"/>
          <w:szCs w:val="22"/>
          <w:lang w:eastAsia="en-US"/>
        </w:rPr>
      </w:pPr>
    </w:p>
    <w:p w:rsidR="00273DDA" w:rsidRPr="00273DDA" w:rsidRDefault="00273DDA" w:rsidP="00273DDA">
      <w:pPr>
        <w:pStyle w:val="Body1"/>
        <w:spacing w:after="0" w:line="240" w:lineRule="auto"/>
        <w:ind w:left="0"/>
        <w:rPr>
          <w:sz w:val="22"/>
          <w:szCs w:val="22"/>
          <w:lang w:eastAsia="en-US"/>
        </w:rPr>
      </w:pPr>
      <w:r w:rsidRPr="00273DDA">
        <w:rPr>
          <w:sz w:val="22"/>
          <w:szCs w:val="22"/>
          <w:lang w:eastAsia="en-US"/>
        </w:rPr>
        <w:t>[</w:t>
      </w:r>
      <w:proofErr w:type="gramStart"/>
      <w:r w:rsidRPr="00273DDA">
        <w:rPr>
          <w:sz w:val="22"/>
          <w:szCs w:val="22"/>
          <w:lang w:eastAsia="en-US"/>
        </w:rPr>
        <w:t>para.74</w:t>
      </w:r>
      <w:proofErr w:type="gramEnd"/>
      <w:r w:rsidRPr="00273DDA">
        <w:rPr>
          <w:sz w:val="22"/>
          <w:szCs w:val="22"/>
          <w:lang w:eastAsia="en-US"/>
        </w:rPr>
        <w:t xml:space="preserve"> and Recital 18] We note that ESMA has sought to include some guidance in its co</w:t>
      </w:r>
      <w:r w:rsidRPr="00273DDA">
        <w:rPr>
          <w:sz w:val="22"/>
          <w:szCs w:val="22"/>
          <w:lang w:eastAsia="en-US"/>
        </w:rPr>
        <w:t>m</w:t>
      </w:r>
      <w:r w:rsidRPr="00273DDA">
        <w:rPr>
          <w:sz w:val="22"/>
          <w:szCs w:val="22"/>
          <w:lang w:eastAsia="en-US"/>
        </w:rPr>
        <w:t>mentary in the consultation paper and Recital (18) of the draft RTS sets out in Annex IV in rel</w:t>
      </w:r>
      <w:r w:rsidRPr="00273DDA">
        <w:rPr>
          <w:sz w:val="22"/>
          <w:szCs w:val="22"/>
          <w:lang w:eastAsia="en-US"/>
        </w:rPr>
        <w:t>a</w:t>
      </w:r>
      <w:r w:rsidRPr="00273DDA">
        <w:rPr>
          <w:sz w:val="22"/>
          <w:szCs w:val="22"/>
          <w:lang w:eastAsia="en-US"/>
        </w:rPr>
        <w:t>tion to the determination of what information it is appropriate to disclose as part of a market sounding. We agree with ESMA’s view that this may include information relating to the exact characteristics of the transaction, as well as information providing context and background. However, it is unclear what ESMA means by stating in its commentary that DMPs should avoid disclosing inside information that is not useful. We suggest that ESMA leaves to the discretion of DMPs to determine the extent of the information that it is appropriate to disclose.</w:t>
      </w:r>
    </w:p>
    <w:p w:rsidR="00273DDA" w:rsidRDefault="00273DDA" w:rsidP="00273DDA">
      <w:pPr>
        <w:pStyle w:val="Body1"/>
        <w:spacing w:after="0" w:line="240" w:lineRule="auto"/>
        <w:ind w:left="0"/>
        <w:rPr>
          <w:sz w:val="22"/>
          <w:szCs w:val="22"/>
          <w:lang w:eastAsia="en-US"/>
        </w:rPr>
      </w:pPr>
    </w:p>
    <w:p w:rsidR="00273DDA" w:rsidRPr="00273DDA" w:rsidRDefault="00273DDA" w:rsidP="00273DDA">
      <w:pPr>
        <w:pStyle w:val="Body1"/>
        <w:spacing w:after="0" w:line="240" w:lineRule="auto"/>
        <w:ind w:left="0"/>
        <w:rPr>
          <w:sz w:val="22"/>
          <w:szCs w:val="22"/>
          <w:lang w:eastAsia="en-US"/>
        </w:rPr>
      </w:pPr>
      <w:r w:rsidRPr="00273DDA">
        <w:rPr>
          <w:sz w:val="22"/>
          <w:szCs w:val="22"/>
          <w:lang w:eastAsia="en-US"/>
        </w:rPr>
        <w:t>[para. 76 and Art 12 RTS] We agree that the DMPs in a syndicate should have arrangements in place aimed at establishing an agreement on the information that will be disclosed to investors and whether the market sounding will involve inside information. The scope of these requir</w:t>
      </w:r>
      <w:r w:rsidRPr="00273DDA">
        <w:rPr>
          <w:sz w:val="22"/>
          <w:szCs w:val="22"/>
          <w:lang w:eastAsia="en-US"/>
        </w:rPr>
        <w:t>e</w:t>
      </w:r>
      <w:r w:rsidRPr="00273DDA">
        <w:rPr>
          <w:sz w:val="22"/>
          <w:szCs w:val="22"/>
          <w:lang w:eastAsia="en-US"/>
        </w:rPr>
        <w:t>ments would seem to be appropriately described in Article 12(3) of the draft RTS contained in Annex IV.</w:t>
      </w:r>
    </w:p>
    <w:p w:rsidR="00273DDA" w:rsidRPr="00273DDA" w:rsidRDefault="00273DDA" w:rsidP="00273DDA">
      <w:pPr>
        <w:pStyle w:val="Body1"/>
        <w:spacing w:after="0" w:line="240" w:lineRule="auto"/>
        <w:ind w:left="720"/>
        <w:rPr>
          <w:sz w:val="22"/>
          <w:szCs w:val="22"/>
          <w:lang w:eastAsia="en-US"/>
        </w:rPr>
      </w:pPr>
    </w:p>
    <w:p w:rsidR="00273DDA" w:rsidRDefault="00273DDA" w:rsidP="00273DDA">
      <w:pPr>
        <w:pStyle w:val="Body1"/>
        <w:spacing w:after="0" w:line="240" w:lineRule="auto"/>
        <w:ind w:left="0"/>
        <w:rPr>
          <w:b/>
          <w:i/>
          <w:sz w:val="22"/>
          <w:szCs w:val="22"/>
          <w:lang w:eastAsia="en-US"/>
        </w:rPr>
      </w:pPr>
      <w:r w:rsidRPr="00273DDA">
        <w:rPr>
          <w:b/>
          <w:i/>
          <w:sz w:val="22"/>
          <w:szCs w:val="22"/>
          <w:lang w:eastAsia="en-US"/>
        </w:rPr>
        <w:t>Characterising the information to be disclosed:</w:t>
      </w:r>
    </w:p>
    <w:p w:rsidR="00273DDA" w:rsidRPr="00273DDA" w:rsidRDefault="00273DDA" w:rsidP="00273DDA">
      <w:pPr>
        <w:pStyle w:val="Body1"/>
        <w:spacing w:after="0" w:line="240" w:lineRule="auto"/>
        <w:ind w:left="0"/>
        <w:rPr>
          <w:b/>
          <w:i/>
          <w:sz w:val="22"/>
          <w:szCs w:val="22"/>
          <w:lang w:eastAsia="en-US"/>
        </w:rPr>
      </w:pPr>
    </w:p>
    <w:p w:rsidR="00273DDA" w:rsidRDefault="00273DDA" w:rsidP="00273DDA">
      <w:pPr>
        <w:pStyle w:val="Body1"/>
        <w:spacing w:after="0" w:line="240" w:lineRule="auto"/>
        <w:ind w:left="0"/>
        <w:rPr>
          <w:sz w:val="22"/>
          <w:szCs w:val="22"/>
          <w:lang w:eastAsia="en-US"/>
        </w:rPr>
      </w:pPr>
      <w:r w:rsidRPr="00273DDA">
        <w:rPr>
          <w:sz w:val="22"/>
          <w:szCs w:val="22"/>
          <w:lang w:eastAsia="en-US"/>
        </w:rPr>
        <w:t>[</w:t>
      </w:r>
      <w:proofErr w:type="gramStart"/>
      <w:r w:rsidRPr="00273DDA">
        <w:rPr>
          <w:sz w:val="22"/>
          <w:szCs w:val="22"/>
          <w:lang w:eastAsia="en-US"/>
        </w:rPr>
        <w:t>para</w:t>
      </w:r>
      <w:proofErr w:type="gramEnd"/>
      <w:r w:rsidRPr="00273DDA">
        <w:rPr>
          <w:sz w:val="22"/>
          <w:szCs w:val="22"/>
          <w:lang w:eastAsia="en-US"/>
        </w:rPr>
        <w:t xml:space="preserve"> 76 and Arts 12 and 13 RTS] We agree that a DMP should assess, to the extent possible, the expected time table of a proposed transaction. However, we note that often it is not possible for the DMP to know the timing of publication. We therefore agree with the suggested drafting in Article 13(1</w:t>
      </w:r>
      <w:proofErr w:type="gramStart"/>
      <w:r w:rsidRPr="00273DDA">
        <w:rPr>
          <w:sz w:val="22"/>
          <w:szCs w:val="22"/>
          <w:lang w:eastAsia="en-US"/>
        </w:rPr>
        <w:t>)(</w:t>
      </w:r>
      <w:proofErr w:type="gramEnd"/>
      <w:r w:rsidRPr="00273DDA">
        <w:rPr>
          <w:sz w:val="22"/>
          <w:szCs w:val="22"/>
          <w:lang w:eastAsia="en-US"/>
        </w:rPr>
        <w:t xml:space="preserve">iv)(c) of the RTS contained in Annex IV, which suggests that the DMP informs the investor of the </w:t>
      </w:r>
      <w:r w:rsidR="00E23880">
        <w:rPr>
          <w:sz w:val="22"/>
          <w:szCs w:val="22"/>
          <w:lang w:eastAsia="en-US"/>
        </w:rPr>
        <w:t>‘</w:t>
      </w:r>
      <w:r w:rsidRPr="00273DDA">
        <w:rPr>
          <w:i/>
          <w:sz w:val="22"/>
          <w:szCs w:val="22"/>
          <w:lang w:eastAsia="en-US"/>
        </w:rPr>
        <w:t>anticipated time when information will cease to be inside information</w:t>
      </w:r>
      <w:r w:rsidR="00E23880">
        <w:rPr>
          <w:sz w:val="22"/>
          <w:szCs w:val="22"/>
          <w:lang w:eastAsia="en-US"/>
        </w:rPr>
        <w:t>’</w:t>
      </w:r>
      <w:r w:rsidRPr="00273DDA">
        <w:rPr>
          <w:sz w:val="22"/>
          <w:szCs w:val="22"/>
          <w:lang w:eastAsia="en-US"/>
        </w:rPr>
        <w:t>. We b</w:t>
      </w:r>
      <w:r w:rsidRPr="00273DDA">
        <w:rPr>
          <w:sz w:val="22"/>
          <w:szCs w:val="22"/>
          <w:lang w:eastAsia="en-US"/>
        </w:rPr>
        <w:t>e</w:t>
      </w:r>
      <w:r w:rsidRPr="00273DDA">
        <w:rPr>
          <w:sz w:val="22"/>
          <w:szCs w:val="22"/>
          <w:lang w:eastAsia="en-US"/>
        </w:rPr>
        <w:t xml:space="preserve">lieve the reference in Article 12(2) should be amended to read “a disclosing market participant shall also </w:t>
      </w:r>
      <w:r w:rsidRPr="00273DDA">
        <w:rPr>
          <w:b/>
          <w:i/>
          <w:sz w:val="22"/>
          <w:szCs w:val="22"/>
          <w:lang w:eastAsia="en-US"/>
        </w:rPr>
        <w:t>consider</w:t>
      </w:r>
      <w:r w:rsidRPr="00273DDA">
        <w:rPr>
          <w:sz w:val="22"/>
          <w:szCs w:val="22"/>
          <w:lang w:eastAsia="en-US"/>
        </w:rPr>
        <w:t xml:space="preserve"> the time when the transaction is estimated to be announced” (replacing </w:t>
      </w:r>
      <w:r w:rsidR="00E23880">
        <w:rPr>
          <w:sz w:val="22"/>
          <w:szCs w:val="22"/>
          <w:lang w:eastAsia="en-US"/>
        </w:rPr>
        <w:t>‘</w:t>
      </w:r>
      <w:r w:rsidRPr="00273DDA">
        <w:rPr>
          <w:sz w:val="22"/>
          <w:szCs w:val="22"/>
          <w:lang w:eastAsia="en-US"/>
        </w:rPr>
        <w:t>dete</w:t>
      </w:r>
      <w:r w:rsidRPr="00273DDA">
        <w:rPr>
          <w:sz w:val="22"/>
          <w:szCs w:val="22"/>
          <w:lang w:eastAsia="en-US"/>
        </w:rPr>
        <w:t>r</w:t>
      </w:r>
      <w:r w:rsidRPr="00273DDA">
        <w:rPr>
          <w:sz w:val="22"/>
          <w:szCs w:val="22"/>
          <w:lang w:eastAsia="en-US"/>
        </w:rPr>
        <w:t>mine</w:t>
      </w:r>
      <w:r w:rsidR="00E23880">
        <w:rPr>
          <w:sz w:val="22"/>
          <w:szCs w:val="22"/>
          <w:lang w:eastAsia="en-US"/>
        </w:rPr>
        <w:t>’</w:t>
      </w:r>
      <w:r w:rsidRPr="00273DDA">
        <w:rPr>
          <w:sz w:val="22"/>
          <w:szCs w:val="22"/>
          <w:lang w:eastAsia="en-US"/>
        </w:rPr>
        <w:t xml:space="preserve"> with </w:t>
      </w:r>
      <w:r w:rsidR="00E23880">
        <w:rPr>
          <w:sz w:val="22"/>
          <w:szCs w:val="22"/>
          <w:lang w:eastAsia="en-US"/>
        </w:rPr>
        <w:t>‘</w:t>
      </w:r>
      <w:r w:rsidRPr="00273DDA">
        <w:rPr>
          <w:sz w:val="22"/>
          <w:szCs w:val="22"/>
          <w:lang w:eastAsia="en-US"/>
        </w:rPr>
        <w:t>consider</w:t>
      </w:r>
      <w:r w:rsidR="00E23880">
        <w:rPr>
          <w:sz w:val="22"/>
          <w:szCs w:val="22"/>
          <w:lang w:eastAsia="en-US"/>
        </w:rPr>
        <w:t>’</w:t>
      </w:r>
      <w:r w:rsidRPr="00273DDA">
        <w:rPr>
          <w:sz w:val="22"/>
          <w:szCs w:val="22"/>
          <w:lang w:eastAsia="en-US"/>
        </w:rPr>
        <w:t>).</w:t>
      </w:r>
    </w:p>
    <w:p w:rsidR="00273DDA" w:rsidRPr="00273DDA" w:rsidRDefault="00273DDA" w:rsidP="00273DDA">
      <w:pPr>
        <w:pStyle w:val="Body1"/>
        <w:spacing w:after="0" w:line="240" w:lineRule="auto"/>
        <w:ind w:left="0"/>
        <w:rPr>
          <w:sz w:val="22"/>
          <w:szCs w:val="22"/>
          <w:lang w:eastAsia="en-US"/>
        </w:rPr>
      </w:pPr>
    </w:p>
    <w:p w:rsidR="00273DDA" w:rsidRDefault="00273DDA" w:rsidP="00273DDA">
      <w:pPr>
        <w:pStyle w:val="Body1"/>
        <w:spacing w:after="0" w:line="240" w:lineRule="auto"/>
        <w:ind w:left="0"/>
        <w:rPr>
          <w:sz w:val="22"/>
          <w:szCs w:val="22"/>
          <w:lang w:eastAsia="en-US"/>
        </w:rPr>
      </w:pPr>
      <w:r w:rsidRPr="00273DDA">
        <w:rPr>
          <w:sz w:val="22"/>
          <w:szCs w:val="22"/>
          <w:lang w:eastAsia="en-US"/>
        </w:rPr>
        <w:t>[</w:t>
      </w:r>
      <w:proofErr w:type="gramStart"/>
      <w:r w:rsidRPr="00273DDA">
        <w:rPr>
          <w:sz w:val="22"/>
          <w:szCs w:val="22"/>
          <w:lang w:eastAsia="en-US"/>
        </w:rPr>
        <w:t>para</w:t>
      </w:r>
      <w:proofErr w:type="gramEnd"/>
      <w:r w:rsidRPr="00273DDA">
        <w:rPr>
          <w:sz w:val="22"/>
          <w:szCs w:val="22"/>
          <w:lang w:eastAsia="en-US"/>
        </w:rPr>
        <w:t xml:space="preserve"> 79 and 80, Art 12(3)] We agree that it is desirable for members of a syndicate to agree whether a piece of information should be regarded as inside information. However, ESMA’s commentary appears to require that syndicate members characterise information as inside information where the members disagree on the categorisation. Although we agree this would be the common sense approach in most cases and what syndicate members should aim for (as provided for in Article 12(3) of the draft RTS) contained in Annex IV, we do not think this is something which should be specifically stipulated by ESMA in its commentary, as most of the time in this circumstance, the sounding might simply not go ahead.</w:t>
      </w:r>
    </w:p>
    <w:p w:rsidR="00273DDA" w:rsidRPr="00273DDA" w:rsidRDefault="00273DDA" w:rsidP="00273DDA">
      <w:pPr>
        <w:pStyle w:val="Body1"/>
        <w:spacing w:after="0" w:line="240" w:lineRule="auto"/>
        <w:ind w:left="0"/>
        <w:rPr>
          <w:sz w:val="22"/>
          <w:szCs w:val="22"/>
          <w:lang w:eastAsia="en-US"/>
        </w:rPr>
      </w:pPr>
    </w:p>
    <w:p w:rsidR="00273DDA" w:rsidRPr="00273DDA" w:rsidRDefault="00273DDA" w:rsidP="00273DDA">
      <w:pPr>
        <w:pStyle w:val="Body1"/>
        <w:spacing w:after="0" w:line="240" w:lineRule="auto"/>
        <w:ind w:left="0"/>
        <w:rPr>
          <w:b/>
          <w:i/>
          <w:sz w:val="22"/>
          <w:szCs w:val="22"/>
          <w:lang w:eastAsia="en-US"/>
        </w:rPr>
      </w:pPr>
      <w:r w:rsidRPr="00273DDA">
        <w:rPr>
          <w:b/>
          <w:i/>
          <w:sz w:val="22"/>
          <w:szCs w:val="22"/>
          <w:lang w:eastAsia="en-US"/>
        </w:rPr>
        <w:t>Timing of market soundings:</w:t>
      </w:r>
    </w:p>
    <w:p w:rsidR="00273DDA" w:rsidRDefault="00273DDA" w:rsidP="00273DDA">
      <w:pPr>
        <w:pStyle w:val="Body1"/>
        <w:spacing w:after="0" w:line="240" w:lineRule="auto"/>
        <w:ind w:left="0"/>
        <w:rPr>
          <w:sz w:val="22"/>
          <w:szCs w:val="22"/>
          <w:lang w:eastAsia="en-US"/>
        </w:rPr>
      </w:pPr>
      <w:r w:rsidRPr="00273DDA">
        <w:rPr>
          <w:sz w:val="22"/>
          <w:szCs w:val="22"/>
          <w:lang w:eastAsia="en-US"/>
        </w:rPr>
        <w:t>[</w:t>
      </w:r>
      <w:proofErr w:type="gramStart"/>
      <w:r w:rsidRPr="00273DDA">
        <w:rPr>
          <w:sz w:val="22"/>
          <w:szCs w:val="22"/>
          <w:lang w:eastAsia="en-US"/>
        </w:rPr>
        <w:t>para</w:t>
      </w:r>
      <w:proofErr w:type="gramEnd"/>
      <w:r w:rsidRPr="00273DDA">
        <w:rPr>
          <w:sz w:val="22"/>
          <w:szCs w:val="22"/>
          <w:lang w:eastAsia="en-US"/>
        </w:rPr>
        <w:t xml:space="preserve"> 85] We welcome ESMA maintaining its proposal that it will not restrict the hours in which market soundings can take place. </w:t>
      </w:r>
    </w:p>
    <w:p w:rsidR="00273DDA" w:rsidRPr="00273DDA" w:rsidRDefault="00273DDA" w:rsidP="00273DDA">
      <w:pPr>
        <w:pStyle w:val="Body1"/>
        <w:spacing w:after="0" w:line="240" w:lineRule="auto"/>
        <w:ind w:left="0"/>
        <w:rPr>
          <w:sz w:val="22"/>
          <w:szCs w:val="22"/>
          <w:lang w:eastAsia="en-US"/>
        </w:rPr>
      </w:pPr>
    </w:p>
    <w:p w:rsidR="00273DDA" w:rsidRDefault="00273DDA" w:rsidP="00273DDA">
      <w:pPr>
        <w:pStyle w:val="Body1"/>
        <w:spacing w:after="0" w:line="240" w:lineRule="auto"/>
        <w:ind w:left="0"/>
        <w:rPr>
          <w:b/>
          <w:i/>
          <w:sz w:val="22"/>
          <w:szCs w:val="22"/>
          <w:lang w:eastAsia="en-US"/>
        </w:rPr>
      </w:pPr>
      <w:r w:rsidRPr="00273DDA">
        <w:rPr>
          <w:b/>
          <w:i/>
          <w:sz w:val="22"/>
          <w:szCs w:val="22"/>
          <w:lang w:eastAsia="en-US"/>
        </w:rPr>
        <w:t>Record keeping requirements:</w:t>
      </w:r>
    </w:p>
    <w:p w:rsidR="00273DDA" w:rsidRPr="00273DDA" w:rsidRDefault="00273DDA" w:rsidP="00273DDA">
      <w:pPr>
        <w:pStyle w:val="Body1"/>
        <w:spacing w:after="0" w:line="240" w:lineRule="auto"/>
        <w:ind w:left="0"/>
        <w:rPr>
          <w:b/>
          <w:i/>
          <w:sz w:val="22"/>
          <w:szCs w:val="22"/>
          <w:lang w:eastAsia="en-US"/>
        </w:rPr>
      </w:pPr>
    </w:p>
    <w:p w:rsidR="00273DDA" w:rsidRDefault="00273DDA" w:rsidP="00273DDA">
      <w:pPr>
        <w:pStyle w:val="Body1"/>
        <w:spacing w:after="0" w:line="240" w:lineRule="auto"/>
        <w:ind w:left="0"/>
        <w:rPr>
          <w:sz w:val="22"/>
          <w:szCs w:val="22"/>
          <w:lang w:eastAsia="en-US"/>
        </w:rPr>
      </w:pPr>
      <w:r w:rsidRPr="00273DDA">
        <w:rPr>
          <w:sz w:val="22"/>
          <w:szCs w:val="22"/>
          <w:lang w:eastAsia="en-US"/>
        </w:rPr>
        <w:t>[</w:t>
      </w:r>
      <w:proofErr w:type="gramStart"/>
      <w:r w:rsidRPr="00273DDA">
        <w:rPr>
          <w:sz w:val="22"/>
          <w:szCs w:val="22"/>
          <w:lang w:eastAsia="en-US"/>
        </w:rPr>
        <w:t>para</w:t>
      </w:r>
      <w:proofErr w:type="gramEnd"/>
      <w:r w:rsidRPr="00273DDA">
        <w:rPr>
          <w:sz w:val="22"/>
          <w:szCs w:val="22"/>
          <w:lang w:eastAsia="en-US"/>
        </w:rPr>
        <w:t xml:space="preserve"> 91 and 92] ESMA notes that there is a risk that inside information could be passed in the course of a market sounding that the DMP categorises as not containing inside information. However, we do not agree with ESMA that extending record keeping requirements to circu</w:t>
      </w:r>
      <w:r w:rsidRPr="00273DDA">
        <w:rPr>
          <w:sz w:val="22"/>
          <w:szCs w:val="22"/>
          <w:lang w:eastAsia="en-US"/>
        </w:rPr>
        <w:t>m</w:t>
      </w:r>
      <w:r w:rsidRPr="00273DDA">
        <w:rPr>
          <w:sz w:val="22"/>
          <w:szCs w:val="22"/>
          <w:lang w:eastAsia="en-US"/>
        </w:rPr>
        <w:lastRenderedPageBreak/>
        <w:t>stances where the DMP does not believe he is passing on inside information will allow the DMP to avail itself of protection under Article 11 if it has indeed passed on inside information. This is because the protection under Article 11 only applies where the DMP obtains the consent of the person receiving the market sounding to receive inside information and provides further info</w:t>
      </w:r>
      <w:r w:rsidRPr="00273DDA">
        <w:rPr>
          <w:sz w:val="22"/>
          <w:szCs w:val="22"/>
          <w:lang w:eastAsia="en-US"/>
        </w:rPr>
        <w:t>r</w:t>
      </w:r>
      <w:r w:rsidRPr="00273DDA">
        <w:rPr>
          <w:sz w:val="22"/>
          <w:szCs w:val="22"/>
          <w:lang w:eastAsia="en-US"/>
        </w:rPr>
        <w:t>mation to the recipient as described in Article 11(5). In addition, we do not see how not exten</w:t>
      </w:r>
      <w:r w:rsidRPr="00273DDA">
        <w:rPr>
          <w:sz w:val="22"/>
          <w:szCs w:val="22"/>
          <w:lang w:eastAsia="en-US"/>
        </w:rPr>
        <w:t>d</w:t>
      </w:r>
      <w:r w:rsidRPr="00273DDA">
        <w:rPr>
          <w:sz w:val="22"/>
          <w:szCs w:val="22"/>
          <w:lang w:eastAsia="en-US"/>
        </w:rPr>
        <w:t xml:space="preserve">ing record keeping requirements in this way would </w:t>
      </w:r>
      <w:r w:rsidR="00E23880">
        <w:rPr>
          <w:sz w:val="22"/>
          <w:szCs w:val="22"/>
          <w:lang w:eastAsia="en-US"/>
        </w:rPr>
        <w:t>‘</w:t>
      </w:r>
      <w:r w:rsidRPr="00273DDA">
        <w:rPr>
          <w:sz w:val="22"/>
          <w:szCs w:val="22"/>
          <w:lang w:eastAsia="en-US"/>
        </w:rPr>
        <w:t>likely result in DMPs either inadvertently disclosing inside information in practice or otherwise routinely categorising information as inside information (where it may not be price sensitive) in order to benefit from the protection in Article 11</w:t>
      </w:r>
      <w:r w:rsidR="00E23880">
        <w:rPr>
          <w:sz w:val="22"/>
          <w:szCs w:val="22"/>
          <w:lang w:eastAsia="en-US"/>
        </w:rPr>
        <w:t>’</w:t>
      </w:r>
      <w:r w:rsidRPr="00273DDA">
        <w:rPr>
          <w:sz w:val="22"/>
          <w:szCs w:val="22"/>
          <w:lang w:eastAsia="en-US"/>
        </w:rPr>
        <w:t xml:space="preserve">. We would also question why the level of information required to be kept should be the same where the DMP determines that no inside information is being passed on. Although DMPs may keep certain details of such soundings, the detail of any records should be determined by the DMPs. Considering that Article 11(5) applies in the context of disclosure of inside </w:t>
      </w:r>
      <w:proofErr w:type="gramStart"/>
      <w:r w:rsidRPr="00273DDA">
        <w:rPr>
          <w:sz w:val="22"/>
          <w:szCs w:val="22"/>
          <w:lang w:eastAsia="en-US"/>
        </w:rPr>
        <w:t>information,</w:t>
      </w:r>
      <w:proofErr w:type="gramEnd"/>
      <w:r w:rsidRPr="00273DDA">
        <w:rPr>
          <w:sz w:val="22"/>
          <w:szCs w:val="22"/>
          <w:lang w:eastAsia="en-US"/>
        </w:rPr>
        <w:t xml:space="preserve"> ESMA’s proposed extension of record keeping obligations may be beyond the intended scope of those obligations. We would therefore suggest that DMPs are afforded flexibility in determining the appropriate records in the context of market soundings where no inside information is passed. </w:t>
      </w:r>
    </w:p>
    <w:p w:rsidR="00273DDA" w:rsidRDefault="00273DDA" w:rsidP="00273DDA">
      <w:pPr>
        <w:pStyle w:val="Body1"/>
        <w:spacing w:after="0" w:line="240" w:lineRule="auto"/>
        <w:ind w:left="0" w:firstLine="720"/>
        <w:rPr>
          <w:sz w:val="22"/>
          <w:szCs w:val="22"/>
          <w:lang w:eastAsia="en-US"/>
        </w:rPr>
      </w:pPr>
    </w:p>
    <w:p w:rsidR="00273DDA" w:rsidRPr="00273DDA" w:rsidRDefault="00273DDA" w:rsidP="00273DDA">
      <w:pPr>
        <w:pStyle w:val="Body1"/>
        <w:spacing w:after="0" w:line="240" w:lineRule="auto"/>
        <w:ind w:left="0"/>
        <w:rPr>
          <w:b/>
          <w:i/>
          <w:sz w:val="22"/>
          <w:szCs w:val="22"/>
          <w:lang w:eastAsia="en-US"/>
        </w:rPr>
      </w:pPr>
      <w:r w:rsidRPr="00273DDA">
        <w:rPr>
          <w:b/>
          <w:i/>
          <w:sz w:val="22"/>
          <w:szCs w:val="22"/>
          <w:lang w:eastAsia="en-US"/>
        </w:rPr>
        <w:t>Description of market soundings:</w:t>
      </w:r>
    </w:p>
    <w:p w:rsidR="00273DDA" w:rsidRPr="00273DDA" w:rsidRDefault="00273DDA" w:rsidP="00273DDA">
      <w:pPr>
        <w:pStyle w:val="Body1"/>
        <w:spacing w:after="0" w:line="240" w:lineRule="auto"/>
        <w:ind w:left="0"/>
        <w:rPr>
          <w:sz w:val="22"/>
          <w:szCs w:val="22"/>
          <w:lang w:eastAsia="en-US"/>
        </w:rPr>
      </w:pPr>
      <w:r w:rsidRPr="00273DDA">
        <w:rPr>
          <w:sz w:val="22"/>
          <w:szCs w:val="22"/>
          <w:lang w:eastAsia="en-US"/>
        </w:rPr>
        <w:t>[</w:t>
      </w:r>
      <w:proofErr w:type="gramStart"/>
      <w:r w:rsidRPr="00273DDA">
        <w:rPr>
          <w:sz w:val="22"/>
          <w:szCs w:val="22"/>
          <w:lang w:eastAsia="en-US"/>
        </w:rPr>
        <w:t>para.64</w:t>
      </w:r>
      <w:proofErr w:type="gramEnd"/>
      <w:r w:rsidRPr="00273DDA">
        <w:rPr>
          <w:sz w:val="22"/>
          <w:szCs w:val="22"/>
          <w:lang w:eastAsia="en-US"/>
        </w:rPr>
        <w:t xml:space="preserve"> and Recital (17)] We welcome the fact that ESMA has sought to clarify in the consult</w:t>
      </w:r>
      <w:r w:rsidRPr="00273DDA">
        <w:rPr>
          <w:sz w:val="22"/>
          <w:szCs w:val="22"/>
          <w:lang w:eastAsia="en-US"/>
        </w:rPr>
        <w:t>a</w:t>
      </w:r>
      <w:r w:rsidRPr="00273DDA">
        <w:rPr>
          <w:sz w:val="22"/>
          <w:szCs w:val="22"/>
          <w:lang w:eastAsia="en-US"/>
        </w:rPr>
        <w:t xml:space="preserve">tion paper the circumstances when a market sounding takes place, but consider that ESMA should emphasise that it is </w:t>
      </w:r>
      <w:r w:rsidRPr="00273DDA">
        <w:rPr>
          <w:i/>
          <w:sz w:val="22"/>
          <w:szCs w:val="22"/>
          <w:lang w:eastAsia="en-US"/>
        </w:rPr>
        <w:t>only</w:t>
      </w:r>
      <w:r w:rsidRPr="00273DDA">
        <w:rPr>
          <w:sz w:val="22"/>
          <w:szCs w:val="22"/>
          <w:lang w:eastAsia="en-US"/>
        </w:rPr>
        <w:t xml:space="preserve"> where the disclosing market participant (“DMP”) is acting “</w:t>
      </w:r>
      <w:r w:rsidRPr="00273DDA">
        <w:rPr>
          <w:i/>
          <w:sz w:val="22"/>
          <w:szCs w:val="22"/>
          <w:lang w:eastAsia="en-US"/>
        </w:rPr>
        <w:t>at the request of a market sounding beneficiary</w:t>
      </w:r>
      <w:r w:rsidRPr="00273DDA">
        <w:rPr>
          <w:sz w:val="22"/>
          <w:szCs w:val="22"/>
          <w:lang w:eastAsia="en-US"/>
        </w:rPr>
        <w:t xml:space="preserve">” (“MSB”) that the arrangements will fall within the scope of Article 11. We agree that this would encompass situations where the DMP is acting pursuant to either written or oral instructions. </w:t>
      </w:r>
    </w:p>
    <w:p w:rsidR="00273DDA" w:rsidRDefault="00273DDA" w:rsidP="00273DDA">
      <w:pPr>
        <w:pStyle w:val="Body1"/>
        <w:spacing w:after="0" w:line="240" w:lineRule="auto"/>
        <w:ind w:left="0"/>
        <w:rPr>
          <w:sz w:val="22"/>
          <w:szCs w:val="22"/>
          <w:lang w:eastAsia="en-US"/>
        </w:rPr>
      </w:pPr>
    </w:p>
    <w:p w:rsidR="00273DDA" w:rsidRPr="00273DDA" w:rsidRDefault="00273DDA" w:rsidP="00273DDA">
      <w:pPr>
        <w:pStyle w:val="Body1"/>
        <w:spacing w:after="0" w:line="240" w:lineRule="auto"/>
        <w:ind w:left="0"/>
        <w:rPr>
          <w:sz w:val="22"/>
          <w:szCs w:val="22"/>
          <w:lang w:eastAsia="en-US"/>
        </w:rPr>
      </w:pPr>
      <w:r w:rsidRPr="00273DDA">
        <w:rPr>
          <w:sz w:val="22"/>
          <w:szCs w:val="22"/>
          <w:lang w:eastAsia="en-US"/>
        </w:rPr>
        <w:t xml:space="preserve">We also agree that those members of a syndicate who disclose information to market sounding recipients would be considered DMPs acting on behalf of the MSB. This is consistent with the definition of </w:t>
      </w:r>
      <w:r w:rsidR="00E23880">
        <w:rPr>
          <w:sz w:val="22"/>
          <w:szCs w:val="22"/>
          <w:lang w:eastAsia="en-US"/>
        </w:rPr>
        <w:t>‘</w:t>
      </w:r>
      <w:r w:rsidRPr="00273DDA">
        <w:rPr>
          <w:sz w:val="22"/>
          <w:szCs w:val="22"/>
          <w:lang w:eastAsia="en-US"/>
        </w:rPr>
        <w:t>syndicate</w:t>
      </w:r>
      <w:r w:rsidR="00E23880">
        <w:rPr>
          <w:sz w:val="22"/>
          <w:szCs w:val="22"/>
          <w:lang w:eastAsia="en-US"/>
        </w:rPr>
        <w:t>’</w:t>
      </w:r>
      <w:r w:rsidRPr="00273DDA">
        <w:rPr>
          <w:sz w:val="22"/>
          <w:szCs w:val="22"/>
          <w:lang w:eastAsia="en-US"/>
        </w:rPr>
        <w:t xml:space="preserve"> in Article 2(k) of the draft RTS, which (as drafted) currently refers to a “group of disclosing market participants”. The definition of </w:t>
      </w:r>
      <w:r w:rsidR="00E23880">
        <w:rPr>
          <w:sz w:val="22"/>
          <w:szCs w:val="22"/>
          <w:lang w:eastAsia="en-US"/>
        </w:rPr>
        <w:t>‘</w:t>
      </w:r>
      <w:r w:rsidRPr="00273DDA">
        <w:rPr>
          <w:sz w:val="22"/>
          <w:szCs w:val="22"/>
          <w:lang w:eastAsia="en-US"/>
        </w:rPr>
        <w:t>disclosing market participant</w:t>
      </w:r>
      <w:r w:rsidR="00E23880">
        <w:rPr>
          <w:sz w:val="22"/>
          <w:szCs w:val="22"/>
          <w:lang w:eastAsia="en-US"/>
        </w:rPr>
        <w:t>’</w:t>
      </w:r>
      <w:r w:rsidRPr="00273DDA">
        <w:rPr>
          <w:sz w:val="22"/>
          <w:szCs w:val="22"/>
          <w:lang w:eastAsia="en-US"/>
        </w:rPr>
        <w:t xml:space="preserve"> in Art</w:t>
      </w:r>
      <w:r w:rsidRPr="00273DDA">
        <w:rPr>
          <w:sz w:val="22"/>
          <w:szCs w:val="22"/>
          <w:lang w:eastAsia="en-US"/>
        </w:rPr>
        <w:t>i</w:t>
      </w:r>
      <w:r w:rsidRPr="00273DDA">
        <w:rPr>
          <w:sz w:val="22"/>
          <w:szCs w:val="22"/>
          <w:lang w:eastAsia="en-US"/>
        </w:rPr>
        <w:t>cle 3(1) (32)</w:t>
      </w:r>
      <w:r w:rsidR="00156D7D">
        <w:rPr>
          <w:sz w:val="22"/>
          <w:szCs w:val="22"/>
          <w:lang w:eastAsia="en-US"/>
        </w:rPr>
        <w:t>,</w:t>
      </w:r>
      <w:r w:rsidRPr="00273DDA">
        <w:rPr>
          <w:sz w:val="22"/>
          <w:szCs w:val="22"/>
          <w:lang w:eastAsia="en-US"/>
        </w:rPr>
        <w:t xml:space="preserve"> importantly</w:t>
      </w:r>
      <w:r w:rsidR="00156D7D">
        <w:rPr>
          <w:sz w:val="22"/>
          <w:szCs w:val="22"/>
          <w:lang w:eastAsia="en-US"/>
        </w:rPr>
        <w:t>,</w:t>
      </w:r>
      <w:r w:rsidRPr="00273DDA">
        <w:rPr>
          <w:sz w:val="22"/>
          <w:szCs w:val="22"/>
          <w:lang w:eastAsia="en-US"/>
        </w:rPr>
        <w:t xml:space="preserve"> only cover a persons who “discloses information in the course of a sounding”. It should therefore be clear that only those syndicate members who actually disclose information would be considered to be DMPs. However, we note that the normal usage of the term “syndicate” is wider than this, as it may also include members who will not disclose info</w:t>
      </w:r>
      <w:r w:rsidRPr="00273DDA">
        <w:rPr>
          <w:sz w:val="22"/>
          <w:szCs w:val="22"/>
          <w:lang w:eastAsia="en-US"/>
        </w:rPr>
        <w:t>r</w:t>
      </w:r>
      <w:r w:rsidRPr="00273DDA">
        <w:rPr>
          <w:sz w:val="22"/>
          <w:szCs w:val="22"/>
          <w:lang w:eastAsia="en-US"/>
        </w:rPr>
        <w:t>mation in the course of a sounding. We therefore agree with ESMA’s restricted definition of “syndicate” in this context, so as to ensure that it only extends to disclosing syndicate members. ESMA may consider making a specific reference to the application of the requirements to di</w:t>
      </w:r>
      <w:r w:rsidRPr="00273DDA">
        <w:rPr>
          <w:sz w:val="22"/>
          <w:szCs w:val="22"/>
          <w:lang w:eastAsia="en-US"/>
        </w:rPr>
        <w:t>s</w:t>
      </w:r>
      <w:r w:rsidRPr="00273DDA">
        <w:rPr>
          <w:sz w:val="22"/>
          <w:szCs w:val="22"/>
          <w:lang w:eastAsia="en-US"/>
        </w:rPr>
        <w:t>closing syndicate members in the recitals in order to avoid any confusion. A wider construction of “syndicate” would capture non-disclosing syndicate members who cannot be DMPs. By way of background, we note that it is very common in the case of syndicates that only some me</w:t>
      </w:r>
      <w:r w:rsidRPr="00273DDA">
        <w:rPr>
          <w:sz w:val="22"/>
          <w:szCs w:val="22"/>
          <w:lang w:eastAsia="en-US"/>
        </w:rPr>
        <w:t>m</w:t>
      </w:r>
      <w:r w:rsidRPr="00273DDA">
        <w:rPr>
          <w:sz w:val="22"/>
          <w:szCs w:val="22"/>
          <w:lang w:eastAsia="en-US"/>
        </w:rPr>
        <w:t xml:space="preserve">bers participate in the actual sounding. Members of a syndicate not conducting the market sounding should not be liable for soundings undertaken by others. A firm clearly cannot comply with the requirements under Article 11 for something it does not have any visibility of and it is therefore inappropriate to impose a legal liability on those members. </w:t>
      </w:r>
    </w:p>
    <w:p w:rsidR="00273DDA" w:rsidRDefault="00273DDA" w:rsidP="00273DDA">
      <w:pPr>
        <w:pStyle w:val="Body1"/>
        <w:spacing w:after="0" w:line="240" w:lineRule="auto"/>
        <w:ind w:left="0"/>
        <w:rPr>
          <w:sz w:val="22"/>
          <w:szCs w:val="22"/>
          <w:lang w:eastAsia="en-US"/>
        </w:rPr>
      </w:pPr>
    </w:p>
    <w:p w:rsidR="00273DDA" w:rsidRPr="00273DDA" w:rsidRDefault="00273DDA" w:rsidP="00273DDA">
      <w:pPr>
        <w:pStyle w:val="Body1"/>
        <w:spacing w:after="0" w:line="240" w:lineRule="auto"/>
        <w:ind w:left="0"/>
        <w:rPr>
          <w:sz w:val="22"/>
          <w:szCs w:val="22"/>
          <w:lang w:eastAsia="en-US"/>
        </w:rPr>
      </w:pPr>
      <w:r w:rsidRPr="00273DDA">
        <w:rPr>
          <w:sz w:val="22"/>
          <w:szCs w:val="22"/>
          <w:lang w:eastAsia="en-US"/>
        </w:rPr>
        <w:t xml:space="preserve">[para.65] We do not agree with ESMA that market soundings would also capture situations where soundings are performed in the days before a request for proposal, i.e. where a DMP has obtained enough information to lead it to believe that a deal launch is reasonably expected to come into existence. This appears to us to be an extension of </w:t>
      </w:r>
      <w:r w:rsidR="00E23880">
        <w:rPr>
          <w:sz w:val="22"/>
          <w:szCs w:val="22"/>
          <w:lang w:eastAsia="en-US"/>
        </w:rPr>
        <w:t>‘</w:t>
      </w:r>
      <w:r w:rsidRPr="00273DDA">
        <w:rPr>
          <w:i/>
          <w:sz w:val="22"/>
          <w:szCs w:val="22"/>
          <w:lang w:eastAsia="en-US"/>
        </w:rPr>
        <w:t>acting on behalf of or for the account of</w:t>
      </w:r>
      <w:r w:rsidR="00E23880">
        <w:rPr>
          <w:sz w:val="22"/>
          <w:szCs w:val="22"/>
          <w:lang w:eastAsia="en-US"/>
        </w:rPr>
        <w:t>’</w:t>
      </w:r>
      <w:r w:rsidRPr="00273DDA">
        <w:rPr>
          <w:sz w:val="22"/>
          <w:szCs w:val="22"/>
          <w:lang w:eastAsia="en-US"/>
        </w:rPr>
        <w:t xml:space="preserve"> that goes beyond what is envisaged in Article 11(1</w:t>
      </w:r>
      <w:proofErr w:type="gramStart"/>
      <w:r w:rsidRPr="00273DDA">
        <w:rPr>
          <w:sz w:val="22"/>
          <w:szCs w:val="22"/>
          <w:lang w:eastAsia="en-US"/>
        </w:rPr>
        <w:t>)(</w:t>
      </w:r>
      <w:proofErr w:type="gramEnd"/>
      <w:r w:rsidRPr="00273DDA">
        <w:rPr>
          <w:sz w:val="22"/>
          <w:szCs w:val="22"/>
          <w:lang w:eastAsia="en-US"/>
        </w:rPr>
        <w:t>d) of MAR. We consider it i</w:t>
      </w:r>
      <w:r w:rsidRPr="00273DDA">
        <w:rPr>
          <w:sz w:val="22"/>
          <w:szCs w:val="22"/>
          <w:lang w:eastAsia="en-US"/>
        </w:rPr>
        <w:t>m</w:t>
      </w:r>
      <w:r w:rsidRPr="00273DDA">
        <w:rPr>
          <w:sz w:val="22"/>
          <w:szCs w:val="22"/>
          <w:lang w:eastAsia="en-US"/>
        </w:rPr>
        <w:t xml:space="preserve">portant to clarify that a third party should only be considered to be </w:t>
      </w:r>
      <w:r w:rsidR="00E23880">
        <w:rPr>
          <w:sz w:val="22"/>
          <w:szCs w:val="22"/>
          <w:lang w:eastAsia="en-US"/>
        </w:rPr>
        <w:t>‘</w:t>
      </w:r>
      <w:r w:rsidRPr="00273DDA">
        <w:rPr>
          <w:i/>
          <w:sz w:val="22"/>
          <w:szCs w:val="22"/>
          <w:lang w:eastAsia="en-US"/>
        </w:rPr>
        <w:t>acting on behalf of or on the account of</w:t>
      </w:r>
      <w:r w:rsidR="00E23880">
        <w:rPr>
          <w:sz w:val="22"/>
          <w:szCs w:val="22"/>
          <w:lang w:eastAsia="en-US"/>
        </w:rPr>
        <w:t>’</w:t>
      </w:r>
      <w:r w:rsidRPr="00273DDA">
        <w:rPr>
          <w:sz w:val="22"/>
          <w:szCs w:val="22"/>
          <w:lang w:eastAsia="en-US"/>
        </w:rPr>
        <w:t xml:space="preserve"> an MSB where there has been a clear instruction from the MSB. A broader applic</w:t>
      </w:r>
      <w:r w:rsidRPr="00273DDA">
        <w:rPr>
          <w:sz w:val="22"/>
          <w:szCs w:val="22"/>
          <w:lang w:eastAsia="en-US"/>
        </w:rPr>
        <w:t>a</w:t>
      </w:r>
      <w:r w:rsidRPr="00273DDA">
        <w:rPr>
          <w:sz w:val="22"/>
          <w:szCs w:val="22"/>
          <w:lang w:eastAsia="en-US"/>
        </w:rPr>
        <w:lastRenderedPageBreak/>
        <w:t>tion to persons who believe that a deal is likely and as a result act on own initiative to gather information related to possible pricing etc. would not be consistent with acting on behalf of or for the account of someone else and would go beyond the Level 1 description. On this basis, we would recommend that the words</w:t>
      </w:r>
      <w:r w:rsidR="00E23880">
        <w:rPr>
          <w:sz w:val="22"/>
          <w:szCs w:val="22"/>
          <w:lang w:eastAsia="en-US"/>
        </w:rPr>
        <w:t xml:space="preserve"> ‘</w:t>
      </w:r>
      <w:r w:rsidRPr="00273DDA">
        <w:rPr>
          <w:sz w:val="22"/>
          <w:szCs w:val="22"/>
          <w:lang w:eastAsia="en-US"/>
        </w:rPr>
        <w:t>or, has sufficient information from the market sounding ben</w:t>
      </w:r>
      <w:r w:rsidRPr="00273DDA">
        <w:rPr>
          <w:sz w:val="22"/>
          <w:szCs w:val="22"/>
          <w:lang w:eastAsia="en-US"/>
        </w:rPr>
        <w:t>e</w:t>
      </w:r>
      <w:r w:rsidRPr="00273DDA">
        <w:rPr>
          <w:sz w:val="22"/>
          <w:szCs w:val="22"/>
          <w:lang w:eastAsia="en-US"/>
        </w:rPr>
        <w:t>ficiary to conclude that the transaction subject to the market sounding is reasonably expected to come into existence or occur</w:t>
      </w:r>
      <w:r w:rsidR="00E23880">
        <w:rPr>
          <w:sz w:val="22"/>
          <w:szCs w:val="22"/>
          <w:lang w:eastAsia="en-US"/>
        </w:rPr>
        <w:t>’</w:t>
      </w:r>
      <w:r w:rsidRPr="00273DDA">
        <w:rPr>
          <w:sz w:val="22"/>
          <w:szCs w:val="22"/>
          <w:lang w:eastAsia="en-US"/>
        </w:rPr>
        <w:t xml:space="preserve"> are deleted from Recital (17) of the draft RTS set out in Annex IV. This will also impact on the description of the communications with the MSB in Article 12(4) of the draft RTS, as the latter part of that paragraph would seem to be redundant.</w:t>
      </w:r>
      <w:r w:rsidRPr="00273DDA" w:rsidDel="00081A22">
        <w:rPr>
          <w:sz w:val="22"/>
          <w:szCs w:val="22"/>
          <w:lang w:eastAsia="en-US"/>
        </w:rPr>
        <w:t xml:space="preserve"> </w:t>
      </w:r>
      <w:r w:rsidRPr="00273DDA">
        <w:rPr>
          <w:sz w:val="22"/>
          <w:szCs w:val="22"/>
          <w:lang w:eastAsia="en-US"/>
        </w:rPr>
        <w:t>In the event that ESMA were to seek to continue to capture a broader set of circumstances, we would welcome further clarification as to what brings a person in or out of scope. For example, could a simple verbal discussion between the DMP and the MSB, where the DMP has a reasonable expectation that the issuer wants to undertake a particular transaction but the issuer does not explicitly i</w:t>
      </w:r>
      <w:r w:rsidRPr="00273DDA">
        <w:rPr>
          <w:sz w:val="22"/>
          <w:szCs w:val="22"/>
          <w:lang w:eastAsia="en-US"/>
        </w:rPr>
        <w:t>n</w:t>
      </w:r>
      <w:r w:rsidRPr="00273DDA">
        <w:rPr>
          <w:sz w:val="22"/>
          <w:szCs w:val="22"/>
          <w:lang w:eastAsia="en-US"/>
        </w:rPr>
        <w:t xml:space="preserve">struct the DMP to undertake a sounding, still come within scope on the basis that there is an implicit request or instruction? </w:t>
      </w:r>
    </w:p>
    <w:p w:rsidR="00273DDA" w:rsidRDefault="00273DDA" w:rsidP="00273DDA">
      <w:pPr>
        <w:pStyle w:val="Body1"/>
        <w:spacing w:after="0" w:line="240" w:lineRule="auto"/>
        <w:ind w:left="0"/>
        <w:rPr>
          <w:sz w:val="22"/>
          <w:szCs w:val="22"/>
          <w:lang w:eastAsia="en-US"/>
        </w:rPr>
      </w:pPr>
    </w:p>
    <w:p w:rsidR="00273DDA" w:rsidRPr="00273DDA" w:rsidRDefault="00273DDA" w:rsidP="00273DDA">
      <w:pPr>
        <w:pStyle w:val="Body1"/>
        <w:spacing w:after="0" w:line="240" w:lineRule="auto"/>
        <w:ind w:left="0"/>
        <w:rPr>
          <w:sz w:val="22"/>
          <w:szCs w:val="22"/>
          <w:lang w:eastAsia="en-US"/>
        </w:rPr>
      </w:pPr>
      <w:r w:rsidRPr="00273DDA">
        <w:rPr>
          <w:sz w:val="22"/>
          <w:szCs w:val="22"/>
          <w:lang w:eastAsia="en-US"/>
        </w:rPr>
        <w:t xml:space="preserve">[para.66] </w:t>
      </w:r>
      <w:proofErr w:type="gramStart"/>
      <w:r w:rsidRPr="00273DDA">
        <w:rPr>
          <w:sz w:val="22"/>
          <w:szCs w:val="22"/>
          <w:lang w:eastAsia="en-US"/>
        </w:rPr>
        <w:t>We</w:t>
      </w:r>
      <w:proofErr w:type="gramEnd"/>
      <w:r w:rsidRPr="00273DDA">
        <w:rPr>
          <w:sz w:val="22"/>
          <w:szCs w:val="22"/>
          <w:lang w:eastAsia="en-US"/>
        </w:rPr>
        <w:t xml:space="preserve"> agree that where a DMP consults investors on its own initiative, without consulting the MSB, it should not be considered a market sounding for purposes of Article 11 of MAR. </w:t>
      </w:r>
    </w:p>
    <w:p w:rsidR="00273DDA" w:rsidRDefault="00273DDA" w:rsidP="00273DDA">
      <w:pPr>
        <w:pStyle w:val="Body1"/>
        <w:spacing w:after="0" w:line="240" w:lineRule="auto"/>
        <w:ind w:left="0" w:firstLine="720"/>
        <w:rPr>
          <w:b/>
          <w:i/>
          <w:sz w:val="22"/>
          <w:szCs w:val="22"/>
          <w:lang w:eastAsia="en-US"/>
        </w:rPr>
      </w:pPr>
    </w:p>
    <w:p w:rsidR="00273DDA" w:rsidRPr="00273DDA" w:rsidRDefault="00273DDA" w:rsidP="00273DDA">
      <w:pPr>
        <w:pStyle w:val="Body1"/>
        <w:spacing w:after="0" w:line="240" w:lineRule="auto"/>
        <w:ind w:left="0"/>
        <w:rPr>
          <w:b/>
          <w:i/>
          <w:sz w:val="22"/>
          <w:szCs w:val="22"/>
          <w:lang w:eastAsia="en-US"/>
        </w:rPr>
      </w:pPr>
      <w:r w:rsidRPr="00273DDA">
        <w:rPr>
          <w:b/>
          <w:i/>
          <w:sz w:val="22"/>
          <w:szCs w:val="22"/>
          <w:lang w:eastAsia="en-US"/>
        </w:rPr>
        <w:t>Determining what information to disclose:</w:t>
      </w:r>
    </w:p>
    <w:p w:rsidR="00273DDA" w:rsidRDefault="00273DDA" w:rsidP="00273DDA">
      <w:pPr>
        <w:pStyle w:val="Body1"/>
        <w:spacing w:after="0" w:line="240" w:lineRule="auto"/>
        <w:ind w:left="0"/>
        <w:rPr>
          <w:sz w:val="22"/>
          <w:szCs w:val="22"/>
          <w:lang w:eastAsia="en-US"/>
        </w:rPr>
      </w:pPr>
    </w:p>
    <w:p w:rsidR="00273DDA" w:rsidRPr="00273DDA" w:rsidRDefault="00273DDA" w:rsidP="00273DDA">
      <w:pPr>
        <w:pStyle w:val="Body1"/>
        <w:spacing w:after="0" w:line="240" w:lineRule="auto"/>
        <w:ind w:left="0"/>
        <w:rPr>
          <w:sz w:val="22"/>
          <w:szCs w:val="22"/>
          <w:lang w:eastAsia="en-US"/>
        </w:rPr>
      </w:pPr>
      <w:r w:rsidRPr="00273DDA">
        <w:rPr>
          <w:sz w:val="22"/>
          <w:szCs w:val="22"/>
          <w:lang w:eastAsia="en-US"/>
        </w:rPr>
        <w:t>[</w:t>
      </w:r>
      <w:proofErr w:type="gramStart"/>
      <w:r w:rsidRPr="00273DDA">
        <w:rPr>
          <w:sz w:val="22"/>
          <w:szCs w:val="22"/>
          <w:lang w:eastAsia="en-US"/>
        </w:rPr>
        <w:t>para.74</w:t>
      </w:r>
      <w:proofErr w:type="gramEnd"/>
      <w:r w:rsidRPr="00273DDA">
        <w:rPr>
          <w:sz w:val="22"/>
          <w:szCs w:val="22"/>
          <w:lang w:eastAsia="en-US"/>
        </w:rPr>
        <w:t xml:space="preserve"> and Recital 18] We note that ESMA has sought to include some guidance in its co</w:t>
      </w:r>
      <w:r w:rsidRPr="00273DDA">
        <w:rPr>
          <w:sz w:val="22"/>
          <w:szCs w:val="22"/>
          <w:lang w:eastAsia="en-US"/>
        </w:rPr>
        <w:t>m</w:t>
      </w:r>
      <w:r w:rsidRPr="00273DDA">
        <w:rPr>
          <w:sz w:val="22"/>
          <w:szCs w:val="22"/>
          <w:lang w:eastAsia="en-US"/>
        </w:rPr>
        <w:t>mentary in the consultation paper and Recital (18) of the draft RTS sets out in Annex IV in rel</w:t>
      </w:r>
      <w:r w:rsidRPr="00273DDA">
        <w:rPr>
          <w:sz w:val="22"/>
          <w:szCs w:val="22"/>
          <w:lang w:eastAsia="en-US"/>
        </w:rPr>
        <w:t>a</w:t>
      </w:r>
      <w:r w:rsidRPr="00273DDA">
        <w:rPr>
          <w:sz w:val="22"/>
          <w:szCs w:val="22"/>
          <w:lang w:eastAsia="en-US"/>
        </w:rPr>
        <w:t>tion to the determination of what information it is appropriate to disclose as part of a market sounding. We agree with ESMA’s view that this may include information relating to the exact characteristics of the transaction, as well as information providing context and background. However, it is unclear what ESMA means by stating in its commentary that DMPs should avoid disclosing inside information that is not useful. We suggest that ESMA leaves to the discretion of DMPs to determine the extent of the information that it is appropriate to disclose.</w:t>
      </w:r>
    </w:p>
    <w:p w:rsidR="00156D7D" w:rsidRDefault="00156D7D" w:rsidP="00273DDA">
      <w:pPr>
        <w:pStyle w:val="Body1"/>
        <w:spacing w:after="0" w:line="240" w:lineRule="auto"/>
        <w:ind w:left="0"/>
        <w:rPr>
          <w:sz w:val="22"/>
          <w:szCs w:val="22"/>
          <w:lang w:eastAsia="en-US"/>
        </w:rPr>
      </w:pPr>
    </w:p>
    <w:p w:rsidR="00273DDA" w:rsidRPr="00273DDA" w:rsidRDefault="00273DDA" w:rsidP="00273DDA">
      <w:pPr>
        <w:pStyle w:val="Body1"/>
        <w:spacing w:after="0" w:line="240" w:lineRule="auto"/>
        <w:ind w:left="0"/>
        <w:rPr>
          <w:sz w:val="22"/>
          <w:szCs w:val="22"/>
          <w:lang w:eastAsia="en-US"/>
        </w:rPr>
      </w:pPr>
      <w:r w:rsidRPr="00273DDA">
        <w:rPr>
          <w:sz w:val="22"/>
          <w:szCs w:val="22"/>
          <w:lang w:eastAsia="en-US"/>
        </w:rPr>
        <w:t>[para. 76 and Art 12 RTS] We agree that the DMPs in a syndicate should have arrangements in place aimed at establishing an agreement on the information that will be disclosed to investors and whether the market sounding will involve inside information. The scope of these requir</w:t>
      </w:r>
      <w:r w:rsidRPr="00273DDA">
        <w:rPr>
          <w:sz w:val="22"/>
          <w:szCs w:val="22"/>
          <w:lang w:eastAsia="en-US"/>
        </w:rPr>
        <w:t>e</w:t>
      </w:r>
      <w:r w:rsidRPr="00273DDA">
        <w:rPr>
          <w:sz w:val="22"/>
          <w:szCs w:val="22"/>
          <w:lang w:eastAsia="en-US"/>
        </w:rPr>
        <w:t>ments would seem to be appropriately described in Article 12(3) of the draft RTS contained in Annex IV.</w:t>
      </w:r>
    </w:p>
    <w:p w:rsidR="00273DDA" w:rsidRPr="00273DDA" w:rsidRDefault="00273DDA" w:rsidP="00273DDA">
      <w:pPr>
        <w:pStyle w:val="Body1"/>
        <w:spacing w:after="0" w:line="240" w:lineRule="auto"/>
        <w:ind w:left="720"/>
        <w:rPr>
          <w:sz w:val="22"/>
          <w:szCs w:val="22"/>
          <w:lang w:eastAsia="en-US"/>
        </w:rPr>
      </w:pPr>
    </w:p>
    <w:p w:rsidR="00273DDA" w:rsidRPr="00273DDA" w:rsidRDefault="00273DDA" w:rsidP="00273DDA">
      <w:pPr>
        <w:pStyle w:val="Body1"/>
        <w:spacing w:after="0" w:line="240" w:lineRule="auto"/>
        <w:ind w:left="0"/>
        <w:rPr>
          <w:b/>
          <w:i/>
          <w:sz w:val="22"/>
          <w:szCs w:val="22"/>
          <w:lang w:eastAsia="en-US"/>
        </w:rPr>
      </w:pPr>
      <w:r w:rsidRPr="00273DDA">
        <w:rPr>
          <w:b/>
          <w:i/>
          <w:sz w:val="22"/>
          <w:szCs w:val="22"/>
          <w:lang w:eastAsia="en-US"/>
        </w:rPr>
        <w:t>Characterising the information to be disclosed:</w:t>
      </w:r>
    </w:p>
    <w:p w:rsidR="00273DDA" w:rsidRDefault="00273DDA" w:rsidP="00273DDA">
      <w:pPr>
        <w:pStyle w:val="Body1"/>
        <w:spacing w:after="0" w:line="240" w:lineRule="auto"/>
        <w:ind w:left="0"/>
        <w:rPr>
          <w:sz w:val="22"/>
          <w:szCs w:val="22"/>
          <w:lang w:eastAsia="en-US"/>
        </w:rPr>
      </w:pPr>
    </w:p>
    <w:p w:rsidR="00273DDA" w:rsidRPr="00273DDA" w:rsidRDefault="00273DDA" w:rsidP="00273DDA">
      <w:pPr>
        <w:pStyle w:val="Body1"/>
        <w:spacing w:after="0" w:line="240" w:lineRule="auto"/>
        <w:ind w:left="0"/>
        <w:rPr>
          <w:sz w:val="22"/>
          <w:szCs w:val="22"/>
          <w:lang w:eastAsia="en-US"/>
        </w:rPr>
      </w:pPr>
      <w:r w:rsidRPr="00273DDA">
        <w:rPr>
          <w:sz w:val="22"/>
          <w:szCs w:val="22"/>
          <w:lang w:eastAsia="en-US"/>
        </w:rPr>
        <w:t>[</w:t>
      </w:r>
      <w:proofErr w:type="gramStart"/>
      <w:r w:rsidRPr="00273DDA">
        <w:rPr>
          <w:sz w:val="22"/>
          <w:szCs w:val="22"/>
          <w:lang w:eastAsia="en-US"/>
        </w:rPr>
        <w:t>para</w:t>
      </w:r>
      <w:proofErr w:type="gramEnd"/>
      <w:r w:rsidRPr="00273DDA">
        <w:rPr>
          <w:sz w:val="22"/>
          <w:szCs w:val="22"/>
          <w:lang w:eastAsia="en-US"/>
        </w:rPr>
        <w:t xml:space="preserve"> 76 and Arts 12 and 13 RTS] We agree that a DMP should assess, to the extent possible, the expected time table of a proposed transaction. However, we note that often it is not possible for the DMP to know the timing of publication. We therefore agree with the suggested drafting in Article 13(1</w:t>
      </w:r>
      <w:proofErr w:type="gramStart"/>
      <w:r w:rsidRPr="00273DDA">
        <w:rPr>
          <w:sz w:val="22"/>
          <w:szCs w:val="22"/>
          <w:lang w:eastAsia="en-US"/>
        </w:rPr>
        <w:t>)(</w:t>
      </w:r>
      <w:proofErr w:type="gramEnd"/>
      <w:r w:rsidRPr="00273DDA">
        <w:rPr>
          <w:sz w:val="22"/>
          <w:szCs w:val="22"/>
          <w:lang w:eastAsia="en-US"/>
        </w:rPr>
        <w:t xml:space="preserve">iv)(c) of the RTS contained in Annex IV, which suggests that the DMP informs the investor of the </w:t>
      </w:r>
      <w:r w:rsidR="00E23880">
        <w:rPr>
          <w:sz w:val="22"/>
          <w:szCs w:val="22"/>
          <w:lang w:eastAsia="en-US"/>
        </w:rPr>
        <w:t>‘</w:t>
      </w:r>
      <w:r w:rsidRPr="00273DDA">
        <w:rPr>
          <w:i/>
          <w:sz w:val="22"/>
          <w:szCs w:val="22"/>
          <w:lang w:eastAsia="en-US"/>
        </w:rPr>
        <w:t>anticipated time when information will cease to be inside information</w:t>
      </w:r>
      <w:r w:rsidR="00E23880">
        <w:rPr>
          <w:sz w:val="22"/>
          <w:szCs w:val="22"/>
          <w:lang w:eastAsia="en-US"/>
        </w:rPr>
        <w:t>’</w:t>
      </w:r>
      <w:r w:rsidRPr="00273DDA">
        <w:rPr>
          <w:sz w:val="22"/>
          <w:szCs w:val="22"/>
          <w:lang w:eastAsia="en-US"/>
        </w:rPr>
        <w:t>. We b</w:t>
      </w:r>
      <w:r w:rsidRPr="00273DDA">
        <w:rPr>
          <w:sz w:val="22"/>
          <w:szCs w:val="22"/>
          <w:lang w:eastAsia="en-US"/>
        </w:rPr>
        <w:t>e</w:t>
      </w:r>
      <w:r w:rsidRPr="00273DDA">
        <w:rPr>
          <w:sz w:val="22"/>
          <w:szCs w:val="22"/>
          <w:lang w:eastAsia="en-US"/>
        </w:rPr>
        <w:t xml:space="preserve">lieve the reference in Article 12(2) should be amended to read “a disclosing market participant shall also </w:t>
      </w:r>
      <w:r w:rsidRPr="00273DDA">
        <w:rPr>
          <w:b/>
          <w:i/>
          <w:sz w:val="22"/>
          <w:szCs w:val="22"/>
          <w:lang w:eastAsia="en-US"/>
        </w:rPr>
        <w:t>consider</w:t>
      </w:r>
      <w:r w:rsidRPr="00273DDA">
        <w:rPr>
          <w:sz w:val="22"/>
          <w:szCs w:val="22"/>
          <w:lang w:eastAsia="en-US"/>
        </w:rPr>
        <w:t xml:space="preserve"> the time when the transaction is estimated to be announced” (replacing “dete</w:t>
      </w:r>
      <w:r w:rsidRPr="00273DDA">
        <w:rPr>
          <w:sz w:val="22"/>
          <w:szCs w:val="22"/>
          <w:lang w:eastAsia="en-US"/>
        </w:rPr>
        <w:t>r</w:t>
      </w:r>
      <w:r w:rsidRPr="00273DDA">
        <w:rPr>
          <w:sz w:val="22"/>
          <w:szCs w:val="22"/>
          <w:lang w:eastAsia="en-US"/>
        </w:rPr>
        <w:t>mine” with “consider”).</w:t>
      </w:r>
    </w:p>
    <w:p w:rsidR="00273DDA" w:rsidRDefault="00273DDA" w:rsidP="00273DDA">
      <w:pPr>
        <w:pStyle w:val="Body1"/>
        <w:spacing w:after="0" w:line="240" w:lineRule="auto"/>
        <w:ind w:left="0"/>
        <w:rPr>
          <w:sz w:val="22"/>
          <w:szCs w:val="22"/>
          <w:lang w:eastAsia="en-US"/>
        </w:rPr>
      </w:pPr>
    </w:p>
    <w:p w:rsidR="00273DDA" w:rsidRDefault="00273DDA" w:rsidP="00273DDA">
      <w:pPr>
        <w:pStyle w:val="Body1"/>
        <w:spacing w:after="0" w:line="240" w:lineRule="auto"/>
        <w:ind w:left="0"/>
        <w:rPr>
          <w:sz w:val="22"/>
          <w:szCs w:val="22"/>
          <w:lang w:eastAsia="en-US"/>
        </w:rPr>
      </w:pPr>
      <w:r w:rsidRPr="00273DDA">
        <w:rPr>
          <w:sz w:val="22"/>
          <w:szCs w:val="22"/>
          <w:lang w:eastAsia="en-US"/>
        </w:rPr>
        <w:t>[</w:t>
      </w:r>
      <w:proofErr w:type="gramStart"/>
      <w:r w:rsidRPr="00273DDA">
        <w:rPr>
          <w:sz w:val="22"/>
          <w:szCs w:val="22"/>
          <w:lang w:eastAsia="en-US"/>
        </w:rPr>
        <w:t>para</w:t>
      </w:r>
      <w:proofErr w:type="gramEnd"/>
      <w:r w:rsidRPr="00273DDA">
        <w:rPr>
          <w:sz w:val="22"/>
          <w:szCs w:val="22"/>
          <w:lang w:eastAsia="en-US"/>
        </w:rPr>
        <w:t xml:space="preserve"> 79 and 80, Art 12(3)] We agree that it is desirable for members of a syndicate to agree whether a piece of information should be regarded as inside information. However, ESMA’s commentary appears to require that syndicate members characterise information as inside information where the members disagree on the categorisation. Although we agree this would be the common sense approach in most cases and what syndicate members should aim for (as </w:t>
      </w:r>
      <w:r w:rsidRPr="00273DDA">
        <w:rPr>
          <w:sz w:val="22"/>
          <w:szCs w:val="22"/>
          <w:lang w:eastAsia="en-US"/>
        </w:rPr>
        <w:lastRenderedPageBreak/>
        <w:t>provided for in Article 12(3) of the draft RTS) contained in Annex IV, we do not think this is something which should be specifically stipulated by ESMA in its commentary, as most of the time in this circumstance, the sounding might simply not go ahead.</w:t>
      </w:r>
    </w:p>
    <w:p w:rsidR="00273DDA" w:rsidRPr="00273DDA" w:rsidRDefault="00273DDA" w:rsidP="00273DDA">
      <w:pPr>
        <w:pStyle w:val="Body1"/>
        <w:spacing w:after="0" w:line="240" w:lineRule="auto"/>
        <w:ind w:left="720"/>
        <w:rPr>
          <w:sz w:val="22"/>
          <w:szCs w:val="22"/>
          <w:lang w:eastAsia="en-US"/>
        </w:rPr>
      </w:pPr>
    </w:p>
    <w:p w:rsidR="00273DDA" w:rsidRPr="00273DDA" w:rsidRDefault="00273DDA" w:rsidP="00273DDA">
      <w:pPr>
        <w:pStyle w:val="Body1"/>
        <w:spacing w:after="0" w:line="240" w:lineRule="auto"/>
        <w:ind w:left="0"/>
        <w:rPr>
          <w:b/>
          <w:i/>
          <w:sz w:val="22"/>
          <w:szCs w:val="22"/>
          <w:lang w:eastAsia="en-US"/>
        </w:rPr>
      </w:pPr>
      <w:r w:rsidRPr="00273DDA">
        <w:rPr>
          <w:b/>
          <w:i/>
          <w:sz w:val="22"/>
          <w:szCs w:val="22"/>
          <w:lang w:eastAsia="en-US"/>
        </w:rPr>
        <w:t>Timing of market soundings:</w:t>
      </w:r>
    </w:p>
    <w:p w:rsidR="00156D7D" w:rsidRDefault="00156D7D" w:rsidP="00273DDA">
      <w:pPr>
        <w:pStyle w:val="Body1"/>
        <w:spacing w:after="0" w:line="240" w:lineRule="auto"/>
        <w:ind w:left="0"/>
        <w:rPr>
          <w:sz w:val="22"/>
          <w:szCs w:val="22"/>
          <w:lang w:eastAsia="en-US"/>
        </w:rPr>
      </w:pPr>
    </w:p>
    <w:p w:rsidR="00273DDA" w:rsidRPr="00273DDA" w:rsidRDefault="00273DDA" w:rsidP="00273DDA">
      <w:pPr>
        <w:pStyle w:val="Body1"/>
        <w:spacing w:after="0" w:line="240" w:lineRule="auto"/>
        <w:ind w:left="0"/>
        <w:rPr>
          <w:sz w:val="22"/>
          <w:szCs w:val="22"/>
          <w:lang w:eastAsia="en-US"/>
        </w:rPr>
      </w:pPr>
      <w:r w:rsidRPr="00273DDA">
        <w:rPr>
          <w:sz w:val="22"/>
          <w:szCs w:val="22"/>
          <w:lang w:eastAsia="en-US"/>
        </w:rPr>
        <w:t>[</w:t>
      </w:r>
      <w:proofErr w:type="gramStart"/>
      <w:r w:rsidRPr="00273DDA">
        <w:rPr>
          <w:sz w:val="22"/>
          <w:szCs w:val="22"/>
          <w:lang w:eastAsia="en-US"/>
        </w:rPr>
        <w:t>para</w:t>
      </w:r>
      <w:proofErr w:type="gramEnd"/>
      <w:r w:rsidRPr="00273DDA">
        <w:rPr>
          <w:sz w:val="22"/>
          <w:szCs w:val="22"/>
          <w:lang w:eastAsia="en-US"/>
        </w:rPr>
        <w:t xml:space="preserve"> 85] We welcome ESMA maintaining its proposal that it will not restrict the hours in which market soundings can take place. </w:t>
      </w:r>
    </w:p>
    <w:p w:rsidR="00273DDA" w:rsidRDefault="00273DDA" w:rsidP="00273DDA">
      <w:pPr>
        <w:pStyle w:val="Body1"/>
        <w:spacing w:after="0" w:line="240" w:lineRule="auto"/>
        <w:ind w:left="0"/>
        <w:rPr>
          <w:b/>
          <w:i/>
          <w:sz w:val="22"/>
          <w:szCs w:val="22"/>
          <w:lang w:eastAsia="en-US"/>
        </w:rPr>
      </w:pPr>
    </w:p>
    <w:p w:rsidR="00273DDA" w:rsidRPr="00273DDA" w:rsidRDefault="00273DDA" w:rsidP="00273DDA">
      <w:pPr>
        <w:pStyle w:val="Body1"/>
        <w:spacing w:after="0" w:line="240" w:lineRule="auto"/>
        <w:ind w:left="0"/>
        <w:rPr>
          <w:b/>
          <w:i/>
          <w:sz w:val="22"/>
          <w:szCs w:val="22"/>
          <w:lang w:eastAsia="en-US"/>
        </w:rPr>
      </w:pPr>
      <w:r w:rsidRPr="00273DDA">
        <w:rPr>
          <w:b/>
          <w:i/>
          <w:sz w:val="22"/>
          <w:szCs w:val="22"/>
          <w:lang w:eastAsia="en-US"/>
        </w:rPr>
        <w:t>Record keeping requirements:</w:t>
      </w:r>
    </w:p>
    <w:p w:rsidR="00273DDA" w:rsidRDefault="00273DDA" w:rsidP="00273DDA">
      <w:pPr>
        <w:jc w:val="both"/>
        <w:rPr>
          <w:rFonts w:ascii="Arial" w:hAnsi="Arial" w:cs="Arial"/>
          <w:sz w:val="22"/>
          <w:szCs w:val="22"/>
          <w:lang w:eastAsia="en-US"/>
        </w:rPr>
      </w:pPr>
    </w:p>
    <w:p w:rsidR="00273DDA" w:rsidRDefault="00273DDA" w:rsidP="00273DDA">
      <w:pPr>
        <w:jc w:val="both"/>
        <w:rPr>
          <w:sz w:val="22"/>
          <w:szCs w:val="22"/>
          <w:lang w:eastAsia="en-US"/>
        </w:rPr>
      </w:pPr>
      <w:r w:rsidRPr="00273DDA">
        <w:rPr>
          <w:rFonts w:ascii="Arial" w:hAnsi="Arial" w:cs="Arial"/>
          <w:sz w:val="22"/>
          <w:szCs w:val="22"/>
          <w:lang w:eastAsia="en-US"/>
        </w:rPr>
        <w:t>[</w:t>
      </w:r>
      <w:proofErr w:type="gramStart"/>
      <w:r w:rsidRPr="00273DDA">
        <w:rPr>
          <w:rFonts w:ascii="Arial" w:eastAsia="Calibri" w:hAnsi="Arial" w:cs="Arial"/>
          <w:sz w:val="22"/>
          <w:szCs w:val="22"/>
          <w:lang w:eastAsia="en-US"/>
        </w:rPr>
        <w:t>para</w:t>
      </w:r>
      <w:proofErr w:type="gramEnd"/>
      <w:r w:rsidRPr="00273DDA">
        <w:rPr>
          <w:rFonts w:ascii="Arial" w:eastAsia="Calibri" w:hAnsi="Arial" w:cs="Arial"/>
          <w:sz w:val="22"/>
          <w:szCs w:val="22"/>
          <w:lang w:eastAsia="en-US"/>
        </w:rPr>
        <w:t xml:space="preserve"> 91 and 92] ESMA notes that there is a risk that inside information could be passed in the course of a market sounding that the DMP categorises as not containing inside information. However, we do not agree with ESMA that extending record keeping requirements to circu</w:t>
      </w:r>
      <w:r w:rsidRPr="00273DDA">
        <w:rPr>
          <w:rFonts w:ascii="Arial" w:eastAsia="Calibri" w:hAnsi="Arial" w:cs="Arial"/>
          <w:sz w:val="22"/>
          <w:szCs w:val="22"/>
          <w:lang w:eastAsia="en-US"/>
        </w:rPr>
        <w:t>m</w:t>
      </w:r>
      <w:r w:rsidRPr="00273DDA">
        <w:rPr>
          <w:rFonts w:ascii="Arial" w:eastAsia="Calibri" w:hAnsi="Arial" w:cs="Arial"/>
          <w:sz w:val="22"/>
          <w:szCs w:val="22"/>
          <w:lang w:eastAsia="en-US"/>
        </w:rPr>
        <w:t>stances where the DMP does not believe he is passing on inside information will allow the DMP to avail itself of protection under Article 11 if it has indeed passed on inside information. This is because the protection under Article 11 only applies where the DMP obtains the consent of the person receiving the market sounding to receive inside information and provides further info</w:t>
      </w:r>
      <w:r w:rsidRPr="00273DDA">
        <w:rPr>
          <w:rFonts w:ascii="Arial" w:eastAsia="Calibri" w:hAnsi="Arial" w:cs="Arial"/>
          <w:sz w:val="22"/>
          <w:szCs w:val="22"/>
          <w:lang w:eastAsia="en-US"/>
        </w:rPr>
        <w:t>r</w:t>
      </w:r>
      <w:r w:rsidRPr="00273DDA">
        <w:rPr>
          <w:rFonts w:ascii="Arial" w:eastAsia="Calibri" w:hAnsi="Arial" w:cs="Arial"/>
          <w:sz w:val="22"/>
          <w:szCs w:val="22"/>
          <w:lang w:eastAsia="en-US"/>
        </w:rPr>
        <w:t>mation to the recipient as described in Article 11(5). In addition, we do not see how not exten</w:t>
      </w:r>
      <w:r w:rsidRPr="00273DDA">
        <w:rPr>
          <w:rFonts w:ascii="Arial" w:eastAsia="Calibri" w:hAnsi="Arial" w:cs="Arial"/>
          <w:sz w:val="22"/>
          <w:szCs w:val="22"/>
          <w:lang w:eastAsia="en-US"/>
        </w:rPr>
        <w:t>d</w:t>
      </w:r>
      <w:r w:rsidRPr="00273DDA">
        <w:rPr>
          <w:rFonts w:ascii="Arial" w:eastAsia="Calibri" w:hAnsi="Arial" w:cs="Arial"/>
          <w:sz w:val="22"/>
          <w:szCs w:val="22"/>
          <w:lang w:eastAsia="en-US"/>
        </w:rPr>
        <w:t xml:space="preserve">ing record keeping requirements in this way would </w:t>
      </w:r>
      <w:r w:rsidR="00E23880" w:rsidRPr="00E23880">
        <w:rPr>
          <w:rFonts w:ascii="Arial" w:eastAsia="Calibri" w:hAnsi="Arial" w:cs="Arial"/>
          <w:i/>
          <w:sz w:val="22"/>
          <w:szCs w:val="22"/>
          <w:lang w:eastAsia="en-US"/>
        </w:rPr>
        <w:t>‘</w:t>
      </w:r>
      <w:r w:rsidRPr="00E23880">
        <w:rPr>
          <w:rFonts w:ascii="Arial" w:eastAsia="Calibri" w:hAnsi="Arial" w:cs="Arial"/>
          <w:i/>
          <w:sz w:val="22"/>
          <w:szCs w:val="22"/>
          <w:lang w:eastAsia="en-US"/>
        </w:rPr>
        <w:t>likely result in DMPs either inadvertently disclosing inside information in practice or otherwise routinely categorising information as inside information (where it may not be price sensitive) in order to benefit from the protection in Article 11</w:t>
      </w:r>
      <w:r w:rsidR="00E23880" w:rsidRPr="00E23880">
        <w:rPr>
          <w:rFonts w:ascii="Arial" w:eastAsia="Calibri" w:hAnsi="Arial" w:cs="Arial"/>
          <w:i/>
          <w:sz w:val="22"/>
          <w:szCs w:val="22"/>
          <w:lang w:eastAsia="en-US"/>
        </w:rPr>
        <w:t>’</w:t>
      </w:r>
      <w:r w:rsidRPr="00273DDA">
        <w:rPr>
          <w:rFonts w:ascii="Arial" w:eastAsia="Calibri" w:hAnsi="Arial" w:cs="Arial"/>
          <w:sz w:val="22"/>
          <w:szCs w:val="22"/>
          <w:lang w:eastAsia="en-US"/>
        </w:rPr>
        <w:t xml:space="preserve">. We would also question why the level of information required to be kept should be the same where the DMP determines that no inside information is being passed on. Although DMPs may keep certain details of such soundings, the detail of any records should be determined by the DMPs. Considering that Article 11(5) applies in the context of disclosure of inside </w:t>
      </w:r>
      <w:proofErr w:type="gramStart"/>
      <w:r w:rsidRPr="00273DDA">
        <w:rPr>
          <w:rFonts w:ascii="Arial" w:eastAsia="Calibri" w:hAnsi="Arial" w:cs="Arial"/>
          <w:sz w:val="22"/>
          <w:szCs w:val="22"/>
          <w:lang w:eastAsia="en-US"/>
        </w:rPr>
        <w:t>information,</w:t>
      </w:r>
      <w:proofErr w:type="gramEnd"/>
      <w:r w:rsidRPr="00273DDA">
        <w:rPr>
          <w:rFonts w:ascii="Arial" w:eastAsia="Calibri" w:hAnsi="Arial" w:cs="Arial"/>
          <w:sz w:val="22"/>
          <w:szCs w:val="22"/>
          <w:lang w:eastAsia="en-US"/>
        </w:rPr>
        <w:t xml:space="preserve"> ESMA’s proposed extension of record keeping obligations may be beyond the intended scope of those obligations. We would therefore suggest that DMPs are afforded flexibility in determining the appropriate records in the context of market soundings where no inside information is passed. </w:t>
      </w:r>
    </w:p>
    <w:permEnd w:id="623976530"/>
    <w:p w:rsidR="00C8677B" w:rsidRDefault="00C8677B" w:rsidP="00C8677B">
      <w:r>
        <w:t>&lt;</w:t>
      </w:r>
      <w:r w:rsidR="00CB6CDD">
        <w:t>ESMA_QUESTION_MAR_TS_</w:t>
      </w:r>
      <w:r>
        <w:t>3&gt;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rsidR="00C8677B" w:rsidRDefault="00C8677B" w:rsidP="00C8677B">
      <w:r>
        <w:t>&lt;</w:t>
      </w:r>
      <w:r w:rsidR="00CB6CDD">
        <w:t>ESMA_QUESTION_MAR_TS_</w:t>
      </w:r>
      <w:r>
        <w:t>4&gt;</w:t>
      </w:r>
    </w:p>
    <w:p w:rsidR="00273DDA" w:rsidRDefault="00273DDA" w:rsidP="00273DDA">
      <w:pPr>
        <w:pStyle w:val="Body1"/>
        <w:spacing w:after="0" w:line="240" w:lineRule="auto"/>
        <w:ind w:left="0"/>
        <w:rPr>
          <w:sz w:val="22"/>
          <w:szCs w:val="22"/>
          <w:lang w:eastAsia="en-US"/>
        </w:rPr>
      </w:pPr>
      <w:permStart w:id="249131175" w:edGrp="everyone"/>
      <w:r w:rsidRPr="00273DDA">
        <w:rPr>
          <w:sz w:val="22"/>
          <w:szCs w:val="22"/>
          <w:lang w:eastAsia="en-US"/>
        </w:rPr>
        <w:t>Although we agree with the use of standard templates for market soundings, we have some comments on the contents of these.</w:t>
      </w:r>
    </w:p>
    <w:p w:rsidR="00273DDA" w:rsidRPr="00273DDA" w:rsidRDefault="00273DDA" w:rsidP="00273DDA">
      <w:pPr>
        <w:pStyle w:val="Body1"/>
        <w:spacing w:after="0" w:line="240" w:lineRule="auto"/>
        <w:ind w:left="0"/>
        <w:rPr>
          <w:sz w:val="22"/>
          <w:szCs w:val="22"/>
          <w:lang w:eastAsia="en-US"/>
        </w:rPr>
      </w:pPr>
    </w:p>
    <w:p w:rsidR="00273DDA" w:rsidRDefault="00273DDA" w:rsidP="00273DDA">
      <w:pPr>
        <w:pStyle w:val="Body1"/>
        <w:spacing w:after="0" w:line="240" w:lineRule="auto"/>
        <w:ind w:left="0"/>
        <w:rPr>
          <w:sz w:val="22"/>
          <w:szCs w:val="22"/>
          <w:lang w:eastAsia="en-US"/>
        </w:rPr>
      </w:pPr>
      <w:r w:rsidRPr="00273DDA">
        <w:rPr>
          <w:sz w:val="22"/>
          <w:szCs w:val="22"/>
          <w:lang w:eastAsia="en-US"/>
        </w:rPr>
        <w:t>[</w:t>
      </w:r>
      <w:proofErr w:type="gramStart"/>
      <w:r w:rsidRPr="00273DDA">
        <w:rPr>
          <w:sz w:val="22"/>
          <w:szCs w:val="22"/>
          <w:lang w:eastAsia="en-US"/>
        </w:rPr>
        <w:t>para</w:t>
      </w:r>
      <w:proofErr w:type="gramEnd"/>
      <w:r w:rsidRPr="00273DDA">
        <w:rPr>
          <w:sz w:val="22"/>
          <w:szCs w:val="22"/>
          <w:lang w:eastAsia="en-US"/>
        </w:rPr>
        <w:t xml:space="preserve"> 94, Art 13 RTS, Art 4 and annex ITS] We consider that the heavy process suggested for market soundings with no inside information may confuse potential investors who may decide not to be sounded at all. This would not be helpful for the proper functioning of the markets. Given that specific disclosures are not envisaged for such soundings in the relevant Level 1 provision (Article 11(5) of MAR sets out the requirements for soundings where inside information is disclosed), we believe DMPs should be afforded more flexibility in dealing with such soun</w:t>
      </w:r>
      <w:r w:rsidRPr="00273DDA">
        <w:rPr>
          <w:sz w:val="22"/>
          <w:szCs w:val="22"/>
          <w:lang w:eastAsia="en-US"/>
        </w:rPr>
        <w:t>d</w:t>
      </w:r>
      <w:r w:rsidRPr="00273DDA">
        <w:rPr>
          <w:sz w:val="22"/>
          <w:szCs w:val="22"/>
          <w:lang w:eastAsia="en-US"/>
        </w:rPr>
        <w:t>ings and that the technical standards should not include detailed requirements and scripts for such soundings. To the extent that a script is required, we would propose that it should at least provide DMPs with more flexibility than what has currently been proposed.</w:t>
      </w:r>
    </w:p>
    <w:p w:rsidR="00273DDA" w:rsidRPr="00273DDA" w:rsidRDefault="00273DDA" w:rsidP="00273DDA">
      <w:pPr>
        <w:pStyle w:val="Body1"/>
        <w:spacing w:after="0" w:line="240" w:lineRule="auto"/>
        <w:ind w:left="0"/>
        <w:rPr>
          <w:sz w:val="22"/>
          <w:szCs w:val="22"/>
          <w:lang w:eastAsia="en-US"/>
        </w:rPr>
      </w:pPr>
    </w:p>
    <w:p w:rsidR="00273DDA" w:rsidRPr="00273DDA" w:rsidRDefault="00273DDA" w:rsidP="00273DDA">
      <w:pPr>
        <w:pStyle w:val="Body1"/>
        <w:spacing w:after="0" w:line="240" w:lineRule="auto"/>
        <w:ind w:left="0"/>
        <w:rPr>
          <w:sz w:val="22"/>
          <w:szCs w:val="22"/>
          <w:lang w:eastAsia="en-US"/>
        </w:rPr>
      </w:pPr>
      <w:r w:rsidRPr="00273DDA" w:rsidDel="005309C6">
        <w:rPr>
          <w:sz w:val="22"/>
          <w:szCs w:val="22"/>
          <w:lang w:eastAsia="en-US"/>
        </w:rPr>
        <w:t xml:space="preserve"> </w:t>
      </w:r>
      <w:r w:rsidRPr="00273DDA">
        <w:rPr>
          <w:sz w:val="22"/>
          <w:szCs w:val="22"/>
          <w:lang w:eastAsia="en-US"/>
        </w:rPr>
        <w:t>[</w:t>
      </w:r>
      <w:proofErr w:type="gramStart"/>
      <w:r w:rsidRPr="00273DDA">
        <w:rPr>
          <w:sz w:val="22"/>
          <w:szCs w:val="22"/>
          <w:lang w:eastAsia="en-US"/>
        </w:rPr>
        <w:t>para</w:t>
      </w:r>
      <w:proofErr w:type="gramEnd"/>
      <w:r w:rsidRPr="00273DDA">
        <w:rPr>
          <w:sz w:val="22"/>
          <w:szCs w:val="22"/>
          <w:lang w:eastAsia="en-US"/>
        </w:rPr>
        <w:t xml:space="preserve"> 95, RTS and ITS] We welcome ESMA statement that the DPM may use a simplified standard script when questioning potential investors with whom it has an on-going relationship </w:t>
      </w:r>
      <w:r w:rsidRPr="00273DDA">
        <w:rPr>
          <w:sz w:val="22"/>
          <w:szCs w:val="22"/>
          <w:lang w:eastAsia="en-US"/>
        </w:rPr>
        <w:lastRenderedPageBreak/>
        <w:t>and who have previously confirmed to the DPM they are aware of the consequences of holding inside information. However, we believe in these instances, the DMP should have the flexibility to decide exactly how to communicate with the investors as long as they make it very clear that they are being wall-crossed and that the investor consents. For this reason, we do not think that the template scripts would be appropriate in such circumstances.</w:t>
      </w:r>
    </w:p>
    <w:p w:rsidR="00273DDA" w:rsidRDefault="00273DDA" w:rsidP="00273DDA">
      <w:pPr>
        <w:jc w:val="both"/>
        <w:rPr>
          <w:rFonts w:ascii="Arial" w:hAnsi="Arial" w:cs="Arial"/>
          <w:sz w:val="22"/>
          <w:szCs w:val="22"/>
          <w:lang w:eastAsia="en-US"/>
        </w:rPr>
      </w:pPr>
    </w:p>
    <w:p w:rsidR="00273DDA" w:rsidRPr="00273DDA" w:rsidRDefault="00273DDA" w:rsidP="00273DDA">
      <w:pPr>
        <w:jc w:val="both"/>
        <w:rPr>
          <w:rFonts w:ascii="Arial" w:hAnsi="Arial" w:cs="Arial"/>
          <w:sz w:val="22"/>
          <w:szCs w:val="22"/>
          <w:lang w:eastAsia="en-US"/>
        </w:rPr>
      </w:pPr>
      <w:r w:rsidRPr="00273DDA">
        <w:rPr>
          <w:rFonts w:ascii="Arial" w:hAnsi="Arial" w:cs="Arial"/>
          <w:sz w:val="22"/>
          <w:szCs w:val="22"/>
          <w:lang w:eastAsia="en-US"/>
        </w:rPr>
        <w:t>We believe the DPMs should be authorised to email their script to the potential investors in order to make this the process more practicable and efficient, and allow for the market sounding to go ahead once consent from the potential investor has been received.</w:t>
      </w:r>
    </w:p>
    <w:permEnd w:id="249131175"/>
    <w:p w:rsidR="00C8677B" w:rsidRDefault="00C8677B" w:rsidP="00C8677B">
      <w:r>
        <w:t>&lt;</w:t>
      </w:r>
      <w:r w:rsidR="00CB6CDD">
        <w:t>ESMA_QUESTION_MAR_TS_</w:t>
      </w:r>
      <w:r>
        <w:t>4&gt;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sounding lists?</w:t>
      </w:r>
    </w:p>
    <w:p w:rsidR="00C8677B" w:rsidRDefault="00C8677B" w:rsidP="00C8677B">
      <w:r>
        <w:t>&lt;</w:t>
      </w:r>
      <w:r w:rsidR="00CB6CDD">
        <w:t>ESMA_QUESTION_MAR_TS_</w:t>
      </w:r>
      <w:r>
        <w:t>5&gt;</w:t>
      </w:r>
    </w:p>
    <w:p w:rsidR="00273DDA" w:rsidRDefault="00273DDA" w:rsidP="00273DDA">
      <w:pPr>
        <w:jc w:val="both"/>
        <w:rPr>
          <w:rFonts w:ascii="Arial" w:hAnsi="Arial" w:cs="Arial"/>
          <w:sz w:val="22"/>
          <w:szCs w:val="22"/>
          <w:lang w:eastAsia="en-US"/>
        </w:rPr>
      </w:pPr>
      <w:permStart w:id="724258521" w:edGrp="everyone"/>
      <w:r w:rsidRPr="00273DDA">
        <w:rPr>
          <w:rFonts w:ascii="Arial" w:hAnsi="Arial" w:cs="Arial"/>
          <w:sz w:val="22"/>
          <w:szCs w:val="22"/>
          <w:lang w:eastAsia="en-US"/>
        </w:rPr>
        <w:t>[</w:t>
      </w:r>
      <w:proofErr w:type="gramStart"/>
      <w:r w:rsidRPr="00273DDA">
        <w:rPr>
          <w:rFonts w:ascii="Arial" w:hAnsi="Arial" w:cs="Arial"/>
          <w:sz w:val="22"/>
          <w:szCs w:val="22"/>
          <w:lang w:eastAsia="en-US"/>
        </w:rPr>
        <w:t>para</w:t>
      </w:r>
      <w:proofErr w:type="gramEnd"/>
      <w:r w:rsidRPr="00273DDA">
        <w:rPr>
          <w:rFonts w:ascii="Arial" w:hAnsi="Arial" w:cs="Arial"/>
          <w:sz w:val="22"/>
          <w:szCs w:val="22"/>
          <w:lang w:eastAsia="en-US"/>
        </w:rPr>
        <w:t xml:space="preserve"> 96 and Art 14 RTS] We welcome ESMA’s proposals regarding sounding lists and the fact that it applies only to employees who are actually sounded. We are concerned by the requir</w:t>
      </w:r>
      <w:r w:rsidRPr="00273DDA">
        <w:rPr>
          <w:rFonts w:ascii="Arial" w:hAnsi="Arial" w:cs="Arial"/>
          <w:sz w:val="22"/>
          <w:szCs w:val="22"/>
          <w:lang w:eastAsia="en-US"/>
        </w:rPr>
        <w:t>e</w:t>
      </w:r>
      <w:r w:rsidRPr="00273DDA">
        <w:rPr>
          <w:rFonts w:ascii="Arial" w:hAnsi="Arial" w:cs="Arial"/>
          <w:sz w:val="22"/>
          <w:szCs w:val="22"/>
          <w:lang w:eastAsia="en-US"/>
        </w:rPr>
        <w:t>ment to keep a record of all follow-up communications. First, we question how this will be d</w:t>
      </w:r>
      <w:r w:rsidRPr="00273DDA">
        <w:rPr>
          <w:rFonts w:ascii="Arial" w:hAnsi="Arial" w:cs="Arial"/>
          <w:sz w:val="22"/>
          <w:szCs w:val="22"/>
          <w:lang w:eastAsia="en-US"/>
        </w:rPr>
        <w:t>e</w:t>
      </w:r>
      <w:r w:rsidRPr="00273DDA">
        <w:rPr>
          <w:rFonts w:ascii="Arial" w:hAnsi="Arial" w:cs="Arial"/>
          <w:sz w:val="22"/>
          <w:szCs w:val="22"/>
          <w:lang w:eastAsia="en-US"/>
        </w:rPr>
        <w:t xml:space="preserve">fined and where this requirement applies and where it stops. In addition, this requirement will be extremely onerous as it would require all follow-up calls (of which there may be many) to be recorded and logged. </w:t>
      </w:r>
    </w:p>
    <w:p w:rsidR="00273DDA" w:rsidRDefault="00273DDA" w:rsidP="00273DDA">
      <w:pPr>
        <w:jc w:val="both"/>
        <w:rPr>
          <w:rFonts w:ascii="Arial" w:hAnsi="Arial" w:cs="Arial"/>
          <w:sz w:val="22"/>
          <w:szCs w:val="22"/>
          <w:lang w:eastAsia="en-US"/>
        </w:rPr>
      </w:pPr>
    </w:p>
    <w:p w:rsidR="00C8677B" w:rsidRDefault="00273DDA" w:rsidP="00273DDA">
      <w:pPr>
        <w:jc w:val="both"/>
        <w:rPr>
          <w:sz w:val="22"/>
          <w:szCs w:val="22"/>
          <w:lang w:eastAsia="en-US"/>
        </w:rPr>
      </w:pPr>
      <w:r w:rsidRPr="00273DDA">
        <w:rPr>
          <w:rFonts w:ascii="Arial" w:hAnsi="Arial" w:cs="Arial"/>
          <w:sz w:val="22"/>
          <w:szCs w:val="22"/>
          <w:lang w:eastAsia="en-US"/>
        </w:rPr>
        <w:t>We believe it would be unworkable for the DPM to do such an exercise and we would therefore question the added value of h</w:t>
      </w:r>
      <w:r w:rsidR="00E23880">
        <w:rPr>
          <w:rFonts w:ascii="Arial" w:hAnsi="Arial" w:cs="Arial"/>
          <w:sz w:val="22"/>
          <w:szCs w:val="22"/>
          <w:lang w:eastAsia="en-US"/>
        </w:rPr>
        <w:t xml:space="preserve">aving this information logged. </w:t>
      </w:r>
      <w:r w:rsidRPr="00273DDA">
        <w:rPr>
          <w:rFonts w:ascii="Arial" w:hAnsi="Arial" w:cs="Arial"/>
          <w:sz w:val="22"/>
          <w:szCs w:val="22"/>
          <w:lang w:eastAsia="en-US"/>
        </w:rPr>
        <w:t>The same concern applies with regards to the requirement for each subsequent discussions or communications to be recorded on a durable medium. We would suggest for this requirement to only refer to ‘materially’ i</w:t>
      </w:r>
      <w:r w:rsidRPr="00273DDA">
        <w:rPr>
          <w:rFonts w:ascii="Arial" w:hAnsi="Arial" w:cs="Arial"/>
          <w:sz w:val="22"/>
          <w:szCs w:val="22"/>
          <w:lang w:eastAsia="en-US"/>
        </w:rPr>
        <w:t>m</w:t>
      </w:r>
      <w:r w:rsidRPr="00273DDA">
        <w:rPr>
          <w:rFonts w:ascii="Arial" w:hAnsi="Arial" w:cs="Arial"/>
          <w:sz w:val="22"/>
          <w:szCs w:val="22"/>
          <w:lang w:eastAsia="en-US"/>
        </w:rPr>
        <w:t>portant communications or discussions where inside information is disclosed. We would propose that Article 14 of the RTS contained in Annex IV is amended accordingly.</w:t>
      </w:r>
      <w:r w:rsidRPr="003D4B50">
        <w:rPr>
          <w:sz w:val="22"/>
          <w:szCs w:val="22"/>
          <w:lang w:eastAsia="en-US"/>
        </w:rPr>
        <w:t xml:space="preserve"> </w:t>
      </w:r>
    </w:p>
    <w:p w:rsidR="00273DDA" w:rsidRDefault="00273DDA" w:rsidP="00273DDA">
      <w:pPr>
        <w:jc w:val="both"/>
      </w:pPr>
    </w:p>
    <w:permEnd w:id="724258521"/>
    <w:p w:rsidR="00C8677B" w:rsidRDefault="00C8677B" w:rsidP="00C8677B">
      <w:r>
        <w:t>&lt;</w:t>
      </w:r>
      <w:r w:rsidR="00CB6CDD">
        <w:t>ESMA_QUESTION_MAR_TS_</w:t>
      </w:r>
      <w:r>
        <w:t>5&gt;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w:t>
      </w:r>
      <w:r w:rsidRPr="0091447F">
        <w:t>n</w:t>
      </w:r>
      <w:r w:rsidRPr="0091447F">
        <w:t>vestor?</w:t>
      </w:r>
    </w:p>
    <w:p w:rsidR="00C8677B" w:rsidRDefault="00C8677B" w:rsidP="00C8677B">
      <w:r>
        <w:t>&lt;</w:t>
      </w:r>
      <w:r w:rsidR="00CB6CDD">
        <w:t>ESMA_QUESTION_MAR_TS_</w:t>
      </w:r>
      <w:r>
        <w:t>6&gt;</w:t>
      </w:r>
    </w:p>
    <w:p w:rsidR="00273DDA" w:rsidRPr="00273DDA" w:rsidRDefault="00273DDA" w:rsidP="00273DDA">
      <w:pPr>
        <w:pStyle w:val="Body1"/>
        <w:spacing w:after="0" w:line="240" w:lineRule="auto"/>
        <w:ind w:left="0"/>
        <w:rPr>
          <w:sz w:val="22"/>
          <w:szCs w:val="22"/>
          <w:lang w:eastAsia="en-US"/>
        </w:rPr>
      </w:pPr>
      <w:permStart w:id="649088359" w:edGrp="everyone"/>
      <w:r w:rsidRPr="003D4B50">
        <w:rPr>
          <w:sz w:val="22"/>
          <w:szCs w:val="22"/>
          <w:lang w:eastAsia="en-US"/>
        </w:rPr>
        <w:t>[</w:t>
      </w:r>
      <w:proofErr w:type="gramStart"/>
      <w:r w:rsidRPr="00273DDA">
        <w:rPr>
          <w:sz w:val="22"/>
          <w:szCs w:val="22"/>
          <w:lang w:eastAsia="en-US"/>
        </w:rPr>
        <w:t>para</w:t>
      </w:r>
      <w:proofErr w:type="gramEnd"/>
      <w:r w:rsidRPr="00273DDA">
        <w:rPr>
          <w:sz w:val="22"/>
          <w:szCs w:val="22"/>
          <w:lang w:eastAsia="en-US"/>
        </w:rPr>
        <w:t xml:space="preserve"> 98-99 and Art 14 RTS] We do not consider it necessary for a requirement to be imposed on DMPs to keep such a contact list. There is nothing in Level 1 which would require such a list and we would question the usefulness of this approach when contrasted with the burden of keeping the information up to date, bearing in mind that changes in personnel may occur fr</w:t>
      </w:r>
      <w:r w:rsidRPr="00273DDA">
        <w:rPr>
          <w:sz w:val="22"/>
          <w:szCs w:val="22"/>
          <w:lang w:eastAsia="en-US"/>
        </w:rPr>
        <w:t>e</w:t>
      </w:r>
      <w:r w:rsidRPr="00273DDA">
        <w:rPr>
          <w:sz w:val="22"/>
          <w:szCs w:val="22"/>
          <w:lang w:eastAsia="en-US"/>
        </w:rPr>
        <w:t>quently and potential investors are unlikely to keep DMPs up to date with all such changes. We consider that management of inside information is appropriately addressed by other means, such as the detailed market sounding scripts, which make reference to the DMP confirming that it is speaking with the appropriate person. We therefore consider that the requirement to mai</w:t>
      </w:r>
      <w:r w:rsidRPr="00273DDA">
        <w:rPr>
          <w:sz w:val="22"/>
          <w:szCs w:val="22"/>
          <w:lang w:eastAsia="en-US"/>
        </w:rPr>
        <w:t>n</w:t>
      </w:r>
      <w:r w:rsidRPr="00273DDA">
        <w:rPr>
          <w:sz w:val="22"/>
          <w:szCs w:val="22"/>
          <w:lang w:eastAsia="en-US"/>
        </w:rPr>
        <w:t xml:space="preserve">tain contact lists is unnecessary and that Article 14(2) of the draft RTS contained in Annex IV should be deleted. </w:t>
      </w:r>
    </w:p>
    <w:p w:rsidR="00273DDA" w:rsidRDefault="00273DDA" w:rsidP="00273DDA">
      <w:pPr>
        <w:jc w:val="both"/>
        <w:rPr>
          <w:rFonts w:ascii="Arial" w:hAnsi="Arial" w:cs="Arial"/>
          <w:sz w:val="22"/>
          <w:szCs w:val="22"/>
          <w:lang w:eastAsia="en-US"/>
        </w:rPr>
      </w:pPr>
    </w:p>
    <w:p w:rsidR="00C8677B" w:rsidRPr="00273DDA" w:rsidRDefault="00273DDA" w:rsidP="00273DDA">
      <w:pPr>
        <w:jc w:val="both"/>
        <w:rPr>
          <w:sz w:val="22"/>
          <w:szCs w:val="22"/>
          <w:lang w:eastAsia="en-US"/>
        </w:rPr>
      </w:pPr>
      <w:r w:rsidRPr="00273DDA">
        <w:rPr>
          <w:rFonts w:ascii="Arial" w:hAnsi="Arial" w:cs="Arial"/>
          <w:sz w:val="22"/>
          <w:szCs w:val="22"/>
          <w:lang w:eastAsia="en-US"/>
        </w:rPr>
        <w:t>Equally, we believe that imposing a requirement on DMPs to keep a list of investors who do not want to be sounded is outside the scope of ESMA’s mandate as set out in Article 11 of MAR. Whilst DMPs will as a matter of course seek to not contact persons who they know do not want to be sounded, there is no need for a regulatory requirement to that effect. We would therefore suggest that Article 14(3) of the draft RTS contained in Annex IV should be deleted.</w:t>
      </w:r>
    </w:p>
    <w:permEnd w:id="649088359"/>
    <w:p w:rsidR="00C8677B" w:rsidRDefault="00C8677B" w:rsidP="00C8677B">
      <w:r>
        <w:lastRenderedPageBreak/>
        <w:t>&lt;</w:t>
      </w:r>
      <w:r w:rsidR="00CB6CDD">
        <w:t>ESMA_QUESTION_MAR_TS_</w:t>
      </w:r>
      <w:r>
        <w:t>6&gt;</w:t>
      </w:r>
    </w:p>
    <w:p w:rsidR="00C8677B" w:rsidRDefault="00C8677B" w:rsidP="00C8677B"/>
    <w:p w:rsidR="00C8677B" w:rsidRPr="0091447F"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recorded communications?</w:t>
      </w:r>
    </w:p>
    <w:p w:rsidR="00C8677B" w:rsidRDefault="00C8677B" w:rsidP="00C8677B">
      <w:r>
        <w:t>&lt;</w:t>
      </w:r>
      <w:r w:rsidR="00CB6CDD">
        <w:t>ESMA_QUESTION_MAR_TS_</w:t>
      </w:r>
      <w:r>
        <w:t>7&gt;</w:t>
      </w:r>
    </w:p>
    <w:p w:rsidR="00273DDA" w:rsidRPr="003D4B50" w:rsidRDefault="00273DDA" w:rsidP="00273DDA">
      <w:pPr>
        <w:pStyle w:val="Body1"/>
        <w:spacing w:after="0" w:line="240" w:lineRule="auto"/>
        <w:ind w:left="0"/>
        <w:rPr>
          <w:sz w:val="22"/>
          <w:szCs w:val="22"/>
          <w:lang w:eastAsia="en-US"/>
        </w:rPr>
      </w:pPr>
      <w:permStart w:id="420304084" w:edGrp="everyone"/>
      <w:r w:rsidRPr="003D4B50">
        <w:rPr>
          <w:sz w:val="22"/>
          <w:szCs w:val="22"/>
          <w:lang w:eastAsia="en-US"/>
        </w:rPr>
        <w:t>[</w:t>
      </w:r>
      <w:proofErr w:type="gramStart"/>
      <w:r w:rsidRPr="003D4B50">
        <w:rPr>
          <w:sz w:val="22"/>
          <w:szCs w:val="22"/>
          <w:lang w:eastAsia="en-US"/>
        </w:rPr>
        <w:t>para</w:t>
      </w:r>
      <w:proofErr w:type="gramEnd"/>
      <w:r w:rsidRPr="003D4B50">
        <w:rPr>
          <w:sz w:val="22"/>
          <w:szCs w:val="22"/>
          <w:lang w:eastAsia="en-US"/>
        </w:rPr>
        <w:t xml:space="preserve"> 101] We agree that a record should be kept of market soundings</w:t>
      </w:r>
      <w:r>
        <w:rPr>
          <w:sz w:val="22"/>
          <w:szCs w:val="22"/>
          <w:lang w:eastAsia="en-US"/>
        </w:rPr>
        <w:t xml:space="preserve"> </w:t>
      </w:r>
      <w:r w:rsidRPr="001C4DE0">
        <w:rPr>
          <w:sz w:val="22"/>
          <w:szCs w:val="22"/>
          <w:lang w:eastAsia="en-US"/>
        </w:rPr>
        <w:t>where inside information is disclosed as part of the sounding.</w:t>
      </w:r>
      <w:r w:rsidRPr="003D4B50">
        <w:rPr>
          <w:sz w:val="22"/>
          <w:szCs w:val="22"/>
          <w:lang w:eastAsia="en-US"/>
        </w:rPr>
        <w:t xml:space="preserve"> However, we do not agree with ESMA’s proposals in r</w:t>
      </w:r>
      <w:r w:rsidRPr="003D4B50">
        <w:rPr>
          <w:sz w:val="22"/>
          <w:szCs w:val="22"/>
          <w:lang w:eastAsia="en-US"/>
        </w:rPr>
        <w:t>e</w:t>
      </w:r>
      <w:r w:rsidRPr="003D4B50">
        <w:rPr>
          <w:sz w:val="22"/>
          <w:szCs w:val="22"/>
          <w:lang w:eastAsia="en-US"/>
        </w:rPr>
        <w:t>spect of face-to-face meetings that are not captured by video or tape recording. Whilst we co</w:t>
      </w:r>
      <w:r w:rsidRPr="003D4B50">
        <w:rPr>
          <w:sz w:val="22"/>
          <w:szCs w:val="22"/>
          <w:lang w:eastAsia="en-US"/>
        </w:rPr>
        <w:t>n</w:t>
      </w:r>
      <w:r w:rsidRPr="003D4B50">
        <w:rPr>
          <w:sz w:val="22"/>
          <w:szCs w:val="22"/>
          <w:lang w:eastAsia="en-US"/>
        </w:rPr>
        <w:t>sider that it is good practice to ensure that persons record the details of the meeting appropriat</w:t>
      </w:r>
      <w:r w:rsidRPr="003D4B50">
        <w:rPr>
          <w:sz w:val="22"/>
          <w:szCs w:val="22"/>
          <w:lang w:eastAsia="en-US"/>
        </w:rPr>
        <w:t>e</w:t>
      </w:r>
      <w:r w:rsidRPr="003D4B50">
        <w:rPr>
          <w:sz w:val="22"/>
          <w:szCs w:val="22"/>
          <w:lang w:eastAsia="en-US"/>
        </w:rPr>
        <w:t>ly, requiring them to agree the content of the note should not be mandatory as this will inevitably involve lengthy discussions about the exact content of the record and legal reviews by each side, which might take a considerable amount of time. This process could end up being extrem</w:t>
      </w:r>
      <w:r w:rsidRPr="003D4B50">
        <w:rPr>
          <w:sz w:val="22"/>
          <w:szCs w:val="22"/>
          <w:lang w:eastAsia="en-US"/>
        </w:rPr>
        <w:t>e</w:t>
      </w:r>
      <w:r w:rsidRPr="003D4B50">
        <w:rPr>
          <w:sz w:val="22"/>
          <w:szCs w:val="22"/>
          <w:lang w:eastAsia="en-US"/>
        </w:rPr>
        <w:t xml:space="preserve">ly costly and unworkable in the long term leading to a </w:t>
      </w:r>
      <w:r>
        <w:rPr>
          <w:sz w:val="22"/>
          <w:szCs w:val="22"/>
          <w:lang w:eastAsia="en-US"/>
        </w:rPr>
        <w:t>considerable</w:t>
      </w:r>
      <w:r w:rsidRPr="003D4B50">
        <w:rPr>
          <w:sz w:val="22"/>
          <w:szCs w:val="22"/>
          <w:lang w:eastAsia="en-US"/>
        </w:rPr>
        <w:t xml:space="preserve"> reduction of market soun</w:t>
      </w:r>
      <w:r w:rsidRPr="003D4B50">
        <w:rPr>
          <w:sz w:val="22"/>
          <w:szCs w:val="22"/>
          <w:lang w:eastAsia="en-US"/>
        </w:rPr>
        <w:t>d</w:t>
      </w:r>
      <w:r w:rsidRPr="003D4B50">
        <w:rPr>
          <w:sz w:val="22"/>
          <w:szCs w:val="22"/>
          <w:lang w:eastAsia="en-US"/>
        </w:rPr>
        <w:t>ings in the market. We therefore urge ESMA to reconsider this and recognise that it should be sufficient to require each party to draft and keep their own record of the communication.</w:t>
      </w:r>
    </w:p>
    <w:p w:rsidR="00273DDA" w:rsidRDefault="00273DDA" w:rsidP="00273DDA">
      <w:pPr>
        <w:pStyle w:val="Body1"/>
        <w:spacing w:after="0" w:line="240" w:lineRule="auto"/>
        <w:ind w:left="0"/>
        <w:rPr>
          <w:sz w:val="22"/>
          <w:szCs w:val="22"/>
          <w:lang w:eastAsia="en-US"/>
        </w:rPr>
      </w:pPr>
    </w:p>
    <w:p w:rsidR="00273DDA" w:rsidRPr="003D4B50" w:rsidRDefault="00273DDA" w:rsidP="00273DDA">
      <w:pPr>
        <w:pStyle w:val="Body1"/>
        <w:spacing w:after="0" w:line="240" w:lineRule="auto"/>
        <w:ind w:left="0"/>
        <w:rPr>
          <w:sz w:val="22"/>
          <w:szCs w:val="22"/>
          <w:lang w:eastAsia="en-US"/>
        </w:rPr>
      </w:pPr>
      <w:r w:rsidRPr="003D4B50">
        <w:rPr>
          <w:sz w:val="22"/>
          <w:szCs w:val="22"/>
          <w:lang w:eastAsia="en-US"/>
        </w:rPr>
        <w:t>[</w:t>
      </w:r>
      <w:proofErr w:type="gramStart"/>
      <w:r w:rsidRPr="003D4B50">
        <w:rPr>
          <w:sz w:val="22"/>
          <w:szCs w:val="22"/>
          <w:lang w:eastAsia="en-US"/>
        </w:rPr>
        <w:t>para</w:t>
      </w:r>
      <w:proofErr w:type="gramEnd"/>
      <w:r w:rsidRPr="003D4B50">
        <w:rPr>
          <w:sz w:val="22"/>
          <w:szCs w:val="22"/>
          <w:lang w:eastAsia="en-US"/>
        </w:rPr>
        <w:t xml:space="preserve"> 104-105] We welcome ESMA’s view that a written confirmation by the po</w:t>
      </w:r>
      <w:r>
        <w:rPr>
          <w:sz w:val="22"/>
          <w:szCs w:val="22"/>
          <w:lang w:eastAsia="en-US"/>
        </w:rPr>
        <w:t>tential investor of its consent</w:t>
      </w:r>
      <w:r w:rsidRPr="003D4B50">
        <w:rPr>
          <w:sz w:val="22"/>
          <w:szCs w:val="22"/>
          <w:lang w:eastAsia="en-US"/>
        </w:rPr>
        <w:t xml:space="preserve"> to receive inside information, and the implications thereof, is not needed.</w:t>
      </w:r>
    </w:p>
    <w:p w:rsidR="00273DDA" w:rsidRDefault="00273DDA" w:rsidP="00273DDA">
      <w:pPr>
        <w:pStyle w:val="Body1"/>
        <w:spacing w:after="0" w:line="240" w:lineRule="auto"/>
        <w:ind w:left="0"/>
        <w:rPr>
          <w:sz w:val="22"/>
          <w:szCs w:val="22"/>
          <w:lang w:eastAsia="en-US"/>
        </w:rPr>
      </w:pPr>
    </w:p>
    <w:p w:rsidR="00C8677B" w:rsidRPr="00273DDA" w:rsidRDefault="00273DDA" w:rsidP="00273DDA">
      <w:pPr>
        <w:pStyle w:val="Body1"/>
        <w:spacing w:after="0" w:line="240" w:lineRule="auto"/>
        <w:ind w:left="0"/>
        <w:rPr>
          <w:sz w:val="22"/>
          <w:szCs w:val="22"/>
          <w:lang w:eastAsia="en-US"/>
        </w:rPr>
      </w:pPr>
      <w:r w:rsidRPr="003D4B50">
        <w:rPr>
          <w:sz w:val="22"/>
          <w:szCs w:val="22"/>
          <w:lang w:eastAsia="en-US"/>
        </w:rPr>
        <w:t>[</w:t>
      </w:r>
      <w:proofErr w:type="gramStart"/>
      <w:r w:rsidRPr="003D4B50">
        <w:rPr>
          <w:sz w:val="22"/>
          <w:szCs w:val="22"/>
          <w:lang w:eastAsia="en-US"/>
        </w:rPr>
        <w:t>para</w:t>
      </w:r>
      <w:proofErr w:type="gramEnd"/>
      <w:r w:rsidRPr="003D4B50">
        <w:rPr>
          <w:sz w:val="22"/>
          <w:szCs w:val="22"/>
          <w:lang w:eastAsia="en-US"/>
        </w:rPr>
        <w:t xml:space="preserve"> 110] We also welcome ESMA’s consideration that it is not appropriate to provide an oblig</w:t>
      </w:r>
      <w:r w:rsidRPr="003D4B50">
        <w:rPr>
          <w:sz w:val="22"/>
          <w:szCs w:val="22"/>
          <w:lang w:eastAsia="en-US"/>
        </w:rPr>
        <w:t>a</w:t>
      </w:r>
      <w:r w:rsidRPr="003D4B50">
        <w:rPr>
          <w:sz w:val="22"/>
          <w:szCs w:val="22"/>
          <w:lang w:eastAsia="en-US"/>
        </w:rPr>
        <w:t>tion for the DMPs to cleanse the potential investors at some precise point. DMPs do not control this timing and it would be very difficult to comply</w:t>
      </w:r>
    </w:p>
    <w:permEnd w:id="420304084"/>
    <w:p w:rsidR="00C8677B" w:rsidRDefault="00C8677B" w:rsidP="00C8677B">
      <w:r>
        <w:t>&lt;</w:t>
      </w:r>
      <w:r w:rsidR="00CB6CDD">
        <w:t>ESMA_QUESTION_MAR_TS_</w:t>
      </w:r>
      <w:r>
        <w:t>7&gt;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DMPs’ internal processes and controls?</w:t>
      </w:r>
    </w:p>
    <w:p w:rsidR="00C8677B" w:rsidRDefault="00C8677B" w:rsidP="00C8677B">
      <w:r>
        <w:t>&lt;</w:t>
      </w:r>
      <w:r w:rsidR="00CB6CDD">
        <w:t>ESMA_QUESTION_MAR_TS_</w:t>
      </w:r>
      <w:r>
        <w:t>8&gt;</w:t>
      </w:r>
    </w:p>
    <w:p w:rsidR="00156D7D" w:rsidRDefault="00273DDA" w:rsidP="00156D7D">
      <w:pPr>
        <w:jc w:val="both"/>
        <w:rPr>
          <w:sz w:val="22"/>
          <w:szCs w:val="22"/>
          <w:lang w:eastAsia="en-US"/>
        </w:rPr>
      </w:pPr>
      <w:permStart w:id="108216077" w:edGrp="everyone"/>
      <w:r w:rsidRPr="003D4B50">
        <w:rPr>
          <w:sz w:val="22"/>
          <w:szCs w:val="22"/>
          <w:lang w:eastAsia="en-US"/>
        </w:rPr>
        <w:t>[</w:t>
      </w:r>
      <w:proofErr w:type="gramStart"/>
      <w:r w:rsidRPr="00273DDA">
        <w:rPr>
          <w:rFonts w:ascii="Arial" w:hAnsi="Arial" w:cs="Arial"/>
          <w:sz w:val="22"/>
          <w:szCs w:val="22"/>
          <w:lang w:eastAsia="en-US"/>
        </w:rPr>
        <w:t>para</w:t>
      </w:r>
      <w:proofErr w:type="gramEnd"/>
      <w:r w:rsidRPr="00273DDA">
        <w:rPr>
          <w:rFonts w:ascii="Arial" w:hAnsi="Arial" w:cs="Arial"/>
          <w:sz w:val="22"/>
          <w:szCs w:val="22"/>
          <w:lang w:eastAsia="en-US"/>
        </w:rPr>
        <w:t xml:space="preserve"> 106] We agree with most of the steps that ESMA considers DMPs should take in relation to their employees as part of their internal procedures. However, we do not consider that all employees responsible for conducting market soundings should be trained in relation to a</w:t>
      </w:r>
      <w:r w:rsidRPr="00273DDA">
        <w:rPr>
          <w:rFonts w:ascii="Arial" w:hAnsi="Arial" w:cs="Arial"/>
          <w:sz w:val="22"/>
          <w:szCs w:val="22"/>
          <w:lang w:eastAsia="en-US"/>
        </w:rPr>
        <w:t>s</w:t>
      </w:r>
      <w:r w:rsidRPr="00273DDA">
        <w:rPr>
          <w:rFonts w:ascii="Arial" w:hAnsi="Arial" w:cs="Arial"/>
          <w:sz w:val="22"/>
          <w:szCs w:val="22"/>
          <w:lang w:eastAsia="en-US"/>
        </w:rPr>
        <w:t>sessing whether information is inside information. This assessment is highly fact specific and is in practice undertaken by appropriately qualified professionals with expertise in this area. We would suggest that ESMA should clarify that the exact level of training may differ depending on the role that the employee undertakes</w:t>
      </w:r>
      <w:r w:rsidRPr="003D4B50">
        <w:rPr>
          <w:sz w:val="22"/>
          <w:szCs w:val="22"/>
          <w:lang w:eastAsia="en-US"/>
        </w:rPr>
        <w:t>.</w:t>
      </w:r>
    </w:p>
    <w:permEnd w:id="108216077"/>
    <w:p w:rsidR="00C8677B" w:rsidRDefault="00C8677B" w:rsidP="00C8677B">
      <w:r>
        <w:t>&lt;</w:t>
      </w:r>
      <w:r w:rsidR="00CB6CDD">
        <w:t>ESMA_QUESTION_MAR_TS_</w:t>
      </w:r>
      <w:r>
        <w:t>8&gt;</w:t>
      </w:r>
    </w:p>
    <w:p w:rsidR="00C8677B" w:rsidRDefault="00C8677B" w:rsidP="00C8677B">
      <w:r>
        <w:br w:type="page"/>
      </w:r>
    </w:p>
    <w:p w:rsidR="00C8677B" w:rsidRPr="004C4871" w:rsidRDefault="00C8677B" w:rsidP="00C8677B">
      <w:pPr>
        <w:pStyle w:val="Heading1"/>
        <w:keepLines/>
        <w:spacing w:before="480" w:after="0" w:line="276" w:lineRule="auto"/>
        <w:ind w:left="284" w:hanging="284"/>
      </w:pPr>
      <w:r w:rsidRPr="004C4871">
        <w:lastRenderedPageBreak/>
        <w:t xml:space="preserve">Accepted Market </w:t>
      </w:r>
      <w:r>
        <w:t>Practices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rsidR="00C8677B" w:rsidRDefault="00C8677B" w:rsidP="00C8677B">
      <w:r>
        <w:t>&lt;</w:t>
      </w:r>
      <w:r w:rsidR="00CB6CDD">
        <w:t>ESMA_QUESTION_MAR_TS_</w:t>
      </w:r>
      <w:r>
        <w:t>9&gt;</w:t>
      </w:r>
    </w:p>
    <w:p w:rsidR="00C8677B" w:rsidRDefault="00C8677B" w:rsidP="00C8677B">
      <w:permStart w:id="1422337955" w:edGrp="everyone"/>
      <w:r>
        <w:t>TYPE YOUR TEXT HERE</w:t>
      </w:r>
    </w:p>
    <w:permEnd w:id="1422337955"/>
    <w:p w:rsidR="00C8677B" w:rsidRDefault="00C8677B" w:rsidP="00C8677B">
      <w:r>
        <w:t>&lt;</w:t>
      </w:r>
      <w:r w:rsidR="00CB6CDD">
        <w:t>ESMA_QUESTION_MAR_TS_</w:t>
      </w:r>
      <w:r>
        <w:t>9&gt;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rsidR="00C8677B" w:rsidRDefault="00C8677B" w:rsidP="00C8677B">
      <w:r>
        <w:t>&lt;</w:t>
      </w:r>
      <w:r w:rsidR="00CB6CDD">
        <w:t>ESMA_QUESTION_MAR_TS_</w:t>
      </w:r>
      <w:r>
        <w:t>10&gt;</w:t>
      </w:r>
    </w:p>
    <w:p w:rsidR="00C8677B" w:rsidRDefault="00C8677B" w:rsidP="00C8677B">
      <w:permStart w:id="1095901620" w:edGrp="everyone"/>
      <w:r>
        <w:t>TYPE YOUR TEXT HERE</w:t>
      </w:r>
    </w:p>
    <w:permEnd w:id="1095901620"/>
    <w:p w:rsidR="00C8677B" w:rsidRDefault="00C8677B" w:rsidP="00C8677B">
      <w:r>
        <w:t>&lt;</w:t>
      </w:r>
      <w:r w:rsidR="00CB6CDD">
        <w:t>ESMA_QUESTION_MAR_TS_</w:t>
      </w:r>
      <w:r>
        <w:t>10&gt;</w:t>
      </w:r>
    </w:p>
    <w:p w:rsidR="00C8677B" w:rsidRDefault="00C8677B" w:rsidP="00C8677B"/>
    <w:p w:rsidR="00C8677B" w:rsidRDefault="00C8677B" w:rsidP="00C8677B">
      <w:r>
        <w:br w:type="page"/>
      </w:r>
    </w:p>
    <w:p w:rsidR="00C8677B" w:rsidRPr="00ED7403" w:rsidRDefault="00C8677B" w:rsidP="00C8677B">
      <w:pPr>
        <w:pStyle w:val="Heading1"/>
        <w:keepLines/>
        <w:spacing w:before="480" w:after="0" w:line="276" w:lineRule="auto"/>
        <w:ind w:left="284" w:hanging="284"/>
      </w:pPr>
      <w:r w:rsidRPr="00ED7403">
        <w:lastRenderedPageBreak/>
        <w:t xml:space="preserve">Suspicious </w:t>
      </w:r>
      <w:r>
        <w:t>transaction and order reporting</w:t>
      </w:r>
      <w:r w:rsidRPr="00ED7403">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642545">
        <w:t>Do you agree with this analysis regarding attempted market abuse and OTC deriv</w:t>
      </w:r>
      <w:r w:rsidRPr="00642545">
        <w:t>a</w:t>
      </w:r>
      <w:r w:rsidRPr="00642545">
        <w:t>tives</w:t>
      </w:r>
      <w:r>
        <w:t>?</w:t>
      </w:r>
    </w:p>
    <w:p w:rsidR="00C8677B" w:rsidRDefault="00C8677B" w:rsidP="00C8677B">
      <w:r>
        <w:t>&lt;</w:t>
      </w:r>
      <w:r w:rsidR="00CB6CDD">
        <w:t>ESMA_QUESTION_MAR_TS_</w:t>
      </w:r>
      <w:r>
        <w:t>11&gt;</w:t>
      </w:r>
    </w:p>
    <w:p w:rsidR="00273DDA" w:rsidRDefault="00273DDA" w:rsidP="00273DDA">
      <w:pPr>
        <w:jc w:val="both"/>
        <w:rPr>
          <w:rFonts w:ascii="Arial" w:hAnsi="Arial" w:cs="Arial"/>
          <w:bCs/>
          <w:i/>
        </w:rPr>
      </w:pPr>
      <w:permStart w:id="232465370" w:edGrp="everyone"/>
      <w:r w:rsidRPr="00273DDA">
        <w:rPr>
          <w:rFonts w:ascii="Arial" w:hAnsi="Arial" w:cs="Arial"/>
          <w:bCs/>
          <w:sz w:val="22"/>
          <w:szCs w:val="22"/>
        </w:rPr>
        <w:t>Yes, we agree with ESMA’s analysis that the obligation to submit STORs applies to all susp</w:t>
      </w:r>
      <w:r w:rsidRPr="00273DDA">
        <w:rPr>
          <w:rFonts w:ascii="Arial" w:hAnsi="Arial" w:cs="Arial"/>
          <w:bCs/>
          <w:sz w:val="22"/>
          <w:szCs w:val="22"/>
        </w:rPr>
        <w:t>i</w:t>
      </w:r>
      <w:r w:rsidRPr="00273DDA">
        <w:rPr>
          <w:rFonts w:ascii="Arial" w:hAnsi="Arial" w:cs="Arial"/>
          <w:bCs/>
          <w:sz w:val="22"/>
          <w:szCs w:val="22"/>
        </w:rPr>
        <w:t>cious orders (whether they are executed or not) and OTC derivatives. However, we believe that the arrangements, systems and procedures required under MAR should not be prescriptive but rather firms should be able to adapt their approach depending upon the actions/instruments. It is important for the Level 2 text to allow for flexibil</w:t>
      </w:r>
      <w:r>
        <w:rPr>
          <w:rFonts w:ascii="Arial" w:hAnsi="Arial" w:cs="Arial"/>
          <w:bCs/>
          <w:sz w:val="22"/>
          <w:szCs w:val="22"/>
        </w:rPr>
        <w:t xml:space="preserve">ity in this area, for example, </w:t>
      </w:r>
      <w:r w:rsidRPr="00273DDA">
        <w:rPr>
          <w:rFonts w:ascii="Arial" w:hAnsi="Arial" w:cs="Arial"/>
          <w:bCs/>
          <w:sz w:val="22"/>
          <w:szCs w:val="22"/>
        </w:rPr>
        <w:t>automated survei</w:t>
      </w:r>
      <w:r w:rsidRPr="00273DDA">
        <w:rPr>
          <w:rFonts w:ascii="Arial" w:hAnsi="Arial" w:cs="Arial"/>
          <w:bCs/>
          <w:sz w:val="22"/>
          <w:szCs w:val="22"/>
        </w:rPr>
        <w:t>l</w:t>
      </w:r>
      <w:r w:rsidRPr="00273DDA">
        <w:rPr>
          <w:rFonts w:ascii="Arial" w:hAnsi="Arial" w:cs="Arial"/>
          <w:bCs/>
          <w:sz w:val="22"/>
          <w:szCs w:val="22"/>
        </w:rPr>
        <w:t xml:space="preserve">lance systems might not be feasible in every circumstance </w:t>
      </w:r>
      <w:r w:rsidRPr="00273DDA">
        <w:rPr>
          <w:rFonts w:ascii="Arial" w:hAnsi="Arial" w:cs="Arial"/>
          <w:bCs/>
          <w:i/>
          <w:sz w:val="22"/>
          <w:szCs w:val="22"/>
        </w:rPr>
        <w:t>(this is explained further in the r</w:t>
      </w:r>
      <w:r w:rsidRPr="00273DDA">
        <w:rPr>
          <w:rFonts w:ascii="Arial" w:hAnsi="Arial" w:cs="Arial"/>
          <w:bCs/>
          <w:i/>
          <w:sz w:val="22"/>
          <w:szCs w:val="22"/>
        </w:rPr>
        <w:t>e</w:t>
      </w:r>
      <w:r w:rsidRPr="00273DDA">
        <w:rPr>
          <w:rFonts w:ascii="Arial" w:hAnsi="Arial" w:cs="Arial"/>
          <w:bCs/>
          <w:i/>
          <w:sz w:val="22"/>
          <w:szCs w:val="22"/>
        </w:rPr>
        <w:t>sponse to question 13)</w:t>
      </w:r>
      <w:r w:rsidRPr="003D4B50">
        <w:rPr>
          <w:rFonts w:ascii="Arial" w:hAnsi="Arial" w:cs="Arial"/>
          <w:bCs/>
          <w:i/>
        </w:rPr>
        <w:t>.</w:t>
      </w:r>
    </w:p>
    <w:permEnd w:id="232465370"/>
    <w:p w:rsidR="00C8677B" w:rsidRDefault="00C8677B" w:rsidP="00C8677B">
      <w:r>
        <w:t>&lt;</w:t>
      </w:r>
      <w:r w:rsidR="00CB6CDD">
        <w:t>ESMA_QUESTION_MAR_TS_</w:t>
      </w:r>
      <w:r>
        <w:t>11&gt;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rsidR="00C8677B" w:rsidRDefault="00C8677B" w:rsidP="00C8677B">
      <w:r>
        <w:t>&lt;</w:t>
      </w:r>
      <w:r w:rsidR="00CB6CDD">
        <w:t>ESMA_QUESTION_MAR_TS_</w:t>
      </w:r>
      <w:r>
        <w:t>12&gt;</w:t>
      </w:r>
    </w:p>
    <w:p w:rsidR="00273DDA" w:rsidRPr="00273DDA" w:rsidRDefault="00273DDA" w:rsidP="00273DDA">
      <w:pPr>
        <w:jc w:val="both"/>
        <w:rPr>
          <w:rFonts w:ascii="Arial" w:hAnsi="Arial" w:cs="Arial"/>
          <w:bCs/>
          <w:sz w:val="22"/>
          <w:szCs w:val="22"/>
        </w:rPr>
      </w:pPr>
      <w:permStart w:id="985742734" w:edGrp="everyone"/>
      <w:r w:rsidRPr="00273DDA">
        <w:rPr>
          <w:rFonts w:ascii="Arial" w:hAnsi="Arial" w:cs="Arial"/>
          <w:bCs/>
          <w:sz w:val="22"/>
          <w:szCs w:val="22"/>
        </w:rPr>
        <w:t>We welcome ESMA’s clarification that STORs should be submitted without delay once reason</w:t>
      </w:r>
      <w:r w:rsidRPr="00273DDA">
        <w:rPr>
          <w:rFonts w:ascii="Arial" w:hAnsi="Arial" w:cs="Arial"/>
          <w:bCs/>
          <w:sz w:val="22"/>
          <w:szCs w:val="22"/>
        </w:rPr>
        <w:t>a</w:t>
      </w:r>
      <w:r w:rsidRPr="00273DDA">
        <w:rPr>
          <w:rFonts w:ascii="Arial" w:hAnsi="Arial" w:cs="Arial"/>
          <w:bCs/>
          <w:sz w:val="22"/>
          <w:szCs w:val="22"/>
        </w:rPr>
        <w:t>ble suspicion of market abuse has been formed. However, we do not support ESMA’s indicative timeline of two weeks. Given the complexities involved in compiling STORs and the large amount of information that might be required to be provided, we consider an indicative timeline of two weeks to be too restrictive. The timing to report STORs will depend on each individual action and putting an indicative timing might lead to a decrease in the quality of the STORs as firms will feel obliged to comply with this timeline. This will also lead to an increase in ‘defensive’ reporting (quantity vs. quality) which we know is not ESMA’s intention.  We would therefore suggest taking out the indicative timeline in the recitals (as the wording ‘without delay once reasonable suspicion has been formed’ provides enough guidance as to the timing of the su</w:t>
      </w:r>
      <w:r w:rsidRPr="00273DDA">
        <w:rPr>
          <w:rFonts w:ascii="Arial" w:hAnsi="Arial" w:cs="Arial"/>
          <w:bCs/>
          <w:sz w:val="22"/>
          <w:szCs w:val="22"/>
        </w:rPr>
        <w:t>b</w:t>
      </w:r>
      <w:r w:rsidRPr="00273DDA">
        <w:rPr>
          <w:rFonts w:ascii="Arial" w:hAnsi="Arial" w:cs="Arial"/>
          <w:bCs/>
          <w:sz w:val="22"/>
          <w:szCs w:val="22"/>
        </w:rPr>
        <w:t xml:space="preserve">mission). </w:t>
      </w:r>
    </w:p>
    <w:p w:rsidR="00273DDA" w:rsidRPr="003D4B50" w:rsidRDefault="00273DDA" w:rsidP="00273DDA">
      <w:pPr>
        <w:jc w:val="both"/>
        <w:rPr>
          <w:rFonts w:ascii="Arial" w:hAnsi="Arial" w:cs="Arial"/>
          <w:bCs/>
        </w:rPr>
      </w:pPr>
      <w:r w:rsidRPr="00273DDA">
        <w:rPr>
          <w:rFonts w:ascii="Arial" w:hAnsi="Arial" w:cs="Arial"/>
          <w:bCs/>
          <w:sz w:val="22"/>
          <w:szCs w:val="22"/>
        </w:rPr>
        <w:br/>
        <w:t>We are concerned that ESMA’s clarification on the timing of STORs is not consistent with the wording in Recital 3 of the draft RTS. The recital should be clear that the STORs should genera</w:t>
      </w:r>
      <w:r w:rsidRPr="00273DDA">
        <w:rPr>
          <w:rFonts w:ascii="Arial" w:hAnsi="Arial" w:cs="Arial"/>
          <w:bCs/>
          <w:sz w:val="22"/>
          <w:szCs w:val="22"/>
        </w:rPr>
        <w:t>l</w:t>
      </w:r>
      <w:r w:rsidRPr="00273DDA">
        <w:rPr>
          <w:rFonts w:ascii="Arial" w:hAnsi="Arial" w:cs="Arial"/>
          <w:bCs/>
          <w:sz w:val="22"/>
          <w:szCs w:val="22"/>
        </w:rPr>
        <w:t>ly be submitted from the date where reasonable suspicion has been formed and not from the date of the suspected breach. We would therefore suggest either deleting or redrafting ESMA’s draft RTS – Recital (3).</w:t>
      </w:r>
    </w:p>
    <w:permEnd w:id="985742734"/>
    <w:p w:rsidR="00C8677B" w:rsidRDefault="00C8677B" w:rsidP="00C8677B">
      <w:r>
        <w:t>&lt;</w:t>
      </w:r>
      <w:r w:rsidR="00CB6CDD">
        <w:t>ESMA_QUESTION_MAR_TS_</w:t>
      </w:r>
      <w:r>
        <w:t>12&gt;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ESMA’s position on automated surveillance?</w:t>
      </w:r>
    </w:p>
    <w:p w:rsidR="00C8677B" w:rsidRDefault="00C8677B" w:rsidP="00C8677B">
      <w:r>
        <w:t>&lt;</w:t>
      </w:r>
      <w:r w:rsidR="00CB6CDD">
        <w:t>ESMA_QUESTION_MAR_TS_</w:t>
      </w:r>
      <w:r>
        <w:t>13&gt;</w:t>
      </w:r>
    </w:p>
    <w:p w:rsidR="00273DDA" w:rsidRPr="00273DDA" w:rsidRDefault="00273DDA" w:rsidP="00273DDA">
      <w:pPr>
        <w:jc w:val="both"/>
        <w:rPr>
          <w:rFonts w:ascii="Arial" w:hAnsi="Arial" w:cs="Arial"/>
          <w:bCs/>
          <w:sz w:val="22"/>
          <w:szCs w:val="22"/>
        </w:rPr>
      </w:pPr>
      <w:permStart w:id="857815902" w:edGrp="everyone"/>
      <w:r w:rsidRPr="00273DDA">
        <w:rPr>
          <w:rFonts w:ascii="Arial" w:hAnsi="Arial" w:cs="Arial"/>
          <w:bCs/>
          <w:sz w:val="22"/>
          <w:szCs w:val="22"/>
        </w:rPr>
        <w:t>We do not agree with position on automated surveillance systems. Although we agree with ESMA’s assertion that automated surveillance systems should be appropriate and proportionate to the size and nature of the business of a particular entity. We believe that similar flexibility should be afforded to different types of instruments and activities as automated surveillance systems are not appropriate or feasible for every type of financial instrument and in every ci</w:t>
      </w:r>
      <w:r w:rsidRPr="00273DDA">
        <w:rPr>
          <w:rFonts w:ascii="Arial" w:hAnsi="Arial" w:cs="Arial"/>
          <w:bCs/>
          <w:sz w:val="22"/>
          <w:szCs w:val="22"/>
        </w:rPr>
        <w:t>r</w:t>
      </w:r>
      <w:r w:rsidRPr="00273DDA">
        <w:rPr>
          <w:rFonts w:ascii="Arial" w:hAnsi="Arial" w:cs="Arial"/>
          <w:bCs/>
          <w:sz w:val="22"/>
          <w:szCs w:val="22"/>
        </w:rPr>
        <w:t>cumstance (regardless of the size of the business). The RTS on the level of automation should not be too prescriptive and should allow firms to determine what type of surveillance is appropr</w:t>
      </w:r>
      <w:r w:rsidRPr="00273DDA">
        <w:rPr>
          <w:rFonts w:ascii="Arial" w:hAnsi="Arial" w:cs="Arial"/>
          <w:bCs/>
          <w:sz w:val="22"/>
          <w:szCs w:val="22"/>
        </w:rPr>
        <w:t>i</w:t>
      </w:r>
      <w:r w:rsidRPr="00273DDA">
        <w:rPr>
          <w:rFonts w:ascii="Arial" w:hAnsi="Arial" w:cs="Arial"/>
          <w:bCs/>
          <w:sz w:val="22"/>
          <w:szCs w:val="22"/>
        </w:rPr>
        <w:t>ate and practical depending on the products, actions, the level of trading etc. For example, in some circumstances surveillance systems covering OTC derivatives and cross-market events would be very difficult to develop and could create a large number of misleading alerts. In add</w:t>
      </w:r>
      <w:r w:rsidRPr="00273DDA">
        <w:rPr>
          <w:rFonts w:ascii="Arial" w:hAnsi="Arial" w:cs="Arial"/>
          <w:bCs/>
          <w:sz w:val="22"/>
          <w:szCs w:val="22"/>
        </w:rPr>
        <w:t>i</w:t>
      </w:r>
      <w:r w:rsidRPr="00273DDA">
        <w:rPr>
          <w:rFonts w:ascii="Arial" w:hAnsi="Arial" w:cs="Arial"/>
          <w:bCs/>
          <w:sz w:val="22"/>
          <w:szCs w:val="22"/>
        </w:rPr>
        <w:t>tion, creating automated systems to monitor all orders, even when not executed, will also repr</w:t>
      </w:r>
      <w:r w:rsidRPr="00273DDA">
        <w:rPr>
          <w:rFonts w:ascii="Arial" w:hAnsi="Arial" w:cs="Arial"/>
          <w:bCs/>
          <w:sz w:val="22"/>
          <w:szCs w:val="22"/>
        </w:rPr>
        <w:t>e</w:t>
      </w:r>
      <w:r w:rsidRPr="00273DDA">
        <w:rPr>
          <w:rFonts w:ascii="Arial" w:hAnsi="Arial" w:cs="Arial"/>
          <w:bCs/>
          <w:sz w:val="22"/>
          <w:szCs w:val="22"/>
        </w:rPr>
        <w:lastRenderedPageBreak/>
        <w:t xml:space="preserve">sent significant challenges as ordinary surveillance systems usually happen on ‘executions’ and not ‘orders’. Cost prohibitive system developments would be necessary to ensure that both orders and executions fed into a single automated surveillance system. The significant burden of creating such a system is not outweighed by the potential benefits.  </w:t>
      </w:r>
    </w:p>
    <w:p w:rsidR="00273DDA" w:rsidRPr="00273DDA" w:rsidRDefault="00273DDA" w:rsidP="00273DDA">
      <w:pPr>
        <w:jc w:val="both"/>
        <w:rPr>
          <w:rFonts w:ascii="Arial" w:hAnsi="Arial" w:cs="Arial"/>
          <w:bCs/>
          <w:sz w:val="22"/>
          <w:szCs w:val="22"/>
        </w:rPr>
      </w:pPr>
      <w:r w:rsidRPr="00273DDA">
        <w:rPr>
          <w:rFonts w:ascii="Arial" w:hAnsi="Arial" w:cs="Arial"/>
          <w:bCs/>
          <w:sz w:val="22"/>
          <w:szCs w:val="22"/>
        </w:rPr>
        <w:br/>
        <w:t>These are areas where human analysis plays a crucial role and we welcome having this reflec</w:t>
      </w:r>
      <w:r w:rsidRPr="00273DDA">
        <w:rPr>
          <w:rFonts w:ascii="Arial" w:hAnsi="Arial" w:cs="Arial"/>
          <w:bCs/>
          <w:sz w:val="22"/>
          <w:szCs w:val="22"/>
        </w:rPr>
        <w:t>t</w:t>
      </w:r>
      <w:r w:rsidRPr="00273DDA">
        <w:rPr>
          <w:rFonts w:ascii="Arial" w:hAnsi="Arial" w:cs="Arial"/>
          <w:bCs/>
          <w:sz w:val="22"/>
          <w:szCs w:val="22"/>
        </w:rPr>
        <w:t xml:space="preserve">ed in the ESMA’s draft RTS. In addition, although we agree that the surveillance system should generate alerts, ESMA should make it clear that not all alerts would automatically lead to STORs being submitted. This is another example where the human analysis is crucial in deciding what alerts are indeed indicative of suspicious behaviours. </w:t>
      </w:r>
    </w:p>
    <w:p w:rsidR="00C8677B" w:rsidRPr="00273DDA" w:rsidRDefault="00273DDA" w:rsidP="00273DDA">
      <w:pPr>
        <w:jc w:val="both"/>
        <w:rPr>
          <w:sz w:val="22"/>
          <w:szCs w:val="22"/>
        </w:rPr>
      </w:pPr>
      <w:r w:rsidRPr="00273DDA">
        <w:rPr>
          <w:rFonts w:ascii="Arial" w:hAnsi="Arial" w:cs="Arial"/>
          <w:bCs/>
          <w:sz w:val="22"/>
          <w:szCs w:val="22"/>
        </w:rPr>
        <w:br/>
        <w:t>Based on the above, we would suggest the RTS specify that firms should establish and maintain appropriate automated surveillance systems ‘where appropriate and necessary’ to conduct effective monitoring of orders and transactions (see article 5(1) of the proposed ESMA’s RTSs).</w:t>
      </w:r>
    </w:p>
    <w:permEnd w:id="857815902"/>
    <w:p w:rsidR="00C8677B" w:rsidRDefault="00C8677B" w:rsidP="00C8677B">
      <w:r>
        <w:t>&lt;</w:t>
      </w:r>
      <w:r w:rsidR="00CB6CDD">
        <w:t>ESMA_QUESTION_MAR_TS_</w:t>
      </w:r>
      <w:r>
        <w:t>13&gt;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rsidR="00C8677B" w:rsidRDefault="00C8677B" w:rsidP="00C8677B">
      <w:r>
        <w:t>&lt;</w:t>
      </w:r>
      <w:r w:rsidR="00CB6CDD">
        <w:t>ESMA_QUESTION_MAR_TS_</w:t>
      </w:r>
      <w:r>
        <w:t>14&gt;</w:t>
      </w:r>
    </w:p>
    <w:p w:rsidR="00273DDA" w:rsidRPr="00273DDA" w:rsidRDefault="00273DDA" w:rsidP="00273DDA">
      <w:pPr>
        <w:jc w:val="both"/>
        <w:rPr>
          <w:rFonts w:ascii="Arial" w:hAnsi="Arial" w:cs="Arial"/>
          <w:bCs/>
          <w:sz w:val="22"/>
          <w:szCs w:val="22"/>
        </w:rPr>
      </w:pPr>
      <w:permStart w:id="45229351" w:edGrp="everyone"/>
      <w:r w:rsidRPr="00273DDA">
        <w:rPr>
          <w:rFonts w:ascii="Arial" w:hAnsi="Arial" w:cs="Arial"/>
          <w:bCs/>
          <w:sz w:val="22"/>
          <w:szCs w:val="22"/>
        </w:rPr>
        <w:t>When deciding what information to be included in a STOR ESMA needs to strike the right ba</w:t>
      </w:r>
      <w:r w:rsidRPr="00273DDA">
        <w:rPr>
          <w:rFonts w:ascii="Arial" w:hAnsi="Arial" w:cs="Arial"/>
          <w:bCs/>
          <w:sz w:val="22"/>
          <w:szCs w:val="22"/>
        </w:rPr>
        <w:t>l</w:t>
      </w:r>
      <w:r w:rsidRPr="00273DDA">
        <w:rPr>
          <w:rFonts w:ascii="Arial" w:hAnsi="Arial" w:cs="Arial"/>
          <w:bCs/>
          <w:sz w:val="22"/>
          <w:szCs w:val="22"/>
        </w:rPr>
        <w:t>ance between requiring detailed information and the timeliness/quality of the STORs. If too much detailed information is required in the first instance this may delay submission.  For example, under section 5 of the draft RTS, ESMA suggests that firms should provide KYC and AML do</w:t>
      </w:r>
      <w:r w:rsidRPr="00273DDA">
        <w:rPr>
          <w:rFonts w:ascii="Arial" w:hAnsi="Arial" w:cs="Arial"/>
          <w:bCs/>
          <w:sz w:val="22"/>
          <w:szCs w:val="22"/>
        </w:rPr>
        <w:t>c</w:t>
      </w:r>
      <w:r w:rsidRPr="00273DDA">
        <w:rPr>
          <w:rFonts w:ascii="Arial" w:hAnsi="Arial" w:cs="Arial"/>
          <w:bCs/>
          <w:sz w:val="22"/>
          <w:szCs w:val="22"/>
        </w:rPr>
        <w:t xml:space="preserve">umentation in the STORs. We believe this information is too granular, unnecessary and might delay the submission of the STOR. This type of information is a good example of information which should be provided to the CA on request after it has undertaken its investigation and there is a real suspicion of market abuse. </w:t>
      </w:r>
    </w:p>
    <w:p w:rsidR="00273DDA" w:rsidRPr="00273DDA" w:rsidRDefault="00273DDA" w:rsidP="00273DDA">
      <w:pPr>
        <w:jc w:val="both"/>
        <w:rPr>
          <w:rFonts w:ascii="Arial" w:hAnsi="Arial" w:cs="Arial"/>
          <w:bCs/>
          <w:sz w:val="22"/>
          <w:szCs w:val="22"/>
        </w:rPr>
      </w:pPr>
      <w:r w:rsidRPr="00273DDA">
        <w:rPr>
          <w:rFonts w:ascii="Arial" w:hAnsi="Arial" w:cs="Arial"/>
          <w:bCs/>
          <w:sz w:val="22"/>
          <w:szCs w:val="22"/>
        </w:rPr>
        <w:br/>
        <w:t>In addition to this, BBA would like to make the following comments with regards to the info</w:t>
      </w:r>
      <w:r w:rsidRPr="00273DDA">
        <w:rPr>
          <w:rFonts w:ascii="Arial" w:hAnsi="Arial" w:cs="Arial"/>
          <w:bCs/>
          <w:sz w:val="22"/>
          <w:szCs w:val="22"/>
        </w:rPr>
        <w:t>r</w:t>
      </w:r>
      <w:r w:rsidRPr="00273DDA">
        <w:rPr>
          <w:rFonts w:ascii="Arial" w:hAnsi="Arial" w:cs="Arial"/>
          <w:bCs/>
          <w:sz w:val="22"/>
          <w:szCs w:val="22"/>
        </w:rPr>
        <w:t>mation to be included in the STORs:</w:t>
      </w:r>
    </w:p>
    <w:p w:rsidR="00273DDA" w:rsidRPr="00273DDA" w:rsidRDefault="00273DDA" w:rsidP="00273DDA">
      <w:pPr>
        <w:jc w:val="both"/>
        <w:rPr>
          <w:rFonts w:ascii="Arial" w:hAnsi="Arial" w:cs="Arial"/>
          <w:b/>
          <w:bCs/>
          <w:sz w:val="22"/>
          <w:szCs w:val="22"/>
        </w:rPr>
      </w:pPr>
      <w:r w:rsidRPr="00273DDA">
        <w:rPr>
          <w:rFonts w:ascii="Arial" w:hAnsi="Arial" w:cs="Arial"/>
          <w:bCs/>
          <w:sz w:val="22"/>
          <w:szCs w:val="22"/>
        </w:rPr>
        <w:br/>
      </w:r>
      <w:r w:rsidRPr="00273DDA">
        <w:rPr>
          <w:rFonts w:ascii="Arial" w:hAnsi="Arial" w:cs="Arial"/>
          <w:b/>
          <w:bCs/>
          <w:sz w:val="22"/>
          <w:szCs w:val="22"/>
        </w:rPr>
        <w:t>Section 1:</w:t>
      </w:r>
    </w:p>
    <w:p w:rsidR="00273DDA" w:rsidRPr="00273DDA" w:rsidRDefault="00273DDA" w:rsidP="00273DDA">
      <w:pPr>
        <w:ind w:left="709" w:hanging="709"/>
        <w:jc w:val="both"/>
        <w:rPr>
          <w:rFonts w:ascii="Arial" w:hAnsi="Arial" w:cs="Arial"/>
          <w:bCs/>
          <w:sz w:val="22"/>
          <w:szCs w:val="22"/>
        </w:rPr>
      </w:pPr>
      <w:r w:rsidRPr="00273DDA">
        <w:rPr>
          <w:rFonts w:ascii="Arial" w:hAnsi="Arial" w:cs="Arial"/>
          <w:bCs/>
          <w:sz w:val="22"/>
          <w:szCs w:val="22"/>
        </w:rPr>
        <w:t>-</w:t>
      </w:r>
      <w:r w:rsidRPr="00273DDA">
        <w:rPr>
          <w:rFonts w:ascii="Arial" w:hAnsi="Arial" w:cs="Arial"/>
          <w:bCs/>
          <w:sz w:val="22"/>
          <w:szCs w:val="22"/>
        </w:rPr>
        <w:tab/>
        <w:t xml:space="preserve">Transaction reference number – firms should be able to use other market identifiers where ISINs are not available and this should be consistent with the transaction reporting requirements under </w:t>
      </w:r>
      <w:proofErr w:type="spellStart"/>
      <w:r w:rsidRPr="00273DDA">
        <w:rPr>
          <w:rFonts w:ascii="Arial" w:hAnsi="Arial" w:cs="Arial"/>
          <w:bCs/>
          <w:sz w:val="22"/>
          <w:szCs w:val="22"/>
        </w:rPr>
        <w:t>MiFIR</w:t>
      </w:r>
      <w:proofErr w:type="spellEnd"/>
      <w:r w:rsidRPr="00273DDA">
        <w:rPr>
          <w:rFonts w:ascii="Arial" w:hAnsi="Arial" w:cs="Arial"/>
          <w:bCs/>
          <w:sz w:val="22"/>
          <w:szCs w:val="22"/>
        </w:rPr>
        <w:t xml:space="preserve"> (for example in the case of OTC derivatives on indexes and baskets).</w:t>
      </w:r>
    </w:p>
    <w:p w:rsidR="00273DDA" w:rsidRPr="00273DDA" w:rsidRDefault="00273DDA" w:rsidP="00273DDA">
      <w:pPr>
        <w:ind w:left="709" w:hanging="709"/>
        <w:jc w:val="both"/>
        <w:rPr>
          <w:rFonts w:ascii="Arial" w:hAnsi="Arial" w:cs="Arial"/>
          <w:bCs/>
          <w:sz w:val="22"/>
          <w:szCs w:val="22"/>
        </w:rPr>
      </w:pPr>
      <w:r w:rsidRPr="00273DDA">
        <w:rPr>
          <w:rFonts w:ascii="Arial" w:hAnsi="Arial" w:cs="Arial"/>
          <w:bCs/>
          <w:sz w:val="22"/>
          <w:szCs w:val="22"/>
        </w:rPr>
        <w:t>-</w:t>
      </w:r>
      <w:r w:rsidRPr="00273DDA">
        <w:rPr>
          <w:rFonts w:ascii="Arial" w:hAnsi="Arial" w:cs="Arial"/>
          <w:bCs/>
          <w:sz w:val="22"/>
          <w:szCs w:val="22"/>
        </w:rPr>
        <w:tab/>
        <w:t xml:space="preserve">We do not think ‘margin’ information will add much to the information provided and we would suggest deleting this. </w:t>
      </w:r>
    </w:p>
    <w:p w:rsidR="00273DDA" w:rsidRPr="00273DDA" w:rsidRDefault="00273DDA" w:rsidP="00273DDA">
      <w:pPr>
        <w:ind w:left="709" w:hanging="709"/>
        <w:jc w:val="both"/>
        <w:rPr>
          <w:rFonts w:ascii="Arial" w:hAnsi="Arial" w:cs="Arial"/>
          <w:bCs/>
          <w:sz w:val="22"/>
          <w:szCs w:val="22"/>
        </w:rPr>
      </w:pPr>
      <w:r w:rsidRPr="00273DDA">
        <w:rPr>
          <w:rFonts w:ascii="Arial" w:hAnsi="Arial" w:cs="Arial"/>
          <w:bCs/>
          <w:sz w:val="22"/>
          <w:szCs w:val="22"/>
        </w:rPr>
        <w:t>-</w:t>
      </w:r>
      <w:r w:rsidRPr="00273DDA">
        <w:rPr>
          <w:rFonts w:ascii="Arial" w:hAnsi="Arial" w:cs="Arial"/>
          <w:bCs/>
          <w:sz w:val="22"/>
          <w:szCs w:val="22"/>
        </w:rPr>
        <w:tab/>
        <w:t>Type of breach suspected: we would suggest rewording this to ‘nature of suspicion’ as firms should be responsible for explaining the unusual activity, but it should be the r</w:t>
      </w:r>
      <w:r w:rsidRPr="00273DDA">
        <w:rPr>
          <w:rFonts w:ascii="Arial" w:hAnsi="Arial" w:cs="Arial"/>
          <w:bCs/>
          <w:sz w:val="22"/>
          <w:szCs w:val="22"/>
        </w:rPr>
        <w:t>e</w:t>
      </w:r>
      <w:r w:rsidRPr="00273DDA">
        <w:rPr>
          <w:rFonts w:ascii="Arial" w:hAnsi="Arial" w:cs="Arial"/>
          <w:bCs/>
          <w:sz w:val="22"/>
          <w:szCs w:val="22"/>
        </w:rPr>
        <w:t xml:space="preserve">sponsibility of the CAs to assess the type of the breach. </w:t>
      </w:r>
    </w:p>
    <w:p w:rsidR="00273DDA" w:rsidRPr="00273DDA" w:rsidRDefault="00273DDA" w:rsidP="00273DDA">
      <w:pPr>
        <w:jc w:val="both"/>
        <w:rPr>
          <w:rFonts w:ascii="Arial" w:hAnsi="Arial" w:cs="Arial"/>
          <w:b/>
          <w:bCs/>
          <w:sz w:val="22"/>
          <w:szCs w:val="22"/>
        </w:rPr>
      </w:pPr>
      <w:r w:rsidRPr="00273DDA">
        <w:rPr>
          <w:rFonts w:ascii="Arial" w:hAnsi="Arial" w:cs="Arial"/>
          <w:b/>
          <w:bCs/>
          <w:sz w:val="22"/>
          <w:szCs w:val="22"/>
        </w:rPr>
        <w:t>Section 2:</w:t>
      </w:r>
    </w:p>
    <w:p w:rsidR="00273DDA" w:rsidRPr="00273DDA" w:rsidRDefault="00273DDA" w:rsidP="00156D7D">
      <w:pPr>
        <w:ind w:left="709" w:hanging="709"/>
        <w:jc w:val="both"/>
        <w:rPr>
          <w:rFonts w:ascii="Arial" w:hAnsi="Arial" w:cs="Arial"/>
          <w:bCs/>
          <w:sz w:val="22"/>
          <w:szCs w:val="22"/>
        </w:rPr>
      </w:pPr>
      <w:r w:rsidRPr="00273DDA">
        <w:rPr>
          <w:rFonts w:ascii="Arial" w:hAnsi="Arial" w:cs="Arial"/>
          <w:bCs/>
          <w:sz w:val="22"/>
          <w:szCs w:val="22"/>
        </w:rPr>
        <w:t>-</w:t>
      </w:r>
      <w:r w:rsidRPr="00273DDA">
        <w:rPr>
          <w:rFonts w:ascii="Arial" w:hAnsi="Arial" w:cs="Arial"/>
          <w:bCs/>
          <w:sz w:val="22"/>
          <w:szCs w:val="22"/>
        </w:rPr>
        <w:tab/>
        <w:t>What is the difference between the ‘acting capacity of entity with respect to suspicious activity’ and the ‘relation with subject of suspicion‘?</w:t>
      </w:r>
    </w:p>
    <w:p w:rsidR="00273DDA" w:rsidRPr="00273DDA" w:rsidRDefault="00273DDA" w:rsidP="00273DDA">
      <w:pPr>
        <w:jc w:val="both"/>
        <w:rPr>
          <w:rFonts w:ascii="Arial" w:hAnsi="Arial" w:cs="Arial"/>
          <w:b/>
          <w:bCs/>
          <w:sz w:val="22"/>
          <w:szCs w:val="22"/>
        </w:rPr>
      </w:pPr>
      <w:r w:rsidRPr="00273DDA">
        <w:rPr>
          <w:rFonts w:ascii="Arial" w:hAnsi="Arial" w:cs="Arial"/>
          <w:b/>
          <w:bCs/>
          <w:sz w:val="22"/>
          <w:szCs w:val="22"/>
        </w:rPr>
        <w:t>Section 3:</w:t>
      </w:r>
    </w:p>
    <w:p w:rsidR="00273DDA" w:rsidRPr="00273DDA" w:rsidRDefault="00273DDA" w:rsidP="00273DDA">
      <w:pPr>
        <w:jc w:val="both"/>
        <w:rPr>
          <w:rFonts w:ascii="Arial" w:hAnsi="Arial" w:cs="Arial"/>
          <w:bCs/>
          <w:sz w:val="22"/>
          <w:szCs w:val="22"/>
        </w:rPr>
      </w:pPr>
      <w:r w:rsidRPr="00273DDA">
        <w:rPr>
          <w:rFonts w:ascii="Arial" w:hAnsi="Arial" w:cs="Arial"/>
          <w:bCs/>
          <w:sz w:val="22"/>
          <w:szCs w:val="22"/>
        </w:rPr>
        <w:t>-</w:t>
      </w:r>
      <w:r w:rsidRPr="00273DDA">
        <w:rPr>
          <w:rFonts w:ascii="Arial" w:hAnsi="Arial" w:cs="Arial"/>
          <w:bCs/>
          <w:sz w:val="22"/>
          <w:szCs w:val="22"/>
        </w:rPr>
        <w:tab/>
        <w:t>We would suggest either clarifying what is meant by ‘account numbers’ or delete this.</w:t>
      </w:r>
    </w:p>
    <w:p w:rsidR="00273DDA" w:rsidRPr="00273DDA" w:rsidRDefault="00273DDA" w:rsidP="00273DDA">
      <w:pPr>
        <w:ind w:left="709" w:hanging="709"/>
        <w:jc w:val="both"/>
        <w:rPr>
          <w:rFonts w:ascii="Arial" w:hAnsi="Arial" w:cs="Arial"/>
          <w:bCs/>
        </w:rPr>
      </w:pPr>
      <w:r w:rsidRPr="00273DDA">
        <w:rPr>
          <w:rFonts w:ascii="Arial" w:hAnsi="Arial" w:cs="Arial"/>
          <w:bCs/>
          <w:sz w:val="22"/>
          <w:szCs w:val="22"/>
        </w:rPr>
        <w:t>-</w:t>
      </w:r>
      <w:r w:rsidRPr="00273DDA">
        <w:rPr>
          <w:rFonts w:ascii="Arial" w:hAnsi="Arial" w:cs="Arial"/>
          <w:bCs/>
          <w:sz w:val="22"/>
          <w:szCs w:val="22"/>
        </w:rPr>
        <w:tab/>
        <w:t>We do not think national ID numbers should be included as other personal data is a</w:t>
      </w:r>
      <w:r w:rsidRPr="00273DDA">
        <w:rPr>
          <w:rFonts w:ascii="Arial" w:hAnsi="Arial" w:cs="Arial"/>
          <w:bCs/>
          <w:sz w:val="22"/>
          <w:szCs w:val="22"/>
        </w:rPr>
        <w:t>l</w:t>
      </w:r>
      <w:r w:rsidRPr="00273DDA">
        <w:rPr>
          <w:rFonts w:ascii="Arial" w:hAnsi="Arial" w:cs="Arial"/>
          <w:bCs/>
          <w:sz w:val="22"/>
          <w:szCs w:val="22"/>
        </w:rPr>
        <w:t xml:space="preserve">ready required to be included (such as name, date of birth, </w:t>
      </w:r>
      <w:proofErr w:type="spellStart"/>
      <w:r w:rsidRPr="00273DDA">
        <w:rPr>
          <w:rFonts w:ascii="Arial" w:hAnsi="Arial" w:cs="Arial"/>
          <w:bCs/>
          <w:sz w:val="22"/>
          <w:szCs w:val="22"/>
        </w:rPr>
        <w:t>etc</w:t>
      </w:r>
      <w:proofErr w:type="spellEnd"/>
      <w:r w:rsidRPr="00273DDA">
        <w:rPr>
          <w:rFonts w:ascii="Arial" w:hAnsi="Arial" w:cs="Arial"/>
          <w:bCs/>
          <w:sz w:val="22"/>
          <w:szCs w:val="22"/>
        </w:rPr>
        <w:t>).</w:t>
      </w:r>
    </w:p>
    <w:permEnd w:id="45229351"/>
    <w:p w:rsidR="00C8677B" w:rsidRDefault="00C8677B" w:rsidP="00C8677B">
      <w:r>
        <w:t>&lt;</w:t>
      </w:r>
      <w:r w:rsidR="00CB6CDD">
        <w:t>ESMA_QUESTION_MAR_TS_</w:t>
      </w:r>
      <w:r>
        <w:t>14&gt;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lastRenderedPageBreak/>
        <w:t>Do you have any additional views on templates?</w:t>
      </w:r>
    </w:p>
    <w:p w:rsidR="00C8677B" w:rsidRDefault="00C8677B" w:rsidP="00C8677B">
      <w:r>
        <w:t>&lt;</w:t>
      </w:r>
      <w:r w:rsidR="00CB6CDD">
        <w:t>ESMA_QUESTION_MAR_TS_</w:t>
      </w:r>
      <w:r>
        <w:t>15&gt;</w:t>
      </w:r>
    </w:p>
    <w:p w:rsidR="00C8677B" w:rsidRPr="00273DDA" w:rsidRDefault="00273DDA" w:rsidP="00273DDA">
      <w:pPr>
        <w:jc w:val="both"/>
        <w:rPr>
          <w:sz w:val="22"/>
          <w:szCs w:val="22"/>
        </w:rPr>
      </w:pPr>
      <w:permStart w:id="1815028857" w:edGrp="everyone"/>
      <w:r w:rsidRPr="00273DDA">
        <w:rPr>
          <w:rFonts w:ascii="Arial" w:hAnsi="Arial" w:cs="Arial"/>
          <w:bCs/>
          <w:sz w:val="22"/>
          <w:szCs w:val="22"/>
        </w:rPr>
        <w:t xml:space="preserve">We agree that a common template should be used. ESMA should however make it clear that not all fields are expected to be filled and that the information provided will depend on the nature and characteristics of the order or transaction. </w:t>
      </w:r>
    </w:p>
    <w:permEnd w:id="1815028857"/>
    <w:p w:rsidR="00C8677B" w:rsidRDefault="00C8677B" w:rsidP="00C8677B">
      <w:r>
        <w:t>&lt;</w:t>
      </w:r>
      <w:r w:rsidR="00CB6CDD">
        <w:t>ESMA_QUESTION_MAR_TS_</w:t>
      </w:r>
      <w:r>
        <w:t>15&gt;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views on ESMA’s clarification regarding “near misses”?</w:t>
      </w:r>
    </w:p>
    <w:p w:rsidR="00C8677B" w:rsidRDefault="00C8677B" w:rsidP="00C8677B">
      <w:r>
        <w:t>&lt;</w:t>
      </w:r>
      <w:r w:rsidR="00CB6CDD">
        <w:t>ESMA_QUESTION_MAR_TS_</w:t>
      </w:r>
      <w:r>
        <w:t>16&gt;</w:t>
      </w:r>
    </w:p>
    <w:p w:rsidR="00273DDA" w:rsidRDefault="00273DDA" w:rsidP="00273DDA">
      <w:pPr>
        <w:jc w:val="both"/>
        <w:rPr>
          <w:rFonts w:ascii="Arial" w:hAnsi="Arial" w:cs="Arial"/>
          <w:bCs/>
          <w:sz w:val="22"/>
          <w:szCs w:val="22"/>
        </w:rPr>
      </w:pPr>
      <w:permStart w:id="280501002" w:edGrp="everyone"/>
      <w:r w:rsidRPr="00273DDA">
        <w:rPr>
          <w:rFonts w:ascii="Arial" w:hAnsi="Arial" w:cs="Arial"/>
          <w:bCs/>
          <w:sz w:val="22"/>
          <w:szCs w:val="22"/>
        </w:rPr>
        <w:t>With regards to the definition of ‘near misses’, we welcome ESMA’s paragraph 214 of the Co</w:t>
      </w:r>
      <w:r w:rsidRPr="00273DDA">
        <w:rPr>
          <w:rFonts w:ascii="Arial" w:hAnsi="Arial" w:cs="Arial"/>
          <w:bCs/>
          <w:sz w:val="22"/>
          <w:szCs w:val="22"/>
        </w:rPr>
        <w:t>n</w:t>
      </w:r>
      <w:r w:rsidRPr="00273DDA">
        <w:rPr>
          <w:rFonts w:ascii="Arial" w:hAnsi="Arial" w:cs="Arial"/>
          <w:bCs/>
          <w:sz w:val="22"/>
          <w:szCs w:val="22"/>
        </w:rPr>
        <w:t>sultation Paper which states that  ‘near-misses’ should include cases where it has been consi</w:t>
      </w:r>
      <w:r w:rsidRPr="00273DDA">
        <w:rPr>
          <w:rFonts w:ascii="Arial" w:hAnsi="Arial" w:cs="Arial"/>
          <w:bCs/>
          <w:sz w:val="22"/>
          <w:szCs w:val="22"/>
        </w:rPr>
        <w:t>d</w:t>
      </w:r>
      <w:r w:rsidRPr="00273DDA">
        <w:rPr>
          <w:rFonts w:ascii="Arial" w:hAnsi="Arial" w:cs="Arial"/>
          <w:bCs/>
          <w:sz w:val="22"/>
          <w:szCs w:val="22"/>
        </w:rPr>
        <w:t>ered seriously whether to submit a report or not. We would therefore suggest Article 10 (2) (b) of the ESMA draft RTS to clearly reflect this and to only include transaction/orders which were ‘reasonably suspected’ to be suspicious or which were ‘seriously considered to be suspicious’ but following examination were not submitted. Without this consistency, it is not clear to firms how far their record keeping obligations extend</w:t>
      </w:r>
      <w:r>
        <w:rPr>
          <w:rFonts w:ascii="Arial" w:hAnsi="Arial" w:cs="Arial"/>
          <w:bCs/>
          <w:sz w:val="22"/>
          <w:szCs w:val="22"/>
        </w:rPr>
        <w:t>.</w:t>
      </w:r>
    </w:p>
    <w:permEnd w:id="280501002"/>
    <w:p w:rsidR="00C8677B" w:rsidRDefault="00C8677B" w:rsidP="00C8677B">
      <w:r>
        <w:t>&lt;</w:t>
      </w:r>
      <w:r w:rsidR="00CB6CDD">
        <w:t>ESMA_QUESTION_MAR_TS_</w:t>
      </w:r>
      <w:r>
        <w:t>16&gt;</w:t>
      </w:r>
    </w:p>
    <w:p w:rsidR="00C8677B" w:rsidRDefault="00C8677B" w:rsidP="00C8677B">
      <w:r>
        <w:br w:type="page"/>
      </w:r>
    </w:p>
    <w:p w:rsidR="00C8677B" w:rsidRPr="003E7192" w:rsidRDefault="00C8677B" w:rsidP="00C8677B">
      <w:pPr>
        <w:pStyle w:val="Heading1"/>
        <w:keepLines/>
        <w:spacing w:before="480" w:after="0" w:line="276" w:lineRule="auto"/>
        <w:ind w:left="284" w:hanging="284"/>
      </w:pPr>
      <w:r w:rsidRPr="003E7192">
        <w:lastRenderedPageBreak/>
        <w:t xml:space="preserve">Technical means for public disclosure </w:t>
      </w:r>
      <w:r>
        <w:t>of inside information and d</w:t>
      </w:r>
      <w:r>
        <w:t>e</w:t>
      </w:r>
      <w:r>
        <w:t>lays</w:t>
      </w:r>
      <w:r w:rsidRPr="003E7192">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w:t>
      </w:r>
      <w:r w:rsidRPr="00802A71">
        <w:t>r</w:t>
      </w:r>
      <w:r w:rsidRPr="00802A71">
        <w:t>mation?</w:t>
      </w:r>
    </w:p>
    <w:p w:rsidR="00C8677B" w:rsidRDefault="00C8677B" w:rsidP="00C8677B">
      <w:r>
        <w:t>&lt;</w:t>
      </w:r>
      <w:r w:rsidR="00CB6CDD">
        <w:t>ESMA_QUESTION_MAR_TS_</w:t>
      </w:r>
      <w:r>
        <w:t>17&gt;</w:t>
      </w:r>
    </w:p>
    <w:p w:rsidR="00156D7D" w:rsidRDefault="00273DDA" w:rsidP="00156D7D">
      <w:pPr>
        <w:jc w:val="both"/>
        <w:rPr>
          <w:rFonts w:ascii="Arial" w:hAnsi="Arial" w:cs="Arial"/>
          <w:lang w:val="en-US"/>
        </w:rPr>
      </w:pPr>
      <w:permStart w:id="81989709" w:edGrp="everyone"/>
      <w:r w:rsidRPr="00273DDA">
        <w:rPr>
          <w:rFonts w:ascii="Arial" w:hAnsi="Arial" w:cs="Arial"/>
          <w:sz w:val="22"/>
          <w:szCs w:val="22"/>
          <w:lang w:val="en-US"/>
        </w:rPr>
        <w:t>We agree that it is productive to continue using the standard established by the Transparency Directive No 2004/109/EC (TD), and expand its scope to financial instruments within the mea</w:t>
      </w:r>
      <w:r w:rsidRPr="00273DDA">
        <w:rPr>
          <w:rFonts w:ascii="Arial" w:hAnsi="Arial" w:cs="Arial"/>
          <w:sz w:val="22"/>
          <w:szCs w:val="22"/>
          <w:lang w:val="en-US"/>
        </w:rPr>
        <w:t>n</w:t>
      </w:r>
      <w:r w:rsidRPr="00273DDA">
        <w:rPr>
          <w:rFonts w:ascii="Arial" w:hAnsi="Arial" w:cs="Arial"/>
          <w:sz w:val="22"/>
          <w:szCs w:val="22"/>
          <w:lang w:val="en-US"/>
        </w:rPr>
        <w:t>ing of Article 3(1) MAR.</w:t>
      </w:r>
    </w:p>
    <w:permEnd w:id="81989709"/>
    <w:p w:rsidR="00C8677B" w:rsidRDefault="00C8677B" w:rsidP="00C8677B">
      <w:r>
        <w:t>&lt;</w:t>
      </w:r>
      <w:r w:rsidR="00CB6CDD">
        <w:t>ESMA_QUESTION_MAR_TS_</w:t>
      </w:r>
      <w:r>
        <w:t>17&gt;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w:t>
      </w:r>
      <w:r w:rsidRPr="0063385E">
        <w:t>s</w:t>
      </w:r>
      <w:r w:rsidRPr="0063385E">
        <w:t>sion allowances that have been publicly disclosed meeting REMIT standards as d</w:t>
      </w:r>
      <w:r w:rsidRPr="0063385E">
        <w:t>e</w:t>
      </w:r>
      <w:r w:rsidRPr="0063385E">
        <w:t>scribed in the CP, i.e. using platforms dedicated to the publication of REMIT inside i</w:t>
      </w:r>
      <w:r w:rsidRPr="0063385E">
        <w:t>n</w:t>
      </w:r>
      <w:r w:rsidRPr="0063385E">
        <w:t>formation or websites of the energy market participants as currently recommended in the ACER guidance?</w:t>
      </w:r>
    </w:p>
    <w:p w:rsidR="00C8677B" w:rsidRDefault="00C8677B" w:rsidP="00C8677B">
      <w:r>
        <w:t>&lt;</w:t>
      </w:r>
      <w:r w:rsidR="00CB6CDD">
        <w:t>ESMA_QUESTION_MAR_TS_</w:t>
      </w:r>
      <w:r>
        <w:t>18&gt;</w:t>
      </w:r>
    </w:p>
    <w:p w:rsidR="00C8677B" w:rsidRDefault="00C8677B" w:rsidP="00C8677B">
      <w:permStart w:id="1522997418" w:edGrp="everyone"/>
      <w:r>
        <w:t>TYPE YOUR TEXT HERE</w:t>
      </w:r>
    </w:p>
    <w:permEnd w:id="1522997418"/>
    <w:p w:rsidR="00C8677B" w:rsidRDefault="00C8677B" w:rsidP="00C8677B">
      <w:r>
        <w:t>&lt;</w:t>
      </w:r>
      <w:r w:rsidR="00CB6CDD">
        <w:t>ESMA_QUESTION_MAR_TS_</w:t>
      </w:r>
      <w:r>
        <w:t>18&gt;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w:t>
      </w:r>
      <w:r w:rsidRPr="0063385E">
        <w:t>r</w:t>
      </w:r>
      <w:r w:rsidRPr="0063385E">
        <w:t>mation under both REMIT and MAR?</w:t>
      </w:r>
    </w:p>
    <w:p w:rsidR="00C8677B" w:rsidRDefault="00C8677B" w:rsidP="00C8677B">
      <w:r>
        <w:t>&lt;</w:t>
      </w:r>
      <w:r w:rsidR="00CB6CDD">
        <w:t>ESMA_QUESTION_MAR_TS_</w:t>
      </w:r>
      <w:r>
        <w:t>19&gt;</w:t>
      </w:r>
    </w:p>
    <w:p w:rsidR="00C8677B" w:rsidRDefault="00C8677B" w:rsidP="00C8677B">
      <w:permStart w:id="40977819" w:edGrp="everyone"/>
      <w:r>
        <w:t>TYPE YOUR TEXT HERE</w:t>
      </w:r>
    </w:p>
    <w:permEnd w:id="40977819"/>
    <w:p w:rsidR="00C8677B" w:rsidRDefault="00C8677B" w:rsidP="00C8677B">
      <w:r>
        <w:t>&lt;</w:t>
      </w:r>
      <w:r w:rsidR="00CB6CDD">
        <w:t>ESMA_QUESTION_MAR_TS_</w:t>
      </w:r>
      <w:r>
        <w:t>19&gt;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626F6">
        <w:t>Do you agree with ESMA’s proposals regarding the format and content of the notif</w:t>
      </w:r>
      <w:r w:rsidRPr="000626F6">
        <w:t>i</w:t>
      </w:r>
      <w:r w:rsidRPr="000626F6">
        <w:t>cation?</w:t>
      </w:r>
    </w:p>
    <w:p w:rsidR="00C8677B" w:rsidRDefault="00C8677B" w:rsidP="00C8677B">
      <w:r>
        <w:t>&lt;</w:t>
      </w:r>
      <w:r w:rsidR="00CB6CDD">
        <w:t>ESMA_QUESTION_MAR_TS_</w:t>
      </w:r>
      <w:r>
        <w:t>20&gt;</w:t>
      </w:r>
    </w:p>
    <w:p w:rsidR="00C8677B" w:rsidRPr="00273DDA" w:rsidRDefault="00273DDA" w:rsidP="00273DDA">
      <w:pPr>
        <w:jc w:val="both"/>
        <w:rPr>
          <w:rFonts w:ascii="Arial" w:hAnsi="Arial" w:cs="Arial"/>
          <w:sz w:val="22"/>
          <w:szCs w:val="22"/>
          <w:lang w:val="en-US"/>
        </w:rPr>
      </w:pPr>
      <w:permStart w:id="1995859126" w:edGrp="everyone"/>
      <w:r w:rsidRPr="00273DDA">
        <w:rPr>
          <w:rFonts w:ascii="Arial" w:hAnsi="Arial" w:cs="Arial"/>
          <w:sz w:val="22"/>
          <w:szCs w:val="22"/>
          <w:lang w:val="en-US"/>
        </w:rPr>
        <w:t xml:space="preserve">Yes, the proposal will help to further </w:t>
      </w:r>
      <w:proofErr w:type="spellStart"/>
      <w:r w:rsidRPr="00273DDA">
        <w:rPr>
          <w:rFonts w:ascii="Arial" w:hAnsi="Arial" w:cs="Arial"/>
          <w:sz w:val="22"/>
          <w:szCs w:val="22"/>
          <w:lang w:val="en-US"/>
        </w:rPr>
        <w:t>harmonise</w:t>
      </w:r>
      <w:proofErr w:type="spellEnd"/>
      <w:r w:rsidRPr="00273DDA">
        <w:rPr>
          <w:rFonts w:ascii="Arial" w:hAnsi="Arial" w:cs="Arial"/>
          <w:sz w:val="22"/>
          <w:szCs w:val="22"/>
          <w:lang w:val="en-US"/>
        </w:rPr>
        <w:t xml:space="preserve"> the notification pursuant to Article 17 MAR</w:t>
      </w:r>
      <w:r>
        <w:rPr>
          <w:rFonts w:ascii="Arial" w:hAnsi="Arial" w:cs="Arial"/>
          <w:sz w:val="22"/>
          <w:szCs w:val="22"/>
          <w:lang w:val="en-US"/>
        </w:rPr>
        <w:t>.</w:t>
      </w:r>
    </w:p>
    <w:permEnd w:id="1995859126"/>
    <w:p w:rsidR="00C8677B" w:rsidRDefault="00C8677B" w:rsidP="00C8677B">
      <w:r>
        <w:t>&lt;</w:t>
      </w:r>
      <w:r w:rsidR="00CB6CDD">
        <w:t>ESMA_QUESTION_MAR_TS_</w:t>
      </w:r>
      <w:r>
        <w:t>20&gt;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proposed records to be kept?</w:t>
      </w:r>
    </w:p>
    <w:p w:rsidR="00C8677B" w:rsidRDefault="00C8677B" w:rsidP="00C8677B">
      <w:r>
        <w:t>&lt;</w:t>
      </w:r>
      <w:r w:rsidR="00CB6CDD">
        <w:t>ESMA_QUESTION_MAR_TS_</w:t>
      </w:r>
      <w:r>
        <w:t>21&gt;</w:t>
      </w:r>
    </w:p>
    <w:p w:rsidR="00273DDA" w:rsidRPr="00273DDA" w:rsidRDefault="00273DDA" w:rsidP="00273DDA">
      <w:pPr>
        <w:jc w:val="both"/>
        <w:rPr>
          <w:rFonts w:ascii="Arial" w:hAnsi="Arial" w:cs="Arial"/>
          <w:sz w:val="22"/>
          <w:szCs w:val="22"/>
          <w:lang w:val="en-US"/>
        </w:rPr>
      </w:pPr>
      <w:permStart w:id="1315638487" w:edGrp="everyone"/>
      <w:r w:rsidRPr="00273DDA">
        <w:rPr>
          <w:rFonts w:ascii="Arial" w:hAnsi="Arial" w:cs="Arial"/>
          <w:sz w:val="22"/>
          <w:szCs w:val="22"/>
          <w:lang w:val="en-US"/>
        </w:rPr>
        <w:t xml:space="preserve">Yes. While we agree with the proposed records to be kept, ESMA should consider clarifying the point that the MAR describes a rumor to be </w:t>
      </w:r>
      <w:r w:rsidR="00E23880">
        <w:rPr>
          <w:rFonts w:ascii="Arial" w:hAnsi="Arial" w:cs="Arial"/>
          <w:sz w:val="22"/>
          <w:szCs w:val="22"/>
          <w:lang w:val="en-US"/>
        </w:rPr>
        <w:t>‘</w:t>
      </w:r>
      <w:r w:rsidRPr="00273DDA">
        <w:rPr>
          <w:rFonts w:ascii="Arial" w:hAnsi="Arial" w:cs="Arial"/>
          <w:sz w:val="22"/>
          <w:szCs w:val="22"/>
          <w:lang w:val="en-US"/>
        </w:rPr>
        <w:t>sufficiently accurate</w:t>
      </w:r>
      <w:r w:rsidR="00E23880">
        <w:rPr>
          <w:rFonts w:ascii="Arial" w:hAnsi="Arial" w:cs="Arial"/>
          <w:sz w:val="22"/>
          <w:szCs w:val="22"/>
          <w:lang w:val="en-US"/>
        </w:rPr>
        <w:t>’</w:t>
      </w:r>
      <w:r w:rsidRPr="00273DDA">
        <w:rPr>
          <w:rFonts w:ascii="Arial" w:hAnsi="Arial" w:cs="Arial"/>
          <w:sz w:val="22"/>
          <w:szCs w:val="22"/>
          <w:lang w:val="en-US"/>
        </w:rPr>
        <w:t xml:space="preserve"> in order to assume that conf</w:t>
      </w:r>
      <w:r w:rsidRPr="00273DDA">
        <w:rPr>
          <w:rFonts w:ascii="Arial" w:hAnsi="Arial" w:cs="Arial"/>
          <w:sz w:val="22"/>
          <w:szCs w:val="22"/>
          <w:lang w:val="en-US"/>
        </w:rPr>
        <w:t>i</w:t>
      </w:r>
      <w:r w:rsidRPr="00273DDA">
        <w:rPr>
          <w:rFonts w:ascii="Arial" w:hAnsi="Arial" w:cs="Arial"/>
          <w:sz w:val="22"/>
          <w:szCs w:val="22"/>
          <w:lang w:val="en-US"/>
        </w:rPr>
        <w:t xml:space="preserve">dentiality is no longer ensured, and that this implicates an assessment by the issuer prior to the disclosure. The issuer should be provided a degree of leeway in making this determination as it will be required to weigh both the potential market impact if the rumor is sufficiently accurate to attract investors’ attention and the likelihood that the rumor has been intentionally created through sharp practices to obstruct the issuer during the delay. The latter has become more likely where, in accordance with Article 17 para. 4 </w:t>
      </w:r>
      <w:proofErr w:type="gramStart"/>
      <w:r w:rsidR="00156D7D" w:rsidRPr="00273DDA">
        <w:rPr>
          <w:rFonts w:ascii="Arial" w:hAnsi="Arial" w:cs="Arial"/>
          <w:sz w:val="22"/>
          <w:szCs w:val="22"/>
          <w:lang w:val="en-US"/>
        </w:rPr>
        <w:t>sentence</w:t>
      </w:r>
      <w:proofErr w:type="gramEnd"/>
      <w:r w:rsidRPr="00273DDA">
        <w:rPr>
          <w:rFonts w:ascii="Arial" w:hAnsi="Arial" w:cs="Arial"/>
          <w:sz w:val="22"/>
          <w:szCs w:val="22"/>
          <w:lang w:val="en-US"/>
        </w:rPr>
        <w:t xml:space="preserve"> 2 of the MAR, issuers delay the </w:t>
      </w:r>
      <w:r w:rsidRPr="00273DDA">
        <w:rPr>
          <w:rFonts w:ascii="Arial" w:hAnsi="Arial" w:cs="Arial"/>
          <w:sz w:val="22"/>
          <w:szCs w:val="22"/>
          <w:lang w:val="en-US"/>
        </w:rPr>
        <w:lastRenderedPageBreak/>
        <w:t>disclosure of inside information that follows from a protracted process that occurs in stages and that is intended to bring about, or that results in a particular circumstance</w:t>
      </w:r>
      <w:r>
        <w:rPr>
          <w:rFonts w:ascii="Arial" w:hAnsi="Arial" w:cs="Arial"/>
          <w:sz w:val="22"/>
          <w:szCs w:val="22"/>
          <w:lang w:val="en-US"/>
        </w:rPr>
        <w:t>,</w:t>
      </w:r>
      <w:r w:rsidRPr="00273DDA">
        <w:rPr>
          <w:rFonts w:ascii="Arial" w:hAnsi="Arial" w:cs="Arial"/>
          <w:sz w:val="22"/>
          <w:szCs w:val="22"/>
          <w:lang w:val="en-US"/>
        </w:rPr>
        <w:t xml:space="preserve"> or a particular event.</w:t>
      </w:r>
    </w:p>
    <w:permEnd w:id="1315638487"/>
    <w:p w:rsidR="00C8677B" w:rsidRDefault="00C8677B" w:rsidP="00C8677B">
      <w:r>
        <w:t>&lt;</w:t>
      </w:r>
      <w:r w:rsidR="00CB6CDD">
        <w:t>ESMA_QUESTION_MAR_TS_</w:t>
      </w:r>
      <w:r>
        <w:t>21&gt;</w:t>
      </w:r>
    </w:p>
    <w:p w:rsidR="00C8677B" w:rsidRDefault="00C8677B" w:rsidP="00C8677B">
      <w:r>
        <w:br w:type="page"/>
      </w:r>
    </w:p>
    <w:p w:rsidR="00C8677B" w:rsidRDefault="00C8677B" w:rsidP="00C8677B">
      <w:pPr>
        <w:pStyle w:val="Heading1"/>
        <w:keepLines/>
        <w:spacing w:before="480" w:after="0" w:line="276" w:lineRule="auto"/>
        <w:ind w:left="284" w:hanging="284"/>
      </w:pPr>
      <w:r>
        <w:lastRenderedPageBreak/>
        <w:t>I</w:t>
      </w:r>
      <w:r w:rsidRPr="004C4871">
        <w:t>nsider list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rsidR="00C8677B" w:rsidRDefault="00C8677B" w:rsidP="00C8677B">
      <w:r>
        <w:t>&lt;</w:t>
      </w:r>
      <w:r w:rsidR="00CB6CDD">
        <w:t>ESMA_QUESTION_MAR_TS_</w:t>
      </w:r>
      <w:r>
        <w:t>22&gt;</w:t>
      </w:r>
    </w:p>
    <w:p w:rsidR="00273DDA" w:rsidRPr="00273DDA" w:rsidRDefault="00273DDA" w:rsidP="00273DDA">
      <w:pPr>
        <w:tabs>
          <w:tab w:val="left" w:pos="0"/>
        </w:tabs>
        <w:jc w:val="both"/>
        <w:rPr>
          <w:rFonts w:ascii="Arial" w:hAnsi="Arial" w:cs="Arial"/>
          <w:bCs/>
          <w:sz w:val="22"/>
          <w:szCs w:val="22"/>
        </w:rPr>
      </w:pPr>
      <w:permStart w:id="943992635" w:edGrp="everyone"/>
      <w:r w:rsidRPr="00273DDA">
        <w:rPr>
          <w:rFonts w:ascii="Arial" w:hAnsi="Arial" w:cs="Arial"/>
          <w:bCs/>
          <w:sz w:val="22"/>
          <w:szCs w:val="22"/>
        </w:rPr>
        <w:t xml:space="preserve">We continue to disagree with the amount of information that ESMA proposes should be included in the insider list. Given that the proposed data requirements are more stringent than those required under anti-money laundering regulation; we consider it to be disproportionate to the stated aim of such insider lists. Where necessary, such information can be provided to national competent authorities during the course of an investigation, when suspicion has been raised, </w:t>
      </w:r>
      <w:r w:rsidRPr="00273DDA">
        <w:rPr>
          <w:rFonts w:ascii="Arial" w:eastAsia="Calibri" w:hAnsi="Arial" w:cs="Arial"/>
          <w:sz w:val="22"/>
          <w:szCs w:val="22"/>
        </w:rPr>
        <w:t>with due regard to the procedural safeguards which are designed to protect basic rights of the individual.</w:t>
      </w:r>
    </w:p>
    <w:p w:rsidR="00273DDA" w:rsidRPr="00273DDA" w:rsidRDefault="00273DDA" w:rsidP="00273DDA">
      <w:pPr>
        <w:tabs>
          <w:tab w:val="left" w:pos="0"/>
        </w:tabs>
        <w:jc w:val="both"/>
        <w:rPr>
          <w:rFonts w:ascii="Arial" w:hAnsi="Arial" w:cs="Arial"/>
          <w:bCs/>
          <w:sz w:val="22"/>
          <w:szCs w:val="22"/>
        </w:rPr>
      </w:pPr>
    </w:p>
    <w:p w:rsidR="00273DDA" w:rsidRPr="00273DDA" w:rsidRDefault="00273DDA" w:rsidP="00273DDA">
      <w:pPr>
        <w:tabs>
          <w:tab w:val="left" w:pos="0"/>
        </w:tabs>
        <w:jc w:val="both"/>
        <w:rPr>
          <w:rFonts w:ascii="Arial" w:hAnsi="Arial" w:cs="Arial"/>
          <w:bCs/>
          <w:sz w:val="22"/>
          <w:szCs w:val="22"/>
        </w:rPr>
      </w:pPr>
      <w:r w:rsidRPr="00273DDA">
        <w:rPr>
          <w:rFonts w:ascii="Arial" w:hAnsi="Arial" w:cs="Arial"/>
          <w:bCs/>
          <w:sz w:val="22"/>
          <w:szCs w:val="22"/>
        </w:rPr>
        <w:t>Providing the proposed amount of detail will also greatly increase the risk of personal data fraud and raise privacy concerns under the EC Data Protection Directive (1995/46). Firms may also find they breach domestic data protection regimes.</w:t>
      </w:r>
      <w:r w:rsidR="00156D7D">
        <w:rPr>
          <w:rFonts w:ascii="Arial" w:hAnsi="Arial" w:cs="Arial"/>
          <w:bCs/>
          <w:sz w:val="22"/>
          <w:szCs w:val="22"/>
        </w:rPr>
        <w:t xml:space="preserve"> </w:t>
      </w:r>
      <w:r w:rsidRPr="00273DDA">
        <w:rPr>
          <w:rFonts w:ascii="Arial" w:hAnsi="Arial" w:cs="Arial"/>
          <w:bCs/>
          <w:sz w:val="22"/>
          <w:szCs w:val="22"/>
        </w:rPr>
        <w:t>Separately, but also critical, it poses i</w:t>
      </w:r>
      <w:r w:rsidRPr="00273DDA">
        <w:rPr>
          <w:rFonts w:ascii="Arial" w:hAnsi="Arial" w:cs="Arial"/>
          <w:bCs/>
          <w:sz w:val="22"/>
          <w:szCs w:val="22"/>
        </w:rPr>
        <w:t>n</w:t>
      </w:r>
      <w:r w:rsidRPr="00273DDA">
        <w:rPr>
          <w:rFonts w:ascii="Arial" w:hAnsi="Arial" w:cs="Arial"/>
          <w:bCs/>
          <w:sz w:val="22"/>
          <w:szCs w:val="22"/>
        </w:rPr>
        <w:t>creased risk of identity and information theft, or misuse, which is particularly problematic given that such information could be used to commit financial crime.</w:t>
      </w:r>
    </w:p>
    <w:p w:rsidR="00273DDA" w:rsidRPr="00273DDA" w:rsidRDefault="00273DDA" w:rsidP="00273DDA">
      <w:pPr>
        <w:tabs>
          <w:tab w:val="left" w:pos="0"/>
        </w:tabs>
        <w:jc w:val="both"/>
        <w:rPr>
          <w:rFonts w:ascii="Arial" w:hAnsi="Arial" w:cs="Arial"/>
          <w:bCs/>
          <w:sz w:val="22"/>
          <w:szCs w:val="22"/>
        </w:rPr>
      </w:pPr>
    </w:p>
    <w:p w:rsidR="00273DDA" w:rsidRPr="00273DDA" w:rsidRDefault="00273DDA" w:rsidP="00273DDA">
      <w:pPr>
        <w:tabs>
          <w:tab w:val="left" w:pos="0"/>
        </w:tabs>
        <w:jc w:val="both"/>
        <w:rPr>
          <w:rFonts w:ascii="Arial" w:hAnsi="Arial" w:cs="Arial"/>
          <w:bCs/>
          <w:sz w:val="22"/>
          <w:szCs w:val="22"/>
        </w:rPr>
      </w:pPr>
      <w:r w:rsidRPr="00273DDA">
        <w:rPr>
          <w:rFonts w:ascii="Arial" w:hAnsi="Arial" w:cs="Arial"/>
          <w:bCs/>
          <w:sz w:val="22"/>
          <w:szCs w:val="22"/>
        </w:rPr>
        <w:t xml:space="preserve">Furthermore, </w:t>
      </w:r>
      <w:r w:rsidRPr="00273DDA">
        <w:rPr>
          <w:rFonts w:ascii="Arial" w:hAnsi="Arial" w:cs="Arial"/>
          <w:sz w:val="22"/>
          <w:szCs w:val="22"/>
        </w:rPr>
        <w:t>the proposed formats are too prescriptive and require a level of information that would significantly add to the administrative burden and costs for issuers.</w:t>
      </w:r>
      <w:r w:rsidRPr="00273DDA">
        <w:rPr>
          <w:rFonts w:ascii="Arial" w:hAnsi="Arial" w:cs="Arial"/>
          <w:bCs/>
          <w:sz w:val="22"/>
          <w:szCs w:val="22"/>
        </w:rPr>
        <w:t xml:space="preserve"> Introducing additional fields requires significant adaptation to existing IT infrastructure, such as including information that would require a dire</w:t>
      </w:r>
      <w:r w:rsidR="00E23880">
        <w:rPr>
          <w:rFonts w:ascii="Arial" w:hAnsi="Arial" w:cs="Arial"/>
          <w:bCs/>
          <w:sz w:val="22"/>
          <w:szCs w:val="22"/>
        </w:rPr>
        <w:t xml:space="preserve">ct feed from HR databases etc. </w:t>
      </w:r>
      <w:r w:rsidRPr="00273DDA">
        <w:rPr>
          <w:rFonts w:ascii="Arial" w:hAnsi="Arial" w:cs="Arial"/>
          <w:bCs/>
          <w:sz w:val="22"/>
          <w:szCs w:val="22"/>
        </w:rPr>
        <w:t>This information must be constantly updated, requiring further firm resources on a continued basis on ALL individuals, not only in gathering information on those being investigated where the regulator requests further info</w:t>
      </w:r>
      <w:r w:rsidRPr="00273DDA">
        <w:rPr>
          <w:rFonts w:ascii="Arial" w:hAnsi="Arial" w:cs="Arial"/>
          <w:bCs/>
          <w:sz w:val="22"/>
          <w:szCs w:val="22"/>
        </w:rPr>
        <w:t>r</w:t>
      </w:r>
      <w:r w:rsidRPr="00273DDA">
        <w:rPr>
          <w:rFonts w:ascii="Arial" w:hAnsi="Arial" w:cs="Arial"/>
          <w:bCs/>
          <w:sz w:val="22"/>
          <w:szCs w:val="22"/>
        </w:rPr>
        <w:t>mation to be provided. To require this</w:t>
      </w:r>
      <w:r w:rsidR="00156D7D">
        <w:rPr>
          <w:rFonts w:ascii="Arial" w:hAnsi="Arial" w:cs="Arial"/>
          <w:bCs/>
          <w:sz w:val="22"/>
          <w:szCs w:val="22"/>
        </w:rPr>
        <w:t>,</w:t>
      </w:r>
      <w:r w:rsidRPr="00273DDA">
        <w:rPr>
          <w:rFonts w:ascii="Arial" w:hAnsi="Arial" w:cs="Arial"/>
          <w:bCs/>
          <w:sz w:val="22"/>
          <w:szCs w:val="22"/>
        </w:rPr>
        <w:t xml:space="preserve"> makes it critical for ESMA to be able to demonstrate through a rigorous cost-benefit analysis, that these requirements are indeed proportionate to the number of times this additional information is requested by authorities, against the costs of i</w:t>
      </w:r>
      <w:r w:rsidRPr="00273DDA">
        <w:rPr>
          <w:rFonts w:ascii="Arial" w:hAnsi="Arial" w:cs="Arial"/>
          <w:bCs/>
          <w:sz w:val="22"/>
          <w:szCs w:val="22"/>
        </w:rPr>
        <w:t>n</w:t>
      </w:r>
      <w:r w:rsidRPr="00273DDA">
        <w:rPr>
          <w:rFonts w:ascii="Arial" w:hAnsi="Arial" w:cs="Arial"/>
          <w:bCs/>
          <w:sz w:val="22"/>
          <w:szCs w:val="22"/>
        </w:rPr>
        <w:t>creased data protection not only of systems and resources required by firms on an ongoing basis, and the sanction</w:t>
      </w:r>
      <w:r w:rsidR="00E23880">
        <w:rPr>
          <w:rFonts w:ascii="Arial" w:hAnsi="Arial" w:cs="Arial"/>
          <w:bCs/>
          <w:sz w:val="22"/>
          <w:szCs w:val="22"/>
        </w:rPr>
        <w:t>s</w:t>
      </w:r>
      <w:r w:rsidRPr="00273DDA">
        <w:rPr>
          <w:rFonts w:ascii="Arial" w:hAnsi="Arial" w:cs="Arial"/>
          <w:bCs/>
          <w:sz w:val="22"/>
          <w:szCs w:val="22"/>
        </w:rPr>
        <w:t xml:space="preserve"> risk issuers are exposed too if any information is found out of date, particularly given this is held for at least 5 years and despite the fact that only a very small pr</w:t>
      </w:r>
      <w:r w:rsidRPr="00273DDA">
        <w:rPr>
          <w:rFonts w:ascii="Arial" w:hAnsi="Arial" w:cs="Arial"/>
          <w:bCs/>
          <w:sz w:val="22"/>
          <w:szCs w:val="22"/>
        </w:rPr>
        <w:t>o</w:t>
      </w:r>
      <w:r w:rsidRPr="00273DDA">
        <w:rPr>
          <w:rFonts w:ascii="Arial" w:hAnsi="Arial" w:cs="Arial"/>
          <w:bCs/>
          <w:sz w:val="22"/>
          <w:szCs w:val="22"/>
        </w:rPr>
        <w:t>portion of this, will actually require further investigation.</w:t>
      </w:r>
    </w:p>
    <w:p w:rsidR="00273DDA" w:rsidRPr="00273DDA" w:rsidRDefault="00273DDA" w:rsidP="00273DDA">
      <w:pPr>
        <w:tabs>
          <w:tab w:val="left" w:pos="0"/>
        </w:tabs>
        <w:jc w:val="both"/>
        <w:rPr>
          <w:rFonts w:ascii="Arial" w:hAnsi="Arial" w:cs="Arial"/>
          <w:bCs/>
          <w:sz w:val="22"/>
          <w:szCs w:val="22"/>
        </w:rPr>
      </w:pPr>
    </w:p>
    <w:p w:rsidR="00273DDA" w:rsidRPr="00273DDA" w:rsidRDefault="00273DDA" w:rsidP="00273DDA">
      <w:pPr>
        <w:tabs>
          <w:tab w:val="left" w:pos="0"/>
        </w:tabs>
        <w:jc w:val="both"/>
        <w:rPr>
          <w:rFonts w:ascii="Arial" w:hAnsi="Arial" w:cs="Arial"/>
          <w:bCs/>
          <w:sz w:val="22"/>
          <w:szCs w:val="22"/>
        </w:rPr>
      </w:pPr>
      <w:r w:rsidRPr="00273DDA">
        <w:rPr>
          <w:rFonts w:ascii="Arial" w:hAnsi="Arial" w:cs="Arial"/>
          <w:bCs/>
          <w:sz w:val="22"/>
          <w:szCs w:val="22"/>
        </w:rPr>
        <w:t>Article 18(4) of the Regulation sets out when the insider list needs to be updated. We welcome the fact that ESMA’s draft RTS in Article 9 cross-refers clearly to Article 18 (4).</w:t>
      </w:r>
    </w:p>
    <w:p w:rsidR="00273DDA" w:rsidRPr="00273DDA" w:rsidRDefault="00273DDA" w:rsidP="00273DDA">
      <w:pPr>
        <w:tabs>
          <w:tab w:val="left" w:pos="0"/>
        </w:tabs>
        <w:jc w:val="both"/>
        <w:rPr>
          <w:rFonts w:ascii="Arial" w:hAnsi="Arial" w:cs="Arial"/>
          <w:bCs/>
          <w:sz w:val="22"/>
          <w:szCs w:val="22"/>
        </w:rPr>
      </w:pPr>
    </w:p>
    <w:p w:rsidR="00C8677B" w:rsidRPr="00273DDA" w:rsidRDefault="00273DDA" w:rsidP="00273DDA">
      <w:pPr>
        <w:tabs>
          <w:tab w:val="left" w:pos="0"/>
        </w:tabs>
        <w:jc w:val="both"/>
        <w:rPr>
          <w:rFonts w:ascii="Arial" w:hAnsi="Arial" w:cs="Arial"/>
          <w:bCs/>
        </w:rPr>
      </w:pPr>
      <w:r w:rsidRPr="00273DDA">
        <w:rPr>
          <w:rFonts w:ascii="Arial" w:hAnsi="Arial" w:cs="Arial"/>
          <w:bCs/>
          <w:sz w:val="22"/>
          <w:szCs w:val="22"/>
        </w:rPr>
        <w:t>In conclusion, we would suggest, ESMA asks firms to collect only that information which is static, definitive and from which an individual can be identified from those with similar names (such as name, surname and date of birth). We would not support the inclusion of national identification numbers or passport numbers, as these are particularly sensitive and carry a significant risk of identity theft. We also note that it is important that firms can implement and maintain the list consistently. For example passport numbers and national identification numbers may differ and furthermore not all Member States or third-countries have national identification numbers; add</w:t>
      </w:r>
      <w:r w:rsidRPr="00273DDA">
        <w:rPr>
          <w:rFonts w:ascii="Arial" w:hAnsi="Arial" w:cs="Arial"/>
          <w:bCs/>
          <w:sz w:val="22"/>
          <w:szCs w:val="22"/>
        </w:rPr>
        <w:t>i</w:t>
      </w:r>
      <w:r w:rsidRPr="00273DDA">
        <w:rPr>
          <w:rFonts w:ascii="Arial" w:hAnsi="Arial" w:cs="Arial"/>
          <w:bCs/>
          <w:sz w:val="22"/>
          <w:szCs w:val="22"/>
        </w:rPr>
        <w:t>tionally, individuals may have more than one passport number etc</w:t>
      </w:r>
      <w:r>
        <w:rPr>
          <w:rFonts w:ascii="Arial" w:hAnsi="Arial" w:cs="Arial"/>
          <w:bCs/>
        </w:rPr>
        <w:t xml:space="preserve">. </w:t>
      </w:r>
    </w:p>
    <w:permEnd w:id="943992635"/>
    <w:p w:rsidR="00C8677B" w:rsidRDefault="00C8677B" w:rsidP="00C8677B">
      <w:r>
        <w:t>&lt;</w:t>
      </w:r>
      <w:r w:rsidR="00CB6CDD">
        <w:t>ESMA_QUESTION_MAR_TS_</w:t>
      </w:r>
      <w:r>
        <w:t>22&gt;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two approaches regarding the format of insider lists?</w:t>
      </w:r>
    </w:p>
    <w:p w:rsidR="00C8677B" w:rsidRDefault="00C8677B" w:rsidP="00C8677B">
      <w:r>
        <w:t>&lt;</w:t>
      </w:r>
      <w:r w:rsidR="00CB6CDD">
        <w:t>ESMA_QUESTION_MAR_TS_</w:t>
      </w:r>
      <w:r>
        <w:t>23&gt;</w:t>
      </w:r>
    </w:p>
    <w:p w:rsidR="00273DDA" w:rsidRPr="00273DDA" w:rsidRDefault="00273DDA" w:rsidP="00273DDA">
      <w:pPr>
        <w:tabs>
          <w:tab w:val="left" w:pos="0"/>
        </w:tabs>
        <w:jc w:val="both"/>
        <w:rPr>
          <w:rFonts w:ascii="Arial" w:hAnsi="Arial" w:cs="Arial"/>
          <w:bCs/>
          <w:sz w:val="22"/>
          <w:szCs w:val="22"/>
        </w:rPr>
      </w:pPr>
      <w:permStart w:id="1653618857" w:edGrp="everyone"/>
      <w:r w:rsidRPr="00273DDA">
        <w:rPr>
          <w:rFonts w:ascii="Arial" w:hAnsi="Arial" w:cs="Arial"/>
          <w:bCs/>
          <w:sz w:val="22"/>
          <w:szCs w:val="22"/>
        </w:rPr>
        <w:lastRenderedPageBreak/>
        <w:t>BBA welcomes the option of two formats for the list.</w:t>
      </w:r>
      <w:r>
        <w:rPr>
          <w:rFonts w:ascii="Arial" w:hAnsi="Arial" w:cs="Arial"/>
          <w:bCs/>
          <w:sz w:val="22"/>
          <w:szCs w:val="22"/>
        </w:rPr>
        <w:t xml:space="preserve"> </w:t>
      </w:r>
      <w:r w:rsidRPr="00273DDA">
        <w:rPr>
          <w:rFonts w:ascii="Arial" w:hAnsi="Arial" w:cs="Arial"/>
          <w:bCs/>
          <w:sz w:val="22"/>
          <w:szCs w:val="22"/>
        </w:rPr>
        <w:t xml:space="preserve">However, as indicated in Q.22, the issue is the quantity of personal information required and the data protection and security issues this raises. </w:t>
      </w:r>
    </w:p>
    <w:p w:rsidR="00273DDA" w:rsidRPr="00273DDA" w:rsidRDefault="00273DDA" w:rsidP="00273DDA">
      <w:pPr>
        <w:tabs>
          <w:tab w:val="left" w:pos="0"/>
        </w:tabs>
        <w:jc w:val="both"/>
        <w:rPr>
          <w:rFonts w:ascii="Arial" w:hAnsi="Arial" w:cs="Arial"/>
          <w:bCs/>
          <w:sz w:val="22"/>
          <w:szCs w:val="22"/>
        </w:rPr>
      </w:pPr>
    </w:p>
    <w:p w:rsidR="00273DDA" w:rsidRPr="00273DDA" w:rsidRDefault="00273DDA" w:rsidP="00273DDA">
      <w:pPr>
        <w:tabs>
          <w:tab w:val="left" w:pos="0"/>
        </w:tabs>
        <w:spacing w:after="120"/>
        <w:jc w:val="both"/>
        <w:rPr>
          <w:rFonts w:ascii="Arial" w:hAnsi="Arial" w:cs="Arial"/>
          <w:sz w:val="22"/>
          <w:szCs w:val="22"/>
        </w:rPr>
      </w:pPr>
      <w:r w:rsidRPr="00273DDA">
        <w:rPr>
          <w:rFonts w:ascii="Arial" w:hAnsi="Arial" w:cs="Arial"/>
          <w:sz w:val="22"/>
          <w:szCs w:val="22"/>
        </w:rPr>
        <w:t>We welcome the flexibility provided by two lists and note that some members would propose to use the general list for permanent insiders, and in parallel, use the second format for deal speci</w:t>
      </w:r>
      <w:r w:rsidRPr="00273DDA">
        <w:rPr>
          <w:rFonts w:ascii="Arial" w:hAnsi="Arial" w:cs="Arial"/>
          <w:sz w:val="22"/>
          <w:szCs w:val="22"/>
        </w:rPr>
        <w:t>f</w:t>
      </w:r>
      <w:r w:rsidRPr="00273DDA">
        <w:rPr>
          <w:rFonts w:ascii="Arial" w:hAnsi="Arial" w:cs="Arial"/>
          <w:sz w:val="22"/>
          <w:szCs w:val="22"/>
        </w:rPr>
        <w:t>ic insiders.</w:t>
      </w:r>
    </w:p>
    <w:p w:rsidR="00C8677B" w:rsidRDefault="00273DDA" w:rsidP="00273DDA">
      <w:pPr>
        <w:jc w:val="both"/>
      </w:pPr>
      <w:r w:rsidRPr="00273DDA">
        <w:rPr>
          <w:rFonts w:ascii="Arial" w:eastAsia="Calibri" w:hAnsi="Arial" w:cs="Arial"/>
          <w:sz w:val="22"/>
          <w:szCs w:val="22"/>
        </w:rPr>
        <w:t xml:space="preserve">In this regard, we consider that maintaining for example the </w:t>
      </w:r>
      <w:r w:rsidR="00E23880">
        <w:rPr>
          <w:rFonts w:ascii="Arial" w:eastAsia="Calibri" w:hAnsi="Arial" w:cs="Arial"/>
          <w:sz w:val="22"/>
          <w:szCs w:val="22"/>
        </w:rPr>
        <w:t>‘</w:t>
      </w:r>
      <w:r w:rsidRPr="00273DDA">
        <w:rPr>
          <w:rFonts w:ascii="Arial" w:eastAsia="Calibri" w:hAnsi="Arial" w:cs="Arial"/>
          <w:sz w:val="22"/>
          <w:szCs w:val="22"/>
        </w:rPr>
        <w:t>name of birth</w:t>
      </w:r>
      <w:r w:rsidR="00E23880">
        <w:rPr>
          <w:rFonts w:ascii="Arial" w:eastAsia="Calibri" w:hAnsi="Arial" w:cs="Arial"/>
          <w:sz w:val="22"/>
          <w:szCs w:val="22"/>
        </w:rPr>
        <w:t>’</w:t>
      </w:r>
      <w:r w:rsidRPr="00273DDA">
        <w:rPr>
          <w:rFonts w:ascii="Arial" w:eastAsia="Calibri" w:hAnsi="Arial" w:cs="Arial"/>
          <w:sz w:val="22"/>
          <w:szCs w:val="22"/>
        </w:rPr>
        <w:t xml:space="preserve"> or the </w:t>
      </w:r>
      <w:r w:rsidR="00E23880">
        <w:rPr>
          <w:rFonts w:ascii="Arial" w:eastAsia="Calibri" w:hAnsi="Arial" w:cs="Arial"/>
          <w:sz w:val="22"/>
          <w:szCs w:val="22"/>
        </w:rPr>
        <w:t>‘</w:t>
      </w:r>
      <w:r w:rsidRPr="00273DDA">
        <w:rPr>
          <w:rFonts w:ascii="Arial" w:eastAsia="Calibri" w:hAnsi="Arial" w:cs="Arial"/>
          <w:sz w:val="22"/>
          <w:szCs w:val="22"/>
        </w:rPr>
        <w:t>start and end dates</w:t>
      </w:r>
      <w:r w:rsidR="00E23880">
        <w:rPr>
          <w:rFonts w:ascii="Arial" w:eastAsia="Calibri" w:hAnsi="Arial" w:cs="Arial"/>
          <w:sz w:val="22"/>
          <w:szCs w:val="22"/>
        </w:rPr>
        <w:t>’</w:t>
      </w:r>
      <w:r w:rsidRPr="00273DDA">
        <w:rPr>
          <w:rFonts w:ascii="Arial" w:eastAsia="Calibri" w:hAnsi="Arial" w:cs="Arial"/>
          <w:sz w:val="22"/>
          <w:szCs w:val="22"/>
        </w:rPr>
        <w:t xml:space="preserve"> for employees not only is unnecessary but also would be challenging. Again, </w:t>
      </w:r>
      <w:r w:rsidRPr="00273DDA">
        <w:rPr>
          <w:rFonts w:ascii="Arial" w:hAnsi="Arial" w:cs="Arial"/>
          <w:sz w:val="22"/>
          <w:szCs w:val="22"/>
        </w:rPr>
        <w:t>much of the information is duplicative of personnel information already held in HR records if needed for an enquiry.</w:t>
      </w:r>
    </w:p>
    <w:permEnd w:id="1653618857"/>
    <w:p w:rsidR="00C8677B" w:rsidRDefault="00C8677B" w:rsidP="00C8677B">
      <w:r>
        <w:t>&lt;</w:t>
      </w:r>
      <w:r w:rsidR="00CB6CDD">
        <w:t>ESMA_QUESTION_MAR_TS_</w:t>
      </w:r>
      <w:r>
        <w:t>23&gt;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Managers’ transactions </w:t>
      </w:r>
      <w:r w:rsidRPr="00ED7403">
        <w:t>format and template for notification and di</w:t>
      </w:r>
      <w:r w:rsidRPr="00ED7403">
        <w:t>s</w:t>
      </w:r>
      <w:r w:rsidRPr="00ED7403">
        <w:t>closure</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have any views on the proposed method of aggregation?</w:t>
      </w:r>
    </w:p>
    <w:p w:rsidR="00C8677B" w:rsidRDefault="00C8677B" w:rsidP="00C8677B">
      <w:r>
        <w:t>&lt;</w:t>
      </w:r>
      <w:r w:rsidR="00CB6CDD">
        <w:t>ESMA_QUESTION_MAR_TS_</w:t>
      </w:r>
      <w:r>
        <w:t>24&gt;</w:t>
      </w:r>
    </w:p>
    <w:p w:rsidR="00C8677B" w:rsidRDefault="00273DDA" w:rsidP="00C8677B">
      <w:permStart w:id="1066729683" w:edGrp="everyone"/>
      <w:r w:rsidRPr="00273DDA">
        <w:rPr>
          <w:rFonts w:ascii="Arial" w:hAnsi="Arial" w:cs="Arial"/>
          <w:sz w:val="22"/>
          <w:szCs w:val="22"/>
        </w:rPr>
        <w:t>No</w:t>
      </w:r>
      <w:r>
        <w:t xml:space="preserve"> </w:t>
      </w:r>
      <w:permEnd w:id="1066729683"/>
      <w:r w:rsidR="00C8677B">
        <w:t>&lt;</w:t>
      </w:r>
      <w:r w:rsidR="00CB6CDD">
        <w:t>ESMA_QUESTION_MAR_TS_</w:t>
      </w:r>
      <w:r w:rsidR="00C8677B">
        <w:t>24&gt;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content to be required in the notification?</w:t>
      </w:r>
    </w:p>
    <w:p w:rsidR="00C8677B" w:rsidRDefault="00C8677B" w:rsidP="00C8677B">
      <w:r>
        <w:t>&lt;</w:t>
      </w:r>
      <w:r w:rsidR="00CB6CDD">
        <w:t>ESMA_QUESTION_MAR_TS_</w:t>
      </w:r>
      <w:r>
        <w:t>25&gt;</w:t>
      </w:r>
    </w:p>
    <w:p w:rsidR="00273DDA" w:rsidRPr="00273DDA" w:rsidRDefault="00273DDA" w:rsidP="00273DDA">
      <w:pPr>
        <w:spacing w:after="240"/>
        <w:jc w:val="both"/>
        <w:rPr>
          <w:rFonts w:ascii="Arial" w:hAnsi="Arial" w:cs="Arial"/>
          <w:sz w:val="22"/>
          <w:szCs w:val="22"/>
        </w:rPr>
      </w:pPr>
      <w:permStart w:id="1823177251" w:edGrp="everyone"/>
      <w:r w:rsidRPr="00273DDA">
        <w:rPr>
          <w:rFonts w:ascii="Arial" w:hAnsi="Arial" w:cs="Arial"/>
          <w:sz w:val="22"/>
          <w:szCs w:val="22"/>
        </w:rPr>
        <w:t>In our view the proposed templates present issues in terms of granularity of information reques</w:t>
      </w:r>
      <w:r w:rsidRPr="00273DDA">
        <w:rPr>
          <w:rFonts w:ascii="Arial" w:hAnsi="Arial" w:cs="Arial"/>
          <w:sz w:val="22"/>
          <w:szCs w:val="22"/>
        </w:rPr>
        <w:t>t</w:t>
      </w:r>
      <w:r w:rsidRPr="00273DDA">
        <w:rPr>
          <w:rFonts w:ascii="Arial" w:hAnsi="Arial" w:cs="Arial"/>
          <w:sz w:val="22"/>
          <w:szCs w:val="22"/>
        </w:rPr>
        <w:t>ed and the expectation upon the persons dealing with managerial responsibilities (</w:t>
      </w:r>
      <w:r w:rsidR="00E23880">
        <w:rPr>
          <w:rFonts w:ascii="Arial" w:hAnsi="Arial" w:cs="Arial"/>
          <w:sz w:val="22"/>
          <w:szCs w:val="22"/>
        </w:rPr>
        <w:t>‘</w:t>
      </w:r>
      <w:r w:rsidRPr="00273DDA">
        <w:rPr>
          <w:rFonts w:ascii="Arial" w:hAnsi="Arial" w:cs="Arial"/>
          <w:sz w:val="22"/>
          <w:szCs w:val="22"/>
        </w:rPr>
        <w:t>PDMR</w:t>
      </w:r>
      <w:r w:rsidR="00E23880">
        <w:rPr>
          <w:rFonts w:ascii="Arial" w:hAnsi="Arial" w:cs="Arial"/>
          <w:sz w:val="22"/>
          <w:szCs w:val="22"/>
        </w:rPr>
        <w:t>’</w:t>
      </w:r>
      <w:r w:rsidRPr="00273DDA">
        <w:rPr>
          <w:rFonts w:ascii="Arial" w:hAnsi="Arial" w:cs="Arial"/>
          <w:sz w:val="22"/>
          <w:szCs w:val="22"/>
        </w:rPr>
        <w:t xml:space="preserve">) to complete these forms for every transaction.  We do not understand why full address, personal contact details or national ID number are required; the issuer would have full records of the PDMRs. </w:t>
      </w:r>
    </w:p>
    <w:p w:rsidR="00273DDA" w:rsidRPr="00273DDA" w:rsidRDefault="00273DDA" w:rsidP="00273DDA">
      <w:pPr>
        <w:spacing w:after="240"/>
        <w:jc w:val="both"/>
        <w:rPr>
          <w:rFonts w:ascii="Arial" w:hAnsi="Arial" w:cs="Arial"/>
          <w:sz w:val="22"/>
          <w:szCs w:val="22"/>
        </w:rPr>
      </w:pPr>
      <w:r w:rsidRPr="00273DDA">
        <w:rPr>
          <w:rFonts w:ascii="Arial" w:hAnsi="Arial" w:cs="Arial"/>
          <w:sz w:val="22"/>
          <w:szCs w:val="22"/>
        </w:rPr>
        <w:t>Currently in the UK notifications are made by the PDMR to the issuer only, and any follow-up which the UK Financial Conduct Authority (</w:t>
      </w:r>
      <w:r w:rsidR="00E23880">
        <w:rPr>
          <w:rFonts w:ascii="Arial" w:hAnsi="Arial" w:cs="Arial"/>
          <w:sz w:val="22"/>
          <w:szCs w:val="22"/>
        </w:rPr>
        <w:t>‘FCA’</w:t>
      </w:r>
      <w:r w:rsidRPr="00273DDA">
        <w:rPr>
          <w:rFonts w:ascii="Arial" w:hAnsi="Arial" w:cs="Arial"/>
          <w:sz w:val="22"/>
          <w:szCs w:val="22"/>
        </w:rPr>
        <w:t xml:space="preserve">) has would be through the issuer, not with the individual PDMR. The proposed new requirement seems highly impractical to administer or resource for the competent authority.  </w:t>
      </w:r>
    </w:p>
    <w:p w:rsidR="00C8677B" w:rsidRPr="00273DDA" w:rsidRDefault="00273DDA" w:rsidP="00273DDA">
      <w:pPr>
        <w:spacing w:after="240"/>
        <w:jc w:val="both"/>
        <w:rPr>
          <w:rFonts w:ascii="Arial" w:hAnsi="Arial" w:cs="Arial"/>
          <w:sz w:val="22"/>
          <w:szCs w:val="22"/>
        </w:rPr>
      </w:pPr>
      <w:r w:rsidRPr="00273DDA">
        <w:rPr>
          <w:rFonts w:ascii="Arial" w:hAnsi="Arial" w:cs="Arial"/>
          <w:sz w:val="22"/>
          <w:szCs w:val="22"/>
        </w:rPr>
        <w:t>If a template is required, we believe that there should be only one template that records the information required to be made public, rather than different templates for non-public and public disclosures.  Any template would, in our view, need to be sufficiently flexible to deal with transa</w:t>
      </w:r>
      <w:r w:rsidRPr="00273DDA">
        <w:rPr>
          <w:rFonts w:ascii="Arial" w:hAnsi="Arial" w:cs="Arial"/>
          <w:sz w:val="22"/>
          <w:szCs w:val="22"/>
        </w:rPr>
        <w:t>c</w:t>
      </w:r>
      <w:r w:rsidRPr="00273DDA">
        <w:rPr>
          <w:rFonts w:ascii="Arial" w:hAnsi="Arial" w:cs="Arial"/>
          <w:sz w:val="22"/>
          <w:szCs w:val="22"/>
        </w:rPr>
        <w:t>tions that are connected with the operation of employee share plans or share based incentives, as these can involve a series of related transactions and associated complexity depending on the plan rules.</w:t>
      </w:r>
    </w:p>
    <w:permEnd w:id="1823177251"/>
    <w:p w:rsidR="00C8677B" w:rsidRDefault="00C8677B" w:rsidP="00C8677B">
      <w:r>
        <w:t>&lt;</w:t>
      </w:r>
      <w:r w:rsidR="00CB6CDD">
        <w:t>ESMA_QUESTION_MAR_TS_</w:t>
      </w:r>
      <w:r>
        <w:t>25&gt;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Investment recommendations </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sidR="00C8677B" w:rsidRDefault="00C8677B" w:rsidP="00C8677B">
      <w:r>
        <w:t>&lt;</w:t>
      </w:r>
      <w:r w:rsidR="00CB6CDD">
        <w:t>ESMA_QUESTION_MAR_TS_</w:t>
      </w:r>
      <w:r>
        <w:t>26&gt;</w:t>
      </w:r>
    </w:p>
    <w:p w:rsidR="00273DDA" w:rsidRPr="00273DDA" w:rsidRDefault="00273DDA" w:rsidP="00273DDA">
      <w:pPr>
        <w:jc w:val="both"/>
        <w:rPr>
          <w:rFonts w:ascii="Arial" w:hAnsi="Arial" w:cs="Arial"/>
          <w:sz w:val="22"/>
          <w:szCs w:val="22"/>
        </w:rPr>
      </w:pPr>
      <w:permStart w:id="286537398" w:edGrp="everyone"/>
      <w:r w:rsidRPr="00273DDA">
        <w:rPr>
          <w:rFonts w:ascii="Arial" w:hAnsi="Arial" w:cs="Arial"/>
          <w:sz w:val="22"/>
          <w:szCs w:val="22"/>
        </w:rPr>
        <w:t xml:space="preserve">We welcome ESMA’s helpful clarification in paragraph 358 of the Consultation Paper that non-independent research is included within the concept of an investment recommendation under MAR (consistent with the position under MAD).  </w:t>
      </w:r>
    </w:p>
    <w:p w:rsidR="00273DDA" w:rsidRPr="00273DDA" w:rsidRDefault="00273DDA" w:rsidP="00273DDA">
      <w:pPr>
        <w:jc w:val="both"/>
        <w:rPr>
          <w:rFonts w:ascii="Arial" w:hAnsi="Arial" w:cs="Arial"/>
          <w:sz w:val="22"/>
          <w:szCs w:val="22"/>
        </w:rPr>
      </w:pPr>
    </w:p>
    <w:p w:rsidR="00273DDA" w:rsidRPr="00273DDA" w:rsidRDefault="00273DDA" w:rsidP="00273DDA">
      <w:pPr>
        <w:jc w:val="both"/>
        <w:rPr>
          <w:rFonts w:ascii="Arial" w:hAnsi="Arial" w:cs="Arial"/>
          <w:sz w:val="22"/>
          <w:szCs w:val="22"/>
        </w:rPr>
      </w:pPr>
      <w:r w:rsidRPr="00273DDA">
        <w:rPr>
          <w:rFonts w:ascii="Arial" w:hAnsi="Arial" w:cs="Arial"/>
          <w:sz w:val="22"/>
          <w:szCs w:val="22"/>
        </w:rPr>
        <w:t>However, we do not agree with ESMA’s broad definition and statement in paragraph 363 of the Consultation Paper that investment recommendation is intended for distribution channels or for the public not only when it is intended or expected to be made available to the public in general, but also when it is intended or expected to be distributed to clients or to a specific segment of clients. Article 3(35) of MAR establishes that investment recommendations under MAR are those intended for distribution channels or for the public and we do not think this includes specialists sales personnel, who may propose investments to clients but rely on the expertise of the an</w:t>
      </w:r>
      <w:r w:rsidRPr="00273DDA">
        <w:rPr>
          <w:rFonts w:ascii="Arial" w:hAnsi="Arial" w:cs="Arial"/>
          <w:sz w:val="22"/>
          <w:szCs w:val="22"/>
        </w:rPr>
        <w:t>a</w:t>
      </w:r>
      <w:r w:rsidRPr="00273DDA">
        <w:rPr>
          <w:rFonts w:ascii="Arial" w:hAnsi="Arial" w:cs="Arial"/>
          <w:sz w:val="22"/>
          <w:szCs w:val="22"/>
        </w:rPr>
        <w:t>lysts. Therefore, we believe that persons who produce trade ideas and draft ‘sales notes’ which are sent to clients should not fall within the definition of investment recommendations. We do not think the requirements under Article 20 of MAR would be appropriate for such persons. We remain at your disposal to discuss this element of the proposal further.</w:t>
      </w:r>
    </w:p>
    <w:p w:rsidR="00273DDA" w:rsidRPr="00273DDA" w:rsidRDefault="00273DDA" w:rsidP="00273DDA">
      <w:pPr>
        <w:jc w:val="both"/>
        <w:rPr>
          <w:rFonts w:ascii="Arial" w:hAnsi="Arial" w:cs="Arial"/>
          <w:sz w:val="22"/>
          <w:szCs w:val="22"/>
        </w:rPr>
      </w:pPr>
    </w:p>
    <w:p w:rsidR="00273DDA" w:rsidRDefault="00273DDA" w:rsidP="00273DDA">
      <w:pPr>
        <w:jc w:val="both"/>
        <w:rPr>
          <w:rFonts w:ascii="Arial" w:hAnsi="Arial" w:cs="Arial"/>
          <w:sz w:val="22"/>
          <w:szCs w:val="22"/>
        </w:rPr>
      </w:pPr>
      <w:r w:rsidRPr="00273DDA">
        <w:rPr>
          <w:rFonts w:ascii="Arial" w:hAnsi="Arial" w:cs="Arial"/>
          <w:sz w:val="22"/>
          <w:szCs w:val="22"/>
        </w:rPr>
        <w:t>We also welcome ESMA’s clarification in paragraph 359 and 363 of the Consultation Paper that investment recommendations under MAR will not include personal recommendations involving the provision of the investment</w:t>
      </w:r>
      <w:r w:rsidR="00E23880">
        <w:rPr>
          <w:rFonts w:ascii="Arial" w:hAnsi="Arial" w:cs="Arial"/>
          <w:sz w:val="22"/>
          <w:szCs w:val="22"/>
        </w:rPr>
        <w:t xml:space="preserve"> service of investment advice. </w:t>
      </w:r>
      <w:r w:rsidRPr="00273DDA">
        <w:rPr>
          <w:rFonts w:ascii="Arial" w:hAnsi="Arial" w:cs="Arial"/>
          <w:sz w:val="22"/>
          <w:szCs w:val="22"/>
        </w:rPr>
        <w:t>Whilst Recital (5) of the draft RTS reflects this, we consider that the inclusion of the words “in itself” may cast doubt upon ESMA’s intentions in this regard and would therefore ask ESMA to delete them or to clarify its position accordingly.</w:t>
      </w:r>
    </w:p>
    <w:p w:rsidR="00273DDA" w:rsidRPr="00273DDA" w:rsidRDefault="00273DDA" w:rsidP="00273DDA">
      <w:pPr>
        <w:jc w:val="both"/>
        <w:rPr>
          <w:rFonts w:ascii="Arial" w:hAnsi="Arial" w:cs="Arial"/>
          <w:sz w:val="22"/>
          <w:szCs w:val="22"/>
        </w:rPr>
      </w:pPr>
    </w:p>
    <w:p w:rsidR="00273DDA" w:rsidRDefault="00273DDA" w:rsidP="00273DDA">
      <w:pPr>
        <w:jc w:val="both"/>
        <w:rPr>
          <w:rFonts w:ascii="Arial" w:hAnsi="Arial" w:cs="Arial"/>
        </w:rPr>
      </w:pPr>
      <w:r w:rsidRPr="00273DDA">
        <w:rPr>
          <w:rFonts w:ascii="Arial" w:hAnsi="Arial" w:cs="Arial"/>
          <w:sz w:val="22"/>
          <w:szCs w:val="22"/>
        </w:rPr>
        <w:t>We agree that those outside of a financial institution or professionals providing investment re</w:t>
      </w:r>
      <w:r w:rsidRPr="00273DDA">
        <w:rPr>
          <w:rFonts w:ascii="Arial" w:hAnsi="Arial" w:cs="Arial"/>
          <w:sz w:val="22"/>
          <w:szCs w:val="22"/>
        </w:rPr>
        <w:t>c</w:t>
      </w:r>
      <w:r w:rsidRPr="00273DDA">
        <w:rPr>
          <w:rFonts w:ascii="Arial" w:hAnsi="Arial" w:cs="Arial"/>
          <w:sz w:val="22"/>
          <w:szCs w:val="22"/>
        </w:rPr>
        <w:t>ommendation, who are holding themselves out as having, or putting their work forward in a way such that they may be considered by others to have, financial expertise should be captured as an expert and subject to the same requirements as professionals</w:t>
      </w:r>
      <w:r w:rsidRPr="003D4B50">
        <w:rPr>
          <w:rFonts w:ascii="Arial" w:hAnsi="Arial" w:cs="Arial"/>
        </w:rPr>
        <w:t>.</w:t>
      </w:r>
    </w:p>
    <w:permEnd w:id="286537398"/>
    <w:p w:rsidR="00C8677B" w:rsidRDefault="00C8677B" w:rsidP="00273DDA">
      <w:r>
        <w:t>&lt;</w:t>
      </w:r>
      <w:r w:rsidR="00CB6CDD">
        <w:t>ESMA_QUESTION_MAR_TS_</w:t>
      </w:r>
      <w:r>
        <w:t>26&gt;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w:t>
      </w:r>
      <w:r>
        <w:t>n</w:t>
      </w:r>
      <w:r>
        <w:t>cluded in the “expert” definition?</w:t>
      </w:r>
      <w:r w:rsidRPr="005C0D27">
        <w:tab/>
      </w:r>
    </w:p>
    <w:p w:rsidR="00C8677B" w:rsidRDefault="00C8677B" w:rsidP="00C8677B">
      <w:r>
        <w:t>&lt;</w:t>
      </w:r>
      <w:r w:rsidR="00CB6CDD">
        <w:t>ESMA_QUESTION_MAR_TS_</w:t>
      </w:r>
      <w:r>
        <w:t>27&gt;</w:t>
      </w:r>
    </w:p>
    <w:p w:rsidR="00273DDA" w:rsidRPr="00273DDA" w:rsidRDefault="00273DDA" w:rsidP="00273DDA">
      <w:pPr>
        <w:jc w:val="both"/>
        <w:rPr>
          <w:rFonts w:ascii="Arial" w:hAnsi="Arial" w:cs="Arial"/>
          <w:sz w:val="22"/>
          <w:szCs w:val="22"/>
        </w:rPr>
      </w:pPr>
      <w:permStart w:id="1681878616" w:edGrp="everyone"/>
      <w:r w:rsidRPr="00273DDA">
        <w:rPr>
          <w:rFonts w:ascii="Arial" w:hAnsi="Arial" w:cs="Arial"/>
          <w:sz w:val="22"/>
          <w:szCs w:val="22"/>
        </w:rPr>
        <w:t>We do not agree that frequency could be a characteristic to determine an “expert”.</w:t>
      </w:r>
    </w:p>
    <w:p w:rsidR="00273DDA" w:rsidRPr="00273DDA" w:rsidRDefault="00273DDA" w:rsidP="00273DDA">
      <w:pPr>
        <w:jc w:val="both"/>
        <w:rPr>
          <w:rFonts w:ascii="Arial" w:hAnsi="Arial" w:cs="Arial"/>
          <w:sz w:val="22"/>
          <w:szCs w:val="22"/>
        </w:rPr>
      </w:pPr>
    </w:p>
    <w:p w:rsidR="00273DDA" w:rsidRDefault="00273DDA" w:rsidP="00273DDA">
      <w:pPr>
        <w:rPr>
          <w:rFonts w:ascii="Arial" w:hAnsi="Arial" w:cs="Arial"/>
        </w:rPr>
      </w:pPr>
      <w:r w:rsidRPr="00273DDA">
        <w:rPr>
          <w:rFonts w:ascii="Arial" w:hAnsi="Arial" w:cs="Arial"/>
          <w:sz w:val="22"/>
          <w:szCs w:val="22"/>
        </w:rPr>
        <w:t>A person who possesses the requisite qualifications to write investment recommendations (and is not writing as a qualified person) and advertises this qualification; or who has several years of experience acquired as a qualified person (but no</w:t>
      </w:r>
      <w:r>
        <w:rPr>
          <w:rFonts w:ascii="Arial" w:hAnsi="Arial" w:cs="Arial"/>
          <w:sz w:val="22"/>
          <w:szCs w:val="22"/>
        </w:rPr>
        <w:t xml:space="preserve"> longer writes as a </w:t>
      </w:r>
      <w:r w:rsidRPr="00273DDA">
        <w:rPr>
          <w:rFonts w:ascii="Arial" w:hAnsi="Arial" w:cs="Arial"/>
          <w:sz w:val="22"/>
          <w:szCs w:val="22"/>
        </w:rPr>
        <w:t>qualified person) and publ</w:t>
      </w:r>
      <w:r w:rsidRPr="00273DDA">
        <w:rPr>
          <w:rFonts w:ascii="Arial" w:hAnsi="Arial" w:cs="Arial"/>
          <w:sz w:val="22"/>
          <w:szCs w:val="22"/>
        </w:rPr>
        <w:t>i</w:t>
      </w:r>
      <w:r w:rsidRPr="00273DDA">
        <w:rPr>
          <w:rFonts w:ascii="Arial" w:hAnsi="Arial" w:cs="Arial"/>
          <w:sz w:val="22"/>
          <w:szCs w:val="22"/>
        </w:rPr>
        <w:t>cises this fact to substantiate his publications could be relevant characteristics</w:t>
      </w:r>
      <w:r>
        <w:rPr>
          <w:rFonts w:ascii="Arial" w:hAnsi="Arial" w:cs="Arial"/>
        </w:rPr>
        <w:t>.</w:t>
      </w:r>
    </w:p>
    <w:permEnd w:id="1681878616"/>
    <w:p w:rsidR="00C8677B" w:rsidRDefault="00C8677B" w:rsidP="00273DDA">
      <w:r>
        <w:t>&lt;</w:t>
      </w:r>
      <w:r w:rsidR="00CB6CDD">
        <w:t>ESMA_QUESTION_MAR_TS_</w:t>
      </w:r>
      <w:r>
        <w:t>27&gt;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1174FF">
        <w:lastRenderedPageBreak/>
        <w:t xml:space="preserve">Are the </w:t>
      </w:r>
      <w:r w:rsidRPr="00CC5988">
        <w:t>suggested standards for objective presentation of investment recommend</w:t>
      </w:r>
      <w:r w:rsidRPr="00CC5988">
        <w:t>a</w:t>
      </w:r>
      <w:r w:rsidRPr="00CC5988">
        <w:t>tio</w:t>
      </w:r>
      <w:r>
        <w:t xml:space="preserve">n </w:t>
      </w:r>
      <w:r w:rsidRPr="001174FF">
        <w:t>suitable to all asset classes? If not, please explain why.</w:t>
      </w:r>
    </w:p>
    <w:p w:rsidR="00C8677B" w:rsidRDefault="00C8677B" w:rsidP="00C8677B">
      <w:r>
        <w:t>&lt;</w:t>
      </w:r>
      <w:r w:rsidR="00CB6CDD">
        <w:t>ESMA_QUESTION_MAR_TS_</w:t>
      </w:r>
      <w:r>
        <w:t>28&gt;</w:t>
      </w:r>
    </w:p>
    <w:p w:rsidR="00C8677B" w:rsidRPr="00273DDA" w:rsidRDefault="00273DDA" w:rsidP="00C8677B">
      <w:pPr>
        <w:rPr>
          <w:sz w:val="22"/>
          <w:szCs w:val="22"/>
        </w:rPr>
      </w:pPr>
      <w:permStart w:id="1098581420" w:edGrp="everyone"/>
      <w:r w:rsidRPr="00273DDA">
        <w:rPr>
          <w:rFonts w:ascii="Arial" w:hAnsi="Arial" w:cs="Arial"/>
          <w:sz w:val="22"/>
          <w:szCs w:val="22"/>
        </w:rPr>
        <w:t>Yes</w:t>
      </w:r>
    </w:p>
    <w:permEnd w:id="1098581420"/>
    <w:p w:rsidR="00C8677B" w:rsidRDefault="00C8677B" w:rsidP="00C8677B">
      <w:r>
        <w:t>&lt;</w:t>
      </w:r>
      <w:r w:rsidR="00CB6CDD">
        <w:t>ESMA_QUESTION_MAR_TS_</w:t>
      </w:r>
      <w:r>
        <w:t>28&gt;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agree with the proposed standards for the objective presentation of inves</w:t>
      </w:r>
      <w:r w:rsidRPr="000820E8">
        <w:t>t</w:t>
      </w:r>
      <w:r w:rsidRPr="000820E8">
        <w:t xml:space="preserve">ment recommendations and how they apply to the different categories of persons in the scope? If not, please specify. </w:t>
      </w:r>
    </w:p>
    <w:p w:rsidR="00C8677B" w:rsidRDefault="00C8677B" w:rsidP="00C8677B">
      <w:r>
        <w:t>&lt;</w:t>
      </w:r>
      <w:r w:rsidR="00CB6CDD">
        <w:t>ESMA_QUESTION_MAR_TS_</w:t>
      </w:r>
      <w:r>
        <w:t>29&gt;</w:t>
      </w:r>
    </w:p>
    <w:p w:rsidR="00C8677B" w:rsidRPr="00273DDA" w:rsidRDefault="00273DDA" w:rsidP="00273DDA">
      <w:pPr>
        <w:jc w:val="both"/>
        <w:rPr>
          <w:sz w:val="22"/>
          <w:szCs w:val="22"/>
        </w:rPr>
      </w:pPr>
      <w:permStart w:id="616908391" w:edGrp="everyone"/>
      <w:r w:rsidRPr="00273DDA">
        <w:rPr>
          <w:rFonts w:ascii="Arial" w:hAnsi="Arial" w:cs="Arial"/>
          <w:sz w:val="22"/>
          <w:szCs w:val="22"/>
        </w:rPr>
        <w:t>We agree that where a proprietary model has been adopted it should be made clear within the research recommendation that any results are based on that proprietary model. However, we do not agree that the disclosure contained within the research recommendation should also state the key factors of the model and the impact it has had on the results. An indication of where this detailed information can be found should be sufficient for any investors who may wish to follow up on these details to obtain such information.</w:t>
      </w:r>
    </w:p>
    <w:permEnd w:id="616908391"/>
    <w:p w:rsidR="00C8677B" w:rsidRDefault="00C8677B" w:rsidP="00C8677B">
      <w:r>
        <w:t>&lt;</w:t>
      </w:r>
      <w:r w:rsidR="00CB6CDD">
        <w:t>ESMA_QUESTION_MAR_TS_</w:t>
      </w:r>
      <w:r>
        <w:t>29&gt;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sidR="00C8677B" w:rsidRDefault="00C8677B" w:rsidP="00C8677B">
      <w:r>
        <w:t>&lt;</w:t>
      </w:r>
      <w:r w:rsidR="00CB6CDD">
        <w:t>ESMA_QUESTION_MAR_TS_</w:t>
      </w:r>
      <w:r>
        <w:t>30&gt;</w:t>
      </w:r>
    </w:p>
    <w:p w:rsidR="00273DDA" w:rsidRPr="00273DDA" w:rsidRDefault="00273DDA" w:rsidP="00273DDA">
      <w:pPr>
        <w:jc w:val="both"/>
        <w:rPr>
          <w:rFonts w:ascii="Arial" w:hAnsi="Arial" w:cs="Arial"/>
          <w:sz w:val="22"/>
          <w:szCs w:val="22"/>
        </w:rPr>
      </w:pPr>
      <w:permStart w:id="364597363" w:edGrp="everyone"/>
      <w:r w:rsidRPr="00273DDA">
        <w:rPr>
          <w:rFonts w:ascii="Arial" w:hAnsi="Arial" w:cs="Arial"/>
          <w:sz w:val="22"/>
          <w:szCs w:val="22"/>
        </w:rPr>
        <w:t>We would propose that market makers and other parties who benefit from exemptions under Short Selling Regulation (EU236/2012) be exempted from this disclosure requirement. Furthe</w:t>
      </w:r>
      <w:r w:rsidRPr="00273DDA">
        <w:rPr>
          <w:rFonts w:ascii="Arial" w:hAnsi="Arial" w:cs="Arial"/>
          <w:sz w:val="22"/>
          <w:szCs w:val="22"/>
        </w:rPr>
        <w:t>r</w:t>
      </w:r>
      <w:r w:rsidRPr="00273DDA">
        <w:rPr>
          <w:rFonts w:ascii="Arial" w:hAnsi="Arial" w:cs="Arial"/>
          <w:sz w:val="22"/>
          <w:szCs w:val="22"/>
        </w:rPr>
        <w:t xml:space="preserve">more, the disclosures of the net short positions should be consistent with the disclosures under the short selling regulation as well. </w:t>
      </w:r>
    </w:p>
    <w:p w:rsidR="00273DDA" w:rsidRDefault="00273DDA" w:rsidP="00273DDA">
      <w:pPr>
        <w:jc w:val="both"/>
        <w:rPr>
          <w:rFonts w:ascii="Arial" w:hAnsi="Arial" w:cs="Arial"/>
          <w:sz w:val="22"/>
          <w:szCs w:val="22"/>
        </w:rPr>
      </w:pPr>
    </w:p>
    <w:p w:rsidR="00273DDA" w:rsidRDefault="00273DDA" w:rsidP="00273DDA">
      <w:pPr>
        <w:jc w:val="both"/>
        <w:rPr>
          <w:rFonts w:ascii="Arial" w:hAnsi="Arial" w:cs="Arial"/>
        </w:rPr>
      </w:pPr>
      <w:r w:rsidRPr="00273DDA">
        <w:rPr>
          <w:rFonts w:ascii="Arial" w:hAnsi="Arial" w:cs="Arial"/>
          <w:sz w:val="22"/>
          <w:szCs w:val="22"/>
        </w:rPr>
        <w:t>The current method of calculation for short selling disclosures varies according to jurisdiction, so it would be critical that any requirement in this area should ensure the ability to conform to any jurisdictional requirements if these differ or for ESMA to harmonise how these short selling ca</w:t>
      </w:r>
      <w:r w:rsidRPr="00273DDA">
        <w:rPr>
          <w:rFonts w:ascii="Arial" w:hAnsi="Arial" w:cs="Arial"/>
          <w:sz w:val="22"/>
          <w:szCs w:val="22"/>
        </w:rPr>
        <w:t>l</w:t>
      </w:r>
      <w:r w:rsidRPr="00273DDA">
        <w:rPr>
          <w:rFonts w:ascii="Arial" w:hAnsi="Arial" w:cs="Arial"/>
          <w:sz w:val="22"/>
          <w:szCs w:val="22"/>
        </w:rPr>
        <w:t>culation are made.</w:t>
      </w:r>
    </w:p>
    <w:permEnd w:id="364597363"/>
    <w:p w:rsidR="00C8677B" w:rsidRDefault="00C8677B" w:rsidP="00273DDA">
      <w:r>
        <w:t>&lt;</w:t>
      </w:r>
      <w:r w:rsidR="00CB6CDD">
        <w:t>ESMA_QUESTION_MAR_TS_</w:t>
      </w:r>
      <w:r>
        <w:t>30&gt;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rsidR="00C8677B" w:rsidRDefault="00C8677B" w:rsidP="00C8677B">
      <w:r>
        <w:t>&lt;</w:t>
      </w:r>
      <w:r w:rsidR="00CB6CDD">
        <w:t>ESMA_QUESTION_MAR_TS_</w:t>
      </w:r>
      <w:r>
        <w:t>31&gt;</w:t>
      </w:r>
    </w:p>
    <w:p w:rsidR="00273DDA" w:rsidRPr="00273DDA" w:rsidRDefault="00273DDA" w:rsidP="00273DDA">
      <w:pPr>
        <w:jc w:val="both"/>
        <w:rPr>
          <w:rFonts w:ascii="Arial" w:hAnsi="Arial" w:cs="Arial"/>
          <w:b/>
          <w:sz w:val="22"/>
          <w:szCs w:val="22"/>
        </w:rPr>
      </w:pPr>
      <w:permStart w:id="1986940148" w:edGrp="everyone"/>
      <w:r w:rsidRPr="00273DDA">
        <w:rPr>
          <w:rFonts w:ascii="Arial" w:hAnsi="Arial" w:cs="Arial"/>
          <w:sz w:val="22"/>
          <w:szCs w:val="22"/>
        </w:rPr>
        <w:t>Although we agree with the overall aim of the transparency regime, we do not agree with the 0.5% disclosure threshold for long positions. We consider this threshold to be too low and do not believe that a position of 0.5% is sufficiently material to create a conflict of interest. To disclose all long positions at this level will result in investors being given information which is not mea</w:t>
      </w:r>
      <w:r w:rsidRPr="00273DDA">
        <w:rPr>
          <w:rFonts w:ascii="Arial" w:hAnsi="Arial" w:cs="Arial"/>
          <w:sz w:val="22"/>
          <w:szCs w:val="22"/>
        </w:rPr>
        <w:t>n</w:t>
      </w:r>
      <w:r w:rsidRPr="00273DDA">
        <w:rPr>
          <w:rFonts w:ascii="Arial" w:hAnsi="Arial" w:cs="Arial"/>
          <w:sz w:val="22"/>
          <w:szCs w:val="22"/>
        </w:rPr>
        <w:t>ingful or useful to them and which does not necessarily represent a true conflict of interest.   Further we would find it useful if any amended threshold level was consistent with other thres</w:t>
      </w:r>
      <w:r w:rsidRPr="00273DDA">
        <w:rPr>
          <w:rFonts w:ascii="Arial" w:hAnsi="Arial" w:cs="Arial"/>
          <w:sz w:val="22"/>
          <w:szCs w:val="22"/>
        </w:rPr>
        <w:t>h</w:t>
      </w:r>
      <w:r w:rsidRPr="00273DDA">
        <w:rPr>
          <w:rFonts w:ascii="Arial" w:hAnsi="Arial" w:cs="Arial"/>
          <w:sz w:val="22"/>
          <w:szCs w:val="22"/>
        </w:rPr>
        <w:t>olds at which banks are already reporting in order that systems and reporting processes may be aligned. For consistency we would suggest alignment with the Transparency Directive threshold which was just reviewed and remained unchanged.</w:t>
      </w:r>
    </w:p>
    <w:p w:rsidR="00273DDA" w:rsidRPr="003D4B50" w:rsidRDefault="00273DDA" w:rsidP="00AE587E">
      <w:pPr>
        <w:ind w:left="720" w:hanging="720"/>
        <w:jc w:val="both"/>
        <w:rPr>
          <w:rFonts w:ascii="Arial" w:hAnsi="Arial" w:cs="Arial"/>
          <w:b/>
        </w:rPr>
      </w:pPr>
    </w:p>
    <w:p w:rsidR="00273DDA" w:rsidRDefault="00273DDA" w:rsidP="00273DDA">
      <w:pPr>
        <w:jc w:val="both"/>
        <w:rPr>
          <w:rFonts w:ascii="Arial" w:hAnsi="Arial" w:cs="Arial"/>
          <w:sz w:val="22"/>
          <w:szCs w:val="22"/>
        </w:rPr>
      </w:pPr>
      <w:r w:rsidRPr="00273DDA">
        <w:rPr>
          <w:rFonts w:ascii="Arial" w:hAnsi="Arial" w:cs="Arial"/>
          <w:sz w:val="22"/>
          <w:szCs w:val="22"/>
        </w:rPr>
        <w:lastRenderedPageBreak/>
        <w:t>We note that paragraph 396 of the Consultation Paper refers to a proposed dual approach to the operation of disclosure thresholds. We find this proposed dual approach somewhat confusing.  Investment recommendations [almost] always refer to particular financial instruments and not only to issuers as provided for under paragraph 396(a) of the Consultation Paper. We are ther</w:t>
      </w:r>
      <w:r w:rsidRPr="00273DDA">
        <w:rPr>
          <w:rFonts w:ascii="Arial" w:hAnsi="Arial" w:cs="Arial"/>
          <w:sz w:val="22"/>
          <w:szCs w:val="22"/>
        </w:rPr>
        <w:t>e</w:t>
      </w:r>
      <w:r w:rsidRPr="00273DDA">
        <w:rPr>
          <w:rFonts w:ascii="Arial" w:hAnsi="Arial" w:cs="Arial"/>
          <w:sz w:val="22"/>
          <w:szCs w:val="22"/>
        </w:rPr>
        <w:t>fore unsure as to when this particular provision would ever be relevant in practice.</w:t>
      </w:r>
    </w:p>
    <w:p w:rsidR="00273DDA" w:rsidRDefault="00273DDA" w:rsidP="00273DDA">
      <w:pPr>
        <w:jc w:val="both"/>
        <w:rPr>
          <w:rFonts w:ascii="Arial" w:hAnsi="Arial" w:cs="Arial"/>
          <w:sz w:val="22"/>
          <w:szCs w:val="22"/>
        </w:rPr>
      </w:pPr>
    </w:p>
    <w:p w:rsidR="00273DDA" w:rsidRDefault="00273DDA" w:rsidP="00273DDA">
      <w:pPr>
        <w:jc w:val="both"/>
        <w:rPr>
          <w:rFonts w:ascii="Arial" w:hAnsi="Arial" w:cs="Arial"/>
        </w:rPr>
      </w:pPr>
      <w:r w:rsidRPr="00273DDA">
        <w:rPr>
          <w:rFonts w:ascii="Arial" w:hAnsi="Arial" w:cs="Arial"/>
          <w:sz w:val="22"/>
          <w:szCs w:val="22"/>
        </w:rPr>
        <w:t>Secondly, paragraph 396(b) of the Consultation Paper is somewhat confusing with regard to the disclosures required on issuer’s shares and we would welcome some clarity to ensure the right disclosures are made and transparency is not underm</w:t>
      </w:r>
      <w:r w:rsidR="00E23880">
        <w:rPr>
          <w:rFonts w:ascii="Arial" w:hAnsi="Arial" w:cs="Arial"/>
          <w:sz w:val="22"/>
          <w:szCs w:val="22"/>
        </w:rPr>
        <w:t xml:space="preserve">ined. </w:t>
      </w:r>
      <w:r w:rsidRPr="00273DDA">
        <w:rPr>
          <w:rFonts w:ascii="Arial" w:hAnsi="Arial" w:cs="Arial"/>
          <w:sz w:val="22"/>
          <w:szCs w:val="22"/>
        </w:rPr>
        <w:t>We would ask ESMA to reconsider this paragraph and create a single simplified threshold regime which is both proportionate (in line with the paragraph above) and reflects the reality of the production and content of investment recommendations</w:t>
      </w:r>
      <w:r>
        <w:rPr>
          <w:rFonts w:ascii="Arial" w:hAnsi="Arial" w:cs="Arial"/>
        </w:rPr>
        <w:t>.</w:t>
      </w:r>
    </w:p>
    <w:permEnd w:id="1986940148"/>
    <w:p w:rsidR="00C8677B" w:rsidRDefault="00C8677B" w:rsidP="00C8677B">
      <w:r>
        <w:t>&lt;</w:t>
      </w:r>
      <w:r w:rsidR="00CB6CDD">
        <w:t>ESMA_QUESTION_MAR_TS_</w:t>
      </w:r>
      <w:r>
        <w:t>31&gt;</w:t>
      </w:r>
    </w:p>
    <w:p w:rsidR="00C8677B" w:rsidRDefault="00C8677B" w:rsidP="00C8677B">
      <w:pPr>
        <w:pStyle w:val="Heading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rsidR="00C8677B" w:rsidRDefault="00C8677B" w:rsidP="00C8677B">
      <w:r>
        <w:t>&lt;</w:t>
      </w:r>
      <w:r w:rsidR="00CB6CDD">
        <w:t>ESMA_QUESTION_MAR_TS_</w:t>
      </w:r>
      <w:r>
        <w:t>32&gt;</w:t>
      </w:r>
    </w:p>
    <w:p w:rsidR="00C8677B" w:rsidRPr="00273DDA" w:rsidRDefault="00273DDA" w:rsidP="00C8677B">
      <w:pPr>
        <w:rPr>
          <w:sz w:val="22"/>
          <w:szCs w:val="22"/>
        </w:rPr>
      </w:pPr>
      <w:permStart w:id="899555764" w:edGrp="everyone"/>
      <w:r w:rsidRPr="00273DDA">
        <w:rPr>
          <w:rFonts w:ascii="Arial" w:hAnsi="Arial" w:cs="Arial"/>
          <w:sz w:val="22"/>
          <w:szCs w:val="22"/>
        </w:rPr>
        <w:t>In our view such aggregation is not necessary and the inclusion of such information may in fact dilute or confuse the actual position of the producer.</w:t>
      </w:r>
    </w:p>
    <w:permEnd w:id="899555764"/>
    <w:p w:rsidR="00C8677B" w:rsidRDefault="00C8677B" w:rsidP="00C8677B">
      <w:r>
        <w:t>&lt;</w:t>
      </w:r>
      <w:r w:rsidR="00CB6CDD">
        <w:t>ESMA_QUESTION_MAR_TS_</w:t>
      </w:r>
      <w:r>
        <w:t>32&gt;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w:t>
      </w:r>
      <w:r>
        <w:t>m</w:t>
      </w:r>
      <w:r>
        <w:t>ployer or a person related to the employer?</w:t>
      </w:r>
    </w:p>
    <w:p w:rsidR="00C8677B" w:rsidRDefault="00C8677B" w:rsidP="00C8677B">
      <w:r>
        <w:t>&lt;</w:t>
      </w:r>
      <w:r w:rsidR="00CB6CDD">
        <w:t>ESMA_QUESTION_MAR_TS_</w:t>
      </w:r>
      <w:r>
        <w:t>33&gt;</w:t>
      </w:r>
    </w:p>
    <w:p w:rsidR="00273DDA" w:rsidRDefault="00273DDA" w:rsidP="00C8677B">
      <w:pPr>
        <w:rPr>
          <w:rFonts w:ascii="Arial" w:hAnsi="Arial" w:cs="Arial"/>
        </w:rPr>
      </w:pPr>
      <w:permStart w:id="14559984" w:edGrp="everyone"/>
      <w:r w:rsidRPr="00273DDA">
        <w:rPr>
          <w:rFonts w:ascii="Arial" w:hAnsi="Arial" w:cs="Arial"/>
          <w:sz w:val="22"/>
          <w:szCs w:val="22"/>
        </w:rPr>
        <w:t>Yes, however we consider that this need be no more detailed than statement of fact disclosing such a link</w:t>
      </w:r>
      <w:r w:rsidRPr="003D4B50">
        <w:rPr>
          <w:rFonts w:ascii="Arial" w:hAnsi="Arial" w:cs="Arial"/>
        </w:rPr>
        <w:t>.</w:t>
      </w:r>
    </w:p>
    <w:permEnd w:id="14559984"/>
    <w:p w:rsidR="00C8677B" w:rsidRDefault="00C8677B" w:rsidP="00C8677B">
      <w:r>
        <w:t>&lt;</w:t>
      </w:r>
      <w:r w:rsidR="00CB6CDD">
        <w:t>ESMA_QUESTION_MAR_TS_</w:t>
      </w:r>
      <w:r>
        <w:t>33&gt;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the proposed standards relating to the dissemination of reco</w:t>
      </w:r>
      <w:r w:rsidRPr="00050D18">
        <w:t>m</w:t>
      </w:r>
      <w:r w:rsidRPr="00050D18">
        <w:t>mendation produced by third parties? If not, please specify.</w:t>
      </w:r>
    </w:p>
    <w:p w:rsidR="00C8677B" w:rsidRDefault="00C8677B" w:rsidP="00C8677B">
      <w:r>
        <w:t>&lt;</w:t>
      </w:r>
      <w:r w:rsidR="00CB6CDD">
        <w:t>ESMA_QUESTION_MAR_TS_</w:t>
      </w:r>
      <w:r>
        <w:t>34&gt;</w:t>
      </w:r>
    </w:p>
    <w:p w:rsidR="00273DDA" w:rsidRPr="00273DDA" w:rsidRDefault="00273DDA" w:rsidP="00273DDA">
      <w:pPr>
        <w:jc w:val="both"/>
        <w:rPr>
          <w:rFonts w:ascii="Arial" w:hAnsi="Arial" w:cs="Arial"/>
          <w:sz w:val="22"/>
          <w:szCs w:val="22"/>
        </w:rPr>
      </w:pPr>
      <w:permStart w:id="684096848" w:edGrp="everyone"/>
      <w:r w:rsidRPr="00273DDA">
        <w:rPr>
          <w:rFonts w:ascii="Arial" w:hAnsi="Arial" w:cs="Arial"/>
          <w:sz w:val="22"/>
          <w:szCs w:val="22"/>
        </w:rPr>
        <w:t xml:space="preserve">Yes, we agree. However, we have some concerns around the proposition in Article 5(7) of the draft RTS relating to non-written recommendations. </w:t>
      </w:r>
      <w:bookmarkStart w:id="4" w:name="_GoBack"/>
      <w:bookmarkEnd w:id="4"/>
      <w:r w:rsidRPr="00273DDA">
        <w:rPr>
          <w:rFonts w:ascii="Arial" w:hAnsi="Arial" w:cs="Arial"/>
          <w:sz w:val="22"/>
          <w:szCs w:val="22"/>
        </w:rPr>
        <w:t>The Article, as drafted, allows the producer of a non-written investment recommendation to omit the disclosure information set out in the draft RTS in specified circumstances, including when it is indicated, within the non-written re</w:t>
      </w:r>
      <w:r w:rsidRPr="00273DDA">
        <w:rPr>
          <w:rFonts w:ascii="Arial" w:hAnsi="Arial" w:cs="Arial"/>
          <w:sz w:val="22"/>
          <w:szCs w:val="22"/>
        </w:rPr>
        <w:t>c</w:t>
      </w:r>
      <w:r w:rsidRPr="00273DDA">
        <w:rPr>
          <w:rFonts w:ascii="Arial" w:hAnsi="Arial" w:cs="Arial"/>
          <w:sz w:val="22"/>
          <w:szCs w:val="22"/>
        </w:rPr>
        <w:t>ommendation, where the written recommendation upon which it is based is available</w:t>
      </w:r>
      <w:r w:rsidR="00E23880">
        <w:rPr>
          <w:rFonts w:ascii="Arial" w:hAnsi="Arial" w:cs="Arial"/>
          <w:sz w:val="22"/>
          <w:szCs w:val="22"/>
        </w:rPr>
        <w:t xml:space="preserve"> free of charge to the public.</w:t>
      </w:r>
      <w:r w:rsidRPr="00273DDA">
        <w:rPr>
          <w:rFonts w:ascii="Arial" w:hAnsi="Arial" w:cs="Arial"/>
          <w:sz w:val="22"/>
          <w:szCs w:val="22"/>
        </w:rPr>
        <w:t xml:space="preserve"> Financial institutions produce their investment recommendations for their client base, for which a fee is often payable.  It is inappropriate for research written for an instit</w:t>
      </w:r>
      <w:r w:rsidRPr="00273DDA">
        <w:rPr>
          <w:rFonts w:ascii="Arial" w:hAnsi="Arial" w:cs="Arial"/>
          <w:sz w:val="22"/>
          <w:szCs w:val="22"/>
        </w:rPr>
        <w:t>u</w:t>
      </w:r>
      <w:r w:rsidRPr="00273DDA">
        <w:rPr>
          <w:rFonts w:ascii="Arial" w:hAnsi="Arial" w:cs="Arial"/>
          <w:sz w:val="22"/>
          <w:szCs w:val="22"/>
        </w:rPr>
        <w:t>tional client base to be made available to the wider public for free. If ESMA’s objective is to ensure the disclosure information referred to within the written investment recommendation is available to the audience of a non-written investment recommendation, then we consider that the obligation should extend solely to making that disclosure information available to the public free of charge rather than the whole publication.</w:t>
      </w:r>
    </w:p>
    <w:p w:rsidR="00273DDA" w:rsidRPr="00273DDA" w:rsidRDefault="00273DDA" w:rsidP="00273DDA">
      <w:pPr>
        <w:jc w:val="both"/>
        <w:rPr>
          <w:rFonts w:ascii="Arial" w:hAnsi="Arial" w:cs="Arial"/>
          <w:sz w:val="22"/>
          <w:szCs w:val="22"/>
        </w:rPr>
      </w:pPr>
    </w:p>
    <w:p w:rsidR="00273DDA" w:rsidRDefault="00273DDA" w:rsidP="00273DDA">
      <w:pPr>
        <w:jc w:val="both"/>
        <w:rPr>
          <w:rFonts w:ascii="Arial" w:hAnsi="Arial" w:cs="Arial"/>
        </w:rPr>
      </w:pPr>
      <w:r w:rsidRPr="00273DDA">
        <w:rPr>
          <w:rFonts w:ascii="Arial" w:hAnsi="Arial" w:cs="Arial"/>
          <w:sz w:val="22"/>
          <w:szCs w:val="22"/>
        </w:rPr>
        <w:t>Most importantly, we note this also contradicts with ESMA’s advice on unbundling where it is proposed that each client will have to pay separately for the research.</w:t>
      </w:r>
    </w:p>
    <w:p w:rsidR="00C8677B" w:rsidRDefault="00C8677B" w:rsidP="00C8677B"/>
    <w:permEnd w:id="684096848"/>
    <w:p w:rsidR="00C8677B" w:rsidRDefault="00C8677B" w:rsidP="00C8677B">
      <w:r>
        <w:lastRenderedPageBreak/>
        <w:t>&lt;</w:t>
      </w:r>
      <w:r w:rsidR="00CB6CDD">
        <w:t>ESMA_QUESTION_MAR_TS_</w:t>
      </w:r>
      <w:r>
        <w:t>34&gt;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rsidR="00C8677B" w:rsidRDefault="00C8677B" w:rsidP="00C8677B">
      <w:r>
        <w:t>&lt;</w:t>
      </w:r>
      <w:r w:rsidR="00CB6CDD">
        <w:t>ESMA_QUESTION_MAR_TS_</w:t>
      </w:r>
      <w:r>
        <w:t>35&gt;</w:t>
      </w:r>
    </w:p>
    <w:p w:rsidR="00273DDA" w:rsidRPr="00273DDA" w:rsidRDefault="00273DDA" w:rsidP="00156D7D">
      <w:pPr>
        <w:jc w:val="both"/>
        <w:rPr>
          <w:rFonts w:ascii="Arial" w:hAnsi="Arial" w:cs="Arial"/>
          <w:sz w:val="22"/>
          <w:szCs w:val="22"/>
          <w:lang w:eastAsia="en-US"/>
        </w:rPr>
      </w:pPr>
      <w:permStart w:id="189100740" w:edGrp="everyone"/>
      <w:r w:rsidRPr="00273DDA">
        <w:rPr>
          <w:rFonts w:ascii="Arial" w:hAnsi="Arial" w:cs="Arial"/>
          <w:sz w:val="22"/>
          <w:szCs w:val="22"/>
          <w:lang w:eastAsia="en-US"/>
        </w:rPr>
        <w:t>No, we disagree. Where the extracts are published citing the original source, we are of the view that it should not amount to a substantial alteration, as it should be clear to potential investors who read them that they have been extracted and reproduced from another source, which they can refer to directly for further information.</w:t>
      </w:r>
    </w:p>
    <w:permEnd w:id="189100740"/>
    <w:p w:rsidR="00C8677B" w:rsidRDefault="00C8677B" w:rsidP="00C8677B">
      <w:r>
        <w:t>&lt;</w:t>
      </w:r>
      <w:r w:rsidR="00CB6CDD">
        <w:t>ESMA_QUESTION_MAR_TS_</w:t>
      </w:r>
      <w:r>
        <w:t>35&gt;</w:t>
      </w:r>
    </w:p>
    <w:p w:rsidR="00C8677B" w:rsidRDefault="00C8677B" w:rsidP="00C8677B"/>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E68" w:rsidRDefault="00DD5E68">
      <w:r>
        <w:separator/>
      </w:r>
    </w:p>
    <w:p w:rsidR="00DD5E68" w:rsidRDefault="00DD5E68"/>
  </w:endnote>
  <w:endnote w:type="continuationSeparator" w:id="0">
    <w:p w:rsidR="00DD5E68" w:rsidRDefault="00DD5E68">
      <w:r>
        <w:continuationSeparator/>
      </w:r>
    </w:p>
    <w:p w:rsidR="00DD5E68" w:rsidRDefault="00DD5E68"/>
  </w:endnote>
  <w:endnote w:type="continuationNotice" w:id="1">
    <w:p w:rsidR="00DD5E68" w:rsidRDefault="00DD5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E23880">
            <w:rPr>
              <w:noProof/>
            </w:rPr>
            <w:t>28</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E68" w:rsidRDefault="00DD5E68">
      <w:r>
        <w:separator/>
      </w:r>
    </w:p>
    <w:p w:rsidR="00DD5E68" w:rsidRDefault="00DD5E68"/>
  </w:footnote>
  <w:footnote w:type="continuationSeparator" w:id="0">
    <w:p w:rsidR="00DD5E68" w:rsidRDefault="00DD5E68">
      <w:r>
        <w:continuationSeparator/>
      </w:r>
    </w:p>
    <w:p w:rsidR="00DD5E68" w:rsidRDefault="00DD5E68"/>
  </w:footnote>
  <w:footnote w:type="continuationNotice" w:id="1">
    <w:p w:rsidR="00DD5E68" w:rsidRDefault="00DD5E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pPr>
      <w:pStyle w:val="Header"/>
    </w:pPr>
    <w:r>
      <w:rPr>
        <w:noProof/>
        <w:lang w:eastAsia="en-GB"/>
      </w:rPr>
      <w:drawing>
        <wp:anchor distT="0" distB="0" distL="114300" distR="114300" simplePos="0" relativeHeight="251658240" behindDoc="0" locked="0" layoutInCell="1" allowOverlap="1" wp14:anchorId="28F38DFA" wp14:editId="229A8AC9">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CB0821" wp14:editId="11039BEE">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rsidP="00013CCE">
    <w:pPr>
      <w:pStyle w:val="Header"/>
      <w:jc w:val="right"/>
    </w:pPr>
    <w:r>
      <w:rPr>
        <w:noProof/>
        <w:lang w:eastAsia="en-GB"/>
      </w:rPr>
      <w:drawing>
        <wp:anchor distT="0" distB="0" distL="114300" distR="114300" simplePos="0" relativeHeight="251657216" behindDoc="0" locked="0" layoutInCell="1" allowOverlap="1" wp14:anchorId="5281A6F1" wp14:editId="52EE4F34">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B616E10" wp14:editId="03C80C12">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CC3A94">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112C4F"/>
    <w:multiLevelType w:val="hybridMultilevel"/>
    <w:tmpl w:val="3D8A53D4"/>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hint="default"/>
      </w:rPr>
    </w:lvl>
    <w:lvl w:ilvl="6" w:tplc="08090001">
      <w:start w:val="1"/>
      <w:numFmt w:val="bullet"/>
      <w:lvlText w:val=""/>
      <w:lvlJc w:val="left"/>
      <w:pPr>
        <w:ind w:left="7560" w:hanging="360"/>
      </w:pPr>
      <w:rPr>
        <w:rFonts w:ascii="Symbol" w:hAnsi="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3DC63564"/>
    <w:lvl w:ilvl="0" w:tplc="9872C18A">
      <w:start w:val="1"/>
      <w:numFmt w:val="decimal"/>
      <w:pStyle w:val="Heading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3"/>
  </w:num>
  <w:num w:numId="5">
    <w:abstractNumId w:val="3"/>
  </w:num>
  <w:num w:numId="6">
    <w:abstractNumId w:val="25"/>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0"/>
  </w:num>
  <w:num w:numId="15">
    <w:abstractNumId w:val="22"/>
  </w:num>
  <w:num w:numId="16">
    <w:abstractNumId w:val="11"/>
  </w:num>
  <w:num w:numId="17">
    <w:abstractNumId w:val="1"/>
  </w:num>
  <w:num w:numId="18">
    <w:abstractNumId w:val="15"/>
  </w:num>
  <w:num w:numId="19">
    <w:abstractNumId w:val="16"/>
  </w:num>
  <w:num w:numId="20">
    <w:abstractNumId w:val="18"/>
  </w:num>
  <w:num w:numId="21">
    <w:abstractNumId w:val="26"/>
  </w:num>
  <w:num w:numId="22">
    <w:abstractNumId w:val="33"/>
  </w:num>
  <w:num w:numId="23">
    <w:abstractNumId w:val="24"/>
  </w:num>
  <w:num w:numId="24">
    <w:abstractNumId w:val="10"/>
  </w:num>
  <w:num w:numId="25">
    <w:abstractNumId w:val="29"/>
  </w:num>
  <w:num w:numId="26">
    <w:abstractNumId w:val="28"/>
  </w:num>
  <w:num w:numId="27">
    <w:abstractNumId w:val="20"/>
  </w:num>
  <w:num w:numId="28">
    <w:abstractNumId w:val="32"/>
  </w:num>
  <w:num w:numId="29">
    <w:abstractNumId w:val="35"/>
  </w:num>
  <w:num w:numId="30">
    <w:abstractNumId w:val="8"/>
  </w:num>
  <w:num w:numId="31">
    <w:abstractNumId w:val="4"/>
  </w:num>
  <w:num w:numId="32">
    <w:abstractNumId w:val="21"/>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01AC"/>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A7C9A"/>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93E"/>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6D7D"/>
    <w:rsid w:val="00157E79"/>
    <w:rsid w:val="00157EED"/>
    <w:rsid w:val="0016087A"/>
    <w:rsid w:val="00160A5C"/>
    <w:rsid w:val="001613EC"/>
    <w:rsid w:val="0016326B"/>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190F"/>
    <w:rsid w:val="0024426D"/>
    <w:rsid w:val="00244757"/>
    <w:rsid w:val="00244F1D"/>
    <w:rsid w:val="00245004"/>
    <w:rsid w:val="00245FB4"/>
    <w:rsid w:val="00250898"/>
    <w:rsid w:val="00251EA9"/>
    <w:rsid w:val="00252843"/>
    <w:rsid w:val="002551A4"/>
    <w:rsid w:val="002559F3"/>
    <w:rsid w:val="00256DFE"/>
    <w:rsid w:val="00261D56"/>
    <w:rsid w:val="00261FD3"/>
    <w:rsid w:val="00264077"/>
    <w:rsid w:val="00266B9A"/>
    <w:rsid w:val="00270E54"/>
    <w:rsid w:val="00273681"/>
    <w:rsid w:val="00273DDA"/>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7BE"/>
    <w:rsid w:val="00293BE7"/>
    <w:rsid w:val="002946DC"/>
    <w:rsid w:val="00294C2D"/>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956"/>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147"/>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17D"/>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0E85"/>
    <w:rsid w:val="006A2CA2"/>
    <w:rsid w:val="006A339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1107"/>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6D9"/>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CC2"/>
    <w:rsid w:val="007A411B"/>
    <w:rsid w:val="007A45E6"/>
    <w:rsid w:val="007A4B28"/>
    <w:rsid w:val="007A5C2C"/>
    <w:rsid w:val="007A6574"/>
    <w:rsid w:val="007A7678"/>
    <w:rsid w:val="007B0CD8"/>
    <w:rsid w:val="007B0DE0"/>
    <w:rsid w:val="007B1AA6"/>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7FF"/>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D9"/>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48B"/>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7229"/>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B238D"/>
    <w:rsid w:val="00BB37CC"/>
    <w:rsid w:val="00BB48C4"/>
    <w:rsid w:val="00BB6907"/>
    <w:rsid w:val="00BB7A20"/>
    <w:rsid w:val="00BC1045"/>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41D"/>
    <w:rsid w:val="00C6669E"/>
    <w:rsid w:val="00C672B0"/>
    <w:rsid w:val="00C729C7"/>
    <w:rsid w:val="00C777AD"/>
    <w:rsid w:val="00C80C53"/>
    <w:rsid w:val="00C81195"/>
    <w:rsid w:val="00C85387"/>
    <w:rsid w:val="00C85E52"/>
    <w:rsid w:val="00C86471"/>
    <w:rsid w:val="00C8677B"/>
    <w:rsid w:val="00C86F96"/>
    <w:rsid w:val="00C909C6"/>
    <w:rsid w:val="00C923B7"/>
    <w:rsid w:val="00C94510"/>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6CDD"/>
    <w:rsid w:val="00CB7286"/>
    <w:rsid w:val="00CB7947"/>
    <w:rsid w:val="00CC1783"/>
    <w:rsid w:val="00CC3A94"/>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E68"/>
    <w:rsid w:val="00DD61F5"/>
    <w:rsid w:val="00DE64A6"/>
    <w:rsid w:val="00DE7035"/>
    <w:rsid w:val="00DF12E3"/>
    <w:rsid w:val="00DF3F1D"/>
    <w:rsid w:val="00DF595C"/>
    <w:rsid w:val="00DF68DD"/>
    <w:rsid w:val="00DF7EA7"/>
    <w:rsid w:val="00E04548"/>
    <w:rsid w:val="00E0484E"/>
    <w:rsid w:val="00E05F8C"/>
    <w:rsid w:val="00E063F8"/>
    <w:rsid w:val="00E114D6"/>
    <w:rsid w:val="00E1166E"/>
    <w:rsid w:val="00E11DBD"/>
    <w:rsid w:val="00E13211"/>
    <w:rsid w:val="00E16FB5"/>
    <w:rsid w:val="00E179D6"/>
    <w:rsid w:val="00E21407"/>
    <w:rsid w:val="00E22668"/>
    <w:rsid w:val="00E227D3"/>
    <w:rsid w:val="00E22BFF"/>
    <w:rsid w:val="00E22CB0"/>
    <w:rsid w:val="00E23798"/>
    <w:rsid w:val="00E23880"/>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4AC5"/>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footnote reference" w:uiPriority="99"/>
    <w:lsdException w:name="annotation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uiPriority w:val="99"/>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Body1">
    <w:name w:val="Body 1"/>
    <w:basedOn w:val="Normal"/>
    <w:uiPriority w:val="99"/>
    <w:rsid w:val="00273DDA"/>
    <w:pPr>
      <w:spacing w:after="140" w:line="288" w:lineRule="auto"/>
      <w:ind w:left="680"/>
      <w:jc w:val="both"/>
    </w:pPr>
    <w:rPr>
      <w:rFonts w:ascii="Arial" w:eastAsia="Calibri" w:hAnsi="Arial" w:cs="Arial"/>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footnote reference" w:uiPriority="99"/>
    <w:lsdException w:name="annotation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uiPriority w:val="99"/>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Body1">
    <w:name w:val="Body 1"/>
    <w:basedOn w:val="Normal"/>
    <w:uiPriority w:val="99"/>
    <w:rsid w:val="00273DDA"/>
    <w:pPr>
      <w:spacing w:after="140" w:line="288" w:lineRule="auto"/>
      <w:ind w:left="680"/>
      <w:jc w:val="both"/>
    </w:pPr>
    <w:rPr>
      <w:rFonts w:ascii="Arial" w:eastAsia="Calibri" w:hAnsi="Arial" w:cs="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0214910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standards-Market-Abuse-Regulation-MA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PlaceholderText"/>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PlaceholderText"/>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A8"/>
    <w:rsid w:val="000E41F1"/>
    <w:rsid w:val="00211EA8"/>
    <w:rsid w:val="00B73894"/>
    <w:rsid w:val="00B92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F3ADE-8C37-4146-BBF1-9306115E0170}">
  <ds:schemaRefs>
    <ds:schemaRef ds:uri="http://schemas.openxmlformats.org/officeDocument/2006/bibliography"/>
  </ds:schemaRefs>
</ds:datastoreItem>
</file>

<file path=customXml/itemProps2.xml><?xml version="1.0" encoding="utf-8"?>
<ds:datastoreItem xmlns:ds="http://schemas.openxmlformats.org/officeDocument/2006/customXml" ds:itemID="{87BA9EA7-9690-46F6-800C-5583C12B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28</Pages>
  <Words>9978</Words>
  <Characters>53797</Characters>
  <Application>Microsoft Office Word</Application>
  <DocSecurity>8</DocSecurity>
  <Lines>1034</Lines>
  <Paragraphs>386</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63389</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Victoria Powell</cp:lastModifiedBy>
  <cp:revision>6</cp:revision>
  <cp:lastPrinted>2014-05-08T15:06:00Z</cp:lastPrinted>
  <dcterms:created xsi:type="dcterms:W3CDTF">2014-10-15T14:19:00Z</dcterms:created>
  <dcterms:modified xsi:type="dcterms:W3CDTF">2014-10-15T16:01:00Z</dcterms:modified>
</cp:coreProperties>
</file>