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berschrift1"/>
        <w:numPr>
          <w:ilvl w:val="0"/>
          <w:numId w:val="0"/>
        </w:numPr>
      </w:pPr>
      <w:r>
        <w:rPr>
          <w:szCs w:val="20"/>
        </w:rPr>
        <w:br w:type="page"/>
      </w:r>
      <w:r w:rsidR="00E8774A">
        <w:lastRenderedPageBreak/>
        <w:t>General information about respondent</w:t>
      </w:r>
    </w:p>
    <w:tbl>
      <w:tblPr>
        <w:tblStyle w:val="Tabellenraster"/>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0B50AD"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102696456" w:edGrp="everyone"/>
                <w:r w:rsidR="00FA2CED">
                  <w:t>Yes</w:t>
                </w:r>
                <w:permEnd w:id="102696456"/>
              </w:sdtContent>
            </w:sdt>
          </w:p>
        </w:tc>
      </w:tr>
      <w:tr w:rsidR="00E8774A" w:rsidTr="008313E5">
        <w:tc>
          <w:tcPr>
            <w:tcW w:w="3510" w:type="dxa"/>
          </w:tcPr>
          <w:p w:rsidR="00E8774A" w:rsidRDefault="00E8774A" w:rsidP="008313E5">
            <w:r>
              <w:t>Activity:</w:t>
            </w:r>
          </w:p>
        </w:tc>
        <w:tc>
          <w:tcPr>
            <w:tcW w:w="6118" w:type="dxa"/>
          </w:tcPr>
          <w:p w:rsidR="00E8774A" w:rsidRDefault="000B50AD"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211830661" w:edGrp="everyone"/>
                <w:r w:rsidR="00FA2CED">
                  <w:t>Regulated markets/Exchanges/Trading Systems</w:t>
                </w:r>
                <w:permEnd w:id="211830661"/>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800527578" w:edGrp="everyone" w:displacedByCustomXml="prev"/>
            <w:tc>
              <w:tcPr>
                <w:tcW w:w="6118" w:type="dxa"/>
              </w:tcPr>
              <w:p w:rsidR="00E8774A" w:rsidRDefault="00AE576D" w:rsidP="008313E5">
                <w:r>
                  <w:t>Germany</w:t>
                </w:r>
              </w:p>
            </w:tc>
            <w:permEnd w:id="800527578" w:displacedByCustomXml="next"/>
          </w:sdtContent>
        </w:sdt>
      </w:tr>
    </w:tbl>
    <w:p w:rsidR="00D74C9D" w:rsidRDefault="005D1023" w:rsidP="00D74C9D">
      <w:pPr>
        <w:pStyle w:val="berschrift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8C381C" w:rsidRDefault="008C381C" w:rsidP="008C381C">
      <w:permStart w:id="573444387" w:edGrp="everyone"/>
      <w:r w:rsidRPr="008C381C">
        <w:t xml:space="preserve">The VCI </w:t>
      </w:r>
      <w:r w:rsidR="000B50AD">
        <w:t>(German Chemical</w:t>
      </w:r>
      <w:r>
        <w:t xml:space="preserve"> Industry Association) </w:t>
      </w:r>
      <w:r w:rsidRPr="008C381C">
        <w:t xml:space="preserve">represents the </w:t>
      </w:r>
      <w:r>
        <w:t xml:space="preserve">economic-political </w:t>
      </w:r>
      <w:r w:rsidRPr="008C381C">
        <w:t xml:space="preserve">interests of some 1,650 German </w:t>
      </w:r>
      <w:bookmarkStart w:id="4" w:name="_GoBack"/>
      <w:r w:rsidRPr="008C381C">
        <w:t>chemical</w:t>
      </w:r>
      <w:bookmarkEnd w:id="4"/>
      <w:r w:rsidRPr="008C381C">
        <w:t xml:space="preserve"> companies and German subsidiaries of foreign businesses. The VCI stands for over 90 percent of the chemical industry in Germany. In 2012 the German chemical industry realised sales of around 186 billion euros and employed over 434,000 staff</w:t>
      </w:r>
      <w:r>
        <w:t xml:space="preserve">. </w:t>
      </w:r>
      <w:r w:rsidR="00850CB7">
        <w:t xml:space="preserve">VCI’s </w:t>
      </w:r>
      <w:r w:rsidR="00850CB7" w:rsidRPr="008C381C">
        <w:t>EU-registration number</w:t>
      </w:r>
      <w:r w:rsidR="00850CB7">
        <w:t xml:space="preserve"> </w:t>
      </w:r>
      <w:proofErr w:type="gramStart"/>
      <w:r w:rsidR="00850CB7">
        <w:t xml:space="preserve">is  </w:t>
      </w:r>
      <w:r w:rsidR="00850CB7" w:rsidRPr="008C381C">
        <w:t>15423437054</w:t>
      </w:r>
      <w:proofErr w:type="gramEnd"/>
      <w:r w:rsidR="00850CB7" w:rsidRPr="008C381C">
        <w:t>-40</w:t>
      </w:r>
    </w:p>
    <w:p w:rsidR="000D2161" w:rsidRDefault="00850CB7" w:rsidP="00D74C9D">
      <w:r>
        <w:t>W</w:t>
      </w:r>
      <w:r w:rsidR="008C381C">
        <w:t xml:space="preserve">ith the beginning of the third trading phase </w:t>
      </w:r>
      <w:r>
        <w:t xml:space="preserve">of </w:t>
      </w:r>
      <w:r w:rsidR="008C381C">
        <w:t xml:space="preserve">the EU-ETS </w:t>
      </w:r>
      <w:r>
        <w:t xml:space="preserve">in 2013 </w:t>
      </w:r>
      <w:r w:rsidR="00777B1D">
        <w:t xml:space="preserve">all relevant industrial processes in the chemical sector are regulated by the ETS. </w:t>
      </w:r>
      <w:r w:rsidR="00693DC2">
        <w:t>Already f</w:t>
      </w:r>
      <w:r w:rsidR="00777B1D">
        <w:t>rom the first trading period in 2005 onwards indu</w:t>
      </w:r>
      <w:r w:rsidR="00777B1D">
        <w:t>s</w:t>
      </w:r>
      <w:r w:rsidR="00777B1D">
        <w:t xml:space="preserve">trial energy production in the chemical sector has been successively included into the ETS. </w:t>
      </w:r>
      <w:r w:rsidR="00CE162B">
        <w:t>Therefore the chemical industry is affected by the MAR</w:t>
      </w:r>
      <w:r w:rsidR="00777B1D">
        <w:t xml:space="preserve"> and submits </w:t>
      </w:r>
      <w:r w:rsidR="000D2161">
        <w:t xml:space="preserve">its </w:t>
      </w:r>
      <w:r w:rsidR="00777B1D">
        <w:t>answer</w:t>
      </w:r>
      <w:r w:rsidR="000D2161">
        <w:t>s</w:t>
      </w:r>
      <w:r w:rsidR="00777B1D">
        <w:t xml:space="preserve"> in regard to ESMA’s consultation on the draft technical advice it intends to give to the Commission</w:t>
      </w:r>
      <w:r w:rsidR="00CE162B">
        <w:t>.</w:t>
      </w:r>
      <w:r w:rsidR="00777B1D">
        <w:t xml:space="preserve"> </w:t>
      </w:r>
    </w:p>
    <w:p w:rsidR="00CE162B" w:rsidRDefault="0091016A" w:rsidP="00D74C9D">
      <w:r>
        <w:t>VCI and its member companies are especially concerned by the impact th</w:t>
      </w:r>
      <w:r w:rsidR="00CE162B">
        <w:t>is</w:t>
      </w:r>
      <w:r>
        <w:t xml:space="preserve"> technical advice from ESMA on thresholds might have on their op</w:t>
      </w:r>
      <w:r w:rsidR="00165913">
        <w:t>e</w:t>
      </w:r>
      <w:r>
        <w:t>rations. VCI</w:t>
      </w:r>
      <w:r w:rsidR="000D2161">
        <w:t>’s</w:t>
      </w:r>
      <w:r>
        <w:t xml:space="preserve"> reply to the consultation is therefore limited to the ques</w:t>
      </w:r>
      <w:r w:rsidR="00CE162B">
        <w:t>tions 5 and 6.</w:t>
      </w:r>
    </w:p>
    <w:permEnd w:id="573444387"/>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berschrift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E9344E" w:rsidP="00E9344E">
      <w:permStart w:id="1559657736" w:edGrp="everyone"/>
      <w:r>
        <w:t>TYPE YOUR TEXT HERE</w:t>
      </w:r>
    </w:p>
    <w:permEnd w:id="1559657736"/>
    <w:p w:rsidR="00E9344E" w:rsidRDefault="00E9344E" w:rsidP="00E9344E">
      <w:r>
        <w:t>&lt;ESMA_QUESTION_MAR_TA_1&gt;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Default="00E9344E" w:rsidP="00E9344E">
      <w:permStart w:id="1131683476" w:edGrp="everyone"/>
      <w:r>
        <w:t>TYPE YOUR TEXT HERE</w:t>
      </w:r>
    </w:p>
    <w:permEnd w:id="1131683476"/>
    <w:p w:rsidR="00E9344E" w:rsidRDefault="00E9344E" w:rsidP="00E9344E">
      <w:r>
        <w:t>&lt;ESMA_QUESTION_MAR_TA_2&gt;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consider that the practice known as “Phishing</w:t>
      </w:r>
      <w:r>
        <w:rPr>
          <w:rStyle w:val="Funotenzeichen"/>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E9344E" w:rsidP="00E9344E">
      <w:permStart w:id="1668508371" w:edGrp="everyone"/>
      <w:r>
        <w:t>TYPE YOUR TEXT HERE</w:t>
      </w:r>
    </w:p>
    <w:permEnd w:id="1668508371"/>
    <w:p w:rsidR="00E9344E" w:rsidRDefault="00E9344E" w:rsidP="00E9344E">
      <w:r>
        <w:t>&lt;ESMA_QUESTION_MAR_TA_3&gt;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1873085395" w:edGrp="everyone"/>
      <w:r>
        <w:t>TYPE YOUR TEXT HERE</w:t>
      </w:r>
    </w:p>
    <w:permEnd w:id="1873085395"/>
    <w:p w:rsidR="00EC69C3" w:rsidRDefault="00E9344E" w:rsidP="00E9344E">
      <w:r>
        <w:t>&lt;ESMA_QUESTION_MAR_TA_4&gt;</w:t>
      </w:r>
    </w:p>
    <w:p w:rsidR="00E9344E" w:rsidRDefault="00EC69C3" w:rsidP="00E9344E">
      <w:r>
        <w:br w:type="page"/>
      </w:r>
    </w:p>
    <w:p w:rsidR="00E9344E" w:rsidRDefault="00E9344E" w:rsidP="00E9344E">
      <w:pPr>
        <w:pStyle w:val="berschrift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940498" w:rsidRPr="00165913" w:rsidRDefault="00940498" w:rsidP="00940498">
      <w:pPr>
        <w:rPr>
          <w:rFonts w:cs="Arial"/>
          <w:b/>
          <w:szCs w:val="20"/>
        </w:rPr>
      </w:pPr>
      <w:permStart w:id="1975015776" w:edGrp="everyone"/>
      <w:r w:rsidRPr="00165913">
        <w:rPr>
          <w:rFonts w:cs="Arial"/>
          <w:b/>
          <w:szCs w:val="20"/>
        </w:rPr>
        <w:t>Preliminary remark:</w:t>
      </w:r>
      <w:r w:rsidRPr="00165913">
        <w:rPr>
          <w:rFonts w:cs="Arial"/>
          <w:b/>
          <w:szCs w:val="20"/>
        </w:rPr>
        <w:br/>
      </w:r>
    </w:p>
    <w:p w:rsidR="00940498" w:rsidRPr="00165913" w:rsidRDefault="00940498" w:rsidP="00940498">
      <w:pPr>
        <w:rPr>
          <w:rFonts w:cs="Arial"/>
          <w:szCs w:val="20"/>
        </w:rPr>
      </w:pPr>
      <w:r w:rsidRPr="00165913">
        <w:rPr>
          <w:rFonts w:cs="Arial"/>
          <w:szCs w:val="20"/>
        </w:rPr>
        <w:t>Before explaining our view on appropriate thresholds VCI wants to clarify its understanding on the prov</w:t>
      </w:r>
      <w:r w:rsidRPr="00165913">
        <w:rPr>
          <w:rFonts w:cs="Arial"/>
          <w:szCs w:val="20"/>
        </w:rPr>
        <w:t>i</w:t>
      </w:r>
      <w:r w:rsidRPr="00165913">
        <w:rPr>
          <w:rFonts w:cs="Arial"/>
          <w:szCs w:val="20"/>
        </w:rPr>
        <w:t>sions of the MAR, which are the basis for the Commission’s mandate to define an appropriate threshold and thus should also be the basis of ESMA’s consultation.</w:t>
      </w:r>
    </w:p>
    <w:p w:rsidR="00940498" w:rsidRPr="00165913" w:rsidRDefault="00940498" w:rsidP="00940498">
      <w:pPr>
        <w:rPr>
          <w:rFonts w:cs="Arial"/>
          <w:szCs w:val="20"/>
        </w:rPr>
      </w:pPr>
    </w:p>
    <w:p w:rsidR="00940498" w:rsidRPr="00165913" w:rsidRDefault="00940498" w:rsidP="00940498">
      <w:pPr>
        <w:rPr>
          <w:rFonts w:cs="Arial"/>
          <w:szCs w:val="20"/>
        </w:rPr>
      </w:pPr>
      <w:r w:rsidRPr="00165913">
        <w:rPr>
          <w:rFonts w:cs="Arial"/>
          <w:szCs w:val="20"/>
        </w:rPr>
        <w:t xml:space="preserve">ESMA consults on two thresholds: A minimum threshold of carbon dioxide and a minimum threshold of rated thermal input. It is our understanding that irrespective of where these thresholds will be set by the </w:t>
      </w:r>
      <w:r w:rsidRPr="000D2161">
        <w:rPr>
          <w:rFonts w:cs="Arial"/>
          <w:szCs w:val="20"/>
        </w:rPr>
        <w:t>Commission both thresholds have to be exceeded cumulatively by</w:t>
      </w:r>
      <w:r w:rsidRPr="00165913">
        <w:rPr>
          <w:rFonts w:cs="Arial"/>
          <w:szCs w:val="20"/>
        </w:rPr>
        <w:t xml:space="preserve"> the EAMP in order that the EAMP becomes subject to Art. 17.2 MAR. </w:t>
      </w:r>
    </w:p>
    <w:p w:rsidR="00940498" w:rsidRPr="00165913" w:rsidRDefault="00940498" w:rsidP="00940498">
      <w:pPr>
        <w:rPr>
          <w:rFonts w:cs="Arial"/>
          <w:szCs w:val="20"/>
        </w:rPr>
      </w:pPr>
    </w:p>
    <w:p w:rsidR="00940498" w:rsidRPr="00165913" w:rsidRDefault="00940498" w:rsidP="00940498">
      <w:pPr>
        <w:rPr>
          <w:rFonts w:cs="Arial"/>
          <w:b/>
          <w:szCs w:val="20"/>
        </w:rPr>
      </w:pPr>
      <w:r w:rsidRPr="00165913">
        <w:rPr>
          <w:rFonts w:cs="Arial"/>
          <w:b/>
          <w:szCs w:val="20"/>
        </w:rPr>
        <w:t xml:space="preserve">Answer: </w:t>
      </w:r>
    </w:p>
    <w:p w:rsidR="00940498" w:rsidRPr="00165913" w:rsidRDefault="00940498" w:rsidP="00940498">
      <w:pPr>
        <w:rPr>
          <w:rFonts w:cs="Arial"/>
          <w:szCs w:val="20"/>
        </w:rPr>
      </w:pPr>
    </w:p>
    <w:p w:rsidR="00940498" w:rsidRPr="00165913" w:rsidRDefault="00940498" w:rsidP="00940498">
      <w:pPr>
        <w:rPr>
          <w:rFonts w:cs="Arial"/>
          <w:b/>
          <w:szCs w:val="20"/>
        </w:rPr>
      </w:pPr>
      <w:r w:rsidRPr="00165913">
        <w:rPr>
          <w:rFonts w:cs="Arial"/>
          <w:b/>
          <w:szCs w:val="20"/>
        </w:rPr>
        <w:t>Furthermore, VCI does not agree with the suggested thresholds.</w:t>
      </w:r>
      <w:r w:rsidRPr="00165913">
        <w:rPr>
          <w:rFonts w:cs="Arial"/>
          <w:szCs w:val="20"/>
        </w:rPr>
        <w:t xml:space="preserve"> </w:t>
      </w:r>
      <w:r w:rsidRPr="00165913">
        <w:rPr>
          <w:rFonts w:cs="Arial"/>
          <w:b/>
          <w:szCs w:val="20"/>
        </w:rPr>
        <w:t>Both thresholds are set too low and should be set at least as high as 20+ million tonnes of CO</w:t>
      </w:r>
      <w:r w:rsidRPr="00165913">
        <w:rPr>
          <w:rFonts w:cs="Arial"/>
          <w:b/>
          <w:szCs w:val="20"/>
          <w:vertAlign w:val="subscript"/>
        </w:rPr>
        <w:t>2</w:t>
      </w:r>
      <w:r w:rsidRPr="00165913">
        <w:rPr>
          <w:rFonts w:cs="Arial"/>
          <w:b/>
          <w:szCs w:val="20"/>
        </w:rPr>
        <w:t xml:space="preserve">e and at a rated thermal input of at least 5000 MW. </w:t>
      </w:r>
    </w:p>
    <w:p w:rsidR="00940498" w:rsidRPr="00165913" w:rsidRDefault="00940498" w:rsidP="00940498">
      <w:pPr>
        <w:rPr>
          <w:rFonts w:cs="Arial"/>
          <w:i/>
          <w:szCs w:val="20"/>
        </w:rPr>
      </w:pPr>
      <w:r w:rsidRPr="00165913">
        <w:rPr>
          <w:rFonts w:cs="Arial"/>
          <w:szCs w:val="20"/>
        </w:rPr>
        <w:t xml:space="preserve">Setting the threshold lower or in range of the scale suggested in the CP would oblige especially industrial emitters to install complex and costly compliance regimes based on the MAR and related provisions. This would be contrary to recital 50 MAR which states that </w:t>
      </w:r>
      <w:r w:rsidRPr="00165913">
        <w:rPr>
          <w:rFonts w:cs="Arial"/>
          <w:i/>
          <w:szCs w:val="20"/>
        </w:rPr>
        <w:t xml:space="preserve">“In order to avoid exposing the market to reporting that is not useful and </w:t>
      </w:r>
      <w:r w:rsidRPr="00165913">
        <w:rPr>
          <w:rFonts w:cs="Arial"/>
          <w:b/>
          <w:i/>
          <w:szCs w:val="20"/>
        </w:rPr>
        <w:t>to maintain cost-efficiency of the measure foreseen</w:t>
      </w:r>
      <w:r w:rsidRPr="00165913">
        <w:rPr>
          <w:rFonts w:cs="Arial"/>
          <w:i/>
          <w:szCs w:val="20"/>
        </w:rPr>
        <w:t xml:space="preserve">, it appears necessary to limit the regulatory impact of that requirement to only those EU ETS operators which, by virtue of their size and activity, </w:t>
      </w:r>
      <w:r w:rsidRPr="00165913">
        <w:rPr>
          <w:rFonts w:cs="Arial"/>
          <w:b/>
          <w:i/>
          <w:szCs w:val="20"/>
        </w:rPr>
        <w:t>can reasonably be expected to be able to have a significant effect</w:t>
      </w:r>
      <w:r w:rsidRPr="00165913">
        <w:rPr>
          <w:rFonts w:cs="Arial"/>
          <w:i/>
          <w:szCs w:val="20"/>
        </w:rPr>
        <w:t xml:space="preserve"> on the price of emission allowances, </w:t>
      </w:r>
      <w:r w:rsidRPr="00165913">
        <w:rPr>
          <w:rFonts w:cs="Arial"/>
          <w:b/>
          <w:i/>
          <w:szCs w:val="20"/>
        </w:rPr>
        <w:t>of auctioned products based thereon</w:t>
      </w:r>
      <w:r w:rsidRPr="00165913">
        <w:rPr>
          <w:rFonts w:cs="Arial"/>
          <w:i/>
          <w:szCs w:val="20"/>
        </w:rPr>
        <w:t>, or of derivative financial i</w:t>
      </w:r>
      <w:r w:rsidRPr="00165913">
        <w:rPr>
          <w:rFonts w:cs="Arial"/>
          <w:i/>
          <w:szCs w:val="20"/>
        </w:rPr>
        <w:t>n</w:t>
      </w:r>
      <w:r w:rsidRPr="00165913">
        <w:rPr>
          <w:rFonts w:cs="Arial"/>
          <w:i/>
          <w:szCs w:val="20"/>
        </w:rPr>
        <w:t>struments relating thereto and for bidding in the auctions pursuant to Regulation (EU) No 1031/2010.”</w:t>
      </w:r>
    </w:p>
    <w:p w:rsidR="00940498" w:rsidRPr="00165913" w:rsidRDefault="00940498" w:rsidP="00940498">
      <w:pPr>
        <w:rPr>
          <w:rFonts w:cs="Arial"/>
          <w:b/>
          <w:szCs w:val="20"/>
        </w:rPr>
      </w:pPr>
      <w:r w:rsidRPr="00165913">
        <w:rPr>
          <w:rFonts w:cs="Arial"/>
          <w:b/>
          <w:szCs w:val="20"/>
        </w:rPr>
        <w:t xml:space="preserve">In general, the activities and the size of industrial emitters will never have an impact or effect on the price of emission allowances. The reasons for this are manifold: </w:t>
      </w:r>
    </w:p>
    <w:p w:rsidR="00940498" w:rsidRPr="00165913" w:rsidRDefault="00940498" w:rsidP="00940498">
      <w:pPr>
        <w:rPr>
          <w:rFonts w:cs="Arial"/>
          <w:b/>
          <w:szCs w:val="20"/>
        </w:rPr>
      </w:pPr>
      <w:r w:rsidRPr="00165913">
        <w:rPr>
          <w:rFonts w:cs="Arial"/>
          <w:b/>
          <w:szCs w:val="20"/>
        </w:rPr>
        <w:br/>
      </w:r>
      <w:r w:rsidRPr="00165913">
        <w:rPr>
          <w:rFonts w:cs="Arial"/>
          <w:szCs w:val="20"/>
        </w:rPr>
        <w:t xml:space="preserve">First, most </w:t>
      </w:r>
      <w:r w:rsidRPr="00165913">
        <w:rPr>
          <w:rFonts w:cs="Arial"/>
          <w:b/>
          <w:szCs w:val="20"/>
        </w:rPr>
        <w:t>industrial emitters are subject to carbon leakage provision under the ETS D</w:t>
      </w:r>
      <w:r w:rsidRPr="00165913">
        <w:rPr>
          <w:rFonts w:cs="Arial"/>
          <w:b/>
          <w:szCs w:val="20"/>
        </w:rPr>
        <w:t>i</w:t>
      </w:r>
      <w:r w:rsidRPr="00165913">
        <w:rPr>
          <w:rFonts w:cs="Arial"/>
          <w:b/>
          <w:szCs w:val="20"/>
        </w:rPr>
        <w:t>rective</w:t>
      </w:r>
      <w:r w:rsidRPr="00165913">
        <w:rPr>
          <w:rFonts w:cs="Arial"/>
          <w:szCs w:val="20"/>
        </w:rPr>
        <w:t xml:space="preserve">. This means, they receive a high proportion of their necessary emission allowances through free allocation and therefore </w:t>
      </w:r>
      <w:r w:rsidRPr="00165913">
        <w:rPr>
          <w:rFonts w:cs="Arial"/>
          <w:b/>
          <w:szCs w:val="20"/>
        </w:rPr>
        <w:t>do not participate in the auctioning or trading market like energy utilities</w:t>
      </w:r>
      <w:r w:rsidRPr="00165913">
        <w:rPr>
          <w:rFonts w:cs="Arial"/>
          <w:szCs w:val="20"/>
        </w:rPr>
        <w:t xml:space="preserve">, which do not receive any free allocation. In contrary to industrial emitters energy utilities have to cover their full demand of emission allowances through participation in auctions and other ETS market places. Consequently, only a change in the energy utility demand for allowances might have under certain conditions an effect on prices in the emission allowance market. </w:t>
      </w:r>
      <w:r w:rsidRPr="00165913">
        <w:rPr>
          <w:rFonts w:cs="Arial"/>
          <w:b/>
          <w:szCs w:val="20"/>
        </w:rPr>
        <w:t>Only energy utilities should ther</w:t>
      </w:r>
      <w:r w:rsidRPr="00165913">
        <w:rPr>
          <w:rFonts w:cs="Arial"/>
          <w:b/>
          <w:szCs w:val="20"/>
        </w:rPr>
        <w:t>e</w:t>
      </w:r>
      <w:r w:rsidRPr="00165913">
        <w:rPr>
          <w:rFonts w:cs="Arial"/>
          <w:b/>
          <w:szCs w:val="20"/>
        </w:rPr>
        <w:t xml:space="preserve">fore count towards exceeding the thresholds. </w:t>
      </w:r>
    </w:p>
    <w:p w:rsidR="00940498" w:rsidRPr="00165913" w:rsidRDefault="00940498" w:rsidP="00940498">
      <w:pPr>
        <w:rPr>
          <w:rFonts w:cs="Arial"/>
          <w:szCs w:val="20"/>
        </w:rPr>
      </w:pPr>
    </w:p>
    <w:p w:rsidR="00940498" w:rsidRPr="00165913" w:rsidRDefault="00940498" w:rsidP="00940498">
      <w:pPr>
        <w:rPr>
          <w:rFonts w:cs="Arial"/>
          <w:szCs w:val="20"/>
        </w:rPr>
      </w:pPr>
      <w:r w:rsidRPr="00165913">
        <w:rPr>
          <w:rFonts w:cs="Arial"/>
          <w:szCs w:val="20"/>
        </w:rPr>
        <w:t xml:space="preserve">Secondly, industrial companies which exceed the thresholds suggested by ESMA would do this </w:t>
      </w:r>
      <w:r w:rsidRPr="00165913">
        <w:rPr>
          <w:rFonts w:cs="Arial"/>
          <w:b/>
          <w:szCs w:val="20"/>
        </w:rPr>
        <w:t>only through adding up many single ETS installations throughout the EU on various production sites.</w:t>
      </w:r>
      <w:r w:rsidRPr="00165913">
        <w:rPr>
          <w:rFonts w:cs="Arial"/>
          <w:szCs w:val="20"/>
        </w:rPr>
        <w:t xml:space="preserve"> The threshold will only be exceeded by </w:t>
      </w:r>
      <w:r w:rsidRPr="00165913">
        <w:rPr>
          <w:rFonts w:cs="Arial"/>
          <w:b/>
          <w:szCs w:val="20"/>
        </w:rPr>
        <w:t>adding together individual installations in the m</w:t>
      </w:r>
      <w:r w:rsidRPr="00165913">
        <w:rPr>
          <w:rFonts w:cs="Arial"/>
          <w:b/>
          <w:szCs w:val="20"/>
        </w:rPr>
        <w:t>e</w:t>
      </w:r>
      <w:r w:rsidRPr="00165913">
        <w:rPr>
          <w:rFonts w:cs="Arial"/>
          <w:b/>
          <w:szCs w:val="20"/>
        </w:rPr>
        <w:t>dium to high double-digit range</w:t>
      </w:r>
      <w:r w:rsidRPr="00165913">
        <w:rPr>
          <w:rFonts w:cs="Arial"/>
          <w:szCs w:val="20"/>
        </w:rPr>
        <w:t>. Those installations are normally not connected to each other, do not influence each other and have individually a relatively low CO</w:t>
      </w:r>
      <w:r w:rsidRPr="00165913">
        <w:rPr>
          <w:rFonts w:cs="Arial"/>
          <w:szCs w:val="20"/>
          <w:vertAlign w:val="subscript"/>
        </w:rPr>
        <w:t>2</w:t>
      </w:r>
      <w:r w:rsidRPr="00165913">
        <w:rPr>
          <w:rFonts w:cs="Arial"/>
          <w:szCs w:val="20"/>
        </w:rPr>
        <w:t xml:space="preserve"> output.  </w:t>
      </w:r>
    </w:p>
    <w:p w:rsidR="00940498" w:rsidRPr="00165913" w:rsidRDefault="00940498" w:rsidP="00940498">
      <w:pPr>
        <w:rPr>
          <w:rFonts w:cs="Arial"/>
          <w:szCs w:val="20"/>
        </w:rPr>
      </w:pPr>
      <w:r w:rsidRPr="00165913">
        <w:rPr>
          <w:rFonts w:cs="Arial"/>
          <w:szCs w:val="20"/>
        </w:rPr>
        <w:t xml:space="preserve">However, those industrial emitters would be obliged to introduce a reporting and compliance system for every single industrial installation. This would </w:t>
      </w:r>
      <w:r w:rsidRPr="00165913">
        <w:rPr>
          <w:rFonts w:cs="Arial"/>
          <w:b/>
          <w:szCs w:val="20"/>
        </w:rPr>
        <w:t>create a disproportional high burden for the co</w:t>
      </w:r>
      <w:r w:rsidRPr="00165913">
        <w:rPr>
          <w:rFonts w:cs="Arial"/>
          <w:b/>
          <w:szCs w:val="20"/>
        </w:rPr>
        <w:t>m</w:t>
      </w:r>
      <w:r w:rsidRPr="00165913">
        <w:rPr>
          <w:rFonts w:cs="Arial"/>
          <w:b/>
          <w:szCs w:val="20"/>
        </w:rPr>
        <w:t xml:space="preserve">panies </w:t>
      </w:r>
      <w:r w:rsidRPr="00165913">
        <w:rPr>
          <w:rFonts w:cs="Arial"/>
          <w:szCs w:val="20"/>
        </w:rPr>
        <w:t>because it is clear from the outset that the planned or unplanned unavailability of a single install</w:t>
      </w:r>
      <w:r w:rsidRPr="00165913">
        <w:rPr>
          <w:rFonts w:cs="Arial"/>
          <w:szCs w:val="20"/>
        </w:rPr>
        <w:t>a</w:t>
      </w:r>
      <w:r w:rsidRPr="00165913">
        <w:rPr>
          <w:rFonts w:cs="Arial"/>
          <w:szCs w:val="20"/>
        </w:rPr>
        <w:t>tion with emissions often far below 1 Million t CO</w:t>
      </w:r>
      <w:r w:rsidRPr="00165913">
        <w:rPr>
          <w:rFonts w:cs="Arial"/>
          <w:szCs w:val="20"/>
          <w:vertAlign w:val="subscript"/>
        </w:rPr>
        <w:t>2</w:t>
      </w:r>
      <w:r w:rsidRPr="00165913">
        <w:rPr>
          <w:rFonts w:cs="Arial"/>
          <w:szCs w:val="20"/>
        </w:rPr>
        <w:t xml:space="preserve">e could never have any market influence. Hence, such information on single industrial installations would be of no use for investors or other market participants. </w:t>
      </w:r>
      <w:r w:rsidRPr="00165913">
        <w:rPr>
          <w:rFonts w:cs="Arial"/>
          <w:szCs w:val="20"/>
        </w:rPr>
        <w:lastRenderedPageBreak/>
        <w:t xml:space="preserve">In this respect, also </w:t>
      </w:r>
      <w:r w:rsidRPr="00165913">
        <w:rPr>
          <w:rFonts w:cs="Arial"/>
          <w:b/>
          <w:szCs w:val="20"/>
        </w:rPr>
        <w:t>recital 51 of MAR</w:t>
      </w:r>
      <w:r w:rsidRPr="00165913">
        <w:rPr>
          <w:rFonts w:cs="Arial"/>
          <w:szCs w:val="20"/>
        </w:rPr>
        <w:t xml:space="preserve"> constitutes that any thresholds should </w:t>
      </w:r>
      <w:r w:rsidRPr="00165913">
        <w:rPr>
          <w:rFonts w:cs="Arial"/>
          <w:b/>
          <w:szCs w:val="20"/>
        </w:rPr>
        <w:t xml:space="preserve">“avoid exposing the market to reporting that is not useful </w:t>
      </w:r>
      <w:r w:rsidRPr="00165913">
        <w:rPr>
          <w:rFonts w:cs="Arial"/>
          <w:szCs w:val="20"/>
        </w:rPr>
        <w:t>and to maintain cost-efficiency of the measure foreseen”. Including such companies into the Art. 17.2. obligation would therefore be against the wish of the legisl</w:t>
      </w:r>
      <w:r w:rsidRPr="00165913">
        <w:rPr>
          <w:rFonts w:cs="Arial"/>
          <w:szCs w:val="20"/>
        </w:rPr>
        <w:t>a</w:t>
      </w:r>
      <w:r w:rsidRPr="00165913">
        <w:rPr>
          <w:rFonts w:cs="Arial"/>
          <w:szCs w:val="20"/>
        </w:rPr>
        <w:t xml:space="preserve">ture as it would lead reporting that is not useful for the market. </w:t>
      </w:r>
    </w:p>
    <w:p w:rsidR="00940498" w:rsidRPr="00165913" w:rsidRDefault="00940498" w:rsidP="00940498">
      <w:pPr>
        <w:rPr>
          <w:rFonts w:cs="Arial"/>
          <w:szCs w:val="20"/>
        </w:rPr>
      </w:pPr>
    </w:p>
    <w:p w:rsidR="00940498" w:rsidRPr="00165913" w:rsidRDefault="00940498" w:rsidP="00940498">
      <w:pPr>
        <w:rPr>
          <w:rFonts w:cs="Arial"/>
          <w:szCs w:val="20"/>
        </w:rPr>
      </w:pPr>
      <w:r w:rsidRPr="00165913">
        <w:rPr>
          <w:rFonts w:cs="Arial"/>
          <w:szCs w:val="20"/>
        </w:rPr>
        <w:t xml:space="preserve">Thirdly, it is VCI’s view that by setting the threshold in the suggested range information regarding the planned unavailability of a single installation or other information that may be deemed relevant in regard to MAR could represent </w:t>
      </w:r>
      <w:r w:rsidRPr="00165913">
        <w:rPr>
          <w:rFonts w:cs="Arial"/>
          <w:b/>
          <w:szCs w:val="20"/>
        </w:rPr>
        <w:t>confidential business information</w:t>
      </w:r>
      <w:r w:rsidRPr="00165913">
        <w:rPr>
          <w:rFonts w:cs="Arial"/>
          <w:szCs w:val="20"/>
        </w:rPr>
        <w:t>. The thresholds should not create an obligation to disclose such privileged information to the market, especially to competitors. If competitors can draw conclusions from disclosed information (e.g. on the production behaviour of an industrial emi</w:t>
      </w:r>
      <w:r w:rsidRPr="00165913">
        <w:rPr>
          <w:rFonts w:cs="Arial"/>
          <w:szCs w:val="20"/>
        </w:rPr>
        <w:t>t</w:t>
      </w:r>
      <w:r w:rsidRPr="00165913">
        <w:rPr>
          <w:rFonts w:cs="Arial"/>
          <w:szCs w:val="20"/>
        </w:rPr>
        <w:t xml:space="preserve">ter) </w:t>
      </w:r>
      <w:r w:rsidRPr="00165913">
        <w:rPr>
          <w:rFonts w:cs="Arial"/>
          <w:b/>
          <w:szCs w:val="20"/>
        </w:rPr>
        <w:t>additional problems connected with competition law would arise.</w:t>
      </w:r>
      <w:r w:rsidRPr="00165913">
        <w:rPr>
          <w:rFonts w:cs="Arial"/>
          <w:szCs w:val="20"/>
        </w:rPr>
        <w:t xml:space="preserve"> The thresholds therefore should </w:t>
      </w:r>
      <w:r w:rsidRPr="00165913">
        <w:rPr>
          <w:rFonts w:cs="Arial"/>
          <w:b/>
          <w:szCs w:val="20"/>
        </w:rPr>
        <w:t>avoid any compliance problems with completion law and fully respect the principles of confidentiality.</w:t>
      </w:r>
      <w:r w:rsidRPr="00165913">
        <w:rPr>
          <w:rFonts w:cs="Arial"/>
          <w:szCs w:val="20"/>
        </w:rPr>
        <w:t xml:space="preserve">  </w:t>
      </w:r>
    </w:p>
    <w:p w:rsidR="00940498" w:rsidRPr="00165913" w:rsidRDefault="00940498" w:rsidP="00940498">
      <w:pPr>
        <w:rPr>
          <w:rFonts w:cs="Arial"/>
          <w:szCs w:val="20"/>
        </w:rPr>
      </w:pPr>
    </w:p>
    <w:p w:rsidR="00940498" w:rsidRPr="00165913" w:rsidRDefault="00940498" w:rsidP="00940498">
      <w:pPr>
        <w:rPr>
          <w:rFonts w:cs="Arial"/>
          <w:szCs w:val="20"/>
        </w:rPr>
      </w:pPr>
      <w:r w:rsidRPr="00165913">
        <w:rPr>
          <w:rFonts w:cs="Arial"/>
          <w:szCs w:val="20"/>
        </w:rPr>
        <w:t xml:space="preserve">Fourthly, the </w:t>
      </w:r>
      <w:r w:rsidRPr="00165913">
        <w:rPr>
          <w:rFonts w:cs="Arial"/>
          <w:b/>
          <w:szCs w:val="20"/>
        </w:rPr>
        <w:t>linkage between CO</w:t>
      </w:r>
      <w:r w:rsidRPr="00165913">
        <w:rPr>
          <w:rFonts w:cs="Arial"/>
          <w:b/>
          <w:szCs w:val="20"/>
          <w:vertAlign w:val="subscript"/>
        </w:rPr>
        <w:t>2</w:t>
      </w:r>
      <w:r w:rsidRPr="00165913">
        <w:rPr>
          <w:rFonts w:cs="Arial"/>
          <w:b/>
          <w:szCs w:val="20"/>
        </w:rPr>
        <w:t>e and rated thermal input in the CP is misleading</w:t>
      </w:r>
      <w:r w:rsidRPr="00165913">
        <w:rPr>
          <w:rFonts w:cs="Arial"/>
          <w:szCs w:val="20"/>
        </w:rPr>
        <w:t xml:space="preserve">. Industrial power generation, especially in the chemical sector is often based on combined heat and power generation, </w:t>
      </w:r>
      <w:r w:rsidRPr="00165913">
        <w:rPr>
          <w:rFonts w:cs="Arial"/>
          <w:b/>
          <w:szCs w:val="20"/>
        </w:rPr>
        <w:t>which is gas fired.</w:t>
      </w:r>
      <w:r w:rsidRPr="00165913">
        <w:rPr>
          <w:rFonts w:cs="Arial"/>
          <w:szCs w:val="20"/>
        </w:rPr>
        <w:t xml:space="preserve"> As a consequence, a CHP plant on a chemical production site with relatively high rated thermal input will often have much less CO</w:t>
      </w:r>
      <w:r w:rsidRPr="00165913">
        <w:rPr>
          <w:rFonts w:cs="Arial"/>
          <w:szCs w:val="20"/>
          <w:vertAlign w:val="subscript"/>
        </w:rPr>
        <w:t>2</w:t>
      </w:r>
      <w:r w:rsidRPr="00165913">
        <w:rPr>
          <w:rFonts w:cs="Arial"/>
          <w:szCs w:val="20"/>
        </w:rPr>
        <w:t xml:space="preserve">e emissions than a coal fired plant with lower rated thermal input. </w:t>
      </w:r>
      <w:r w:rsidRPr="00165913">
        <w:rPr>
          <w:rFonts w:cs="Arial"/>
          <w:b/>
          <w:szCs w:val="20"/>
        </w:rPr>
        <w:t>In order to account for this mismatch in the CP the rated thermal input should be increased accordingly at least up to 5000 MW</w:t>
      </w:r>
      <w:r w:rsidRPr="00165913">
        <w:rPr>
          <w:rFonts w:cs="Arial"/>
          <w:szCs w:val="20"/>
        </w:rPr>
        <w:t xml:space="preserve">, taking into account the more diversified energy mix in the EU. </w:t>
      </w:r>
    </w:p>
    <w:p w:rsidR="00940498" w:rsidRPr="00165913" w:rsidRDefault="00940498" w:rsidP="00940498">
      <w:pPr>
        <w:rPr>
          <w:rFonts w:cs="Arial"/>
          <w:szCs w:val="20"/>
        </w:rPr>
      </w:pPr>
    </w:p>
    <w:p w:rsidR="00940498" w:rsidRPr="00165913" w:rsidRDefault="00940498" w:rsidP="00E9344E">
      <w:pPr>
        <w:rPr>
          <w:rFonts w:cs="Arial"/>
          <w:b/>
          <w:szCs w:val="20"/>
        </w:rPr>
      </w:pPr>
      <w:r w:rsidRPr="00165913">
        <w:rPr>
          <w:rFonts w:cs="Arial"/>
          <w:b/>
          <w:szCs w:val="20"/>
        </w:rPr>
        <w:t>For those reasons, it is VCI’s opinion that the suggested thresholds are too low. The draft technical advice from ESMA should demand at least 20+ million tonnes of CO</w:t>
      </w:r>
      <w:r w:rsidRPr="00165913">
        <w:rPr>
          <w:rFonts w:cs="Arial"/>
          <w:b/>
          <w:szCs w:val="20"/>
          <w:vertAlign w:val="subscript"/>
        </w:rPr>
        <w:t>2</w:t>
      </w:r>
      <w:r w:rsidRPr="00165913">
        <w:rPr>
          <w:rFonts w:cs="Arial"/>
          <w:b/>
          <w:szCs w:val="20"/>
        </w:rPr>
        <w:t xml:space="preserve">e and at least a rated thermal input of 5000 MW. </w:t>
      </w:r>
    </w:p>
    <w:permEnd w:id="1975015776"/>
    <w:p w:rsidR="00E9344E" w:rsidRDefault="00E9344E" w:rsidP="00E9344E">
      <w:r>
        <w:t>&lt;ESMA_QUESTION_MAR_TA_5&gt;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940498" w:rsidRPr="00165913" w:rsidRDefault="00940498" w:rsidP="00940498">
      <w:pPr>
        <w:rPr>
          <w:rFonts w:cs="Arial"/>
          <w:szCs w:val="20"/>
        </w:rPr>
      </w:pPr>
      <w:permStart w:id="485318505" w:edGrp="everyone"/>
      <w:r w:rsidRPr="00165913">
        <w:rPr>
          <w:rFonts w:cs="Arial"/>
          <w:szCs w:val="20"/>
        </w:rPr>
        <w:t xml:space="preserve">It is VCI’s view that entity-specific, non-public information is normally not of relevance for price formation or investment decisions in the emission allowance market. For price formation the overall demand in the market is of relevance beside of other major factors, such as policy development and the general economic outlook for EU’s industry. </w:t>
      </w:r>
      <w:r w:rsidRPr="00165913">
        <w:rPr>
          <w:rFonts w:cs="Arial"/>
          <w:b/>
          <w:szCs w:val="20"/>
        </w:rPr>
        <w:t xml:space="preserve">Due to the size of the emission allowance market which covers 31 countries and more than 11.000 installations, </w:t>
      </w:r>
      <w:r w:rsidRPr="00165913">
        <w:rPr>
          <w:rFonts w:cs="Arial"/>
          <w:szCs w:val="20"/>
        </w:rPr>
        <w:t>entity specific information (e.g. on a decrease or increase of demand by one or more installations) will not affect the price formation in the emission allo</w:t>
      </w:r>
      <w:r w:rsidRPr="00165913">
        <w:rPr>
          <w:rFonts w:cs="Arial"/>
          <w:szCs w:val="20"/>
        </w:rPr>
        <w:t>w</w:t>
      </w:r>
      <w:r w:rsidRPr="00165913">
        <w:rPr>
          <w:rFonts w:cs="Arial"/>
          <w:szCs w:val="20"/>
        </w:rPr>
        <w:t xml:space="preserve">ance market.  </w:t>
      </w:r>
    </w:p>
    <w:p w:rsidR="00940498" w:rsidRPr="00165913" w:rsidRDefault="00940498" w:rsidP="00940498">
      <w:pPr>
        <w:rPr>
          <w:rFonts w:cs="Arial"/>
          <w:szCs w:val="20"/>
        </w:rPr>
      </w:pPr>
    </w:p>
    <w:p w:rsidR="00940498" w:rsidRPr="00165913" w:rsidRDefault="00940498" w:rsidP="00940498">
      <w:pPr>
        <w:rPr>
          <w:rFonts w:cs="Arial"/>
          <w:b/>
          <w:szCs w:val="20"/>
        </w:rPr>
      </w:pPr>
      <w:r w:rsidRPr="00165913">
        <w:rPr>
          <w:rFonts w:cs="Arial"/>
          <w:szCs w:val="20"/>
        </w:rPr>
        <w:t xml:space="preserve">In addition, one also has to </w:t>
      </w:r>
      <w:r w:rsidRPr="00165913">
        <w:rPr>
          <w:rFonts w:cs="Arial"/>
          <w:b/>
          <w:szCs w:val="20"/>
        </w:rPr>
        <w:t>distinguish between entity specific information on industrial insta</w:t>
      </w:r>
      <w:r w:rsidRPr="00165913">
        <w:rPr>
          <w:rFonts w:cs="Arial"/>
          <w:b/>
          <w:szCs w:val="20"/>
        </w:rPr>
        <w:t>l</w:t>
      </w:r>
      <w:r w:rsidRPr="00165913">
        <w:rPr>
          <w:rFonts w:cs="Arial"/>
          <w:b/>
          <w:szCs w:val="20"/>
        </w:rPr>
        <w:t>lations and entity specific information on power plants.</w:t>
      </w:r>
      <w:r w:rsidRPr="00165913">
        <w:rPr>
          <w:rFonts w:cs="Arial"/>
          <w:szCs w:val="20"/>
        </w:rPr>
        <w:t xml:space="preserve"> Only the latter ones are fully and directly participating in the emission allowance market because power generation in the third trading phase of the EU-ETS does not receive free allocation anymore. As described above, their full demand for emission allowances has to be covered on auctioning platforms and other market places. It is mainly those ETS-plants which create demand in the market. Therefore it is VCI’s view that only entity specific information on plants that are not industrial ones can have under very rarely circumstances an effect on price fo</w:t>
      </w:r>
      <w:r w:rsidRPr="00165913">
        <w:rPr>
          <w:rFonts w:cs="Arial"/>
          <w:szCs w:val="20"/>
        </w:rPr>
        <w:t>r</w:t>
      </w:r>
      <w:r w:rsidRPr="00165913">
        <w:rPr>
          <w:rFonts w:cs="Arial"/>
          <w:szCs w:val="20"/>
        </w:rPr>
        <w:t xml:space="preserve">mation in the market. </w:t>
      </w:r>
      <w:r w:rsidRPr="00165913">
        <w:rPr>
          <w:rFonts w:cs="Arial"/>
          <w:b/>
          <w:szCs w:val="20"/>
        </w:rPr>
        <w:t>On the other hand entity-specific information on industrial installations is not relevant for price formation or investment decisions in the emission allowance ma</w:t>
      </w:r>
      <w:r w:rsidRPr="00165913">
        <w:rPr>
          <w:rFonts w:cs="Arial"/>
          <w:b/>
          <w:szCs w:val="20"/>
        </w:rPr>
        <w:t>r</w:t>
      </w:r>
      <w:r w:rsidRPr="00165913">
        <w:rPr>
          <w:rFonts w:cs="Arial"/>
          <w:b/>
          <w:szCs w:val="20"/>
        </w:rPr>
        <w:t>ket.</w:t>
      </w:r>
    </w:p>
    <w:permEnd w:id="485318505"/>
    <w:p w:rsidR="00E9344E" w:rsidRDefault="00E9344E" w:rsidP="00E9344E">
      <w:r>
        <w:t>&lt;ESMA_QUESTION_MAR_TA_6&gt;</w:t>
      </w:r>
    </w:p>
    <w:p w:rsidR="00E9344E" w:rsidRDefault="00E9344E" w:rsidP="00E9344E">
      <w:r>
        <w:br w:type="page"/>
      </w:r>
    </w:p>
    <w:p w:rsidR="00E9344E" w:rsidRDefault="00E9344E" w:rsidP="00E9344E">
      <w:pPr>
        <w:pStyle w:val="berschrift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E9344E" w:rsidRDefault="00E9344E" w:rsidP="00E9344E">
      <w:permStart w:id="914191936" w:edGrp="everyone"/>
      <w:r>
        <w:t>TYPE YOUR TEXT HERE</w:t>
      </w:r>
    </w:p>
    <w:permEnd w:id="914191936"/>
    <w:p w:rsidR="00E9344E" w:rsidRDefault="00E9344E" w:rsidP="00E9344E">
      <w:r>
        <w:t>&lt;ESMA_QUESTION_MAR_TA_7&gt;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412297645" w:edGrp="everyone"/>
      <w:r>
        <w:t>TYPE YOUR TEXT HERE</w:t>
      </w:r>
    </w:p>
    <w:permEnd w:id="412297645"/>
    <w:p w:rsidR="00E9344E" w:rsidRDefault="00E9344E" w:rsidP="00E9344E">
      <w:r>
        <w:t>&lt;ESMA_QUESTION_MAR_TA_8&gt;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168757014" w:edGrp="everyone"/>
      <w:r>
        <w:t>TYPE YOUR TEXT HERE</w:t>
      </w:r>
    </w:p>
    <w:permEnd w:id="168757014"/>
    <w:p w:rsidR="00E9344E" w:rsidRDefault="00E9344E" w:rsidP="00E9344E">
      <w:r>
        <w:t>&lt;ESMA_QUESTION_MAR_TA_9&gt;</w:t>
      </w:r>
    </w:p>
    <w:p w:rsidR="00E9344E" w:rsidRDefault="00E9344E" w:rsidP="00E9344E">
      <w:r>
        <w:br w:type="page"/>
      </w:r>
    </w:p>
    <w:p w:rsidR="00E9344E" w:rsidRDefault="00E9344E" w:rsidP="00E9344E">
      <w:pPr>
        <w:pStyle w:val="berschrift1"/>
        <w:keepLines/>
        <w:numPr>
          <w:ilvl w:val="0"/>
          <w:numId w:val="37"/>
        </w:numPr>
        <w:spacing w:before="480" w:after="0"/>
      </w:pPr>
      <w:r>
        <w:lastRenderedPageBreak/>
        <w:t>Managers’ transactions</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E9344E" w:rsidRDefault="00E9344E" w:rsidP="00E9344E">
      <w:permStart w:id="565255056" w:edGrp="everyone"/>
      <w:r>
        <w:t>TYPE YOUR TEXT HERE</w:t>
      </w:r>
    </w:p>
    <w:permEnd w:id="565255056"/>
    <w:p w:rsidR="00E9344E" w:rsidRDefault="00E9344E" w:rsidP="00E9344E">
      <w:r>
        <w:t>&lt;ESMA_QUESTION_MAR_TA_10&gt;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E9344E" w:rsidP="00E9344E">
      <w:permStart w:id="2135706315" w:edGrp="everyone"/>
      <w:r>
        <w:t>TYPE YOUR TEXT HERE</w:t>
      </w:r>
    </w:p>
    <w:permEnd w:id="2135706315"/>
    <w:p w:rsidR="00E9344E" w:rsidRDefault="00E9344E" w:rsidP="00E9344E">
      <w:r>
        <w:t>&lt;ESMA_QUESTION_MAR_TA_11&gt;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391408774" w:edGrp="everyone"/>
      <w:r>
        <w:t>TYPE YOUR TEXT HERE</w:t>
      </w:r>
    </w:p>
    <w:permEnd w:id="391408774"/>
    <w:p w:rsidR="00E9344E" w:rsidRDefault="00E9344E" w:rsidP="00E9344E">
      <w:r>
        <w:t>&lt;ESMA_QUESTION_MAR_TA_12&gt;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E9344E" w:rsidRDefault="00E9344E" w:rsidP="00E9344E">
      <w:permStart w:id="1628383096" w:edGrp="everyone"/>
      <w:r>
        <w:t>TYPE YOUR TEXT HERE</w:t>
      </w:r>
    </w:p>
    <w:permEnd w:id="1628383096"/>
    <w:p w:rsidR="00E9344E" w:rsidRDefault="00E9344E" w:rsidP="00E9344E">
      <w:r>
        <w:t>&lt;ESMA_QUESTION_MAR_TA_13&gt;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1170423453" w:edGrp="everyone"/>
      <w:r>
        <w:t>TYPE YOUR TEXT HERE</w:t>
      </w:r>
    </w:p>
    <w:permEnd w:id="1170423453"/>
    <w:p w:rsidR="00E9344E" w:rsidRDefault="00E9344E" w:rsidP="00E9344E">
      <w:r>
        <w:t>&lt;ESMA_QUESTION_MAR_TA_14&gt;</w:t>
      </w:r>
    </w:p>
    <w:p w:rsidR="00E9344E" w:rsidRDefault="00E9344E" w:rsidP="00E9344E">
      <w:r>
        <w:br w:type="page"/>
      </w:r>
    </w:p>
    <w:p w:rsidR="00E9344E" w:rsidRDefault="00E9344E" w:rsidP="00E9344E">
      <w:pPr>
        <w:pStyle w:val="berschrift1"/>
        <w:keepLines/>
        <w:numPr>
          <w:ilvl w:val="0"/>
          <w:numId w:val="37"/>
        </w:numPr>
        <w:spacing w:before="480" w:after="0"/>
      </w:pPr>
      <w:r>
        <w:lastRenderedPageBreak/>
        <w:t>Reporting of infringements</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79902995" w:edGrp="everyone"/>
      <w:r>
        <w:t>TYPE YOUR TEXT HERE</w:t>
      </w:r>
    </w:p>
    <w:permEnd w:id="179902995"/>
    <w:p w:rsidR="00E9344E" w:rsidRDefault="00E9344E" w:rsidP="00E9344E">
      <w:r>
        <w:t>&lt;ESMA_QUESTION_MAR_TA_15&gt;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485561412" w:edGrp="everyone"/>
      <w:r>
        <w:t>TYPE YOUR TEXT HERE</w:t>
      </w:r>
    </w:p>
    <w:permEnd w:id="485561412"/>
    <w:p w:rsidR="00E9344E" w:rsidRDefault="00E9344E" w:rsidP="00E9344E">
      <w:r>
        <w:t>&lt;ESMA_QUESTION_MAR_TA_16&gt;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berschrift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berschrift5"/>
        <w:keepNext w:val="0"/>
        <w:keepLines w:val="0"/>
        <w:numPr>
          <w:ilvl w:val="0"/>
          <w:numId w:val="39"/>
        </w:numPr>
        <w:spacing w:before="0" w:line="276" w:lineRule="auto"/>
      </w:pPr>
      <w:r>
        <w:t>protection of the rights related to data processing;</w:t>
      </w:r>
    </w:p>
    <w:p w:rsidR="00E9344E" w:rsidRDefault="00E9344E" w:rsidP="00E9344E">
      <w:pPr>
        <w:pStyle w:val="berschrift5"/>
        <w:keepNext w:val="0"/>
        <w:keepLines w:val="0"/>
        <w:numPr>
          <w:ilvl w:val="0"/>
          <w:numId w:val="39"/>
        </w:numPr>
        <w:spacing w:before="0" w:line="276" w:lineRule="auto"/>
      </w:pPr>
      <w:r>
        <w:t>security aspects of the data processing operation; and</w:t>
      </w:r>
    </w:p>
    <w:p w:rsidR="00E9344E" w:rsidRDefault="00E9344E" w:rsidP="00E9344E">
      <w:pPr>
        <w:pStyle w:val="berschrift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58132486" w:edGrp="everyone"/>
      <w:r>
        <w:t>TYPE YOUR TEXT HERE</w:t>
      </w:r>
    </w:p>
    <w:permEnd w:id="58132486"/>
    <w:p w:rsidR="00E9344E" w:rsidRDefault="00E9344E" w:rsidP="00E9344E">
      <w:r>
        <w:t>&lt;ESMA_QUESTION_MAR_TA_17&gt;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385951783" w:edGrp="everyone"/>
      <w:r>
        <w:t>TYPE YOUR TEXT HERE</w:t>
      </w:r>
    </w:p>
    <w:permEnd w:id="385951783"/>
    <w:p w:rsidR="00E9344E" w:rsidRDefault="00E9344E" w:rsidP="00E9344E">
      <w:r>
        <w:t>&lt;ESMA_QUESTION_MAR_TA_18&gt;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221459429" w:edGrp="everyone"/>
      <w:r>
        <w:t>TYPE YOUR TEXT HERE</w:t>
      </w:r>
    </w:p>
    <w:permEnd w:id="221459429"/>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0B50AD">
            <w:rPr>
              <w:noProof/>
            </w:rPr>
            <w:t>6</w:t>
          </w:r>
          <w:r>
            <w:rPr>
              <w:noProof/>
            </w:rPr>
            <w:fldChar w:fldCharType="end"/>
          </w:r>
        </w:p>
      </w:tc>
    </w:tr>
  </w:tbl>
  <w:p w:rsidR="00811EDA" w:rsidRDefault="00811ED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Funotentext"/>
      </w:pPr>
      <w:r>
        <w:rPr>
          <w:rStyle w:val="Funotenzeichen"/>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Kopfzeile"/>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highlight w:val="yellow"/>
        <w:lang w:val="fr-FR"/>
      </w:rPr>
    </w:pPr>
  </w:p>
  <w:p w:rsidR="00811EDA" w:rsidRDefault="00024F53">
    <w:pPr>
      <w:pStyle w:val="Kopfzeile"/>
    </w:pPr>
    <w:r>
      <w:rPr>
        <w:noProof/>
        <w:lang w:val="de-DE"/>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0AD"/>
    <w:rsid w:val="000B5DF2"/>
    <w:rsid w:val="000C06C9"/>
    <w:rsid w:val="000C1DCC"/>
    <w:rsid w:val="000C1FBC"/>
    <w:rsid w:val="000C2B6A"/>
    <w:rsid w:val="000C2F88"/>
    <w:rsid w:val="000C55C8"/>
    <w:rsid w:val="000C57C4"/>
    <w:rsid w:val="000C5FD3"/>
    <w:rsid w:val="000C701D"/>
    <w:rsid w:val="000C7C4A"/>
    <w:rsid w:val="000D2161"/>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5913"/>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2BD7"/>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A40"/>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3DC2"/>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77B1D"/>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CB7"/>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1C"/>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016A"/>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0498"/>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576D"/>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62B"/>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1C72"/>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2CED"/>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136F4"/>
    <w:rPr>
      <w:rFonts w:ascii="Georgia" w:hAnsi="Georgia"/>
      <w:szCs w:val="24"/>
      <w:lang w:eastAsia="de-DE"/>
    </w:rPr>
  </w:style>
  <w:style w:type="paragraph" w:styleId="berschrift1">
    <w:name w:val="heading 1"/>
    <w:basedOn w:val="Standard"/>
    <w:next w:val="Standard"/>
    <w:link w:val="berschrift1Zchn"/>
    <w:qFormat/>
    <w:rsid w:val="009E7724"/>
    <w:pPr>
      <w:keepNext/>
      <w:numPr>
        <w:numId w:val="6"/>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4"/>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uiPriority w:val="99"/>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9"/>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2"/>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ascii="Arial" w:hAnsi="Arial"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7"/>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136F4"/>
    <w:rPr>
      <w:rFonts w:ascii="Georgia" w:hAnsi="Georgia"/>
      <w:szCs w:val="24"/>
      <w:lang w:eastAsia="de-DE"/>
    </w:rPr>
  </w:style>
  <w:style w:type="paragraph" w:styleId="berschrift1">
    <w:name w:val="heading 1"/>
    <w:basedOn w:val="Standard"/>
    <w:next w:val="Standard"/>
    <w:link w:val="berschrift1Zchn"/>
    <w:qFormat/>
    <w:rsid w:val="009E7724"/>
    <w:pPr>
      <w:keepNext/>
      <w:numPr>
        <w:numId w:val="6"/>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4"/>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uiPriority w:val="99"/>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9"/>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2"/>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ascii="Arial" w:hAnsi="Arial"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7"/>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tzhalt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tzhalt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CC95C-2FF5-48EA-AC5D-B2710A4125FD}">
  <ds:schemaRefs>
    <ds:schemaRef ds:uri="http://schemas.openxmlformats.org/officeDocument/2006/bibliography"/>
  </ds:schemaRefs>
</ds:datastoreItem>
</file>

<file path=customXml/itemProps2.xml><?xml version="1.0" encoding="utf-8"?>
<ds:datastoreItem xmlns:ds="http://schemas.openxmlformats.org/officeDocument/2006/customXml" ds:itemID="{9C917DDE-CC1B-469B-95F5-8ABE64C8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2736</Words>
  <Characters>15823</Characters>
  <Application>Microsoft Office Word</Application>
  <DocSecurity>8</DocSecurity>
  <Lines>131</Lines>
  <Paragraphs>37</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18522</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Nitz, Tara</cp:lastModifiedBy>
  <cp:revision>10</cp:revision>
  <cp:lastPrinted>2014-05-08T15:06:00Z</cp:lastPrinted>
  <dcterms:created xsi:type="dcterms:W3CDTF">2014-08-21T08:07:00Z</dcterms:created>
  <dcterms:modified xsi:type="dcterms:W3CDTF">2014-10-14T10:39:00Z</dcterms:modified>
</cp:coreProperties>
</file>