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nk"/>
          </w:rPr>
          <w:t>www.esma.europa.eu</w:t>
        </w:r>
      </w:hyperlink>
      <w:r w:rsidRPr="00321CD3">
        <w:t xml:space="preserve"> under the heading ‘Your input/Consultations’.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nk"/>
            <w:szCs w:val="20"/>
          </w:rPr>
          <w:t>www.esma.europa.eu</w:t>
        </w:r>
      </w:hyperlink>
      <w:r w:rsidRPr="00321CD3">
        <w:rPr>
          <w:szCs w:val="20"/>
        </w:rPr>
        <w:t xml:space="preserve"> under the heading ‘Disclaimer’.</w:t>
      </w:r>
    </w:p>
    <w:p w:rsidR="00E8774A" w:rsidRDefault="00024F53" w:rsidP="00E8774A">
      <w:pPr>
        <w:pStyle w:val="Rubrik1"/>
        <w:numPr>
          <w:ilvl w:val="0"/>
          <w:numId w:val="0"/>
        </w:numPr>
      </w:pPr>
      <w:r>
        <w:rPr>
          <w:szCs w:val="20"/>
        </w:rPr>
        <w:br w:type="page"/>
      </w:r>
      <w:r w:rsidR="00E8774A">
        <w:lastRenderedPageBreak/>
        <w:t>General information about respondent</w:t>
      </w:r>
    </w:p>
    <w:tbl>
      <w:tblPr>
        <w:tblStyle w:val="Tabellrutnt"/>
        <w:tblW w:w="0" w:type="auto"/>
        <w:tblLook w:val="04A0" w:firstRow="1" w:lastRow="0" w:firstColumn="1" w:lastColumn="0" w:noHBand="0" w:noVBand="1"/>
      </w:tblPr>
      <w:tblGrid>
        <w:gridCol w:w="3436"/>
        <w:gridCol w:w="5966"/>
      </w:tblGrid>
      <w:tr w:rsidR="00E8774A" w:rsidTr="008313E5">
        <w:tc>
          <w:tcPr>
            <w:tcW w:w="3510" w:type="dxa"/>
          </w:tcPr>
          <w:p w:rsidR="00E8774A" w:rsidRDefault="00E8774A" w:rsidP="008313E5">
            <w:r>
              <w:t>Are you representing an association?</w:t>
            </w:r>
          </w:p>
        </w:tc>
        <w:tc>
          <w:tcPr>
            <w:tcW w:w="6118" w:type="dxa"/>
          </w:tcPr>
          <w:p w:rsidR="00E8774A" w:rsidRDefault="00567288"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511845905" w:edGrp="everyone"/>
                <w:r w:rsidR="00765120">
                  <w:t>Yes</w:t>
                </w:r>
                <w:permEnd w:id="511845905"/>
              </w:sdtContent>
            </w:sdt>
          </w:p>
        </w:tc>
      </w:tr>
      <w:tr w:rsidR="00E8774A" w:rsidTr="008313E5">
        <w:tc>
          <w:tcPr>
            <w:tcW w:w="3510" w:type="dxa"/>
          </w:tcPr>
          <w:p w:rsidR="00E8774A" w:rsidRDefault="00E8774A" w:rsidP="008313E5">
            <w:r>
              <w:t>Activity:</w:t>
            </w:r>
          </w:p>
        </w:tc>
        <w:tc>
          <w:tcPr>
            <w:tcW w:w="6118" w:type="dxa"/>
          </w:tcPr>
          <w:p w:rsidR="00E8774A" w:rsidRDefault="00567288"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316103235" w:edGrp="everyone"/>
                <w:r w:rsidR="00765120">
                  <w:t>Investment Services</w:t>
                </w:r>
                <w:permEnd w:id="1316103235"/>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765286099" w:edGrp="everyone" w:displacedByCustomXml="prev"/>
            <w:tc>
              <w:tcPr>
                <w:tcW w:w="6118" w:type="dxa"/>
              </w:tcPr>
              <w:p w:rsidR="00E8774A" w:rsidRDefault="00765120" w:rsidP="008313E5">
                <w:r>
                  <w:t>Sweden</w:t>
                </w:r>
              </w:p>
            </w:tc>
            <w:permEnd w:id="765286099" w:displacedByCustomXml="next"/>
          </w:sdtContent>
        </w:sdt>
      </w:tr>
    </w:tbl>
    <w:p w:rsidR="00D74C9D" w:rsidRDefault="005D1023" w:rsidP="00D74C9D">
      <w:pPr>
        <w:pStyle w:val="Rubrik1"/>
        <w:numPr>
          <w:ilvl w:val="0"/>
          <w:numId w:val="0"/>
        </w:numPr>
      </w:pPr>
      <w:r w:rsidRPr="00321CD3">
        <w:br w:type="page"/>
      </w:r>
      <w:bookmarkStart w:id="3" w:name="_Toc392599420"/>
      <w:bookmarkEnd w:id="0"/>
      <w:r w:rsidR="00D74C9D" w:rsidRPr="004C2CD3">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567288" w:rsidRDefault="00567288" w:rsidP="00567288">
      <w:pPr>
        <w:ind w:right="1701"/>
        <w:rPr>
          <w:lang w:val="en-US"/>
        </w:rPr>
      </w:pPr>
      <w:permStart w:id="300031928" w:edGrp="everyone"/>
      <w:r w:rsidRPr="00113A2E">
        <w:rPr>
          <w:sz w:val="24"/>
          <w:lang w:val="en-US"/>
        </w:rPr>
        <w:t>The Swedish Securities Dealers Association (SSDA)</w:t>
      </w:r>
      <w:r>
        <w:rPr>
          <w:rStyle w:val="Fotnotsreferens"/>
          <w:sz w:val="24"/>
        </w:rPr>
        <w:footnoteReference w:id="2"/>
      </w:r>
      <w:r w:rsidRPr="00113A2E">
        <w:rPr>
          <w:sz w:val="24"/>
          <w:lang w:val="en-US"/>
        </w:rPr>
        <w:t xml:space="preserve"> </w:t>
      </w:r>
      <w:r>
        <w:rPr>
          <w:sz w:val="24"/>
          <w:lang w:val="en-US"/>
        </w:rPr>
        <w:t>in general supports the proposed draft technical advice</w:t>
      </w:r>
      <w:r w:rsidRPr="00454F64">
        <w:rPr>
          <w:lang w:val="en-US"/>
        </w:rPr>
        <w:t xml:space="preserve"> </w:t>
      </w:r>
      <w:r w:rsidRPr="00D67AA2">
        <w:rPr>
          <w:lang w:val="en-US"/>
        </w:rPr>
        <w:t>on</w:t>
      </w:r>
      <w:r>
        <w:rPr>
          <w:lang w:val="en-US"/>
        </w:rPr>
        <w:t xml:space="preserve"> possible delegated acts concer</w:t>
      </w:r>
      <w:r w:rsidRPr="00D67AA2">
        <w:rPr>
          <w:lang w:val="en-US"/>
        </w:rPr>
        <w:t>ning Market Abuse Regulatio</w:t>
      </w:r>
      <w:r>
        <w:rPr>
          <w:lang w:val="en-US"/>
        </w:rPr>
        <w:t xml:space="preserve">n. </w:t>
      </w:r>
    </w:p>
    <w:p w:rsidR="00D74C9D" w:rsidRDefault="00D74C9D" w:rsidP="00D74C9D">
      <w:r>
        <w:t>TYPE YOUR TEXT HERE</w:t>
      </w:r>
    </w:p>
    <w:permEnd w:id="30003192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Rubrik1"/>
        <w:keepLines/>
        <w:numPr>
          <w:ilvl w:val="0"/>
          <w:numId w:val="37"/>
        </w:numPr>
        <w:spacing w:before="480" w:after="0"/>
      </w:pPr>
      <w:r>
        <w:t>Specification of the indicators of market manipulation</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567288" w:rsidRDefault="00567288" w:rsidP="00567288">
      <w:pPr>
        <w:ind w:right="1701"/>
        <w:rPr>
          <w:lang w:val="en-US"/>
        </w:rPr>
      </w:pPr>
      <w:permStart w:id="372199049" w:edGrp="everyone"/>
      <w:r>
        <w:rPr>
          <w:lang w:val="en-US"/>
        </w:rPr>
        <w:t xml:space="preserve">Regarding the proposed examples of practices and indicators relating to these practices to clarify the indicators of manipulative behavior in Annex 1 of MAR we have some comments and observations. </w:t>
      </w:r>
    </w:p>
    <w:p w:rsidR="00567288" w:rsidRDefault="00567288" w:rsidP="00567288">
      <w:pPr>
        <w:ind w:right="1701"/>
        <w:rPr>
          <w:lang w:val="en-US"/>
        </w:rPr>
      </w:pPr>
      <w:r>
        <w:rPr>
          <w:lang w:val="en-US"/>
        </w:rPr>
        <w:t xml:space="preserve">We support the aim of the proposal - to assist the market - about the specification of the indicators of market manipulation. Having said that, we are not convinced of the need or the usefulness of so many examples. There is an obvious risk that the proposed specifications are too detailed. We are worried that the result of this level of details could be that market manipulation done in slightly another manner or way could be regarded outside the scope of the regulation. Even if the examples are indicative and the list is non-exhaustive, the amount of examples and detail, could be read or understood as more or less exhaustive. Furthermore, we are not sure that such a detail list will assist for example courts in their decision of certain behavior. The risk with so much detail is that the discussion will be focused on the details instead of the abusive behavior. </w:t>
      </w:r>
    </w:p>
    <w:p w:rsidR="00E9344E" w:rsidRPr="00567288" w:rsidRDefault="00567288" w:rsidP="00567288">
      <w:pPr>
        <w:ind w:right="1701"/>
        <w:rPr>
          <w:lang w:val="en-US"/>
        </w:rPr>
      </w:pPr>
      <w:r>
        <w:rPr>
          <w:lang w:val="en-US"/>
        </w:rPr>
        <w:t>Too shorten the list could it not be enough to state that some of those practices could be done by using cross-product strategies or acting on different venues and that of course also OTC-transactions could be used to manipulate the market?</w:t>
      </w:r>
    </w:p>
    <w:permEnd w:id="372199049"/>
    <w:p w:rsidR="00E9344E" w:rsidRDefault="00E9344E" w:rsidP="00E9344E">
      <w:r>
        <w:t>&lt;ESMA_QUESTION_MAR_TA_1&gt;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rsidR="00E9344E" w:rsidRDefault="00E9344E" w:rsidP="00E9344E"/>
    <w:p w:rsidR="00E9344E" w:rsidRDefault="00E9344E" w:rsidP="00E9344E">
      <w:r>
        <w:t>&lt;ESMA_QUESTION_MAR_TA_2&gt;</w:t>
      </w:r>
    </w:p>
    <w:p w:rsidR="00567288" w:rsidRDefault="00567288" w:rsidP="00567288">
      <w:pPr>
        <w:ind w:right="1701"/>
        <w:rPr>
          <w:lang w:val="en-US"/>
        </w:rPr>
      </w:pPr>
      <w:permStart w:id="1611479619" w:edGrp="everyone"/>
      <w:r>
        <w:rPr>
          <w:lang w:val="en-US"/>
        </w:rPr>
        <w:t xml:space="preserve">Regarding the proposed examples of practices and indicators relating to these practices to clarify the indicators of manipulative behavior in Annex 1 of MAR we have some comments and observations. </w:t>
      </w:r>
    </w:p>
    <w:p w:rsidR="00567288" w:rsidRDefault="00567288" w:rsidP="00567288">
      <w:pPr>
        <w:ind w:right="1701"/>
        <w:rPr>
          <w:lang w:val="en-US"/>
        </w:rPr>
      </w:pPr>
      <w:r>
        <w:rPr>
          <w:lang w:val="en-US"/>
        </w:rPr>
        <w:t xml:space="preserve">We support the aim of the proposal - to assist the market - about the specification of the indicators of market manipulation. Having said that, we are not convinced of the need or the usefulness of so many examples. There is an obvious risk that the proposed specifications are too detailed. We are worried that the result of this level of details could be that market manipulation done in slightly another manner or way could be regarded outside the scope of the regulation. Even if the examples are indicative and the list is non-exhaustive, the amount of examples and detail, could be read or understood as more or less exhaustive. Furthermore, we are not sure that such a detail list will assist for example courts in their decision of certain behavior. The risk with so much detail is that the discussion will be focused on the details instead of the abusive behavior. </w:t>
      </w:r>
    </w:p>
    <w:p w:rsidR="00567288" w:rsidRDefault="00567288" w:rsidP="00567288">
      <w:pPr>
        <w:ind w:right="1701"/>
        <w:rPr>
          <w:lang w:val="en-US"/>
        </w:rPr>
      </w:pPr>
      <w:r>
        <w:rPr>
          <w:lang w:val="en-US"/>
        </w:rPr>
        <w:t>Too shorten the list could it not be enough to state that some of those practices could be done by using cross-product strategies or acting on different venues and that of course also OTC-transactions could be used to manipulate the market?</w:t>
      </w:r>
    </w:p>
    <w:permEnd w:id="1611479619"/>
    <w:p w:rsidR="00E9344E" w:rsidRDefault="00E9344E" w:rsidP="00E9344E">
      <w:r>
        <w:t>&lt;ESMA_QUESTION_MAR_TA_2&gt;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consider that the practice known as “Phishing</w:t>
      </w:r>
      <w:r>
        <w:rPr>
          <w:rStyle w:val="Fotnotsreferens"/>
        </w:rPr>
        <w:footnoteReference w:id="3"/>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567288" w:rsidRDefault="00567288" w:rsidP="00E9344E">
      <w:permStart w:id="586945010" w:edGrp="everyone"/>
      <w:r>
        <w:rPr>
          <w:lang w:val="en-US"/>
        </w:rPr>
        <w:t>In our opinion “</w:t>
      </w:r>
      <w:proofErr w:type="spellStart"/>
      <w:r>
        <w:rPr>
          <w:lang w:val="en-US"/>
        </w:rPr>
        <w:t>phisihing</w:t>
      </w:r>
      <w:proofErr w:type="spellEnd"/>
      <w:r>
        <w:rPr>
          <w:lang w:val="en-US"/>
        </w:rPr>
        <w:t xml:space="preserve">” should not be included. The concept is too general and is not something directly associated with market abuse. </w:t>
      </w:r>
      <w:r>
        <w:rPr>
          <w:rFonts w:ascii="Verdana" w:hAnsi="Verdana"/>
          <w:color w:val="000000"/>
          <w:sz w:val="18"/>
          <w:szCs w:val="18"/>
          <w:lang w:val="en-US"/>
        </w:rPr>
        <w:t xml:space="preserve">Phishing is a fraudulent action and can in the same way as forgery and fraud be </w:t>
      </w:r>
      <w:proofErr w:type="spellStart"/>
      <w:r>
        <w:rPr>
          <w:rFonts w:ascii="Verdana" w:hAnsi="Verdana"/>
          <w:color w:val="000000"/>
          <w:sz w:val="18"/>
          <w:szCs w:val="18"/>
          <w:lang w:val="en-US"/>
        </w:rPr>
        <w:t>use</w:t>
      </w:r>
      <w:proofErr w:type="spellEnd"/>
      <w:r>
        <w:rPr>
          <w:rFonts w:ascii="Verdana" w:hAnsi="Verdana"/>
          <w:color w:val="000000"/>
          <w:sz w:val="18"/>
          <w:szCs w:val="18"/>
          <w:lang w:val="en-US"/>
        </w:rPr>
        <w:t xml:space="preserve"> in connection with market abuse – but cannot on its own be considered as market abuse</w:t>
      </w:r>
      <w:r>
        <w:t>.</w:t>
      </w:r>
    </w:p>
    <w:permEnd w:id="586945010"/>
    <w:p w:rsidR="00E9344E" w:rsidRDefault="00E9344E" w:rsidP="00E9344E">
      <w:r>
        <w:t>&lt;ESMA_QUESTION_MAR_TA_3&gt;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730553958" w:edGrp="everyone"/>
      <w:r>
        <w:t>TYPE YOUR TEXT HERE</w:t>
      </w:r>
    </w:p>
    <w:permEnd w:id="730553958"/>
    <w:p w:rsidR="00EC69C3" w:rsidRDefault="00E9344E" w:rsidP="00E9344E">
      <w:r>
        <w:t>&lt;ESMA_QUESTION_MAR_TA_4&gt;</w:t>
      </w:r>
    </w:p>
    <w:p w:rsidR="00E9344E" w:rsidRDefault="00EC69C3" w:rsidP="00E9344E">
      <w:r>
        <w:br w:type="page"/>
      </w:r>
    </w:p>
    <w:p w:rsidR="00E9344E" w:rsidRDefault="00E9344E" w:rsidP="00E9344E">
      <w:pPr>
        <w:pStyle w:val="Rubrik1"/>
        <w:keepLines/>
        <w:numPr>
          <w:ilvl w:val="0"/>
          <w:numId w:val="37"/>
        </w:numPr>
        <w:spacing w:before="480" w:after="0"/>
      </w:pPr>
      <w:r>
        <w:t>Minimum thresholds for the purpose of the exemption for certain participants in the emission allowance market from the requirement to publicly disclose inside information</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748378304" w:edGrp="everyone"/>
      <w:r>
        <w:t>TYPE YOUR TEXT HERE</w:t>
      </w:r>
    </w:p>
    <w:permEnd w:id="1748378304"/>
    <w:p w:rsidR="00E9344E" w:rsidRDefault="00E9344E" w:rsidP="00E9344E">
      <w:r>
        <w:t>&lt;ESMA_QUESTION_MAR_TA_5&gt;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rsidR="00E9344E" w:rsidRDefault="00E9344E" w:rsidP="00E9344E"/>
    <w:p w:rsidR="00E9344E" w:rsidRDefault="00E9344E" w:rsidP="00E9344E">
      <w:r>
        <w:t>&lt;ESMA_QUESTION_MAR_TA_6&gt;</w:t>
      </w:r>
    </w:p>
    <w:p w:rsidR="00E9344E" w:rsidRDefault="00E9344E" w:rsidP="00E9344E">
      <w:permStart w:id="1097870933" w:edGrp="everyone"/>
      <w:r>
        <w:t>TYPE YOUR TEXT HERE</w:t>
      </w:r>
    </w:p>
    <w:permEnd w:id="1097870933"/>
    <w:p w:rsidR="00E9344E" w:rsidRDefault="00E9344E" w:rsidP="00E9344E">
      <w:r>
        <w:t>&lt;ESMA_QUESTION_MAR_TA_6&gt;</w:t>
      </w:r>
    </w:p>
    <w:p w:rsidR="00E9344E" w:rsidRDefault="00E9344E" w:rsidP="00E9344E">
      <w:r>
        <w:br w:type="page"/>
      </w:r>
    </w:p>
    <w:p w:rsidR="00E9344E" w:rsidRDefault="00E9344E" w:rsidP="00E9344E">
      <w:pPr>
        <w:pStyle w:val="Rubrik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rsidR="00E9344E" w:rsidRDefault="00E9344E" w:rsidP="00E9344E"/>
    <w:p w:rsidR="00E9344E" w:rsidRDefault="00E9344E" w:rsidP="00E9344E">
      <w:r>
        <w:t>&lt;ESMA_QUESTION_MAR_TA_7&gt;</w:t>
      </w:r>
    </w:p>
    <w:p w:rsidR="00E9344E" w:rsidRPr="00567288" w:rsidRDefault="00567288" w:rsidP="00567288">
      <w:pPr>
        <w:ind w:right="1701"/>
        <w:rPr>
          <w:lang w:val="en-US"/>
        </w:rPr>
      </w:pPr>
      <w:permStart w:id="1738807786" w:edGrp="everyone"/>
      <w:r>
        <w:rPr>
          <w:lang w:val="en-US"/>
        </w:rPr>
        <w:t>SSDA support the proposed approach for determining the competent authority to whom issuers of financial instruments should notify delays in disclosure for inside information.</w:t>
      </w:r>
    </w:p>
    <w:permEnd w:id="1738807786"/>
    <w:p w:rsidR="00E9344E" w:rsidRDefault="00E9344E" w:rsidP="00E9344E">
      <w:r>
        <w:t>&lt;ESMA_QUESTION_MAR_TA_7&gt;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rsidR="00E9344E" w:rsidRDefault="00E9344E" w:rsidP="00E9344E"/>
    <w:p w:rsidR="00E9344E" w:rsidRDefault="00E9344E" w:rsidP="00E9344E">
      <w:r>
        <w:t>&lt;ESMA_QUESTION_MAR_TA_8&gt;</w:t>
      </w:r>
    </w:p>
    <w:p w:rsidR="00E9344E" w:rsidRDefault="00E9344E" w:rsidP="00E9344E">
      <w:permStart w:id="1036598921" w:edGrp="everyone"/>
      <w:r>
        <w:t>TYPE YOUR TEXT HERE</w:t>
      </w:r>
    </w:p>
    <w:permEnd w:id="1036598921"/>
    <w:p w:rsidR="00E9344E" w:rsidRDefault="00E9344E" w:rsidP="00E9344E">
      <w:r>
        <w:t>&lt;ESMA_QUESTION_MAR_TA_8&gt;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rsidR="00E9344E" w:rsidRDefault="00E9344E" w:rsidP="00E9344E"/>
    <w:p w:rsidR="00E9344E" w:rsidRDefault="00E9344E" w:rsidP="00E9344E">
      <w:r>
        <w:t>&lt;ESMA_QUESTION_MAR_TA_9&gt;</w:t>
      </w:r>
    </w:p>
    <w:p w:rsidR="00E9344E" w:rsidRDefault="00E9344E" w:rsidP="00E9344E">
      <w:permStart w:id="1768035968" w:edGrp="everyone"/>
      <w:r>
        <w:t>TYPE YOUR TEXT HERE</w:t>
      </w:r>
    </w:p>
    <w:permEnd w:id="1768035968"/>
    <w:p w:rsidR="00E9344E" w:rsidRDefault="00E9344E" w:rsidP="00E9344E">
      <w:r>
        <w:t>&lt;ESMA_QUESTION_MAR_TA_9&gt;</w:t>
      </w:r>
    </w:p>
    <w:p w:rsidR="00E9344E" w:rsidRDefault="00E9344E" w:rsidP="00E9344E">
      <w:r>
        <w:br w:type="page"/>
      </w:r>
    </w:p>
    <w:p w:rsidR="00E9344E" w:rsidRDefault="00E9344E" w:rsidP="00E9344E">
      <w:pPr>
        <w:pStyle w:val="Rubrik1"/>
        <w:keepLines/>
        <w:numPr>
          <w:ilvl w:val="0"/>
          <w:numId w:val="37"/>
        </w:numPr>
        <w:spacing w:before="480" w:after="0"/>
      </w:pPr>
      <w:r>
        <w:t>Managers’ transactions</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567288" w:rsidRDefault="00567288" w:rsidP="00567288">
      <w:pPr>
        <w:ind w:right="1701"/>
        <w:rPr>
          <w:lang w:val="en-US"/>
        </w:rPr>
      </w:pPr>
      <w:permStart w:id="560078857" w:edGrp="everyone"/>
      <w:r>
        <w:rPr>
          <w:lang w:val="en-US"/>
        </w:rPr>
        <w:t xml:space="preserve">In paragraph 91 ESMA considers that the scope of the transactions to be covered under the empowerment of article 19(14) is broad cannot be limited to only the three types of transactions explicitly listed in article 19(7). </w:t>
      </w:r>
    </w:p>
    <w:p w:rsidR="00567288" w:rsidRDefault="00567288" w:rsidP="00567288">
      <w:pPr>
        <w:ind w:right="1701"/>
        <w:rPr>
          <w:lang w:val="en-US"/>
        </w:rPr>
      </w:pPr>
      <w:r>
        <w:rPr>
          <w:lang w:val="en-US"/>
        </w:rPr>
        <w:t xml:space="preserve">We are not of the same opinion as ESMA and take notes that article 19(7) is an addition to article 19(1) which includes particular situations where transactions should be notified such as pledging and lending. The article 19(7) contains no wording to indicate that the special situations in the article are only a non-exhaustive list of special transactions, quite the opposite, the article is very detailed and specific about which transactions should be added to those in article 19(1). Furthermore, the delegation of power to the Commission in 19(14) do not support a broad interpretation. It is of utmost importance that the mandate to the Commission is very clear and in particular in those cases the Commission is receiving a broad mandate to legislate. In absent of such broad mandate in this case ESMA should reconsider the assessment in paragraph 91.  </w:t>
      </w:r>
    </w:p>
    <w:p w:rsidR="00E9344E" w:rsidRPr="00567288" w:rsidRDefault="00567288" w:rsidP="00567288">
      <w:pPr>
        <w:ind w:right="1701"/>
        <w:rPr>
          <w:lang w:val="en-US"/>
        </w:rPr>
      </w:pPr>
      <w:r>
        <w:rPr>
          <w:lang w:val="en-US"/>
        </w:rPr>
        <w:t>Article 19(2) states that the notification of manager’s transaction should be made within three working days of the transaction date. Regarding gifts, donations and inheritances the Consultation Paper states (in paragraph 97) that the date of the transaction is to be determined by the applicable law of the nation state. We are not totally sure what is meant by transaction and transaction date in relation gifts, donations and inheritances and it would be of value if ESMA could further explore the issue. One way could be to suggest that the relevant date should be the day when the financial instruments are received (on the account?).</w:t>
      </w:r>
    </w:p>
    <w:permEnd w:id="560078857"/>
    <w:p w:rsidR="00E9344E" w:rsidRDefault="00E9344E" w:rsidP="00E9344E">
      <w:r>
        <w:t>&lt;ESMA_QUESTION_MAR_TA_10&gt;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567288" w:rsidRDefault="00567288" w:rsidP="00567288">
      <w:pPr>
        <w:ind w:right="1701"/>
        <w:rPr>
          <w:lang w:val="en-US"/>
        </w:rPr>
      </w:pPr>
      <w:permStart w:id="1694791303" w:edGrp="everyone"/>
      <w:r>
        <w:rPr>
          <w:lang w:val="en-US"/>
        </w:rPr>
        <w:t>We understand that only index-related products, baskets and shares/units of investment funds shall be reported if the weight carried by the issuer´s shares and or debt financial instruments in the composition is 20% or more of the total composition of the index-related product, basket or investment fund at the time of the transaction. The SSDA supports the proposed weighting approach in relation to index-related products, baskets, and shares/units of investment funds (UCITS and AIFM).</w:t>
      </w:r>
    </w:p>
    <w:p w:rsidR="00567288" w:rsidRDefault="00567288" w:rsidP="00567288">
      <w:pPr>
        <w:ind w:right="1701"/>
        <w:rPr>
          <w:lang w:val="en-US"/>
        </w:rPr>
      </w:pPr>
      <w:r>
        <w:rPr>
          <w:lang w:val="en-US"/>
        </w:rPr>
        <w:t xml:space="preserve">Regarding trading during a closed period we find the text in paragraph 115 –117 rather confusing. In our opinion ESMA should draw a clear line between transaction executed in the context of a discretionary asset/portfolio management mandate and collective asset management, particularly UCITS. </w:t>
      </w:r>
    </w:p>
    <w:p w:rsidR="00E9344E" w:rsidRPr="00567288" w:rsidRDefault="00567288" w:rsidP="00567288">
      <w:pPr>
        <w:ind w:right="1701"/>
        <w:rPr>
          <w:lang w:val="en-US"/>
        </w:rPr>
      </w:pPr>
      <w:r>
        <w:rPr>
          <w:lang w:val="en-US"/>
        </w:rPr>
        <w:t>We have no problem to understand the prohibition to trade during closed periods for the financial instruments own by a PDMR in the context of a discretionary asset/portfolio management mandate and furthermore that a PDMR could not invest in a basket and shares/units of investment funds if the above-mentioned threshold is reached during a closed period. But the rules and prohibition should in no regard relate to investments made by a collective asset management. A, fund, particularly a UCITS fund cannot make investment decisions based on circumstances related to a single unit holder. The discussion by ESMA in paragraph 115-117 is not entirely clear and we urge ESMA to make the above mentioned distinction.</w:t>
      </w:r>
      <w:bookmarkStart w:id="4" w:name="_GoBack"/>
      <w:bookmarkEnd w:id="4"/>
    </w:p>
    <w:permEnd w:id="1694791303"/>
    <w:p w:rsidR="00E9344E" w:rsidRDefault="00E9344E" w:rsidP="00E9344E">
      <w:r>
        <w:t>&lt;ESMA_QUESTION_MAR_TA_11&gt;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276387995" w:edGrp="everyone"/>
      <w:r>
        <w:t>TYPE YOUR TEXT HERE</w:t>
      </w:r>
    </w:p>
    <w:permEnd w:id="1276387995"/>
    <w:p w:rsidR="00E9344E" w:rsidRDefault="00E9344E" w:rsidP="00E9344E">
      <w:r>
        <w:t>&lt;ESMA_QUESTION_MAR_TA_12&gt;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rsidR="00E9344E" w:rsidRDefault="00E9344E" w:rsidP="00E9344E"/>
    <w:p w:rsidR="00E9344E" w:rsidRDefault="00E9344E" w:rsidP="00E9344E">
      <w:r>
        <w:t>&lt;ESMA_QUESTION_MAR_TA_13&gt;</w:t>
      </w:r>
    </w:p>
    <w:p w:rsidR="00E9344E" w:rsidRDefault="00E9344E" w:rsidP="00E9344E">
      <w:permStart w:id="2051628714" w:edGrp="everyone"/>
      <w:r>
        <w:t>TYPE YOUR TEXT HERE</w:t>
      </w:r>
    </w:p>
    <w:permEnd w:id="2051628714"/>
    <w:p w:rsidR="00E9344E" w:rsidRDefault="00E9344E" w:rsidP="00E9344E">
      <w:r>
        <w:t>&lt;ESMA_QUESTION_MAR_TA_13&gt;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2134971709" w:edGrp="everyone"/>
      <w:r>
        <w:t>TYPE YOUR TEXT HERE</w:t>
      </w:r>
    </w:p>
    <w:permEnd w:id="2134971709"/>
    <w:p w:rsidR="00E9344E" w:rsidRDefault="00E9344E" w:rsidP="00E9344E">
      <w:r>
        <w:t>&lt;ESMA_QUESTION_MAR_TA_14&gt;</w:t>
      </w:r>
    </w:p>
    <w:p w:rsidR="00E9344E" w:rsidRDefault="00E9344E" w:rsidP="00E9344E">
      <w:r>
        <w:br w:type="page"/>
      </w:r>
    </w:p>
    <w:p w:rsidR="00E9344E" w:rsidRDefault="00E9344E" w:rsidP="00E9344E">
      <w:pPr>
        <w:pStyle w:val="Rubrik1"/>
        <w:keepLines/>
        <w:numPr>
          <w:ilvl w:val="0"/>
          <w:numId w:val="37"/>
        </w:numPr>
        <w:spacing w:before="480" w:after="0"/>
      </w:pPr>
      <w:r>
        <w:t>Reporting of infringements</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790979534" w:edGrp="everyone"/>
      <w:r>
        <w:t>TYPE YOUR TEXT HERE</w:t>
      </w:r>
    </w:p>
    <w:permEnd w:id="1790979534"/>
    <w:p w:rsidR="00E9344E" w:rsidRDefault="00E9344E" w:rsidP="00E9344E">
      <w:r>
        <w:t>&lt;ESMA_QUESTION_MAR_TA_15&gt;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708001953" w:edGrp="everyone"/>
      <w:r>
        <w:t>TYPE YOUR TEXT HERE</w:t>
      </w:r>
    </w:p>
    <w:permEnd w:id="1708001953"/>
    <w:p w:rsidR="00E9344E" w:rsidRDefault="00E9344E" w:rsidP="00E9344E">
      <w:r>
        <w:t>&lt;ESMA_QUESTION_MAR_TA_16&gt;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Rubrik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Rubrik5"/>
        <w:keepNext w:val="0"/>
        <w:keepLines w:val="0"/>
        <w:numPr>
          <w:ilvl w:val="0"/>
          <w:numId w:val="39"/>
        </w:numPr>
        <w:spacing w:before="0" w:line="276" w:lineRule="auto"/>
      </w:pPr>
      <w:r>
        <w:t>protection of the rights related to data processing;</w:t>
      </w:r>
    </w:p>
    <w:p w:rsidR="00E9344E" w:rsidRDefault="00E9344E" w:rsidP="00E9344E">
      <w:pPr>
        <w:pStyle w:val="Rubrik5"/>
        <w:keepNext w:val="0"/>
        <w:keepLines w:val="0"/>
        <w:numPr>
          <w:ilvl w:val="0"/>
          <w:numId w:val="39"/>
        </w:numPr>
        <w:spacing w:before="0" w:line="276" w:lineRule="auto"/>
      </w:pPr>
      <w:r>
        <w:t>security aspects of the data processing operation; and</w:t>
      </w:r>
    </w:p>
    <w:p w:rsidR="00E9344E" w:rsidRDefault="00E9344E" w:rsidP="00E9344E">
      <w:pPr>
        <w:pStyle w:val="Rubrik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712201666" w:edGrp="everyone"/>
      <w:r>
        <w:t>TYPE YOUR TEXT HERE</w:t>
      </w:r>
    </w:p>
    <w:permEnd w:id="712201666"/>
    <w:p w:rsidR="00E9344E" w:rsidRDefault="00E9344E" w:rsidP="00E9344E">
      <w:r>
        <w:t>&lt;ESMA_QUESTION_MAR_TA_17&gt;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510549872" w:edGrp="everyone"/>
      <w:r>
        <w:t>TYPE YOUR TEXT HERE</w:t>
      </w:r>
    </w:p>
    <w:permEnd w:id="1510549872"/>
    <w:p w:rsidR="00E9344E" w:rsidRDefault="00E9344E" w:rsidP="00E9344E">
      <w:r>
        <w:t>&lt;ESMA_QUESTION_MAR_TA_18&gt;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complement 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214786281" w:edGrp="everyone"/>
      <w:r>
        <w:t>TYPE YOUR TEXT HERE</w:t>
      </w:r>
    </w:p>
    <w:permEnd w:id="214786281"/>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567288">
            <w:rPr>
              <w:noProof/>
            </w:rPr>
            <w:t>14</w:t>
          </w:r>
          <w:r>
            <w:rPr>
              <w:noProof/>
            </w:rPr>
            <w:fldChar w:fldCharType="end"/>
          </w:r>
        </w:p>
      </w:tc>
    </w:tr>
  </w:tbl>
  <w:p w:rsidR="00811EDA" w:rsidRDefault="00811E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567288" w:rsidRPr="00783FD7" w:rsidRDefault="00567288" w:rsidP="00567288">
      <w:pPr>
        <w:pStyle w:val="Ingetavstnd"/>
        <w:ind w:right="1133"/>
        <w:jc w:val="center"/>
        <w:rPr>
          <w:rFonts w:ascii="Times New Roman" w:hAnsi="Times New Roman"/>
          <w:sz w:val="18"/>
          <w:szCs w:val="18"/>
          <w:lang w:val="en-GB" w:eastAsia="sv-SE"/>
        </w:rPr>
      </w:pPr>
      <w:r w:rsidRPr="00783FD7">
        <w:rPr>
          <w:rStyle w:val="Fotnotsreferens"/>
          <w:sz w:val="18"/>
          <w:szCs w:val="18"/>
        </w:rPr>
        <w:footnoteRef/>
      </w:r>
      <w:r w:rsidRPr="00783FD7">
        <w:rPr>
          <w:sz w:val="18"/>
          <w:szCs w:val="18"/>
          <w:lang w:val="en-US"/>
        </w:rPr>
        <w:t xml:space="preserve"> </w:t>
      </w:r>
      <w:r w:rsidRPr="00783FD7">
        <w:rPr>
          <w:rFonts w:ascii="Times New Roman" w:hAnsi="Times New Roman"/>
          <w:sz w:val="18"/>
          <w:szCs w:val="18"/>
          <w:lang w:val="en-GB" w:eastAsia="sv-SE"/>
        </w:rPr>
        <w:t xml:space="preserve">SSDA represents the common interest of banks and investment-services-firms active on the securities market. The mission of SSDA is a sound, strong and efficient securities market in </w:t>
      </w:r>
      <w:smartTag w:uri="urn:schemas-microsoft-com:office:smarttags" w:element="country-region">
        <w:smartTag w:uri="urn:schemas-microsoft-com:office:smarttags" w:element="place">
          <w:r w:rsidRPr="00783FD7">
            <w:rPr>
              <w:rFonts w:ascii="Times New Roman" w:hAnsi="Times New Roman"/>
              <w:sz w:val="18"/>
              <w:szCs w:val="18"/>
              <w:lang w:val="en-GB" w:eastAsia="sv-SE"/>
            </w:rPr>
            <w:t>Sweden</w:t>
          </w:r>
        </w:smartTag>
      </w:smartTag>
      <w:r w:rsidRPr="00783FD7">
        <w:rPr>
          <w:rFonts w:ascii="Times New Roman" w:hAnsi="Times New Roman"/>
          <w:sz w:val="18"/>
          <w:szCs w:val="18"/>
          <w:lang w:val="en-GB" w:eastAsia="sv-SE"/>
        </w:rPr>
        <w:t>. SSDA promotes member’s view in regards to regulatory, market and in</w:t>
      </w:r>
      <w:r>
        <w:rPr>
          <w:rFonts w:ascii="Times New Roman" w:hAnsi="Times New Roman"/>
          <w:sz w:val="18"/>
          <w:szCs w:val="18"/>
          <w:lang w:val="en-GB" w:eastAsia="sv-SE"/>
        </w:rPr>
        <w:t xml:space="preserve">frastructure-related issues. It </w:t>
      </w:r>
      <w:r w:rsidRPr="00783FD7">
        <w:rPr>
          <w:rFonts w:ascii="Times New Roman" w:hAnsi="Times New Roman"/>
          <w:sz w:val="18"/>
          <w:szCs w:val="18"/>
          <w:lang w:val="en-GB" w:eastAsia="sv-SE"/>
        </w:rPr>
        <w:t>also provides a neutral forum for discussing and exchanging views</w:t>
      </w:r>
      <w:r>
        <w:rPr>
          <w:rFonts w:ascii="Times New Roman" w:hAnsi="Times New Roman"/>
          <w:sz w:val="18"/>
          <w:szCs w:val="18"/>
          <w:lang w:val="en-GB" w:eastAsia="sv-SE"/>
        </w:rPr>
        <w:t xml:space="preserve"> on matters which are of common i</w:t>
      </w:r>
      <w:r w:rsidRPr="00783FD7">
        <w:rPr>
          <w:rFonts w:ascii="Times New Roman" w:hAnsi="Times New Roman"/>
          <w:sz w:val="18"/>
          <w:szCs w:val="18"/>
          <w:lang w:val="en-GB" w:eastAsia="sv-SE"/>
        </w:rPr>
        <w:t xml:space="preserve">nterest to its members. </w:t>
      </w:r>
      <w:r w:rsidRPr="00783FD7">
        <w:rPr>
          <w:rFonts w:ascii="Times New Roman" w:hAnsi="Times New Roman"/>
          <w:sz w:val="18"/>
          <w:szCs w:val="18"/>
          <w:lang w:val="en-GB" w:eastAsia="sv-SE"/>
        </w:rPr>
        <w:br/>
      </w:r>
    </w:p>
    <w:p w:rsidR="00567288" w:rsidRPr="00783FD7" w:rsidRDefault="00567288" w:rsidP="00567288">
      <w:pPr>
        <w:pStyle w:val="Ingetavstnd"/>
        <w:ind w:right="1133"/>
        <w:rPr>
          <w:sz w:val="18"/>
          <w:szCs w:val="18"/>
          <w:lang w:val="en-GB" w:eastAsia="sv-SE"/>
        </w:rPr>
      </w:pPr>
      <w:r w:rsidRPr="00783FD7">
        <w:rPr>
          <w:rFonts w:ascii="Times New Roman" w:hAnsi="Times New Roman"/>
          <w:sz w:val="18"/>
          <w:szCs w:val="18"/>
          <w:lang w:val="en-GB" w:eastAsia="sv-SE"/>
        </w:rPr>
        <w:t xml:space="preserve">SSDA have a close cooperation with other trade associations in </w:t>
      </w:r>
      <w:smartTag w:uri="urn:schemas-microsoft-com:office:smarttags" w:element="country-region">
        <w:smartTag w:uri="urn:schemas-microsoft-com:office:smarttags" w:element="place">
          <w:r w:rsidRPr="00783FD7">
            <w:rPr>
              <w:rFonts w:ascii="Times New Roman" w:hAnsi="Times New Roman"/>
              <w:sz w:val="18"/>
              <w:szCs w:val="18"/>
              <w:lang w:val="en-GB" w:eastAsia="sv-SE"/>
            </w:rPr>
            <w:t>Sweden</w:t>
          </w:r>
        </w:smartTag>
      </w:smartTag>
      <w:r w:rsidRPr="00783FD7">
        <w:rPr>
          <w:rFonts w:ascii="Times New Roman" w:hAnsi="Times New Roman"/>
          <w:sz w:val="18"/>
          <w:szCs w:val="18"/>
          <w:lang w:val="en-GB" w:eastAsia="sv-SE"/>
        </w:rPr>
        <w:t xml:space="preserve">, in the Nordic area and in the </w:t>
      </w:r>
      <w:smartTag w:uri="urn:schemas-microsoft-com:office:smarttags" w:element="country-region">
        <w:smartTag w:uri="urn:schemas-microsoft-com:office:smarttags" w:element="place">
          <w:r w:rsidRPr="00783FD7">
            <w:rPr>
              <w:rFonts w:ascii="Times New Roman" w:hAnsi="Times New Roman"/>
              <w:sz w:val="18"/>
              <w:szCs w:val="18"/>
              <w:lang w:val="en-GB" w:eastAsia="sv-SE"/>
            </w:rPr>
            <w:t>UK</w:t>
          </w:r>
        </w:smartTag>
      </w:smartTag>
      <w:r w:rsidRPr="00783FD7">
        <w:rPr>
          <w:rFonts w:ascii="Times New Roman" w:hAnsi="Times New Roman"/>
          <w:sz w:val="18"/>
          <w:szCs w:val="18"/>
          <w:lang w:val="en-GB" w:eastAsia="sv-SE"/>
        </w:rPr>
        <w:t xml:space="preserve">. SSDA is also active on European arena via </w:t>
      </w:r>
      <w:smartTag w:uri="urn:schemas-microsoft-com:office:smarttags" w:element="stockticker">
        <w:r w:rsidRPr="00783FD7">
          <w:rPr>
            <w:rFonts w:ascii="Times New Roman" w:hAnsi="Times New Roman"/>
            <w:sz w:val="18"/>
            <w:szCs w:val="18"/>
            <w:lang w:val="en-GB" w:eastAsia="sv-SE"/>
          </w:rPr>
          <w:t>EBF</w:t>
        </w:r>
      </w:smartTag>
      <w:r w:rsidRPr="00783FD7">
        <w:rPr>
          <w:rFonts w:ascii="Times New Roman" w:hAnsi="Times New Roman"/>
          <w:sz w:val="18"/>
          <w:szCs w:val="18"/>
          <w:lang w:val="en-GB" w:eastAsia="sv-SE"/>
        </w:rPr>
        <w:t xml:space="preserve"> (European Banking Federation) and EFSA (European Forum of Securities Associations) and globally through ICSA (International Committee of Securities Associations). </w:t>
      </w:r>
    </w:p>
    <w:p w:rsidR="00567288" w:rsidRPr="005A5C2E" w:rsidRDefault="00567288" w:rsidP="00567288">
      <w:pPr>
        <w:pStyle w:val="Fotnotstext"/>
        <w:ind w:right="1133"/>
        <w:rPr>
          <w:lang w:val="en-US"/>
        </w:rPr>
      </w:pPr>
    </w:p>
  </w:footnote>
  <w:footnote w:id="3">
    <w:p w:rsidR="00E9344E" w:rsidRDefault="00E9344E" w:rsidP="00E9344E">
      <w:pPr>
        <w:pStyle w:val="Fotnotstext"/>
      </w:pPr>
      <w:r>
        <w:rPr>
          <w:rStyle w:val="Fotnotsreferens"/>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pPr>
      <w:pStyle w:val="Sidhuvud"/>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708A0"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rsidP="00013CCE">
    <w:pPr>
      <w:pStyle w:val="Sidhuvud"/>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Sidhuvud"/>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highlight w:val="yellow"/>
        <w:lang w:val="fr-FR"/>
      </w:rPr>
    </w:pPr>
  </w:p>
  <w:p w:rsidR="00811EDA" w:rsidRDefault="00024F53">
    <w:pPr>
      <w:pStyle w:val="Sidhuvud"/>
    </w:pPr>
    <w:r>
      <w:rPr>
        <w:noProof/>
        <w:lang w:val="sv-SE" w:eastAsia="sv-SE"/>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4292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67288"/>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12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4D04"/>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4097">
      <o:colormru v:ext="edit" colors="#2d4491,#283583"/>
    </o:shapedefaults>
    <o:shapelayout v:ext="edit">
      <o:idmap v:ext="edit" data="1"/>
    </o:shapelayout>
  </w:shapeDefaults>
  <w:decimalSymbol w:val=","/>
  <w:listSeparator w:val=";"/>
  <w15:docId w15:val="{D3A18E78-B95A-43EB-A2F2-5C9E60CE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Rubrik1">
    <w:name w:val="heading 1"/>
    <w:basedOn w:val="Normal"/>
    <w:next w:val="Normal"/>
    <w:link w:val="Rubrik1Char"/>
    <w:qFormat/>
    <w:rsid w:val="009E7724"/>
    <w:pPr>
      <w:keepNext/>
      <w:numPr>
        <w:numId w:val="6"/>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4"/>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9"/>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styleId="Ingetavstnd">
    <w:name w:val="No Spacing"/>
    <w:uiPriority w:val="1"/>
    <w:qFormat/>
    <w:rsid w:val="00567288"/>
    <w:rPr>
      <w:rFonts w:ascii="Calibri" w:eastAsia="Calibri" w:hAnsi="Calibri"/>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tshlla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tshlla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26145-5037-4B9E-A03B-03898088ED0C}">
  <ds:schemaRefs>
    <ds:schemaRef ds:uri="http://schemas.openxmlformats.org/officeDocument/2006/bibliography"/>
  </ds:schemaRefs>
</ds:datastoreItem>
</file>

<file path=customXml/itemProps2.xml><?xml version="1.0" encoding="utf-8"?>
<ds:datastoreItem xmlns:ds="http://schemas.openxmlformats.org/officeDocument/2006/customXml" ds:itemID="{6B394E6C-E1E8-47A2-B9A9-75635F47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2511</Words>
  <Characters>14333</Characters>
  <Application>Microsoft Office Word</Application>
  <DocSecurity>8</DocSecurity>
  <Lines>119</Lines>
  <Paragraphs>33</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16811</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Lars Afrell</cp:lastModifiedBy>
  <cp:revision>2</cp:revision>
  <cp:lastPrinted>2014-05-08T15:06:00Z</cp:lastPrinted>
  <dcterms:created xsi:type="dcterms:W3CDTF">2014-10-15T13:02:00Z</dcterms:created>
  <dcterms:modified xsi:type="dcterms:W3CDTF">2014-10-15T13:02:00Z</dcterms:modified>
</cp:coreProperties>
</file>