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ipervnculo"/>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ipervnculo"/>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lastRenderedPageBreak/>
        <w:t>Data protection</w:t>
      </w:r>
      <w:bookmarkEnd w:id="3"/>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ipervnculo"/>
            <w:szCs w:val="20"/>
          </w:rPr>
          <w:t>www.esma.europa.eu</w:t>
        </w:r>
      </w:hyperlink>
      <w:r w:rsidRPr="00321CD3">
        <w:rPr>
          <w:szCs w:val="20"/>
        </w:rPr>
        <w:t xml:space="preserve"> under the heading ‘Disclaimer’.</w:t>
      </w:r>
    </w:p>
    <w:p w:rsidR="00E8774A" w:rsidRDefault="00024F53" w:rsidP="00E8774A">
      <w:pPr>
        <w:pStyle w:val="Ttulo1"/>
        <w:numPr>
          <w:ilvl w:val="0"/>
          <w:numId w:val="0"/>
        </w:numPr>
      </w:pPr>
      <w:r>
        <w:rPr>
          <w:szCs w:val="20"/>
        </w:rPr>
        <w:br w:type="page"/>
      </w:r>
      <w:r w:rsidR="00E8774A">
        <w:lastRenderedPageBreak/>
        <w:t>General information about respondent</w:t>
      </w:r>
    </w:p>
    <w:tbl>
      <w:tblPr>
        <w:tblStyle w:val="Tablaconcuadrcula"/>
        <w:tblW w:w="0" w:type="auto"/>
        <w:tblLook w:val="04A0"/>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706AC8" w:rsidP="008313E5">
            <w:sdt>
              <w:sdtPr>
                <w:alias w:val="Association"/>
                <w:tag w:val="Association"/>
                <w:id w:val="-1769143793"/>
                <w:placeholder>
                  <w:docPart w:val="68DD8F5316B24ACAA721B8AF83F84918"/>
                </w:placeholder>
                <w:comboBox>
                  <w:listItem w:displayText="Yes" w:value="Yes"/>
                  <w:listItem w:displayText="No" w:value="No"/>
                </w:comboBox>
              </w:sdtPr>
              <w:sdtContent>
                <w:permStart w:id="0" w:edGrp="everyone"/>
                <w:r w:rsidR="004541A3">
                  <w:t>Yes</w:t>
                </w:r>
                <w:permEnd w:id="0"/>
              </w:sdtContent>
            </w:sdt>
          </w:p>
        </w:tc>
      </w:tr>
      <w:tr w:rsidR="00E8774A" w:rsidTr="008313E5">
        <w:tc>
          <w:tcPr>
            <w:tcW w:w="3510" w:type="dxa"/>
          </w:tcPr>
          <w:p w:rsidR="00E8774A" w:rsidRDefault="00E8774A" w:rsidP="008313E5">
            <w:r>
              <w:t>Activity:</w:t>
            </w:r>
          </w:p>
        </w:tc>
        <w:tc>
          <w:tcPr>
            <w:tcW w:w="6118" w:type="dxa"/>
          </w:tcPr>
          <w:p w:rsidR="00E8774A" w:rsidRDefault="00706AC8"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4541A3">
                  <w:t>Banking sector</w:t>
                </w:r>
                <w:permEnd w:id="1"/>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E8774A" w:rsidRDefault="004541A3" w:rsidP="008313E5">
                <w:r>
                  <w:t>Spain</w:t>
                </w:r>
              </w:p>
            </w:tc>
            <w:permEnd w:id="2" w:displacedByCustomXml="next"/>
          </w:sdtContent>
        </w:sdt>
      </w:tr>
    </w:tbl>
    <w:p w:rsidR="00D74C9D" w:rsidRDefault="005D1023" w:rsidP="00D74C9D">
      <w:pPr>
        <w:pStyle w:val="Ttulo1"/>
        <w:numPr>
          <w:ilvl w:val="0"/>
          <w:numId w:val="0"/>
        </w:numPr>
      </w:pPr>
      <w:r w:rsidRPr="00321CD3">
        <w:br w:type="page"/>
      </w:r>
      <w:bookmarkStart w:id="4" w:name="_Toc392599420"/>
      <w:bookmarkEnd w:id="1"/>
      <w:r w:rsidR="00D74C9D" w:rsidRPr="004C2CD3">
        <w:lastRenderedPageBreak/>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D74C9D" w:rsidP="00D74C9D">
      <w:permStart w:id="3" w:edGrp="everyone"/>
      <w:r>
        <w:t>TYPE YOUR TEXT HERE</w:t>
      </w:r>
    </w:p>
    <w:permEnd w:id="3"/>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Ttulo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4" w:edGrp="everyone"/>
      <w:r>
        <w:t>TYPE YOUR TEXT HERE</w:t>
      </w:r>
    </w:p>
    <w:permEnd w:id="4"/>
    <w:p w:rsidR="00E9344E" w:rsidRDefault="00E9344E" w:rsidP="00E9344E">
      <w:r>
        <w:t>&lt;ESMA_QUESTION_MAR_TA_1&gt;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5" w:edGrp="everyone"/>
      <w:r>
        <w:t>TYPE YOUR TEXT HERE</w:t>
      </w:r>
    </w:p>
    <w:permEnd w:id="5"/>
    <w:p w:rsidR="00E9344E" w:rsidRDefault="00E9344E" w:rsidP="00E9344E">
      <w:r>
        <w:t>&lt;ESMA_QUESTION_MAR_TA_2&gt;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consider that the practice known as “Phishing</w:t>
      </w:r>
      <w:r>
        <w:rPr>
          <w:rStyle w:val="Refdenotaalpi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6" w:edGrp="everyone"/>
      <w:r>
        <w:t>TYPE YOUR TEXT HERE</w:t>
      </w:r>
    </w:p>
    <w:permEnd w:id="6"/>
    <w:p w:rsidR="00E9344E" w:rsidRDefault="00E9344E" w:rsidP="00E9344E">
      <w:r>
        <w:t>&lt;ESMA_QUESTION_MAR_TA_3&gt;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7" w:edGrp="everyone"/>
      <w:r>
        <w:t>TYPE YOUR TEXT HERE</w:t>
      </w:r>
    </w:p>
    <w:permEnd w:id="7"/>
    <w:p w:rsidR="00EC69C3" w:rsidRDefault="00E9344E" w:rsidP="00E9344E">
      <w:r>
        <w:t>&lt;ESMA_QUESTION_MAR_TA_4&gt;</w:t>
      </w:r>
    </w:p>
    <w:p w:rsidR="00E9344E" w:rsidRDefault="00EC69C3" w:rsidP="00E9344E">
      <w:r>
        <w:br w:type="page"/>
      </w:r>
    </w:p>
    <w:p w:rsidR="00E9344E" w:rsidRDefault="00E9344E" w:rsidP="00E9344E">
      <w:pPr>
        <w:pStyle w:val="Ttulo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w:t>
      </w:r>
      <w:r>
        <w:t>d</w:t>
      </w:r>
      <w:r>
        <w:t>ual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8" w:edGrp="everyone"/>
      <w:r>
        <w:t>TYPE YOUR TEXT HERE</w:t>
      </w:r>
    </w:p>
    <w:permEnd w:id="8"/>
    <w:p w:rsidR="00E9344E" w:rsidRDefault="00E9344E" w:rsidP="00E9344E">
      <w:r>
        <w:t>&lt;ESMA_QUESTION_MAR_TA_5&gt;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9" w:edGrp="everyone"/>
      <w:r>
        <w:t>TYPE YOUR TEXT HERE</w:t>
      </w:r>
    </w:p>
    <w:permEnd w:id="9"/>
    <w:p w:rsidR="00E9344E" w:rsidRDefault="00E9344E" w:rsidP="00E9344E">
      <w:r>
        <w:t>&lt;ESMA_QUESTION_MAR_TA_6&gt;</w:t>
      </w:r>
    </w:p>
    <w:p w:rsidR="00E9344E" w:rsidRDefault="00E9344E" w:rsidP="00E9344E">
      <w:r>
        <w:br w:type="page"/>
      </w:r>
    </w:p>
    <w:p w:rsidR="00E9344E" w:rsidRDefault="00E9344E" w:rsidP="00E9344E">
      <w:pPr>
        <w:pStyle w:val="Ttulo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10" w:edGrp="everyone"/>
      <w:r>
        <w:t>TYPE YOUR TEXT HERE</w:t>
      </w:r>
    </w:p>
    <w:permEnd w:id="10"/>
    <w:p w:rsidR="00E9344E" w:rsidRDefault="00E9344E" w:rsidP="00E9344E">
      <w:r>
        <w:t>&lt;ESMA_QUESTION_MAR_TA_7&gt;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11" w:edGrp="everyone"/>
      <w:r>
        <w:t>TYPE YOUR TEXT HERE</w:t>
      </w:r>
    </w:p>
    <w:permEnd w:id="11"/>
    <w:p w:rsidR="00E9344E" w:rsidRDefault="00E9344E" w:rsidP="00E9344E">
      <w:r>
        <w:t>&lt;ESMA_QUESTION_MAR_TA_8&gt;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2" w:edGrp="everyone"/>
      <w:r>
        <w:t>TYPE YOUR TEXT HERE</w:t>
      </w:r>
    </w:p>
    <w:permEnd w:id="12"/>
    <w:p w:rsidR="00E9344E" w:rsidRDefault="00E9344E" w:rsidP="00E9344E">
      <w:r>
        <w:t>&lt;ESMA_QUESTION_MAR_TA_9&gt;</w:t>
      </w:r>
    </w:p>
    <w:p w:rsidR="00E9344E" w:rsidRDefault="00E9344E" w:rsidP="00E9344E">
      <w:r>
        <w:br w:type="page"/>
      </w:r>
    </w:p>
    <w:p w:rsidR="00E9344E" w:rsidRDefault="00E9344E" w:rsidP="00E9344E">
      <w:pPr>
        <w:pStyle w:val="Ttulo1"/>
        <w:keepLines/>
        <w:numPr>
          <w:ilvl w:val="0"/>
          <w:numId w:val="37"/>
        </w:numPr>
        <w:spacing w:before="480" w:after="0"/>
      </w:pPr>
      <w:r>
        <w:lastRenderedPageBreak/>
        <w:t>Managers’ transactions</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C62EE7" w:rsidRPr="00C62EE7" w:rsidRDefault="00C62EE7" w:rsidP="00C62EE7">
      <w:pPr>
        <w:spacing w:before="100" w:beforeAutospacing="1" w:after="100" w:afterAutospacing="1"/>
        <w:rPr>
          <w:rFonts w:ascii="BBVA Office Light" w:hAnsi="BBVA Office Light"/>
          <w:bCs/>
          <w:color w:val="365F91" w:themeColor="accent1" w:themeShade="BF"/>
          <w:lang w:val="en-US"/>
        </w:rPr>
      </w:pPr>
      <w:permStart w:id="13" w:edGrp="everyone"/>
      <w:r w:rsidRPr="00C62EE7">
        <w:rPr>
          <w:rFonts w:ascii="BBVA Office Light" w:hAnsi="BBVA Office Light"/>
          <w:bCs/>
          <w:color w:val="365F91" w:themeColor="accent1" w:themeShade="BF"/>
          <w:lang w:val="en-US"/>
        </w:rPr>
        <w:t>In our opinion, transactions in units/shares of investment funds should be excluded from the scope of transa</w:t>
      </w:r>
      <w:r w:rsidRPr="00C62EE7">
        <w:rPr>
          <w:rFonts w:ascii="BBVA Office Light" w:hAnsi="BBVA Office Light"/>
          <w:bCs/>
          <w:color w:val="365F91" w:themeColor="accent1" w:themeShade="BF"/>
          <w:lang w:val="en-US"/>
        </w:rPr>
        <w:t>c</w:t>
      </w:r>
      <w:r w:rsidRPr="00C62EE7">
        <w:rPr>
          <w:rFonts w:ascii="BBVA Office Light" w:hAnsi="BBVA Office Light"/>
          <w:bCs/>
          <w:color w:val="365F91" w:themeColor="accent1" w:themeShade="BF"/>
          <w:lang w:val="en-US"/>
        </w:rPr>
        <w:t>tions to be notified. Firstly, PDMR has no influence over the composition of those investment funds the PDMR has acquired. They are vehicles under a third party’s management, so they may or may not hold shares of a particular issuer on a discretionary basis. Even more, at the time of the transaction, the PDMR would only know that composition under the last financial report available for that fund, which may be dated several months before.</w:t>
      </w:r>
    </w:p>
    <w:p w:rsidR="00C62EE7" w:rsidRPr="00C62EE7" w:rsidRDefault="00C62EE7" w:rsidP="00C62EE7">
      <w:pPr>
        <w:spacing w:before="100" w:beforeAutospacing="1" w:after="100" w:afterAutospacing="1"/>
        <w:rPr>
          <w:rFonts w:ascii="BBVA Office Light" w:hAnsi="BBVA Office Light"/>
          <w:bCs/>
          <w:color w:val="365F91" w:themeColor="accent1" w:themeShade="BF"/>
          <w:lang w:val="en-US"/>
        </w:rPr>
      </w:pPr>
      <w:r w:rsidRPr="00C62EE7">
        <w:rPr>
          <w:rFonts w:ascii="BBVA Office Light" w:hAnsi="BBVA Office Light"/>
          <w:bCs/>
          <w:color w:val="365F91" w:themeColor="accent1" w:themeShade="BF"/>
          <w:lang w:val="en-US"/>
        </w:rPr>
        <w:t> Additionally, it should be also borne in mind this exclusion would not affect the purpose of the notific</w:t>
      </w:r>
      <w:r w:rsidRPr="00C62EE7">
        <w:rPr>
          <w:rFonts w:ascii="BBVA Office Light" w:hAnsi="BBVA Office Light"/>
          <w:bCs/>
          <w:color w:val="365F91" w:themeColor="accent1" w:themeShade="BF"/>
          <w:lang w:val="en-US"/>
        </w:rPr>
        <w:t>a</w:t>
      </w:r>
      <w:r w:rsidRPr="00C62EE7">
        <w:rPr>
          <w:rFonts w:ascii="BBVA Office Light" w:hAnsi="BBVA Office Light"/>
          <w:bCs/>
          <w:color w:val="365F91" w:themeColor="accent1" w:themeShade="BF"/>
          <w:lang w:val="en-US"/>
        </w:rPr>
        <w:t xml:space="preserve">tion requirement. These types of entities are subject to certain legal investment restrictions (especially UCITS), so it is very unlikely an investment fund to hold over 20% of its portfolio invested in shares of the same issuer. </w:t>
      </w:r>
    </w:p>
    <w:p w:rsidR="00C62EE7" w:rsidRPr="00C62EE7" w:rsidRDefault="00C62EE7" w:rsidP="00C62EE7">
      <w:pPr>
        <w:spacing w:before="100" w:beforeAutospacing="1" w:after="100" w:afterAutospacing="1"/>
        <w:rPr>
          <w:rFonts w:ascii="BBVA Office Light" w:hAnsi="BBVA Office Light"/>
          <w:bCs/>
          <w:color w:val="365F91" w:themeColor="accent1" w:themeShade="BF"/>
          <w:lang w:val="en-US"/>
        </w:rPr>
      </w:pPr>
      <w:r w:rsidRPr="00C62EE7">
        <w:rPr>
          <w:rFonts w:ascii="BBVA Office Light" w:hAnsi="BBVA Office Light"/>
          <w:bCs/>
          <w:color w:val="365F91" w:themeColor="accent1" w:themeShade="BF"/>
          <w:lang w:val="en-US"/>
        </w:rPr>
        <w:t>On the basis of the reasons described above, we strongly encourage ESMA to review their approach on notif</w:t>
      </w:r>
      <w:r w:rsidRPr="00C62EE7">
        <w:rPr>
          <w:rFonts w:ascii="BBVA Office Light" w:hAnsi="BBVA Office Light"/>
          <w:bCs/>
          <w:color w:val="365F91" w:themeColor="accent1" w:themeShade="BF"/>
          <w:lang w:val="en-US"/>
        </w:rPr>
        <w:t>i</w:t>
      </w:r>
      <w:r w:rsidRPr="00C62EE7">
        <w:rPr>
          <w:rFonts w:ascii="BBVA Office Light" w:hAnsi="BBVA Office Light"/>
          <w:bCs/>
          <w:color w:val="365F91" w:themeColor="accent1" w:themeShade="BF"/>
          <w:lang w:val="en-US"/>
        </w:rPr>
        <w:t>cation duties on collective investment undertakings, at least in what the UCITS are concerned. Their diversific</w:t>
      </w:r>
      <w:r w:rsidRPr="00C62EE7">
        <w:rPr>
          <w:rFonts w:ascii="BBVA Office Light" w:hAnsi="BBVA Office Light"/>
          <w:bCs/>
          <w:color w:val="365F91" w:themeColor="accent1" w:themeShade="BF"/>
          <w:lang w:val="en-US"/>
        </w:rPr>
        <w:t>a</w:t>
      </w:r>
      <w:r w:rsidRPr="00C62EE7">
        <w:rPr>
          <w:rFonts w:ascii="BBVA Office Light" w:hAnsi="BBVA Office Light"/>
          <w:bCs/>
          <w:color w:val="365F91" w:themeColor="accent1" w:themeShade="BF"/>
          <w:lang w:val="en-US"/>
        </w:rPr>
        <w:t>tion legal requirements make UCITS quite far from being vehicles that could be used to circu</w:t>
      </w:r>
      <w:r w:rsidRPr="00C62EE7">
        <w:rPr>
          <w:rFonts w:ascii="BBVA Office Light" w:hAnsi="BBVA Office Light"/>
          <w:bCs/>
          <w:color w:val="365F91" w:themeColor="accent1" w:themeShade="BF"/>
          <w:lang w:val="en-US"/>
        </w:rPr>
        <w:t>m</w:t>
      </w:r>
      <w:r w:rsidRPr="00C62EE7">
        <w:rPr>
          <w:rFonts w:ascii="BBVA Office Light" w:hAnsi="BBVA Office Light"/>
          <w:bCs/>
          <w:color w:val="365F91" w:themeColor="accent1" w:themeShade="BF"/>
          <w:lang w:val="en-US"/>
        </w:rPr>
        <w:t>vent market abuse prevention requirements.</w:t>
      </w:r>
    </w:p>
    <w:p w:rsidR="004541A3" w:rsidRDefault="004541A3" w:rsidP="00E9344E">
      <w:pPr>
        <w:rPr>
          <w:rFonts w:ascii="BBVA Office Light" w:hAnsi="BBVA Office Light"/>
          <w:bCs/>
          <w:color w:val="365F91" w:themeColor="accent1" w:themeShade="BF"/>
          <w:lang w:val="en-US"/>
        </w:rPr>
      </w:pPr>
      <w:r w:rsidRPr="003A2ACE">
        <w:rPr>
          <w:rFonts w:ascii="BBVA Office Light" w:hAnsi="BBVA Office Light"/>
          <w:bCs/>
          <w:color w:val="365F91" w:themeColor="accent1" w:themeShade="BF"/>
          <w:lang w:val="en-US"/>
        </w:rPr>
        <w:t xml:space="preserve">On the other hand, bearing in mind the different practice in terms of transactions’ clearing and settlement periods, we understand that the trigger for the 3-days </w:t>
      </w:r>
      <w:r>
        <w:rPr>
          <w:rFonts w:ascii="BBVA Office Light" w:hAnsi="BBVA Office Light"/>
          <w:bCs/>
          <w:color w:val="365F91" w:themeColor="accent1" w:themeShade="BF"/>
          <w:lang w:val="en-US"/>
        </w:rPr>
        <w:t xml:space="preserve">legal </w:t>
      </w:r>
      <w:r w:rsidRPr="003A2ACE">
        <w:rPr>
          <w:rFonts w:ascii="BBVA Office Light" w:hAnsi="BBVA Office Light"/>
          <w:bCs/>
          <w:color w:val="365F91" w:themeColor="accent1" w:themeShade="BF"/>
          <w:lang w:val="en-US"/>
        </w:rPr>
        <w:t xml:space="preserve">notification </w:t>
      </w:r>
      <w:r>
        <w:rPr>
          <w:rFonts w:ascii="BBVA Office Light" w:hAnsi="BBVA Office Light"/>
          <w:bCs/>
          <w:color w:val="365F91" w:themeColor="accent1" w:themeShade="BF"/>
          <w:lang w:val="en-US"/>
        </w:rPr>
        <w:t>term</w:t>
      </w:r>
      <w:r w:rsidRPr="003A2ACE">
        <w:rPr>
          <w:rFonts w:ascii="BBVA Office Light" w:hAnsi="BBVA Office Light"/>
          <w:bCs/>
          <w:color w:val="365F91" w:themeColor="accent1" w:themeShade="BF"/>
          <w:lang w:val="en-US"/>
        </w:rPr>
        <w:t xml:space="preserve"> should be the </w:t>
      </w:r>
      <w:r>
        <w:rPr>
          <w:rFonts w:ascii="BBVA Office Light" w:hAnsi="BBVA Office Light"/>
          <w:bCs/>
          <w:color w:val="365F91" w:themeColor="accent1" w:themeShade="BF"/>
          <w:lang w:val="en-US"/>
        </w:rPr>
        <w:t xml:space="preserve">transaction’s </w:t>
      </w:r>
      <w:r w:rsidRPr="003A2ACE">
        <w:rPr>
          <w:rFonts w:ascii="BBVA Office Light" w:hAnsi="BBVA Office Light"/>
          <w:bCs/>
          <w:color w:val="365F91" w:themeColor="accent1" w:themeShade="BF"/>
          <w:lang w:val="en-US"/>
        </w:rPr>
        <w:t>settl</w:t>
      </w:r>
      <w:r w:rsidRPr="003A2ACE">
        <w:rPr>
          <w:rFonts w:ascii="BBVA Office Light" w:hAnsi="BBVA Office Light"/>
          <w:bCs/>
          <w:color w:val="365F91" w:themeColor="accent1" w:themeShade="BF"/>
          <w:lang w:val="en-US"/>
        </w:rPr>
        <w:t>e</w:t>
      </w:r>
      <w:r w:rsidRPr="003A2ACE">
        <w:rPr>
          <w:rFonts w:ascii="BBVA Office Light" w:hAnsi="BBVA Office Light"/>
          <w:bCs/>
          <w:color w:val="365F91" w:themeColor="accent1" w:themeShade="BF"/>
          <w:lang w:val="en-US"/>
        </w:rPr>
        <w:t>ment date. Express clarification on this will be welcome</w:t>
      </w:r>
    </w:p>
    <w:permEnd w:id="13"/>
    <w:p w:rsidR="00E9344E" w:rsidRDefault="00E9344E" w:rsidP="00E9344E">
      <w:r>
        <w:t>&lt;ESMA_QUESTION_MAR_TA_10&gt;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14" w:edGrp="everyone"/>
      <w:r>
        <w:t>TYPE YOUR TEXT HERE</w:t>
      </w:r>
    </w:p>
    <w:permEnd w:id="14"/>
    <w:p w:rsidR="00E9344E" w:rsidRDefault="00E9344E" w:rsidP="00E9344E">
      <w:r>
        <w:t>&lt;ESMA_QUESTION_MAR_TA_11&gt;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4541A3" w:rsidRDefault="004541A3" w:rsidP="00E9344E">
      <w:pPr>
        <w:rPr>
          <w:rFonts w:ascii="BBVA Office Light" w:hAnsi="BBVA Office Light"/>
          <w:bCs/>
          <w:color w:val="365F91" w:themeColor="accent1" w:themeShade="BF"/>
          <w:lang w:val="en-US"/>
        </w:rPr>
      </w:pPr>
      <w:permStart w:id="15" w:edGrp="everyone"/>
      <w:r>
        <w:rPr>
          <w:rFonts w:ascii="BBVA Office Light" w:hAnsi="BBVA Office Light"/>
          <w:bCs/>
          <w:color w:val="365F91" w:themeColor="accent1" w:themeShade="BF"/>
          <w:lang w:val="en-US"/>
        </w:rPr>
        <w:t>We understand that ESMA should also consider including “conditional trades” within the scope of the circu</w:t>
      </w:r>
      <w:r>
        <w:rPr>
          <w:rFonts w:ascii="BBVA Office Light" w:hAnsi="BBVA Office Light"/>
          <w:bCs/>
          <w:color w:val="365F91" w:themeColor="accent1" w:themeShade="BF"/>
          <w:lang w:val="en-US"/>
        </w:rPr>
        <w:t>m</w:t>
      </w:r>
      <w:r>
        <w:rPr>
          <w:rFonts w:ascii="BBVA Office Light" w:hAnsi="BBVA Office Light"/>
          <w:bCs/>
          <w:color w:val="365F91" w:themeColor="accent1" w:themeShade="BF"/>
          <w:lang w:val="en-US"/>
        </w:rPr>
        <w:t>stances under which trading during a closed period could be allowed, always on a case by case basis, by the issuer, taking into account that the execution date of such “conditional trades” cannot be foreseen by the PDMRs and is also beyond their control</w:t>
      </w:r>
    </w:p>
    <w:permEnd w:id="15"/>
    <w:p w:rsidR="00E9344E" w:rsidRDefault="00E9344E" w:rsidP="00E9344E">
      <w:r>
        <w:t>&lt;ESMA_QUESTION_MAR_TA_12&gt;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w:t>
      </w:r>
      <w:r>
        <w:t>e</w:t>
      </w:r>
      <w:r>
        <w:t>riod prohibition is respected?</w:t>
      </w:r>
    </w:p>
    <w:p w:rsidR="00E9344E" w:rsidRDefault="00E9344E" w:rsidP="00E9344E"/>
    <w:p w:rsidR="00E9344E" w:rsidRDefault="00E9344E" w:rsidP="00E9344E">
      <w:r>
        <w:t>&lt;ESMA_QUESTION_MAR_TA_13&gt;</w:t>
      </w:r>
    </w:p>
    <w:p w:rsidR="004541A3" w:rsidRDefault="004541A3" w:rsidP="00E9344E">
      <w:pPr>
        <w:rPr>
          <w:rFonts w:ascii="BBVA Office Light" w:hAnsi="BBVA Office Light"/>
          <w:bCs/>
          <w:color w:val="365F91" w:themeColor="accent1" w:themeShade="BF"/>
          <w:lang w:val="en-US"/>
        </w:rPr>
      </w:pPr>
      <w:permStart w:id="16" w:edGrp="everyone"/>
      <w:r>
        <w:rPr>
          <w:rFonts w:ascii="BBVA Office Light" w:hAnsi="BBVA Office Light"/>
          <w:bCs/>
          <w:color w:val="365F91" w:themeColor="accent1" w:themeShade="BF"/>
          <w:lang w:val="en-US"/>
        </w:rPr>
        <w:lastRenderedPageBreak/>
        <w:t>Regarding transactions executed by a third party under a full discretionary portfolio or asset management mandate, and especially through UCITS, we consider that both the disclosure of such transactions and compl</w:t>
      </w:r>
      <w:r>
        <w:rPr>
          <w:rFonts w:ascii="BBVA Office Light" w:hAnsi="BBVA Office Light"/>
          <w:bCs/>
          <w:color w:val="365F91" w:themeColor="accent1" w:themeShade="BF"/>
          <w:lang w:val="en-US"/>
        </w:rPr>
        <w:t>i</w:t>
      </w:r>
      <w:r>
        <w:rPr>
          <w:rFonts w:ascii="BBVA Office Light" w:hAnsi="BBVA Office Light"/>
          <w:bCs/>
          <w:color w:val="365F91" w:themeColor="accent1" w:themeShade="BF"/>
          <w:lang w:val="en-US"/>
        </w:rPr>
        <w:t>ance with the prohibition to trade on closed periods will be very difficult to enforce due to the “impossibility” to instruct the manager to refrain from trading with the issuer’s shares or financial instruments during a closed period and also given the difficulty of implementing a communication channel through which the transactions executed by the manager on the account of a PDMR could be communicated within the three working days period laid down in Article 19(1) of MAR</w:t>
      </w:r>
    </w:p>
    <w:permEnd w:id="16"/>
    <w:p w:rsidR="00E9344E" w:rsidRDefault="00E9344E" w:rsidP="00E9344E">
      <w:r>
        <w:t>&lt;ESMA_QUESTION_MAR_TA_13&gt;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4541A3" w:rsidRPr="006F0405" w:rsidRDefault="004541A3" w:rsidP="004541A3">
      <w:pPr>
        <w:ind w:left="284"/>
        <w:jc w:val="both"/>
        <w:rPr>
          <w:rFonts w:ascii="BBVA Office Light" w:hAnsi="BBVA Office Light"/>
          <w:bCs/>
          <w:color w:val="365F91" w:themeColor="accent1" w:themeShade="BF"/>
          <w:lang w:val="en-US"/>
        </w:rPr>
      </w:pPr>
      <w:permStart w:id="17" w:edGrp="everyone"/>
      <w:r w:rsidRPr="006F0405">
        <w:rPr>
          <w:rFonts w:ascii="BBVA Office Light" w:hAnsi="BBVA Office Light"/>
          <w:bCs/>
          <w:color w:val="365F91" w:themeColor="accent1" w:themeShade="BF"/>
          <w:lang w:val="en-US"/>
        </w:rPr>
        <w:t xml:space="preserve">Although it is clear that the list of transactions permitted is a non-exhaustive list, we understand that, for the sake of clarity, ESMA should consider including an additional type of transaction that could be executed by a PDMR subject to the previous authorization of the issuer. </w:t>
      </w:r>
    </w:p>
    <w:p w:rsidR="004541A3" w:rsidRPr="006F0405" w:rsidRDefault="004541A3" w:rsidP="00814BFD">
      <w:pPr>
        <w:ind w:left="284"/>
        <w:jc w:val="both"/>
        <w:rPr>
          <w:rFonts w:ascii="BBVA Office Light" w:hAnsi="BBVA Office Light"/>
          <w:bCs/>
          <w:color w:val="365F91" w:themeColor="accent1" w:themeShade="BF"/>
          <w:lang w:val="en-US"/>
        </w:rPr>
      </w:pPr>
      <w:r w:rsidRPr="006F0405">
        <w:rPr>
          <w:rFonts w:ascii="BBVA Office Light" w:hAnsi="BBVA Office Light"/>
          <w:bCs/>
          <w:color w:val="365F91" w:themeColor="accent1" w:themeShade="BF"/>
          <w:lang w:val="en-US"/>
        </w:rPr>
        <w:t xml:space="preserve">In this respect, we consider that PDMR should be allowed to trade during a closed period in the context of the </w:t>
      </w:r>
      <w:r>
        <w:rPr>
          <w:rFonts w:ascii="BBVA Office Light" w:hAnsi="BBVA Office Light"/>
          <w:bCs/>
          <w:color w:val="365F91" w:themeColor="accent1" w:themeShade="BF"/>
          <w:lang w:val="en-US"/>
        </w:rPr>
        <w:t xml:space="preserve">free-of-charge </w:t>
      </w:r>
      <w:r w:rsidRPr="006F0405">
        <w:rPr>
          <w:rFonts w:ascii="BBVA Office Light" w:hAnsi="BBVA Office Light"/>
          <w:bCs/>
          <w:color w:val="365F91" w:themeColor="accent1" w:themeShade="BF"/>
          <w:lang w:val="en-US"/>
        </w:rPr>
        <w:t xml:space="preserve">capital increase approved for the implementation </w:t>
      </w:r>
      <w:r>
        <w:rPr>
          <w:rFonts w:ascii="BBVA Office Light" w:hAnsi="BBVA Office Light"/>
          <w:bCs/>
          <w:color w:val="365F91" w:themeColor="accent1" w:themeShade="BF"/>
          <w:lang w:val="en-US"/>
        </w:rPr>
        <w:t xml:space="preserve">of an eventual </w:t>
      </w:r>
      <w:r w:rsidRPr="006F0405">
        <w:rPr>
          <w:rFonts w:ascii="BBVA Office Light" w:hAnsi="BBVA Office Light"/>
          <w:bCs/>
          <w:color w:val="365F91" w:themeColor="accent1" w:themeShade="BF"/>
          <w:lang w:val="en-US"/>
        </w:rPr>
        <w:t>scrip dividend</w:t>
      </w:r>
      <w:r>
        <w:rPr>
          <w:rFonts w:ascii="BBVA Office Light" w:hAnsi="BBVA Office Light"/>
          <w:bCs/>
          <w:color w:val="365F91" w:themeColor="accent1" w:themeShade="BF"/>
          <w:lang w:val="en-US"/>
        </w:rPr>
        <w:t xml:space="preserve"> pr</w:t>
      </w:r>
      <w:r>
        <w:rPr>
          <w:rFonts w:ascii="BBVA Office Light" w:hAnsi="BBVA Office Light"/>
          <w:bCs/>
          <w:color w:val="365F91" w:themeColor="accent1" w:themeShade="BF"/>
          <w:lang w:val="en-US"/>
        </w:rPr>
        <w:t>o</w:t>
      </w:r>
      <w:r>
        <w:rPr>
          <w:rFonts w:ascii="BBVA Office Light" w:hAnsi="BBVA Office Light"/>
          <w:bCs/>
          <w:color w:val="365F91" w:themeColor="accent1" w:themeShade="BF"/>
          <w:lang w:val="en-US"/>
        </w:rPr>
        <w:t>gram.</w:t>
      </w:r>
    </w:p>
    <w:p w:rsidR="004541A3" w:rsidRPr="006F0405" w:rsidRDefault="004541A3" w:rsidP="00814BFD">
      <w:pPr>
        <w:ind w:left="284"/>
        <w:jc w:val="both"/>
        <w:rPr>
          <w:rFonts w:ascii="BBVA Office Light" w:hAnsi="BBVA Office Light"/>
          <w:bCs/>
          <w:color w:val="365F91" w:themeColor="accent1" w:themeShade="BF"/>
          <w:lang w:val="en-US"/>
        </w:rPr>
      </w:pPr>
      <w:r>
        <w:rPr>
          <w:rFonts w:ascii="BBVA Office Light" w:hAnsi="BBVA Office Light"/>
          <w:bCs/>
          <w:color w:val="365F91" w:themeColor="accent1" w:themeShade="BF"/>
          <w:lang w:val="en-US"/>
        </w:rPr>
        <w:t>To this extent, under the scrip</w:t>
      </w:r>
      <w:r w:rsidRPr="006F0405">
        <w:rPr>
          <w:rFonts w:ascii="BBVA Office Light" w:hAnsi="BBVA Office Light"/>
          <w:bCs/>
          <w:color w:val="365F91" w:themeColor="accent1" w:themeShade="BF"/>
          <w:lang w:val="en-US"/>
        </w:rPr>
        <w:t xml:space="preserve"> dividend program approved by the issuer</w:t>
      </w:r>
      <w:r>
        <w:rPr>
          <w:rFonts w:ascii="BBVA Office Light" w:hAnsi="BBVA Office Light"/>
          <w:bCs/>
          <w:color w:val="365F91" w:themeColor="accent1" w:themeShade="BF"/>
          <w:lang w:val="en-US"/>
        </w:rPr>
        <w:t>,</w:t>
      </w:r>
      <w:r w:rsidRPr="006F0405">
        <w:rPr>
          <w:rFonts w:ascii="BBVA Office Light" w:hAnsi="BBVA Office Light"/>
          <w:bCs/>
          <w:color w:val="365F91" w:themeColor="accent1" w:themeShade="BF"/>
          <w:lang w:val="en-US"/>
        </w:rPr>
        <w:t xml:space="preserve"> </w:t>
      </w:r>
      <w:r>
        <w:rPr>
          <w:rFonts w:ascii="BBVA Office Light" w:hAnsi="BBVA Office Light"/>
          <w:bCs/>
          <w:color w:val="365F91" w:themeColor="accent1" w:themeShade="BF"/>
          <w:lang w:val="en-US"/>
        </w:rPr>
        <w:t xml:space="preserve">and pursuant to the agreed terms and conditions, </w:t>
      </w:r>
      <w:r w:rsidRPr="006F0405">
        <w:rPr>
          <w:rFonts w:ascii="BBVA Office Light" w:hAnsi="BBVA Office Light"/>
          <w:bCs/>
          <w:color w:val="365F91" w:themeColor="accent1" w:themeShade="BF"/>
          <w:lang w:val="en-US"/>
        </w:rPr>
        <w:t>during a closed period the PDMR</w:t>
      </w:r>
      <w:r>
        <w:rPr>
          <w:rFonts w:ascii="BBVA Office Light" w:hAnsi="BBVA Office Light"/>
          <w:bCs/>
          <w:color w:val="365F91" w:themeColor="accent1" w:themeShade="BF"/>
          <w:lang w:val="en-US"/>
        </w:rPr>
        <w:t>s could be authorized, among others</w:t>
      </w:r>
      <w:r w:rsidRPr="006F0405">
        <w:rPr>
          <w:rFonts w:ascii="BBVA Office Light" w:hAnsi="BBVA Office Light"/>
          <w:bCs/>
          <w:color w:val="365F91" w:themeColor="accent1" w:themeShade="BF"/>
          <w:lang w:val="en-US"/>
        </w:rPr>
        <w:t>:</w:t>
      </w:r>
    </w:p>
    <w:p w:rsidR="004541A3" w:rsidRPr="006F0405" w:rsidRDefault="004541A3" w:rsidP="00814BFD">
      <w:pPr>
        <w:numPr>
          <w:ilvl w:val="0"/>
          <w:numId w:val="42"/>
        </w:numPr>
        <w:spacing w:after="200" w:line="276" w:lineRule="auto"/>
        <w:ind w:left="567" w:hanging="283"/>
        <w:jc w:val="both"/>
        <w:rPr>
          <w:rFonts w:ascii="BBVA Office Light" w:hAnsi="BBVA Office Light"/>
          <w:bCs/>
          <w:color w:val="365F91" w:themeColor="accent1" w:themeShade="BF"/>
          <w:lang w:val="en-US"/>
        </w:rPr>
      </w:pPr>
      <w:r>
        <w:rPr>
          <w:rFonts w:ascii="BBVA Office Light" w:hAnsi="BBVA Office Light"/>
          <w:bCs/>
          <w:color w:val="365F91" w:themeColor="accent1" w:themeShade="BF"/>
          <w:lang w:val="en-US"/>
        </w:rPr>
        <w:t xml:space="preserve">to </w:t>
      </w:r>
      <w:r w:rsidRPr="006F0405">
        <w:rPr>
          <w:rFonts w:ascii="BBVA Office Light" w:hAnsi="BBVA Office Light"/>
          <w:bCs/>
          <w:color w:val="365F91" w:themeColor="accent1" w:themeShade="BF"/>
          <w:lang w:val="en-US"/>
        </w:rPr>
        <w:t>receive the number of shares corresponding to the number of rights of free allocation they held (if they opt to receive their remuneration in newly issued shares of the issuer);</w:t>
      </w:r>
    </w:p>
    <w:p w:rsidR="004541A3" w:rsidRPr="006F0405" w:rsidRDefault="004541A3" w:rsidP="00814BFD">
      <w:pPr>
        <w:numPr>
          <w:ilvl w:val="0"/>
          <w:numId w:val="42"/>
        </w:numPr>
        <w:spacing w:after="200" w:line="276" w:lineRule="auto"/>
        <w:ind w:left="567" w:hanging="283"/>
        <w:jc w:val="both"/>
        <w:rPr>
          <w:rFonts w:ascii="BBVA Office Light" w:hAnsi="BBVA Office Light"/>
          <w:bCs/>
          <w:color w:val="365F91" w:themeColor="accent1" w:themeShade="BF"/>
          <w:lang w:val="en-US"/>
        </w:rPr>
      </w:pPr>
      <w:r>
        <w:rPr>
          <w:rFonts w:ascii="BBVA Office Light" w:hAnsi="BBVA Office Light"/>
          <w:bCs/>
          <w:color w:val="365F91" w:themeColor="accent1" w:themeShade="BF"/>
          <w:lang w:val="en-US"/>
        </w:rPr>
        <w:t xml:space="preserve">to </w:t>
      </w:r>
      <w:r w:rsidRPr="006F0405">
        <w:rPr>
          <w:rFonts w:ascii="BBVA Office Light" w:hAnsi="BBVA Office Light"/>
          <w:bCs/>
          <w:color w:val="365F91" w:themeColor="accent1" w:themeShade="BF"/>
          <w:lang w:val="en-US"/>
        </w:rPr>
        <w:t>sell their rights of free allocation on the market during the trading peri</w:t>
      </w:r>
      <w:r>
        <w:rPr>
          <w:rFonts w:ascii="BBVA Office Light" w:hAnsi="BBVA Office Light"/>
          <w:bCs/>
          <w:color w:val="365F91" w:themeColor="accent1" w:themeShade="BF"/>
          <w:lang w:val="en-US"/>
        </w:rPr>
        <w:t>od established by the issuer;</w:t>
      </w:r>
    </w:p>
    <w:p w:rsidR="004541A3" w:rsidRDefault="004541A3" w:rsidP="00814BFD">
      <w:pPr>
        <w:numPr>
          <w:ilvl w:val="0"/>
          <w:numId w:val="42"/>
        </w:numPr>
        <w:spacing w:after="200" w:line="276" w:lineRule="auto"/>
        <w:ind w:left="567" w:hanging="283"/>
        <w:jc w:val="both"/>
        <w:rPr>
          <w:rFonts w:ascii="BBVA Office Light" w:hAnsi="BBVA Office Light"/>
          <w:bCs/>
          <w:color w:val="365F91" w:themeColor="accent1" w:themeShade="BF"/>
          <w:lang w:val="en-US"/>
        </w:rPr>
      </w:pPr>
      <w:r>
        <w:rPr>
          <w:rFonts w:ascii="BBVA Office Light" w:hAnsi="BBVA Office Light"/>
          <w:bCs/>
          <w:color w:val="365F91" w:themeColor="accent1" w:themeShade="BF"/>
          <w:lang w:val="en-US"/>
        </w:rPr>
        <w:t xml:space="preserve">to </w:t>
      </w:r>
      <w:r w:rsidRPr="006F0405">
        <w:rPr>
          <w:rFonts w:ascii="BBVA Office Light" w:hAnsi="BBVA Office Light"/>
          <w:bCs/>
          <w:color w:val="365F91" w:themeColor="accent1" w:themeShade="BF"/>
          <w:lang w:val="en-US"/>
        </w:rPr>
        <w:t>sell their rights of free allocation to the issuer at the fi</w:t>
      </w:r>
      <w:r>
        <w:rPr>
          <w:rFonts w:ascii="BBVA Office Light" w:hAnsi="BBVA Office Light"/>
          <w:bCs/>
          <w:color w:val="365F91" w:themeColor="accent1" w:themeShade="BF"/>
          <w:lang w:val="en-US"/>
        </w:rPr>
        <w:t>xed price assumed by the issuer; and/or</w:t>
      </w:r>
    </w:p>
    <w:p w:rsidR="00E9344E" w:rsidRPr="004541A3" w:rsidRDefault="004541A3" w:rsidP="00814BFD">
      <w:pPr>
        <w:ind w:left="567" w:hanging="283"/>
        <w:rPr>
          <w:lang w:val="en-US"/>
        </w:rPr>
      </w:pPr>
      <w:r>
        <w:rPr>
          <w:rFonts w:ascii="BBVA Office Light" w:hAnsi="BBVA Office Light"/>
          <w:bCs/>
          <w:color w:val="365F91" w:themeColor="accent1" w:themeShade="BF"/>
          <w:lang w:val="en-US"/>
        </w:rPr>
        <w:t>(d)</w:t>
      </w:r>
      <w:r>
        <w:rPr>
          <w:rFonts w:ascii="BBVA Office Light" w:hAnsi="BBVA Office Light"/>
          <w:bCs/>
          <w:color w:val="365F91" w:themeColor="accent1" w:themeShade="BF"/>
          <w:lang w:val="en-US"/>
        </w:rPr>
        <w:tab/>
      </w:r>
      <w:proofErr w:type="gramStart"/>
      <w:r>
        <w:rPr>
          <w:rFonts w:ascii="BBVA Office Light" w:hAnsi="BBVA Office Light"/>
          <w:bCs/>
          <w:color w:val="365F91" w:themeColor="accent1" w:themeShade="BF"/>
          <w:lang w:val="en-US"/>
        </w:rPr>
        <w:t>to</w:t>
      </w:r>
      <w:proofErr w:type="gramEnd"/>
      <w:r w:rsidRPr="00EB1EB3">
        <w:rPr>
          <w:rFonts w:ascii="BBVA Office Light" w:hAnsi="BBVA Office Light"/>
          <w:bCs/>
          <w:color w:val="365F91" w:themeColor="accent1" w:themeShade="BF"/>
          <w:lang w:val="en-US"/>
        </w:rPr>
        <w:t xml:space="preserve"> </w:t>
      </w:r>
      <w:r w:rsidRPr="006F0405">
        <w:rPr>
          <w:rFonts w:ascii="BBVA Office Light" w:hAnsi="BBVA Office Light"/>
          <w:bCs/>
          <w:color w:val="365F91" w:themeColor="accent1" w:themeShade="BF"/>
          <w:lang w:val="en-US"/>
        </w:rPr>
        <w:t>purchase or acquire on the market the rights of free allocation sufficient and in the necessary propo</w:t>
      </w:r>
      <w:r w:rsidRPr="006F0405">
        <w:rPr>
          <w:rFonts w:ascii="BBVA Office Light" w:hAnsi="BBVA Office Light"/>
          <w:bCs/>
          <w:color w:val="365F91" w:themeColor="accent1" w:themeShade="BF"/>
          <w:lang w:val="en-US"/>
        </w:rPr>
        <w:t>r</w:t>
      </w:r>
      <w:r w:rsidRPr="006F0405">
        <w:rPr>
          <w:rFonts w:ascii="BBVA Office Light" w:hAnsi="BBVA Office Light"/>
          <w:bCs/>
          <w:color w:val="365F91" w:themeColor="accent1" w:themeShade="BF"/>
          <w:lang w:val="en-US"/>
        </w:rPr>
        <w:t>tion to subscribe a newly issued share of the issuer where the number of rights of free allocation prev</w:t>
      </w:r>
      <w:r w:rsidRPr="006F0405">
        <w:rPr>
          <w:rFonts w:ascii="BBVA Office Light" w:hAnsi="BBVA Office Light"/>
          <w:bCs/>
          <w:color w:val="365F91" w:themeColor="accent1" w:themeShade="BF"/>
          <w:lang w:val="en-US"/>
        </w:rPr>
        <w:t>i</w:t>
      </w:r>
      <w:r w:rsidRPr="006F0405">
        <w:rPr>
          <w:rFonts w:ascii="BBVA Office Light" w:hAnsi="BBVA Office Light"/>
          <w:bCs/>
          <w:color w:val="365F91" w:themeColor="accent1" w:themeShade="BF"/>
          <w:lang w:val="en-US"/>
        </w:rPr>
        <w:t>ously a</w:t>
      </w:r>
      <w:r w:rsidRPr="006F0405">
        <w:rPr>
          <w:rFonts w:ascii="BBVA Office Light" w:hAnsi="BBVA Office Light"/>
          <w:bCs/>
          <w:color w:val="365F91" w:themeColor="accent1" w:themeShade="BF"/>
          <w:lang w:val="en-US"/>
        </w:rPr>
        <w:t>s</w:t>
      </w:r>
      <w:r w:rsidRPr="006F0405">
        <w:rPr>
          <w:rFonts w:ascii="BBVA Office Light" w:hAnsi="BBVA Office Light"/>
          <w:bCs/>
          <w:color w:val="365F91" w:themeColor="accent1" w:themeShade="BF"/>
          <w:lang w:val="en-US"/>
        </w:rPr>
        <w:t>signed to the PDMRs are not sufficient to subscribe a whole number of newly issued shares.</w:t>
      </w:r>
    </w:p>
    <w:permEnd w:id="17"/>
    <w:p w:rsidR="00E9344E" w:rsidRDefault="00E9344E" w:rsidP="00E9344E">
      <w:r>
        <w:t>&lt;ESMA_QUESTION_MAR_TA_14&gt;</w:t>
      </w:r>
    </w:p>
    <w:p w:rsidR="00E9344E" w:rsidRDefault="00E9344E" w:rsidP="00E9344E">
      <w:r>
        <w:br w:type="page"/>
      </w:r>
    </w:p>
    <w:p w:rsidR="00E9344E" w:rsidRDefault="00E9344E" w:rsidP="00E9344E">
      <w:pPr>
        <w:pStyle w:val="Ttulo1"/>
        <w:keepLines/>
        <w:numPr>
          <w:ilvl w:val="0"/>
          <w:numId w:val="37"/>
        </w:numPr>
        <w:spacing w:before="480" w:after="0"/>
      </w:pPr>
      <w:r>
        <w:lastRenderedPageBreak/>
        <w:t>Reporting of infringements</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8" w:edGrp="everyone"/>
      <w:r>
        <w:t>TYPE YOUR TEXT HERE</w:t>
      </w:r>
    </w:p>
    <w:permEnd w:id="18"/>
    <w:p w:rsidR="00E9344E" w:rsidRDefault="00E9344E" w:rsidP="00E9344E">
      <w:r>
        <w:t>&lt;ESMA_QUESTION_MAR_TA_15&gt;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9" w:edGrp="everyone"/>
      <w:r>
        <w:t>TYPE YOUR TEXT HERE</w:t>
      </w:r>
    </w:p>
    <w:permEnd w:id="19"/>
    <w:p w:rsidR="00E9344E" w:rsidRDefault="00E9344E" w:rsidP="00E9344E">
      <w:r>
        <w:t>&lt;ESMA_QUESTION_MAR_TA_16&gt;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Ttulo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Ttulo5"/>
        <w:keepNext w:val="0"/>
        <w:keepLines w:val="0"/>
        <w:numPr>
          <w:ilvl w:val="0"/>
          <w:numId w:val="39"/>
        </w:numPr>
        <w:spacing w:before="0" w:line="276" w:lineRule="auto"/>
      </w:pPr>
      <w:r>
        <w:t>protection of the rights related to data processing;</w:t>
      </w:r>
    </w:p>
    <w:p w:rsidR="00E9344E" w:rsidRDefault="00E9344E" w:rsidP="00E9344E">
      <w:pPr>
        <w:pStyle w:val="Ttulo5"/>
        <w:keepNext w:val="0"/>
        <w:keepLines w:val="0"/>
        <w:numPr>
          <w:ilvl w:val="0"/>
          <w:numId w:val="39"/>
        </w:numPr>
        <w:spacing w:before="0" w:line="276" w:lineRule="auto"/>
      </w:pPr>
      <w:r>
        <w:t>security aspects of the data processing operation; and</w:t>
      </w:r>
    </w:p>
    <w:p w:rsidR="00E9344E" w:rsidRDefault="00E9344E" w:rsidP="00E9344E">
      <w:pPr>
        <w:pStyle w:val="Ttulo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20" w:edGrp="everyone"/>
      <w:r>
        <w:t>TYPE YOUR TEXT HERE</w:t>
      </w:r>
    </w:p>
    <w:permEnd w:id="20"/>
    <w:p w:rsidR="00E9344E" w:rsidRDefault="00E9344E" w:rsidP="00E9344E">
      <w:r>
        <w:t>&lt;ESMA_QUESTION_MAR_TA_17&gt;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21" w:edGrp="everyone"/>
      <w:r>
        <w:t>TYPE YOUR TEXT HERE</w:t>
      </w:r>
    </w:p>
    <w:permEnd w:id="21"/>
    <w:p w:rsidR="00E9344E" w:rsidRDefault="00E9344E" w:rsidP="00E9344E">
      <w:r>
        <w:t>&lt;ESMA_QUESTION_MAR_TA_18&gt;</w:t>
      </w:r>
    </w:p>
    <w:p w:rsidR="00E9344E" w:rsidRDefault="00E9344E" w:rsidP="00E9344E"/>
    <w:p w:rsidR="00E9344E" w:rsidRDefault="00E9344E" w:rsidP="00E9344E">
      <w:pPr>
        <w:pStyle w:val="Ttulo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22" w:edGrp="everyone"/>
      <w:r>
        <w:t>TYPE YOUR TEXT HERE</w:t>
      </w:r>
    </w:p>
    <w:permEnd w:id="22"/>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FF7" w:rsidRDefault="00782FF7">
      <w:r>
        <w:separator/>
      </w:r>
    </w:p>
    <w:p w:rsidR="00782FF7" w:rsidRDefault="00782FF7"/>
  </w:endnote>
  <w:endnote w:type="continuationSeparator" w:id="0">
    <w:p w:rsidR="00782FF7" w:rsidRDefault="00782FF7">
      <w:r>
        <w:continuationSeparator/>
      </w:r>
    </w:p>
    <w:p w:rsidR="00782FF7" w:rsidRDefault="00782FF7"/>
  </w:endnote>
  <w:endnote w:type="continuationNotice" w:id="1">
    <w:p w:rsidR="00782FF7" w:rsidRDefault="00782F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BBVA Office Light">
    <w:altName w:val="TypoSlabserif-Light"/>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706AC8" w:rsidP="002C5B2D">
          <w:pPr>
            <w:pStyle w:val="00aPagenumber"/>
          </w:pPr>
          <w:r>
            <w:fldChar w:fldCharType="begin"/>
          </w:r>
          <w:r w:rsidR="00811EDA">
            <w:instrText xml:space="preserve"> PAGE </w:instrText>
          </w:r>
          <w:r>
            <w:fldChar w:fldCharType="separate"/>
          </w:r>
          <w:r w:rsidR="00C62EE7">
            <w:rPr>
              <w:noProof/>
            </w:rPr>
            <w:t>10</w:t>
          </w:r>
          <w:r>
            <w:rPr>
              <w:noProof/>
            </w:rPr>
            <w:fldChar w:fldCharType="end"/>
          </w:r>
        </w:p>
      </w:tc>
    </w:tr>
  </w:tbl>
  <w:p w:rsidR="00811EDA" w:rsidRDefault="00811ED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FF7" w:rsidRDefault="00782FF7">
      <w:r>
        <w:separator/>
      </w:r>
    </w:p>
    <w:p w:rsidR="00782FF7" w:rsidRDefault="00782FF7"/>
  </w:footnote>
  <w:footnote w:type="continuationSeparator" w:id="0">
    <w:p w:rsidR="00782FF7" w:rsidRDefault="00782FF7">
      <w:r>
        <w:continuationSeparator/>
      </w:r>
    </w:p>
    <w:p w:rsidR="00782FF7" w:rsidRDefault="00782FF7"/>
  </w:footnote>
  <w:footnote w:type="continuationNotice" w:id="1">
    <w:p w:rsidR="00782FF7" w:rsidRDefault="00782FF7"/>
  </w:footnote>
  <w:footnote w:id="2">
    <w:p w:rsidR="00E9344E" w:rsidRDefault="00E9344E" w:rsidP="00E9344E">
      <w:pPr>
        <w:pStyle w:val="Textonotapie"/>
      </w:pPr>
      <w:r>
        <w:rPr>
          <w:rStyle w:val="Refdenotaalpi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024F53">
    <w:pPr>
      <w:pStyle w:val="Encabezado"/>
    </w:pPr>
    <w:r>
      <w:rPr>
        <w:noProof/>
        <w:lang w:val="es-ES" w:eastAsia="es-E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706AC8" w:rsidRPr="00706AC8">
      <w:rPr>
        <w:noProof/>
        <w:lang w:eastAsia="en-GB"/>
      </w:rPr>
      <w:pict>
        <v:line id="Line 16" o:spid="_x0000_s4098"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024F53" w:rsidP="00013CCE">
    <w:pPr>
      <w:pStyle w:val="Encabezado"/>
      <w:jc w:val="right"/>
    </w:pPr>
    <w:r>
      <w:rPr>
        <w:noProof/>
        <w:lang w:val="es-ES" w:eastAsia="es-E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s-ES" w:eastAsia="es-E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cabezado"/>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highlight w:val="yellow"/>
        <w:lang w:val="fr-FR"/>
      </w:rPr>
    </w:pPr>
  </w:p>
  <w:p w:rsidR="00811EDA" w:rsidRDefault="00706AC8">
    <w:pPr>
      <w:pStyle w:val="Encabezado"/>
    </w:pPr>
    <w:r w:rsidRPr="00706AC8">
      <w:rPr>
        <w:noProof/>
        <w:lang w:eastAsia="en-GB"/>
      </w:rPr>
      <w:pict>
        <v:line id="Straight Connector 138" o:spid="_x0000_s4097"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024F53">
      <w:rPr>
        <w:noProof/>
        <w:lang w:val="es-ES" w:eastAsia="es-E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3">
    <w:nsid w:val="62F64F03"/>
    <w:multiLevelType w:val="hybridMultilevel"/>
    <w:tmpl w:val="A6A8E664"/>
    <w:lvl w:ilvl="0" w:tplc="D330939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5"/>
  </w:num>
  <w:num w:numId="23">
    <w:abstractNumId w:val="25"/>
  </w:num>
  <w:num w:numId="24">
    <w:abstractNumId w:val="10"/>
  </w:num>
  <w:num w:numId="25">
    <w:abstractNumId w:val="30"/>
  </w:num>
  <w:num w:numId="26">
    <w:abstractNumId w:val="29"/>
  </w:num>
  <w:num w:numId="27">
    <w:abstractNumId w:val="21"/>
  </w:num>
  <w:num w:numId="28">
    <w:abstractNumId w:val="34"/>
  </w:num>
  <w:num w:numId="29">
    <w:abstractNumId w:val="37"/>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5"/>
  </w:num>
  <w:num w:numId="42">
    <w:abstractNumId w:val="3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6146">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41A3"/>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4B7F"/>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6AC8"/>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FF7"/>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BFD"/>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4C25"/>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2EE7"/>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tulo1">
    <w:name w:val="heading 1"/>
    <w:basedOn w:val="Normal"/>
    <w:next w:val="Normal"/>
    <w:link w:val="Ttulo1Car"/>
    <w:qFormat/>
    <w:rsid w:val="009E7724"/>
    <w:pPr>
      <w:keepNext/>
      <w:numPr>
        <w:numId w:val="6"/>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4"/>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uiPriority w:val="99"/>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9"/>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Georgia" w:hAnsi="Georgia"/>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30365211">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Textodelmarcadordeposicin"/>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Textodelmarcadordeposicin"/>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Textodelmarcadordeposicin"/>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BBVA Office Light">
    <w:altName w:val="TypoSlabserif-Light"/>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hyphenationZone w:val="425"/>
  <w:characterSpacingControl w:val="doNotCompress"/>
  <w:compat>
    <w:useFELayout/>
  </w:compat>
  <w:rsids>
    <w:rsidRoot w:val="00057CC3"/>
    <w:rsid w:val="00057CC3"/>
    <w:rsid w:val="00582AC0"/>
    <w:rsid w:val="00880D16"/>
    <w:rsid w:val="0088361F"/>
    <w:rsid w:val="00D924AF"/>
    <w:rsid w:val="00DA60A1"/>
    <w:rsid w:val="00F061C2"/>
    <w:rsid w:val="00FA55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BD65-550A-4587-BA09-9DC62FE1D3C2}">
  <ds:schemaRefs>
    <ds:schemaRef ds:uri="http://schemas.openxmlformats.org/officeDocument/2006/bibliography"/>
  </ds:schemaRefs>
</ds:datastoreItem>
</file>

<file path=customXml/itemProps2.xml><?xml version="1.0" encoding="utf-8"?>
<ds:datastoreItem xmlns:ds="http://schemas.openxmlformats.org/officeDocument/2006/customXml" ds:itemID="{41BB48D5-D962-48EA-A4E1-F29555B2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2204</Words>
  <Characters>12123</Characters>
  <Application>Microsoft Office Word</Application>
  <DocSecurity>8</DocSecurity>
  <Lines>101</Lines>
  <Paragraphs>28</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14299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Patricia Rodriguez</cp:lastModifiedBy>
  <cp:revision>4</cp:revision>
  <cp:lastPrinted>2014-05-08T15:06:00Z</cp:lastPrinted>
  <dcterms:created xsi:type="dcterms:W3CDTF">2014-10-15T16:09:00Z</dcterms:created>
  <dcterms:modified xsi:type="dcterms:W3CDTF">2014-10-15T17:42:00Z</dcterms:modified>
</cp:coreProperties>
</file>