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lastRenderedPageBreak/>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lastRenderedPageBreak/>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lastRenderedPageBreak/>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701425"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646065672" w:edGrp="everyone"/>
                <w:r w:rsidR="00F3659B">
                  <w:t>No</w:t>
                </w:r>
                <w:permEnd w:id="646065672"/>
              </w:sdtContent>
            </w:sdt>
          </w:p>
        </w:tc>
      </w:tr>
      <w:tr w:rsidR="00E8774A" w:rsidTr="008313E5">
        <w:tc>
          <w:tcPr>
            <w:tcW w:w="3510" w:type="dxa"/>
          </w:tcPr>
          <w:p w:rsidR="00E8774A" w:rsidRDefault="00E8774A" w:rsidP="008313E5">
            <w:r>
              <w:t>Activity:</w:t>
            </w:r>
          </w:p>
        </w:tc>
        <w:tc>
          <w:tcPr>
            <w:tcW w:w="6118" w:type="dxa"/>
          </w:tcPr>
          <w:p w:rsidR="00E8774A" w:rsidRDefault="00701425" w:rsidP="008313E5">
            <w:sdt>
              <w:sdtPr>
                <w:alias w:val="Activity"/>
                <w:tag w:val="Activity"/>
                <w:id w:val="1654095920"/>
                <w:placeholder>
                  <w:docPart w:val="D5B685D445D340288F8171B5CFF17E35"/>
                </w:placeholde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1927680704" w:edGrp="everyone"/>
                <w:r w:rsidR="00F3659B">
                  <w:t>Non-financial counterparty</w:t>
                </w:r>
                <w:permEnd w:id="1927680704"/>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070293003" w:edGrp="everyone" w:displacedByCustomXml="prev"/>
            <w:tc>
              <w:tcPr>
                <w:tcW w:w="6118" w:type="dxa"/>
              </w:tcPr>
              <w:p w:rsidR="00E8774A" w:rsidRDefault="00F3659B" w:rsidP="008313E5">
                <w:r>
                  <w:t>UK</w:t>
                </w:r>
              </w:p>
            </w:tc>
            <w:permEnd w:id="1070293003"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lastRenderedPageBreak/>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D74C9D" w:rsidRDefault="00D74C9D" w:rsidP="00D74C9D">
      <w:permStart w:id="1536433002" w:edGrp="everyone"/>
      <w:r>
        <w:t>TYPE YOUR TEXT HERE</w:t>
      </w:r>
    </w:p>
    <w:permEnd w:id="1536433002"/>
    <w:p w:rsidR="00D74C9D" w:rsidRDefault="00D74C9D" w:rsidP="00D74C9D">
      <w:r>
        <w:t>&lt;</w:t>
      </w:r>
      <w:r w:rsidRPr="00D74C9D">
        <w:t xml:space="preserve"> </w:t>
      </w:r>
      <w:r>
        <w:t>ESMA_COMMENT_MAR_TA_1&gt;</w:t>
      </w:r>
    </w:p>
    <w:p w:rsidR="00D74C9D" w:rsidRDefault="00D74C9D">
      <w:r>
        <w:br w:type="page"/>
      </w:r>
    </w:p>
    <w:p w:rsidR="00E9344E" w:rsidRDefault="00E9344E" w:rsidP="00E9344E">
      <w:pPr>
        <w:pStyle w:val="Heading1"/>
        <w:keepLines/>
        <w:numPr>
          <w:ilvl w:val="0"/>
          <w:numId w:val="37"/>
        </w:numPr>
        <w:spacing w:before="480" w:after="0"/>
      </w:pPr>
      <w:r>
        <w:lastRenderedPageBreak/>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E9344E" w:rsidRDefault="00E9344E" w:rsidP="00E9344E">
      <w:permStart w:id="1932331698" w:edGrp="everyone"/>
      <w:r>
        <w:t>TYPE YOUR TEXT HERE</w:t>
      </w:r>
    </w:p>
    <w:permEnd w:id="1932331698"/>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E9344E" w:rsidRDefault="00E9344E" w:rsidP="00E9344E">
      <w:permStart w:id="1322540466" w:edGrp="everyone"/>
      <w:r>
        <w:t>TYPE YOUR TEXT HERE</w:t>
      </w:r>
    </w:p>
    <w:permEnd w:id="1322540466"/>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E9344E" w:rsidRDefault="00E9344E" w:rsidP="00E9344E">
      <w:permStart w:id="499995350" w:edGrp="everyone"/>
      <w:r>
        <w:t>TYPE YOUR TEXT HERE</w:t>
      </w:r>
    </w:p>
    <w:permEnd w:id="499995350"/>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E9344E" w:rsidRDefault="00E9344E" w:rsidP="00E9344E">
      <w:permStart w:id="1264281385" w:edGrp="everyone"/>
      <w:r>
        <w:t>TYPE YOUR TEXT HERE</w:t>
      </w:r>
    </w:p>
    <w:permEnd w:id="1264281385"/>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lastRenderedPageBreak/>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E9344E" w:rsidRDefault="00E9344E" w:rsidP="00E9344E">
      <w:permStart w:id="767898264" w:edGrp="everyone"/>
      <w:r>
        <w:t>TYPE YOUR TEXT HERE</w:t>
      </w:r>
    </w:p>
    <w:permEnd w:id="767898264"/>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E9344E" w:rsidRDefault="00E9344E" w:rsidP="00E9344E">
      <w:permStart w:id="1602622120" w:edGrp="everyone"/>
      <w:r>
        <w:t>TYPE YOUR TEXT HERE</w:t>
      </w:r>
    </w:p>
    <w:permEnd w:id="1602622120"/>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E9344E" w:rsidRDefault="00E9344E" w:rsidP="00E9344E">
      <w:permStart w:id="1942575412" w:edGrp="everyone"/>
      <w:r>
        <w:t>TYPE YOUR TEXT HERE</w:t>
      </w:r>
    </w:p>
    <w:permEnd w:id="1942575412"/>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397028188" w:edGrp="everyone"/>
      <w:r>
        <w:t>TYPE YOUR TEXT HERE</w:t>
      </w:r>
    </w:p>
    <w:permEnd w:id="397028188"/>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1669625762" w:edGrp="everyone"/>
      <w:r>
        <w:t>TYPE YOUR TEXT HERE</w:t>
      </w:r>
    </w:p>
    <w:permEnd w:id="1669625762"/>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701425" w:rsidRDefault="00701425" w:rsidP="00701425">
      <w:permStart w:id="1570440657" w:edGrp="everyone"/>
      <w:r>
        <w:t xml:space="preserve">No.  In paragraph 2(m) inheritance should only trigger notification at the very earliest when the PDMR becomes aware that they may be a beneficiary, as before this date, the PDMR may not be aware they are a beneficiary and cannot disclose what they do not know. However, it would be more relevant to require disclosure when the securities are actually received and vested in the PDMR, as even if they are a potential beneficiary, the requirement of the deceased’s estate to pay death duties </w:t>
      </w:r>
      <w:proofErr w:type="spellStart"/>
      <w:r>
        <w:t>etc</w:t>
      </w:r>
      <w:proofErr w:type="spellEnd"/>
      <w:r>
        <w:t xml:space="preserve">, may mean that the PDMR does not in fact receive the inheritance.  </w:t>
      </w:r>
    </w:p>
    <w:p w:rsidR="00E9344E" w:rsidRDefault="00701425" w:rsidP="00701425">
      <w:r>
        <w:t>At paragraph 2(b), it would be helpful to clarify that the unilateral grant of stock options, where no a</w:t>
      </w:r>
      <w:r>
        <w:t>c</w:t>
      </w:r>
      <w:r>
        <w:t>ceptance is required by the employee, does not require notification.  It would also be useful to identify whether this applies to other rights granted to employees as part of their remuneration package, such as conditional awards.</w:t>
      </w:r>
    </w:p>
    <w:permEnd w:id="1570440657"/>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E9344E" w:rsidRDefault="00701425" w:rsidP="00E9344E">
      <w:permStart w:id="2144813540" w:edGrp="everyone"/>
      <w:r w:rsidRPr="00701425">
        <w:t xml:space="preserve">Yes, we consider this to be appropriate. </w:t>
      </w:r>
    </w:p>
    <w:permEnd w:id="2144813540"/>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701425" w:rsidRDefault="00701425" w:rsidP="00701425">
      <w:permStart w:id="1641693000" w:edGrp="everyone"/>
      <w:r>
        <w:t xml:space="preserve">No.  We suggest that the list of transactions permitted in a close period cover those areas exempted from the Model Code of the UK FCA (see Annex to Listing Rule 9 of the UK FCA Listing Rules).  There is no rational basis for PDMRs to be penalised in such circumstances, and no investor protection benefit to be gained.  </w:t>
      </w:r>
    </w:p>
    <w:p w:rsidR="00701425" w:rsidRDefault="00701425" w:rsidP="00701425">
      <w:r>
        <w:t xml:space="preserve">We disagree with the extension of the prohibition in paragraph 2(n) to transactions executed by a third party exercising full discretion as contemplated in paragraph 90 of the CP.  This restriction would result in severe practical difficulties for PDMRs which are not justified by any increased protection for the market.  </w:t>
      </w:r>
    </w:p>
    <w:p w:rsidR="00701425" w:rsidRDefault="00701425" w:rsidP="00701425">
      <w:r>
        <w:t>We also note that it is proposed that only the publication of a full annual financial report will end the close period.  This is likely to cause practical difficulties for us, as in accordance with UK market practice, we publish preliminary results in advance of our full year end report to ensure timely disclosure to the ma</w:t>
      </w:r>
      <w:r>
        <w:t>r</w:t>
      </w:r>
      <w:r>
        <w:t xml:space="preserve">ket.  In recognition of this fact, the Model Code of the UK FCA provides that publication of preliminary results (or interim results for the half year) brings the relevant close period to an end.  A similar approach under MAR would seem to be proportionate and avoid an unnecessary restriction being borne by PDMRs.  Where a preliminary report contains all inside information that will be included in the later publication of the full annual report, no close period should be required prior to publication of the full annual report, as no new inside information will be included in the full annual report.  If, as currently set out in the CP, a close period is required to run for the 30 days prior to the publication of the full annual report this is likely to result in an unnecessary prohibition on PDMR trading at a time when the market is in possession of all relevant information.  At the same time, the MAR protections (as drafted) will not apply during the time between the end of the financial period and the time of publication of the preliminary results, which will usually be more than 30 days before publication of the full annual report.  As such we suggest that ESMA treats preliminary reports containing relevant inside information as “year-end reports” (as referred to in Article 19(11) of MAR) for this purpose, and the closed period applies to the period prior to publication of the earlier of any preliminary report and the full annual report (i.e. publication of the later report does not require a new closed period).  </w:t>
      </w:r>
    </w:p>
    <w:p w:rsidR="00701425" w:rsidRDefault="00701425" w:rsidP="00701425">
      <w:r>
        <w:t>In paragraph 4 of the draft technical advice, the requirement that the PDMR “can demonstrate that the particular transaction cannot be executed at another moment in time than during the closed period” should be deleted.  This requirement is impractical and goes further than the requirements set out in Article 19(12) of MAR. Paragraphs 6 to 9 of the draft technical advice should provide that the exercise of options (which is technically a purchase of shares, even if the shares are subsequently sold as part of the same transaction) may be permitted in exceptional circumstances, as well as the sale of shares.</w:t>
      </w:r>
    </w:p>
    <w:p w:rsidR="00701425" w:rsidRDefault="00701425" w:rsidP="00701425">
      <w:r>
        <w:t xml:space="preserve">Paragraphs 6 to 9 of the draft technical advice should provide that financial difficulty is only one example of “exceptional circumstances”, as provided in Article 19(12)(a) of MAR.  </w:t>
      </w:r>
    </w:p>
    <w:p w:rsidR="00701425" w:rsidRDefault="00701425" w:rsidP="00701425">
      <w:r>
        <w:t>Paragraph 10 of the draft technical advice refers to the paragraphs that follow as a “non-exhaustive” list of transactions in relation to Article 19(12</w:t>
      </w:r>
      <w:proofErr w:type="gramStart"/>
      <w:r>
        <w:t>)(</w:t>
      </w:r>
      <w:proofErr w:type="gramEnd"/>
      <w:r>
        <w:t xml:space="preserve">b) of MAR.  It would be helpful if the draft technical advice set out expressly that it is possible to look beyond the very detailed list of transactions in paragraphs 11 to 16 and that other transactions may fall into this category.  </w:t>
      </w:r>
    </w:p>
    <w:p w:rsidR="00701425" w:rsidRDefault="00701425" w:rsidP="00701425">
      <w:r>
        <w:t>Paragraph 11(b</w:t>
      </w:r>
      <w:proofErr w:type="gramStart"/>
      <w:r>
        <w:t>)(</w:t>
      </w:r>
      <w:proofErr w:type="gramEnd"/>
      <w:r>
        <w:t xml:space="preserve">ii) should make clear that it is sufficient for an employee share scheme to set out limits on the amount of awards that can be granted to any one recipient.  </w:t>
      </w:r>
    </w:p>
    <w:p w:rsidR="00E9344E" w:rsidRDefault="00701425" w:rsidP="00701425">
      <w:r>
        <w:t>Paragraph 15 should be amended to reflect the broader Article 19(12</w:t>
      </w:r>
      <w:proofErr w:type="gramStart"/>
      <w:r>
        <w:t>)(</w:t>
      </w:r>
      <w:proofErr w:type="gramEnd"/>
      <w:r>
        <w:t>b) of MAR, which provides for an exemption wherever “the beneficial interest in the relevant security does not change”.</w:t>
      </w:r>
    </w:p>
    <w:permEnd w:id="1641693000"/>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701425" w:rsidP="00E9344E">
      <w:permStart w:id="861217528" w:edGrp="everyone"/>
      <w:r w:rsidRPr="00701425">
        <w:t xml:space="preserve">Yes.  See response to Q12. While the use of a “weighting approach” to indices and baskets is helpful, it does not solve all issues for our PDMRs.  SABMiller </w:t>
      </w:r>
      <w:proofErr w:type="spellStart"/>
      <w:r w:rsidRPr="00701425">
        <w:t>plc</w:t>
      </w:r>
      <w:proofErr w:type="spellEnd"/>
      <w:r w:rsidRPr="00701425">
        <w:t xml:space="preserve"> may form a significant proportion of certain indices and our PDMRs could as a practical matter be prohibited from investing in certain tracker products (e.g. in the FTSE 10).</w:t>
      </w:r>
      <w:bookmarkStart w:id="4" w:name="_GoBack"/>
      <w:bookmarkEnd w:id="4"/>
    </w:p>
    <w:permEnd w:id="861217528"/>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E9344E" w:rsidRDefault="00E9344E" w:rsidP="00E9344E">
      <w:permStart w:id="1307444766" w:edGrp="everyone"/>
      <w:r>
        <w:t>TYPE YOUR TEXT HERE</w:t>
      </w:r>
    </w:p>
    <w:permEnd w:id="1307444766"/>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lastRenderedPageBreak/>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E9344E" w:rsidRDefault="00E9344E" w:rsidP="00E9344E">
      <w:permStart w:id="16279081" w:edGrp="everyone"/>
      <w:r>
        <w:t>TYPE YOUR TEXT HERE</w:t>
      </w:r>
    </w:p>
    <w:permEnd w:id="16279081"/>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E9344E" w:rsidRDefault="00E9344E" w:rsidP="00E9344E">
      <w:permStart w:id="1841514646" w:edGrp="everyone"/>
      <w:r>
        <w:t>TYPE YOUR TEXT HERE</w:t>
      </w:r>
    </w:p>
    <w:permEnd w:id="1841514646"/>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E9344E" w:rsidRDefault="00E9344E" w:rsidP="00E9344E">
      <w:permStart w:id="1072110478" w:edGrp="everyone"/>
      <w:r>
        <w:t>TYPE YOUR TEXT HERE</w:t>
      </w:r>
    </w:p>
    <w:permEnd w:id="1072110478"/>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E9344E" w:rsidRDefault="00E9344E" w:rsidP="00E9344E">
      <w:permStart w:id="1900301106" w:edGrp="everyone"/>
      <w:r>
        <w:t>TYPE YOUR TEXT HERE</w:t>
      </w:r>
    </w:p>
    <w:permEnd w:id="1900301106"/>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lastRenderedPageBreak/>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E9344E" w:rsidRDefault="00E9344E" w:rsidP="00E9344E">
      <w:permStart w:id="1467681707" w:edGrp="everyone"/>
      <w:r>
        <w:t>TYPE YOUR TEXT HERE</w:t>
      </w:r>
    </w:p>
    <w:permEnd w:id="1467681707"/>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16"/>
      <w:headerReference w:type="first" r:id="rId17"/>
      <w:footerReference w:type="first" r:id="rId18"/>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701425">
            <w:rPr>
              <w:noProof/>
            </w:rPr>
            <w:t>4</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7">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7"/>
  </w:num>
  <w:num w:numId="2">
    <w:abstractNumId w:val="20"/>
  </w:num>
  <w:num w:numId="3">
    <w:abstractNumId w:val="13"/>
  </w:num>
  <w:num w:numId="4">
    <w:abstractNumId w:val="24"/>
  </w:num>
  <w:num w:numId="5">
    <w:abstractNumId w:val="3"/>
  </w:num>
  <w:num w:numId="6">
    <w:abstractNumId w:val="26"/>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1"/>
  </w:num>
  <w:num w:numId="15">
    <w:abstractNumId w:val="23"/>
  </w:num>
  <w:num w:numId="16">
    <w:abstractNumId w:val="11"/>
  </w:num>
  <w:num w:numId="17">
    <w:abstractNumId w:val="1"/>
  </w:num>
  <w:num w:numId="18">
    <w:abstractNumId w:val="15"/>
  </w:num>
  <w:num w:numId="19">
    <w:abstractNumId w:val="16"/>
  </w:num>
  <w:num w:numId="20">
    <w:abstractNumId w:val="18"/>
  </w:num>
  <w:num w:numId="21">
    <w:abstractNumId w:val="27"/>
  </w:num>
  <w:num w:numId="22">
    <w:abstractNumId w:val="34"/>
  </w:num>
  <w:num w:numId="23">
    <w:abstractNumId w:val="25"/>
  </w:num>
  <w:num w:numId="24">
    <w:abstractNumId w:val="10"/>
  </w:num>
  <w:num w:numId="25">
    <w:abstractNumId w:val="30"/>
  </w:num>
  <w:num w:numId="26">
    <w:abstractNumId w:val="29"/>
  </w:num>
  <w:num w:numId="27">
    <w:abstractNumId w:val="21"/>
  </w:num>
  <w:num w:numId="28">
    <w:abstractNumId w:val="33"/>
  </w:num>
  <w:num w:numId="29">
    <w:abstractNumId w:val="36"/>
  </w:num>
  <w:num w:numId="30">
    <w:abstractNumId w:val="8"/>
  </w:num>
  <w:num w:numId="31">
    <w:abstractNumId w:val="4"/>
  </w:num>
  <w:num w:numId="32">
    <w:abstractNumId w:val="22"/>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2"/>
  </w:num>
  <w:num w:numId="3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3948"/>
    <w:rsid w:val="006F4403"/>
    <w:rsid w:val="006F45EC"/>
    <w:rsid w:val="006F47B8"/>
    <w:rsid w:val="006F47D2"/>
    <w:rsid w:val="006F4B04"/>
    <w:rsid w:val="006F5456"/>
    <w:rsid w:val="006F57F2"/>
    <w:rsid w:val="006F6468"/>
    <w:rsid w:val="00700247"/>
    <w:rsid w:val="00701051"/>
    <w:rsid w:val="00701425"/>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D87"/>
    <w:rsid w:val="00846C3A"/>
    <w:rsid w:val="008477BF"/>
    <w:rsid w:val="008503DA"/>
    <w:rsid w:val="00850B68"/>
    <w:rsid w:val="00850E82"/>
    <w:rsid w:val="0085122D"/>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659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1B9"/>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www.esma.europa.e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9A572-C2CD-4B18-88DA-509839EF788C}">
  <ds:schemaRefs>
    <ds:schemaRef ds:uri="http://schemas.openxmlformats.org/officeDocument/2006/bibliography"/>
  </ds:schemaRefs>
</ds:datastoreItem>
</file>

<file path=customXml/itemProps2.xml><?xml version="1.0" encoding="utf-8"?>
<ds:datastoreItem xmlns:ds="http://schemas.openxmlformats.org/officeDocument/2006/customXml" ds:itemID="{1C07C503-2183-4AD8-A7A6-B3CAC78FC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13</Pages>
  <Words>2356</Words>
  <Characters>13364</Characters>
  <Application>Microsoft Office Word</Application>
  <DocSecurity>8</DocSecurity>
  <Lines>111</Lines>
  <Paragraphs>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15689</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Edward Perks</cp:lastModifiedBy>
  <cp:revision>4</cp:revision>
  <cp:lastPrinted>2014-05-08T15:06:00Z</cp:lastPrinted>
  <dcterms:created xsi:type="dcterms:W3CDTF">2014-10-13T08:28:00Z</dcterms:created>
  <dcterms:modified xsi:type="dcterms:W3CDTF">2014-10-14T08:19:00Z</dcterms:modified>
</cp:coreProperties>
</file>