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AA03F5"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287393085" w:edGrp="everyone"/>
                <w:r w:rsidR="00A932B8">
                  <w:t>Yes</w:t>
                </w:r>
                <w:permEnd w:id="1287393085"/>
              </w:sdtContent>
            </w:sdt>
          </w:p>
        </w:tc>
      </w:tr>
      <w:tr w:rsidR="00E8774A" w:rsidTr="008313E5">
        <w:tc>
          <w:tcPr>
            <w:tcW w:w="3510" w:type="dxa"/>
          </w:tcPr>
          <w:p w:rsidR="00E8774A" w:rsidRDefault="00E8774A" w:rsidP="008313E5">
            <w:r>
              <w:t>Activity:</w:t>
            </w:r>
          </w:p>
        </w:tc>
        <w:tc>
          <w:tcPr>
            <w:tcW w:w="6118" w:type="dxa"/>
          </w:tcPr>
          <w:p w:rsidR="00E8774A" w:rsidRDefault="00AA03F5"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960703511" w:edGrp="everyone"/>
                <w:r w:rsidR="00A932B8">
                  <w:t>Other Financial service providers</w:t>
                </w:r>
                <w:permEnd w:id="960703511"/>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91618811" w:edGrp="everyone" w:displacedByCustomXml="prev"/>
            <w:tc>
              <w:tcPr>
                <w:tcW w:w="6118" w:type="dxa"/>
              </w:tcPr>
              <w:p w:rsidR="00E8774A" w:rsidRDefault="00A932B8" w:rsidP="008313E5">
                <w:r>
                  <w:t>UK</w:t>
                </w:r>
              </w:p>
            </w:tc>
            <w:permEnd w:id="1591618811" w:displacedByCustomXml="next"/>
          </w:sdtContent>
        </w:sdt>
      </w:tr>
    </w:tbl>
    <w:p w:rsidR="00D74C9D" w:rsidRDefault="005D1023" w:rsidP="00D74C9D">
      <w:pPr>
        <w:pStyle w:val="Heading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A932B8" w:rsidRDefault="00A932B8" w:rsidP="00A932B8">
      <w:permStart w:id="951856809" w:edGrp="everyone"/>
      <w:r>
        <w:rPr>
          <w:noProof/>
        </w:rPr>
        <mc:AlternateContent>
          <mc:Choice Requires="wps">
            <w:drawing>
              <wp:anchor distT="0" distB="0" distL="114300" distR="114300" simplePos="0" relativeHeight="251659264" behindDoc="0" locked="0" layoutInCell="1" allowOverlap="1" wp14:anchorId="2B277721" wp14:editId="2411EDA7">
                <wp:simplePos x="0" y="0"/>
                <wp:positionH relativeFrom="column">
                  <wp:posOffset>-252730</wp:posOffset>
                </wp:positionH>
                <wp:positionV relativeFrom="paragraph">
                  <wp:posOffset>9403080</wp:posOffset>
                </wp:positionV>
                <wp:extent cx="3989070" cy="850265"/>
                <wp:effectExtent l="0" t="0" r="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850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32B8" w:rsidRPr="00AC6280" w:rsidRDefault="00A932B8" w:rsidP="00A932B8">
                            <w:pPr>
                              <w:rPr>
                                <w:rFonts w:ascii="Frutiger LT Std 45 Light" w:hAnsi="Frutiger LT Std 45 Light"/>
                                <w:color w:val="524540"/>
                                <w:sz w:val="16"/>
                                <w:szCs w:val="16"/>
                              </w:rPr>
                            </w:pPr>
                            <w:permStart w:id="1879907372" w:edGrp="everyone"/>
                            <w:r w:rsidRPr="00AC6280">
                              <w:rPr>
                                <w:rFonts w:ascii="Frutiger LT Std 45 Light" w:hAnsi="Frutiger LT Std 45 Light"/>
                                <w:color w:val="524540"/>
                                <w:sz w:val="16"/>
                                <w:szCs w:val="16"/>
                              </w:rPr>
                              <w:t>The Quoted Companies Alliance is the independent membership organisation that champions the interests of small to mid-size quoted companies.</w:t>
                            </w:r>
                          </w:p>
                          <w:p w:rsidR="00A932B8" w:rsidRPr="00AC6280" w:rsidRDefault="00A932B8" w:rsidP="00A932B8">
                            <w:pPr>
                              <w:rPr>
                                <w:rFonts w:ascii="Frutiger LT Std 45 Light" w:hAnsi="Frutiger LT Std 45 Light"/>
                                <w:color w:val="524540"/>
                                <w:sz w:val="16"/>
                                <w:szCs w:val="16"/>
                              </w:rPr>
                            </w:pPr>
                            <w:r w:rsidRPr="00AC6280">
                              <w:rPr>
                                <w:rFonts w:ascii="Frutiger LT Std 45 Light" w:hAnsi="Frutiger LT Std 45 Light"/>
                                <w:color w:val="524540"/>
                                <w:sz w:val="16"/>
                                <w:szCs w:val="16"/>
                              </w:rPr>
                              <w:t>A company limited by guarantee registered in England</w:t>
                            </w:r>
                            <w:r w:rsidRPr="00AC6280">
                              <w:rPr>
                                <w:rFonts w:ascii="Frutiger LT Std 45 Light" w:hAnsi="Frutiger LT Std 45 Light"/>
                                <w:color w:val="524540"/>
                                <w:sz w:val="16"/>
                                <w:szCs w:val="16"/>
                              </w:rPr>
                              <w:br/>
                              <w:t>Registration Number: 4025281</w:t>
                            </w:r>
                          </w:p>
                          <w:permEnd w:id="1879907372"/>
                          <w:p w:rsidR="00A932B8" w:rsidRPr="00AC6280" w:rsidRDefault="00A932B8" w:rsidP="00A932B8">
                            <w:pPr>
                              <w:rPr>
                                <w:rFonts w:ascii="Frutiger LT Std 45 Light" w:hAnsi="Frutiger LT Std 45 Light"/>
                                <w:color w:val="52454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9.9pt;margin-top:740.4pt;width:314.1pt;height: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gwgg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" stroked="f">
                <v:textbox>
                  <w:txbxContent>
                    <w:p w:rsidR="00A932B8" w:rsidRPr="00AC6280" w:rsidRDefault="00A932B8" w:rsidP="00A932B8">
                      <w:pPr>
                        <w:rPr>
                          <w:rFonts w:ascii="Frutiger LT Std 45 Light" w:hAnsi="Frutiger LT Std 45 Light"/>
                          <w:color w:val="524540"/>
                          <w:sz w:val="16"/>
                          <w:szCs w:val="16"/>
                        </w:rPr>
                      </w:pPr>
                      <w:permStart w:id="1879907372" w:edGrp="everyone"/>
                      <w:r w:rsidRPr="00AC6280">
                        <w:rPr>
                          <w:rFonts w:ascii="Frutiger LT Std 45 Light" w:hAnsi="Frutiger LT Std 45 Light"/>
                          <w:color w:val="524540"/>
                          <w:sz w:val="16"/>
                          <w:szCs w:val="16"/>
                        </w:rPr>
                        <w:t>The Quoted Companies Alliance is the independent membership organisation that champions the interests of small to mid-size quoted companies.</w:t>
                      </w:r>
                    </w:p>
                    <w:p w:rsidR="00A932B8" w:rsidRPr="00AC6280" w:rsidRDefault="00A932B8" w:rsidP="00A932B8">
                      <w:pPr>
                        <w:rPr>
                          <w:rFonts w:ascii="Frutiger LT Std 45 Light" w:hAnsi="Frutiger LT Std 45 Light"/>
                          <w:color w:val="524540"/>
                          <w:sz w:val="16"/>
                          <w:szCs w:val="16"/>
                        </w:rPr>
                      </w:pPr>
                      <w:r w:rsidRPr="00AC6280">
                        <w:rPr>
                          <w:rFonts w:ascii="Frutiger LT Std 45 Light" w:hAnsi="Frutiger LT Std 45 Light"/>
                          <w:color w:val="524540"/>
                          <w:sz w:val="16"/>
                          <w:szCs w:val="16"/>
                        </w:rPr>
                        <w:t>A company limited by guarantee registered in England</w:t>
                      </w:r>
                      <w:r w:rsidRPr="00AC6280">
                        <w:rPr>
                          <w:rFonts w:ascii="Frutiger LT Std 45 Light" w:hAnsi="Frutiger LT Std 45 Light"/>
                          <w:color w:val="524540"/>
                          <w:sz w:val="16"/>
                          <w:szCs w:val="16"/>
                        </w:rPr>
                        <w:br/>
                        <w:t>Registration Number: 4025281</w:t>
                      </w:r>
                    </w:p>
                    <w:permEnd w:id="1879907372"/>
                    <w:p w:rsidR="00A932B8" w:rsidRPr="00AC6280" w:rsidRDefault="00A932B8" w:rsidP="00A932B8">
                      <w:pPr>
                        <w:rPr>
                          <w:rFonts w:ascii="Frutiger LT Std 45 Light" w:hAnsi="Frutiger LT Std 45 Light"/>
                          <w:color w:val="524540"/>
                          <w:sz w:val="16"/>
                          <w:szCs w:val="16"/>
                        </w:rPr>
                      </w:pPr>
                    </w:p>
                  </w:txbxContent>
                </v:textbox>
              </v:shape>
            </w:pict>
          </mc:Fallback>
        </mc:AlternateContent>
      </w:r>
      <w:r>
        <w:t>We welcome the opportunity to respond to this consultation.</w:t>
      </w:r>
    </w:p>
    <w:permEnd w:id="951856809"/>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Heading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B8295A" w:rsidRDefault="00B8295A" w:rsidP="00E9344E">
      <w:permStart w:id="1941059436" w:edGrp="everyone"/>
      <w:r>
        <w:t>TYPE YOUR TEXT HERE</w:t>
      </w:r>
    </w:p>
    <w:permEnd w:id="1941059436"/>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E9344E" w:rsidP="00E9344E">
      <w:permStart w:id="2048148003" w:edGrp="everyone"/>
      <w:r>
        <w:t>TYPE YOUR TEXT HERE</w:t>
      </w:r>
    </w:p>
    <w:permEnd w:id="2048148003"/>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E9344E" w:rsidP="00E9344E">
      <w:permStart w:id="2141401060" w:edGrp="everyone"/>
      <w:r>
        <w:t>TYPE YOUR TEXT HERE</w:t>
      </w:r>
    </w:p>
    <w:permEnd w:id="2141401060"/>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1588094167" w:edGrp="everyone"/>
      <w:r>
        <w:t>TYPE YOUR TEXT HERE</w:t>
      </w:r>
    </w:p>
    <w:permEnd w:id="1588094167"/>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1268913715" w:edGrp="everyone"/>
      <w:r>
        <w:t>TYPE YOUR TEXT HERE</w:t>
      </w:r>
    </w:p>
    <w:permEnd w:id="1268913715"/>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73813090" w:edGrp="everyone"/>
      <w:r>
        <w:t>TYPE YOUR TEXT HERE</w:t>
      </w:r>
    </w:p>
    <w:permEnd w:id="73813090"/>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E9344E" w:rsidP="00E9344E">
      <w:permStart w:id="2081774534" w:edGrp="everyone"/>
      <w:r>
        <w:t>TYPE YOUR TEXT HERE</w:t>
      </w:r>
    </w:p>
    <w:permEnd w:id="2081774534"/>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713953858" w:edGrp="everyone"/>
      <w:r>
        <w:t>TYPE YOUR TEXT HERE</w:t>
      </w:r>
    </w:p>
    <w:permEnd w:id="713953858"/>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2115456241" w:edGrp="everyone"/>
      <w:r>
        <w:t>TYPE YOUR TEXT HERE</w:t>
      </w:r>
    </w:p>
    <w:permEnd w:id="2115456241"/>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B8295A" w:rsidRDefault="00B8295A" w:rsidP="00B8295A">
      <w:pPr>
        <w:jc w:val="both"/>
      </w:pPr>
      <w:permStart w:id="1287355325" w:edGrp="everyone"/>
      <w:r>
        <w:t>As indicated in our response to the Discussion Paper (DP), dated 28 January 2014,</w:t>
      </w:r>
      <w:r w:rsidR="00AA03F5">
        <w:t xml:space="preserve"> (available at: </w:t>
      </w:r>
      <w:bookmarkStart w:id="4" w:name="_GoBack"/>
      <w:bookmarkEnd w:id="4"/>
      <w:r w:rsidR="00AA03F5">
        <w:t>http://</w:t>
      </w:r>
      <w:r w:rsidR="00AA03F5" w:rsidRPr="00C02800">
        <w:t>www.theqca.com/article_assets/articledir_164/82467/QCAResponseESMAMarketAbuseRegulationJan14Final.pdf</w:t>
      </w:r>
      <w:r w:rsidR="00AA03F5">
        <w:t>)</w:t>
      </w:r>
      <w:r>
        <w:t xml:space="preserve"> we welcome ESMA providing guidance on the transactions that are required to be not</w:t>
      </w:r>
      <w:r>
        <w:t>i</w:t>
      </w:r>
      <w:r>
        <w:t>fied. We do, however, have a number of concerns.</w:t>
      </w:r>
    </w:p>
    <w:p w:rsidR="00B8295A" w:rsidRDefault="00B8295A" w:rsidP="00B8295A">
      <w:pPr>
        <w:jc w:val="both"/>
      </w:pPr>
    </w:p>
    <w:p w:rsidR="00B8295A" w:rsidRDefault="00B8295A" w:rsidP="00B8295A">
      <w:pPr>
        <w:jc w:val="both"/>
      </w:pPr>
      <w:r>
        <w:t xml:space="preserve">Whilst we recognise that Article 19 (7) (b) of MAR specifically extends the duty to notify to discretionary fund managers on behalf of a person discharging managerial responsibilities (PDMR), we see that there could be difficulties in extending this to the closed period dealing prohibition in Article 19 (11) as, in many cases, the PDMR will not have the necessary degree of control over the fund manager. This remains an area of significant concern for issuers and PDMRs. </w:t>
      </w:r>
    </w:p>
    <w:p w:rsidR="00B8295A" w:rsidRDefault="00B8295A" w:rsidP="00B8295A">
      <w:pPr>
        <w:jc w:val="both"/>
      </w:pPr>
    </w:p>
    <w:p w:rsidR="00B8295A" w:rsidRDefault="00B8295A" w:rsidP="00B8295A">
      <w:pPr>
        <w:jc w:val="both"/>
      </w:pPr>
      <w:r>
        <w:t>We would recommend further investigation with fund managers as to how this would work in practice. We are concerned, as recognised by ESMA in paragraph 115, that notifications from (possibly) a series of PDMRs, who may be from different issuers, to "discretionary" fund managers of closed periods (which may relate to specific transactional activity as well as routine results announcements) would: (a) increase the number of occasions fund managers are made aware of circumstances giving rise to potential 'inside information'; (b) extend the number of "insiders" (and here we refer to our submission on the proposed detailed requirements of Insider Lists); and (c) could significantly affect the ability of certain "discretio</w:t>
      </w:r>
      <w:r>
        <w:t>n</w:t>
      </w:r>
      <w:r>
        <w:t xml:space="preserve">ary" fund managers to conduct their normal day to day trading activities.  </w:t>
      </w:r>
    </w:p>
    <w:p w:rsidR="00B8295A" w:rsidRDefault="00B8295A" w:rsidP="00B8295A">
      <w:pPr>
        <w:jc w:val="both"/>
      </w:pPr>
    </w:p>
    <w:p w:rsidR="00B8295A" w:rsidRDefault="00B8295A" w:rsidP="00B8295A">
      <w:pPr>
        <w:jc w:val="both"/>
      </w:pPr>
      <w:r>
        <w:t>We also support the representations made by the Market Abuse Regulation Joint Working Party of the Company Law Committees of the City of London Law Society and the Law Society of England and Wales (</w:t>
      </w:r>
      <w:r w:rsidRPr="000F3E09">
        <w:t>MAR Working Party</w:t>
      </w:r>
      <w:r>
        <w:t>), who have kindly shared with us a draft of their submission, where a PDMR is a one of a number of trustees and decisions are taken by the other non-connected trustees or investment mana</w:t>
      </w:r>
      <w:r>
        <w:t>g</w:t>
      </w:r>
      <w:r>
        <w:t xml:space="preserve">ers acting of their behalf.     </w:t>
      </w:r>
    </w:p>
    <w:p w:rsidR="00B8295A" w:rsidRDefault="00B8295A" w:rsidP="00B8295A">
      <w:pPr>
        <w:jc w:val="both"/>
      </w:pPr>
    </w:p>
    <w:p w:rsidR="00B8295A" w:rsidRDefault="00B8295A" w:rsidP="00B8295A">
      <w:pPr>
        <w:jc w:val="both"/>
      </w:pPr>
      <w:r w:rsidRPr="007424AD">
        <w:t xml:space="preserve">We do not agree that the three working day notification requirement should be an absolute requirement where the PDMR is in receipt of an inheritance </w:t>
      </w:r>
      <w:r>
        <w:t xml:space="preserve">as indicated </w:t>
      </w:r>
      <w:r w:rsidRPr="007424AD">
        <w:t>in our earlier submission on the DP.</w:t>
      </w:r>
      <w:r>
        <w:t xml:space="preserve"> We agree with the MAR Working Party on this issue.</w:t>
      </w:r>
    </w:p>
    <w:p w:rsidR="00B8295A" w:rsidRDefault="00B8295A" w:rsidP="00B8295A">
      <w:pPr>
        <w:jc w:val="both"/>
      </w:pPr>
    </w:p>
    <w:p w:rsidR="00B8295A" w:rsidRDefault="00B8295A" w:rsidP="00B8295A">
      <w:pPr>
        <w:jc w:val="both"/>
      </w:pPr>
      <w:r>
        <w:t xml:space="preserve">We also agree with, and support, the observations of the MAR Working Party on the UK practice of closed periods expiring on preliminary results' announcements (rather than the date of publication of interim or year-end reports). It is market practice in the UK for issuers to publish a preliminary announcement of annual results (containing information prescribed by the FCA’s Listing Rules) before publishing the year-end report. In some cases, where the preliminary announcement contains inside information, the issuer is obliged to make the preliminary announcement before the year-end report is published. It may not be possible to publish the year-end report at the same time as it will normally contain significantly more information than the preliminary announcement. </w:t>
      </w:r>
    </w:p>
    <w:p w:rsidR="00B8295A" w:rsidRDefault="00B8295A" w:rsidP="00B8295A">
      <w:pPr>
        <w:jc w:val="both"/>
      </w:pPr>
    </w:p>
    <w:p w:rsidR="00B8295A" w:rsidRPr="00D611D2" w:rsidRDefault="00B8295A" w:rsidP="00B8295A">
      <w:pPr>
        <w:jc w:val="both"/>
      </w:pPr>
      <w:r>
        <w:t xml:space="preserve">Under the Model Code, the preliminary announcement triggers the end of the closed period as once the inside information has been published, there is no need to impose a prohibition on dealings.  An inability to use a preliminary announcement as a trigger for the end of a closed period would mean that the 30 day prohibited period would not properly match the period prior to the release of the results to the market.  This would not, therefore, reflect the purpose of the closed period. </w:t>
      </w:r>
    </w:p>
    <w:permEnd w:id="1287355325"/>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B8295A" w:rsidRDefault="00B8295A" w:rsidP="00B8295A">
      <w:pPr>
        <w:jc w:val="both"/>
        <w:rPr>
          <w:b/>
        </w:rPr>
      </w:pPr>
      <w:permStart w:id="996832171" w:edGrp="everyone"/>
      <w:r w:rsidRPr="0012614F">
        <w:t>We would support the</w:t>
      </w:r>
      <w:r>
        <w:t xml:space="preserve"> principle of a </w:t>
      </w:r>
      <w:r w:rsidRPr="0012614F">
        <w:t xml:space="preserve">weighting approach </w:t>
      </w:r>
      <w:r>
        <w:t xml:space="preserve">being </w:t>
      </w:r>
      <w:r w:rsidRPr="0012614F">
        <w:t xml:space="preserve">taken to baskets and indices and </w:t>
      </w:r>
      <w:r>
        <w:t xml:space="preserve">agree </w:t>
      </w:r>
      <w:r w:rsidRPr="0012614F">
        <w:t>that this sho</w:t>
      </w:r>
      <w:r w:rsidRPr="001C419C">
        <w:t>uld be extended to investment funds. We would also support a 20% threshold.</w:t>
      </w:r>
      <w:r>
        <w:t xml:space="preserve"> </w:t>
      </w:r>
      <w:r w:rsidRPr="001C419C">
        <w:t>However, we que</w:t>
      </w:r>
      <w:r w:rsidRPr="001C419C">
        <w:t>s</w:t>
      </w:r>
      <w:r w:rsidRPr="001C419C">
        <w:t xml:space="preserve">tion whether this </w:t>
      </w:r>
      <w:r>
        <w:t xml:space="preserve">could </w:t>
      </w:r>
      <w:r w:rsidRPr="001C419C">
        <w:t>impose an impracticable burden on a PDMR where a fund</w:t>
      </w:r>
      <w:r>
        <w:t>'</w:t>
      </w:r>
      <w:r w:rsidRPr="001C419C">
        <w:t xml:space="preserve">s value </w:t>
      </w:r>
      <w:r>
        <w:t>(</w:t>
      </w:r>
      <w:r w:rsidRPr="001C419C">
        <w:t>and interest</w:t>
      </w:r>
      <w:r>
        <w:t>s</w:t>
      </w:r>
      <w:r w:rsidRPr="001C419C">
        <w:t xml:space="preserve"> within it</w:t>
      </w:r>
      <w:r>
        <w:t>) fluctuate on a regular basis (sometimes, daily). This burden would be exacerbated where the value of the fund and the constituent value of interests within it are not made publicly available on a regular basis. In these circumstances, it would be difficult for a PDMR to ascertain whether the 20% (or, indeed, any other percentage threshold) was applicable.</w:t>
      </w:r>
    </w:p>
    <w:permEnd w:id="996832171"/>
    <w:p w:rsidR="00E9344E" w:rsidRDefault="00E9344E" w:rsidP="00E9344E">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B8295A" w:rsidRDefault="00B8295A" w:rsidP="003A3E1E">
      <w:pPr>
        <w:jc w:val="both"/>
      </w:pPr>
      <w:permStart w:id="17047433" w:edGrp="everyone"/>
      <w:r w:rsidRPr="0012614F">
        <w:t>We agree with the MAR Working Party that the third bullet in paragraph 4) of the draft technical advice is not necessary as an additional restriction and reliance should be placed on the "exceptional circumstan</w:t>
      </w:r>
      <w:r w:rsidRPr="0012614F">
        <w:t>c</w:t>
      </w:r>
      <w:r w:rsidRPr="0012614F">
        <w:t>es" principle in Article 19(12) of MAR. In any event</w:t>
      </w:r>
      <w:r>
        <w:t>,</w:t>
      </w:r>
      <w:r w:rsidRPr="0012614F">
        <w:t xml:space="preserve"> the language used in paragraph 4) does not make sense in the context of paragraph 113.</w:t>
      </w:r>
    </w:p>
    <w:p w:rsidR="00B8295A" w:rsidRDefault="00B8295A" w:rsidP="003A3E1E">
      <w:pPr>
        <w:jc w:val="both"/>
      </w:pPr>
    </w:p>
    <w:p w:rsidR="00E9344E" w:rsidRDefault="00B8295A" w:rsidP="00E9344E">
      <w:r w:rsidRPr="0012614F">
        <w:t xml:space="preserve"> If the wording in the draft technical advice is to be retained (which we do not support) it should be r</w:t>
      </w:r>
      <w:r w:rsidRPr="0012614F">
        <w:t>e</w:t>
      </w:r>
      <w:r w:rsidRPr="0012614F">
        <w:t xml:space="preserve">worded to say"…. at another moment in time </w:t>
      </w:r>
      <w:r w:rsidRPr="007A514B">
        <w:rPr>
          <w:i/>
          <w:u w:val="single"/>
        </w:rPr>
        <w:t>other</w:t>
      </w:r>
      <w:r w:rsidRPr="0012614F">
        <w:t xml:space="preserve"> than during the closed period" (our emphasis added).</w:t>
      </w:r>
      <w:r>
        <w:t xml:space="preserve"> </w:t>
      </w:r>
      <w:permEnd w:id="17047433"/>
      <w:r w:rsidR="00E9344E">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023932" w:rsidRPr="007A514B" w:rsidRDefault="00023932" w:rsidP="00023932">
      <w:pPr>
        <w:jc w:val="both"/>
      </w:pPr>
      <w:permStart w:id="1767383261" w:edGrp="everyone"/>
      <w:r w:rsidRPr="007A514B">
        <w:t xml:space="preserve">See our </w:t>
      </w:r>
      <w:r>
        <w:t>response to</w:t>
      </w:r>
      <w:r w:rsidRPr="007A514B">
        <w:t xml:space="preserve"> Question 1</w:t>
      </w:r>
      <w:r>
        <w:t>0</w:t>
      </w:r>
      <w:r w:rsidRPr="007A514B">
        <w:t xml:space="preserve"> above.</w:t>
      </w:r>
    </w:p>
    <w:permEnd w:id="1767383261"/>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023932" w:rsidRDefault="00023932" w:rsidP="00E9344E">
      <w:permStart w:id="1000415508" w:edGrp="everyone"/>
      <w:r>
        <w:t xml:space="preserve">We note the reference in paragraph 131 to the UK FCA's Model Code (the </w:t>
      </w:r>
      <w:r w:rsidRPr="00A46939">
        <w:t>Model Code</w:t>
      </w:r>
      <w:r>
        <w:t>). We referred to the exemptions set out in paragraphs 12 to 26 of the Model Code in our submission on the DP</w:t>
      </w:r>
      <w:r>
        <w:rPr>
          <w:rStyle w:val="FootnoteReference"/>
        </w:rPr>
        <w:footnoteReference w:id="3"/>
      </w:r>
      <w:r>
        <w:t xml:space="preserve"> such as: unde</w:t>
      </w:r>
      <w:r>
        <w:t>r</w:t>
      </w:r>
      <w:r>
        <w:t xml:space="preserve">takings to take up rights (or other pre-emptive offers (e.g. an open offer), the sale of nil paid rights in </w:t>
      </w:r>
      <w:r w:rsidRPr="00104817">
        <w:t>order to fund the balance of entitlements under rights issues, undertakings to accept a takeover offer</w:t>
      </w:r>
      <w:r>
        <w:t>, employee share schemes,</w:t>
      </w:r>
      <w:r w:rsidRPr="00104817">
        <w:t xml:space="preserve"> and gifts to spouses or civil partners. In this respect, we also support the observations of the MAR Working Party and their particular observations on stock options in their submission. These exemptions have worked well, in a UK context, for many years and do not undermine the mischief against which market abuse legislation is designed. We see no reason why these exemptions should not be avail</w:t>
      </w:r>
      <w:r w:rsidRPr="00104817">
        <w:t>a</w:t>
      </w:r>
      <w:r w:rsidRPr="00104817">
        <w:t xml:space="preserve">ble. We would therefore request ESMA to reconsider and include these exemptions in an update of its technical advice. </w:t>
      </w:r>
    </w:p>
    <w:permEnd w:id="1000415508"/>
    <w:p w:rsidR="00E9344E" w:rsidRDefault="00E9344E" w:rsidP="00E9344E">
      <w:r>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619942174" w:edGrp="everyone"/>
      <w:r>
        <w:t>TYPE YOUR TEXT HERE</w:t>
      </w:r>
    </w:p>
    <w:permEnd w:id="1619942174"/>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70590537" w:edGrp="everyone"/>
      <w:r>
        <w:t>TYPE YOUR TEXT HERE</w:t>
      </w:r>
    </w:p>
    <w:permEnd w:id="170590537"/>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356531110" w:edGrp="everyone"/>
      <w:r>
        <w:t>TYPE YOUR TEXT HERE</w:t>
      </w:r>
    </w:p>
    <w:permEnd w:id="356531110"/>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623600994" w:edGrp="everyone"/>
      <w:r>
        <w:t>TYPE YOUR TEXT HERE</w:t>
      </w:r>
    </w:p>
    <w:permEnd w:id="623600994"/>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1370758851" w:edGrp="everyone"/>
      <w:r>
        <w:t>TYPE YOUR TEXT HERE</w:t>
      </w:r>
    </w:p>
    <w:permEnd w:id="1370758851"/>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Frutiger LT Std 45 Light">
    <w:altName w:val="Segoe UI Semilight"/>
    <w:panose1 w:val="020B0402020204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AA03F5">
            <w:rPr>
              <w:noProof/>
            </w:rPr>
            <w:t>10</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 w:id="3">
    <w:p w:rsidR="00023932" w:rsidRDefault="00023932" w:rsidP="00023932">
      <w:pPr>
        <w:pStyle w:val="FootnoteText"/>
      </w:pPr>
      <w:r>
        <w:rPr>
          <w:rStyle w:val="FootnoteReference"/>
        </w:rPr>
        <w:footnoteRef/>
      </w:r>
      <w:r>
        <w:t xml:space="preserve"> Available at:</w:t>
      </w:r>
    </w:p>
    <w:p w:rsidR="00023932" w:rsidRDefault="00023932" w:rsidP="00023932">
      <w:pPr>
        <w:pStyle w:val="FootnoteText"/>
      </w:pPr>
      <w:r>
        <w:t>http://</w:t>
      </w:r>
      <w:r w:rsidRPr="00C02800">
        <w:t>www.theqca.com/article_assets/articledir_164/82467/QCAResponseESMAMarketAbuseRegulationJan14Final.pdf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024F53">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932"/>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6CD"/>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32B8"/>
    <w:rsid w:val="00A958CA"/>
    <w:rsid w:val="00A966B6"/>
    <w:rsid w:val="00A96B46"/>
    <w:rsid w:val="00AA003B"/>
    <w:rsid w:val="00AA016B"/>
    <w:rsid w:val="00AA03F5"/>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95A"/>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Frutiger LT Std 45 Light">
    <w:altName w:val="Segoe UI Semilight"/>
    <w:panose1 w:val="020B0402020204020204"/>
    <w:charset w:val="00"/>
    <w:family w:val="swiss"/>
    <w:notTrueType/>
    <w:pitch w:val="variable"/>
    <w:sig w:usb0="800000AF"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F63FD-CAD7-4C22-93A6-461ACB91302B}">
  <ds:schemaRefs>
    <ds:schemaRef ds:uri="http://schemas.openxmlformats.org/officeDocument/2006/bibliography"/>
  </ds:schemaRefs>
</ds:datastoreItem>
</file>

<file path=customXml/itemProps2.xml><?xml version="1.0" encoding="utf-8"?>
<ds:datastoreItem xmlns:ds="http://schemas.openxmlformats.org/officeDocument/2006/customXml" ds:itemID="{D541EFBB-0364-4F31-BEA2-7FD296FB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2420</Words>
  <Characters>13795</Characters>
  <Application>Microsoft Office Word</Application>
  <DocSecurity>8</DocSecurity>
  <Lines>114</Lines>
  <Paragraphs>32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16183</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Kate.Jalbert</cp:lastModifiedBy>
  <cp:revision>6</cp:revision>
  <cp:lastPrinted>2014-05-08T15:06:00Z</cp:lastPrinted>
  <dcterms:created xsi:type="dcterms:W3CDTF">2014-10-15T10:13:00Z</dcterms:created>
  <dcterms:modified xsi:type="dcterms:W3CDTF">2014-10-15T10:19:00Z</dcterms:modified>
</cp:coreProperties>
</file>