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2FDE8959" w14:textId="77777777" w:rsidTr="00315E96">
        <w:trPr>
          <w:trHeight w:val="284"/>
        </w:trPr>
        <w:tc>
          <w:tcPr>
            <w:tcW w:w="9412" w:type="dxa"/>
          </w:tcPr>
          <w:p w14:paraId="2FDE8958" w14:textId="77777777"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14:paraId="2FDE895A"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2FDE8960" w14:textId="77777777" w:rsidTr="00B835D5">
        <w:trPr>
          <w:trHeight w:hRule="exact" w:val="1209"/>
        </w:trPr>
        <w:tc>
          <w:tcPr>
            <w:tcW w:w="9397" w:type="dxa"/>
            <w:vAlign w:val="bottom"/>
          </w:tcPr>
          <w:p w14:paraId="2FDE895B" w14:textId="77777777" w:rsidR="006F4403" w:rsidRDefault="00AE627C" w:rsidP="00C000A5">
            <w:pPr>
              <w:pStyle w:val="01aDBTitle"/>
            </w:pPr>
            <w:r>
              <w:t>Reply form</w:t>
            </w:r>
            <w:r w:rsidR="00B835D5">
              <w:t xml:space="preserve"> </w:t>
            </w:r>
            <w:r w:rsidR="0043173B">
              <w:t>for</w:t>
            </w:r>
            <w:r w:rsidR="00027ECF">
              <w:t xml:space="preserve"> the </w:t>
            </w:r>
          </w:p>
          <w:p w14:paraId="2FDE895C" w14:textId="77777777" w:rsidR="00027ECF" w:rsidRDefault="00C8677B" w:rsidP="00C000A5">
            <w:pPr>
              <w:pStyle w:val="01aDBTitle"/>
            </w:pPr>
            <w:r>
              <w:t>ESMA MAR</w:t>
            </w:r>
            <w:r w:rsidR="00027ECF">
              <w:t xml:space="preserve"> </w:t>
            </w:r>
            <w:r>
              <w:t xml:space="preserve"> </w:t>
            </w:r>
            <w:r w:rsidRPr="00C8677B">
              <w:t xml:space="preserve">Technical </w:t>
            </w:r>
            <w:r w:rsidR="009D2295">
              <w:t>advice</w:t>
            </w:r>
          </w:p>
          <w:p w14:paraId="2FDE895D" w14:textId="77777777" w:rsidR="00422A7D" w:rsidRDefault="00422A7D" w:rsidP="00C000A5">
            <w:pPr>
              <w:pStyle w:val="01aDBTitle"/>
            </w:pPr>
            <w:r>
              <w:t xml:space="preserve"> </w:t>
            </w:r>
          </w:p>
          <w:p w14:paraId="2FDE895E" w14:textId="77777777" w:rsidR="00027ECF" w:rsidRDefault="00422A7D" w:rsidP="00C000A5">
            <w:pPr>
              <w:pStyle w:val="01aDBTitle"/>
            </w:pPr>
            <w:r>
              <w:t>Template for comments</w:t>
            </w:r>
          </w:p>
          <w:p w14:paraId="2FDE895F" w14:textId="77777777"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14:paraId="2FDE8962" w14:textId="77777777" w:rsidTr="00B835D5">
        <w:trPr>
          <w:trHeight w:hRule="exact" w:val="605"/>
        </w:trPr>
        <w:tc>
          <w:tcPr>
            <w:tcW w:w="9397" w:type="dxa"/>
            <w:tcMar>
              <w:top w:w="142" w:type="dxa"/>
            </w:tcMar>
          </w:tcPr>
          <w:p w14:paraId="2FDE8961" w14:textId="77777777" w:rsidR="00D91010" w:rsidRPr="00E679BA" w:rsidRDefault="00013CCE" w:rsidP="00027ECF">
            <w:pPr>
              <w:pStyle w:val="01bDBSubtitle"/>
            </w:pPr>
            <w:r w:rsidRPr="00E679BA">
              <w:t xml:space="preserve"> </w:t>
            </w:r>
          </w:p>
        </w:tc>
      </w:tr>
    </w:tbl>
    <w:p w14:paraId="2FDE8963" w14:textId="77777777" w:rsidR="00620D7C" w:rsidRPr="00E679BA" w:rsidRDefault="00620D7C" w:rsidP="00C00012">
      <w:pPr>
        <w:pStyle w:val="05HeadlinenoIndex"/>
        <w:sectPr w:rsidR="00620D7C" w:rsidRPr="00E679BA"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2FDE8965" w14:textId="77777777" w:rsidTr="00315E96">
        <w:trPr>
          <w:trHeight w:hRule="exact" w:val="964"/>
        </w:trPr>
        <w:tc>
          <w:tcPr>
            <w:tcW w:w="2325" w:type="dxa"/>
          </w:tcPr>
          <w:p w14:paraId="2FDE8964" w14:textId="77777777"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14:paraId="2FDE8966" w14:textId="77777777" w:rsidR="0088244C" w:rsidRDefault="0088244C" w:rsidP="00F574D0">
      <w:pPr>
        <w:pStyle w:val="05HeadlinenoIndex"/>
      </w:pPr>
      <w:bookmarkStart w:id="1" w:name="_Toc280628648"/>
    </w:p>
    <w:p w14:paraId="2FDE8967" w14:textId="77777777" w:rsidR="00F574D0" w:rsidRPr="00321CD3" w:rsidRDefault="0088244C" w:rsidP="00F574D0">
      <w:pPr>
        <w:pStyle w:val="05HeadlinenoIndex"/>
      </w:pPr>
      <w:r>
        <w:br w:type="page"/>
      </w:r>
      <w:r w:rsidR="00F574D0" w:rsidRPr="00321CD3">
        <w:lastRenderedPageBreak/>
        <w:t xml:space="preserve">Responding to this paper </w:t>
      </w:r>
    </w:p>
    <w:p w14:paraId="2FDE8968"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5" w:history="1">
        <w:r w:rsidR="00015B5E" w:rsidRPr="00015B5E">
          <w:rPr>
            <w:rStyle w:val="Hyperlink"/>
          </w:rPr>
          <w:t>here</w:t>
        </w:r>
      </w:hyperlink>
      <w:r w:rsidR="00015B5E">
        <w:t>)</w:t>
      </w:r>
      <w:r w:rsidR="005A150A">
        <w:t>.</w:t>
      </w:r>
    </w:p>
    <w:p w14:paraId="2FDE8969" w14:textId="77777777" w:rsidR="00F574D0" w:rsidRDefault="00F574D0" w:rsidP="00F574D0">
      <w:pPr>
        <w:pStyle w:val="04BodyText"/>
        <w:spacing w:before="120" w:after="120"/>
      </w:pPr>
    </w:p>
    <w:p w14:paraId="2FDE896A"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2FDE896B"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2FDE896C"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2FDE896D"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14:paraId="2FDE896E"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2FDE896F" w14:textId="77777777" w:rsidR="00F574D0" w:rsidRPr="0081710D" w:rsidRDefault="00F574D0" w:rsidP="00F574D0">
      <w:pPr>
        <w:pStyle w:val="04bList"/>
        <w:numPr>
          <w:ilvl w:val="0"/>
          <w:numId w:val="0"/>
        </w:numPr>
        <w:spacing w:before="120" w:after="120"/>
      </w:pPr>
      <w:r w:rsidRPr="0081710D">
        <w:t>Responses are most helpful:</w:t>
      </w:r>
    </w:p>
    <w:p w14:paraId="2FDE8970" w14:textId="77777777" w:rsidR="00F574D0" w:rsidRPr="0081710D" w:rsidRDefault="00F574D0" w:rsidP="002067BA">
      <w:pPr>
        <w:pStyle w:val="04bList"/>
        <w:numPr>
          <w:ilvl w:val="0"/>
          <w:numId w:val="33"/>
        </w:numPr>
        <w:spacing w:before="120" w:after="120"/>
      </w:pPr>
      <w:r w:rsidRPr="0081710D">
        <w:t>if they respond to the question stated;</w:t>
      </w:r>
    </w:p>
    <w:p w14:paraId="2FDE8971"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2FDE8972"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2FDE8973" w14:textId="77777777" w:rsidR="00F574D0" w:rsidRDefault="00F574D0" w:rsidP="00F574D0">
      <w:pPr>
        <w:pStyle w:val="04bList"/>
        <w:numPr>
          <w:ilvl w:val="0"/>
          <w:numId w:val="0"/>
        </w:numPr>
        <w:spacing w:before="120" w:after="120"/>
      </w:pPr>
    </w:p>
    <w:p w14:paraId="2FDE8974"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2FDE8975" w14:textId="77777777"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14:paraId="2FDE8976" w14:textId="77777777" w:rsidR="00F574D0" w:rsidRDefault="00F574D0" w:rsidP="00F574D0">
      <w:pPr>
        <w:pStyle w:val="04BodyText"/>
        <w:spacing w:before="120" w:after="120"/>
      </w:pPr>
      <w:r w:rsidRPr="00321CD3">
        <w:lastRenderedPageBreak/>
        <w:t xml:space="preserve">All contributions should be submitted online at </w:t>
      </w:r>
      <w:hyperlink r:id="rId16" w:history="1">
        <w:r w:rsidRPr="00321CD3">
          <w:rPr>
            <w:rStyle w:val="Hyperlink"/>
          </w:rPr>
          <w:t>www.esma.europa.eu</w:t>
        </w:r>
      </w:hyperlink>
      <w:r w:rsidRPr="00321CD3">
        <w:t xml:space="preserve"> under the heading ‘Your input/Consultations’. </w:t>
      </w:r>
    </w:p>
    <w:p w14:paraId="2FDE8977" w14:textId="77777777" w:rsidR="00024F53" w:rsidRDefault="00024F53" w:rsidP="00024F53">
      <w:pPr>
        <w:pStyle w:val="04BodyText"/>
        <w:spacing w:before="120" w:after="120"/>
      </w:pPr>
      <w:r>
        <w:t>Naming protocol - In order to facilitate the handling of stakeholders responses please save your document using the following format:</w:t>
      </w:r>
    </w:p>
    <w:p w14:paraId="2FDE8978" w14:textId="77777777"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14:paraId="2FDE8979" w14:textId="77777777" w:rsidR="00024F53" w:rsidRPr="00321CD3" w:rsidRDefault="00024F53" w:rsidP="00024F53">
      <w:pPr>
        <w:pStyle w:val="04BodyText"/>
        <w:spacing w:before="120" w:after="120"/>
      </w:pPr>
    </w:p>
    <w:p w14:paraId="2FDE897A"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14:paraId="2FDE897B"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FDE897C" w14:textId="77777777" w:rsidR="00F574D0" w:rsidRPr="0081710D" w:rsidRDefault="00F574D0" w:rsidP="00F574D0">
      <w:pPr>
        <w:pStyle w:val="04BodyText"/>
        <w:spacing w:before="120" w:after="120"/>
      </w:pPr>
    </w:p>
    <w:p w14:paraId="2FDE897D"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t>Data protection</w:t>
      </w:r>
      <w:bookmarkEnd w:id="3"/>
    </w:p>
    <w:p w14:paraId="2FDE897E" w14:textId="77777777"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7" w:history="1">
        <w:r w:rsidRPr="00321CD3">
          <w:rPr>
            <w:rStyle w:val="Hyperlink"/>
            <w:szCs w:val="20"/>
          </w:rPr>
          <w:t>www.esma.europa.eu</w:t>
        </w:r>
      </w:hyperlink>
      <w:r w:rsidRPr="00321CD3">
        <w:rPr>
          <w:szCs w:val="20"/>
        </w:rPr>
        <w:t xml:space="preserve"> under the heading ‘Disclaimer’.</w:t>
      </w:r>
    </w:p>
    <w:p w14:paraId="2FDE897F" w14:textId="77777777"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428"/>
        <w:gridCol w:w="5974"/>
      </w:tblGrid>
      <w:tr w:rsidR="00E8774A" w14:paraId="2FDE8982" w14:textId="77777777" w:rsidTr="003258DA">
        <w:tc>
          <w:tcPr>
            <w:tcW w:w="3510" w:type="dxa"/>
          </w:tcPr>
          <w:p w14:paraId="2FDE8980" w14:textId="77777777" w:rsidR="00E8774A" w:rsidRDefault="00E8774A" w:rsidP="003258DA">
            <w:r>
              <w:t>Are you representing an association?</w:t>
            </w:r>
          </w:p>
        </w:tc>
        <w:tc>
          <w:tcPr>
            <w:tcW w:w="6118" w:type="dxa"/>
          </w:tcPr>
          <w:p w14:paraId="2FDE8981" w14:textId="447EDB78" w:rsidR="00E8774A" w:rsidRDefault="009E732E" w:rsidP="003258DA">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840999724" w:edGrp="everyone"/>
                <w:r w:rsidR="00C60BBE">
                  <w:t>No</w:t>
                </w:r>
                <w:permEnd w:id="1840999724"/>
              </w:sdtContent>
            </w:sdt>
          </w:p>
        </w:tc>
      </w:tr>
      <w:tr w:rsidR="00E8774A" w14:paraId="2FDE8985" w14:textId="77777777" w:rsidTr="003258DA">
        <w:tc>
          <w:tcPr>
            <w:tcW w:w="3510" w:type="dxa"/>
          </w:tcPr>
          <w:p w14:paraId="2FDE8983" w14:textId="77777777" w:rsidR="00E8774A" w:rsidRDefault="00E8774A" w:rsidP="003258DA">
            <w:r>
              <w:t>Activity:</w:t>
            </w:r>
          </w:p>
        </w:tc>
        <w:tc>
          <w:tcPr>
            <w:tcW w:w="6118" w:type="dxa"/>
          </w:tcPr>
          <w:p w14:paraId="2FDE8984" w14:textId="5DA22336" w:rsidR="00E8774A" w:rsidRDefault="009E732E" w:rsidP="003258DA">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05713151" w:edGrp="everyone"/>
                <w:r w:rsidR="00C60BBE">
                  <w:t>Regulated markets/Exchanges/Trading Systems</w:t>
                </w:r>
                <w:permEnd w:id="705713151"/>
              </w:sdtContent>
            </w:sdt>
          </w:p>
        </w:tc>
      </w:tr>
      <w:tr w:rsidR="00E8774A" w14:paraId="2FDE8988" w14:textId="77777777" w:rsidTr="003258DA">
        <w:tc>
          <w:tcPr>
            <w:tcW w:w="3510" w:type="dxa"/>
          </w:tcPr>
          <w:p w14:paraId="2FDE8986" w14:textId="77777777" w:rsidR="00E8774A" w:rsidRDefault="00E8774A" w:rsidP="003258DA">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861055631" w:edGrp="everyone" w:displacedByCustomXml="prev"/>
            <w:tc>
              <w:tcPr>
                <w:tcW w:w="6118" w:type="dxa"/>
              </w:tcPr>
              <w:p w14:paraId="2FDE8987" w14:textId="62B88145" w:rsidR="00E8774A" w:rsidRDefault="00C60BBE" w:rsidP="003258DA">
                <w:r>
                  <w:t>Europe</w:t>
                </w:r>
              </w:p>
            </w:tc>
            <w:permEnd w:id="1861055631" w:displacedByCustomXml="next"/>
          </w:sdtContent>
        </w:sdt>
      </w:tr>
    </w:tbl>
    <w:p w14:paraId="2FDE8989" w14:textId="77777777" w:rsidR="00D74C9D" w:rsidRDefault="005D1023" w:rsidP="00D74C9D">
      <w:pPr>
        <w:pStyle w:val="Heading1"/>
        <w:numPr>
          <w:ilvl w:val="0"/>
          <w:numId w:val="0"/>
        </w:numPr>
      </w:pPr>
      <w:r w:rsidRPr="00321CD3">
        <w:br w:type="page"/>
      </w:r>
      <w:bookmarkStart w:id="4" w:name="_Toc392599420"/>
      <w:bookmarkEnd w:id="1"/>
      <w:r w:rsidR="00D74C9D" w:rsidRPr="004C2CD3">
        <w:lastRenderedPageBreak/>
        <w:t>Introduction</w:t>
      </w:r>
      <w:bookmarkEnd w:id="4"/>
    </w:p>
    <w:p w14:paraId="2FDE898A" w14:textId="77777777" w:rsidR="00D74C9D" w:rsidRDefault="00D74C9D" w:rsidP="00D74C9D"/>
    <w:p w14:paraId="2FDE898B" w14:textId="77777777" w:rsidR="00D74C9D" w:rsidRPr="008203F7" w:rsidRDefault="00D74C9D" w:rsidP="00D74C9D">
      <w:pPr>
        <w:rPr>
          <w:b/>
        </w:rPr>
      </w:pPr>
      <w:r w:rsidRPr="008203F7">
        <w:rPr>
          <w:b/>
        </w:rPr>
        <w:t>Please make your introductory comments below</w:t>
      </w:r>
      <w:r w:rsidR="00C25863">
        <w:rPr>
          <w:b/>
        </w:rPr>
        <w:t>, if any</w:t>
      </w:r>
      <w:r w:rsidRPr="008203F7">
        <w:rPr>
          <w:b/>
        </w:rPr>
        <w:t>:</w:t>
      </w:r>
    </w:p>
    <w:p w14:paraId="2FDE898C" w14:textId="77777777" w:rsidR="00D74C9D" w:rsidRDefault="00D74C9D" w:rsidP="00D74C9D"/>
    <w:p w14:paraId="2FDE898D" w14:textId="77777777" w:rsidR="00D74C9D" w:rsidRPr="00C25863" w:rsidRDefault="00D74C9D" w:rsidP="00D74C9D">
      <w:r w:rsidRPr="00C25863">
        <w:t>&lt;</w:t>
      </w:r>
      <w:r w:rsidRPr="00D74C9D">
        <w:t xml:space="preserve"> </w:t>
      </w:r>
      <w:r>
        <w:t>ESMA_COMMENT</w:t>
      </w:r>
      <w:r w:rsidRPr="00C25863">
        <w:t>_MAR_TA_1&gt;</w:t>
      </w:r>
    </w:p>
    <w:p w14:paraId="2CA1241A" w14:textId="77777777" w:rsidR="008D2CE3" w:rsidRDefault="00F02326" w:rsidP="00F02326">
      <w:pPr>
        <w:rPr>
          <w:rFonts w:cs="Arial"/>
          <w:szCs w:val="20"/>
          <w:shd w:val="clear" w:color="auto" w:fill="FFFFFF"/>
          <w:lang w:val="en-US"/>
        </w:rPr>
      </w:pPr>
      <w:permStart w:id="1209467051" w:edGrp="everyone"/>
      <w:r w:rsidRPr="00F02326">
        <w:rPr>
          <w:rFonts w:cs="Arial"/>
          <w:szCs w:val="20"/>
          <w:shd w:val="clear" w:color="auto" w:fill="FFFFFF"/>
          <w:lang w:val="en-US"/>
        </w:rPr>
        <w:t xml:space="preserve">Nasdaq is a leading provider of trading, exchange technology, information and public company services across six continents. Through its diverse portfolio of solutions, Nasdaq enables customers to plan, optimize and execute their business vision with confidence, using proven technologies that provide transparency and insight for navigating today’s global capital markets. </w:t>
      </w:r>
    </w:p>
    <w:p w14:paraId="499AD4F6" w14:textId="77777777" w:rsidR="008D2CE3" w:rsidRDefault="008D2CE3" w:rsidP="00F02326">
      <w:pPr>
        <w:rPr>
          <w:rFonts w:cs="Arial"/>
          <w:szCs w:val="20"/>
          <w:shd w:val="clear" w:color="auto" w:fill="FFFFFF"/>
          <w:lang w:val="en-US"/>
        </w:rPr>
      </w:pPr>
    </w:p>
    <w:p w14:paraId="47C19905" w14:textId="3CF2CC77" w:rsidR="00EA2185" w:rsidRDefault="00F02326" w:rsidP="00F02326">
      <w:pPr>
        <w:rPr>
          <w:rFonts w:cs="Arial"/>
          <w:szCs w:val="20"/>
          <w:shd w:val="clear" w:color="auto" w:fill="FFFFFF"/>
          <w:lang w:val="en-US"/>
        </w:rPr>
      </w:pPr>
      <w:r w:rsidRPr="00F02326">
        <w:rPr>
          <w:rFonts w:cs="Arial"/>
          <w:szCs w:val="20"/>
          <w:shd w:val="clear" w:color="auto" w:fill="FFFFFF"/>
          <w:lang w:val="en-US"/>
        </w:rPr>
        <w:t xml:space="preserve">As the creator of the world’s first electronic stock market, its technology powers more than 70 marketplaces in 50 countries, and 1 in 10 of the world's securities transactions. </w:t>
      </w:r>
      <w:r w:rsidRPr="00F02326">
        <w:rPr>
          <w:rFonts w:cs="Arial"/>
          <w:szCs w:val="20"/>
          <w:lang w:val="en-US"/>
        </w:rPr>
        <w:t xml:space="preserve">Nasdaq offers multiple capital raising solutions to companies around the globe, including its U.S. listings market and Nasdaq Nordic, which describes the common offering from Nasdaq exchanges in Helsinki, Copenhagen, Stockholm, Iceland, Riga, Tallinn and Vilnius. </w:t>
      </w:r>
      <w:r w:rsidRPr="00F02326">
        <w:rPr>
          <w:rFonts w:cs="Arial"/>
          <w:szCs w:val="20"/>
          <w:shd w:val="clear" w:color="auto" w:fill="FFFFFF"/>
          <w:lang w:val="en-US"/>
        </w:rPr>
        <w:t>Nasdaq is home to more than 3,400 listed companies with a market value of over $8.5 trillion and more than 10,000 corporate clients.</w:t>
      </w:r>
    </w:p>
    <w:p w14:paraId="2F9D43E5" w14:textId="77777777" w:rsidR="00EA2185" w:rsidRPr="008B4FA0" w:rsidRDefault="00EA2185" w:rsidP="00F02326">
      <w:pPr>
        <w:rPr>
          <w:rFonts w:cs="Arial"/>
          <w:szCs w:val="20"/>
          <w:shd w:val="clear" w:color="auto" w:fill="FFFFFF"/>
          <w:lang w:val="en-US"/>
        </w:rPr>
      </w:pPr>
    </w:p>
    <w:p w14:paraId="23310FB6" w14:textId="441D256F" w:rsidR="00EA2185" w:rsidRPr="008B4FA0" w:rsidRDefault="00EA2185" w:rsidP="00F02326">
      <w:pPr>
        <w:rPr>
          <w:rFonts w:cs="Arial"/>
          <w:szCs w:val="20"/>
          <w:shd w:val="clear" w:color="auto" w:fill="FFFFFF"/>
          <w:lang w:val="en-US"/>
        </w:rPr>
      </w:pPr>
      <w:r w:rsidRPr="008B4FA0">
        <w:rPr>
          <w:rFonts w:cs="Arial"/>
          <w:szCs w:val="20"/>
          <w:highlight w:val="yellow"/>
          <w:shd w:val="clear" w:color="auto" w:fill="FFFFFF"/>
          <w:lang w:val="en-US"/>
        </w:rPr>
        <w:t>Further, Nasdaq Commodities offer</w:t>
      </w:r>
      <w:r w:rsidR="008D2CE3" w:rsidRPr="008B4FA0">
        <w:rPr>
          <w:rFonts w:cs="Arial"/>
          <w:szCs w:val="20"/>
          <w:highlight w:val="yellow"/>
          <w:shd w:val="clear" w:color="auto" w:fill="FFFFFF"/>
          <w:lang w:val="en-US"/>
        </w:rPr>
        <w:t>ings include</w:t>
      </w:r>
      <w:r w:rsidRPr="008B4FA0">
        <w:rPr>
          <w:rFonts w:cs="Arial"/>
          <w:szCs w:val="20"/>
          <w:highlight w:val="yellow"/>
          <w:shd w:val="clear" w:color="auto" w:fill="FFFFFF"/>
          <w:lang w:val="en-US"/>
        </w:rPr>
        <w:t xml:space="preserve"> power, natural gas, emission allowances, tanker and dry cargo freight, seafood,</w:t>
      </w:r>
      <w:r w:rsidR="008D2CE3" w:rsidRPr="008B4FA0">
        <w:rPr>
          <w:rFonts w:cs="Arial"/>
          <w:szCs w:val="20"/>
          <w:highlight w:val="yellow"/>
          <w:shd w:val="clear" w:color="auto" w:fill="FFFFFF"/>
          <w:lang w:val="en-US"/>
        </w:rPr>
        <w:t xml:space="preserve"> iron ore, and electricity certificates.</w:t>
      </w:r>
    </w:p>
    <w:p w14:paraId="6FA00137" w14:textId="77777777" w:rsidR="00F02326" w:rsidRPr="008B4FA0" w:rsidRDefault="00F02326" w:rsidP="00F02326">
      <w:pPr>
        <w:rPr>
          <w:rFonts w:cs="Arial"/>
          <w:szCs w:val="20"/>
          <w:shd w:val="clear" w:color="auto" w:fill="FFFFFF"/>
          <w:lang w:val="en-US"/>
        </w:rPr>
      </w:pPr>
    </w:p>
    <w:p w14:paraId="63C6F2CD" w14:textId="6D4D6A71" w:rsidR="00F02326" w:rsidRPr="00F02326" w:rsidRDefault="00F02326" w:rsidP="00F02326">
      <w:pPr>
        <w:rPr>
          <w:rFonts w:ascii="Arial" w:hAnsi="Arial" w:cs="Arial"/>
          <w:szCs w:val="20"/>
          <w:shd w:val="clear" w:color="auto" w:fill="FFFFFF"/>
          <w:lang w:val="en-US"/>
        </w:rPr>
      </w:pPr>
      <w:r w:rsidRPr="008B4FA0">
        <w:rPr>
          <w:lang w:val="en-US"/>
        </w:rPr>
        <w:t xml:space="preserve">Nasdaq </w:t>
      </w:r>
      <w:r w:rsidRPr="00F02326">
        <w:rPr>
          <w:lang w:val="en-US"/>
        </w:rPr>
        <w:t>holds itself to the highest standards with regards to market regulation and is committed to protecting the integrity of its market places by means of i.a. efficient Market Surveillance. The regulatory framework with regards to market abuse is of great importance to N</w:t>
      </w:r>
      <w:r>
        <w:rPr>
          <w:lang w:val="en-US"/>
        </w:rPr>
        <w:t>asdaq</w:t>
      </w:r>
      <w:r w:rsidRPr="00F02326">
        <w:rPr>
          <w:lang w:val="en-US"/>
        </w:rPr>
        <w:t xml:space="preserve"> and the stake holders of its market places. It is imperative that such regulatory framework remains effective and well-balanced and we welcome the opportunity to provide input in this consultation. </w:t>
      </w:r>
      <w:r w:rsidRPr="00F02326">
        <w:rPr>
          <w:rFonts w:ascii="Arial" w:hAnsi="Arial" w:cs="Arial"/>
          <w:szCs w:val="20"/>
          <w:shd w:val="clear" w:color="auto" w:fill="FFFFFF"/>
          <w:lang w:val="en-US"/>
        </w:rPr>
        <w:t xml:space="preserve"> </w:t>
      </w:r>
    </w:p>
    <w:permEnd w:id="1209467051"/>
    <w:p w14:paraId="2FDE898F" w14:textId="77777777" w:rsidR="00D74C9D" w:rsidRDefault="00D74C9D" w:rsidP="00D74C9D">
      <w:r>
        <w:t>&lt;</w:t>
      </w:r>
      <w:r w:rsidRPr="00D74C9D">
        <w:t xml:space="preserve"> </w:t>
      </w:r>
      <w:r>
        <w:t>ESMA_COMMENT_MAR_TA_1&gt;</w:t>
      </w:r>
    </w:p>
    <w:p w14:paraId="2FDE8990" w14:textId="77777777" w:rsidR="00D74C9D" w:rsidRDefault="00D74C9D">
      <w:r>
        <w:br w:type="page"/>
      </w:r>
    </w:p>
    <w:p w14:paraId="2FDE8991" w14:textId="77777777" w:rsidR="00E9344E" w:rsidRDefault="00E9344E" w:rsidP="00E9344E">
      <w:pPr>
        <w:pStyle w:val="Heading1"/>
        <w:keepLines/>
        <w:numPr>
          <w:ilvl w:val="0"/>
          <w:numId w:val="37"/>
        </w:numPr>
        <w:spacing w:before="480" w:after="0"/>
      </w:pPr>
      <w:r>
        <w:lastRenderedPageBreak/>
        <w:t>Specification of the indicators of market manipulation</w:t>
      </w:r>
    </w:p>
    <w:p w14:paraId="2FDE8992" w14:textId="77777777" w:rsidR="00E9344E" w:rsidRDefault="00E9344E" w:rsidP="00E9344E"/>
    <w:p w14:paraId="2FDE8993" w14:textId="77777777"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14:paraId="2FDE8994" w14:textId="77777777" w:rsidR="00E9344E" w:rsidRDefault="00E9344E" w:rsidP="00E9344E"/>
    <w:p w14:paraId="2FDE8995" w14:textId="77777777" w:rsidR="00E9344E" w:rsidRDefault="00E9344E" w:rsidP="00E9344E">
      <w:r>
        <w:t>&lt;ESMA_QUESTION_MAR_TA_1&gt;</w:t>
      </w:r>
    </w:p>
    <w:p w14:paraId="3F7F507E" w14:textId="77777777" w:rsidR="00282BEC" w:rsidRDefault="00282BEC" w:rsidP="00282BEC">
      <w:permStart w:id="339235605" w:edGrp="everyone"/>
      <w:r>
        <w:t>Yes, in general we agree and the list is useful.</w:t>
      </w:r>
    </w:p>
    <w:p w14:paraId="123FD5E1" w14:textId="77777777" w:rsidR="00282BEC" w:rsidRDefault="00282BEC" w:rsidP="00282BEC"/>
    <w:p w14:paraId="35FCE5FE" w14:textId="77777777" w:rsidR="00282BEC" w:rsidRDefault="00282BEC" w:rsidP="00282BEC">
      <w:r>
        <w:t>On a detailed level, we have the following comments and suggestions:</w:t>
      </w:r>
    </w:p>
    <w:p w14:paraId="420FFF2A" w14:textId="77777777" w:rsidR="00282BEC" w:rsidRDefault="00282BEC" w:rsidP="00282BEC"/>
    <w:p w14:paraId="7ABCC971" w14:textId="77777777" w:rsidR="00282BEC" w:rsidRDefault="00282BEC" w:rsidP="00282BEC">
      <w:r>
        <w:t>8.1. While “creating a floor in the price pattern” is a relevant example of certain potentially abusive practices, we do not agree that it is a relevant example specifically with regards to a procedure that “lead to a price change which is subsequently reversed”. If someone is creating a floor in a price pattern, the aim should be expected to be to prevent price changes, at least downwards price changes. A general and in part related comment is also that although there are fewer situations where someone would have an interest in preventing upwards price movements for a security, it couldn’t be ruled out altogether. We thereby believe that it is relevant to make the examples around “creating a floor” more generic and to include also situations where a limitation on the upside may be incurred (“capping”).</w:t>
      </w:r>
    </w:p>
    <w:p w14:paraId="3788F66D" w14:textId="77777777" w:rsidR="00282BEC" w:rsidRDefault="00282BEC" w:rsidP="00282BEC"/>
    <w:p w14:paraId="1C628F8A" w14:textId="77777777" w:rsidR="00282BEC" w:rsidRDefault="00282BEC" w:rsidP="00282BEC">
      <w:r>
        <w:t>9.2-9.3. We do agree that it is relevant to include examples of that sort, given the expanded scope of MAR. We don’t agree though that the example is relevant for the particular Indicator. The practise of e.g. moving storages of commodities would more naturally fall under the category of dissemination of false and misleading information.</w:t>
      </w:r>
    </w:p>
    <w:p w14:paraId="0C294FBE" w14:textId="77777777" w:rsidR="00282BEC" w:rsidRDefault="00282BEC" w:rsidP="00282BEC"/>
    <w:p w14:paraId="27E4DEC0" w14:textId="77777777" w:rsidR="00282BEC" w:rsidRDefault="00282BEC" w:rsidP="00282BEC">
      <w:r>
        <w:t xml:space="preserve">9.6. We believe that the description of “advancing the bid” must be elaborated to serve as a useful example of any indicator of market abuse. We don’t think it is a useful example at all, but to the extent it shall be used it must be made much clearer and more distinct in order </w:t>
      </w:r>
      <w:r>
        <w:lastRenderedPageBreak/>
        <w:t>to add value. Orders that are placed in such way that the bid is raised or the offer lowered are very common in legitimate trading practices. Similarly we believe that the wording in 13h should be elaborated and that at least e.g. “significantly” or “disproportionally” be added.</w:t>
      </w:r>
    </w:p>
    <w:p w14:paraId="12424478" w14:textId="77777777" w:rsidR="00282BEC" w:rsidRDefault="00282BEC" w:rsidP="00282BEC"/>
    <w:p w14:paraId="13496578" w14:textId="6A0AF293" w:rsidR="00282BEC" w:rsidRDefault="00282BEC" w:rsidP="00282BEC">
      <w:r>
        <w:t>13 l). We agree that it may be problematic if a trading participant acts in such way that trading safeguards are bypassed. It could lead to disorderly trading which could be harmful for the marketplace and the participant should be held responsible for such actions. But we do not agree that this is a relevant example of market abuse. Unless of course the action is deliberately undertaken with the intent of creating disorderly trading, but we believe that the draft text goes much further than that. Especially with the wording “are likely to” included.</w:t>
      </w:r>
    </w:p>
    <w:permEnd w:id="339235605"/>
    <w:p w14:paraId="2FDE8997" w14:textId="77777777" w:rsidR="00E9344E" w:rsidRDefault="00E9344E" w:rsidP="00E9344E">
      <w:r>
        <w:t>&lt;ESMA_QUESTION_MAR_TA_1&gt;</w:t>
      </w:r>
    </w:p>
    <w:p w14:paraId="2FDE8998" w14:textId="77777777" w:rsidR="00E9344E" w:rsidRDefault="00E9344E" w:rsidP="00E9344E"/>
    <w:p w14:paraId="2FDE8999" w14:textId="77777777" w:rsidR="00E9344E" w:rsidRDefault="00E9344E" w:rsidP="00E9344E">
      <w:pPr>
        <w:pStyle w:val="Heading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14:paraId="2FDE899A" w14:textId="77777777" w:rsidR="00E9344E" w:rsidRDefault="00E9344E" w:rsidP="00E9344E"/>
    <w:p w14:paraId="2FDE899B" w14:textId="77777777" w:rsidR="00E9344E" w:rsidRDefault="00E9344E" w:rsidP="00E9344E">
      <w:r>
        <w:t>&lt;ESMA_QUESTION_MAR_TA_2&gt;</w:t>
      </w:r>
    </w:p>
    <w:p w14:paraId="2FDE899C" w14:textId="77777777" w:rsidR="00E9344E" w:rsidRDefault="00E9344E" w:rsidP="00E9344E">
      <w:permStart w:id="1667849224" w:edGrp="everyone"/>
      <w:r>
        <w:t>TYPE YOUR TEXT HERE</w:t>
      </w:r>
    </w:p>
    <w:permEnd w:id="1667849224"/>
    <w:p w14:paraId="2FDE899D" w14:textId="77777777" w:rsidR="00E9344E" w:rsidRDefault="00E9344E" w:rsidP="00E9344E">
      <w:r>
        <w:t>&lt;ESMA_QUESTION_MAR_TA_2&gt;</w:t>
      </w:r>
    </w:p>
    <w:p w14:paraId="2FDE899E" w14:textId="77777777" w:rsidR="00E9344E" w:rsidRDefault="00E9344E" w:rsidP="00E9344E"/>
    <w:p w14:paraId="2FDE899F" w14:textId="77777777"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14:paraId="2FDE89A0" w14:textId="77777777" w:rsidR="00E9344E" w:rsidRDefault="00E9344E" w:rsidP="00E9344E"/>
    <w:p w14:paraId="2FDE89A1" w14:textId="77777777" w:rsidR="00E9344E" w:rsidRDefault="00E9344E" w:rsidP="00E9344E">
      <w:r>
        <w:t>&lt;ESMA_QUESTION_MAR_TA_3&gt;</w:t>
      </w:r>
    </w:p>
    <w:p w14:paraId="188A428F" w14:textId="1D5576A9" w:rsidR="00282BEC" w:rsidRDefault="00282BEC" w:rsidP="00282BEC">
      <w:permStart w:id="1478557997" w:edGrp="everyone"/>
      <w:r>
        <w:lastRenderedPageBreak/>
        <w:t xml:space="preserve">We believe that Phishing in itself should not be regarded as an example of market abuse. Phishing, if successful, may be followed by market abuse but that does not make the Phishing activity in itself and by nature to constitute market abuse. If Phishing was included as an example of market abuse, then so should </w:t>
      </w:r>
      <w:r w:rsidR="00FB762D">
        <w:t xml:space="preserve">i.a. </w:t>
      </w:r>
      <w:r>
        <w:t>any practice that would aim at improperly gaining access to insider information. In that context, the market abuse occurs when the insider information is used, not when it is acquired.</w:t>
      </w:r>
    </w:p>
    <w:permEnd w:id="1478557997"/>
    <w:p w14:paraId="2FDE89A3" w14:textId="77777777" w:rsidR="00E9344E" w:rsidRDefault="00E9344E" w:rsidP="00E9344E">
      <w:r>
        <w:t>&lt;ESMA_QUESTION_MAR_TA_3&gt;</w:t>
      </w:r>
    </w:p>
    <w:p w14:paraId="2FDE89A4" w14:textId="77777777" w:rsidR="00E9344E" w:rsidRDefault="00E9344E" w:rsidP="00E9344E"/>
    <w:p w14:paraId="2FDE89A5" w14:textId="77777777"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14:paraId="2FDE89A6" w14:textId="77777777" w:rsidR="00E9344E" w:rsidRDefault="00E9344E" w:rsidP="00E9344E"/>
    <w:p w14:paraId="2FDE89A7" w14:textId="77777777" w:rsidR="00E9344E" w:rsidRDefault="00E9344E" w:rsidP="00E9344E">
      <w:r>
        <w:t>&lt;ESMA_QUESTION_MAR_TA_4&gt;</w:t>
      </w:r>
    </w:p>
    <w:p w14:paraId="1467E5F4" w14:textId="77777777" w:rsidR="00F17131" w:rsidRPr="00F17131" w:rsidRDefault="00F17131" w:rsidP="00F17131">
      <w:pPr>
        <w:rPr>
          <w:lang w:val="en-US"/>
        </w:rPr>
      </w:pPr>
      <w:permStart w:id="425147526" w:edGrp="everyone"/>
      <w:r w:rsidRPr="00F17131">
        <w:rPr>
          <w:lang w:val="en-US"/>
        </w:rPr>
        <w:t>We support the reference to OTC transactions in the context of cross-product manipulation and inter-venue manipulation. OTC markets exist side by side with regulated venues in commodity markets. OTC financial instruments mimic financial instruments listed on a trading venue and market participants are as a rule active in both markets. There is a risk that the prices of financial instruments are used to manipulate transactions done bilaterally or OTC. An example is bidding a small volume at higher price on exchange screen while negotiating large OTC sales. The bid price gives a false signal to the buyer in the OTC transaction. Limited transparency with respect to the prices and transactions done bilaterally/OTC may incentivize such manipulative behavior.</w:t>
      </w:r>
    </w:p>
    <w:permEnd w:id="425147526"/>
    <w:p w14:paraId="2FDE89A9" w14:textId="77777777" w:rsidR="00EC69C3" w:rsidRDefault="00E9344E" w:rsidP="00E9344E">
      <w:r>
        <w:t>&lt;ESMA_QUESTION_MAR_TA_4&gt;</w:t>
      </w:r>
    </w:p>
    <w:p w14:paraId="2FDE89AA" w14:textId="77777777" w:rsidR="00E9344E" w:rsidRDefault="00EC69C3" w:rsidP="00E9344E">
      <w:r>
        <w:br w:type="page"/>
      </w:r>
    </w:p>
    <w:p w14:paraId="2FDE89AB" w14:textId="77777777" w:rsidR="00E9344E" w:rsidRDefault="00E9344E" w:rsidP="00E9344E">
      <w:pPr>
        <w:pStyle w:val="Heading1"/>
        <w:keepLines/>
        <w:numPr>
          <w:ilvl w:val="0"/>
          <w:numId w:val="37"/>
        </w:numPr>
        <w:spacing w:before="480" w:after="0"/>
      </w:pPr>
      <w:r>
        <w:lastRenderedPageBreak/>
        <w:t>Minimum thresholds for the purpose of the exemption for certain participants in the emission allowance market from the requirement to publicly disclose inside information</w:t>
      </w:r>
    </w:p>
    <w:p w14:paraId="2FDE89AC" w14:textId="77777777" w:rsidR="00E9344E" w:rsidRDefault="00E9344E" w:rsidP="00E9344E"/>
    <w:p w14:paraId="2FDE89AD" w14:textId="77777777"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14:paraId="2FDE89AE" w14:textId="77777777" w:rsidR="00E9344E" w:rsidRDefault="00E9344E" w:rsidP="00E9344E"/>
    <w:p w14:paraId="2FDE89AF" w14:textId="77777777" w:rsidR="00E9344E" w:rsidRDefault="00E9344E" w:rsidP="00E9344E">
      <w:r>
        <w:t>&lt;ESMA_QUESTION_MAR_TA_5&gt;</w:t>
      </w:r>
    </w:p>
    <w:p w14:paraId="2840A79B" w14:textId="77777777" w:rsidR="00C22B94" w:rsidRPr="00C22B94" w:rsidRDefault="00C22B94" w:rsidP="00C22B94">
      <w:pPr>
        <w:numPr>
          <w:ilvl w:val="0"/>
          <w:numId w:val="42"/>
        </w:numPr>
        <w:rPr>
          <w:bCs/>
          <w:lang w:val="en-US"/>
        </w:rPr>
      </w:pPr>
      <w:permStart w:id="2064277880" w:edGrp="everyone"/>
      <w:r w:rsidRPr="00C22B94">
        <w:rPr>
          <w:bCs/>
          <w:lang w:val="en-US"/>
        </w:rPr>
        <w:t>We believe a threshold of 6 million tonnes per year would be too low in regards to information that will have a significant effect on prices in the European emission allowance market.  Such threshold represents just 0.3 % of actual emissions in 2013.  It is unlikely that a similar percentage would have any significant effect on prices in any electricity market running under similar non-stressed market conditions as the emission allowance market do. Rather, we would suggest a threshold to be at least 20 million tonnes per year.  This would represent about 1 % of actual emissions in a year.</w:t>
      </w:r>
    </w:p>
    <w:p w14:paraId="536AB63B" w14:textId="77777777" w:rsidR="00C22B94" w:rsidRPr="00C22B94" w:rsidRDefault="00C22B94" w:rsidP="00C22B94">
      <w:pPr>
        <w:rPr>
          <w:bCs/>
          <w:lang w:val="en-US"/>
        </w:rPr>
      </w:pPr>
    </w:p>
    <w:p w14:paraId="32DFA94B" w14:textId="2E872244" w:rsidR="00C22B94" w:rsidRPr="00C22B94" w:rsidRDefault="00C22B94" w:rsidP="00C22B94">
      <w:pPr>
        <w:numPr>
          <w:ilvl w:val="0"/>
          <w:numId w:val="42"/>
        </w:numPr>
        <w:rPr>
          <w:bCs/>
          <w:lang w:val="en-US"/>
        </w:rPr>
      </w:pPr>
      <w:r w:rsidRPr="00C22B94">
        <w:rPr>
          <w:bCs/>
          <w:lang w:val="en-US"/>
        </w:rPr>
        <w:t>Similarly, we believe the threshold for disclosing inside information on thermal input should be set at 3500 MW.</w:t>
      </w:r>
    </w:p>
    <w:permEnd w:id="2064277880"/>
    <w:p w14:paraId="2FDE89B1" w14:textId="77777777" w:rsidR="00E9344E" w:rsidRDefault="00E9344E" w:rsidP="00E9344E">
      <w:r>
        <w:t>&lt;ESMA_QUESTION_MAR_TA_5&gt;</w:t>
      </w:r>
    </w:p>
    <w:p w14:paraId="2FDE89B2" w14:textId="77777777" w:rsidR="00E9344E" w:rsidRDefault="00E9344E" w:rsidP="00E9344E"/>
    <w:p w14:paraId="2FDE89B3" w14:textId="77777777"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14:paraId="2FDE89B4" w14:textId="77777777" w:rsidR="00E9344E" w:rsidRDefault="00E9344E" w:rsidP="00E9344E"/>
    <w:p w14:paraId="2FDE89B5" w14:textId="77777777" w:rsidR="00E9344E" w:rsidRDefault="00E9344E" w:rsidP="00E9344E">
      <w:r>
        <w:t>&lt;ESMA_QUESTION_MAR_TA_6&gt;</w:t>
      </w:r>
    </w:p>
    <w:p w14:paraId="12EAAF84" w14:textId="10D1CEAE" w:rsidR="00C22B94" w:rsidRPr="008B4FA0" w:rsidRDefault="00C22B94" w:rsidP="00C22B94">
      <w:pPr>
        <w:rPr>
          <w:lang w:val="en-US"/>
        </w:rPr>
      </w:pPr>
      <w:permStart w:id="457014854" w:edGrp="everyone"/>
      <w:r w:rsidRPr="00C22B94">
        <w:rPr>
          <w:rFonts w:ascii="Calibri" w:hAnsi="Calibri"/>
          <w:sz w:val="22"/>
          <w:szCs w:val="22"/>
          <w:lang w:val="en-US" w:eastAsia="en-US"/>
        </w:rPr>
        <w:t xml:space="preserve"> </w:t>
      </w:r>
      <w:r w:rsidRPr="00C22B94">
        <w:rPr>
          <w:lang w:val="en-US"/>
        </w:rPr>
        <w:t xml:space="preserve">If any, the types could include information about the possibility of </w:t>
      </w:r>
      <w:r w:rsidRPr="00C22B94">
        <w:t>labour</w:t>
      </w:r>
      <w:r w:rsidRPr="00C22B94">
        <w:rPr>
          <w:lang w:val="en-US"/>
        </w:rPr>
        <w:t xml:space="preserve"> strikes affecting a substantial </w:t>
      </w:r>
      <w:r w:rsidRPr="008B4FA0">
        <w:rPr>
          <w:lang w:val="en-US"/>
        </w:rPr>
        <w:t>part of European installations.</w:t>
      </w:r>
    </w:p>
    <w:p w14:paraId="2FFC8357" w14:textId="3DD8F87D" w:rsidR="00EA2185" w:rsidRPr="008B4FA0" w:rsidRDefault="00EA2185" w:rsidP="00C22B94">
      <w:pPr>
        <w:rPr>
          <w:lang w:val="en-US"/>
        </w:rPr>
      </w:pPr>
      <w:r w:rsidRPr="008B4FA0">
        <w:rPr>
          <w:lang w:val="en-US"/>
        </w:rPr>
        <w:lastRenderedPageBreak/>
        <w:t xml:space="preserve">Rather than entity specific information we believe that industry and macro level information are most relevant for price formation or investment decisions. </w:t>
      </w:r>
    </w:p>
    <w:permEnd w:id="457014854"/>
    <w:p w14:paraId="2FDE89B7" w14:textId="77777777" w:rsidR="00E9344E" w:rsidRDefault="00E9344E" w:rsidP="00E9344E">
      <w:r>
        <w:t>&lt;ESMA_QUESTION_MAR_TA_6&gt;</w:t>
      </w:r>
    </w:p>
    <w:p w14:paraId="2FDE89B8" w14:textId="77777777" w:rsidR="00E9344E" w:rsidRDefault="00E9344E" w:rsidP="00E9344E">
      <w:r>
        <w:br w:type="page"/>
      </w:r>
    </w:p>
    <w:p w14:paraId="2FDE89B9" w14:textId="77777777"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14:paraId="2FDE89BA" w14:textId="77777777" w:rsidR="00E9344E" w:rsidRDefault="00E9344E" w:rsidP="00E9344E"/>
    <w:p w14:paraId="2FDE89BB" w14:textId="77777777" w:rsidR="00E9344E" w:rsidRDefault="00E9344E" w:rsidP="00E9344E">
      <w:pPr>
        <w:pStyle w:val="Heading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14:paraId="2FDE89BC" w14:textId="77777777" w:rsidR="00E9344E" w:rsidRDefault="00E9344E" w:rsidP="00E9344E"/>
    <w:p w14:paraId="2FDE89BD" w14:textId="77777777" w:rsidR="00E9344E" w:rsidRDefault="00E9344E" w:rsidP="00E9344E">
      <w:r>
        <w:t>&lt;ESMA_QUESTION_MAR_TA_7&gt;</w:t>
      </w:r>
    </w:p>
    <w:p w14:paraId="2FDE89BE" w14:textId="67A52601" w:rsidR="00E9344E" w:rsidRDefault="00147449" w:rsidP="00E9344E">
      <w:permStart w:id="655892142" w:edGrp="everyone"/>
      <w:r>
        <w:t>Yes – We agree with the proposals for deter</w:t>
      </w:r>
      <w:r w:rsidR="0031416D">
        <w:t>mining the competent authority.</w:t>
      </w:r>
    </w:p>
    <w:permEnd w:id="655892142"/>
    <w:p w14:paraId="2FDE89BF" w14:textId="77777777" w:rsidR="00E9344E" w:rsidRDefault="00E9344E" w:rsidP="00E9344E">
      <w:r>
        <w:t>&lt;ESMA_QUESTION_MAR_TA_7&gt;</w:t>
      </w:r>
    </w:p>
    <w:p w14:paraId="2FDE89C0" w14:textId="77777777" w:rsidR="00E9344E" w:rsidRDefault="00E9344E" w:rsidP="00E9344E"/>
    <w:p w14:paraId="2FDE89C1" w14:textId="77777777"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14:paraId="2FDE89C2" w14:textId="77777777" w:rsidR="00E9344E" w:rsidRDefault="00E9344E" w:rsidP="00E9344E"/>
    <w:p w14:paraId="2FDE89C3" w14:textId="77777777" w:rsidR="00E9344E" w:rsidRDefault="00E9344E" w:rsidP="00E9344E">
      <w:r>
        <w:t>&lt;ESMA_QUESTION_MAR_TA_8&gt;</w:t>
      </w:r>
    </w:p>
    <w:p w14:paraId="2FDE89C4" w14:textId="1EB3490B" w:rsidR="00E9344E" w:rsidRDefault="003258DA" w:rsidP="00E9344E">
      <w:permStart w:id="268438922" w:edGrp="everyone"/>
      <w:r>
        <w:t>Liquidity</w:t>
      </w:r>
      <w:r w:rsidR="00E967DB">
        <w:t xml:space="preserve"> </w:t>
      </w:r>
      <w:r w:rsidR="0031416D">
        <w:t xml:space="preserve">or shareholder distribution at </w:t>
      </w:r>
      <w:r w:rsidR="00C60BBE">
        <w:t xml:space="preserve">the time </w:t>
      </w:r>
      <w:r w:rsidR="0031416D">
        <w:t xml:space="preserve">of listing would probably be a relevant measure for this purpose. </w:t>
      </w:r>
      <w:r w:rsidR="00E967DB">
        <w:t>It must be clarified how to measure the liquidity</w:t>
      </w:r>
      <w:r w:rsidR="0031416D">
        <w:t>/shareholder distribution</w:t>
      </w:r>
      <w:r w:rsidR="00E967DB">
        <w:t>,</w:t>
      </w:r>
      <w:r w:rsidR="00C60BBE">
        <w:t xml:space="preserve"> i.e. whether </w:t>
      </w:r>
      <w:r w:rsidR="00E967DB">
        <w:t>it</w:t>
      </w:r>
      <w:r w:rsidR="00C60BBE">
        <w:t xml:space="preserve"> should be</w:t>
      </w:r>
      <w:r w:rsidR="00E967DB">
        <w:t xml:space="preserve"> </w:t>
      </w:r>
      <w:r w:rsidR="00615FB2">
        <w:t xml:space="preserve">on </w:t>
      </w:r>
      <w:r w:rsidR="00E967DB">
        <w:t>monthly/annually</w:t>
      </w:r>
      <w:r w:rsidR="00615FB2">
        <w:t xml:space="preserve"> basis</w:t>
      </w:r>
      <w:r w:rsidR="00E967DB">
        <w:t>? Should the liquidity</w:t>
      </w:r>
      <w:r w:rsidR="0031416D">
        <w:t>/shareholder distribution</w:t>
      </w:r>
      <w:r w:rsidR="00E967DB">
        <w:t xml:space="preserve"> be measured for single venues or </w:t>
      </w:r>
      <w:r w:rsidR="00615FB2">
        <w:t>by country, e.g. MTFs in the UK</w:t>
      </w:r>
      <w:r w:rsidR="00C60BBE">
        <w:t>?</w:t>
      </w:r>
    </w:p>
    <w:permEnd w:id="268438922"/>
    <w:p w14:paraId="2FDE89C5" w14:textId="77777777" w:rsidR="00E9344E" w:rsidRDefault="00E9344E" w:rsidP="00E9344E">
      <w:r>
        <w:t>&lt;ESMA_QUESTION_MAR_TA_8&gt;</w:t>
      </w:r>
    </w:p>
    <w:p w14:paraId="2FDE89C6" w14:textId="77777777" w:rsidR="00E9344E" w:rsidRDefault="00E9344E" w:rsidP="00E9344E"/>
    <w:p w14:paraId="2FDE89C7" w14:textId="77777777" w:rsidR="00E9344E" w:rsidRDefault="00E9344E" w:rsidP="00E9344E">
      <w:pPr>
        <w:pStyle w:val="Heading5"/>
        <w:keepNext w:val="0"/>
        <w:keepLines w:val="0"/>
        <w:numPr>
          <w:ilvl w:val="0"/>
          <w:numId w:val="38"/>
        </w:numPr>
        <w:spacing w:before="0" w:line="276" w:lineRule="auto"/>
        <w:ind w:left="284" w:hanging="284"/>
      </w:pPr>
      <w:r>
        <w:t xml:space="preserve">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w:t>
      </w:r>
      <w:r>
        <w:lastRenderedPageBreak/>
        <w:t>to mechanism set out in Article 19(2) of MAR or in another way?</w:t>
      </w:r>
    </w:p>
    <w:p w14:paraId="2FDE89C8" w14:textId="77777777" w:rsidR="00E9344E" w:rsidRDefault="00E9344E" w:rsidP="00E9344E"/>
    <w:p w14:paraId="2FDE89C9" w14:textId="77777777" w:rsidR="00E9344E" w:rsidRDefault="00E9344E" w:rsidP="00E9344E">
      <w:r>
        <w:t>&lt;ESMA_QUESTION_MAR_TA_9&gt;</w:t>
      </w:r>
    </w:p>
    <w:p w14:paraId="2FDE89CA" w14:textId="78ACF2CB" w:rsidR="00E9344E" w:rsidRDefault="00B64845" w:rsidP="00E9344E">
      <w:permStart w:id="1937441781" w:edGrp="everyone"/>
      <w:r>
        <w:t>N/A</w:t>
      </w:r>
    </w:p>
    <w:permEnd w:id="1937441781"/>
    <w:p w14:paraId="2FDE89CB" w14:textId="77777777" w:rsidR="00E9344E" w:rsidRDefault="00E9344E" w:rsidP="00E9344E">
      <w:r>
        <w:t>&lt;ESMA_QUESTION_MAR_TA_9&gt;</w:t>
      </w:r>
    </w:p>
    <w:p w14:paraId="2FDE89CC" w14:textId="77777777" w:rsidR="00E9344E" w:rsidRDefault="00E9344E" w:rsidP="00E9344E">
      <w:r>
        <w:br w:type="page"/>
      </w:r>
    </w:p>
    <w:p w14:paraId="2FDE89CD" w14:textId="77777777" w:rsidR="00E9344E" w:rsidRDefault="00E9344E" w:rsidP="00E9344E">
      <w:pPr>
        <w:pStyle w:val="Heading1"/>
        <w:keepLines/>
        <w:numPr>
          <w:ilvl w:val="0"/>
          <w:numId w:val="37"/>
        </w:numPr>
        <w:spacing w:before="480" w:after="0"/>
      </w:pPr>
      <w:r>
        <w:lastRenderedPageBreak/>
        <w:t>Managers’ transactions</w:t>
      </w:r>
    </w:p>
    <w:p w14:paraId="2FDE89CE" w14:textId="77777777" w:rsidR="00E9344E" w:rsidRDefault="00E9344E" w:rsidP="00E9344E"/>
    <w:p w14:paraId="2FDE89CF" w14:textId="77777777"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14:paraId="2FDE89D0" w14:textId="77777777" w:rsidR="00E9344E" w:rsidRDefault="00E9344E" w:rsidP="00E9344E"/>
    <w:p w14:paraId="2FDE89D1" w14:textId="77777777" w:rsidR="00E9344E" w:rsidRDefault="00E9344E" w:rsidP="00E9344E">
      <w:r>
        <w:t>&lt;ESMA_QUESTION_MAR_TA_10&gt;</w:t>
      </w:r>
    </w:p>
    <w:p w14:paraId="2FDE89D2" w14:textId="06904149" w:rsidR="00E9344E" w:rsidRDefault="00147449" w:rsidP="00E9344E">
      <w:permStart w:id="1533703444" w:edGrp="everyone"/>
      <w:r>
        <w:t>Yes.</w:t>
      </w:r>
    </w:p>
    <w:permEnd w:id="1533703444"/>
    <w:p w14:paraId="2FDE89D3" w14:textId="77777777" w:rsidR="00E9344E" w:rsidRDefault="00E9344E" w:rsidP="00E9344E">
      <w:r>
        <w:t>&lt;ESMA_QUESTION_MAR_TA_10&gt;</w:t>
      </w:r>
    </w:p>
    <w:p w14:paraId="2FDE89D4" w14:textId="77777777" w:rsidR="00E9344E" w:rsidRDefault="00E9344E" w:rsidP="00E9344E"/>
    <w:p w14:paraId="2FDE89D5" w14:textId="77777777"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14:paraId="2FDE89D6" w14:textId="77777777" w:rsidR="00E9344E" w:rsidRDefault="00E9344E" w:rsidP="00E9344E"/>
    <w:p w14:paraId="2FDE89D7" w14:textId="77777777" w:rsidR="00E9344E" w:rsidRDefault="00E9344E" w:rsidP="00E9344E">
      <w:r>
        <w:t>&lt;ESMA_QUESTION_MAR_TA_11&gt;</w:t>
      </w:r>
    </w:p>
    <w:p w14:paraId="5117C670" w14:textId="3AC6097F" w:rsidR="00533C04" w:rsidRDefault="00533C04" w:rsidP="00533C04">
      <w:permStart w:id="395462844" w:edGrp="everyone"/>
      <w:r>
        <w:t>We do not support the use of a "weighting approach" as described. It may be questioned if a PDMR always has knowledge about the specific constituents and weighting of a complex instrument/basket/UCITS. As the 20% limit would be valid at the time of the transaction a situation may occur where a purchase of such instrument should not be reported as the constituent is below 20% but the sale of the same instrument may require a report as the weight may have increased to more than 20%. The PDMR may not have information about changes to the weighting.</w:t>
      </w:r>
    </w:p>
    <w:p w14:paraId="734F1B86" w14:textId="77777777" w:rsidR="00533C04" w:rsidRDefault="00533C04" w:rsidP="00533C04"/>
    <w:p w14:paraId="754A1A6E" w14:textId="5ADF649C" w:rsidR="00533C04" w:rsidRDefault="00533C04" w:rsidP="00533C04">
      <w:r>
        <w:t>We also question what is the benefit for the market to receive information about managers transactions in such instruments. However, we can support if the weighting is set significantly higher 2 o) or only covers instruments linked to single shares 2 a).</w:t>
      </w:r>
    </w:p>
    <w:p w14:paraId="36E4E8B2" w14:textId="77777777" w:rsidR="00533C04" w:rsidRDefault="00533C04" w:rsidP="00533C04"/>
    <w:permEnd w:id="395462844"/>
    <w:p w14:paraId="2FDE89D9" w14:textId="77777777" w:rsidR="00E9344E" w:rsidRDefault="00E9344E" w:rsidP="00E9344E">
      <w:r>
        <w:t>&lt;ESMA_QUESTION_MAR_TA_11&gt;</w:t>
      </w:r>
    </w:p>
    <w:p w14:paraId="2FDE89DA" w14:textId="77777777" w:rsidR="00E9344E" w:rsidRDefault="00E9344E" w:rsidP="00E9344E"/>
    <w:p w14:paraId="2FDE89DB" w14:textId="77777777"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w:t>
      </w:r>
      <w:r>
        <w:lastRenderedPageBreak/>
        <w:t xml:space="preserve">be permitted by the issuer? If not, please provide an explanation. </w:t>
      </w:r>
    </w:p>
    <w:p w14:paraId="2FDE89DC" w14:textId="77777777" w:rsidR="00E9344E" w:rsidRDefault="00E9344E" w:rsidP="00E9344E"/>
    <w:p w14:paraId="2FDE89DD" w14:textId="77777777" w:rsidR="00E9344E" w:rsidRDefault="00E9344E" w:rsidP="00E9344E">
      <w:r>
        <w:t>&lt;ESMA_QUESTION_MAR_TA_12&gt;</w:t>
      </w:r>
    </w:p>
    <w:p w14:paraId="2FDE89DE" w14:textId="2E0B4945" w:rsidR="00E9344E" w:rsidRDefault="00147449" w:rsidP="00E9344E">
      <w:permStart w:id="1746232405" w:edGrp="everyone"/>
      <w:r>
        <w:t>We agree with the ESMA approach. The general insider dealing provisions still apply.</w:t>
      </w:r>
    </w:p>
    <w:permEnd w:id="1746232405"/>
    <w:p w14:paraId="2FDE89DF" w14:textId="77777777" w:rsidR="00E9344E" w:rsidRDefault="00E9344E" w:rsidP="00E9344E">
      <w:r>
        <w:t>&lt;ESMA_QUESTION_MAR_TA_12&gt;</w:t>
      </w:r>
    </w:p>
    <w:p w14:paraId="2FDE89E0" w14:textId="77777777" w:rsidR="00E9344E" w:rsidRDefault="00E9344E" w:rsidP="00E9344E"/>
    <w:p w14:paraId="2FDE89E1" w14:textId="77777777"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14:paraId="2FDE89E2" w14:textId="77777777" w:rsidR="00E9344E" w:rsidRDefault="00E9344E" w:rsidP="00E9344E"/>
    <w:p w14:paraId="2FDE89E3" w14:textId="77777777" w:rsidR="00E9344E" w:rsidRDefault="00E9344E" w:rsidP="00E9344E">
      <w:r>
        <w:t>&lt;ESMA_QUESTION_MAR_TA_13&gt;</w:t>
      </w:r>
    </w:p>
    <w:p w14:paraId="2FDE89E4" w14:textId="3D0D5E85" w:rsidR="00E9344E" w:rsidRPr="009102E2" w:rsidRDefault="006C31B9" w:rsidP="00E9344E">
      <w:permStart w:id="1496592455" w:edGrp="everyone"/>
      <w:r w:rsidRPr="009102E2">
        <w:t xml:space="preserve">If </w:t>
      </w:r>
      <w:r w:rsidR="00C60BBE">
        <w:t xml:space="preserve">it is </w:t>
      </w:r>
      <w:r w:rsidRPr="009102E2">
        <w:t>possible to define a discretionary mandate we would argue that the</w:t>
      </w:r>
      <w:r w:rsidR="009102E2" w:rsidRPr="009102E2">
        <w:t xml:space="preserve"> PDMR should actively exclude any trading in the company’s shares or related financial instruments from the discretionary portfolio or the asset management mandate. This would be in order to minimize the mentioned risks related to informing and controlling the asset manager</w:t>
      </w:r>
      <w:r w:rsidR="009102E2">
        <w:t xml:space="preserve"> as described in p114-115.</w:t>
      </w:r>
      <w:r w:rsidR="009102E2" w:rsidRPr="009102E2">
        <w:t>.</w:t>
      </w:r>
    </w:p>
    <w:permEnd w:id="1496592455"/>
    <w:p w14:paraId="2FDE89E5" w14:textId="77777777" w:rsidR="00E9344E" w:rsidRDefault="00E9344E" w:rsidP="00E9344E">
      <w:r>
        <w:t>&lt;ESMA_QUESTION_MAR_TA_13&gt;</w:t>
      </w:r>
    </w:p>
    <w:p w14:paraId="2FDE89E6" w14:textId="77777777" w:rsidR="00E9344E" w:rsidRDefault="00E9344E" w:rsidP="00E9344E"/>
    <w:p w14:paraId="2FDE89E7" w14:textId="77777777"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14:paraId="2FDE89E8" w14:textId="77777777" w:rsidR="00E9344E" w:rsidRDefault="00E9344E" w:rsidP="00E9344E"/>
    <w:p w14:paraId="2FDE89E9" w14:textId="77777777" w:rsidR="00E9344E" w:rsidRDefault="00E9344E" w:rsidP="00E9344E">
      <w:r>
        <w:t>&lt;ESMA_QUESTION_MAR_TA_14&gt;</w:t>
      </w:r>
    </w:p>
    <w:p w14:paraId="2FDE89EA" w14:textId="1E2CFA8E" w:rsidR="00E9344E" w:rsidRDefault="00147449" w:rsidP="00E9344E">
      <w:permStart w:id="1365863556" w:edGrp="everyone"/>
      <w:r>
        <w:t>Yes – in these cases the PDMR is not actively making a decision.</w:t>
      </w:r>
    </w:p>
    <w:permEnd w:id="1365863556"/>
    <w:p w14:paraId="2FDE89EB" w14:textId="77777777" w:rsidR="00E9344E" w:rsidRDefault="00E9344E" w:rsidP="00E9344E">
      <w:r>
        <w:t>&lt;ESMA_QUESTION_MAR_TA_14&gt;</w:t>
      </w:r>
    </w:p>
    <w:p w14:paraId="2FDE89EC" w14:textId="77777777" w:rsidR="00E9344E" w:rsidRDefault="00E9344E" w:rsidP="00E9344E">
      <w:r>
        <w:br w:type="page"/>
      </w:r>
    </w:p>
    <w:p w14:paraId="2FDE89ED" w14:textId="77777777" w:rsidR="00E9344E" w:rsidRDefault="00E9344E" w:rsidP="00E9344E">
      <w:pPr>
        <w:pStyle w:val="Heading1"/>
        <w:keepLines/>
        <w:numPr>
          <w:ilvl w:val="0"/>
          <w:numId w:val="37"/>
        </w:numPr>
        <w:spacing w:before="480" w:after="0"/>
      </w:pPr>
      <w:r>
        <w:lastRenderedPageBreak/>
        <w:t>Reporting of infringements</w:t>
      </w:r>
    </w:p>
    <w:p w14:paraId="2FDE89EE" w14:textId="77777777" w:rsidR="00E9344E" w:rsidRDefault="00E9344E" w:rsidP="00E9344E"/>
    <w:p w14:paraId="2FDE89EF" w14:textId="77777777"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14:paraId="2FDE89F0" w14:textId="77777777" w:rsidR="00E9344E" w:rsidRDefault="00E9344E" w:rsidP="00E9344E"/>
    <w:p w14:paraId="2FDE89F1" w14:textId="77777777" w:rsidR="00E9344E" w:rsidRDefault="00E9344E" w:rsidP="00E9344E">
      <w:r>
        <w:t>&lt;ESMA_QUESTION_MAR_TA_15&gt;</w:t>
      </w:r>
    </w:p>
    <w:p w14:paraId="2FDE89F2" w14:textId="77777777" w:rsidR="00E9344E" w:rsidRDefault="00E9344E" w:rsidP="00E9344E">
      <w:permStart w:id="564886857" w:edGrp="everyone"/>
      <w:r>
        <w:t>TYPE YOUR TEXT HERE</w:t>
      </w:r>
    </w:p>
    <w:permEnd w:id="564886857"/>
    <w:p w14:paraId="2FDE89F3" w14:textId="77777777" w:rsidR="00E9344E" w:rsidRDefault="00E9344E" w:rsidP="00E9344E">
      <w:r>
        <w:t>&lt;ESMA_QUESTION_MAR_TA_15&gt;</w:t>
      </w:r>
    </w:p>
    <w:p w14:paraId="2FDE89F4" w14:textId="77777777" w:rsidR="00E9344E" w:rsidRDefault="00E9344E" w:rsidP="00E9344E"/>
    <w:p w14:paraId="2FDE89F5" w14:textId="77777777"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14:paraId="2FDE89F6" w14:textId="77777777" w:rsidR="00E9344E" w:rsidRDefault="00E9344E" w:rsidP="00E9344E"/>
    <w:p w14:paraId="2FDE89F7" w14:textId="77777777" w:rsidR="00E9344E" w:rsidRDefault="00E9344E" w:rsidP="00E9344E">
      <w:r>
        <w:t>&lt;ESMA_QUESTION_MAR_TA_16&gt;</w:t>
      </w:r>
    </w:p>
    <w:p w14:paraId="2FDE89F8" w14:textId="77777777" w:rsidR="00E9344E" w:rsidRDefault="00E9344E" w:rsidP="00E9344E">
      <w:permStart w:id="889278867" w:edGrp="everyone"/>
      <w:r>
        <w:t>TYPE YOUR TEXT HERE</w:t>
      </w:r>
    </w:p>
    <w:permEnd w:id="889278867"/>
    <w:p w14:paraId="2FDE89F9" w14:textId="77777777" w:rsidR="00E9344E" w:rsidRDefault="00E9344E" w:rsidP="00E9344E">
      <w:r>
        <w:t>&lt;ESMA_QUESTION_MAR_TA_16&gt;</w:t>
      </w:r>
    </w:p>
    <w:p w14:paraId="2FDE89FA" w14:textId="77777777" w:rsidR="00E9344E" w:rsidRDefault="00E9344E" w:rsidP="00E9344E"/>
    <w:p w14:paraId="2FDE89FB" w14:textId="77777777"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14:paraId="2FDE89FC" w14:textId="77777777"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processing;</w:t>
      </w:r>
    </w:p>
    <w:p w14:paraId="2FDE89FD" w14:textId="77777777" w:rsidR="00E9344E" w:rsidRDefault="00E9344E" w:rsidP="00E9344E">
      <w:pPr>
        <w:pStyle w:val="Heading5"/>
        <w:keepNext w:val="0"/>
        <w:keepLines w:val="0"/>
        <w:numPr>
          <w:ilvl w:val="0"/>
          <w:numId w:val="39"/>
        </w:numPr>
        <w:spacing w:before="0" w:line="276" w:lineRule="auto"/>
      </w:pPr>
      <w:r>
        <w:t>protection of the rights related to data processing;</w:t>
      </w:r>
    </w:p>
    <w:p w14:paraId="2FDE89FE" w14:textId="77777777" w:rsidR="00E9344E" w:rsidRDefault="00E9344E" w:rsidP="00E9344E">
      <w:pPr>
        <w:pStyle w:val="Heading5"/>
        <w:keepNext w:val="0"/>
        <w:keepLines w:val="0"/>
        <w:numPr>
          <w:ilvl w:val="0"/>
          <w:numId w:val="39"/>
        </w:numPr>
        <w:spacing w:before="0" w:line="276" w:lineRule="auto"/>
      </w:pPr>
      <w:r>
        <w:t>security aspects of the data processing operation; and</w:t>
      </w:r>
    </w:p>
    <w:p w14:paraId="2FDE89FF" w14:textId="77777777" w:rsidR="00E9344E" w:rsidRDefault="00E9344E" w:rsidP="00E9344E">
      <w:pPr>
        <w:pStyle w:val="Heading5"/>
        <w:keepNext w:val="0"/>
        <w:keepLines w:val="0"/>
        <w:numPr>
          <w:ilvl w:val="0"/>
          <w:numId w:val="39"/>
        </w:numPr>
        <w:spacing w:before="0" w:line="276" w:lineRule="auto"/>
      </w:pPr>
      <w:r>
        <w:lastRenderedPageBreak/>
        <w:t>conditions for the management of reporting mechanisms (including limitations of cross-border data transferral)?</w:t>
      </w:r>
    </w:p>
    <w:p w14:paraId="2FDE8A00" w14:textId="77777777" w:rsidR="00E9344E" w:rsidRDefault="00E9344E" w:rsidP="00E9344E">
      <w:pPr>
        <w:ind w:left="720"/>
      </w:pPr>
    </w:p>
    <w:p w14:paraId="2FDE8A01" w14:textId="77777777" w:rsidR="00E9344E" w:rsidRDefault="00E9344E" w:rsidP="00E9344E">
      <w:r>
        <w:t>&lt;ESMA_QUESTION_MAR_TA_17&gt;</w:t>
      </w:r>
    </w:p>
    <w:p w14:paraId="2FDE8A02" w14:textId="77777777" w:rsidR="00E9344E" w:rsidRDefault="00E9344E" w:rsidP="00E9344E">
      <w:permStart w:id="1420700099" w:edGrp="everyone"/>
      <w:r>
        <w:t>TYPE YOUR TEXT HERE</w:t>
      </w:r>
    </w:p>
    <w:permEnd w:id="1420700099"/>
    <w:p w14:paraId="2FDE8A03" w14:textId="77777777" w:rsidR="00E9344E" w:rsidRDefault="00E9344E" w:rsidP="00E9344E">
      <w:r>
        <w:t>&lt;ESMA_QUESTION_MAR_TA_17&gt;</w:t>
      </w:r>
    </w:p>
    <w:p w14:paraId="2FDE8A04" w14:textId="77777777" w:rsidR="00E9344E" w:rsidRDefault="00E9344E" w:rsidP="00E9344E"/>
    <w:p w14:paraId="2FDE8A05" w14:textId="77777777"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14:paraId="2FDE8A06" w14:textId="77777777" w:rsidR="00E9344E" w:rsidRDefault="00E9344E" w:rsidP="00E9344E"/>
    <w:p w14:paraId="2FDE8A07" w14:textId="77777777" w:rsidR="00E9344E" w:rsidRDefault="00E9344E" w:rsidP="00E9344E">
      <w:r>
        <w:t>&lt;ESMA_QUESTION_MAR_TA_18&gt;</w:t>
      </w:r>
    </w:p>
    <w:p w14:paraId="2FDE8A08" w14:textId="77777777" w:rsidR="00E9344E" w:rsidRDefault="00E9344E" w:rsidP="00E9344E">
      <w:permStart w:id="1212573801" w:edGrp="everyone"/>
      <w:r>
        <w:t>TYPE YOUR TEXT HERE</w:t>
      </w:r>
    </w:p>
    <w:permEnd w:id="1212573801"/>
    <w:p w14:paraId="2FDE8A09" w14:textId="77777777" w:rsidR="00E9344E" w:rsidRDefault="00E9344E" w:rsidP="00E9344E">
      <w:r>
        <w:t>&lt;ESMA_QUESTION_MAR_TA_18&gt;</w:t>
      </w:r>
    </w:p>
    <w:p w14:paraId="2FDE8A0A" w14:textId="77777777" w:rsidR="00E9344E" w:rsidRDefault="00E9344E" w:rsidP="00E9344E"/>
    <w:p w14:paraId="2FDE8A0B" w14:textId="77777777" w:rsidR="00E9344E" w:rsidRDefault="00E9344E" w:rsidP="00E9344E">
      <w:pPr>
        <w:pStyle w:val="Heading5"/>
        <w:keepNext w:val="0"/>
        <w:keepLines w:val="0"/>
        <w:numPr>
          <w:ilvl w:val="0"/>
          <w:numId w:val="38"/>
        </w:numPr>
        <w:spacing w:before="0" w:line="276" w:lineRule="auto"/>
        <w:ind w:left="284" w:hanging="284"/>
      </w:pPr>
      <w:r>
        <w:t xml:space="preserve">Are you aware of any particular provision, measure or procedure currently in place under national laws of Member States or best practices that could effectively complement the mechanism of the competent authorities and the waiver of liability for reporting proposed in the draft </w:t>
      </w:r>
      <w:r>
        <w:lastRenderedPageBreak/>
        <w:t>technical advice, in order to increase the protection of employees working under a contract of employment? If yes, please provide examples</w:t>
      </w:r>
      <w:r>
        <w:rPr>
          <w:b w:val="0"/>
        </w:rPr>
        <w:t xml:space="preserve">. </w:t>
      </w:r>
    </w:p>
    <w:p w14:paraId="2FDE8A0C" w14:textId="77777777" w:rsidR="00E9344E" w:rsidRDefault="00E9344E" w:rsidP="00E9344E"/>
    <w:p w14:paraId="2FDE8A0D" w14:textId="77777777" w:rsidR="00E9344E" w:rsidRDefault="00E9344E" w:rsidP="00E9344E">
      <w:r>
        <w:t>&lt;ESMA_QUESTION_MAR_TA_19&gt;</w:t>
      </w:r>
    </w:p>
    <w:p w14:paraId="2FDE8A0E" w14:textId="77777777" w:rsidR="00E9344E" w:rsidRDefault="00E9344E" w:rsidP="00E9344E">
      <w:permStart w:id="1809276396" w:edGrp="everyone"/>
      <w:r>
        <w:t>TYPE YOUR TEXT HERE</w:t>
      </w:r>
    </w:p>
    <w:permEnd w:id="1809276396"/>
    <w:p w14:paraId="2FDE8A0F" w14:textId="77777777" w:rsidR="00E9344E" w:rsidRDefault="00E9344E" w:rsidP="00E9344E">
      <w:r>
        <w:t>&lt;ESMA_QUESTION_MAR_TA_19&gt;</w:t>
      </w:r>
    </w:p>
    <w:p w14:paraId="2FDE8A10" w14:textId="77777777" w:rsidR="003A6E9A" w:rsidRPr="009137B6" w:rsidRDefault="003A6E9A" w:rsidP="009137B6">
      <w:pPr>
        <w:keepLines/>
      </w:pPr>
    </w:p>
    <w:sectPr w:rsidR="003A6E9A" w:rsidRPr="009137B6" w:rsidSect="000C06C9">
      <w:headerReference w:type="even" r:id="rId18"/>
      <w:headerReference w:type="first" r:id="rId19"/>
      <w:footerReference w:type="first" r:id="rId20"/>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8406E" w14:textId="77777777" w:rsidR="003258DA" w:rsidRDefault="003258DA">
      <w:r>
        <w:separator/>
      </w:r>
    </w:p>
    <w:p w14:paraId="73FC8277" w14:textId="77777777" w:rsidR="003258DA" w:rsidRDefault="003258DA"/>
  </w:endnote>
  <w:endnote w:type="continuationSeparator" w:id="0">
    <w:p w14:paraId="03BACC0B" w14:textId="77777777" w:rsidR="003258DA" w:rsidRDefault="003258DA">
      <w:r>
        <w:continuationSeparator/>
      </w:r>
    </w:p>
    <w:p w14:paraId="30327C4B" w14:textId="77777777" w:rsidR="003258DA" w:rsidRDefault="003258DA"/>
  </w:endnote>
  <w:endnote w:type="continuationNotice" w:id="1">
    <w:p w14:paraId="237BC1EE" w14:textId="77777777" w:rsidR="003258DA" w:rsidRDefault="0032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EU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258DA" w:rsidRPr="00315E96" w14:paraId="2FDE8A1E" w14:textId="77777777" w:rsidTr="00315E96">
      <w:trPr>
        <w:trHeight w:val="284"/>
      </w:trPr>
      <w:tc>
        <w:tcPr>
          <w:tcW w:w="8460" w:type="dxa"/>
        </w:tcPr>
        <w:p w14:paraId="2FDE8A1C" w14:textId="77777777" w:rsidR="003258DA" w:rsidRPr="00315E96" w:rsidRDefault="003258DA" w:rsidP="00315E96">
          <w:pPr>
            <w:pStyle w:val="00Footer"/>
            <w:rPr>
              <w:lang w:val="fr-FR"/>
            </w:rPr>
          </w:pPr>
        </w:p>
      </w:tc>
      <w:tc>
        <w:tcPr>
          <w:tcW w:w="952" w:type="dxa"/>
        </w:tcPr>
        <w:p w14:paraId="2FDE8A1D" w14:textId="77777777" w:rsidR="003258DA" w:rsidRPr="002C5B2D" w:rsidRDefault="003258DA" w:rsidP="002C5B2D">
          <w:pPr>
            <w:pStyle w:val="00aPagenumber"/>
          </w:pPr>
          <w:r>
            <w:fldChar w:fldCharType="begin"/>
          </w:r>
          <w:r>
            <w:instrText xml:space="preserve"> PAGE </w:instrText>
          </w:r>
          <w:r>
            <w:fldChar w:fldCharType="separate"/>
          </w:r>
          <w:r w:rsidR="009E732E">
            <w:rPr>
              <w:noProof/>
            </w:rPr>
            <w:t>3</w:t>
          </w:r>
          <w:r>
            <w:rPr>
              <w:noProof/>
            </w:rPr>
            <w:fldChar w:fldCharType="end"/>
          </w:r>
        </w:p>
      </w:tc>
    </w:tr>
  </w:tbl>
  <w:p w14:paraId="2FDE8A1F" w14:textId="77777777" w:rsidR="003258DA" w:rsidRDefault="00325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8A2F" w14:textId="77777777" w:rsidR="003258DA" w:rsidRDefault="0032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D4FB" w14:textId="77777777" w:rsidR="003258DA" w:rsidRDefault="003258DA">
      <w:r>
        <w:separator/>
      </w:r>
    </w:p>
    <w:p w14:paraId="397980A5" w14:textId="77777777" w:rsidR="003258DA" w:rsidRDefault="003258DA"/>
  </w:footnote>
  <w:footnote w:type="continuationSeparator" w:id="0">
    <w:p w14:paraId="5C249862" w14:textId="77777777" w:rsidR="003258DA" w:rsidRDefault="003258DA">
      <w:r>
        <w:continuationSeparator/>
      </w:r>
    </w:p>
    <w:p w14:paraId="02F6D1EE" w14:textId="77777777" w:rsidR="003258DA" w:rsidRDefault="003258DA"/>
  </w:footnote>
  <w:footnote w:type="continuationNotice" w:id="1">
    <w:p w14:paraId="2334DB8C" w14:textId="77777777" w:rsidR="003258DA" w:rsidRDefault="003258DA"/>
  </w:footnote>
  <w:footnote w:id="2">
    <w:p w14:paraId="2FDE8A3C" w14:textId="77777777" w:rsidR="003258DA" w:rsidRDefault="003258DA"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8A1B" w14:textId="77777777" w:rsidR="003258DA" w:rsidRDefault="003258DA">
    <w:pPr>
      <w:pStyle w:val="Header"/>
    </w:pPr>
    <w:r>
      <w:rPr>
        <w:noProof/>
        <w:lang w:val="sv-SE" w:eastAsia="sv-SE"/>
      </w:rPr>
      <w:drawing>
        <wp:anchor distT="0" distB="0" distL="114300" distR="114300" simplePos="0" relativeHeight="251658243" behindDoc="0" locked="0" layoutInCell="1" allowOverlap="1" wp14:anchorId="2FDE8A30" wp14:editId="2FDE8A3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8241" behindDoc="0" locked="0" layoutInCell="1" allowOverlap="1" wp14:anchorId="2FDE8A32" wp14:editId="2FDE8A33">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30CC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8A20" w14:textId="77777777" w:rsidR="003258DA" w:rsidRDefault="003258DA" w:rsidP="00013CCE">
    <w:pPr>
      <w:pStyle w:val="Header"/>
      <w:jc w:val="right"/>
    </w:pPr>
    <w:r>
      <w:rPr>
        <w:noProof/>
        <w:lang w:val="sv-SE" w:eastAsia="sv-SE"/>
      </w:rPr>
      <w:drawing>
        <wp:anchor distT="0" distB="0" distL="114300" distR="114300" simplePos="0" relativeHeight="251658242" behindDoc="0" locked="0" layoutInCell="1" allowOverlap="1" wp14:anchorId="2FDE8A34" wp14:editId="2FDE8A35">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8240" behindDoc="1" locked="0" layoutInCell="1" allowOverlap="1" wp14:anchorId="2FDE8A36" wp14:editId="2FDE8A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8A21" w14:textId="77777777" w:rsidR="003258DA" w:rsidRDefault="003258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258DA" w:rsidRPr="002F4496" w14:paraId="2FDE8A24" w14:textId="77777777" w:rsidTr="000C06C9">
      <w:trPr>
        <w:trHeight w:val="284"/>
      </w:trPr>
      <w:tc>
        <w:tcPr>
          <w:tcW w:w="8460" w:type="dxa"/>
        </w:tcPr>
        <w:p w14:paraId="2FDE8A22" w14:textId="77777777" w:rsidR="003258DA" w:rsidRPr="000C3B6D" w:rsidRDefault="003258DA" w:rsidP="000C06C9">
          <w:pPr>
            <w:pStyle w:val="00Footer"/>
            <w:rPr>
              <w:lang w:val="fr-FR"/>
            </w:rPr>
          </w:pPr>
        </w:p>
      </w:tc>
      <w:tc>
        <w:tcPr>
          <w:tcW w:w="952" w:type="dxa"/>
        </w:tcPr>
        <w:p w14:paraId="2FDE8A23" w14:textId="77777777" w:rsidR="003258DA" w:rsidRPr="00146B34" w:rsidRDefault="003258DA" w:rsidP="000C06C9">
          <w:pPr>
            <w:pStyle w:val="00aPagenumber"/>
            <w:rPr>
              <w:lang w:val="fr-FR"/>
            </w:rPr>
          </w:pPr>
        </w:p>
      </w:tc>
    </w:tr>
  </w:tbl>
  <w:p w14:paraId="2FDE8A25" w14:textId="77777777" w:rsidR="003258DA" w:rsidRPr="00DB46C3" w:rsidRDefault="003258DA">
    <w:pPr>
      <w:rPr>
        <w:lang w:val="fr-FR"/>
      </w:rPr>
    </w:pPr>
  </w:p>
  <w:p w14:paraId="2FDE8A26" w14:textId="77777777" w:rsidR="003258DA" w:rsidRPr="002F4496" w:rsidRDefault="003258DA">
    <w:pPr>
      <w:pStyle w:val="Header"/>
      <w:rPr>
        <w:lang w:val="fr-FR"/>
      </w:rPr>
    </w:pPr>
  </w:p>
  <w:p w14:paraId="2FDE8A27" w14:textId="77777777" w:rsidR="003258DA" w:rsidRPr="002F4496" w:rsidRDefault="003258DA" w:rsidP="000C06C9">
    <w:pPr>
      <w:pStyle w:val="Header"/>
      <w:tabs>
        <w:tab w:val="clear" w:pos="4536"/>
        <w:tab w:val="clear" w:pos="9072"/>
        <w:tab w:val="left" w:pos="8227"/>
      </w:tabs>
      <w:rPr>
        <w:lang w:val="fr-FR"/>
      </w:rPr>
    </w:pPr>
  </w:p>
  <w:p w14:paraId="2FDE8A28" w14:textId="77777777" w:rsidR="003258DA" w:rsidRPr="002F4496" w:rsidRDefault="003258DA" w:rsidP="000C06C9">
    <w:pPr>
      <w:pStyle w:val="Header"/>
      <w:tabs>
        <w:tab w:val="clear" w:pos="4536"/>
        <w:tab w:val="clear" w:pos="9072"/>
        <w:tab w:val="left" w:pos="8227"/>
      </w:tabs>
      <w:rPr>
        <w:lang w:val="fr-FR"/>
      </w:rPr>
    </w:pPr>
  </w:p>
  <w:p w14:paraId="2FDE8A29" w14:textId="77777777" w:rsidR="003258DA" w:rsidRPr="002F4496" w:rsidRDefault="003258DA">
    <w:pPr>
      <w:pStyle w:val="Header"/>
      <w:rPr>
        <w:lang w:val="fr-FR"/>
      </w:rPr>
    </w:pPr>
  </w:p>
  <w:p w14:paraId="2FDE8A2A" w14:textId="77777777" w:rsidR="003258DA" w:rsidRPr="002F4496" w:rsidRDefault="003258DA">
    <w:pPr>
      <w:pStyle w:val="Header"/>
      <w:rPr>
        <w:lang w:val="fr-FR"/>
      </w:rPr>
    </w:pPr>
  </w:p>
  <w:p w14:paraId="2FDE8A2B" w14:textId="77777777" w:rsidR="003258DA" w:rsidRPr="002F4496" w:rsidRDefault="003258DA">
    <w:pPr>
      <w:pStyle w:val="Header"/>
      <w:rPr>
        <w:lang w:val="fr-FR"/>
      </w:rPr>
    </w:pPr>
  </w:p>
  <w:p w14:paraId="2FDE8A2C" w14:textId="77777777" w:rsidR="003258DA" w:rsidRPr="002F4496" w:rsidRDefault="003258DA">
    <w:pPr>
      <w:pStyle w:val="Header"/>
      <w:rPr>
        <w:lang w:val="fr-FR"/>
      </w:rPr>
    </w:pPr>
  </w:p>
  <w:p w14:paraId="2FDE8A2D" w14:textId="77777777" w:rsidR="003258DA" w:rsidRPr="002F4496" w:rsidRDefault="003258DA">
    <w:pPr>
      <w:pStyle w:val="Header"/>
      <w:rPr>
        <w:highlight w:val="yellow"/>
        <w:lang w:val="fr-FR"/>
      </w:rPr>
    </w:pPr>
  </w:p>
  <w:p w14:paraId="2FDE8A2E" w14:textId="77777777" w:rsidR="003258DA" w:rsidRDefault="003258DA">
    <w:pPr>
      <w:pStyle w:val="Header"/>
    </w:pPr>
    <w:r>
      <w:rPr>
        <w:noProof/>
        <w:lang w:val="sv-SE" w:eastAsia="sv-SE"/>
      </w:rPr>
      <mc:AlternateContent>
        <mc:Choice Requires="wps">
          <w:drawing>
            <wp:anchor distT="0" distB="0" distL="114299" distR="114299" simplePos="0" relativeHeight="251658245" behindDoc="0" locked="0" layoutInCell="1" allowOverlap="1" wp14:anchorId="2FDE8A38" wp14:editId="2FDE8A39">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11DDF"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8244" behindDoc="0" locked="0" layoutInCell="1" allowOverlap="1" wp14:anchorId="2FDE8A3A" wp14:editId="2FDE8A3B">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3D0777E9"/>
    <w:multiLevelType w:val="hybridMultilevel"/>
    <w:tmpl w:val="32045044"/>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1"/>
  </w:num>
  <w:num w:numId="3">
    <w:abstractNumId w:val="13"/>
  </w:num>
  <w:num w:numId="4">
    <w:abstractNumId w:val="25"/>
  </w:num>
  <w:num w:numId="5">
    <w:abstractNumId w:val="3"/>
  </w:num>
  <w:num w:numId="6">
    <w:abstractNumId w:val="27"/>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2"/>
  </w:num>
  <w:num w:numId="15">
    <w:abstractNumId w:val="24"/>
  </w:num>
  <w:num w:numId="16">
    <w:abstractNumId w:val="11"/>
  </w:num>
  <w:num w:numId="17">
    <w:abstractNumId w:val="1"/>
  </w:num>
  <w:num w:numId="18">
    <w:abstractNumId w:val="15"/>
  </w:num>
  <w:num w:numId="19">
    <w:abstractNumId w:val="16"/>
  </w:num>
  <w:num w:numId="20">
    <w:abstractNumId w:val="18"/>
  </w:num>
  <w:num w:numId="21">
    <w:abstractNumId w:val="28"/>
  </w:num>
  <w:num w:numId="22">
    <w:abstractNumId w:val="35"/>
  </w:num>
  <w:num w:numId="23">
    <w:abstractNumId w:val="26"/>
  </w:num>
  <w:num w:numId="24">
    <w:abstractNumId w:val="10"/>
  </w:num>
  <w:num w:numId="25">
    <w:abstractNumId w:val="31"/>
  </w:num>
  <w:num w:numId="26">
    <w:abstractNumId w:val="30"/>
  </w:num>
  <w:num w:numId="27">
    <w:abstractNumId w:val="22"/>
  </w:num>
  <w:num w:numId="28">
    <w:abstractNumId w:val="34"/>
  </w:num>
  <w:num w:numId="29">
    <w:abstractNumId w:val="37"/>
  </w:num>
  <w:num w:numId="30">
    <w:abstractNumId w:val="8"/>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5"/>
  </w:num>
  <w:num w:numId="4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3276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5BF"/>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449"/>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BEC"/>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47B0"/>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16D"/>
    <w:rsid w:val="00314945"/>
    <w:rsid w:val="00315389"/>
    <w:rsid w:val="00315746"/>
    <w:rsid w:val="00315E96"/>
    <w:rsid w:val="00317FC8"/>
    <w:rsid w:val="003223D7"/>
    <w:rsid w:val="00323D9F"/>
    <w:rsid w:val="00324FDB"/>
    <w:rsid w:val="003258DA"/>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BF7"/>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31D"/>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3C0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2729"/>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5FB2"/>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1B9"/>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4FA0"/>
    <w:rsid w:val="008B5D2D"/>
    <w:rsid w:val="008B6361"/>
    <w:rsid w:val="008C0320"/>
    <w:rsid w:val="008C2A81"/>
    <w:rsid w:val="008C3863"/>
    <w:rsid w:val="008C4BDC"/>
    <w:rsid w:val="008C50FF"/>
    <w:rsid w:val="008C5435"/>
    <w:rsid w:val="008C6BD1"/>
    <w:rsid w:val="008D2CE3"/>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2E2"/>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32E"/>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0D88"/>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4845"/>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2B94"/>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0BBE"/>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57AB"/>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D7728"/>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67DB"/>
    <w:rsid w:val="00E97E2B"/>
    <w:rsid w:val="00EA08CA"/>
    <w:rsid w:val="00EA0C0C"/>
    <w:rsid w:val="00EA2185"/>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326"/>
    <w:rsid w:val="00F02C04"/>
    <w:rsid w:val="00F03AF1"/>
    <w:rsid w:val="00F04BCD"/>
    <w:rsid w:val="00F05A8C"/>
    <w:rsid w:val="00F06211"/>
    <w:rsid w:val="00F10A54"/>
    <w:rsid w:val="00F123D0"/>
    <w:rsid w:val="00F13200"/>
    <w:rsid w:val="00F13411"/>
    <w:rsid w:val="00F143BA"/>
    <w:rsid w:val="00F17131"/>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62D"/>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2d4491,#283583"/>
    </o:shapedefaults>
    <o:shapelayout v:ext="edit">
      <o:idmap v:ext="edit" data="1"/>
    </o:shapelayout>
  </w:shapeDefaults>
  <w:decimalSymbol w:val=","/>
  <w:listSeparator w:val=";"/>
  <w14:docId w14:val="2FDE8958"/>
  <w15:docId w15:val="{1FDF7DA5-362F-40CA-B094-22018B3E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9193276">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92950398">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consultation/Consultation-Paper-Draft-technical-advice-possible-delegated-acts-concerning-Market-Ab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EU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523DB6"/>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EC89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FA44FE2658B4E90F45864EFFF7B65" ma:contentTypeVersion="" ma:contentTypeDescription="Create a new document." ma:contentTypeScope="" ma:versionID="c907cc0f72241017737122d0bfa612b1">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8FBB-30BF-4C44-BF40-411F527AB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812F34-7ACE-4AB6-ACDE-6E22B00EA52E}">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B97A4AB-5BCD-4AEA-B452-A4698EA7A0F0}">
  <ds:schemaRefs>
    <ds:schemaRef ds:uri="http://schemas.microsoft.com/sharepoint/v3/contenttype/forms"/>
  </ds:schemaRefs>
</ds:datastoreItem>
</file>

<file path=customXml/itemProps4.xml><?xml version="1.0" encoding="utf-8"?>
<ds:datastoreItem xmlns:ds="http://schemas.openxmlformats.org/officeDocument/2006/customXml" ds:itemID="{010380AE-D17E-4FFE-BC80-BC59D60C611F}">
  <ds:schemaRefs>
    <ds:schemaRef ds:uri="http://schemas.openxmlformats.org/officeDocument/2006/bibliography"/>
  </ds:schemaRefs>
</ds:datastoreItem>
</file>

<file path=customXml/itemProps5.xml><?xml version="1.0" encoding="utf-8"?>
<ds:datastoreItem xmlns:ds="http://schemas.openxmlformats.org/officeDocument/2006/customXml" ds:itemID="{62B05B7C-2944-4836-A855-CCD42D44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2896</Words>
  <Characters>15349</Characters>
  <Application>Microsoft Office Word</Application>
  <DocSecurity>8</DocSecurity>
  <Lines>127</Lines>
  <Paragraphs>36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18209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Zivilé Slavinskaité</cp:lastModifiedBy>
  <cp:revision>2</cp:revision>
  <cp:lastPrinted>2014-05-08T15:06:00Z</cp:lastPrinted>
  <dcterms:created xsi:type="dcterms:W3CDTF">2014-10-15T07:55:00Z</dcterms:created>
  <dcterms:modified xsi:type="dcterms:W3CDTF">2014-10-15T07:55:00Z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0x0101001B2FA44FE2658B4E90F45864EFFF7B65</vt:lpwstr>
  </property>
</Properties>
</file>