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2B52C2" w:rsidP="005A150A">
            <w:pPr>
              <w:pStyle w:val="00bDBInfo"/>
            </w:pPr>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 xml:space="preserve">Technical </w:t>
            </w:r>
            <w:r w:rsidR="009D2295">
              <w:t>advice</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Pr="00E679BA" w:rsidRDefault="00620D7C" w:rsidP="002B52C2">
            <w:pPr>
              <w:pStyle w:val="02Date"/>
            </w:pPr>
            <w:r w:rsidRPr="00222D9B">
              <w:lastRenderedPageBreak/>
              <w:t xml:space="preserve">Date: </w:t>
            </w:r>
            <w:r w:rsidR="002B52C2">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0"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60674A" w:rsidRPr="0060674A">
        <w:t>Consultation Paper - Draft technical advice on possible delegated acts concerning the Market Abuse Regulation (MAR)</w:t>
      </w:r>
      <w:r w:rsidR="00015B5E">
        <w:t xml:space="preserve">, </w:t>
      </w:r>
      <w:r w:rsidR="00015B5E" w:rsidRPr="00015B5E">
        <w:t>published</w:t>
      </w:r>
      <w:r w:rsidR="00015B5E">
        <w:t xml:space="preserve"> on the ESMA website (</w:t>
      </w:r>
      <w:hyperlink r:id="rId13" w:history="1">
        <w:r w:rsidR="00015B5E" w:rsidRPr="00015B5E">
          <w:rPr>
            <w:rStyle w:val="Hyperlink"/>
          </w:rPr>
          <w:t>here</w:t>
        </w:r>
      </w:hyperlink>
      <w:r w:rsidR="00015B5E">
        <w:t>)</w:t>
      </w:r>
      <w:r w:rsidR="005A150A">
        <w:t>.</w:t>
      </w:r>
    </w:p>
    <w:p w:rsidR="00F574D0"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8677B">
        <w:t>T</w:t>
      </w:r>
      <w:r w:rsidR="00E9344E">
        <w:t>A_</w:t>
      </w:r>
      <w:r w:rsidR="00F574D0" w:rsidRPr="0081710D">
        <w:t>1&gt; - i.e. the response to one question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F574D0" w:rsidRDefault="00F574D0" w:rsidP="00F574D0">
      <w:pPr>
        <w:pStyle w:val="04bList"/>
        <w:numPr>
          <w:ilvl w:val="0"/>
          <w:numId w:val="0"/>
        </w:numPr>
        <w:spacing w:before="120" w:after="120"/>
      </w:pP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D43F14">
        <w:rPr>
          <w:b/>
        </w:rPr>
        <w:t xml:space="preserve">15 October </w:t>
      </w:r>
      <w:r w:rsidRPr="0081710D">
        <w:rPr>
          <w:b/>
        </w:rPr>
        <w:t>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4" w:history="1">
        <w:r w:rsidRPr="00321CD3">
          <w:rPr>
            <w:rStyle w:val="Hyperlink"/>
          </w:rPr>
          <w:t>www.esma.europa.eu</w:t>
        </w:r>
      </w:hyperlink>
      <w:r w:rsidRPr="00321CD3">
        <w:t xml:space="preserve"> under the heading ‘Your i</w:t>
      </w:r>
      <w:r w:rsidRPr="00321CD3">
        <w:t>n</w:t>
      </w:r>
      <w:r w:rsidRPr="00321CD3">
        <w:t xml:space="preserve">put/Consultations’. </w:t>
      </w:r>
    </w:p>
    <w:p w:rsidR="00024F53" w:rsidRDefault="00024F53" w:rsidP="00024F53">
      <w:pPr>
        <w:pStyle w:val="04BodyText"/>
        <w:spacing w:before="120" w:after="120"/>
      </w:pPr>
      <w:r>
        <w:t>Naming protocol - In order to facilitate the handling of stakeholders responses please save your document using the following format:</w:t>
      </w:r>
    </w:p>
    <w:p w:rsidR="00F574D0" w:rsidRDefault="00024F53" w:rsidP="00024F53">
      <w:pPr>
        <w:pStyle w:val="04BodyText"/>
        <w:spacing w:before="120" w:after="120"/>
      </w:pPr>
      <w:r>
        <w:t>ESMA_MAR_CP_TA_NAMEOFCOMPANY_NAMEOFDOCUMENT: e.g.if the respondent were ESMA, the name of the reply form would be ESMA_MAR_CP_TA_ESMA_REPLYFORM or E</w:t>
      </w:r>
      <w:r>
        <w:t>S</w:t>
      </w:r>
      <w:r>
        <w:t>MA_MAR_CP_TA_ESMA_ANNEX1</w:t>
      </w:r>
    </w:p>
    <w:p w:rsidR="00024F53" w:rsidRPr="00321CD3" w:rsidRDefault="00024F53" w:rsidP="00024F53">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lastRenderedPageBreak/>
        <w:t>Data protection</w:t>
      </w:r>
      <w:bookmarkEnd w:id="2"/>
    </w:p>
    <w:p w:rsidR="00F574D0" w:rsidRDefault="00F574D0" w:rsidP="00F574D0">
      <w:pPr>
        <w:autoSpaceDE w:val="0"/>
        <w:autoSpaceDN w:val="0"/>
        <w:adjustRightInd w:val="0"/>
        <w:spacing w:before="120" w:after="120" w:line="276" w:lineRule="auto"/>
        <w:jc w:val="both"/>
        <w:rPr>
          <w:szCs w:val="20"/>
        </w:rPr>
      </w:pPr>
      <w:r w:rsidRPr="00321CD3">
        <w:rPr>
          <w:szCs w:val="20"/>
        </w:rPr>
        <w:t xml:space="preserve">Information on data protection can be found at </w:t>
      </w:r>
      <w:hyperlink r:id="rId15" w:history="1">
        <w:r w:rsidRPr="00321CD3">
          <w:rPr>
            <w:rStyle w:val="Hyperlink"/>
            <w:szCs w:val="20"/>
          </w:rPr>
          <w:t>www.esma.europa.eu</w:t>
        </w:r>
      </w:hyperlink>
      <w:r w:rsidRPr="00321CD3">
        <w:rPr>
          <w:szCs w:val="20"/>
        </w:rPr>
        <w:t xml:space="preserve"> under the heading ‘Disclaimer’.</w:t>
      </w:r>
    </w:p>
    <w:p w:rsidR="00E8774A" w:rsidRDefault="00024F53" w:rsidP="00E8774A">
      <w:pPr>
        <w:pStyle w:val="Heading1"/>
        <w:numPr>
          <w:ilvl w:val="0"/>
          <w:numId w:val="0"/>
        </w:numPr>
      </w:pPr>
      <w:r>
        <w:rPr>
          <w:szCs w:val="20"/>
        </w:rPr>
        <w:br w:type="page"/>
      </w:r>
      <w:r w:rsidR="00E8774A">
        <w:lastRenderedPageBreak/>
        <w:t>General information about respondent</w:t>
      </w:r>
    </w:p>
    <w:tbl>
      <w:tblPr>
        <w:tblStyle w:val="TableGrid"/>
        <w:tblW w:w="0" w:type="auto"/>
        <w:tblLook w:val="04A0" w:firstRow="1" w:lastRow="0" w:firstColumn="1" w:lastColumn="0" w:noHBand="0" w:noVBand="1"/>
      </w:tblPr>
      <w:tblGrid>
        <w:gridCol w:w="3510"/>
        <w:gridCol w:w="6118"/>
      </w:tblGrid>
      <w:tr w:rsidR="00E8774A" w:rsidTr="008313E5">
        <w:tc>
          <w:tcPr>
            <w:tcW w:w="3510" w:type="dxa"/>
          </w:tcPr>
          <w:p w:rsidR="00E8774A" w:rsidRDefault="00E8774A" w:rsidP="008313E5">
            <w:r>
              <w:t>Are you representing an association?</w:t>
            </w:r>
          </w:p>
        </w:tc>
        <w:tc>
          <w:tcPr>
            <w:tcW w:w="6118" w:type="dxa"/>
          </w:tcPr>
          <w:p w:rsidR="00E8774A" w:rsidRDefault="00ED6230" w:rsidP="008313E5">
            <w:sdt>
              <w:sdtPr>
                <w:alias w:val="Association"/>
                <w:tag w:val="Association"/>
                <w:id w:val="-1769143793"/>
                <w:placeholder>
                  <w:docPart w:val="68DD8F5316B24ACAA721B8AF83F84918"/>
                </w:placeholder>
                <w:comboBox>
                  <w:listItem w:displayText="Yes" w:value="Yes"/>
                  <w:listItem w:displayText="No" w:value="No"/>
                </w:comboBox>
              </w:sdtPr>
              <w:sdtEndPr/>
              <w:sdtContent>
                <w:permStart w:id="1887590301" w:edGrp="everyone"/>
                <w:r w:rsidR="005D582B">
                  <w:t>No</w:t>
                </w:r>
                <w:permEnd w:id="1887590301"/>
              </w:sdtContent>
            </w:sdt>
          </w:p>
        </w:tc>
      </w:tr>
      <w:tr w:rsidR="00E8774A" w:rsidTr="008313E5">
        <w:tc>
          <w:tcPr>
            <w:tcW w:w="3510" w:type="dxa"/>
          </w:tcPr>
          <w:p w:rsidR="00E8774A" w:rsidRDefault="00E8774A" w:rsidP="008313E5">
            <w:r>
              <w:t>Activity:</w:t>
            </w:r>
          </w:p>
        </w:tc>
        <w:tc>
          <w:tcPr>
            <w:tcW w:w="6118" w:type="dxa"/>
          </w:tcPr>
          <w:p w:rsidR="00E8774A" w:rsidRDefault="00ED6230" w:rsidP="008313E5">
            <w:sdt>
              <w:sdtPr>
                <w:alias w:val="Activity"/>
                <w:tag w:val="Activity"/>
                <w:id w:val="1654095920"/>
                <w:placeholder>
                  <w:docPart w:val="D5B685D445D340288F8171B5CFF17E35"/>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537996061" w:edGrp="everyone"/>
                <w:r w:rsidR="001B0A8A">
                  <w:t>Banking sector</w:t>
                </w:r>
                <w:permEnd w:id="537996061"/>
              </w:sdtContent>
            </w:sdt>
          </w:p>
        </w:tc>
      </w:tr>
      <w:tr w:rsidR="00E8774A" w:rsidTr="008313E5">
        <w:tc>
          <w:tcPr>
            <w:tcW w:w="3510" w:type="dxa"/>
          </w:tcPr>
          <w:p w:rsidR="00E8774A" w:rsidRDefault="00E8774A" w:rsidP="008313E5">
            <w:r>
              <w:t>Country/Region</w:t>
            </w:r>
          </w:p>
        </w:tc>
        <w:sdt>
          <w:sdtPr>
            <w:alias w:val="Country"/>
            <w:tag w:val="Country"/>
            <w:id w:val="-1549134410"/>
            <w:placeholder>
              <w:docPart w:val="D46234344A7E46CEB6A77AE06BE10495"/>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727803227" w:edGrp="everyone" w:displacedByCustomXml="prev"/>
            <w:tc>
              <w:tcPr>
                <w:tcW w:w="6118" w:type="dxa"/>
              </w:tcPr>
              <w:p w:rsidR="00E8774A" w:rsidRDefault="001B0A8A" w:rsidP="008313E5">
                <w:r>
                  <w:t>International</w:t>
                </w:r>
              </w:p>
            </w:tc>
            <w:permEnd w:id="1727803227" w:displacedByCustomXml="next"/>
          </w:sdtContent>
        </w:sdt>
      </w:tr>
    </w:tbl>
    <w:p w:rsidR="00D74C9D" w:rsidRDefault="005D1023" w:rsidP="00D74C9D">
      <w:pPr>
        <w:pStyle w:val="Heading1"/>
        <w:numPr>
          <w:ilvl w:val="0"/>
          <w:numId w:val="0"/>
        </w:numPr>
      </w:pPr>
      <w:r w:rsidRPr="00321CD3">
        <w:br w:type="page"/>
      </w:r>
      <w:bookmarkStart w:id="3" w:name="_Toc392599420"/>
      <w:bookmarkEnd w:id="0"/>
      <w:r w:rsidR="00D74C9D" w:rsidRPr="004C2CD3">
        <w:lastRenderedPageBreak/>
        <w:t>Introduction</w:t>
      </w:r>
      <w:bookmarkEnd w:id="3"/>
    </w:p>
    <w:p w:rsidR="00D74C9D" w:rsidRDefault="00D74C9D" w:rsidP="00D74C9D"/>
    <w:p w:rsidR="00D74C9D" w:rsidRPr="008203F7" w:rsidRDefault="00D74C9D" w:rsidP="00D74C9D">
      <w:pPr>
        <w:rPr>
          <w:b/>
        </w:rPr>
      </w:pPr>
      <w:r w:rsidRPr="008203F7">
        <w:rPr>
          <w:b/>
        </w:rPr>
        <w:t>Please make your introductory comments below</w:t>
      </w:r>
      <w:r w:rsidR="00C25863">
        <w:rPr>
          <w:b/>
        </w:rPr>
        <w:t>, if any</w:t>
      </w:r>
      <w:r w:rsidRPr="008203F7">
        <w:rPr>
          <w:b/>
        </w:rPr>
        <w:t>:</w:t>
      </w:r>
    </w:p>
    <w:p w:rsidR="00D74C9D" w:rsidRDefault="00D74C9D" w:rsidP="00D74C9D"/>
    <w:p w:rsidR="00D74C9D" w:rsidRPr="00C25863" w:rsidRDefault="00D74C9D" w:rsidP="00D74C9D">
      <w:r w:rsidRPr="00C25863">
        <w:t>&lt;</w:t>
      </w:r>
      <w:r w:rsidRPr="00D74C9D">
        <w:t xml:space="preserve"> </w:t>
      </w:r>
      <w:r>
        <w:t>ESMA_COMMENT</w:t>
      </w:r>
      <w:r w:rsidRPr="00C25863">
        <w:t>_MAR_TA_1&gt;</w:t>
      </w:r>
    </w:p>
    <w:p w:rsidR="00D74C9D" w:rsidRDefault="00ED6230" w:rsidP="00D74C9D">
      <w:permStart w:id="155266631" w:edGrp="everyone"/>
      <w:r w:rsidRPr="00ED6230">
        <w:rPr>
          <w:bCs/>
        </w:rPr>
        <w:t xml:space="preserve">ING welcomes the opportunity given by ESMA to provide </w:t>
      </w:r>
      <w:r>
        <w:rPr>
          <w:bCs/>
        </w:rPr>
        <w:t>input to d</w:t>
      </w:r>
      <w:r w:rsidRPr="00ED6230">
        <w:rPr>
          <w:bCs/>
          <w:lang w:val="en"/>
        </w:rPr>
        <w:t>raft technical advice on possible del</w:t>
      </w:r>
      <w:r w:rsidRPr="00ED6230">
        <w:rPr>
          <w:bCs/>
          <w:lang w:val="en"/>
        </w:rPr>
        <w:t>e</w:t>
      </w:r>
      <w:r w:rsidRPr="00ED6230">
        <w:rPr>
          <w:bCs/>
          <w:lang w:val="en"/>
        </w:rPr>
        <w:t>gated acts concerning the Market Abuse Regulation</w:t>
      </w:r>
      <w:r>
        <w:rPr>
          <w:bCs/>
        </w:rPr>
        <w:t>.</w:t>
      </w:r>
      <w:bookmarkStart w:id="4" w:name="_GoBack"/>
      <w:bookmarkEnd w:id="4"/>
    </w:p>
    <w:permEnd w:id="155266631"/>
    <w:p w:rsidR="00D74C9D" w:rsidRDefault="00D74C9D" w:rsidP="00D74C9D">
      <w:r>
        <w:t>&lt;</w:t>
      </w:r>
      <w:r w:rsidRPr="00D74C9D">
        <w:t xml:space="preserve"> </w:t>
      </w:r>
      <w:r>
        <w:t>ESMA_COMMENT_MAR_TA_1&gt;</w:t>
      </w:r>
    </w:p>
    <w:p w:rsidR="00D74C9D" w:rsidRDefault="00D74C9D">
      <w:r>
        <w:br w:type="page"/>
      </w:r>
    </w:p>
    <w:p w:rsidR="00E9344E" w:rsidRDefault="00E9344E" w:rsidP="00E9344E">
      <w:pPr>
        <w:pStyle w:val="Heading1"/>
        <w:keepLines/>
        <w:numPr>
          <w:ilvl w:val="0"/>
          <w:numId w:val="37"/>
        </w:numPr>
        <w:spacing w:before="480" w:after="0"/>
      </w:pPr>
      <w:r>
        <w:lastRenderedPageBreak/>
        <w:t>Specification of the indicators of market manipulation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that the proposed examples of practices and the indicators relating to these practices clarify the indicators of manipulative behaviours listed in Annex I of MAR?</w:t>
      </w:r>
    </w:p>
    <w:p w:rsidR="00E9344E" w:rsidRDefault="00E9344E" w:rsidP="00E9344E"/>
    <w:p w:rsidR="00E9344E" w:rsidRDefault="00E9344E" w:rsidP="00E9344E">
      <w:r>
        <w:t>&lt;ESMA_QUESTION_MAR_TA_1&gt;</w:t>
      </w:r>
    </w:p>
    <w:p w:rsidR="001B0A8A" w:rsidRPr="001B0A8A" w:rsidRDefault="001B0A8A" w:rsidP="001B0A8A">
      <w:pPr>
        <w:rPr>
          <w:lang w:val="en-US"/>
        </w:rPr>
      </w:pPr>
      <w:permStart w:id="803094262" w:edGrp="everyone"/>
      <w:r w:rsidRPr="001B0A8A">
        <w:rPr>
          <w:lang w:val="en-US"/>
        </w:rPr>
        <w:t xml:space="preserve">We agree, except that the indicators under A and B in Annex I will be taken into account for “transactions or orders to trade”, whereas (i) sub (A) of article 12.1 also refers to “or any other behaviour” and (ii) sub (B) of article 12.1 also refers to “or any other activity or behaviour”. </w:t>
      </w:r>
    </w:p>
    <w:p w:rsidR="001B0A8A" w:rsidRPr="001B0A8A" w:rsidRDefault="001B0A8A" w:rsidP="001B0A8A">
      <w:pPr>
        <w:rPr>
          <w:lang w:val="en-US"/>
        </w:rPr>
      </w:pPr>
    </w:p>
    <w:p w:rsidR="001B0A8A" w:rsidRPr="001B0A8A" w:rsidRDefault="001B0A8A" w:rsidP="001B0A8A">
      <w:pPr>
        <w:rPr>
          <w:lang w:val="en-US"/>
        </w:rPr>
      </w:pPr>
      <w:r w:rsidRPr="001B0A8A">
        <w:rPr>
          <w:lang w:val="en-US"/>
        </w:rPr>
        <w:t>The indicators are more inclusive and updated in relation to more recent developments, e.g. trading the underlying asset vs the derivative, and electronic trading, so from that perspective they are useful in giving clarity. It should be noted that not all indicators are applicable and so ING should assess which are most relevant and ensure that there is a process in place to train, test, monitor and report those which it see as having the most impact.</w:t>
      </w:r>
    </w:p>
    <w:permEnd w:id="803094262"/>
    <w:p w:rsidR="00E9344E" w:rsidRDefault="00E9344E" w:rsidP="00E9344E">
      <w:r>
        <w:t>&lt;ESMA_QUESTION_MAR_TA_1&gt;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think that the non-exhaustive list of indicators of market manipulation pr</w:t>
      </w:r>
      <w:r>
        <w:t>o</w:t>
      </w:r>
      <w:r>
        <w:t>posed in the CP are appropriate considering the extended scope of MAR in terms of i</w:t>
      </w:r>
      <w:r>
        <w:t>n</w:t>
      </w:r>
      <w:r>
        <w:t xml:space="preserve">struments covered? If not, could you suggest any specific indicator? </w:t>
      </w:r>
    </w:p>
    <w:p w:rsidR="00E9344E" w:rsidRDefault="00E9344E" w:rsidP="00E9344E"/>
    <w:p w:rsidR="00E9344E" w:rsidRDefault="00E9344E" w:rsidP="00E9344E">
      <w:r>
        <w:t>&lt;ESMA_QUESTION_MAR_TA_2&gt;</w:t>
      </w:r>
    </w:p>
    <w:p w:rsidR="00E9344E" w:rsidRPr="00B14AA0" w:rsidRDefault="00B14AA0" w:rsidP="00E9344E">
      <w:pPr>
        <w:rPr>
          <w:lang w:val="en-US"/>
        </w:rPr>
      </w:pPr>
      <w:permStart w:id="1008606721" w:edGrp="everyone"/>
      <w:r w:rsidRPr="00B14AA0">
        <w:rPr>
          <w:lang w:val="en-US"/>
        </w:rPr>
        <w:t>It provides a fair number of examples and as stated in the question, it is by definition a non-exhaustive list.</w:t>
      </w:r>
    </w:p>
    <w:permEnd w:id="1008606721"/>
    <w:p w:rsidR="00E9344E" w:rsidRDefault="00E9344E" w:rsidP="00E9344E">
      <w:r>
        <w:t>&lt;ESMA_QUESTION_MAR_TA_2&gt;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that the practice known as “Phishing</w:t>
      </w:r>
      <w:r>
        <w:rPr>
          <w:rStyle w:val="FootnoteReference"/>
        </w:rPr>
        <w:footnoteReference w:id="2"/>
      </w:r>
      <w:r>
        <w:t xml:space="preserve">” should be included in the list of examples of practices set out in the draft technical advice? </w:t>
      </w:r>
    </w:p>
    <w:p w:rsidR="00E9344E" w:rsidRDefault="00E9344E" w:rsidP="00E9344E"/>
    <w:p w:rsidR="00E9344E" w:rsidRDefault="00E9344E" w:rsidP="00E9344E">
      <w:r>
        <w:t>&lt;ESMA_QUESTION_MAR_TA_3&gt;</w:t>
      </w:r>
    </w:p>
    <w:p w:rsidR="00E9344E" w:rsidRPr="00D60C07" w:rsidRDefault="00D60C07" w:rsidP="00E9344E">
      <w:pPr>
        <w:rPr>
          <w:lang w:val="en-US"/>
        </w:rPr>
      </w:pPr>
      <w:permStart w:id="1431180010" w:edGrp="everyone"/>
      <w:r w:rsidRPr="00D60C07">
        <w:rPr>
          <w:lang w:val="en-US"/>
        </w:rPr>
        <w:t>It is more fraud related than pure market abuse and therefore we believe it should be removed from the list of examples.</w:t>
      </w:r>
    </w:p>
    <w:permEnd w:id="1431180010"/>
    <w:p w:rsidR="00E9344E" w:rsidRDefault="00E9344E" w:rsidP="00E9344E">
      <w:r>
        <w:t>&lt;ESMA_QUESTION_MAR_TA_3&gt;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support the reference to OTC transactions in the context of cross product</w:t>
      </w:r>
      <w:r>
        <w:tab/>
        <w:t xml:space="preserve"> manipulation (i.e. where the same financial instrument is traded on a trading venue and OTC) and inter-trading venue manipulation (i.e. where a financial instrument traded on a trading venue is related to a different OTC financial instrument)?</w:t>
      </w:r>
    </w:p>
    <w:p w:rsidR="00E9344E" w:rsidRDefault="00E9344E" w:rsidP="00E9344E"/>
    <w:p w:rsidR="00E9344E" w:rsidRDefault="00E9344E" w:rsidP="00E9344E">
      <w:r>
        <w:t>&lt;ESMA_QUESTION_MAR_TA_4&gt;</w:t>
      </w:r>
    </w:p>
    <w:p w:rsidR="00E9344E" w:rsidRDefault="00AF35A6" w:rsidP="00E9344E">
      <w:permStart w:id="1263619815" w:edGrp="everyone"/>
      <w:r w:rsidRPr="00AF35A6">
        <w:rPr>
          <w:lang w:val="en-US"/>
        </w:rPr>
        <w:t>In principle we do agree with the concept. However, we think what hasn’t been established and what remains to be demonstrated is whether or not this can actually be monitored across different ve</w:t>
      </w:r>
      <w:r w:rsidRPr="00AF35A6">
        <w:rPr>
          <w:lang w:val="en-US"/>
        </w:rPr>
        <w:t>n</w:t>
      </w:r>
      <w:r w:rsidRPr="00AF35A6">
        <w:rPr>
          <w:lang w:val="en-US"/>
        </w:rPr>
        <w:t>ues.</w:t>
      </w:r>
    </w:p>
    <w:permEnd w:id="1263619815"/>
    <w:p w:rsidR="00EC69C3" w:rsidRDefault="00E9344E" w:rsidP="00E9344E">
      <w:r>
        <w:t>&lt;ESMA_QUESTION_MAR_TA_4&gt;</w:t>
      </w:r>
    </w:p>
    <w:p w:rsidR="00E9344E" w:rsidRDefault="00EC69C3" w:rsidP="00E9344E">
      <w:r>
        <w:br w:type="page"/>
      </w:r>
    </w:p>
    <w:p w:rsidR="00E9344E" w:rsidRDefault="00E9344E" w:rsidP="00E9344E">
      <w:pPr>
        <w:pStyle w:val="Heading1"/>
        <w:keepLines/>
        <w:numPr>
          <w:ilvl w:val="0"/>
          <w:numId w:val="37"/>
        </w:numPr>
        <w:spacing w:before="480" w:after="0"/>
      </w:pPr>
      <w:r>
        <w:lastRenderedPageBreak/>
        <w:t>Minimum thresholds for the purpose of the exemption for certain pa</w:t>
      </w:r>
      <w:r>
        <w:t>r</w:t>
      </w:r>
      <w:r>
        <w:t>ticipants in the emission allowance market from the requirement to publicly disclose inside information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If you do not agree with the suggested thresholds, what would you consider to be appropriate thresholds of CO2 emissions and rated thermal input below which individ</w:t>
      </w:r>
      <w:r>
        <w:t>u</w:t>
      </w:r>
      <w:r>
        <w:t>al information would have no impact on investors' decisions? Please substantiate.</w:t>
      </w:r>
    </w:p>
    <w:p w:rsidR="00E9344E" w:rsidRDefault="00E9344E" w:rsidP="00E9344E"/>
    <w:p w:rsidR="00E9344E" w:rsidRDefault="00E9344E" w:rsidP="00E9344E">
      <w:r>
        <w:t>&lt;ESMA_QUESTION_MAR_TA_5&gt;</w:t>
      </w:r>
    </w:p>
    <w:p w:rsidR="00E9344E" w:rsidRDefault="00E9344E" w:rsidP="00E9344E">
      <w:permStart w:id="1212035670" w:edGrp="everyone"/>
      <w:r>
        <w:t>TYPE YOUR TEXT HERE</w:t>
      </w:r>
    </w:p>
    <w:permEnd w:id="1212035670"/>
    <w:p w:rsidR="00E9344E" w:rsidRDefault="00E9344E" w:rsidP="00E9344E">
      <w:r>
        <w:t>&lt;ESMA_QUESTION_MAR_TA_5&gt;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In your opinion, what types of entity-specific, non-public information held by ind</w:t>
      </w:r>
      <w:r>
        <w:t>i</w:t>
      </w:r>
      <w:r>
        <w:t>vidual market participants are most relevant for price formation or investment dec</w:t>
      </w:r>
      <w:r>
        <w:t>i</w:t>
      </w:r>
      <w:r>
        <w:t>sions in the emission allowance market?</w:t>
      </w:r>
    </w:p>
    <w:p w:rsidR="00E9344E" w:rsidRDefault="00E9344E" w:rsidP="00E9344E"/>
    <w:p w:rsidR="00E9344E" w:rsidRDefault="00E9344E" w:rsidP="00E9344E">
      <w:r>
        <w:t>&lt;ESMA_QUESTION_MAR_TA_6&gt;</w:t>
      </w:r>
    </w:p>
    <w:p w:rsidR="00E9344E" w:rsidRDefault="00E9344E" w:rsidP="00E9344E">
      <w:permStart w:id="1555708156" w:edGrp="everyone"/>
      <w:r>
        <w:t>TYPE YOUR TEXT HERE</w:t>
      </w:r>
    </w:p>
    <w:permEnd w:id="1555708156"/>
    <w:p w:rsidR="00E9344E" w:rsidRDefault="00E9344E" w:rsidP="00E9344E">
      <w:r>
        <w:t>&lt;ESMA_QUESTION_MAR_TA_6&gt;</w:t>
      </w:r>
    </w:p>
    <w:p w:rsidR="00E9344E" w:rsidRDefault="00E9344E" w:rsidP="00E9344E">
      <w:r>
        <w:br w:type="page"/>
      </w:r>
    </w:p>
    <w:p w:rsidR="00E9344E" w:rsidRDefault="00E9344E" w:rsidP="00E9344E">
      <w:pPr>
        <w:pStyle w:val="Heading1"/>
        <w:keepLines/>
        <w:numPr>
          <w:ilvl w:val="0"/>
          <w:numId w:val="37"/>
        </w:numPr>
        <w:spacing w:before="480" w:after="0"/>
      </w:pPr>
      <w:r>
        <w:lastRenderedPageBreak/>
        <w:t>Determination of the competent authority for notification of delays in public disclosure of inside information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proposals for determining the competent authority to whom issuers of financial instruments and emission allowances market participants should n</w:t>
      </w:r>
      <w:r>
        <w:t>o</w:t>
      </w:r>
      <w:r>
        <w:t xml:space="preserve">tify delays in disclosure of inside information? </w:t>
      </w:r>
    </w:p>
    <w:p w:rsidR="00E9344E" w:rsidRDefault="00E9344E" w:rsidP="00E9344E"/>
    <w:p w:rsidR="00E9344E" w:rsidRDefault="00E9344E" w:rsidP="00E9344E">
      <w:r>
        <w:t>&lt;ESMA_QUESTION_MAR_TA_7&gt;</w:t>
      </w:r>
    </w:p>
    <w:p w:rsidR="00E9344E" w:rsidRDefault="00AF35A6" w:rsidP="00E9344E">
      <w:permStart w:id="1297679561" w:edGrp="everyone"/>
      <w:r>
        <w:t>Yes, we agree</w:t>
      </w:r>
    </w:p>
    <w:permEnd w:id="1297679561"/>
    <w:p w:rsidR="00E9344E" w:rsidRDefault="00E9344E" w:rsidP="00E9344E">
      <w:r>
        <w:t>&lt;ESMA_QUESTION_MAR_TA_7&gt;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Under point c) of paragraph 2 of the draft technical advice, in cases in which the issuer’s financial instruments were admitted to trading or traded simultaneously in di</w:t>
      </w:r>
      <w:r>
        <w:t>f</w:t>
      </w:r>
      <w:r>
        <w:t>ferent MSs, which criteria should ESMA take into consideration to determine the rel</w:t>
      </w:r>
      <w:r>
        <w:t>e</w:t>
      </w:r>
      <w:r>
        <w:t>vant competent authority?</w:t>
      </w:r>
    </w:p>
    <w:p w:rsidR="00E9344E" w:rsidRDefault="00E9344E" w:rsidP="00E9344E"/>
    <w:p w:rsidR="00E9344E" w:rsidRDefault="00E9344E" w:rsidP="00E9344E">
      <w:r>
        <w:t>&lt;ESMA_QUESTION_MAR_TA_8&gt;</w:t>
      </w:r>
    </w:p>
    <w:p w:rsidR="00E9344E" w:rsidRDefault="00AF35A6" w:rsidP="00E9344E">
      <w:permStart w:id="1239680265" w:edGrp="everyone"/>
      <w:r w:rsidRPr="00AF35A6">
        <w:rPr>
          <w:lang w:val="en-US"/>
        </w:rPr>
        <w:t>In our view, the issuer’s registered office should be the leading criterion in determining the relevant co</w:t>
      </w:r>
      <w:r w:rsidRPr="00AF35A6">
        <w:rPr>
          <w:lang w:val="en-US"/>
        </w:rPr>
        <w:t>m</w:t>
      </w:r>
      <w:r w:rsidRPr="00AF35A6">
        <w:rPr>
          <w:lang w:val="en-US"/>
        </w:rPr>
        <w:t>petent authority.</w:t>
      </w:r>
    </w:p>
    <w:permEnd w:id="1239680265"/>
    <w:p w:rsidR="00E9344E" w:rsidRDefault="00E9344E" w:rsidP="00E9344E">
      <w:r>
        <w:t>&lt;ESMA_QUESTION_MAR_TA_8&gt;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it would be appropriate to determine in a different manner the competent authority for the purpose of Article 17(5) of MAR, where the delay has the scope of preserving the stability of the financial system? If so, should the competent a</w:t>
      </w:r>
      <w:r>
        <w:t>u</w:t>
      </w:r>
      <w:r>
        <w:t>thority be determined according to mechanism set out in Article 19(2) of MAR or in a</w:t>
      </w:r>
      <w:r>
        <w:t>n</w:t>
      </w:r>
      <w:r>
        <w:t>other way?</w:t>
      </w:r>
    </w:p>
    <w:p w:rsidR="00E9344E" w:rsidRDefault="00E9344E" w:rsidP="00E9344E"/>
    <w:p w:rsidR="00E9344E" w:rsidRDefault="00E9344E" w:rsidP="00E9344E">
      <w:r>
        <w:t>&lt;ESMA_QUESTION_MAR_TA_9&gt;</w:t>
      </w:r>
    </w:p>
    <w:p w:rsidR="00E9344E" w:rsidRDefault="00AF35A6" w:rsidP="00E9344E">
      <w:permStart w:id="70745436" w:edGrp="everyone"/>
      <w:r w:rsidRPr="00AF35A6">
        <w:rPr>
          <w:bCs/>
          <w:lang w:val="en-US"/>
        </w:rPr>
        <w:t>No, we don’t think this would be appropriate.</w:t>
      </w:r>
    </w:p>
    <w:permEnd w:id="70745436"/>
    <w:p w:rsidR="00E9344E" w:rsidRDefault="00E9344E" w:rsidP="00E9344E">
      <w:r>
        <w:t>&lt;ESMA_QUESTION_MAR_TA_9&gt;</w:t>
      </w:r>
    </w:p>
    <w:p w:rsidR="00E9344E" w:rsidRDefault="00E9344E" w:rsidP="00E9344E">
      <w:r>
        <w:br w:type="page"/>
      </w:r>
    </w:p>
    <w:p w:rsidR="00E9344E" w:rsidRDefault="00E9344E" w:rsidP="00E9344E">
      <w:pPr>
        <w:pStyle w:val="Heading1"/>
        <w:keepLines/>
        <w:numPr>
          <w:ilvl w:val="0"/>
          <w:numId w:val="37"/>
        </w:numPr>
        <w:spacing w:before="480" w:after="0"/>
      </w:pPr>
      <w:r>
        <w:lastRenderedPageBreak/>
        <w:t>Managers’ transactions</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types of transactions listed in the draft technical advice that trigger the duty to notify?</w:t>
      </w:r>
    </w:p>
    <w:p w:rsidR="00E9344E" w:rsidRDefault="00E9344E" w:rsidP="00E9344E"/>
    <w:p w:rsidR="00E9344E" w:rsidRDefault="00E9344E" w:rsidP="00E9344E">
      <w:r>
        <w:t>&lt;ESMA_QUESTION_MAR_TA_10&gt;</w:t>
      </w:r>
    </w:p>
    <w:p w:rsidR="00AF35A6" w:rsidRPr="00AF35A6" w:rsidRDefault="00AF35A6" w:rsidP="00AF35A6">
      <w:pPr>
        <w:rPr>
          <w:lang w:val="en-US"/>
        </w:rPr>
      </w:pPr>
      <w:permStart w:id="1270765091" w:edGrp="everyone"/>
      <w:r w:rsidRPr="00AF35A6">
        <w:rPr>
          <w:lang w:val="en-US"/>
        </w:rPr>
        <w:t>We generally agree with the proposed types of transactions that trigger the duty to notify, subject to the comments set out below.</w:t>
      </w:r>
    </w:p>
    <w:p w:rsidR="00AF35A6" w:rsidRPr="00AF35A6" w:rsidRDefault="00AF35A6" w:rsidP="00AF35A6">
      <w:pPr>
        <w:numPr>
          <w:ilvl w:val="0"/>
          <w:numId w:val="42"/>
        </w:numPr>
        <w:rPr>
          <w:lang w:val="en-US"/>
        </w:rPr>
      </w:pPr>
      <w:r w:rsidRPr="00AF35A6">
        <w:rPr>
          <w:lang w:val="en-US"/>
        </w:rPr>
        <w:t>We find that an automatic conversion of a financial instrument into another financial instrument should be excluded from the non-exhaustive list. In our view, the term “transaction” should not cover such automatic conversions.</w:t>
      </w:r>
      <w:r w:rsidRPr="00AF35A6">
        <w:rPr>
          <w:lang w:val="en-US"/>
        </w:rPr>
        <w:br/>
      </w:r>
    </w:p>
    <w:p w:rsidR="00AF35A6" w:rsidRPr="00AF35A6" w:rsidRDefault="00AF35A6" w:rsidP="00AF35A6">
      <w:pPr>
        <w:numPr>
          <w:ilvl w:val="0"/>
          <w:numId w:val="42"/>
        </w:numPr>
        <w:rPr>
          <w:lang w:val="en-US"/>
        </w:rPr>
      </w:pPr>
      <w:r w:rsidRPr="00AF35A6">
        <w:rPr>
          <w:lang w:val="en-US"/>
        </w:rPr>
        <w:t xml:space="preserve">According to the Draft Technical Advice, conditional trades (which occur on the basis of a previous contract that stipulates a condition that is now met) trigger the duty to notify. If we understand the Draft Technical Advice correctly, this means entering into an agreement on a conditional basis does not trigger in itself the notification duty; only once the condition is met, the notification duty will be triggered. </w:t>
      </w:r>
      <w:r w:rsidRPr="00AF35A6">
        <w:rPr>
          <w:lang w:val="en-US"/>
        </w:rPr>
        <w:br/>
      </w:r>
    </w:p>
    <w:p w:rsidR="00E9344E" w:rsidRPr="00AF35A6" w:rsidRDefault="00AF35A6" w:rsidP="00E9344E">
      <w:pPr>
        <w:numPr>
          <w:ilvl w:val="0"/>
          <w:numId w:val="42"/>
        </w:numPr>
        <w:rPr>
          <w:lang w:val="en-US"/>
        </w:rPr>
      </w:pPr>
      <w:r w:rsidRPr="00AF35A6">
        <w:rPr>
          <w:lang w:val="en-US"/>
        </w:rPr>
        <w:t>We notice that the Draft Technical Advice does not address agreements on a condition subs</w:t>
      </w:r>
      <w:r w:rsidRPr="00AF35A6">
        <w:rPr>
          <w:lang w:val="en-US"/>
        </w:rPr>
        <w:t>e</w:t>
      </w:r>
      <w:r w:rsidRPr="00AF35A6">
        <w:rPr>
          <w:lang w:val="en-US"/>
        </w:rPr>
        <w:t xml:space="preserve">quent.  </w:t>
      </w:r>
    </w:p>
    <w:permEnd w:id="1270765091"/>
    <w:p w:rsidR="00E9344E" w:rsidRDefault="00E9344E" w:rsidP="00E9344E">
      <w:r>
        <w:t>&lt;ESMA_QUESTION_MAR_TA_10&gt;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Under paragraph 3 of the draft technical advice, do you consider the use of a “weighting approach” in relation to indices and baskets appropriate or alternatively, should the use of such approach be discarded? Please provide an explanation.</w:t>
      </w:r>
    </w:p>
    <w:p w:rsidR="00E9344E" w:rsidRDefault="00E9344E" w:rsidP="00E9344E"/>
    <w:p w:rsidR="00E9344E" w:rsidRDefault="00E9344E" w:rsidP="00E9344E">
      <w:r>
        <w:t>&lt;ESMA_QUESTION_MAR_TA_11&gt;</w:t>
      </w:r>
    </w:p>
    <w:p w:rsidR="00E9344E" w:rsidRDefault="00AC6C3E" w:rsidP="00E9344E">
      <w:permStart w:id="1388998411" w:edGrp="everyone"/>
      <w:r w:rsidRPr="00AC6C3E">
        <w:rPr>
          <w:lang w:val="en-US"/>
        </w:rPr>
        <w:t xml:space="preserve">We would definitely find it useful to follow a “weighting approach” in order to determine what the phrase </w:t>
      </w:r>
      <w:r w:rsidRPr="00AC6C3E">
        <w:rPr>
          <w:i/>
          <w:lang w:val="en-US"/>
        </w:rPr>
        <w:t xml:space="preserve">“(…) or other financial instruments linked” </w:t>
      </w:r>
      <w:r w:rsidRPr="00AC6C3E">
        <w:rPr>
          <w:lang w:val="en-US"/>
        </w:rPr>
        <w:t>to the issuer’s shares or debt instruments means (Article 19(1)(a) of MAR). Otherwise, the scope of this phrase in unclear and as such not workable in pra</w:t>
      </w:r>
      <w:r w:rsidRPr="00AC6C3E">
        <w:rPr>
          <w:lang w:val="en-US"/>
        </w:rPr>
        <w:t>c</w:t>
      </w:r>
      <w:r w:rsidRPr="00AC6C3E">
        <w:rPr>
          <w:lang w:val="en-US"/>
        </w:rPr>
        <w:t>tice.</w:t>
      </w:r>
    </w:p>
    <w:permEnd w:id="1388998411"/>
    <w:p w:rsidR="00E9344E" w:rsidRDefault="00E9344E" w:rsidP="00E9344E">
      <w:r>
        <w:t>&lt;ESMA_QUESTION_MAR_TA_11&gt;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 xml:space="preserve">Do you support the ESMA approach to circumstances under which trading during a closed period may be permitted by the issuer? If not, please provide an explanation. </w:t>
      </w:r>
    </w:p>
    <w:p w:rsidR="00E9344E" w:rsidRDefault="00E9344E" w:rsidP="00E9344E"/>
    <w:p w:rsidR="00E9344E" w:rsidRDefault="00E9344E" w:rsidP="00E9344E">
      <w:r>
        <w:t>&lt;ESMA_QUESTION_MAR_TA_12&gt;</w:t>
      </w:r>
    </w:p>
    <w:p w:rsidR="00E9344E" w:rsidRDefault="00E9344E" w:rsidP="00E9344E">
      <w:permStart w:id="978278160" w:edGrp="everyone"/>
      <w:r>
        <w:t>TYPE YOUR TEXT HERE</w:t>
      </w:r>
    </w:p>
    <w:permEnd w:id="978278160"/>
    <w:p w:rsidR="00E9344E" w:rsidRDefault="00E9344E" w:rsidP="00E9344E">
      <w:r>
        <w:t>&lt;ESMA_QUESTION_MAR_TA_12&gt;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Regarding transactions executed by a third party under a (full) discretionary portf</w:t>
      </w:r>
      <w:r>
        <w:t>o</w:t>
      </w:r>
      <w:r>
        <w:t>lio or asset management mandate, do you foresee any issue with the proposed approach regarding the disclosure of such transactions or the need to ensure that the closed per</w:t>
      </w:r>
      <w:r>
        <w:t>i</w:t>
      </w:r>
      <w:r>
        <w:t>od prohibition is respected?</w:t>
      </w:r>
    </w:p>
    <w:p w:rsidR="00E9344E" w:rsidRDefault="00E9344E" w:rsidP="00E9344E"/>
    <w:p w:rsidR="00E9344E" w:rsidRDefault="00E9344E" w:rsidP="00E9344E">
      <w:r>
        <w:t>&lt;ESMA_QUESTION_MAR_TA_13&gt;</w:t>
      </w:r>
    </w:p>
    <w:p w:rsidR="00E9344E" w:rsidRDefault="00AC6C3E" w:rsidP="00E9344E">
      <w:permStart w:id="634200163" w:edGrp="everyone"/>
      <w:r w:rsidRPr="00AC6C3E">
        <w:rPr>
          <w:lang w:val="en-US"/>
        </w:rPr>
        <w:t>Although we find that the added value of disclosure of such transactions is (very) limited, we don’t foresee any issues disclosing such transactions. A way to comply with this requirement is to ensure that the co</w:t>
      </w:r>
      <w:r w:rsidRPr="00AC6C3E">
        <w:rPr>
          <w:lang w:val="en-US"/>
        </w:rPr>
        <w:t>m</w:t>
      </w:r>
      <w:r w:rsidRPr="00AC6C3E">
        <w:rPr>
          <w:lang w:val="en-US"/>
        </w:rPr>
        <w:t>pletely independent asset / portfolio manager does not trade at all in the financial instruments of the respective issuer.</w:t>
      </w:r>
    </w:p>
    <w:permEnd w:id="634200163"/>
    <w:p w:rsidR="00E9344E" w:rsidRDefault="00E9344E" w:rsidP="00E9344E">
      <w:r>
        <w:t>&lt;ESMA_QUESTION_MAR_TA_13&gt;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the transactions included in the non-exhaustive list of transactions appropriate to justify the permission for trading during a closed period under Article 19(12)(b)?</w:t>
      </w:r>
    </w:p>
    <w:p w:rsidR="00E9344E" w:rsidRDefault="00E9344E" w:rsidP="00E9344E"/>
    <w:p w:rsidR="00E9344E" w:rsidRDefault="00E9344E" w:rsidP="00E9344E">
      <w:r>
        <w:t>&lt;ESMA_QUESTION_MAR_TA_14&gt;</w:t>
      </w:r>
    </w:p>
    <w:p w:rsidR="00E9344E" w:rsidRDefault="00E9344E" w:rsidP="00E9344E">
      <w:permStart w:id="245199069" w:edGrp="everyone"/>
      <w:r>
        <w:t>TYPE YOUR TEXT HERE</w:t>
      </w:r>
    </w:p>
    <w:permEnd w:id="245199069"/>
    <w:p w:rsidR="00E9344E" w:rsidRDefault="00E9344E" w:rsidP="00E9344E">
      <w:r>
        <w:t>&lt;ESMA_QUESTION_MAR_TA_14&gt;</w:t>
      </w:r>
    </w:p>
    <w:p w:rsidR="00E9344E" w:rsidRDefault="00E9344E" w:rsidP="00E9344E">
      <w:r>
        <w:br w:type="page"/>
      </w:r>
    </w:p>
    <w:p w:rsidR="00E9344E" w:rsidRDefault="00E9344E" w:rsidP="00E9344E">
      <w:pPr>
        <w:pStyle w:val="Heading1"/>
        <w:keepLines/>
        <w:numPr>
          <w:ilvl w:val="0"/>
          <w:numId w:val="37"/>
        </w:numPr>
        <w:spacing w:before="480" w:after="0"/>
      </w:pPr>
      <w:r>
        <w:lastRenderedPageBreak/>
        <w:t>Reporting of infringements</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analyses and the procedures proposed in the draft technical advice? Which best practices from existing national, European or international legisl</w:t>
      </w:r>
      <w:r>
        <w:t>a</w:t>
      </w:r>
      <w:r>
        <w:t>tion or guidance could be useful for the protection of the reporting persons under the market abuse regime?</w:t>
      </w:r>
    </w:p>
    <w:p w:rsidR="00E9344E" w:rsidRDefault="00E9344E" w:rsidP="00E9344E"/>
    <w:p w:rsidR="00E9344E" w:rsidRDefault="00E9344E" w:rsidP="00E9344E">
      <w:r>
        <w:t>&lt;ESMA_QUESTION_MAR_TA_15&gt;</w:t>
      </w:r>
    </w:p>
    <w:p w:rsidR="009262BF" w:rsidRPr="009262BF" w:rsidRDefault="009262BF" w:rsidP="009262BF">
      <w:pPr>
        <w:rPr>
          <w:lang w:val="en-US"/>
        </w:rPr>
      </w:pPr>
      <w:permStart w:id="969625986" w:edGrp="everyone"/>
      <w:r w:rsidRPr="009262BF">
        <w:rPr>
          <w:lang w:val="en-US"/>
        </w:rPr>
        <w:t>We agree with most of the points of the analyses and the procedures proposed in the draft technical advice, but we do have some additional suggestions and remarks:</w:t>
      </w:r>
    </w:p>
    <w:p w:rsidR="009262BF" w:rsidRPr="009262BF" w:rsidRDefault="009262BF" w:rsidP="009262BF">
      <w:pPr>
        <w:numPr>
          <w:ilvl w:val="0"/>
          <w:numId w:val="43"/>
        </w:numPr>
        <w:rPr>
          <w:lang w:val="en-US"/>
        </w:rPr>
      </w:pPr>
      <w:r w:rsidRPr="009262BF">
        <w:rPr>
          <w:lang w:val="en-US"/>
        </w:rPr>
        <w:t>We assume that with ‘reported person’ is meant the natural person/employee who committed a</w:t>
      </w:r>
      <w:r w:rsidRPr="009262BF">
        <w:rPr>
          <w:lang w:val="en-US"/>
        </w:rPr>
        <w:t>l</w:t>
      </w:r>
      <w:r w:rsidRPr="009262BF">
        <w:rPr>
          <w:lang w:val="en-US"/>
        </w:rPr>
        <w:t>legedly the infringement(s). However, we are of the opinion that some of the protective measures applicable to reported persons should also apply to the employer/legal entity, where the alleged infringement took place (see below).</w:t>
      </w:r>
    </w:p>
    <w:p w:rsidR="009262BF" w:rsidRPr="009262BF" w:rsidRDefault="009262BF" w:rsidP="009262BF">
      <w:pPr>
        <w:numPr>
          <w:ilvl w:val="0"/>
          <w:numId w:val="43"/>
        </w:numPr>
        <w:rPr>
          <w:lang w:val="en-US"/>
        </w:rPr>
      </w:pPr>
      <w:r w:rsidRPr="009262BF">
        <w:rPr>
          <w:lang w:val="en-US"/>
        </w:rPr>
        <w:t>Pursuant to art. 32(2)(c) MAR, not only the confidentiality and identity of the reporting person should be protected vis-à-vis the employer, but also of the reported person. This last obligation might be prejudicial to the employer, as he should be able to conduct an internal investigation of the matter at hand (the report concerns the employer’s organisation) and take any following measures where appropriate (e.g. disciplinary measures, measures to avoid future occurrence), for which it is necessary to know the identity of the reported person.</w:t>
      </w:r>
    </w:p>
    <w:p w:rsidR="009262BF" w:rsidRPr="009262BF" w:rsidRDefault="009262BF" w:rsidP="009262BF">
      <w:pPr>
        <w:numPr>
          <w:ilvl w:val="0"/>
          <w:numId w:val="43"/>
        </w:numPr>
        <w:rPr>
          <w:lang w:val="en-US"/>
        </w:rPr>
      </w:pPr>
      <w:r w:rsidRPr="009262BF">
        <w:rPr>
          <w:lang w:val="en-US"/>
        </w:rPr>
        <w:t>We advocate that not only the identity of the reporting person and reported person should be kept confidential, but also the identity of the employer/legal entity as well as the fact that an investig</w:t>
      </w:r>
      <w:r w:rsidRPr="009262BF">
        <w:rPr>
          <w:lang w:val="en-US"/>
        </w:rPr>
        <w:t>a</w:t>
      </w:r>
      <w:r w:rsidRPr="009262BF">
        <w:rPr>
          <w:lang w:val="en-US"/>
        </w:rPr>
        <w:t xml:space="preserve">tion is pending and any of its content; premature disclosure of a pending investigation and/or suspected infringement can be detrimental to the employer/legal entity as well as the reported person, especially when it turns out that there is no evidence of infringements. We are therefore of the opinion that any public notification should be in line with article 34 MAR. </w:t>
      </w:r>
    </w:p>
    <w:p w:rsidR="009262BF" w:rsidRPr="009262BF" w:rsidRDefault="009262BF" w:rsidP="009262BF">
      <w:pPr>
        <w:numPr>
          <w:ilvl w:val="0"/>
          <w:numId w:val="43"/>
        </w:numPr>
        <w:rPr>
          <w:lang w:val="en-US"/>
        </w:rPr>
      </w:pPr>
      <w:r w:rsidRPr="009262BF">
        <w:rPr>
          <w:lang w:val="en-US"/>
        </w:rPr>
        <w:t>We reiterate the importance of internal reporting. We think that internal reporting should be stimulated by the competent authorities and external reporting should be a last resort (for i</w:t>
      </w:r>
      <w:r w:rsidRPr="009262BF">
        <w:rPr>
          <w:lang w:val="en-US"/>
        </w:rPr>
        <w:t>n</w:t>
      </w:r>
      <w:r w:rsidRPr="009262BF">
        <w:rPr>
          <w:lang w:val="en-US"/>
        </w:rPr>
        <w:t>stance if the employee expects retaliation of any kind or if the employer has not – in the reporting person’s opinion –properly acted on his/her concern). By allowing employees to directly report e</w:t>
      </w:r>
      <w:r w:rsidRPr="009262BF">
        <w:rPr>
          <w:lang w:val="en-US"/>
        </w:rPr>
        <w:t>x</w:t>
      </w:r>
      <w:r w:rsidRPr="009262BF">
        <w:rPr>
          <w:lang w:val="en-US"/>
        </w:rPr>
        <w:t xml:space="preserve">ternally to the competent authorities, the employer is derived from the possibility to deal with the matter internally and act on his own discretion. </w:t>
      </w:r>
    </w:p>
    <w:p w:rsidR="009262BF" w:rsidRPr="009262BF" w:rsidRDefault="009262BF" w:rsidP="009262BF">
      <w:pPr>
        <w:numPr>
          <w:ilvl w:val="0"/>
          <w:numId w:val="43"/>
        </w:numPr>
        <w:rPr>
          <w:lang w:val="en-US"/>
        </w:rPr>
      </w:pPr>
      <w:r w:rsidRPr="009262BF">
        <w:rPr>
          <w:lang w:val="en-US"/>
        </w:rPr>
        <w:t>The reporting person is allowed and stimulated (Analysis sub 144) to submit evidence to the co</w:t>
      </w:r>
      <w:r w:rsidRPr="009262BF">
        <w:rPr>
          <w:lang w:val="en-US"/>
        </w:rPr>
        <w:t>m</w:t>
      </w:r>
      <w:r w:rsidRPr="009262BF">
        <w:rPr>
          <w:lang w:val="en-US"/>
        </w:rPr>
        <w:t>petent authorities. Such disclosure shall not constitute a breach of a contractual or statutory co</w:t>
      </w:r>
      <w:r w:rsidRPr="009262BF">
        <w:rPr>
          <w:lang w:val="en-US"/>
        </w:rPr>
        <w:t>n</w:t>
      </w:r>
      <w:r w:rsidRPr="009262BF">
        <w:rPr>
          <w:lang w:val="en-US"/>
        </w:rPr>
        <w:t>fidentiality clause, provided that the reporting has been done in good faith (Technical Advice sub 24). However, the submitted evidence may also include business secrets, personal data of emplo</w:t>
      </w:r>
      <w:r w:rsidRPr="009262BF">
        <w:rPr>
          <w:lang w:val="en-US"/>
        </w:rPr>
        <w:t>y</w:t>
      </w:r>
      <w:r w:rsidRPr="009262BF">
        <w:rPr>
          <w:lang w:val="en-US"/>
        </w:rPr>
        <w:t>ees and clients etc. We therefore suggest that the competent authorities would ask the employer to submit the evidence in the course of an investigation or preliminary investigation, so that the la</w:t>
      </w:r>
      <w:r w:rsidRPr="009262BF">
        <w:rPr>
          <w:lang w:val="en-US"/>
        </w:rPr>
        <w:t>t</w:t>
      </w:r>
      <w:r w:rsidRPr="009262BF">
        <w:rPr>
          <w:lang w:val="en-US"/>
        </w:rPr>
        <w:t>ter would know which kind of information has left the organisation.</w:t>
      </w:r>
    </w:p>
    <w:p w:rsidR="009262BF" w:rsidRPr="009262BF" w:rsidRDefault="009262BF" w:rsidP="009262BF">
      <w:pPr>
        <w:numPr>
          <w:ilvl w:val="0"/>
          <w:numId w:val="43"/>
        </w:numPr>
        <w:rPr>
          <w:lang w:val="en-US"/>
        </w:rPr>
      </w:pPr>
      <w:r w:rsidRPr="009262BF">
        <w:rPr>
          <w:lang w:val="en-US"/>
        </w:rPr>
        <w:t xml:space="preserve">In addition to point 19 Technical Advice, we note that confidentiality cannot be guaranteed when the reporting person him/herself discloses his/her identity and/or the fact that he/she has made a reporting. </w:t>
      </w:r>
    </w:p>
    <w:p w:rsidR="00E9344E" w:rsidRPr="009262BF" w:rsidRDefault="009262BF" w:rsidP="00E9344E">
      <w:pPr>
        <w:numPr>
          <w:ilvl w:val="0"/>
          <w:numId w:val="43"/>
        </w:numPr>
        <w:rPr>
          <w:lang w:val="en-US"/>
        </w:rPr>
      </w:pPr>
      <w:r w:rsidRPr="009262BF">
        <w:rPr>
          <w:lang w:val="en-US"/>
        </w:rPr>
        <w:t>Subsequently, we are of the opinion that the reporting person should also be obliged to keep the reporting and the content of it confidential, in view of the interests of the competent authority (pending investigation) and the employer and reported person (see above).</w:t>
      </w:r>
    </w:p>
    <w:permEnd w:id="969625986"/>
    <w:p w:rsidR="00E9344E" w:rsidRDefault="00E9344E" w:rsidP="00E9344E">
      <w:r>
        <w:t>&lt;ESMA_QUESTION_MAR_TA_15&gt;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think there are other elements to be developed in relation to specific proc</w:t>
      </w:r>
      <w:r>
        <w:t>e</w:t>
      </w:r>
      <w:r>
        <w:t>dures for the receipt of reports of infringements under MAR and their follow-up, inclu</w:t>
      </w:r>
      <w:r>
        <w:t>d</w:t>
      </w:r>
      <w:r>
        <w:t>ing the establishment of secure communication channels for such reports</w:t>
      </w:r>
    </w:p>
    <w:p w:rsidR="00E9344E" w:rsidRDefault="00E9344E" w:rsidP="00E9344E"/>
    <w:p w:rsidR="00E9344E" w:rsidRDefault="00E9344E" w:rsidP="00E9344E">
      <w:r>
        <w:t>&lt;ESMA_QUESTION_MAR_TA_16&gt;</w:t>
      </w:r>
    </w:p>
    <w:p w:rsidR="005117A1" w:rsidRPr="005117A1" w:rsidRDefault="005117A1" w:rsidP="005117A1">
      <w:pPr>
        <w:rPr>
          <w:lang w:val="en-US"/>
        </w:rPr>
      </w:pPr>
      <w:permStart w:id="823816403" w:edGrp="everyone"/>
      <w:r w:rsidRPr="005117A1">
        <w:rPr>
          <w:lang w:val="en-US"/>
        </w:rPr>
        <w:t xml:space="preserve">We agree that it is of utmost importance that the competent authorities make use of fully secured systems. </w:t>
      </w:r>
    </w:p>
    <w:p w:rsidR="00E9344E" w:rsidRPr="005117A1" w:rsidRDefault="005117A1" w:rsidP="00E9344E">
      <w:pPr>
        <w:rPr>
          <w:lang w:val="en-US"/>
        </w:rPr>
      </w:pPr>
      <w:r w:rsidRPr="005117A1">
        <w:rPr>
          <w:lang w:val="en-US"/>
        </w:rPr>
        <w:t>In addition, we advise to include in the procedures that the data storage will be in an EU country or in a country with similar overall data protection laws.</w:t>
      </w:r>
    </w:p>
    <w:permEnd w:id="823816403"/>
    <w:p w:rsidR="00E9344E" w:rsidRDefault="00E9344E" w:rsidP="00E9344E">
      <w:r>
        <w:lastRenderedPageBreak/>
        <w:t>&lt;ESMA_QUESTION_MAR_TA_16&gt;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see any other provision, measure or procedure currently in place under national laws of Member States that could complement the procedures proposed in the draft technical advice for the reporting of infringements of market abuse to competent authorities in order to increase the protection of personal data, especially in relation to:</w:t>
      </w:r>
    </w:p>
    <w:p w:rsidR="00E9344E" w:rsidRDefault="00E9344E" w:rsidP="00E9344E">
      <w:pPr>
        <w:pStyle w:val="Heading5"/>
        <w:keepNext w:val="0"/>
        <w:keepLines w:val="0"/>
        <w:numPr>
          <w:ilvl w:val="0"/>
          <w:numId w:val="39"/>
        </w:numPr>
        <w:spacing w:before="0" w:line="276" w:lineRule="auto"/>
      </w:pPr>
      <w:r>
        <w:t>compliance with data retention periods and notification requirements for data pr</w:t>
      </w:r>
      <w:r>
        <w:t>o</w:t>
      </w:r>
      <w:r>
        <w:t>cessing;</w:t>
      </w:r>
    </w:p>
    <w:p w:rsidR="00E9344E" w:rsidRDefault="00E9344E" w:rsidP="00E9344E">
      <w:pPr>
        <w:pStyle w:val="Heading5"/>
        <w:keepNext w:val="0"/>
        <w:keepLines w:val="0"/>
        <w:numPr>
          <w:ilvl w:val="0"/>
          <w:numId w:val="39"/>
        </w:numPr>
        <w:spacing w:before="0" w:line="276" w:lineRule="auto"/>
      </w:pPr>
      <w:r>
        <w:t>protection of the rights related to data processing;</w:t>
      </w:r>
    </w:p>
    <w:p w:rsidR="00E9344E" w:rsidRDefault="00E9344E" w:rsidP="00E9344E">
      <w:pPr>
        <w:pStyle w:val="Heading5"/>
        <w:keepNext w:val="0"/>
        <w:keepLines w:val="0"/>
        <w:numPr>
          <w:ilvl w:val="0"/>
          <w:numId w:val="39"/>
        </w:numPr>
        <w:spacing w:before="0" w:line="276" w:lineRule="auto"/>
      </w:pPr>
      <w:r>
        <w:t>security aspects of the data processing operation; and</w:t>
      </w:r>
    </w:p>
    <w:p w:rsidR="00E9344E" w:rsidRDefault="00E9344E" w:rsidP="00E9344E">
      <w:pPr>
        <w:pStyle w:val="Heading5"/>
        <w:keepNext w:val="0"/>
        <w:keepLines w:val="0"/>
        <w:numPr>
          <w:ilvl w:val="0"/>
          <w:numId w:val="39"/>
        </w:numPr>
        <w:spacing w:before="0" w:line="276" w:lineRule="auto"/>
      </w:pPr>
      <w:r>
        <w:t>conditions for the management of reporting mechanisms (including limitations of cross-border data transferral)?</w:t>
      </w:r>
    </w:p>
    <w:p w:rsidR="00E9344E" w:rsidRDefault="00E9344E" w:rsidP="00E9344E">
      <w:pPr>
        <w:ind w:left="720"/>
      </w:pPr>
    </w:p>
    <w:p w:rsidR="00E9344E" w:rsidRDefault="00E9344E" w:rsidP="00E9344E">
      <w:r>
        <w:t>&lt;ESMA_QUESTION_MAR_TA_17&gt;</w:t>
      </w:r>
    </w:p>
    <w:p w:rsidR="00F70ACB" w:rsidRPr="00F70ACB" w:rsidRDefault="00F70ACB" w:rsidP="00F70ACB">
      <w:pPr>
        <w:rPr>
          <w:lang w:val="en-US"/>
        </w:rPr>
      </w:pPr>
      <w:permStart w:id="527461070" w:edGrp="everyone"/>
      <w:r w:rsidRPr="00F70ACB">
        <w:rPr>
          <w:lang w:val="en-US"/>
        </w:rPr>
        <w:t xml:space="preserve">We would like to have included in the procedures the fact the data subjects – the reported person, but also the legal entity involved - should be informed about the investigation and the report (while keeping the identity of the reporting person confidential) as soon as the investigation allows that (so well before any decision is taken by the competent authority)  and that they should be heard. The employer/legal entity should be able to conduct its own investigation, provide information to the competent authorities where appropriate (being cooperative), have the opportunity to defend itself and take internal measures where appropriate. The first contact with the employer/the legal person should be made with someone high in the organisation, for instance with the Chief Compliance Officer. </w:t>
      </w:r>
    </w:p>
    <w:p w:rsidR="00F70ACB" w:rsidRPr="00F70ACB" w:rsidRDefault="00F70ACB" w:rsidP="00F70ACB">
      <w:pPr>
        <w:rPr>
          <w:lang w:val="en-US"/>
        </w:rPr>
      </w:pPr>
      <w:r w:rsidRPr="00F70ACB">
        <w:rPr>
          <w:lang w:val="en-US"/>
        </w:rPr>
        <w:t>Records should not be kept longer than necessary for the purpose for which they have been processed. We advise to include a maximum period of time during which these records may be retained. This may be for as long as the investigation and any subsequent proceedings last (deletion to take place within a reason</w:t>
      </w:r>
      <w:r w:rsidRPr="00F70ACB">
        <w:rPr>
          <w:lang w:val="en-US"/>
        </w:rPr>
        <w:t>a</w:t>
      </w:r>
      <w:r w:rsidRPr="00F70ACB">
        <w:rPr>
          <w:lang w:val="en-US"/>
        </w:rPr>
        <w:t>ble period thereafter). Records related to a reporting that appeared to be unfounded should be destroyed promptly after completion of the investigation.</w:t>
      </w:r>
    </w:p>
    <w:p w:rsidR="00F70ACB" w:rsidRPr="00F70ACB" w:rsidRDefault="00F70ACB" w:rsidP="00F70ACB">
      <w:pPr>
        <w:rPr>
          <w:lang w:val="en-US"/>
        </w:rPr>
      </w:pPr>
      <w:r w:rsidRPr="00F70ACB">
        <w:rPr>
          <w:lang w:val="en-US"/>
        </w:rPr>
        <w:t>Cross-border data transferal should be in align with the EU Data Protection Directive.</w:t>
      </w:r>
    </w:p>
    <w:p w:rsidR="00E9344E" w:rsidRPr="00F70ACB" w:rsidRDefault="00F70ACB" w:rsidP="00E9344E">
      <w:pPr>
        <w:rPr>
          <w:lang w:val="en-US"/>
        </w:rPr>
      </w:pPr>
      <w:r w:rsidRPr="00F70ACB">
        <w:rPr>
          <w:lang w:val="en-US"/>
        </w:rPr>
        <w:t>In view of point 10(c) of the Technical Advice we note that in all cases (and not only when there are stat</w:t>
      </w:r>
      <w:r w:rsidRPr="00F70ACB">
        <w:rPr>
          <w:lang w:val="en-US"/>
        </w:rPr>
        <w:t>u</w:t>
      </w:r>
      <w:r w:rsidRPr="00F70ACB">
        <w:rPr>
          <w:lang w:val="en-US"/>
        </w:rPr>
        <w:t xml:space="preserve">tory or other restrictions) </w:t>
      </w:r>
      <w:r w:rsidRPr="00F70ACB">
        <w:rPr>
          <w:u w:val="single"/>
          <w:lang w:val="en-US"/>
        </w:rPr>
        <w:t>limited</w:t>
      </w:r>
      <w:r w:rsidRPr="00F70ACB">
        <w:rPr>
          <w:lang w:val="en-US"/>
        </w:rPr>
        <w:t xml:space="preserve"> feedback should be given to the reporting person in view of the interests of the reported person and the employer/legal entity. We are therefore in favour of informing the repor</w:t>
      </w:r>
      <w:r w:rsidRPr="00F70ACB">
        <w:rPr>
          <w:lang w:val="en-US"/>
        </w:rPr>
        <w:t>t</w:t>
      </w:r>
      <w:r w:rsidRPr="00F70ACB">
        <w:rPr>
          <w:lang w:val="en-US"/>
        </w:rPr>
        <w:t>ing person at the same time and at a maximum to the same extent as the public disclosure pursuant to article 34 MAR.</w:t>
      </w:r>
    </w:p>
    <w:permEnd w:id="527461070"/>
    <w:p w:rsidR="00E9344E" w:rsidRDefault="00E9344E" w:rsidP="00E9344E">
      <w:r>
        <w:t>&lt;ESMA_QUESTION_MAR_TA_17&gt;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In the context of “the protection of employees working under contract of emplo</w:t>
      </w:r>
      <w:r>
        <w:t>y</w:t>
      </w:r>
      <w:r>
        <w:t>ment”, among the following common forms of unfair treatment - namely dismissal, p</w:t>
      </w:r>
      <w:r>
        <w:t>u</w:t>
      </w:r>
      <w:r>
        <w:t>nitive, transfers, harassments, reduction or loss of duties, status, benefits, salary or working hours, withholding of promotions, trainings, and threats of such actions - which are the most important forms of unfair treatment in case of reporting of infringements of market abuse to a competent authority? Which protection mechanisms against such unfair treatments would you consider effective (e.g. mechanisms for fair procedures and remedies including appropriate rights of defence)? Are you aware of any other aspects that could be relevant in this context? Please specify.</w:t>
      </w:r>
    </w:p>
    <w:p w:rsidR="00E9344E" w:rsidRDefault="00E9344E" w:rsidP="00E9344E"/>
    <w:p w:rsidR="00E9344E" w:rsidRDefault="00E9344E" w:rsidP="00E9344E">
      <w:r>
        <w:t>&lt;ESMA_QUESTION_MAR_TA_18&gt;</w:t>
      </w:r>
    </w:p>
    <w:p w:rsidR="00217693" w:rsidRPr="00217693" w:rsidRDefault="00217693" w:rsidP="00217693">
      <w:pPr>
        <w:rPr>
          <w:lang w:val="en-US"/>
        </w:rPr>
      </w:pPr>
      <w:permStart w:id="144520435" w:edGrp="everyone"/>
      <w:r w:rsidRPr="00217693">
        <w:rPr>
          <w:lang w:val="en-US"/>
        </w:rPr>
        <w:t>In our opinion, the tone at the top within the employer’s organisation is of great importance. The organis</w:t>
      </w:r>
      <w:r w:rsidRPr="00217693">
        <w:rPr>
          <w:lang w:val="en-US"/>
        </w:rPr>
        <w:t>a</w:t>
      </w:r>
      <w:r w:rsidRPr="00217693">
        <w:rPr>
          <w:lang w:val="en-US"/>
        </w:rPr>
        <w:t>tion should have a zero-tolerance policy towards retaliation of the reporting persons and reported persons (in view of article 32(2)(b) MAR ) as well as persons cooperating with the internal and/or external invest</w:t>
      </w:r>
      <w:r w:rsidRPr="00217693">
        <w:rPr>
          <w:lang w:val="en-US"/>
        </w:rPr>
        <w:t>i</w:t>
      </w:r>
      <w:r w:rsidRPr="00217693">
        <w:rPr>
          <w:lang w:val="en-US"/>
        </w:rPr>
        <w:t>gation. Moreover, it should be stipulated in internal policies that no one within the organisation will a</w:t>
      </w:r>
      <w:r w:rsidRPr="00217693">
        <w:rPr>
          <w:lang w:val="en-US"/>
        </w:rPr>
        <w:t>t</w:t>
      </w:r>
      <w:r w:rsidRPr="00217693">
        <w:rPr>
          <w:lang w:val="en-US"/>
        </w:rPr>
        <w:t>tempt to discover the identity of the reporting person. These items could for instance be included in the requirements for article 32(3) MAR.</w:t>
      </w:r>
    </w:p>
    <w:p w:rsidR="00E9344E" w:rsidRDefault="00217693" w:rsidP="00217693">
      <w:r w:rsidRPr="00217693">
        <w:rPr>
          <w:lang w:val="en-US"/>
        </w:rPr>
        <w:lastRenderedPageBreak/>
        <w:t>As stipulated sub 14-18 of the Technical Advice only a limited number of persons should be informed about the report within the competent authority (need-to-know principle).</w:t>
      </w:r>
    </w:p>
    <w:permEnd w:id="144520435"/>
    <w:p w:rsidR="00E9344E" w:rsidRDefault="00E9344E" w:rsidP="00E9344E">
      <w:r>
        <w:t>&lt;ESMA_QUESTION_MAR_TA_18&gt;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Are you aware of any particular provision, measure or procedure currently in place under national laws of Member States or best practices that could effectively compl</w:t>
      </w:r>
      <w:r>
        <w:t>e</w:t>
      </w:r>
      <w:r>
        <w:t>ment the mechanism of the competent authorities and the waiver of liability for repor</w:t>
      </w:r>
      <w:r>
        <w:t>t</w:t>
      </w:r>
      <w:r>
        <w:t>ing proposed in the draft technical advice, in order to increase the protection of emplo</w:t>
      </w:r>
      <w:r>
        <w:t>y</w:t>
      </w:r>
      <w:r>
        <w:t>ees working under a contract of employment? If yes, please provide examples</w:t>
      </w:r>
      <w:r>
        <w:rPr>
          <w:b w:val="0"/>
        </w:rPr>
        <w:t xml:space="preserve">. </w:t>
      </w:r>
    </w:p>
    <w:p w:rsidR="00E9344E" w:rsidRDefault="00E9344E" w:rsidP="00E9344E"/>
    <w:p w:rsidR="00E9344E" w:rsidRDefault="00E9344E" w:rsidP="00E9344E">
      <w:r>
        <w:t>&lt;ESMA_QUESTION_MAR_TA_19&gt;</w:t>
      </w:r>
    </w:p>
    <w:p w:rsidR="00E9344E" w:rsidRDefault="00E9344E" w:rsidP="00E9344E">
      <w:permStart w:id="523710914" w:edGrp="everyone"/>
      <w:r>
        <w:t>TYPE YOUR TEXT HERE</w:t>
      </w:r>
    </w:p>
    <w:permEnd w:id="523710914"/>
    <w:p w:rsidR="00E9344E" w:rsidRDefault="00E9344E" w:rsidP="00E9344E">
      <w:r>
        <w:t>&lt;ESMA_QUESTION_MAR_TA_19&gt;</w:t>
      </w:r>
    </w:p>
    <w:p w:rsidR="003A6E9A" w:rsidRPr="009137B6" w:rsidRDefault="003A6E9A" w:rsidP="009137B6">
      <w:pPr>
        <w:keepLines/>
      </w:pPr>
    </w:p>
    <w:sectPr w:rsidR="003A6E9A" w:rsidRPr="009137B6" w:rsidSect="000C06C9">
      <w:headerReference w:type="even" r:id="rId16"/>
      <w:headerReference w:type="first" r:id="rId17"/>
      <w:footerReference w:type="first" r:id="rId18"/>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EBB" w:rsidRDefault="00DE2EBB">
      <w:r>
        <w:separator/>
      </w:r>
    </w:p>
    <w:p w:rsidR="00DE2EBB" w:rsidRDefault="00DE2EBB"/>
  </w:endnote>
  <w:endnote w:type="continuationSeparator" w:id="0">
    <w:p w:rsidR="00DE2EBB" w:rsidRDefault="00DE2EBB">
      <w:r>
        <w:continuationSeparator/>
      </w:r>
    </w:p>
    <w:p w:rsidR="00DE2EBB" w:rsidRDefault="00DE2EBB"/>
  </w:endnote>
  <w:endnote w:type="continuationNotice" w:id="1">
    <w:p w:rsidR="00DE2EBB" w:rsidRDefault="00DE2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315E96"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2C5B2D" w:rsidRDefault="00811EDA" w:rsidP="002C5B2D">
          <w:pPr>
            <w:pStyle w:val="00aPagenumber"/>
          </w:pPr>
          <w:r>
            <w:fldChar w:fldCharType="begin"/>
          </w:r>
          <w:r>
            <w:instrText xml:space="preserve"> PAGE </w:instrText>
          </w:r>
          <w:r>
            <w:fldChar w:fldCharType="separate"/>
          </w:r>
          <w:r w:rsidR="00ED6230">
            <w:rPr>
              <w:noProof/>
            </w:rPr>
            <w:t>14</w:t>
          </w:r>
          <w:r>
            <w:rPr>
              <w:noProof/>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EBB" w:rsidRDefault="00DE2EBB">
      <w:r>
        <w:separator/>
      </w:r>
    </w:p>
    <w:p w:rsidR="00DE2EBB" w:rsidRDefault="00DE2EBB"/>
  </w:footnote>
  <w:footnote w:type="continuationSeparator" w:id="0">
    <w:p w:rsidR="00DE2EBB" w:rsidRDefault="00DE2EBB">
      <w:r>
        <w:continuationSeparator/>
      </w:r>
    </w:p>
    <w:p w:rsidR="00DE2EBB" w:rsidRDefault="00DE2EBB"/>
  </w:footnote>
  <w:footnote w:type="continuationNotice" w:id="1">
    <w:p w:rsidR="00DE2EBB" w:rsidRDefault="00DE2EBB"/>
  </w:footnote>
  <w:footnote w:id="2">
    <w:p w:rsidR="00E9344E" w:rsidRDefault="00E9344E" w:rsidP="00E9344E">
      <w:pPr>
        <w:pStyle w:val="FootnoteText"/>
      </w:pPr>
      <w:r>
        <w:rPr>
          <w:rStyle w:val="FootnoteReference"/>
        </w:rPr>
        <w:footnoteRef/>
      </w:r>
      <w:r>
        <w:t xml:space="preserve"> In this context, “phishing” should be understood as the attempt to acquire sensitive information, such as passwords or account details, by masquerading as a trustworthy entity in an electronic communication.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024F53">
    <w:pPr>
      <w:pStyle w:val="Header"/>
    </w:pPr>
    <w:r>
      <w:rPr>
        <w:noProof/>
        <w:lang w:val="nl-NL" w:eastAsia="nl-NL"/>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NL" w:eastAsia="nl-NL"/>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024F53" w:rsidP="00013CCE">
    <w:pPr>
      <w:pStyle w:val="Header"/>
      <w:jc w:val="right"/>
    </w:pPr>
    <w:r>
      <w:rPr>
        <w:noProof/>
        <w:lang w:val="nl-NL" w:eastAsia="nl-NL"/>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024F53">
    <w:pPr>
      <w:pStyle w:val="Header"/>
    </w:pPr>
    <w:r>
      <w:rPr>
        <w:noProof/>
        <w:lang w:val="nl-NL" w:eastAsia="nl-NL"/>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nl-NL" w:eastAsia="nl-NL"/>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455E55"/>
    <w:multiLevelType w:val="hybridMultilevel"/>
    <w:tmpl w:val="DB7CA5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B9051B0"/>
    <w:multiLevelType w:val="hybridMultilevel"/>
    <w:tmpl w:val="45B499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9">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1">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3">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5">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3">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5">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9">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9"/>
  </w:num>
  <w:num w:numId="2">
    <w:abstractNumId w:val="22"/>
  </w:num>
  <w:num w:numId="3">
    <w:abstractNumId w:val="15"/>
  </w:num>
  <w:num w:numId="4">
    <w:abstractNumId w:val="26"/>
  </w:num>
  <w:num w:numId="5">
    <w:abstractNumId w:val="5"/>
  </w:num>
  <w:num w:numId="6">
    <w:abstractNumId w:val="28"/>
  </w:num>
  <w:num w:numId="7">
    <w:abstractNumId w:val="0"/>
  </w:num>
  <w:num w:numId="8">
    <w:abstractNumId w:val="8"/>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33"/>
  </w:num>
  <w:num w:numId="15">
    <w:abstractNumId w:val="25"/>
  </w:num>
  <w:num w:numId="16">
    <w:abstractNumId w:val="13"/>
  </w:num>
  <w:num w:numId="17">
    <w:abstractNumId w:val="1"/>
  </w:num>
  <w:num w:numId="18">
    <w:abstractNumId w:val="17"/>
  </w:num>
  <w:num w:numId="19">
    <w:abstractNumId w:val="18"/>
  </w:num>
  <w:num w:numId="20">
    <w:abstractNumId w:val="20"/>
  </w:num>
  <w:num w:numId="21">
    <w:abstractNumId w:val="29"/>
  </w:num>
  <w:num w:numId="22">
    <w:abstractNumId w:val="36"/>
  </w:num>
  <w:num w:numId="23">
    <w:abstractNumId w:val="27"/>
  </w:num>
  <w:num w:numId="24">
    <w:abstractNumId w:val="12"/>
  </w:num>
  <w:num w:numId="25">
    <w:abstractNumId w:val="32"/>
  </w:num>
  <w:num w:numId="26">
    <w:abstractNumId w:val="31"/>
  </w:num>
  <w:num w:numId="27">
    <w:abstractNumId w:val="23"/>
  </w:num>
  <w:num w:numId="28">
    <w:abstractNumId w:val="35"/>
  </w:num>
  <w:num w:numId="29">
    <w:abstractNumId w:val="38"/>
  </w:num>
  <w:num w:numId="30">
    <w:abstractNumId w:val="10"/>
  </w:num>
  <w:num w:numId="31">
    <w:abstractNumId w:val="6"/>
  </w:num>
  <w:num w:numId="32">
    <w:abstractNumId w:val="24"/>
  </w:num>
  <w:num w:numId="33">
    <w:abstractNumId w:val="2"/>
  </w:num>
  <w:num w:numId="34">
    <w:abstractNumId w:val="6"/>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6"/>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4"/>
  </w:num>
  <w:num w:numId="37">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7"/>
  </w:num>
  <w:num w:numId="42">
    <w:abstractNumId w:val="3"/>
  </w:num>
  <w:num w:numId="43">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QcbP0TK+FUS0mqzeyNyyA3RgXk8=" w:salt="hHRkPzmIsEX0LFswme9XNg=="/>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4F53"/>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58C9"/>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0A8A"/>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97B"/>
    <w:rsid w:val="002005A6"/>
    <w:rsid w:val="00204CBC"/>
    <w:rsid w:val="002051F1"/>
    <w:rsid w:val="002067BA"/>
    <w:rsid w:val="0021058D"/>
    <w:rsid w:val="00211E2F"/>
    <w:rsid w:val="00211E9E"/>
    <w:rsid w:val="00214FB4"/>
    <w:rsid w:val="00215940"/>
    <w:rsid w:val="00217693"/>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290D"/>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1660"/>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7A1"/>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82B"/>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41"/>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62BF"/>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B8E"/>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C6C3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5A6"/>
    <w:rsid w:val="00AF3C29"/>
    <w:rsid w:val="00AF4401"/>
    <w:rsid w:val="00AF4463"/>
    <w:rsid w:val="00AF53CB"/>
    <w:rsid w:val="00AF65C5"/>
    <w:rsid w:val="00B03CE2"/>
    <w:rsid w:val="00B06544"/>
    <w:rsid w:val="00B105F2"/>
    <w:rsid w:val="00B10991"/>
    <w:rsid w:val="00B12128"/>
    <w:rsid w:val="00B12945"/>
    <w:rsid w:val="00B12C1E"/>
    <w:rsid w:val="00B14AA0"/>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5863"/>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1C9"/>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0C07"/>
    <w:rsid w:val="00D6240A"/>
    <w:rsid w:val="00D63093"/>
    <w:rsid w:val="00D63599"/>
    <w:rsid w:val="00D63EBD"/>
    <w:rsid w:val="00D67101"/>
    <w:rsid w:val="00D71B45"/>
    <w:rsid w:val="00D71F8A"/>
    <w:rsid w:val="00D74C9D"/>
    <w:rsid w:val="00D75603"/>
    <w:rsid w:val="00D75FEE"/>
    <w:rsid w:val="00D76933"/>
    <w:rsid w:val="00D76D88"/>
    <w:rsid w:val="00D77CC9"/>
    <w:rsid w:val="00D83D4B"/>
    <w:rsid w:val="00D86F06"/>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2EBB"/>
    <w:rsid w:val="00DE64A6"/>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42A7"/>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9DB"/>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8774A"/>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9C3"/>
    <w:rsid w:val="00EC7B97"/>
    <w:rsid w:val="00ED049C"/>
    <w:rsid w:val="00ED07B7"/>
    <w:rsid w:val="00ED19D7"/>
    <w:rsid w:val="00ED2167"/>
    <w:rsid w:val="00ED351E"/>
    <w:rsid w:val="00ED4B27"/>
    <w:rsid w:val="00ED543C"/>
    <w:rsid w:val="00ED6230"/>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0A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consultation/Consultation-Paper-Draft-technical-advice-possible-delegated-acts-concerning-Market-Abu"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esma.europa.e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DD8F5316B24ACAA721B8AF83F84918"/>
        <w:category>
          <w:name w:val="General"/>
          <w:gallery w:val="placeholder"/>
        </w:category>
        <w:types>
          <w:type w:val="bbPlcHdr"/>
        </w:types>
        <w:behaviors>
          <w:behavior w:val="content"/>
        </w:behaviors>
        <w:guid w:val="{7F622BF4-A2E8-4B87-BA45-3D9E8434B9EF}"/>
      </w:docPartPr>
      <w:docPartBody>
        <w:p w:rsidR="0088361F" w:rsidRDefault="00057CC3" w:rsidP="00057CC3">
          <w:pPr>
            <w:pStyle w:val="68DD8F5316B24ACAA721B8AF83F84918"/>
          </w:pPr>
          <w:r w:rsidRPr="000E3791">
            <w:rPr>
              <w:rStyle w:val="PlaceholderText"/>
            </w:rPr>
            <w:t>Choose an item.</w:t>
          </w:r>
        </w:p>
      </w:docPartBody>
    </w:docPart>
    <w:docPart>
      <w:docPartPr>
        <w:name w:val="D5B685D445D340288F8171B5CFF17E35"/>
        <w:category>
          <w:name w:val="General"/>
          <w:gallery w:val="placeholder"/>
        </w:category>
        <w:types>
          <w:type w:val="bbPlcHdr"/>
        </w:types>
        <w:behaviors>
          <w:behavior w:val="content"/>
        </w:behaviors>
        <w:guid w:val="{E6F8C131-B775-419C-878A-2F29E7BF2F99}"/>
      </w:docPartPr>
      <w:docPartBody>
        <w:p w:rsidR="0088361F" w:rsidRDefault="00057CC3" w:rsidP="00057CC3">
          <w:pPr>
            <w:pStyle w:val="D5B685D445D340288F8171B5CFF17E35"/>
          </w:pPr>
          <w:r w:rsidRPr="000E3791">
            <w:rPr>
              <w:rStyle w:val="PlaceholderText"/>
            </w:rPr>
            <w:t>Choose an item.</w:t>
          </w:r>
        </w:p>
      </w:docPartBody>
    </w:docPart>
    <w:docPart>
      <w:docPartPr>
        <w:name w:val="D46234344A7E46CEB6A77AE06BE10495"/>
        <w:category>
          <w:name w:val="General"/>
          <w:gallery w:val="placeholder"/>
        </w:category>
        <w:types>
          <w:type w:val="bbPlcHdr"/>
        </w:types>
        <w:behaviors>
          <w:behavior w:val="content"/>
        </w:behaviors>
        <w:guid w:val="{850CF1F5-E62B-430F-9979-58C68EE2619F}"/>
      </w:docPartPr>
      <w:docPartBody>
        <w:p w:rsidR="0088361F" w:rsidRDefault="00057CC3" w:rsidP="00057CC3">
          <w:pPr>
            <w:pStyle w:val="D46234344A7E46CEB6A77AE06BE10495"/>
          </w:pPr>
          <w:r w:rsidRPr="000E37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CC3"/>
    <w:rsid w:val="00057CC3"/>
    <w:rsid w:val="00880D16"/>
    <w:rsid w:val="0088361F"/>
    <w:rsid w:val="00D924AF"/>
    <w:rsid w:val="00DA60A1"/>
    <w:rsid w:val="00FA5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666C6-FD25-46F0-9434-92DF7F138F78}">
  <ds:schemaRefs>
    <ds:schemaRef ds:uri="http://schemas.openxmlformats.org/officeDocument/2006/bibliography"/>
  </ds:schemaRefs>
</ds:datastoreItem>
</file>

<file path=customXml/itemProps2.xml><?xml version="1.0" encoding="utf-8"?>
<ds:datastoreItem xmlns:ds="http://schemas.openxmlformats.org/officeDocument/2006/customXml" ds:itemID="{D59B2340-AB35-4CDF-916C-71E998B44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2875</Words>
  <Characters>16407</Characters>
  <Application>Microsoft Office Word</Application>
  <DocSecurity>8</DocSecurity>
  <Lines>136</Lines>
  <Paragraphs>38</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19244</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8192101</vt:i4>
      </vt:variant>
      <vt:variant>
        <vt:i4>0</vt:i4>
      </vt:variant>
      <vt:variant>
        <vt:i4>0</vt:i4>
      </vt:variant>
      <vt:variant>
        <vt:i4>5</vt:i4>
      </vt:variant>
      <vt:variant>
        <vt:lpwstr>http://www.esma.europa.eu/consultation/Consultation-Paper-Draft-technical-advice-possible-delegated-acts-concerning-Market-Abu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Groothuis, J.G. (Jeroen)</cp:lastModifiedBy>
  <cp:revision>12</cp:revision>
  <cp:lastPrinted>2014-05-08T15:06:00Z</cp:lastPrinted>
  <dcterms:created xsi:type="dcterms:W3CDTF">2014-10-13T08:29:00Z</dcterms:created>
  <dcterms:modified xsi:type="dcterms:W3CDTF">2014-10-13T09:11:00Z</dcterms:modified>
</cp:coreProperties>
</file>