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2B52C2" w:rsidP="005A150A">
            <w:pPr>
              <w:pStyle w:val="00bDBInfo"/>
            </w:pPr>
            <w:bookmarkStart w:id="0" w:name="_GoBack"/>
            <w:bookmarkEnd w:id="0"/>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1"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ESMA_MAR_CP_TA_ESMA_ANNEX1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4"/>
      <w:r w:rsidRPr="00F574D0">
        <w:rPr>
          <w:rFonts w:cs="Georgia"/>
          <w:b/>
          <w:bCs/>
          <w:i/>
          <w:color w:val="000000"/>
          <w:szCs w:val="20"/>
          <w:lang w:eastAsia="en-GB"/>
        </w:rPr>
        <w:t>Publication of responses</w:t>
      </w:r>
      <w:bookmarkEnd w:id="2"/>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3" w:name="_Toc335141335"/>
      <w:r w:rsidRPr="00F574D0">
        <w:rPr>
          <w:rFonts w:cs="Georgia"/>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t>General information about respondent</w:t>
      </w:r>
    </w:p>
    <w:tbl>
      <w:tblPr>
        <w:tblStyle w:val="TableGrid"/>
        <w:tblW w:w="0" w:type="auto"/>
        <w:tblLook w:val="04A0"/>
      </w:tblPr>
      <w:tblGrid>
        <w:gridCol w:w="3510"/>
        <w:gridCol w:w="6118"/>
      </w:tblGrid>
      <w:tr w:rsidR="00E8774A" w:rsidTr="001A7B9B">
        <w:tc>
          <w:tcPr>
            <w:tcW w:w="3510" w:type="dxa"/>
          </w:tcPr>
          <w:p w:rsidR="00E8774A" w:rsidRDefault="00E8774A" w:rsidP="001A7B9B">
            <w:r>
              <w:t>Are you representing an association?</w:t>
            </w:r>
          </w:p>
        </w:tc>
        <w:tc>
          <w:tcPr>
            <w:tcW w:w="6118" w:type="dxa"/>
          </w:tcPr>
          <w:p w:rsidR="00E8774A" w:rsidRDefault="006F6931" w:rsidP="001A7B9B">
            <w:sdt>
              <w:sdtPr>
                <w:alias w:val="Association"/>
                <w:tag w:val="Association"/>
                <w:id w:val="-1769143793"/>
                <w:placeholder>
                  <w:docPart w:val="68DD8F5316B24ACAA721B8AF83F84918"/>
                </w:placeholder>
                <w:comboBox>
                  <w:listItem w:displayText="Yes" w:value="Yes"/>
                  <w:listItem w:displayText="No" w:value="No"/>
                </w:comboBox>
              </w:sdtPr>
              <w:sdtContent>
                <w:permStart w:id="0" w:edGrp="everyone"/>
                <w:r w:rsidR="007624CE">
                  <w:t>No</w:t>
                </w:r>
                <w:permEnd w:id="0"/>
              </w:sdtContent>
            </w:sdt>
          </w:p>
        </w:tc>
      </w:tr>
      <w:tr w:rsidR="00E8774A" w:rsidTr="001A7B9B">
        <w:tc>
          <w:tcPr>
            <w:tcW w:w="3510" w:type="dxa"/>
          </w:tcPr>
          <w:p w:rsidR="00E8774A" w:rsidRDefault="00E8774A" w:rsidP="001A7B9B">
            <w:r>
              <w:t>Activity:</w:t>
            </w:r>
          </w:p>
        </w:tc>
        <w:tc>
          <w:tcPr>
            <w:tcW w:w="6118" w:type="dxa"/>
          </w:tcPr>
          <w:p w:rsidR="00E8774A" w:rsidRDefault="006F6931" w:rsidP="001A7B9B">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 w:edGrp="everyone"/>
                <w:r w:rsidR="007624CE">
                  <w:t>Non-financial counterparty</w:t>
                </w:r>
                <w:permEnd w:id="1"/>
              </w:sdtContent>
            </w:sdt>
          </w:p>
        </w:tc>
      </w:tr>
      <w:tr w:rsidR="00E8774A" w:rsidTr="001A7B9B">
        <w:tc>
          <w:tcPr>
            <w:tcW w:w="3510" w:type="dxa"/>
          </w:tcPr>
          <w:p w:rsidR="00E8774A" w:rsidRDefault="00E8774A" w:rsidP="001A7B9B">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 w:edGrp="everyone" w:displacedByCustomXml="prev"/>
            <w:tc>
              <w:tcPr>
                <w:tcW w:w="6118" w:type="dxa"/>
              </w:tcPr>
              <w:p w:rsidR="00E8774A" w:rsidRDefault="007624CE" w:rsidP="001A7B9B">
                <w:r>
                  <w:t>France</w:t>
                </w:r>
              </w:p>
            </w:tc>
            <w:permEnd w:id="2" w:displacedByCustomXml="next"/>
          </w:sdtContent>
        </w:sdt>
      </w:tr>
    </w:tbl>
    <w:p w:rsidR="00D74C9D" w:rsidRDefault="005D1023" w:rsidP="00D74C9D">
      <w:pPr>
        <w:pStyle w:val="Heading1"/>
        <w:numPr>
          <w:ilvl w:val="0"/>
          <w:numId w:val="0"/>
        </w:numPr>
      </w:pPr>
      <w:r w:rsidRPr="00321CD3">
        <w:br w:type="page"/>
      </w:r>
      <w:bookmarkStart w:id="4" w:name="_Toc392599420"/>
      <w:bookmarkEnd w:id="1"/>
      <w:r w:rsidR="00D74C9D" w:rsidRPr="004C2CD3">
        <w:t>Introduction</w:t>
      </w:r>
      <w:bookmarkEnd w:id="4"/>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8B5701" w:rsidRDefault="008B5701" w:rsidP="008B5701">
      <w:permStart w:id="3" w:edGrp="everyone"/>
      <w:r>
        <w:t>Firstly we welcome ESMA’s work on and input to the MAR level 2 implementing measures by means of technical standards and technical advice to the European Commission. In this respect, we would however like to emphasize the need for ESMA to remain as coherent as possible with processes and obligations already established under other pieces of EU regulation (both financial and energy market specific regul</w:t>
      </w:r>
      <w:r>
        <w:t>a</w:t>
      </w:r>
      <w:r>
        <w:t xml:space="preserve">tion) and to align with and closely collaborate with other European and national competent authorities, including the ACER. The lack of consistency and coherence between various pieces of EU legislations is a key concern </w:t>
      </w:r>
      <w:r w:rsidR="0054655F">
        <w:t>to</w:t>
      </w:r>
      <w:r>
        <w:t xml:space="preserve"> market participants as these lead to costly, burdensome and often duplicative obligations and implementation measures. A concrete example in this respect is the disclosure obligation of inside information. In this respect we urge ESMA to respect recital 51 of MAR and to explicitly acknowledge that any disclosure of inside information made </w:t>
      </w:r>
      <w:r w:rsidR="0054655F">
        <w:t xml:space="preserve">by EAMPs </w:t>
      </w:r>
      <w:r>
        <w:t>under REMIT is sufficient for MAR purposes.</w:t>
      </w:r>
    </w:p>
    <w:p w:rsidR="008B5701" w:rsidRDefault="008B5701" w:rsidP="008B5701"/>
    <w:p w:rsidR="00C00A82" w:rsidRPr="00B05F7E" w:rsidRDefault="0054655F" w:rsidP="008B5701">
      <w:pPr>
        <w:rPr>
          <w:rFonts w:cs="Arial"/>
          <w:b/>
          <w:color w:val="FF0000"/>
          <w:szCs w:val="20"/>
        </w:rPr>
      </w:pPr>
      <w:r>
        <w:rPr>
          <w:color w:val="000000"/>
          <w:szCs w:val="20"/>
        </w:rPr>
        <w:t>Secondly, h</w:t>
      </w:r>
      <w:r w:rsidR="00C00A82">
        <w:rPr>
          <w:color w:val="000000"/>
          <w:szCs w:val="20"/>
        </w:rPr>
        <w:t>aving in mind the goal sought by including EAMPs within MAR scope, we</w:t>
      </w:r>
      <w:r w:rsidR="008B5701">
        <w:rPr>
          <w:color w:val="000000"/>
          <w:szCs w:val="20"/>
        </w:rPr>
        <w:t xml:space="preserve"> regret the current definition of “emission allowances market participant”, being the sub-category of emitters in emission allo</w:t>
      </w:r>
      <w:r w:rsidR="008B5701">
        <w:rPr>
          <w:color w:val="000000"/>
          <w:szCs w:val="20"/>
        </w:rPr>
        <w:t>w</w:t>
      </w:r>
      <w:r w:rsidR="008B5701">
        <w:rPr>
          <w:color w:val="000000"/>
          <w:szCs w:val="20"/>
        </w:rPr>
        <w:t xml:space="preserve">ances on which an inside information disclosure obligation rests. Having regards as to which events have a potential impact on </w:t>
      </w:r>
      <w:r w:rsidR="00C00A82">
        <w:rPr>
          <w:color w:val="000000"/>
          <w:szCs w:val="20"/>
        </w:rPr>
        <w:t xml:space="preserve">the </w:t>
      </w:r>
      <w:r w:rsidR="008B5701">
        <w:rPr>
          <w:color w:val="000000"/>
          <w:szCs w:val="20"/>
        </w:rPr>
        <w:t>price formation in the emission allowances markets (and which one would like to see di</w:t>
      </w:r>
      <w:r w:rsidR="008B5701">
        <w:rPr>
          <w:color w:val="000000"/>
          <w:szCs w:val="20"/>
        </w:rPr>
        <w:t>s</w:t>
      </w:r>
      <w:r w:rsidR="008B5701">
        <w:rPr>
          <w:color w:val="000000"/>
          <w:szCs w:val="20"/>
        </w:rPr>
        <w:t xml:space="preserve">closed), we notice that </w:t>
      </w:r>
      <w:r w:rsidR="0051411E">
        <w:rPr>
          <w:color w:val="000000"/>
          <w:szCs w:val="20"/>
        </w:rPr>
        <w:t>e.g.</w:t>
      </w:r>
      <w:r w:rsidR="008B5701">
        <w:rPr>
          <w:color w:val="000000"/>
          <w:szCs w:val="20"/>
        </w:rPr>
        <w:t xml:space="preserve"> the outage of a carbon neutral thermal unit (</w:t>
      </w:r>
      <w:r w:rsidR="0051411E">
        <w:rPr>
          <w:color w:val="000000"/>
          <w:szCs w:val="20"/>
        </w:rPr>
        <w:t>e.g.</w:t>
      </w:r>
      <w:r w:rsidR="008B5701">
        <w:rPr>
          <w:color w:val="000000"/>
          <w:szCs w:val="20"/>
        </w:rPr>
        <w:t xml:space="preserve"> a nuclear power plant) would not be disclosable under MAR as </w:t>
      </w:r>
      <w:r w:rsidR="0051411E">
        <w:rPr>
          <w:color w:val="000000"/>
          <w:szCs w:val="20"/>
        </w:rPr>
        <w:t>the owner of such facilities would not necessarily qualify as</w:t>
      </w:r>
      <w:r w:rsidR="008B5701">
        <w:rPr>
          <w:color w:val="000000"/>
          <w:szCs w:val="20"/>
        </w:rPr>
        <w:t xml:space="preserve"> an “EAMP”</w:t>
      </w:r>
      <w:r w:rsidR="00C00A82">
        <w:rPr>
          <w:color w:val="000000"/>
          <w:szCs w:val="20"/>
        </w:rPr>
        <w:t xml:space="preserve"> (</w:t>
      </w:r>
      <w:r w:rsidR="0051411E">
        <w:rPr>
          <w:color w:val="000000"/>
          <w:szCs w:val="20"/>
        </w:rPr>
        <w:t xml:space="preserve">as </w:t>
      </w:r>
      <w:r w:rsidR="00C00A82">
        <w:rPr>
          <w:color w:val="000000"/>
          <w:szCs w:val="20"/>
        </w:rPr>
        <w:t xml:space="preserve">not emitting CO2). Whereby it should be noted that </w:t>
      </w:r>
      <w:r w:rsidR="008B5701">
        <w:rPr>
          <w:color w:val="000000"/>
          <w:szCs w:val="20"/>
        </w:rPr>
        <w:t>the produ</w:t>
      </w:r>
      <w:r w:rsidR="008B5701">
        <w:rPr>
          <w:color w:val="000000"/>
          <w:szCs w:val="20"/>
        </w:rPr>
        <w:t>c</w:t>
      </w:r>
      <w:r w:rsidR="008B5701">
        <w:rPr>
          <w:color w:val="000000"/>
          <w:szCs w:val="20"/>
        </w:rPr>
        <w:t>tion capacity impacted by the outage of such non-thermal installation will most probably be co</w:t>
      </w:r>
      <w:r w:rsidR="008B5701">
        <w:rPr>
          <w:color w:val="000000"/>
          <w:szCs w:val="20"/>
        </w:rPr>
        <w:t>v</w:t>
      </w:r>
      <w:r w:rsidR="008B5701">
        <w:rPr>
          <w:color w:val="000000"/>
          <w:szCs w:val="20"/>
        </w:rPr>
        <w:t>ered in the market by a carbon emitting installation; and thus impacting the level of allowances needed with consequently a pote</w:t>
      </w:r>
      <w:r w:rsidR="008B5701">
        <w:rPr>
          <w:color w:val="000000"/>
          <w:szCs w:val="20"/>
        </w:rPr>
        <w:t>n</w:t>
      </w:r>
      <w:r w:rsidR="008B5701">
        <w:rPr>
          <w:color w:val="000000"/>
          <w:szCs w:val="20"/>
        </w:rPr>
        <w:t xml:space="preserve">tial price impact on this market. To the contrary, in case of an outage of </w:t>
      </w:r>
      <w:r w:rsidR="00A90474">
        <w:rPr>
          <w:color w:val="000000"/>
          <w:szCs w:val="20"/>
        </w:rPr>
        <w:t xml:space="preserve">a </w:t>
      </w:r>
      <w:r w:rsidR="008B5701" w:rsidRPr="00B44D4C">
        <w:rPr>
          <w:color w:val="000000" w:themeColor="text1"/>
          <w:szCs w:val="20"/>
        </w:rPr>
        <w:t>carbon emitting installation</w:t>
      </w:r>
      <w:r w:rsidR="00A90474">
        <w:rPr>
          <w:color w:val="000000" w:themeColor="text1"/>
          <w:szCs w:val="20"/>
        </w:rPr>
        <w:t xml:space="preserve"> owned</w:t>
      </w:r>
      <w:r w:rsidR="008B5701" w:rsidRPr="00B44D4C">
        <w:rPr>
          <w:color w:val="000000" w:themeColor="text1"/>
          <w:szCs w:val="20"/>
        </w:rPr>
        <w:t xml:space="preserve"> by an EAMP, the impact on the emission allowances ma</w:t>
      </w:r>
      <w:r w:rsidR="008B5701" w:rsidRPr="00B44D4C">
        <w:rPr>
          <w:color w:val="000000" w:themeColor="text1"/>
          <w:szCs w:val="20"/>
        </w:rPr>
        <w:t>r</w:t>
      </w:r>
      <w:r w:rsidR="008B5701" w:rsidRPr="00B44D4C">
        <w:rPr>
          <w:color w:val="000000" w:themeColor="text1"/>
          <w:szCs w:val="20"/>
        </w:rPr>
        <w:t xml:space="preserve">kets will most likely be </w:t>
      </w:r>
      <w:proofErr w:type="spellStart"/>
      <w:r w:rsidR="008B5701" w:rsidRPr="00B44D4C">
        <w:rPr>
          <w:i/>
          <w:color w:val="000000" w:themeColor="text1"/>
          <w:szCs w:val="20"/>
        </w:rPr>
        <w:t>nihil</w:t>
      </w:r>
      <w:proofErr w:type="spellEnd"/>
      <w:r w:rsidR="008B5701" w:rsidRPr="00B44D4C">
        <w:rPr>
          <w:color w:val="000000" w:themeColor="text1"/>
          <w:szCs w:val="20"/>
        </w:rPr>
        <w:t xml:space="preserve"> as such capacity will be replaced by </w:t>
      </w:r>
      <w:r w:rsidR="00A90474">
        <w:rPr>
          <w:color w:val="000000" w:themeColor="text1"/>
          <w:szCs w:val="20"/>
        </w:rPr>
        <w:t>an</w:t>
      </w:r>
      <w:r w:rsidR="008B5701" w:rsidRPr="00B44D4C">
        <w:rPr>
          <w:color w:val="000000" w:themeColor="text1"/>
          <w:szCs w:val="20"/>
        </w:rPr>
        <w:t>other carbon emitting installation (with more or less advanced techno</w:t>
      </w:r>
      <w:r w:rsidR="008B5701" w:rsidRPr="00B44D4C">
        <w:rPr>
          <w:color w:val="000000" w:themeColor="text1"/>
          <w:szCs w:val="20"/>
        </w:rPr>
        <w:t>l</w:t>
      </w:r>
      <w:r w:rsidR="008B5701" w:rsidRPr="00B44D4C">
        <w:rPr>
          <w:color w:val="000000" w:themeColor="text1"/>
          <w:szCs w:val="20"/>
        </w:rPr>
        <w:t>ogy),without any expected price impact.</w:t>
      </w:r>
      <w:r w:rsidR="00C00A82" w:rsidRPr="00B44D4C">
        <w:rPr>
          <w:color w:val="000000" w:themeColor="text1"/>
          <w:szCs w:val="20"/>
        </w:rPr>
        <w:t xml:space="preserve"> Therefore, it would have been more appropriate to impose discl</w:t>
      </w:r>
      <w:r w:rsidR="00C00A82" w:rsidRPr="00B44D4C">
        <w:rPr>
          <w:color w:val="000000" w:themeColor="text1"/>
          <w:szCs w:val="20"/>
        </w:rPr>
        <w:t>o</w:t>
      </w:r>
      <w:r w:rsidR="00C00A82" w:rsidRPr="00B44D4C">
        <w:rPr>
          <w:color w:val="000000" w:themeColor="text1"/>
          <w:szCs w:val="20"/>
        </w:rPr>
        <w:t>sure obligations on any legal entity owning or opera</w:t>
      </w:r>
      <w:r w:rsidR="00C00A82" w:rsidRPr="00B44D4C">
        <w:rPr>
          <w:color w:val="000000" w:themeColor="text1"/>
          <w:szCs w:val="20"/>
        </w:rPr>
        <w:t>t</w:t>
      </w:r>
      <w:r w:rsidR="00C00A82" w:rsidRPr="00B44D4C">
        <w:rPr>
          <w:color w:val="000000" w:themeColor="text1"/>
          <w:szCs w:val="20"/>
        </w:rPr>
        <w:t>ing assets, the outage of which might potentially impact price formation on the emission allowances mar</w:t>
      </w:r>
      <w:r w:rsidR="00A90474">
        <w:rPr>
          <w:color w:val="000000" w:themeColor="text1"/>
          <w:szCs w:val="20"/>
        </w:rPr>
        <w:t xml:space="preserve">kets on an event-basis (e.g. </w:t>
      </w:r>
      <w:r w:rsidR="00C00A82" w:rsidRPr="00B44D4C">
        <w:rPr>
          <w:color w:val="000000" w:themeColor="text1"/>
          <w:szCs w:val="20"/>
        </w:rPr>
        <w:t xml:space="preserve">the nuclear </w:t>
      </w:r>
      <w:r w:rsidR="00AE68D9" w:rsidRPr="00B44D4C">
        <w:rPr>
          <w:color w:val="000000" w:themeColor="text1"/>
          <w:szCs w:val="20"/>
        </w:rPr>
        <w:t>shutdown</w:t>
      </w:r>
      <w:r w:rsidR="00C00A82" w:rsidRPr="00B44D4C">
        <w:rPr>
          <w:color w:val="000000" w:themeColor="text1"/>
          <w:szCs w:val="20"/>
        </w:rPr>
        <w:t xml:space="preserve"> decision in Ge</w:t>
      </w:r>
      <w:r w:rsidR="00C00A82" w:rsidRPr="00B44D4C">
        <w:rPr>
          <w:color w:val="000000" w:themeColor="text1"/>
          <w:szCs w:val="20"/>
        </w:rPr>
        <w:t>r</w:t>
      </w:r>
      <w:r w:rsidR="00C00A82" w:rsidRPr="00B44D4C">
        <w:rPr>
          <w:color w:val="000000" w:themeColor="text1"/>
          <w:szCs w:val="20"/>
        </w:rPr>
        <w:t>many</w:t>
      </w:r>
      <w:r w:rsidR="00AE68D9" w:rsidRPr="00B44D4C">
        <w:rPr>
          <w:color w:val="000000" w:themeColor="text1"/>
          <w:szCs w:val="20"/>
        </w:rPr>
        <w:t xml:space="preserve"> after the Fukushima disaster</w:t>
      </w:r>
      <w:r w:rsidR="00C00A82" w:rsidRPr="00B44D4C">
        <w:rPr>
          <w:color w:val="000000" w:themeColor="text1"/>
          <w:szCs w:val="20"/>
        </w:rPr>
        <w:t>).</w:t>
      </w:r>
    </w:p>
    <w:permEnd w:id="3"/>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9E74EF" w:rsidP="00E9344E">
      <w:permStart w:id="4" w:edGrp="everyone"/>
      <w:r>
        <w:t xml:space="preserve">We do agree. This list should not be complemented by other examples. On the other hand, it should be made clear from the examples, that in all events an element of </w:t>
      </w:r>
      <w:r w:rsidRPr="009E74EF">
        <w:rPr>
          <w:u w:val="single"/>
        </w:rPr>
        <w:t>intention</w:t>
      </w:r>
      <w:r>
        <w:t xml:space="preserve"> should be included</w:t>
      </w:r>
      <w:r w:rsidR="00B12ACC">
        <w:t>.</w:t>
      </w:r>
      <w:r>
        <w:t xml:space="preserve"> These exa</w:t>
      </w:r>
      <w:r>
        <w:t>m</w:t>
      </w:r>
      <w:r>
        <w:t>ples should not conclude to market manipulative behaviour without the intent of doing so.</w:t>
      </w:r>
    </w:p>
    <w:permEnd w:id="4"/>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B12ACC" w:rsidP="00E9344E">
      <w:permStart w:id="5" w:edGrp="everyone"/>
      <w:r>
        <w:t>Yes, we think so.</w:t>
      </w:r>
    </w:p>
    <w:permEnd w:id="5"/>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6" w:edGrp="everyone"/>
      <w:r>
        <w:t>TYPE YOUR TEXT HERE</w:t>
      </w:r>
    </w:p>
    <w:permEnd w:id="6"/>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7" w:edGrp="everyone"/>
      <w:r>
        <w:t>TYPE YOUR TEXT HERE</w:t>
      </w:r>
    </w:p>
    <w:permEnd w:id="7"/>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w:t>
      </w:r>
      <w:r>
        <w:t>d</w:t>
      </w:r>
      <w:r>
        <w:t>ual information would have no impact on investors' decisions? Please substantiate.</w:t>
      </w:r>
    </w:p>
    <w:p w:rsidR="00E9344E" w:rsidRDefault="00E9344E" w:rsidP="00E9344E"/>
    <w:p w:rsidR="00E9344E" w:rsidRDefault="00E9344E" w:rsidP="00E9344E">
      <w:r>
        <w:t>&lt;ESMA_QUESTION_MAR_TA_5&gt;</w:t>
      </w:r>
    </w:p>
    <w:p w:rsidR="009E74EF" w:rsidRDefault="009E74EF" w:rsidP="00E9344E">
      <w:permStart w:id="8" w:edGrp="everyone"/>
      <w:r>
        <w:t>We have several comme</w:t>
      </w:r>
      <w:r w:rsidR="00B12ACC">
        <w:t xml:space="preserve">nts in respect </w:t>
      </w:r>
      <w:r>
        <w:t>o</w:t>
      </w:r>
      <w:r w:rsidR="00B12ACC">
        <w:t>f</w:t>
      </w:r>
      <w:r>
        <w:t xml:space="preserve"> the proposed threshold.</w:t>
      </w:r>
    </w:p>
    <w:p w:rsidR="009E74EF" w:rsidRDefault="009E74EF" w:rsidP="00E9344E"/>
    <w:p w:rsidR="00573E74" w:rsidRDefault="009E74EF" w:rsidP="000372C0">
      <w:pPr>
        <w:rPr>
          <w:color w:val="000000" w:themeColor="text1"/>
          <w:szCs w:val="20"/>
        </w:rPr>
      </w:pPr>
      <w:r>
        <w:t xml:space="preserve">Firstly, </w:t>
      </w:r>
      <w:r w:rsidR="009D37E8">
        <w:t xml:space="preserve">regarding the second threshold of 1050MW rated thermal input introduced in the consultation paper, </w:t>
      </w:r>
      <w:r>
        <w:t>we believe there is a</w:t>
      </w:r>
      <w:r w:rsidR="00F61B34">
        <w:t xml:space="preserve"> terminology </w:t>
      </w:r>
      <w:r>
        <w:t>misunderstanding</w:t>
      </w:r>
      <w:r w:rsidR="00F61B34">
        <w:t xml:space="preserve"> </w:t>
      </w:r>
      <w:r w:rsidR="00573E74">
        <w:t xml:space="preserve">by </w:t>
      </w:r>
      <w:r w:rsidR="00F61B34">
        <w:t xml:space="preserve">the consultants </w:t>
      </w:r>
      <w:r w:rsidR="000372C0">
        <w:t>i</w:t>
      </w:r>
      <w:r w:rsidR="000372C0" w:rsidRPr="000372C0">
        <w:rPr>
          <w:szCs w:val="20"/>
        </w:rPr>
        <w:t>n respect of the term “rated thermal inpu</w:t>
      </w:r>
      <w:r w:rsidR="000372C0">
        <w:rPr>
          <w:szCs w:val="20"/>
        </w:rPr>
        <w:t xml:space="preserve">t” </w:t>
      </w:r>
      <w:r w:rsidR="00F61B34">
        <w:t xml:space="preserve">which lead to incorrect conversion of </w:t>
      </w:r>
      <w:r w:rsidR="007E0355">
        <w:t xml:space="preserve">the CO2 emission </w:t>
      </w:r>
      <w:r w:rsidR="00F61B34">
        <w:t>threshold</w:t>
      </w:r>
      <w:r w:rsidR="007E0355">
        <w:t xml:space="preserve"> into equiv</w:t>
      </w:r>
      <w:r w:rsidR="007E0355">
        <w:t>a</w:t>
      </w:r>
      <w:r w:rsidR="007E0355">
        <w:t>lent rated thermal input</w:t>
      </w:r>
      <w:r w:rsidR="000372C0">
        <w:t xml:space="preserve"> (cf. </w:t>
      </w:r>
      <w:r w:rsidR="00EA0AF5">
        <w:t xml:space="preserve">Europe Economics </w:t>
      </w:r>
      <w:r w:rsidR="000372C0" w:rsidRPr="000372C0">
        <w:rPr>
          <w:szCs w:val="20"/>
        </w:rPr>
        <w:t>report</w:t>
      </w:r>
      <w:r w:rsidR="00EA0AF5">
        <w:rPr>
          <w:szCs w:val="20"/>
        </w:rPr>
        <w:t xml:space="preserve"> </w:t>
      </w:r>
      <w:proofErr w:type="spellStart"/>
      <w:r w:rsidR="00EA0AF5">
        <w:rPr>
          <w:szCs w:val="20"/>
        </w:rPr>
        <w:t>dd</w:t>
      </w:r>
      <w:proofErr w:type="spellEnd"/>
      <w:r w:rsidR="00EA0AF5">
        <w:rPr>
          <w:szCs w:val="20"/>
        </w:rPr>
        <w:t xml:space="preserve"> 22 May 2014</w:t>
      </w:r>
      <w:r w:rsidR="000372C0">
        <w:rPr>
          <w:szCs w:val="20"/>
        </w:rPr>
        <w:t xml:space="preserve">; </w:t>
      </w:r>
      <w:r w:rsidR="000372C0" w:rsidRPr="000372C0">
        <w:rPr>
          <w:szCs w:val="20"/>
        </w:rPr>
        <w:t>footer 41 on page 24)</w:t>
      </w:r>
      <w:r w:rsidR="000372C0" w:rsidRPr="000372C0">
        <w:rPr>
          <w:rStyle w:val="FootnoteReference"/>
          <w:szCs w:val="20"/>
        </w:rPr>
        <w:footnoteReference w:id="3"/>
      </w:r>
      <w:r w:rsidR="009D37E8">
        <w:rPr>
          <w:szCs w:val="20"/>
        </w:rPr>
        <w:t>, resulting in that the threshold in equivalent MW rated thermal input has been set too low</w:t>
      </w:r>
      <w:r w:rsidR="000372C0" w:rsidRPr="000372C0">
        <w:rPr>
          <w:szCs w:val="20"/>
        </w:rPr>
        <w:t xml:space="preserve">. The consultants consider “rated thermal input” </w:t>
      </w:r>
      <w:r w:rsidR="000372C0" w:rsidRPr="000372C0">
        <w:rPr>
          <w:i/>
          <w:szCs w:val="20"/>
        </w:rPr>
        <w:t>de facto</w:t>
      </w:r>
      <w:r w:rsidR="000372C0" w:rsidRPr="000372C0">
        <w:rPr>
          <w:szCs w:val="20"/>
        </w:rPr>
        <w:t xml:space="preserve"> similar to “capacity” used in the ACER guidelines regarding REMIT. This is not correct. </w:t>
      </w:r>
      <w:r w:rsidR="000372C0" w:rsidRPr="000372C0">
        <w:rPr>
          <w:color w:val="000000"/>
          <w:szCs w:val="20"/>
        </w:rPr>
        <w:t>Rated thermal input refers to the nominal energy introduced in a power plant, i.e.: the amount of fuel converted in energy value (MW/h thermal), whereby the equivalent of “capacity” as used in the ACER guidelines should be “net electrical output”, being the output energy of the power plant or the electrical energy i</w:t>
      </w:r>
      <w:r w:rsidR="000372C0" w:rsidRPr="000372C0">
        <w:rPr>
          <w:color w:val="000000"/>
          <w:szCs w:val="20"/>
        </w:rPr>
        <w:t>n</w:t>
      </w:r>
      <w:r w:rsidR="000372C0" w:rsidRPr="000372C0">
        <w:rPr>
          <w:color w:val="000000"/>
          <w:szCs w:val="20"/>
        </w:rPr>
        <w:t>jected in the electrical grid (</w:t>
      </w:r>
      <w:proofErr w:type="spellStart"/>
      <w:r w:rsidR="000372C0" w:rsidRPr="000372C0">
        <w:rPr>
          <w:color w:val="000000"/>
          <w:szCs w:val="20"/>
        </w:rPr>
        <w:t>MWh</w:t>
      </w:r>
      <w:proofErr w:type="spellEnd"/>
      <w:r w:rsidR="000372C0" w:rsidRPr="000372C0">
        <w:rPr>
          <w:color w:val="000000"/>
          <w:szCs w:val="20"/>
        </w:rPr>
        <w:t xml:space="preserve"> electrical). [Net electrical output = rated thermal input x unit efficiency ([30%-&gt;60%]) + extra energy losses before grid injection typically due to auxiliary services as pumps, losses in </w:t>
      </w:r>
      <w:r w:rsidR="000372C0" w:rsidRPr="00B44D4C">
        <w:rPr>
          <w:color w:val="000000" w:themeColor="text1"/>
          <w:szCs w:val="20"/>
        </w:rPr>
        <w:t>transform</w:t>
      </w:r>
      <w:r w:rsidR="00573E74">
        <w:rPr>
          <w:color w:val="000000" w:themeColor="text1"/>
          <w:szCs w:val="20"/>
        </w:rPr>
        <w:t>e</w:t>
      </w:r>
      <w:r w:rsidR="000372C0" w:rsidRPr="00B44D4C">
        <w:rPr>
          <w:color w:val="000000" w:themeColor="text1"/>
          <w:szCs w:val="20"/>
        </w:rPr>
        <w:t>rs, etc). Roughly speaking</w:t>
      </w:r>
      <w:r w:rsidR="0018503F" w:rsidRPr="00B44D4C">
        <w:rPr>
          <w:color w:val="000000" w:themeColor="text1"/>
          <w:szCs w:val="20"/>
        </w:rPr>
        <w:t xml:space="preserve"> (and without considering technology-specifics)</w:t>
      </w:r>
      <w:r w:rsidR="000372C0" w:rsidRPr="00B44D4C">
        <w:rPr>
          <w:color w:val="000000" w:themeColor="text1"/>
          <w:szCs w:val="20"/>
        </w:rPr>
        <w:t xml:space="preserve">, </w:t>
      </w:r>
      <w:r w:rsidR="00B729F8" w:rsidRPr="00B44D4C">
        <w:rPr>
          <w:color w:val="000000" w:themeColor="text1"/>
          <w:szCs w:val="20"/>
        </w:rPr>
        <w:t>the propo</w:t>
      </w:r>
      <w:r w:rsidR="00B729F8" w:rsidRPr="00B44D4C">
        <w:rPr>
          <w:color w:val="000000" w:themeColor="text1"/>
          <w:szCs w:val="20"/>
        </w:rPr>
        <w:t>r</w:t>
      </w:r>
      <w:r w:rsidR="00B729F8" w:rsidRPr="00B44D4C">
        <w:rPr>
          <w:color w:val="000000" w:themeColor="text1"/>
          <w:szCs w:val="20"/>
        </w:rPr>
        <w:t xml:space="preserve">tion is </w:t>
      </w:r>
      <w:r w:rsidR="0018503F" w:rsidRPr="00B44D4C">
        <w:rPr>
          <w:color w:val="000000" w:themeColor="text1"/>
          <w:szCs w:val="20"/>
        </w:rPr>
        <w:t>ap</w:t>
      </w:r>
      <w:r w:rsidR="00573E74">
        <w:rPr>
          <w:color w:val="000000" w:themeColor="text1"/>
          <w:szCs w:val="20"/>
        </w:rPr>
        <w:t>p</w:t>
      </w:r>
      <w:r w:rsidR="0018503F" w:rsidRPr="00B44D4C">
        <w:rPr>
          <w:color w:val="000000" w:themeColor="text1"/>
          <w:szCs w:val="20"/>
        </w:rPr>
        <w:t xml:space="preserve">rox. </w:t>
      </w:r>
      <w:r w:rsidR="00B729F8" w:rsidRPr="00B44D4C">
        <w:rPr>
          <w:color w:val="000000" w:themeColor="text1"/>
          <w:szCs w:val="20"/>
        </w:rPr>
        <w:t xml:space="preserve">½, i.e. for 1050 MW of capacity (being </w:t>
      </w:r>
      <w:r w:rsidR="000372C0" w:rsidRPr="00B44D4C">
        <w:rPr>
          <w:color w:val="000000" w:themeColor="text1"/>
          <w:szCs w:val="20"/>
        </w:rPr>
        <w:t xml:space="preserve">net electrical output) </w:t>
      </w:r>
      <w:r w:rsidR="00B729F8" w:rsidRPr="00B44D4C">
        <w:rPr>
          <w:color w:val="000000" w:themeColor="text1"/>
          <w:szCs w:val="20"/>
        </w:rPr>
        <w:t>about 2</w:t>
      </w:r>
      <w:r w:rsidR="000372C0" w:rsidRPr="00B44D4C">
        <w:rPr>
          <w:color w:val="000000" w:themeColor="text1"/>
          <w:szCs w:val="20"/>
        </w:rPr>
        <w:t>100 MW rated thermal input</w:t>
      </w:r>
      <w:r w:rsidR="00B729F8" w:rsidRPr="00B44D4C">
        <w:rPr>
          <w:color w:val="000000" w:themeColor="text1"/>
          <w:szCs w:val="20"/>
        </w:rPr>
        <w:t xml:space="preserve"> is needed</w:t>
      </w:r>
      <w:r w:rsidR="000372C0" w:rsidRPr="00B44D4C">
        <w:rPr>
          <w:color w:val="000000" w:themeColor="text1"/>
          <w:szCs w:val="20"/>
        </w:rPr>
        <w:t>.</w:t>
      </w:r>
      <w:r w:rsidR="0018503F" w:rsidRPr="00B44D4C">
        <w:rPr>
          <w:color w:val="000000" w:themeColor="text1"/>
          <w:szCs w:val="20"/>
        </w:rPr>
        <w:t xml:space="preserve"> </w:t>
      </w:r>
    </w:p>
    <w:p w:rsidR="00F61B34" w:rsidRPr="00B44D4C" w:rsidRDefault="0018503F" w:rsidP="000372C0">
      <w:pPr>
        <w:rPr>
          <w:color w:val="000000" w:themeColor="text1"/>
          <w:szCs w:val="20"/>
        </w:rPr>
      </w:pPr>
      <w:r w:rsidRPr="00B44D4C">
        <w:rPr>
          <w:color w:val="000000" w:themeColor="text1"/>
          <w:szCs w:val="20"/>
        </w:rPr>
        <w:t>Based on a more normal utilisation factor of 70-80%, we suggest</w:t>
      </w:r>
      <w:r w:rsidR="00573E74">
        <w:rPr>
          <w:color w:val="000000" w:themeColor="text1"/>
          <w:szCs w:val="20"/>
        </w:rPr>
        <w:t xml:space="preserve"> a</w:t>
      </w:r>
      <w:r w:rsidRPr="00B44D4C">
        <w:rPr>
          <w:color w:val="000000" w:themeColor="text1"/>
          <w:szCs w:val="20"/>
        </w:rPr>
        <w:t xml:space="preserve"> threshold in the 2500-3000MW range and consider that this level would correctly align with the proposed 6 million tonnes CO2.</w:t>
      </w:r>
    </w:p>
    <w:p w:rsidR="000372C0" w:rsidRDefault="00485F0A" w:rsidP="000372C0">
      <w:pPr>
        <w:rPr>
          <w:szCs w:val="20"/>
        </w:rPr>
      </w:pPr>
      <w:r w:rsidRPr="00B44D4C">
        <w:rPr>
          <w:color w:val="000000" w:themeColor="text1"/>
          <w:szCs w:val="20"/>
        </w:rPr>
        <w:t>Additionally, the conversion of 6</w:t>
      </w:r>
      <w:r w:rsidR="0009637C">
        <w:rPr>
          <w:color w:val="000000" w:themeColor="text1"/>
          <w:szCs w:val="20"/>
        </w:rPr>
        <w:t xml:space="preserve"> million </w:t>
      </w:r>
      <w:r w:rsidRPr="00B44D4C">
        <w:rPr>
          <w:color w:val="000000" w:themeColor="text1"/>
          <w:szCs w:val="20"/>
        </w:rPr>
        <w:t>ton</w:t>
      </w:r>
      <w:r w:rsidR="0009637C">
        <w:rPr>
          <w:color w:val="000000" w:themeColor="text1"/>
          <w:szCs w:val="20"/>
        </w:rPr>
        <w:t>nes of</w:t>
      </w:r>
      <w:r w:rsidRPr="00B44D4C">
        <w:rPr>
          <w:color w:val="000000" w:themeColor="text1"/>
          <w:szCs w:val="20"/>
        </w:rPr>
        <w:t xml:space="preserve"> CO2 emissions has been calculated on the basis of a</w:t>
      </w:r>
      <w:r w:rsidRPr="00B44D4C">
        <w:rPr>
          <w:color w:val="000000" w:themeColor="text1"/>
          <w:szCs w:val="20"/>
        </w:rPr>
        <w:t>s</w:t>
      </w:r>
      <w:r w:rsidRPr="00B44D4C">
        <w:rPr>
          <w:color w:val="000000" w:themeColor="text1"/>
          <w:szCs w:val="20"/>
        </w:rPr>
        <w:t>sumptions</w:t>
      </w:r>
      <w:r w:rsidR="004B5D7C" w:rsidRPr="00B44D4C">
        <w:rPr>
          <w:color w:val="000000" w:themeColor="text1"/>
          <w:szCs w:val="20"/>
        </w:rPr>
        <w:t xml:space="preserve"> (the average emission metrics</w:t>
      </w:r>
      <w:r w:rsidR="004B5D7C">
        <w:rPr>
          <w:szCs w:val="20"/>
        </w:rPr>
        <w:t xml:space="preserve"> reported in a MIT study)</w:t>
      </w:r>
      <w:r>
        <w:rPr>
          <w:szCs w:val="20"/>
        </w:rPr>
        <w:t>. It should be clear whether these are fixed nominal assumptions or that these are market assumptions which may vary in the future (taking into account technological evolutions, etc.)</w:t>
      </w:r>
      <w:r w:rsidR="003F5DFF">
        <w:rPr>
          <w:szCs w:val="20"/>
        </w:rPr>
        <w:t xml:space="preserve"> and as such results in varying future thresholds.</w:t>
      </w:r>
    </w:p>
    <w:p w:rsidR="00485F0A" w:rsidRPr="000372C0" w:rsidRDefault="00485F0A" w:rsidP="000372C0">
      <w:pPr>
        <w:rPr>
          <w:szCs w:val="20"/>
        </w:rPr>
      </w:pPr>
    </w:p>
    <w:p w:rsidR="00F63F50" w:rsidRPr="00F63F50" w:rsidRDefault="009E74EF" w:rsidP="008D741F">
      <w:pPr>
        <w:rPr>
          <w:rFonts w:cs="Calibri"/>
          <w:szCs w:val="20"/>
          <w:lang w:val="en-US"/>
        </w:rPr>
      </w:pPr>
      <w:r>
        <w:t xml:space="preserve">Secondly, we’re uncertain regarding the </w:t>
      </w:r>
      <w:r w:rsidR="00245F2B">
        <w:t xml:space="preserve">exact scope of </w:t>
      </w:r>
      <w:r>
        <w:t xml:space="preserve">entities which should be considered as </w:t>
      </w:r>
      <w:r w:rsidR="0009637C">
        <w:t>“</w:t>
      </w:r>
      <w:r>
        <w:t>EAMP</w:t>
      </w:r>
      <w:r w:rsidR="0009637C">
        <w:t>”</w:t>
      </w:r>
      <w:r>
        <w:t xml:space="preserve"> and </w:t>
      </w:r>
      <w:r w:rsidR="008D741F">
        <w:t>which are not exempted from the disclosure</w:t>
      </w:r>
      <w:r>
        <w:t>.</w:t>
      </w:r>
      <w:r w:rsidR="00245F2B">
        <w:t xml:space="preserve"> The level 1 text defines </w:t>
      </w:r>
      <w:r w:rsidR="0009637C">
        <w:t xml:space="preserve">an </w:t>
      </w:r>
      <w:r w:rsidR="00245F2B">
        <w:t>EAMP as “</w:t>
      </w:r>
      <w:r w:rsidR="003F5DFF">
        <w:rPr>
          <w:i/>
        </w:rPr>
        <w:t>any person who enters into transactions, including the placing or orders to trade, in emission allowances, auctioned products based thereon, or derivatives thereof, and who does not benefit from an exemption pursuant to the second subparagraph of article 17(2).”</w:t>
      </w:r>
      <w:r w:rsidR="00245F2B">
        <w:t xml:space="preserve">, whereby </w:t>
      </w:r>
      <w:r w:rsidR="008D741F">
        <w:t xml:space="preserve">person means </w:t>
      </w:r>
      <w:r w:rsidR="0009637C">
        <w:t xml:space="preserve">a </w:t>
      </w:r>
      <w:r w:rsidR="008D741F">
        <w:t xml:space="preserve">legal or physical person. In this respect, we do </w:t>
      </w:r>
      <w:r w:rsidR="00F63F50" w:rsidRPr="00F63F50">
        <w:rPr>
          <w:rFonts w:cs="Calibri"/>
          <w:szCs w:val="20"/>
          <w:highlight w:val="yellow"/>
          <w:lang w:val="en-US"/>
        </w:rPr>
        <w:t>not understand or agree with the statement that "</w:t>
      </w:r>
      <w:r w:rsidR="00F63F50" w:rsidRPr="00F63F50">
        <w:rPr>
          <w:rFonts w:cs="Calibri"/>
          <w:i/>
          <w:szCs w:val="20"/>
          <w:highlight w:val="yellow"/>
          <w:lang w:val="en-US"/>
        </w:rPr>
        <w:t>such trading entities, which are owned or co</w:t>
      </w:r>
      <w:r w:rsidR="00F63F50" w:rsidRPr="00F63F50">
        <w:rPr>
          <w:rFonts w:cs="Calibri"/>
          <w:i/>
          <w:szCs w:val="20"/>
          <w:highlight w:val="yellow"/>
          <w:lang w:val="en-US"/>
        </w:rPr>
        <w:t>n</w:t>
      </w:r>
      <w:r w:rsidR="00F63F50" w:rsidRPr="00F63F50">
        <w:rPr>
          <w:rFonts w:cs="Calibri"/>
          <w:i/>
          <w:szCs w:val="20"/>
          <w:highlight w:val="yellow"/>
          <w:lang w:val="en-US"/>
        </w:rPr>
        <w:t xml:space="preserve">trolled or otherwise related to companies with physical operations as specified in Directive 2003/87/EC which in turn do not qualify for the exemption under the second paragraph of Article 17(2), </w:t>
      </w:r>
      <w:r w:rsidR="00F63F50" w:rsidRPr="008D741F">
        <w:rPr>
          <w:rFonts w:cs="Calibri"/>
          <w:i/>
          <w:szCs w:val="20"/>
          <w:highlight w:val="yellow"/>
          <w:u w:val="single"/>
          <w:lang w:val="en-US"/>
        </w:rPr>
        <w:t>would also satisfy the definition of an EAMP</w:t>
      </w:r>
      <w:r w:rsidR="00F63F50" w:rsidRPr="00F63F50">
        <w:rPr>
          <w:rFonts w:cs="Calibri"/>
          <w:i/>
          <w:szCs w:val="20"/>
          <w:highlight w:val="yellow"/>
          <w:lang w:val="en-US"/>
        </w:rPr>
        <w:t xml:space="preserve"> as a sub-set of the participants in the emission allowances markets</w:t>
      </w:r>
      <w:r w:rsidR="00F63F50" w:rsidRPr="00F63F50">
        <w:rPr>
          <w:rFonts w:cs="Calibri"/>
          <w:szCs w:val="20"/>
          <w:highlight w:val="yellow"/>
          <w:lang w:val="en-US"/>
        </w:rPr>
        <w:t>." (CP p. 24, N° 31 in fine). We are of the opinion that any disclosure obligation can only rest on EAMP</w:t>
      </w:r>
      <w:r w:rsidR="008D741F">
        <w:rPr>
          <w:rFonts w:cs="Calibri"/>
          <w:szCs w:val="20"/>
          <w:highlight w:val="yellow"/>
          <w:lang w:val="en-US"/>
        </w:rPr>
        <w:t>s</w:t>
      </w:r>
      <w:r w:rsidR="00F63F50" w:rsidRPr="00F63F50">
        <w:rPr>
          <w:rFonts w:cs="Calibri"/>
          <w:szCs w:val="20"/>
          <w:highlight w:val="yellow"/>
          <w:lang w:val="en-US"/>
        </w:rPr>
        <w:t xml:space="preserve"> with </w:t>
      </w:r>
      <w:r w:rsidR="00F63F50" w:rsidRPr="008D741F">
        <w:rPr>
          <w:rFonts w:cs="Calibri"/>
          <w:szCs w:val="20"/>
          <w:highlight w:val="yellow"/>
          <w:u w:val="single"/>
          <w:lang w:val="en-US"/>
        </w:rPr>
        <w:t>physical operations</w:t>
      </w:r>
      <w:r w:rsidR="008D741F">
        <w:rPr>
          <w:rFonts w:cs="Calibri"/>
          <w:szCs w:val="20"/>
          <w:highlight w:val="yellow"/>
          <w:u w:val="single"/>
          <w:lang w:val="en-US"/>
        </w:rPr>
        <w:t>.</w:t>
      </w:r>
      <w:r w:rsidR="008D741F" w:rsidRPr="008D741F">
        <w:rPr>
          <w:rFonts w:cs="Calibri"/>
          <w:szCs w:val="20"/>
          <w:highlight w:val="yellow"/>
          <w:lang w:val="en-US"/>
        </w:rPr>
        <w:t xml:space="preserve"> A</w:t>
      </w:r>
      <w:r w:rsidR="00F63F50" w:rsidRPr="00F63F50">
        <w:rPr>
          <w:rFonts w:cs="Calibri"/>
          <w:szCs w:val="20"/>
          <w:highlight w:val="yellow"/>
          <w:lang w:val="en-US"/>
        </w:rPr>
        <w:t xml:space="preserve"> clarification </w:t>
      </w:r>
      <w:r w:rsidR="00FC0FD8">
        <w:rPr>
          <w:rFonts w:cs="Calibri"/>
          <w:szCs w:val="20"/>
          <w:highlight w:val="yellow"/>
          <w:lang w:val="en-US"/>
        </w:rPr>
        <w:t xml:space="preserve">in this respect </w:t>
      </w:r>
      <w:r w:rsidR="00F63F50" w:rsidRPr="00F63F50">
        <w:rPr>
          <w:rFonts w:cs="Calibri"/>
          <w:szCs w:val="20"/>
          <w:highlight w:val="yellow"/>
          <w:lang w:val="en-US"/>
        </w:rPr>
        <w:t>would be necessary.</w:t>
      </w:r>
    </w:p>
    <w:p w:rsidR="00245F2B" w:rsidRPr="00F63F50" w:rsidRDefault="00245F2B" w:rsidP="00E9344E">
      <w:pPr>
        <w:rPr>
          <w:szCs w:val="20"/>
          <w:lang w:val="en-US"/>
        </w:rPr>
      </w:pPr>
    </w:p>
    <w:p w:rsidR="009E74EF" w:rsidRDefault="00245F2B" w:rsidP="00E9344E">
      <w:r w:rsidRPr="00F63F50">
        <w:rPr>
          <w:szCs w:val="20"/>
        </w:rPr>
        <w:t>It should also be noted that w</w:t>
      </w:r>
      <w:r w:rsidR="009E74EF" w:rsidRPr="00F63F50">
        <w:rPr>
          <w:szCs w:val="20"/>
        </w:rPr>
        <w:t>ithin the energy</w:t>
      </w:r>
      <w:r w:rsidR="009E74EF">
        <w:t xml:space="preserve"> market, the current definition of EAMP (as subcategory of market participants active in the emission allowances markets) will not </w:t>
      </w:r>
      <w:r w:rsidR="00FC0FD8">
        <w:t xml:space="preserve">necessarily </w:t>
      </w:r>
      <w:r w:rsidR="009E74EF">
        <w:t xml:space="preserve">capture those market participants with </w:t>
      </w:r>
      <w:r w:rsidR="00F61B34">
        <w:t xml:space="preserve">most </w:t>
      </w:r>
      <w:r w:rsidR="009E74EF">
        <w:t xml:space="preserve">valuable information </w:t>
      </w:r>
      <w:r w:rsidR="00F61B34">
        <w:t xml:space="preserve">with a </w:t>
      </w:r>
      <w:r w:rsidR="009E74EF">
        <w:t>potential</w:t>
      </w:r>
      <w:r w:rsidR="00F61B34">
        <w:t xml:space="preserve"> </w:t>
      </w:r>
      <w:r w:rsidR="009E74EF">
        <w:t xml:space="preserve">price </w:t>
      </w:r>
      <w:r w:rsidR="00F61B34">
        <w:t xml:space="preserve">impact </w:t>
      </w:r>
      <w:r w:rsidR="009E74EF">
        <w:t>o</w:t>
      </w:r>
      <w:r w:rsidR="0009637C">
        <w:t>n</w:t>
      </w:r>
      <w:r w:rsidR="009E74EF">
        <w:t xml:space="preserve"> emission allowances and </w:t>
      </w:r>
      <w:r w:rsidR="00F61B34">
        <w:t xml:space="preserve">/or derivative products thereof. This would be the case of </w:t>
      </w:r>
      <w:r>
        <w:t xml:space="preserve">EAMPs operating or owning </w:t>
      </w:r>
      <w:r w:rsidR="00F61B34">
        <w:t>non-thermal produ</w:t>
      </w:r>
      <w:r w:rsidR="00F61B34">
        <w:t>c</w:t>
      </w:r>
      <w:r w:rsidR="00F61B34">
        <w:t>tion units (</w:t>
      </w:r>
      <w:r w:rsidR="0009637C">
        <w:t>e.g.</w:t>
      </w:r>
      <w:r w:rsidR="00F61B34">
        <w:t xml:space="preserve"> nukes, RES production units, etc.)</w:t>
      </w:r>
      <w:r w:rsidR="00FC0FD8">
        <w:t xml:space="preserve"> or </w:t>
      </w:r>
      <w:r w:rsidR="00F61B34">
        <w:t xml:space="preserve">thermal units that </w:t>
      </w:r>
      <w:r w:rsidR="0009637C">
        <w:t xml:space="preserve">are </w:t>
      </w:r>
      <w:r w:rsidR="00F61B34">
        <w:t xml:space="preserve">mothballed in </w:t>
      </w:r>
      <w:r w:rsidR="0009637C">
        <w:t>one</w:t>
      </w:r>
      <w:r w:rsidR="00F61B34">
        <w:t xml:space="preserve"> year and </w:t>
      </w:r>
      <w:r w:rsidR="0009637C">
        <w:t xml:space="preserve">scheduled to </w:t>
      </w:r>
      <w:r w:rsidR="00F61B34">
        <w:t>come back online</w:t>
      </w:r>
      <w:r w:rsidR="0009637C">
        <w:t xml:space="preserve"> the year thereafter</w:t>
      </w:r>
      <w:r w:rsidR="00F61B34">
        <w:t>, etc.</w:t>
      </w:r>
    </w:p>
    <w:p w:rsidR="00F61B34" w:rsidRPr="00B44D4C" w:rsidRDefault="00F61B34" w:rsidP="00E9344E">
      <w:pPr>
        <w:rPr>
          <w:color w:val="000000" w:themeColor="text1"/>
        </w:rPr>
      </w:pPr>
      <w:r>
        <w:t xml:space="preserve">Information on the (un)availability of these units </w:t>
      </w:r>
      <w:r w:rsidR="00245F2B">
        <w:t>(which are not emitting CO2</w:t>
      </w:r>
      <w:r w:rsidR="00FC0FD8">
        <w:t xml:space="preserve"> and thus not captured by any threshold</w:t>
      </w:r>
      <w:r w:rsidR="00245F2B">
        <w:t xml:space="preserve">) </w:t>
      </w:r>
      <w:r>
        <w:t xml:space="preserve">will likely have a bigger impact on the </w:t>
      </w:r>
      <w:r w:rsidR="001A7B9B">
        <w:t>prices in the emission allowances market</w:t>
      </w:r>
      <w:r>
        <w:t xml:space="preserve"> than the information on emitting energy producers.</w:t>
      </w:r>
      <w:r w:rsidR="00245F2B">
        <w:t xml:space="preserve"> </w:t>
      </w:r>
      <w:r w:rsidR="00100DAE">
        <w:t>I</w:t>
      </w:r>
      <w:r w:rsidR="00100DAE">
        <w:rPr>
          <w:color w:val="000000"/>
          <w:szCs w:val="20"/>
        </w:rPr>
        <w:t>t should be noted that the production capacity i</w:t>
      </w:r>
      <w:r w:rsidR="00100DAE">
        <w:rPr>
          <w:color w:val="000000"/>
          <w:szCs w:val="20"/>
        </w:rPr>
        <w:t>m</w:t>
      </w:r>
      <w:r w:rsidR="00100DAE">
        <w:rPr>
          <w:color w:val="000000"/>
          <w:szCs w:val="20"/>
        </w:rPr>
        <w:t xml:space="preserve">pacted by the outage of such non-thermal </w:t>
      </w:r>
      <w:r w:rsidR="001A7B9B">
        <w:rPr>
          <w:color w:val="000000"/>
          <w:szCs w:val="20"/>
        </w:rPr>
        <w:t xml:space="preserve">facility </w:t>
      </w:r>
      <w:r w:rsidR="00100DAE">
        <w:rPr>
          <w:color w:val="000000"/>
          <w:szCs w:val="20"/>
        </w:rPr>
        <w:t xml:space="preserve">will most probably be </w:t>
      </w:r>
      <w:r w:rsidR="00100DAE" w:rsidRPr="00B44D4C">
        <w:rPr>
          <w:color w:val="000000" w:themeColor="text1"/>
          <w:szCs w:val="20"/>
        </w:rPr>
        <w:t xml:space="preserve">covered in the market by a carbon emitting </w:t>
      </w:r>
      <w:r w:rsidR="001A7B9B">
        <w:rPr>
          <w:color w:val="000000" w:themeColor="text1"/>
          <w:szCs w:val="20"/>
        </w:rPr>
        <w:t>facility</w:t>
      </w:r>
      <w:r w:rsidR="00100DAE" w:rsidRPr="00B44D4C">
        <w:rPr>
          <w:color w:val="000000" w:themeColor="text1"/>
          <w:szCs w:val="20"/>
        </w:rPr>
        <w:t xml:space="preserve">; and thus impacting the level of allowances needed; whereby the capacity of a carbon emitting </w:t>
      </w:r>
      <w:r w:rsidR="001A7B9B">
        <w:rPr>
          <w:color w:val="000000" w:themeColor="text1"/>
          <w:szCs w:val="20"/>
        </w:rPr>
        <w:t>facility</w:t>
      </w:r>
      <w:r w:rsidR="00100DAE" w:rsidRPr="00B44D4C">
        <w:rPr>
          <w:color w:val="000000" w:themeColor="text1"/>
          <w:szCs w:val="20"/>
        </w:rPr>
        <w:t xml:space="preserve"> impacted by an outage will most likely be replaced by </w:t>
      </w:r>
      <w:r w:rsidR="001A7B9B">
        <w:rPr>
          <w:color w:val="000000" w:themeColor="text1"/>
          <w:szCs w:val="20"/>
        </w:rPr>
        <w:t>an</w:t>
      </w:r>
      <w:r w:rsidR="00100DAE" w:rsidRPr="00B44D4C">
        <w:rPr>
          <w:color w:val="000000" w:themeColor="text1"/>
          <w:szCs w:val="20"/>
        </w:rPr>
        <w:t xml:space="preserve">other carbon emitting </w:t>
      </w:r>
      <w:r w:rsidR="001A7B9B">
        <w:rPr>
          <w:color w:val="000000" w:themeColor="text1"/>
          <w:szCs w:val="20"/>
        </w:rPr>
        <w:t>facility</w:t>
      </w:r>
      <w:r w:rsidR="00100DAE" w:rsidRPr="00B44D4C">
        <w:rPr>
          <w:color w:val="000000" w:themeColor="text1"/>
          <w:szCs w:val="20"/>
        </w:rPr>
        <w:t xml:space="preserve"> (with more or less advanced technology),without any expected price impact. Therefore, it would have been more appropriate to impose disclosure obligations on any legal entity owning or opera</w:t>
      </w:r>
      <w:r w:rsidR="00100DAE" w:rsidRPr="00B44D4C">
        <w:rPr>
          <w:color w:val="000000" w:themeColor="text1"/>
          <w:szCs w:val="20"/>
        </w:rPr>
        <w:t>t</w:t>
      </w:r>
      <w:r w:rsidR="00100DAE" w:rsidRPr="00B44D4C">
        <w:rPr>
          <w:color w:val="000000" w:themeColor="text1"/>
          <w:szCs w:val="20"/>
        </w:rPr>
        <w:t>ing assets, the outage of which might potentially impact price formation</w:t>
      </w:r>
      <w:r w:rsidR="001A7B9B">
        <w:rPr>
          <w:color w:val="000000" w:themeColor="text1"/>
          <w:szCs w:val="20"/>
        </w:rPr>
        <w:t xml:space="preserve"> i</w:t>
      </w:r>
      <w:r w:rsidR="00100DAE" w:rsidRPr="00B44D4C">
        <w:rPr>
          <w:color w:val="000000" w:themeColor="text1"/>
          <w:szCs w:val="20"/>
        </w:rPr>
        <w:t>n the emission allowances ma</w:t>
      </w:r>
      <w:r w:rsidR="00100DAE" w:rsidRPr="00B44D4C">
        <w:rPr>
          <w:color w:val="000000" w:themeColor="text1"/>
          <w:szCs w:val="20"/>
        </w:rPr>
        <w:t>r</w:t>
      </w:r>
      <w:r w:rsidR="00100DAE" w:rsidRPr="00B44D4C">
        <w:rPr>
          <w:color w:val="000000" w:themeColor="text1"/>
          <w:szCs w:val="20"/>
        </w:rPr>
        <w:t>kets on an event-basis (</w:t>
      </w:r>
      <w:proofErr w:type="spellStart"/>
      <w:r w:rsidR="00100DAE" w:rsidRPr="00B44D4C">
        <w:rPr>
          <w:color w:val="000000" w:themeColor="text1"/>
          <w:szCs w:val="20"/>
        </w:rPr>
        <w:t>eg</w:t>
      </w:r>
      <w:proofErr w:type="spellEnd"/>
      <w:r w:rsidR="00100DAE" w:rsidRPr="00B44D4C">
        <w:rPr>
          <w:color w:val="000000" w:themeColor="text1"/>
          <w:szCs w:val="20"/>
        </w:rPr>
        <w:t xml:space="preserve"> the nuclear shutdown decision in Germany after the Fukushima disaster).</w:t>
      </w:r>
    </w:p>
    <w:p w:rsidR="00F61B34" w:rsidRPr="00B44D4C" w:rsidRDefault="00F61B34" w:rsidP="00E9344E">
      <w:pPr>
        <w:rPr>
          <w:color w:val="000000" w:themeColor="text1"/>
        </w:rPr>
      </w:pPr>
    </w:p>
    <w:p w:rsidR="000F2D40" w:rsidRDefault="009E74EF" w:rsidP="00E9344E">
      <w:r>
        <w:t xml:space="preserve">Thirdly, </w:t>
      </w:r>
      <w:r w:rsidR="00217CC0">
        <w:t xml:space="preserve">as stated above, </w:t>
      </w:r>
      <w:r>
        <w:t>we believe an event-based approach</w:t>
      </w:r>
      <w:r w:rsidR="004219CE">
        <w:t xml:space="preserve"> with an</w:t>
      </w:r>
      <w:r>
        <w:t xml:space="preserve"> event-based threshold </w:t>
      </w:r>
      <w:r w:rsidR="00E63D8F">
        <w:t>at install</w:t>
      </w:r>
      <w:r w:rsidR="00E63D8F">
        <w:t>a</w:t>
      </w:r>
      <w:r w:rsidR="00E63D8F">
        <w:t xml:space="preserve">tion level </w:t>
      </w:r>
      <w:r>
        <w:t>would be far more appropriate</w:t>
      </w:r>
      <w:r w:rsidR="00E63D8F">
        <w:t xml:space="preserve"> and useful</w:t>
      </w:r>
      <w:r>
        <w:t xml:space="preserve"> than the proposed absolute threshold of </w:t>
      </w:r>
      <w:r w:rsidR="004219CE">
        <w:t xml:space="preserve">tonnes </w:t>
      </w:r>
      <w:r>
        <w:t>CO2 emi</w:t>
      </w:r>
      <w:r>
        <w:t>s</w:t>
      </w:r>
      <w:r>
        <w:t>sions and rated thermal input.</w:t>
      </w:r>
      <w:r w:rsidR="0099776D">
        <w:t xml:space="preserve"> </w:t>
      </w:r>
    </w:p>
    <w:p w:rsidR="004B5D7C" w:rsidRDefault="004B5D7C" w:rsidP="00E9344E">
      <w:r>
        <w:t xml:space="preserve">In this respect, it should be noted that the proposed threshold is set at legal entity level. As correctly stated in the </w:t>
      </w:r>
      <w:r w:rsidR="00E63D8F">
        <w:t>consultant’s</w:t>
      </w:r>
      <w:r>
        <w:t xml:space="preserve"> report, in the utility sector a legal entity is often operator and/or owner of a number of</w:t>
      </w:r>
      <w:r w:rsidR="002865DD">
        <w:t xml:space="preserve"> smaller</w:t>
      </w:r>
      <w:r>
        <w:t xml:space="preserve"> </w:t>
      </w:r>
      <w:r w:rsidR="00E63D8F">
        <w:t xml:space="preserve">carbon emitting and non-emitting </w:t>
      </w:r>
      <w:r>
        <w:t>installations</w:t>
      </w:r>
      <w:r w:rsidR="002865DD">
        <w:t>, operating independent from one a</w:t>
      </w:r>
      <w:r w:rsidR="002865DD">
        <w:t>n</w:t>
      </w:r>
      <w:r w:rsidR="002865DD">
        <w:t>other,</w:t>
      </w:r>
      <w:r>
        <w:t xml:space="preserve"> with average emissions per installation to be relatively small compared to the average emissions per </w:t>
      </w:r>
      <w:r w:rsidR="002865DD">
        <w:t>legal entity</w:t>
      </w:r>
      <w:r>
        <w:t xml:space="preserve">. Setting the threshold at </w:t>
      </w:r>
      <w:r w:rsidR="002865DD">
        <w:t>legal entity</w:t>
      </w:r>
      <w:r>
        <w:t xml:space="preserve"> level will lead to disclosure of a lot of non-relevant info</w:t>
      </w:r>
      <w:r>
        <w:t>r</w:t>
      </w:r>
      <w:r>
        <w:t xml:space="preserve">mation on smaller installations which would on itself have no impact at all on the prices </w:t>
      </w:r>
      <w:r w:rsidR="004219CE">
        <w:t>in</w:t>
      </w:r>
      <w:r>
        <w:t xml:space="preserve"> the emission allo</w:t>
      </w:r>
      <w:r>
        <w:t>w</w:t>
      </w:r>
      <w:r>
        <w:t>ances markets.</w:t>
      </w:r>
      <w:r w:rsidR="002865DD">
        <w:t xml:space="preserve"> </w:t>
      </w:r>
      <w:r w:rsidR="00E63D8F">
        <w:t xml:space="preserve">This </w:t>
      </w:r>
      <w:r w:rsidR="004219CE">
        <w:t>would</w:t>
      </w:r>
      <w:r w:rsidR="00E63D8F">
        <w:t xml:space="preserve"> go against the </w:t>
      </w:r>
      <w:r w:rsidR="004219CE">
        <w:t>spirit of</w:t>
      </w:r>
      <w:r w:rsidR="00E63D8F">
        <w:t xml:space="preserve"> and goal sought </w:t>
      </w:r>
      <w:r w:rsidR="004219CE">
        <w:t>by</w:t>
      </w:r>
      <w:r w:rsidR="00E63D8F">
        <w:t xml:space="preserve"> MAR. </w:t>
      </w:r>
      <w:r w:rsidR="002865DD">
        <w:t>Therefore, we suggest to set the threshold or at installation level (on an event-basis) or introduce a second minimum MW threshold per installation before the disclosure threshold takes effect.</w:t>
      </w:r>
    </w:p>
    <w:p w:rsidR="004B5D7C" w:rsidRDefault="002865DD" w:rsidP="00E9344E">
      <w:pPr>
        <w:rPr>
          <w:lang w:val="en-US"/>
        </w:rPr>
      </w:pPr>
      <w:r w:rsidRPr="005A1568">
        <w:rPr>
          <w:u w:val="single"/>
          <w:lang w:val="en-US"/>
        </w:rPr>
        <w:t>In all events</w:t>
      </w:r>
      <w:r>
        <w:rPr>
          <w:lang w:val="en-US"/>
        </w:rPr>
        <w:t>, we believe that the ESMA should respect recital 51 of MAR and avoid duplicative reporting for EAMPs</w:t>
      </w:r>
      <w:r w:rsidR="00E63D8F">
        <w:rPr>
          <w:lang w:val="en-US"/>
        </w:rPr>
        <w:t xml:space="preserve"> which</w:t>
      </w:r>
      <w:r>
        <w:rPr>
          <w:lang w:val="en-US"/>
        </w:rPr>
        <w:t xml:space="preserve"> </w:t>
      </w:r>
      <w:r w:rsidR="004219CE">
        <w:rPr>
          <w:lang w:val="en-US"/>
        </w:rPr>
        <w:t xml:space="preserve">are </w:t>
      </w:r>
      <w:r>
        <w:rPr>
          <w:lang w:val="en-US"/>
        </w:rPr>
        <w:t>already within REMIT scope.</w:t>
      </w:r>
    </w:p>
    <w:p w:rsidR="002865DD" w:rsidRPr="002865DD" w:rsidRDefault="002865DD" w:rsidP="00E9344E">
      <w:pPr>
        <w:rPr>
          <w:lang w:val="en-US"/>
        </w:rPr>
      </w:pPr>
    </w:p>
    <w:p w:rsidR="00F63F50" w:rsidRPr="00F63F50" w:rsidRDefault="00F63F50" w:rsidP="00F63F50">
      <w:pPr>
        <w:pStyle w:val="Default"/>
        <w:jc w:val="both"/>
        <w:rPr>
          <w:rFonts w:cs="Calibri"/>
          <w:color w:val="auto"/>
          <w:sz w:val="20"/>
          <w:szCs w:val="20"/>
          <w:lang w:val="en-US"/>
        </w:rPr>
      </w:pPr>
      <w:r w:rsidRPr="00F63F50">
        <w:rPr>
          <w:sz w:val="20"/>
          <w:szCs w:val="20"/>
          <w:lang w:val="en-US"/>
        </w:rPr>
        <w:t xml:space="preserve">Fourthly, </w:t>
      </w:r>
      <w:r>
        <w:rPr>
          <w:rFonts w:cs="Calibri"/>
          <w:color w:val="auto"/>
          <w:sz w:val="20"/>
          <w:szCs w:val="20"/>
          <w:lang w:val="en-US"/>
        </w:rPr>
        <w:t>w</w:t>
      </w:r>
      <w:r w:rsidRPr="00F63F50">
        <w:rPr>
          <w:rFonts w:cs="Calibri"/>
          <w:color w:val="auto"/>
          <w:sz w:val="20"/>
          <w:szCs w:val="20"/>
          <w:lang w:val="en-US"/>
        </w:rPr>
        <w:t xml:space="preserve">hen it comes to the scope of information to be disclosed, ESMA is adding confusion when referring in paragraph 37 of the consultation paper to “important firm specific information”. It is clear from the level 1 text that Art. 17(2) explicitly refers to information related to the physical operations of the installations (or activities). Recital 51 of MAR re-iterates this. We do not understand what additional inside information, which is “important firm specific information” and not related to physical operations could be inside information. </w:t>
      </w:r>
      <w:r w:rsidR="005A1568">
        <w:rPr>
          <w:rFonts w:cs="Calibri"/>
          <w:color w:val="auto"/>
          <w:sz w:val="20"/>
          <w:szCs w:val="20"/>
          <w:lang w:val="en-US"/>
        </w:rPr>
        <w:t>Additional clarification is needed.</w:t>
      </w:r>
    </w:p>
    <w:p w:rsidR="00F63F50" w:rsidRPr="00F63F50" w:rsidRDefault="00F63F50" w:rsidP="00E9344E">
      <w:pPr>
        <w:rPr>
          <w:szCs w:val="20"/>
          <w:lang w:val="en-US"/>
        </w:rPr>
      </w:pPr>
    </w:p>
    <w:p w:rsidR="004219CE" w:rsidRDefault="00F63F50" w:rsidP="00E9344E">
      <w:r>
        <w:t>Fifthly</w:t>
      </w:r>
      <w:r w:rsidR="000F2D40">
        <w:t xml:space="preserve">, we favour an absolute threshold for triggering the disclosure obligations without any case by case assessment to be done on the inside nature of the information once the threshold has been breached. This would facilitate operational and automated compliance </w:t>
      </w:r>
      <w:r w:rsidR="005A1568">
        <w:t xml:space="preserve">by EAMPs </w:t>
      </w:r>
      <w:r w:rsidR="000F2D40">
        <w:t xml:space="preserve">with this </w:t>
      </w:r>
      <w:r w:rsidR="00E4648C">
        <w:t xml:space="preserve">disclosure </w:t>
      </w:r>
      <w:r w:rsidR="000F2D40">
        <w:t xml:space="preserve">obligation. In all events, we urge ESMA to decide in line with recital 51 and </w:t>
      </w:r>
      <w:r w:rsidR="005A1568">
        <w:t xml:space="preserve">to </w:t>
      </w:r>
      <w:r w:rsidR="000F2D40">
        <w:t xml:space="preserve">explicitly recognize and confirm that any disclosure of inside information </w:t>
      </w:r>
      <w:r w:rsidR="001275A5">
        <w:t xml:space="preserve">performed </w:t>
      </w:r>
      <w:r w:rsidR="000F2D40">
        <w:t>by an EAMP within REMIT scope, suffices for MAR purposes.</w:t>
      </w:r>
      <w:r w:rsidR="00D2249A">
        <w:t xml:space="preserve"> Any information on the availability of production, generation,</w:t>
      </w:r>
      <w:r w:rsidR="005A1568">
        <w:t xml:space="preserve"> storage, consumption and transmission facilities</w:t>
      </w:r>
      <w:r w:rsidR="00D2249A">
        <w:t xml:space="preserve"> with</w:t>
      </w:r>
      <w:r w:rsidR="001275A5">
        <w:t>in</w:t>
      </w:r>
      <w:r w:rsidR="00D2249A">
        <w:t xml:space="preserve"> REMIT scope (including on the availability of non-thermal units exceeding 100MW of capacity) is already publicly available to any interested person. </w:t>
      </w:r>
    </w:p>
    <w:permEnd w:id="8"/>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C624CD" w:rsidRDefault="00163A92" w:rsidP="00E9344E">
      <w:pPr>
        <w:rPr>
          <w:szCs w:val="20"/>
        </w:rPr>
      </w:pPr>
      <w:permStart w:id="9" w:edGrp="everyone"/>
      <w:r w:rsidRPr="00E9526F">
        <w:rPr>
          <w:lang w:val="es-CL"/>
        </w:rPr>
        <w:t xml:space="preserve">None. </w:t>
      </w:r>
      <w:r>
        <w:t>As correctly set out by the consultant in its report, price formation in the emission allowances markets is mostly based on</w:t>
      </w:r>
      <w:r w:rsidR="00860C29">
        <w:t xml:space="preserve"> and influenced by</w:t>
      </w:r>
      <w:r>
        <w:t xml:space="preserve"> macro-economic</w:t>
      </w:r>
      <w:r w:rsidR="00860C29">
        <w:t xml:space="preserve"> </w:t>
      </w:r>
      <w:r w:rsidR="00C624CD">
        <w:t>factors</w:t>
      </w:r>
      <w:r w:rsidR="00860C29">
        <w:t xml:space="preserve"> and EU</w:t>
      </w:r>
      <w:r>
        <w:t xml:space="preserve"> policy decisions</w:t>
      </w:r>
      <w:r w:rsidR="00860C29">
        <w:t xml:space="preserve"> (</w:t>
      </w:r>
      <w:proofErr w:type="spellStart"/>
      <w:r w:rsidR="00860C29">
        <w:t>e</w:t>
      </w:r>
      <w:r w:rsidR="00860C29" w:rsidRPr="00AC671D">
        <w:rPr>
          <w:szCs w:val="20"/>
        </w:rPr>
        <w:t>g</w:t>
      </w:r>
      <w:proofErr w:type="spellEnd"/>
      <w:r w:rsidR="00860C29" w:rsidRPr="00AC671D">
        <w:rPr>
          <w:szCs w:val="20"/>
        </w:rPr>
        <w:t xml:space="preserve"> nuclear phase out, ETS revision, etc)</w:t>
      </w:r>
      <w:r w:rsidRPr="00AC671D">
        <w:rPr>
          <w:szCs w:val="20"/>
        </w:rPr>
        <w:t>. There is little to no company specific information</w:t>
      </w:r>
      <w:r w:rsidR="00860C29" w:rsidRPr="00AC671D">
        <w:rPr>
          <w:szCs w:val="20"/>
        </w:rPr>
        <w:t xml:space="preserve"> held by industrial emitters </w:t>
      </w:r>
      <w:r w:rsidRPr="00AC671D">
        <w:rPr>
          <w:szCs w:val="20"/>
        </w:rPr>
        <w:t>which is</w:t>
      </w:r>
      <w:r w:rsidR="00860C29" w:rsidRPr="00AC671D">
        <w:rPr>
          <w:szCs w:val="20"/>
        </w:rPr>
        <w:t xml:space="preserve"> or could be</w:t>
      </w:r>
      <w:r w:rsidRPr="00AC671D">
        <w:rPr>
          <w:szCs w:val="20"/>
        </w:rPr>
        <w:t xml:space="preserve"> relevant for price formation. Addition</w:t>
      </w:r>
      <w:r w:rsidR="00860C29" w:rsidRPr="00AC671D">
        <w:rPr>
          <w:szCs w:val="20"/>
        </w:rPr>
        <w:t>ally, since the entry into force of REMIT discl</w:t>
      </w:r>
      <w:r w:rsidR="00860C29" w:rsidRPr="00AC671D">
        <w:rPr>
          <w:szCs w:val="20"/>
        </w:rPr>
        <w:t>o</w:t>
      </w:r>
      <w:r w:rsidR="00860C29" w:rsidRPr="00AC671D">
        <w:rPr>
          <w:szCs w:val="20"/>
        </w:rPr>
        <w:t xml:space="preserve">sure obligations, EAMPs within the energy market do already publicly make available any information regarding their physical operations and which </w:t>
      </w:r>
      <w:r w:rsidR="00860C29" w:rsidRPr="00C624CD">
        <w:rPr>
          <w:i/>
          <w:szCs w:val="20"/>
        </w:rPr>
        <w:t>de facto</w:t>
      </w:r>
      <w:r w:rsidR="00860C29" w:rsidRPr="00AC671D">
        <w:rPr>
          <w:szCs w:val="20"/>
        </w:rPr>
        <w:t xml:space="preserve"> have an impact on their level of demand for allo</w:t>
      </w:r>
      <w:r w:rsidR="00860C29" w:rsidRPr="00AC671D">
        <w:rPr>
          <w:szCs w:val="20"/>
        </w:rPr>
        <w:t>w</w:t>
      </w:r>
      <w:r w:rsidR="00860C29" w:rsidRPr="00AC671D">
        <w:rPr>
          <w:szCs w:val="20"/>
        </w:rPr>
        <w:t>ances.</w:t>
      </w:r>
      <w:r w:rsidR="00D976B9" w:rsidRPr="00AC671D">
        <w:rPr>
          <w:szCs w:val="20"/>
        </w:rPr>
        <w:t xml:space="preserve"> </w:t>
      </w:r>
    </w:p>
    <w:p w:rsidR="00D976B9" w:rsidRDefault="00D976B9" w:rsidP="00E9344E">
      <w:pPr>
        <w:rPr>
          <w:szCs w:val="20"/>
        </w:rPr>
      </w:pPr>
      <w:r w:rsidRPr="00AC671D">
        <w:rPr>
          <w:szCs w:val="20"/>
        </w:rPr>
        <w:t>It should also be noted that p</w:t>
      </w:r>
      <w:r w:rsidR="00860C29" w:rsidRPr="00AC671D">
        <w:rPr>
          <w:szCs w:val="20"/>
        </w:rPr>
        <w:t xml:space="preserve">lanned and unplanned shutdowns of production, storage, transmission and other facilities do not have a significant effect on price formation, as very few industrial installations are large enough to impact the wider market and if one thermal unit is out, it will most probably be replaced by another thermal unit </w:t>
      </w:r>
      <w:proofErr w:type="spellStart"/>
      <w:r w:rsidR="00860C29" w:rsidRPr="00AC671D">
        <w:rPr>
          <w:szCs w:val="20"/>
        </w:rPr>
        <w:t>with in</w:t>
      </w:r>
      <w:proofErr w:type="spellEnd"/>
      <w:r w:rsidR="00860C29" w:rsidRPr="00AC671D">
        <w:rPr>
          <w:szCs w:val="20"/>
        </w:rPr>
        <w:t xml:space="preserve"> the end little to no impact on the emission allowances markets. </w:t>
      </w:r>
      <w:r w:rsidR="00C624CD">
        <w:rPr>
          <w:szCs w:val="20"/>
        </w:rPr>
        <w:t>As stated above, m</w:t>
      </w:r>
      <w:r w:rsidR="00860C29" w:rsidRPr="00AC671D">
        <w:rPr>
          <w:szCs w:val="20"/>
        </w:rPr>
        <w:t>uch more relevant to the market is the impact of non-thermal</w:t>
      </w:r>
      <w:r w:rsidR="00C624CD">
        <w:rPr>
          <w:szCs w:val="20"/>
        </w:rPr>
        <w:t xml:space="preserve"> </w:t>
      </w:r>
      <w:r w:rsidR="00860C29" w:rsidRPr="00AC671D">
        <w:rPr>
          <w:szCs w:val="20"/>
        </w:rPr>
        <w:t>productions units (such as nuclear facilities with are CO2-neutral) being faced with planned and unplanned unavailability as the loss of capacity will most probably be replaced by thermal units emitting CO2</w:t>
      </w:r>
      <w:r w:rsidR="00C624CD">
        <w:rPr>
          <w:szCs w:val="20"/>
        </w:rPr>
        <w:t>; although we note that these insta</w:t>
      </w:r>
      <w:r w:rsidR="00C624CD">
        <w:rPr>
          <w:szCs w:val="20"/>
        </w:rPr>
        <w:t>l</w:t>
      </w:r>
      <w:r w:rsidR="00C624CD">
        <w:rPr>
          <w:szCs w:val="20"/>
        </w:rPr>
        <w:t>lations are not necessarily caught by the current definition of EAMP.</w:t>
      </w:r>
    </w:p>
    <w:p w:rsidR="004219CE" w:rsidRDefault="004219CE" w:rsidP="00E9344E">
      <w:pPr>
        <w:rPr>
          <w:szCs w:val="20"/>
        </w:rPr>
      </w:pPr>
    </w:p>
    <w:p w:rsidR="004219CE" w:rsidRPr="001D628F" w:rsidRDefault="00053882" w:rsidP="001D628F">
      <w:pPr>
        <w:pStyle w:val="Default"/>
        <w:rPr>
          <w:rFonts w:ascii="Univers 45 Light" w:hAnsi="Univers 45 Light"/>
          <w:lang w:val="en-US"/>
        </w:rPr>
      </w:pPr>
      <w:r>
        <w:rPr>
          <w:sz w:val="20"/>
          <w:szCs w:val="20"/>
          <w:lang w:val="en-US"/>
        </w:rPr>
        <w:t>To conclude, w</w:t>
      </w:r>
      <w:r w:rsidR="001D628F" w:rsidRPr="001D628F">
        <w:rPr>
          <w:sz w:val="20"/>
          <w:szCs w:val="20"/>
          <w:lang w:val="en-US"/>
        </w:rPr>
        <w:t>e believe that the information held by EAMPs is not relevant in relation to the price deve</w:t>
      </w:r>
      <w:r w:rsidR="001D628F" w:rsidRPr="001D628F">
        <w:rPr>
          <w:sz w:val="20"/>
          <w:szCs w:val="20"/>
          <w:lang w:val="en-US"/>
        </w:rPr>
        <w:t>l</w:t>
      </w:r>
      <w:r w:rsidR="001D628F" w:rsidRPr="001D628F">
        <w:rPr>
          <w:sz w:val="20"/>
          <w:szCs w:val="20"/>
          <w:lang w:val="en-US"/>
        </w:rPr>
        <w:t>opments of emission allowances and their derivatives. Therefore, esta</w:t>
      </w:r>
      <w:r w:rsidR="001D628F" w:rsidRPr="001D628F">
        <w:rPr>
          <w:sz w:val="20"/>
          <w:szCs w:val="20"/>
          <w:lang w:val="en-US"/>
        </w:rPr>
        <w:t>b</w:t>
      </w:r>
      <w:r w:rsidR="001D628F" w:rsidRPr="001D628F">
        <w:rPr>
          <w:sz w:val="20"/>
          <w:szCs w:val="20"/>
          <w:lang w:val="en-US"/>
        </w:rPr>
        <w:t>lishing a specific threshold (even one of the higher ones that have been proposed) is expected to be of limited value. Imposing add</w:t>
      </w:r>
      <w:r w:rsidR="001D628F" w:rsidRPr="001D628F">
        <w:rPr>
          <w:sz w:val="20"/>
          <w:szCs w:val="20"/>
          <w:lang w:val="en-US"/>
        </w:rPr>
        <w:t>i</w:t>
      </w:r>
      <w:r w:rsidR="001D628F" w:rsidRPr="001D628F">
        <w:rPr>
          <w:sz w:val="20"/>
          <w:szCs w:val="20"/>
          <w:lang w:val="en-US"/>
        </w:rPr>
        <w:t xml:space="preserve">tional requirements to EAMPs without relevance to investors’ decisions seems unnecessary and the threshold for exemption of such requirements should thus be increased to exempt most EAMPs. </w:t>
      </w:r>
    </w:p>
    <w:permEnd w:id="9"/>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7606E7" w:rsidRDefault="00E9526F" w:rsidP="00E9344E">
      <w:pPr>
        <w:rPr>
          <w:szCs w:val="20"/>
          <w:lang w:val="en-US" w:eastAsia="en-US"/>
        </w:rPr>
      </w:pPr>
      <w:permStart w:id="10" w:edGrp="everyone"/>
      <w:r w:rsidRPr="00E9526F">
        <w:rPr>
          <w:szCs w:val="20"/>
          <w:u w:val="single"/>
          <w:lang w:val="en-US" w:eastAsia="en-US"/>
        </w:rPr>
        <w:t>Re competent authority for notifications re delayed disclosure by EAMP</w:t>
      </w:r>
      <w:r w:rsidR="00D24236">
        <w:rPr>
          <w:szCs w:val="20"/>
          <w:u w:val="single"/>
          <w:lang w:val="en-US" w:eastAsia="en-US"/>
        </w:rPr>
        <w:t>s</w:t>
      </w:r>
      <w:r w:rsidRPr="00E9526F">
        <w:rPr>
          <w:szCs w:val="20"/>
          <w:lang w:val="en-US" w:eastAsia="en-US"/>
        </w:rPr>
        <w:t>:</w:t>
      </w:r>
    </w:p>
    <w:p w:rsidR="0072183A" w:rsidRDefault="007606E7" w:rsidP="00E9344E">
      <w:pPr>
        <w:rPr>
          <w:szCs w:val="20"/>
          <w:lang w:val="en-US" w:eastAsia="en-US"/>
        </w:rPr>
      </w:pPr>
      <w:r>
        <w:rPr>
          <w:szCs w:val="20"/>
          <w:lang w:val="en-US" w:eastAsia="en-US"/>
        </w:rPr>
        <w:t>Any procedure for the notification of delayed disclosure of inside information should be aligned with existing processes under REMIT which already apply to EAMPs in the energy market (article 4.2. REMIT); whereby both the ACER and the competent NRA should be notified</w:t>
      </w:r>
      <w:r w:rsidR="00E9526F" w:rsidRPr="00E9526F">
        <w:rPr>
          <w:szCs w:val="20"/>
          <w:lang w:val="en-US" w:eastAsia="en-US"/>
        </w:rPr>
        <w:t xml:space="preserve">. </w:t>
      </w:r>
      <w:r>
        <w:rPr>
          <w:szCs w:val="20"/>
          <w:lang w:val="en-US" w:eastAsia="en-US"/>
        </w:rPr>
        <w:t>For market partic</w:t>
      </w:r>
      <w:r>
        <w:rPr>
          <w:szCs w:val="20"/>
          <w:lang w:val="en-US" w:eastAsia="en-US"/>
        </w:rPr>
        <w:t>i</w:t>
      </w:r>
      <w:r>
        <w:rPr>
          <w:szCs w:val="20"/>
          <w:lang w:val="en-US" w:eastAsia="en-US"/>
        </w:rPr>
        <w:t>pants, it’s key that EU regulations are aligned to the extent possible in order to avoid costly, complex and burdensome dupl</w:t>
      </w:r>
      <w:r>
        <w:rPr>
          <w:szCs w:val="20"/>
          <w:lang w:val="en-US" w:eastAsia="en-US"/>
        </w:rPr>
        <w:t>i</w:t>
      </w:r>
      <w:r>
        <w:rPr>
          <w:szCs w:val="20"/>
          <w:lang w:val="en-US" w:eastAsia="en-US"/>
        </w:rPr>
        <w:t>cative processes and obligations, which additionally i</w:t>
      </w:r>
      <w:r>
        <w:rPr>
          <w:szCs w:val="20"/>
          <w:lang w:val="en-US" w:eastAsia="en-US"/>
        </w:rPr>
        <w:t>n</w:t>
      </w:r>
      <w:r>
        <w:rPr>
          <w:szCs w:val="20"/>
          <w:lang w:val="en-US" w:eastAsia="en-US"/>
        </w:rPr>
        <w:t>crease the risk of unintended compliance breaches under one regulation, whilst being compliant under another regulation.</w:t>
      </w:r>
      <w:r w:rsidR="00E9526F" w:rsidRPr="00E9526F">
        <w:rPr>
          <w:szCs w:val="20"/>
          <w:lang w:val="en-US" w:eastAsia="en-US"/>
        </w:rPr>
        <w:t xml:space="preserve"> </w:t>
      </w:r>
    </w:p>
    <w:p w:rsidR="0072183A" w:rsidRDefault="00E9526F" w:rsidP="00E9344E">
      <w:pPr>
        <w:rPr>
          <w:szCs w:val="20"/>
          <w:lang w:val="en-US" w:eastAsia="en-US"/>
        </w:rPr>
      </w:pPr>
      <w:r w:rsidRPr="00E9526F">
        <w:rPr>
          <w:szCs w:val="20"/>
          <w:lang w:val="en-US" w:eastAsia="en-US"/>
        </w:rPr>
        <w:t xml:space="preserve">Therefore, </w:t>
      </w:r>
      <w:r w:rsidR="0072183A">
        <w:rPr>
          <w:szCs w:val="20"/>
          <w:lang w:val="en-US" w:eastAsia="en-US"/>
        </w:rPr>
        <w:t xml:space="preserve">we urge ESMA to explicitly recognize that </w:t>
      </w:r>
      <w:r w:rsidRPr="00E9526F">
        <w:rPr>
          <w:szCs w:val="20"/>
          <w:lang w:val="en-US" w:eastAsia="en-US"/>
        </w:rPr>
        <w:t xml:space="preserve">any delayed disclosure </w:t>
      </w:r>
      <w:r w:rsidR="0072183A">
        <w:rPr>
          <w:szCs w:val="20"/>
          <w:lang w:val="en-US" w:eastAsia="en-US"/>
        </w:rPr>
        <w:t xml:space="preserve">made </w:t>
      </w:r>
      <w:r w:rsidRPr="00E9526F">
        <w:rPr>
          <w:szCs w:val="20"/>
          <w:lang w:val="en-US" w:eastAsia="en-US"/>
        </w:rPr>
        <w:t>under REMIT release</w:t>
      </w:r>
      <w:r w:rsidR="0072183A">
        <w:rPr>
          <w:szCs w:val="20"/>
          <w:lang w:val="en-US" w:eastAsia="en-US"/>
        </w:rPr>
        <w:t>s the respective</w:t>
      </w:r>
      <w:r w:rsidRPr="00E9526F">
        <w:rPr>
          <w:szCs w:val="20"/>
          <w:lang w:val="en-US" w:eastAsia="en-US"/>
        </w:rPr>
        <w:t xml:space="preserve"> EAMP from any additional notification under MAR</w:t>
      </w:r>
      <w:r w:rsidR="0072183A">
        <w:rPr>
          <w:szCs w:val="20"/>
          <w:lang w:val="en-US" w:eastAsia="en-US"/>
        </w:rPr>
        <w:t>. Regulators should close</w:t>
      </w:r>
      <w:r w:rsidR="00D24236">
        <w:rPr>
          <w:szCs w:val="20"/>
          <w:lang w:val="en-US" w:eastAsia="en-US"/>
        </w:rPr>
        <w:t>ly</w:t>
      </w:r>
      <w:r w:rsidR="0072183A">
        <w:rPr>
          <w:szCs w:val="20"/>
          <w:lang w:val="en-US" w:eastAsia="en-US"/>
        </w:rPr>
        <w:t xml:space="preserve"> cooperate and exchange information between them.</w:t>
      </w:r>
    </w:p>
    <w:p w:rsidR="00E9344E" w:rsidRDefault="0072183A" w:rsidP="00E9344E">
      <w:pPr>
        <w:rPr>
          <w:szCs w:val="20"/>
          <w:lang w:val="en-US" w:eastAsia="en-US"/>
        </w:rPr>
      </w:pPr>
      <w:r>
        <w:rPr>
          <w:szCs w:val="20"/>
          <w:lang w:val="en-US" w:eastAsia="en-US"/>
        </w:rPr>
        <w:t>For EAMPs not yet covered by REMIT, a similar process should be put in place</w:t>
      </w:r>
      <w:r w:rsidR="00E9526F" w:rsidRPr="00E9526F">
        <w:rPr>
          <w:szCs w:val="20"/>
          <w:lang w:val="en-US" w:eastAsia="en-US"/>
        </w:rPr>
        <w:t>.</w:t>
      </w:r>
    </w:p>
    <w:p w:rsidR="00E9526F" w:rsidRPr="00E9526F" w:rsidRDefault="00E9526F" w:rsidP="00E9344E">
      <w:pPr>
        <w:rPr>
          <w:szCs w:val="20"/>
        </w:rPr>
      </w:pPr>
    </w:p>
    <w:permEnd w:id="10"/>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11" w:edGrp="everyone"/>
      <w:r>
        <w:t>TYPE YOUR TEXT HERE</w:t>
      </w:r>
    </w:p>
    <w:permEnd w:id="11"/>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12" w:edGrp="everyone"/>
      <w:r>
        <w:t>TYPE YOUR TEXT HERE</w:t>
      </w:r>
    </w:p>
    <w:permEnd w:id="12"/>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E9344E" w:rsidRDefault="00E9526F" w:rsidP="00E9344E">
      <w:permStart w:id="13" w:edGrp="everyone"/>
      <w:r>
        <w:t>For EAMP: yes, we agree.</w:t>
      </w:r>
    </w:p>
    <w:permEnd w:id="13"/>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E9344E" w:rsidP="00E9344E">
      <w:permStart w:id="14" w:edGrp="everyone"/>
      <w:r>
        <w:t>TYPE YOUR TEXT HERE</w:t>
      </w:r>
    </w:p>
    <w:permEnd w:id="14"/>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15" w:edGrp="everyone"/>
      <w:r>
        <w:t>TYPE YOUR TEXT HERE</w:t>
      </w:r>
    </w:p>
    <w:permEnd w:id="15"/>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w:t>
      </w:r>
      <w:r>
        <w:t>e</w:t>
      </w:r>
      <w:r>
        <w:t>riod prohibition is respected?</w:t>
      </w:r>
    </w:p>
    <w:p w:rsidR="00E9344E" w:rsidRDefault="00E9344E" w:rsidP="00E9344E"/>
    <w:p w:rsidR="00E9344E" w:rsidRDefault="00E9344E" w:rsidP="00E9344E">
      <w:r>
        <w:t>&lt;ESMA_QUESTION_MAR_TA_13&gt;</w:t>
      </w:r>
    </w:p>
    <w:p w:rsidR="00E9344E" w:rsidRDefault="00E9344E" w:rsidP="00E9344E">
      <w:permStart w:id="16" w:edGrp="everyone"/>
      <w:r>
        <w:t>TYPE YOUR TEXT HERE</w:t>
      </w:r>
    </w:p>
    <w:permEnd w:id="16"/>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17" w:edGrp="everyone"/>
      <w:r>
        <w:t>TYPE YOUR TEXT HERE</w:t>
      </w:r>
    </w:p>
    <w:permEnd w:id="17"/>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8" w:edGrp="everyone"/>
      <w:r>
        <w:t>TYPE YOUR TEXT HERE</w:t>
      </w:r>
    </w:p>
    <w:permEnd w:id="18"/>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9" w:edGrp="everyone"/>
      <w:r>
        <w:t>TYPE YOUR TEXT HERE</w:t>
      </w:r>
    </w:p>
    <w:permEnd w:id="19"/>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processing;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20" w:edGrp="everyone"/>
      <w:r>
        <w:t>TYPE YOUR TEXT HERE</w:t>
      </w:r>
    </w:p>
    <w:permEnd w:id="20"/>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21" w:edGrp="everyone"/>
      <w:r>
        <w:t>TYPE YOUR TEXT HERE</w:t>
      </w:r>
    </w:p>
    <w:permEnd w:id="21"/>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22" w:edGrp="everyone"/>
      <w:r>
        <w:t>TYPE YOUR TEXT HERE</w:t>
      </w:r>
    </w:p>
    <w:permEnd w:id="22"/>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B9B" w:rsidRDefault="001A7B9B">
      <w:r>
        <w:separator/>
      </w:r>
    </w:p>
    <w:p w:rsidR="001A7B9B" w:rsidRDefault="001A7B9B"/>
  </w:endnote>
  <w:endnote w:type="continuationSeparator" w:id="0">
    <w:p w:rsidR="001A7B9B" w:rsidRDefault="001A7B9B">
      <w:r>
        <w:continuationSeparator/>
      </w:r>
    </w:p>
    <w:p w:rsidR="001A7B9B" w:rsidRDefault="001A7B9B"/>
  </w:endnote>
  <w:endnote w:type="continuationNotice" w:id="1">
    <w:p w:rsidR="001A7B9B" w:rsidRDefault="001A7B9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Univers 45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1A7B9B" w:rsidRPr="00315E96" w:rsidTr="00315E96">
      <w:trPr>
        <w:trHeight w:val="284"/>
      </w:trPr>
      <w:tc>
        <w:tcPr>
          <w:tcW w:w="8460" w:type="dxa"/>
        </w:tcPr>
        <w:p w:rsidR="001A7B9B" w:rsidRPr="00315E96" w:rsidRDefault="001A7B9B" w:rsidP="00315E96">
          <w:pPr>
            <w:pStyle w:val="00Footer"/>
            <w:rPr>
              <w:lang w:val="fr-FR"/>
            </w:rPr>
          </w:pPr>
        </w:p>
      </w:tc>
      <w:tc>
        <w:tcPr>
          <w:tcW w:w="952" w:type="dxa"/>
        </w:tcPr>
        <w:p w:rsidR="001A7B9B" w:rsidRPr="002C5B2D" w:rsidRDefault="001A7B9B" w:rsidP="002C5B2D">
          <w:pPr>
            <w:pStyle w:val="00aPagenumber"/>
          </w:pPr>
          <w:fldSimple w:instr=" PAGE ">
            <w:r w:rsidR="00D24236">
              <w:rPr>
                <w:noProof/>
              </w:rPr>
              <w:t>14</w:t>
            </w:r>
          </w:fldSimple>
        </w:p>
      </w:tc>
    </w:tr>
  </w:tbl>
  <w:p w:rsidR="001A7B9B" w:rsidRDefault="001A7B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9B" w:rsidRDefault="001A7B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B9B" w:rsidRDefault="001A7B9B">
      <w:r>
        <w:separator/>
      </w:r>
    </w:p>
    <w:p w:rsidR="001A7B9B" w:rsidRDefault="001A7B9B"/>
  </w:footnote>
  <w:footnote w:type="continuationSeparator" w:id="0">
    <w:p w:rsidR="001A7B9B" w:rsidRDefault="001A7B9B">
      <w:r>
        <w:continuationSeparator/>
      </w:r>
    </w:p>
    <w:p w:rsidR="001A7B9B" w:rsidRDefault="001A7B9B"/>
  </w:footnote>
  <w:footnote w:type="continuationNotice" w:id="1">
    <w:p w:rsidR="001A7B9B" w:rsidRDefault="001A7B9B"/>
  </w:footnote>
  <w:footnote w:id="2">
    <w:p w:rsidR="001A7B9B" w:rsidRDefault="001A7B9B"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 w:id="3">
    <w:p w:rsidR="001A7B9B" w:rsidRPr="00E97A7E" w:rsidRDefault="001A7B9B" w:rsidP="000372C0">
      <w:pPr>
        <w:pStyle w:val="FootnoteText"/>
        <w:rPr>
          <w:rFonts w:ascii="Arial" w:hAnsi="Arial" w:cs="Arial"/>
          <w:szCs w:val="16"/>
        </w:rPr>
      </w:pPr>
      <w:r>
        <w:rPr>
          <w:rStyle w:val="FootnoteReference"/>
        </w:rPr>
        <w:footnoteRef/>
      </w:r>
      <w:r w:rsidRPr="00E97A7E">
        <w:t xml:space="preserve"> </w:t>
      </w:r>
      <w:r>
        <w:t xml:space="preserve">Cf. Europe Economics </w:t>
      </w:r>
      <w:r w:rsidRPr="000372C0">
        <w:t>report</w:t>
      </w:r>
      <w:r>
        <w:t xml:space="preserve"> </w:t>
      </w:r>
      <w:proofErr w:type="spellStart"/>
      <w:r>
        <w:t>dd</w:t>
      </w:r>
      <w:proofErr w:type="spellEnd"/>
      <w:r>
        <w:t xml:space="preserve"> 22 May 2014 (</w:t>
      </w:r>
      <w:r w:rsidRPr="000372C0">
        <w:t>footer 41 on page 24</w:t>
      </w:r>
      <w:r>
        <w:t>): “</w:t>
      </w:r>
      <w:r w:rsidRPr="00E97A7E">
        <w:rPr>
          <w:rFonts w:ascii="Arial" w:hAnsi="Arial" w:cs="Arial"/>
          <w:i/>
          <w:szCs w:val="16"/>
        </w:rPr>
        <w:t>We note that the exact wording is different to the ACER gui</w:t>
      </w:r>
      <w:r w:rsidRPr="00E97A7E">
        <w:rPr>
          <w:rFonts w:ascii="Arial" w:hAnsi="Arial" w:cs="Arial"/>
          <w:i/>
          <w:szCs w:val="16"/>
        </w:rPr>
        <w:t>d</w:t>
      </w:r>
      <w:r w:rsidRPr="00E97A7E">
        <w:rPr>
          <w:rFonts w:ascii="Arial" w:hAnsi="Arial" w:cs="Arial"/>
          <w:i/>
          <w:szCs w:val="16"/>
        </w:rPr>
        <w:t>ance of 100MW as that refers to 100MW capacity which is de facto similar as rated thermal input (rated thermal input means the max</w:t>
      </w:r>
      <w:r w:rsidRPr="00E97A7E">
        <w:rPr>
          <w:rFonts w:ascii="Arial" w:hAnsi="Arial" w:cs="Arial"/>
          <w:i/>
          <w:szCs w:val="16"/>
        </w:rPr>
        <w:t>i</w:t>
      </w:r>
      <w:r w:rsidRPr="00E97A7E">
        <w:rPr>
          <w:rFonts w:ascii="Arial" w:hAnsi="Arial" w:cs="Arial"/>
          <w:i/>
          <w:szCs w:val="16"/>
        </w:rPr>
        <w:t>mum, not yet taking into account the actual utilisation and efficiency).</w:t>
      </w:r>
      <w:r>
        <w:rPr>
          <w:rFonts w:ascii="Arial" w:hAnsi="Arial" w:cs="Arial"/>
          <w:i/>
          <w:szCs w:val="16"/>
        </w:rPr>
        <w:t>”</w:t>
      </w:r>
      <w:r w:rsidRPr="0009637C">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9B" w:rsidRDefault="001A7B9B">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Pr="006F6931">
      <w:rPr>
        <w:noProof/>
        <w:lang w:eastAsia="en-GB"/>
      </w:rPr>
      <w:pict>
        <v:line id="Line 16" o:spid="_x0000_s4098"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9B" w:rsidRDefault="001A7B9B"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9B" w:rsidRDefault="001A7B9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1A7B9B" w:rsidRPr="002F4496" w:rsidTr="000C06C9">
      <w:trPr>
        <w:trHeight w:val="284"/>
      </w:trPr>
      <w:tc>
        <w:tcPr>
          <w:tcW w:w="8460" w:type="dxa"/>
        </w:tcPr>
        <w:p w:rsidR="001A7B9B" w:rsidRPr="000C3B6D" w:rsidRDefault="001A7B9B" w:rsidP="000C06C9">
          <w:pPr>
            <w:pStyle w:val="00Footer"/>
            <w:rPr>
              <w:lang w:val="fr-FR"/>
            </w:rPr>
          </w:pPr>
        </w:p>
      </w:tc>
      <w:tc>
        <w:tcPr>
          <w:tcW w:w="952" w:type="dxa"/>
        </w:tcPr>
        <w:p w:rsidR="001A7B9B" w:rsidRPr="00146B34" w:rsidRDefault="001A7B9B" w:rsidP="000C06C9">
          <w:pPr>
            <w:pStyle w:val="00aPagenumber"/>
            <w:rPr>
              <w:lang w:val="fr-FR"/>
            </w:rPr>
          </w:pPr>
        </w:p>
      </w:tc>
    </w:tr>
  </w:tbl>
  <w:p w:rsidR="001A7B9B" w:rsidRPr="00DB46C3" w:rsidRDefault="001A7B9B">
    <w:pPr>
      <w:rPr>
        <w:lang w:val="fr-FR"/>
      </w:rPr>
    </w:pPr>
  </w:p>
  <w:p w:rsidR="001A7B9B" w:rsidRPr="002F4496" w:rsidRDefault="001A7B9B">
    <w:pPr>
      <w:pStyle w:val="Header"/>
      <w:rPr>
        <w:lang w:val="fr-FR"/>
      </w:rPr>
    </w:pPr>
  </w:p>
  <w:p w:rsidR="001A7B9B" w:rsidRPr="002F4496" w:rsidRDefault="001A7B9B" w:rsidP="000C06C9">
    <w:pPr>
      <w:pStyle w:val="Header"/>
      <w:tabs>
        <w:tab w:val="clear" w:pos="4536"/>
        <w:tab w:val="clear" w:pos="9072"/>
        <w:tab w:val="left" w:pos="8227"/>
      </w:tabs>
      <w:rPr>
        <w:lang w:val="fr-FR"/>
      </w:rPr>
    </w:pPr>
  </w:p>
  <w:p w:rsidR="001A7B9B" w:rsidRPr="002F4496" w:rsidRDefault="001A7B9B" w:rsidP="000C06C9">
    <w:pPr>
      <w:pStyle w:val="Header"/>
      <w:tabs>
        <w:tab w:val="clear" w:pos="4536"/>
        <w:tab w:val="clear" w:pos="9072"/>
        <w:tab w:val="left" w:pos="8227"/>
      </w:tabs>
      <w:rPr>
        <w:lang w:val="fr-FR"/>
      </w:rPr>
    </w:pPr>
  </w:p>
  <w:p w:rsidR="001A7B9B" w:rsidRPr="002F4496" w:rsidRDefault="001A7B9B">
    <w:pPr>
      <w:pStyle w:val="Header"/>
      <w:rPr>
        <w:lang w:val="fr-FR"/>
      </w:rPr>
    </w:pPr>
  </w:p>
  <w:p w:rsidR="001A7B9B" w:rsidRPr="002F4496" w:rsidRDefault="001A7B9B">
    <w:pPr>
      <w:pStyle w:val="Header"/>
      <w:rPr>
        <w:lang w:val="fr-FR"/>
      </w:rPr>
    </w:pPr>
  </w:p>
  <w:p w:rsidR="001A7B9B" w:rsidRPr="002F4496" w:rsidRDefault="001A7B9B">
    <w:pPr>
      <w:pStyle w:val="Header"/>
      <w:rPr>
        <w:lang w:val="fr-FR"/>
      </w:rPr>
    </w:pPr>
  </w:p>
  <w:p w:rsidR="001A7B9B" w:rsidRPr="002F4496" w:rsidRDefault="001A7B9B">
    <w:pPr>
      <w:pStyle w:val="Header"/>
      <w:rPr>
        <w:lang w:val="fr-FR"/>
      </w:rPr>
    </w:pPr>
  </w:p>
  <w:p w:rsidR="001A7B9B" w:rsidRPr="002F4496" w:rsidRDefault="001A7B9B">
    <w:pPr>
      <w:pStyle w:val="Header"/>
      <w:rPr>
        <w:highlight w:val="yellow"/>
        <w:lang w:val="fr-FR"/>
      </w:rPr>
    </w:pPr>
  </w:p>
  <w:p w:rsidR="001A7B9B" w:rsidRDefault="001A7B9B">
    <w:pPr>
      <w:pStyle w:val="Header"/>
    </w:pPr>
    <w:r w:rsidRPr="006F6931">
      <w:rPr>
        <w:noProof/>
        <w:lang w:eastAsia="en-GB"/>
      </w:rPr>
      <w:pict>
        <v:line id="Straight Connector 138" o:spid="_x0000_s4097"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FormatFilter w:val="1F01"/>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372C0"/>
    <w:rsid w:val="00041858"/>
    <w:rsid w:val="0004389E"/>
    <w:rsid w:val="000463A6"/>
    <w:rsid w:val="00046CC9"/>
    <w:rsid w:val="00046E91"/>
    <w:rsid w:val="000502FE"/>
    <w:rsid w:val="0005126D"/>
    <w:rsid w:val="00051992"/>
    <w:rsid w:val="00051E9A"/>
    <w:rsid w:val="000521A7"/>
    <w:rsid w:val="00052F47"/>
    <w:rsid w:val="00053882"/>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37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2D40"/>
    <w:rsid w:val="000F55B7"/>
    <w:rsid w:val="000F58C9"/>
    <w:rsid w:val="000F604F"/>
    <w:rsid w:val="000F7399"/>
    <w:rsid w:val="00100DAE"/>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275A5"/>
    <w:rsid w:val="00130F41"/>
    <w:rsid w:val="00130FAF"/>
    <w:rsid w:val="00135F2B"/>
    <w:rsid w:val="001372DD"/>
    <w:rsid w:val="001405BA"/>
    <w:rsid w:val="00141497"/>
    <w:rsid w:val="0014228D"/>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3A92"/>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503F"/>
    <w:rsid w:val="00186829"/>
    <w:rsid w:val="001868CA"/>
    <w:rsid w:val="00187304"/>
    <w:rsid w:val="001875BE"/>
    <w:rsid w:val="0019017A"/>
    <w:rsid w:val="00190B8C"/>
    <w:rsid w:val="00190FF8"/>
    <w:rsid w:val="0019311A"/>
    <w:rsid w:val="00194612"/>
    <w:rsid w:val="0019508A"/>
    <w:rsid w:val="001960D8"/>
    <w:rsid w:val="001A1642"/>
    <w:rsid w:val="001A371B"/>
    <w:rsid w:val="001A4766"/>
    <w:rsid w:val="001A6A0D"/>
    <w:rsid w:val="001A6C51"/>
    <w:rsid w:val="001A6FAA"/>
    <w:rsid w:val="001A7B9B"/>
    <w:rsid w:val="001A7D73"/>
    <w:rsid w:val="001B0363"/>
    <w:rsid w:val="001B1355"/>
    <w:rsid w:val="001B3138"/>
    <w:rsid w:val="001B4E4B"/>
    <w:rsid w:val="001B50AC"/>
    <w:rsid w:val="001B5E05"/>
    <w:rsid w:val="001B6D68"/>
    <w:rsid w:val="001B6F2E"/>
    <w:rsid w:val="001C0344"/>
    <w:rsid w:val="001C0F2A"/>
    <w:rsid w:val="001C1A59"/>
    <w:rsid w:val="001C22E1"/>
    <w:rsid w:val="001C270F"/>
    <w:rsid w:val="001C4679"/>
    <w:rsid w:val="001C5770"/>
    <w:rsid w:val="001C6195"/>
    <w:rsid w:val="001D0883"/>
    <w:rsid w:val="001D2205"/>
    <w:rsid w:val="001D3A1F"/>
    <w:rsid w:val="001D3FB6"/>
    <w:rsid w:val="001D4550"/>
    <w:rsid w:val="001D5498"/>
    <w:rsid w:val="001D5BAF"/>
    <w:rsid w:val="001D628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17CC0"/>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2B"/>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5DD"/>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1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3D26"/>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584"/>
    <w:rsid w:val="00341B25"/>
    <w:rsid w:val="00341EC0"/>
    <w:rsid w:val="0034240C"/>
    <w:rsid w:val="00344496"/>
    <w:rsid w:val="00345968"/>
    <w:rsid w:val="00347667"/>
    <w:rsid w:val="003507E2"/>
    <w:rsid w:val="003522B2"/>
    <w:rsid w:val="0035455E"/>
    <w:rsid w:val="00354A6F"/>
    <w:rsid w:val="00354B48"/>
    <w:rsid w:val="003551FD"/>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5E07"/>
    <w:rsid w:val="003E68C7"/>
    <w:rsid w:val="003E79B0"/>
    <w:rsid w:val="003F0403"/>
    <w:rsid w:val="003F1094"/>
    <w:rsid w:val="003F2E45"/>
    <w:rsid w:val="003F3EFE"/>
    <w:rsid w:val="003F40B8"/>
    <w:rsid w:val="003F5C06"/>
    <w:rsid w:val="003F5DFF"/>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19CE"/>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5F0A"/>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5D7C"/>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11E"/>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55F"/>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3E74"/>
    <w:rsid w:val="005765C0"/>
    <w:rsid w:val="005778DE"/>
    <w:rsid w:val="00580B3F"/>
    <w:rsid w:val="005825F2"/>
    <w:rsid w:val="005860AF"/>
    <w:rsid w:val="00587F1D"/>
    <w:rsid w:val="00590348"/>
    <w:rsid w:val="00591161"/>
    <w:rsid w:val="00592318"/>
    <w:rsid w:val="00593133"/>
    <w:rsid w:val="0059575D"/>
    <w:rsid w:val="00596825"/>
    <w:rsid w:val="005A150A"/>
    <w:rsid w:val="005A1568"/>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6F6931"/>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183A"/>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6E7"/>
    <w:rsid w:val="00760B08"/>
    <w:rsid w:val="00760EDA"/>
    <w:rsid w:val="00761F4E"/>
    <w:rsid w:val="00762150"/>
    <w:rsid w:val="007624CE"/>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355"/>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0D87"/>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0C29"/>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112"/>
    <w:rsid w:val="008B5701"/>
    <w:rsid w:val="008B5D2D"/>
    <w:rsid w:val="008B6361"/>
    <w:rsid w:val="008C0320"/>
    <w:rsid w:val="008C2A81"/>
    <w:rsid w:val="008C3863"/>
    <w:rsid w:val="008C4BDC"/>
    <w:rsid w:val="008C50FF"/>
    <w:rsid w:val="008C5435"/>
    <w:rsid w:val="008C6BD1"/>
    <w:rsid w:val="008D2DB5"/>
    <w:rsid w:val="008D3F10"/>
    <w:rsid w:val="008D611D"/>
    <w:rsid w:val="008D741F"/>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5EA"/>
    <w:rsid w:val="00984C15"/>
    <w:rsid w:val="00987829"/>
    <w:rsid w:val="00991276"/>
    <w:rsid w:val="009923E7"/>
    <w:rsid w:val="00992697"/>
    <w:rsid w:val="00994621"/>
    <w:rsid w:val="009947FF"/>
    <w:rsid w:val="0099544B"/>
    <w:rsid w:val="0099776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7E8"/>
    <w:rsid w:val="009D3E7C"/>
    <w:rsid w:val="009D55CA"/>
    <w:rsid w:val="009D5EF0"/>
    <w:rsid w:val="009D6401"/>
    <w:rsid w:val="009E0711"/>
    <w:rsid w:val="009E1917"/>
    <w:rsid w:val="009E3594"/>
    <w:rsid w:val="009E6B77"/>
    <w:rsid w:val="009E74EF"/>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0474"/>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C671D"/>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68D9"/>
    <w:rsid w:val="00AF0029"/>
    <w:rsid w:val="00AF0354"/>
    <w:rsid w:val="00AF1236"/>
    <w:rsid w:val="00AF3C29"/>
    <w:rsid w:val="00AF4401"/>
    <w:rsid w:val="00AF4463"/>
    <w:rsid w:val="00AF53CB"/>
    <w:rsid w:val="00AF65C5"/>
    <w:rsid w:val="00B03CE2"/>
    <w:rsid w:val="00B05F7E"/>
    <w:rsid w:val="00B06544"/>
    <w:rsid w:val="00B105F2"/>
    <w:rsid w:val="00B10991"/>
    <w:rsid w:val="00B12128"/>
    <w:rsid w:val="00B12945"/>
    <w:rsid w:val="00B12ACC"/>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D4C"/>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29F8"/>
    <w:rsid w:val="00B73492"/>
    <w:rsid w:val="00B736F2"/>
    <w:rsid w:val="00B7512A"/>
    <w:rsid w:val="00B76548"/>
    <w:rsid w:val="00B76BED"/>
    <w:rsid w:val="00B76DE1"/>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A82"/>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24CD"/>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06A"/>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49A"/>
    <w:rsid w:val="00D22786"/>
    <w:rsid w:val="00D228B4"/>
    <w:rsid w:val="00D24236"/>
    <w:rsid w:val="00D25AC4"/>
    <w:rsid w:val="00D305F6"/>
    <w:rsid w:val="00D30B25"/>
    <w:rsid w:val="00D3175A"/>
    <w:rsid w:val="00D31A00"/>
    <w:rsid w:val="00D323E4"/>
    <w:rsid w:val="00D32871"/>
    <w:rsid w:val="00D33881"/>
    <w:rsid w:val="00D366B1"/>
    <w:rsid w:val="00D37AE0"/>
    <w:rsid w:val="00D409FC"/>
    <w:rsid w:val="00D416A8"/>
    <w:rsid w:val="00D4257C"/>
    <w:rsid w:val="00D425AC"/>
    <w:rsid w:val="00D42823"/>
    <w:rsid w:val="00D42856"/>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976B9"/>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1790"/>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648C"/>
    <w:rsid w:val="00E47430"/>
    <w:rsid w:val="00E50FB7"/>
    <w:rsid w:val="00E5199F"/>
    <w:rsid w:val="00E526DF"/>
    <w:rsid w:val="00E53C15"/>
    <w:rsid w:val="00E54EE6"/>
    <w:rsid w:val="00E56715"/>
    <w:rsid w:val="00E569DB"/>
    <w:rsid w:val="00E56C2C"/>
    <w:rsid w:val="00E57F8E"/>
    <w:rsid w:val="00E611C8"/>
    <w:rsid w:val="00E6344A"/>
    <w:rsid w:val="00E63D8F"/>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526F"/>
    <w:rsid w:val="00E97E2B"/>
    <w:rsid w:val="00EA08CA"/>
    <w:rsid w:val="00EA0AF5"/>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34"/>
    <w:rsid w:val="00F61B99"/>
    <w:rsid w:val="00F63F50"/>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0FD8"/>
    <w:rsid w:val="00FC1B9B"/>
    <w:rsid w:val="00FC318D"/>
    <w:rsid w:val="00FC36CF"/>
    <w:rsid w:val="00FC40BC"/>
    <w:rsid w:val="00FC41FC"/>
    <w:rsid w:val="00FC4F6E"/>
    <w:rsid w:val="00FC506C"/>
    <w:rsid w:val="00FC578C"/>
    <w:rsid w:val="00FC5A37"/>
    <w:rsid w:val="00FD13EA"/>
    <w:rsid w:val="00FD1D17"/>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7806858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esma.europa.eu/consultation/Consultation-Paper-Draft-technical-advice-possible-delegated-acts-concerning-Market-Ab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Univers 45 Light">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057CC3"/>
    <w:rsid w:val="00057CC3"/>
    <w:rsid w:val="001A298D"/>
    <w:rsid w:val="00277F58"/>
    <w:rsid w:val="007C4AB9"/>
    <w:rsid w:val="00880D16"/>
    <w:rsid w:val="0088361F"/>
    <w:rsid w:val="00D87096"/>
    <w:rsid w:val="00D924AF"/>
    <w:rsid w:val="00DA60A1"/>
    <w:rsid w:val="00EB45F4"/>
    <w:rsid w:val="00EE4BD6"/>
    <w:rsid w:val="00FA5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25DD9-75F7-4FB9-AD1D-D746AFEA0789}">
  <ds:schemaRefs>
    <ds:schemaRef ds:uri="http://schemas.openxmlformats.org/officeDocument/2006/bibliography"/>
  </ds:schemaRefs>
</ds:datastoreItem>
</file>

<file path=customXml/itemProps2.xml><?xml version="1.0" encoding="utf-8"?>
<ds:datastoreItem xmlns:ds="http://schemas.openxmlformats.org/officeDocument/2006/customXml" ds:itemID="{F8EE3A34-B288-437C-A125-AD9533E5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3531</Words>
  <Characters>20095</Characters>
  <Application>Microsoft Office Word</Application>
  <DocSecurity>8</DocSecurity>
  <Lines>167</Lines>
  <Paragraphs>47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23579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FJK311</cp:lastModifiedBy>
  <cp:revision>2</cp:revision>
  <cp:lastPrinted>2014-10-15T07:52:00Z</cp:lastPrinted>
  <dcterms:created xsi:type="dcterms:W3CDTF">2014-10-15T11:35:00Z</dcterms:created>
  <dcterms:modified xsi:type="dcterms:W3CDTF">2014-10-15T11:35:00Z</dcterms:modified>
</cp:coreProperties>
</file>