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Lienhypertexte"/>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Lienhypertexte"/>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Lienhypertexte"/>
            <w:szCs w:val="20"/>
          </w:rPr>
          <w:t>www.esma.europa.eu</w:t>
        </w:r>
      </w:hyperlink>
      <w:r w:rsidRPr="00321CD3">
        <w:rPr>
          <w:szCs w:val="20"/>
        </w:rPr>
        <w:t xml:space="preserve"> under the heading ‘Disclaimer’.</w:t>
      </w:r>
    </w:p>
    <w:p w:rsidR="00E8774A" w:rsidRDefault="00024F53" w:rsidP="00E8774A">
      <w:pPr>
        <w:pStyle w:val="Titre1"/>
        <w:numPr>
          <w:ilvl w:val="0"/>
          <w:numId w:val="0"/>
        </w:numPr>
      </w:pPr>
      <w:r>
        <w:rPr>
          <w:szCs w:val="20"/>
        </w:rPr>
        <w:br w:type="page"/>
      </w:r>
      <w:r w:rsidR="00E8774A">
        <w:lastRenderedPageBreak/>
        <w:t>General information about respondent</w:t>
      </w:r>
    </w:p>
    <w:tbl>
      <w:tblPr>
        <w:tblStyle w:val="Grilledutableau"/>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655BE2"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724973569" w:edGrp="everyone"/>
                <w:r w:rsidR="005E5F87">
                  <w:t>NO</w:t>
                </w:r>
                <w:permEnd w:id="724973569"/>
              </w:sdtContent>
            </w:sdt>
          </w:p>
        </w:tc>
      </w:tr>
      <w:tr w:rsidR="00E8774A" w:rsidTr="008313E5">
        <w:tc>
          <w:tcPr>
            <w:tcW w:w="3510" w:type="dxa"/>
          </w:tcPr>
          <w:p w:rsidR="00E8774A" w:rsidRDefault="00E8774A" w:rsidP="008313E5">
            <w:r>
              <w:t>Activity:</w:t>
            </w:r>
          </w:p>
        </w:tc>
        <w:tc>
          <w:tcPr>
            <w:tcW w:w="6118" w:type="dxa"/>
          </w:tcPr>
          <w:p w:rsidR="00E8774A" w:rsidRDefault="00655BE2"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23966372" w:edGrp="everyone"/>
                <w:r w:rsidR="005E5F87">
                  <w:t>Regulated markets/Exchanges/Trading Systems</w:t>
                </w:r>
                <w:permEnd w:id="223966372"/>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2696516" w:edGrp="everyone" w:displacedByCustomXml="prev"/>
            <w:tc>
              <w:tcPr>
                <w:tcW w:w="6118" w:type="dxa"/>
              </w:tcPr>
              <w:p w:rsidR="00E8774A" w:rsidRDefault="005E5F87" w:rsidP="008313E5">
                <w:r>
                  <w:t>Europe</w:t>
                </w:r>
              </w:p>
            </w:tc>
            <w:permEnd w:id="212696516" w:displacedByCustomXml="next"/>
          </w:sdtContent>
        </w:sdt>
      </w:tr>
    </w:tbl>
    <w:p w:rsidR="00D74C9D" w:rsidRDefault="005D1023" w:rsidP="00D74C9D">
      <w:pPr>
        <w:pStyle w:val="Titre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B1544B" w:rsidRPr="001D699E" w:rsidRDefault="00B1544B" w:rsidP="00B1544B">
      <w:pPr>
        <w:rPr>
          <w:szCs w:val="20"/>
        </w:rPr>
      </w:pPr>
      <w:permStart w:id="1727011964" w:edGrp="everyone"/>
      <w:r w:rsidRPr="001D699E">
        <w:rPr>
          <w:szCs w:val="20"/>
        </w:rPr>
        <w:t>Euronext is a leading global operator of financial markets and a provider of innovative trading technol</w:t>
      </w:r>
      <w:r w:rsidRPr="001D699E">
        <w:rPr>
          <w:szCs w:val="20"/>
        </w:rPr>
        <w:t>o</w:t>
      </w:r>
      <w:r w:rsidRPr="001D699E">
        <w:rPr>
          <w:szCs w:val="20"/>
        </w:rPr>
        <w:t>gies. Euronext’s exchanges in Europe (Amsterdam, Brussels, Lisbon, London and Paris) provide for the trading of cash equities</w:t>
      </w:r>
      <w:r>
        <w:rPr>
          <w:szCs w:val="20"/>
        </w:rPr>
        <w:t>, bonds, derivatives and other e</w:t>
      </w:r>
      <w:r w:rsidRPr="001D699E">
        <w:rPr>
          <w:szCs w:val="20"/>
        </w:rPr>
        <w:t xml:space="preserve">xchange-traded products.  </w:t>
      </w:r>
    </w:p>
    <w:p w:rsidR="00B1544B" w:rsidRPr="001D699E" w:rsidRDefault="00B1544B" w:rsidP="00B1544B">
      <w:pPr>
        <w:rPr>
          <w:szCs w:val="20"/>
        </w:rPr>
      </w:pPr>
    </w:p>
    <w:p w:rsidR="00B1544B" w:rsidRPr="001D699E" w:rsidRDefault="00B1544B" w:rsidP="00B1544B">
      <w:pPr>
        <w:spacing w:after="120" w:line="276" w:lineRule="auto"/>
        <w:jc w:val="both"/>
        <w:rPr>
          <w:rFonts w:eastAsiaTheme="minorHAnsi" w:cstheme="minorBidi"/>
          <w:bCs/>
          <w:szCs w:val="20"/>
          <w:lang w:val="en-US" w:eastAsia="en-US"/>
        </w:rPr>
      </w:pPr>
      <w:r w:rsidRPr="001D699E">
        <w:rPr>
          <w:rFonts w:eastAsiaTheme="minorHAnsi" w:cstheme="minorBidi"/>
          <w:bCs/>
          <w:szCs w:val="20"/>
          <w:lang w:val="en-US" w:eastAsia="en-US"/>
        </w:rPr>
        <w:t xml:space="preserve">This document contains the views of Euronext with regard to ESMA’s </w:t>
      </w:r>
      <w:r w:rsidRPr="001D699E">
        <w:rPr>
          <w:rFonts w:eastAsiaTheme="minorHAnsi" w:cstheme="minorBidi"/>
          <w:szCs w:val="20"/>
          <w:lang w:eastAsia="en-US"/>
        </w:rPr>
        <w:t>discussion paper on policy orient</w:t>
      </w:r>
      <w:r w:rsidRPr="001D699E">
        <w:rPr>
          <w:rFonts w:eastAsiaTheme="minorHAnsi" w:cstheme="minorBidi"/>
          <w:szCs w:val="20"/>
          <w:lang w:eastAsia="en-US"/>
        </w:rPr>
        <w:t>a</w:t>
      </w:r>
      <w:r w:rsidRPr="001D699E">
        <w:rPr>
          <w:rFonts w:eastAsiaTheme="minorHAnsi" w:cstheme="minorBidi"/>
          <w:szCs w:val="20"/>
          <w:lang w:eastAsia="en-US"/>
        </w:rPr>
        <w:t>tions on possible implementing measures under the market abuse regulation</w:t>
      </w:r>
      <w:r w:rsidRPr="001D699E">
        <w:rPr>
          <w:rFonts w:eastAsiaTheme="minorHAnsi" w:cstheme="minorBidi"/>
          <w:bCs/>
          <w:szCs w:val="20"/>
          <w:lang w:val="en-US" w:eastAsia="en-US"/>
        </w:rPr>
        <w:t xml:space="preserve">. </w:t>
      </w:r>
    </w:p>
    <w:p w:rsidR="00B1544B" w:rsidRPr="001D699E" w:rsidRDefault="00B1544B" w:rsidP="00B1544B">
      <w:pPr>
        <w:spacing w:after="120" w:line="276" w:lineRule="auto"/>
        <w:jc w:val="both"/>
        <w:rPr>
          <w:rFonts w:eastAsiaTheme="minorHAnsi" w:cstheme="minorBidi"/>
          <w:bCs/>
          <w:szCs w:val="20"/>
          <w:lang w:val="en-US" w:eastAsia="en-US"/>
        </w:rPr>
      </w:pPr>
      <w:r w:rsidRPr="001D699E">
        <w:rPr>
          <w:rFonts w:eastAsiaTheme="minorHAnsi" w:cstheme="minorBidi"/>
          <w:bCs/>
          <w:szCs w:val="20"/>
          <w:lang w:val="en-US" w:eastAsia="en-US"/>
        </w:rPr>
        <w:t xml:space="preserve">Euronext welcomes the opportunity to comment on these initial proposals for MAR implementing measures considering the importance that such measures will have in achieving the objectives pursued by MAD, namely, enhance the integrity of financial markets taking into consideration the deep evolutions they have faced lately. </w:t>
      </w:r>
    </w:p>
    <w:p w:rsidR="00B1544B" w:rsidRPr="001D699E" w:rsidRDefault="00B1544B" w:rsidP="00B1544B">
      <w:pPr>
        <w:autoSpaceDE w:val="0"/>
        <w:autoSpaceDN w:val="0"/>
        <w:adjustRightInd w:val="0"/>
        <w:spacing w:after="120" w:line="276" w:lineRule="auto"/>
        <w:jc w:val="both"/>
        <w:rPr>
          <w:rFonts w:eastAsiaTheme="minorHAnsi" w:cstheme="minorHAnsi"/>
          <w:bCs/>
          <w:szCs w:val="20"/>
          <w:lang w:eastAsia="en-US"/>
        </w:rPr>
      </w:pPr>
      <w:r w:rsidRPr="001D699E">
        <w:rPr>
          <w:rFonts w:eastAsiaTheme="minorHAnsi" w:cstheme="minorHAnsi"/>
          <w:bCs/>
          <w:szCs w:val="20"/>
          <w:lang w:eastAsia="en-US"/>
        </w:rPr>
        <w:t>Euronext believes that it is crucial to enhance market integrity and investor protection by modernising the present legislative framework. With MIFID, increased fragmentation and opacity of European cash ma</w:t>
      </w:r>
      <w:r w:rsidRPr="001D699E">
        <w:rPr>
          <w:rFonts w:eastAsiaTheme="minorHAnsi" w:cstheme="minorHAnsi"/>
          <w:bCs/>
          <w:szCs w:val="20"/>
          <w:lang w:eastAsia="en-US"/>
        </w:rPr>
        <w:t>r</w:t>
      </w:r>
      <w:r w:rsidRPr="001D699E">
        <w:rPr>
          <w:rFonts w:eastAsiaTheme="minorHAnsi" w:cstheme="minorHAnsi"/>
          <w:bCs/>
          <w:szCs w:val="20"/>
          <w:lang w:eastAsia="en-US"/>
        </w:rPr>
        <w:t xml:space="preserve">kets prevailed causing difficult application of the Market Abuse Directive (“MAD”). More trading volumes are executed across trading venues where different levels of control and regulation are applied. This has resulted in market abuse cases, including: manipulating the lit market when trading in a dark pool, or trading continuing in a financial instrument on an Multilateral Trading Facilities (“MTF”), when that instrument has been suspended on the Regulated Market following an injunction by a national regulator. Euronext therefore agreed that there was a need to harmonise rules at a pan-European level and that this requires a revision of MAD. </w:t>
      </w:r>
    </w:p>
    <w:p w:rsidR="00B1544B" w:rsidRPr="001D699E" w:rsidRDefault="00B1544B" w:rsidP="00B1544B">
      <w:pPr>
        <w:spacing w:after="120" w:line="276" w:lineRule="auto"/>
        <w:jc w:val="both"/>
        <w:rPr>
          <w:rFonts w:eastAsiaTheme="minorHAnsi" w:cstheme="minorBidi"/>
          <w:bCs/>
          <w:szCs w:val="20"/>
          <w:lang w:val="en-US" w:eastAsia="en-US"/>
        </w:rPr>
      </w:pPr>
      <w:r w:rsidRPr="001D699E">
        <w:rPr>
          <w:rFonts w:eastAsiaTheme="minorHAnsi" w:cstheme="minorHAnsi"/>
          <w:bCs/>
          <w:szCs w:val="20"/>
          <w:lang w:eastAsia="en-US"/>
        </w:rPr>
        <w:t xml:space="preserve">Euronext believes that the modernisation of  the market abuse rules in a coordinated and harmonised way is key for the development of sound European financial markets. </w:t>
      </w:r>
      <w:r w:rsidRPr="001D699E">
        <w:rPr>
          <w:rFonts w:eastAsiaTheme="minorHAnsi" w:cstheme="minorBidi"/>
          <w:bCs/>
          <w:szCs w:val="20"/>
          <w:lang w:val="en-US" w:eastAsia="en-US"/>
        </w:rPr>
        <w:t>Euronext overall agrees with the pr</w:t>
      </w:r>
      <w:r w:rsidRPr="001D699E">
        <w:rPr>
          <w:rFonts w:eastAsiaTheme="minorHAnsi" w:cstheme="minorBidi"/>
          <w:bCs/>
          <w:szCs w:val="20"/>
          <w:lang w:val="en-US" w:eastAsia="en-US"/>
        </w:rPr>
        <w:t>o</w:t>
      </w:r>
      <w:r w:rsidRPr="001D699E">
        <w:rPr>
          <w:rFonts w:eastAsiaTheme="minorHAnsi" w:cstheme="minorBidi"/>
          <w:bCs/>
          <w:szCs w:val="20"/>
          <w:lang w:val="en-US" w:eastAsia="en-US"/>
        </w:rPr>
        <w:t xml:space="preserve">posals included in the discussion paper but considers that for the implementing measures to be effective, they should apply to all marketplaces (regulated trading venues and OTC) equally. Otherwise, the risk is to create an </w:t>
      </w:r>
      <w:proofErr w:type="spellStart"/>
      <w:r w:rsidRPr="001D699E">
        <w:rPr>
          <w:rFonts w:eastAsiaTheme="minorHAnsi" w:cstheme="minorBidi"/>
          <w:bCs/>
          <w:szCs w:val="20"/>
          <w:lang w:val="en-US" w:eastAsia="en-US"/>
        </w:rPr>
        <w:t>unlevel</w:t>
      </w:r>
      <w:proofErr w:type="spellEnd"/>
      <w:r w:rsidRPr="001D699E">
        <w:rPr>
          <w:rFonts w:eastAsiaTheme="minorHAnsi" w:cstheme="minorBidi"/>
          <w:bCs/>
          <w:szCs w:val="20"/>
          <w:lang w:val="en-US" w:eastAsia="en-US"/>
        </w:rPr>
        <w:t xml:space="preserve"> playing field, whereby a significant proportion of trading remains uncovered or covered by weaker market integrity rules, with potential incentives, for those seeking to circumvent MAR’s prov</w:t>
      </w:r>
      <w:r w:rsidRPr="001D699E">
        <w:rPr>
          <w:rFonts w:eastAsiaTheme="minorHAnsi" w:cstheme="minorBidi"/>
          <w:bCs/>
          <w:szCs w:val="20"/>
          <w:lang w:val="en-US" w:eastAsia="en-US"/>
        </w:rPr>
        <w:t>i</w:t>
      </w:r>
      <w:r w:rsidRPr="001D699E">
        <w:rPr>
          <w:rFonts w:eastAsiaTheme="minorHAnsi" w:cstheme="minorBidi"/>
          <w:bCs/>
          <w:szCs w:val="20"/>
          <w:lang w:val="en-US" w:eastAsia="en-US"/>
        </w:rPr>
        <w:t>sions, to direct their activities towards these less regulated areas.</w:t>
      </w:r>
    </w:p>
    <w:permEnd w:id="1727011964"/>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Titre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10182A" w:rsidRDefault="0010182A" w:rsidP="0010182A">
      <w:pPr>
        <w:jc w:val="both"/>
      </w:pPr>
      <w:permStart w:id="1559707460" w:edGrp="everyone"/>
      <w:r>
        <w:t>Euronext broadly agrees with the list.</w:t>
      </w:r>
    </w:p>
    <w:p w:rsidR="0010182A" w:rsidRDefault="0010182A" w:rsidP="0010182A">
      <w:pPr>
        <w:jc w:val="both"/>
      </w:pPr>
    </w:p>
    <w:p w:rsidR="0010182A" w:rsidRDefault="0010182A" w:rsidP="0010182A">
      <w:pPr>
        <w:jc w:val="both"/>
      </w:pPr>
      <w:r>
        <w:t>ESMA should perhaps differentiate those behaviours which are abnormal, artificial, deceptive, false and misleading from those behaviours which simply break the Rules of trading venues.  Pre-arranged trading may be subject to restrictions on some derivative venues, in part to ensure fair competition and price discovery in an orderly way – not to prevent market abuse.  On several cash trading venues pre-arranged trading is not prohibited.  For example a client and a broker-dealer may bi-laterally negotiate a trade, and then once the economics of the trade have been agreed, decide to execute the trade on, or report the trade to, a trading venue -  the client may want the protection of the exchange’s default rules or buying-in rules.</w:t>
      </w:r>
    </w:p>
    <w:p w:rsidR="0010182A" w:rsidRDefault="0010182A" w:rsidP="0010182A">
      <w:pPr>
        <w:jc w:val="both"/>
      </w:pPr>
    </w:p>
    <w:p w:rsidR="0010182A" w:rsidRDefault="0010182A" w:rsidP="0010182A">
      <w:pPr>
        <w:jc w:val="both"/>
      </w:pPr>
      <w:r>
        <w:t xml:space="preserve">Euronext has some comments with regard to a few of the specific behaviours.  </w:t>
      </w:r>
    </w:p>
    <w:p w:rsidR="0010182A" w:rsidRDefault="0010182A" w:rsidP="0010182A">
      <w:pPr>
        <w:jc w:val="both"/>
      </w:pPr>
    </w:p>
    <w:p w:rsidR="0010182A" w:rsidRDefault="0010182A" w:rsidP="0010182A">
      <w:pPr>
        <w:jc w:val="both"/>
      </w:pPr>
      <w:r>
        <w:t>Regarding “Quote stuffing”,  it is not clear how “uncertainty” is defined.  There are market makers and liquidity providers who may be under obligation to a trading venue to provide two sided quotes – some do so at multiple levels.  Venues typically welcome depth in the order book, and liquidity.  To some people, a book “stuffed” full of genuine quotes will be a liquid one.  To include behaviours in the list, then Euronext would expect one or more of the key words such as abnormal / artificial, deceptive, false and mislea</w:t>
      </w:r>
      <w:r>
        <w:t>d</w:t>
      </w:r>
      <w:r>
        <w:t xml:space="preserve">ing  to be associated with the behaviour.   The creation of “uncertainty” is not within the scope of Article 12 of MAR unless it somehow creates abnormal / artificial prices or volumes, is deceptive, or creates a false and misleading impression.  </w:t>
      </w:r>
      <w:r>
        <w:rPr>
          <w:highlight w:val="yellow"/>
        </w:rPr>
        <w:t>We suggest ESMA might wish to clarify this.</w:t>
      </w:r>
      <w:r>
        <w:t>        </w:t>
      </w:r>
    </w:p>
    <w:p w:rsidR="0010182A" w:rsidRDefault="0010182A" w:rsidP="0010182A">
      <w:pPr>
        <w:jc w:val="both"/>
      </w:pPr>
    </w:p>
    <w:p w:rsidR="0010182A" w:rsidRDefault="0010182A" w:rsidP="0010182A">
      <w:pPr>
        <w:jc w:val="both"/>
      </w:pPr>
      <w:r>
        <w:t>Regarding, the creation of a floor in the price pattern,  any stabilisation (</w:t>
      </w:r>
      <w:r>
        <w:rPr>
          <w:b/>
          <w:bCs/>
        </w:rPr>
        <w:t>up or down</w:t>
      </w:r>
      <w:r>
        <w:t>) outside of the safe harbour may be abusive if it creates abnormal / artificial prices or volumes, is deceptive, or creates a false and misleading impression.  The examples of creating a floor make no comment about abusive downwards stabilisation and Euronext suggests it should for completeness.      </w:t>
      </w:r>
    </w:p>
    <w:p w:rsidR="0010182A" w:rsidRDefault="0010182A" w:rsidP="0010182A">
      <w:pPr>
        <w:jc w:val="both"/>
      </w:pPr>
    </w:p>
    <w:p w:rsidR="0010182A" w:rsidRDefault="0010182A" w:rsidP="0010182A">
      <w:pPr>
        <w:jc w:val="both"/>
      </w:pPr>
      <w:r>
        <w:t>Regarding “Ping orders” on a dark platform, Euronext does</w:t>
      </w:r>
      <w:r>
        <w:t xml:space="preserve"> not see why p</w:t>
      </w:r>
      <w:r>
        <w:t xml:space="preserve">ing orders are abusive per se.  Dark MTFs will generally match orders at the mid-point of the reference BBO – usually the primary market.  When the public sees trade reports from a dark MTF,  the public knows the prices are determined by the reference BBO (which is a generally available price) but they will not know in advance the volumes that will trade.  </w:t>
      </w:r>
      <w:r w:rsidRPr="0010182A">
        <w:t xml:space="preserve">For example, let us consider a </w:t>
      </w:r>
      <w:r>
        <w:t>scenario where an aggressive seller in the reference market is hitting bids, but a larger non displayed buy order is resting in a dark-pool MTF.  For a fragmented market place to operate more efficiently, there should be a mechanism for the liquidity in the dark to be brought to the lit reference market.  Otherwise, smaller orders may create unnecessary volatility in the lit and a poorer quality exec</w:t>
      </w:r>
      <w:r>
        <w:t>u</w:t>
      </w:r>
      <w:r>
        <w:t>tion.  One such mechanism is for a liquidity provider to  inform himself about all ways to hedge himself including what is resting in dark pools so his provision of liquidity in the lit is as informed as possible.   To reliably know what is in the dark pool he must send an order to trade.  The public will see a price and small volume print, and they are accordingly informed that someone is seeking information as to what liquidity can be found within the dark pool.  Both the seeker of information and the market at large receive the same information at the same time. As there is no issue of price discovery by sending ping orders into a dark MTF as the market is able to calculate the price of any trade from the dark pool by reference to the primary market, it is unclear how such ping orders can create any artificial or abnormal price, or create any deceptive false or misleading price.  In the scenario above, the liquidity provider finds a resting bid and is therefore prepared to provide liquidity in the lit to the aggressive sel</w:t>
      </w:r>
      <w:r>
        <w:t>l</w:t>
      </w:r>
      <w:r>
        <w:t xml:space="preserve">er.  </w:t>
      </w:r>
      <w:r w:rsidRPr="0010182A">
        <w:t>In the absence of such a mechanism, the liquidity provider may fade his bids leading to unwanted and unnecessary volatility. Euronext would be grateful for a clarification from ESMA as to what extent ping orders are considered to be abusive per se, and which of the elements of Article 12 they infringe.</w:t>
      </w:r>
    </w:p>
    <w:p w:rsidR="0010182A" w:rsidRDefault="0010182A" w:rsidP="0010182A">
      <w:pPr>
        <w:jc w:val="both"/>
      </w:pPr>
    </w:p>
    <w:p w:rsidR="0010182A" w:rsidRDefault="0010182A" w:rsidP="0010182A">
      <w:pPr>
        <w:jc w:val="both"/>
      </w:pPr>
      <w:r>
        <w:lastRenderedPageBreak/>
        <w:t>As per Para 13  “Entering orders to trade or transactions before or shortly after the market participant or persons publicly known as linked to that market participant produce or disseminate contrary research or investment recommendations that are made publicly available”,  Recital 28 of  MAR says “Research and estimates based on publicly available data, should not per se be regarded as inside information and the mere fact that a transaction is carried out on the basis of research or estimates should not therefore be deemed to constitute use of inside information</w:t>
      </w:r>
      <w:r>
        <w:t xml:space="preserve">.”  It would be useful if ESMA </w:t>
      </w:r>
      <w:bookmarkStart w:id="4" w:name="_GoBack"/>
      <w:bookmarkEnd w:id="4"/>
      <w:r>
        <w:t>could clarify why transa</w:t>
      </w:r>
      <w:r>
        <w:t>c</w:t>
      </w:r>
      <w:r>
        <w:t>tions based on research, particularly after the publication of research should be caught by the provisions of MAR. </w:t>
      </w:r>
    </w:p>
    <w:permEnd w:id="1559707460"/>
    <w:p w:rsidR="00E9344E" w:rsidRDefault="00E9344E" w:rsidP="00E9344E">
      <w:r>
        <w:t>&lt;ESMA_QUESTION_MAR_TA_1&gt;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815549465" w:edGrp="everyone"/>
      <w:r>
        <w:t>TYPE YOUR TEXT HERE</w:t>
      </w:r>
    </w:p>
    <w:permEnd w:id="815549465"/>
    <w:p w:rsidR="00E9344E" w:rsidRDefault="00E9344E" w:rsidP="00E9344E">
      <w:r>
        <w:t>&lt;ESMA_QUESTION_MAR_TA_2&gt;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that the practice known as “Phishing</w:t>
      </w:r>
      <w:r>
        <w:rPr>
          <w:rStyle w:val="Appelnotedebasdep"/>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487DE9" w:rsidRDefault="00487DE9" w:rsidP="00E9344E">
      <w:permStart w:id="1634539126" w:edGrp="everyone"/>
      <w:r>
        <w:t>No, i</w:t>
      </w:r>
      <w:r w:rsidRPr="00487DE9">
        <w:t>t is not clear how “Phishing” cont</w:t>
      </w:r>
      <w:r>
        <w:t>ravenes the provisions of MAR and as such should not perhaps be included in the list.</w:t>
      </w:r>
    </w:p>
    <w:permEnd w:id="1634539126"/>
    <w:p w:rsidR="00E9344E" w:rsidRDefault="00E9344E" w:rsidP="00E9344E">
      <w:r>
        <w:t>&lt;ESMA_QUESTION_MAR_TA_3&gt;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524AB7" w:rsidRPr="00A42F40" w:rsidRDefault="00524AB7" w:rsidP="00524AB7">
      <w:permStart w:id="2026269449" w:edGrp="everyone"/>
      <w:r w:rsidRPr="00A42F40">
        <w:t xml:space="preserve">Yes, </w:t>
      </w:r>
      <w:r>
        <w:t>Euronext</w:t>
      </w:r>
      <w:r w:rsidRPr="00A42F40">
        <w:t xml:space="preserve"> support</w:t>
      </w:r>
      <w:r>
        <w:t>s</w:t>
      </w:r>
      <w:r w:rsidRPr="00A42F40">
        <w:t xml:space="preserve"> this approach. In general</w:t>
      </w:r>
      <w:r>
        <w:t>,</w:t>
      </w:r>
      <w:r w:rsidRPr="00A42F40">
        <w:t xml:space="preserve"> manipulation should not be limited in the kind of i</w:t>
      </w:r>
      <w:r w:rsidRPr="00A42F40">
        <w:t>n</w:t>
      </w:r>
      <w:r w:rsidRPr="00A42F40">
        <w:t>struments used as long as it might affect the listed instruments and thereby can give a false or misleading impression.</w:t>
      </w:r>
    </w:p>
    <w:p w:rsidR="00524AB7" w:rsidRPr="00A42F40" w:rsidRDefault="00524AB7" w:rsidP="00524AB7"/>
    <w:p w:rsidR="00524AB7" w:rsidRPr="00A42F40" w:rsidRDefault="00524AB7" w:rsidP="00524AB7">
      <w:r w:rsidRPr="00A42F40">
        <w:t xml:space="preserve">However, while </w:t>
      </w:r>
      <w:r>
        <w:t>Euronext</w:t>
      </w:r>
      <w:r w:rsidRPr="00A42F40">
        <w:t xml:space="preserve"> support</w:t>
      </w:r>
      <w:r>
        <w:t>s</w:t>
      </w:r>
      <w:r w:rsidRPr="00A42F40">
        <w:t xml:space="preserve"> the reference to OTC transactions in the context of cross product manipulation, we urge ESMA to pay particular attention to the OTC space as it lacks transparency and regulation and thus needs more surveillance than regulated markets. </w:t>
      </w:r>
    </w:p>
    <w:permEnd w:id="2026269449"/>
    <w:p w:rsidR="00EC69C3" w:rsidRDefault="00E9344E" w:rsidP="00E9344E">
      <w:r>
        <w:t>&lt;ESMA_QUESTION_MAR_TA_4&gt;</w:t>
      </w:r>
    </w:p>
    <w:p w:rsidR="00E9344E" w:rsidRDefault="00EC69C3" w:rsidP="00E9344E">
      <w:r>
        <w:br w:type="page"/>
      </w:r>
    </w:p>
    <w:p w:rsidR="00E9344E" w:rsidRDefault="00E9344E" w:rsidP="00E9344E">
      <w:pPr>
        <w:pStyle w:val="Titre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74008395" w:edGrp="everyone"/>
      <w:r>
        <w:t>TYPE YOUR TEXT HERE</w:t>
      </w:r>
    </w:p>
    <w:permEnd w:id="174008395"/>
    <w:p w:rsidR="00E9344E" w:rsidRDefault="00E9344E" w:rsidP="00E9344E">
      <w:r>
        <w:t>&lt;ESMA_QUESTION_MAR_TA_5&gt;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054938611" w:edGrp="everyone"/>
      <w:r>
        <w:t>TYPE YOUR TEXT HERE</w:t>
      </w:r>
    </w:p>
    <w:permEnd w:id="1054938611"/>
    <w:p w:rsidR="00E9344E" w:rsidRDefault="00E9344E" w:rsidP="00E9344E">
      <w:r>
        <w:t>&lt;ESMA_QUESTION_MAR_TA_6&gt;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524AB7" w:rsidRDefault="00524AB7" w:rsidP="00E9344E">
      <w:permStart w:id="464063392" w:edGrp="everyone"/>
      <w:r w:rsidRPr="00524AB7">
        <w:t xml:space="preserve">Yes. Euronext agrees with the approach. </w:t>
      </w:r>
    </w:p>
    <w:permEnd w:id="464063392"/>
    <w:p w:rsidR="00E9344E" w:rsidRDefault="00E9344E" w:rsidP="00E9344E">
      <w:r>
        <w:t>&lt;ESMA_QUESTION_MAR_TA_7&gt;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524AB7" w:rsidRDefault="00524AB7" w:rsidP="00E9344E">
      <w:pPr>
        <w:rPr>
          <w:bCs/>
          <w:lang w:val="en-US"/>
        </w:rPr>
      </w:pPr>
      <w:permStart w:id="1724338807" w:edGrp="everyone"/>
      <w:r w:rsidRPr="00E275C0">
        <w:rPr>
          <w:bCs/>
          <w:lang w:val="en-US"/>
        </w:rPr>
        <w:t xml:space="preserve">In that case the issuer </w:t>
      </w:r>
      <w:r>
        <w:rPr>
          <w:bCs/>
          <w:lang w:val="en-US"/>
        </w:rPr>
        <w:t>is required to make an election between the relevant competent authorities of the MSs where the</w:t>
      </w:r>
      <w:r w:rsidRPr="00E275C0">
        <w:rPr>
          <w:bCs/>
          <w:lang w:val="en-US"/>
        </w:rPr>
        <w:t xml:space="preserve"> issuer’s financial instruments were admitted to trading or traded</w:t>
      </w:r>
      <w:r>
        <w:rPr>
          <w:bCs/>
          <w:lang w:val="en-US"/>
        </w:rPr>
        <w:t xml:space="preserve"> simultaneously with its consent</w:t>
      </w:r>
      <w:r w:rsidRPr="00E275C0">
        <w:rPr>
          <w:bCs/>
          <w:lang w:val="en-US"/>
        </w:rPr>
        <w:t>.]</w:t>
      </w:r>
    </w:p>
    <w:permEnd w:id="1724338807"/>
    <w:p w:rsidR="00E9344E" w:rsidRDefault="00E9344E" w:rsidP="00E9344E">
      <w:r>
        <w:t>&lt;ESMA_QUESTION_MAR_TA_8&gt;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DE07F6" w:rsidRDefault="00446A4A" w:rsidP="00E9344E">
      <w:pPr>
        <w:rPr>
          <w:rFonts w:ascii="Calibri" w:eastAsiaTheme="minorHAnsi" w:hAnsi="Calibri" w:cstheme="minorBidi"/>
          <w:bCs/>
          <w:sz w:val="22"/>
          <w:szCs w:val="22"/>
          <w:lang w:val="en-US" w:eastAsia="en-US"/>
        </w:rPr>
      </w:pPr>
      <w:permStart w:id="1323575206" w:edGrp="everyone"/>
      <w:r w:rsidRPr="0010182A">
        <w:rPr>
          <w:rFonts w:ascii="Calibri" w:eastAsiaTheme="minorHAnsi" w:hAnsi="Calibri" w:cstheme="minorBidi"/>
          <w:bCs/>
          <w:sz w:val="22"/>
          <w:szCs w:val="22"/>
          <w:lang w:val="pt-PT" w:eastAsia="en-US"/>
        </w:rPr>
        <w:t xml:space="preserve">No, </w:t>
      </w:r>
      <w:proofErr w:type="spellStart"/>
      <w:r w:rsidRPr="0010182A">
        <w:rPr>
          <w:rFonts w:ascii="Calibri" w:eastAsiaTheme="minorHAnsi" w:hAnsi="Calibri" w:cstheme="minorBidi"/>
          <w:bCs/>
          <w:sz w:val="22"/>
          <w:szCs w:val="22"/>
          <w:lang w:val="pt-PT" w:eastAsia="en-US"/>
        </w:rPr>
        <w:t>we</w:t>
      </w:r>
      <w:proofErr w:type="spellEnd"/>
      <w:r w:rsidRPr="0010182A">
        <w:rPr>
          <w:rFonts w:ascii="Calibri" w:eastAsiaTheme="minorHAnsi" w:hAnsi="Calibri" w:cstheme="minorBidi"/>
          <w:bCs/>
          <w:sz w:val="22"/>
          <w:szCs w:val="22"/>
          <w:lang w:val="pt-PT" w:eastAsia="en-US"/>
        </w:rPr>
        <w:t xml:space="preserve"> do </w:t>
      </w:r>
      <w:proofErr w:type="spellStart"/>
      <w:r w:rsidRPr="0010182A">
        <w:rPr>
          <w:rFonts w:ascii="Calibri" w:eastAsiaTheme="minorHAnsi" w:hAnsi="Calibri" w:cstheme="minorBidi"/>
          <w:bCs/>
          <w:sz w:val="22"/>
          <w:szCs w:val="22"/>
          <w:lang w:val="pt-PT" w:eastAsia="en-US"/>
        </w:rPr>
        <w:t>not</w:t>
      </w:r>
      <w:proofErr w:type="spellEnd"/>
      <w:r w:rsidRPr="0010182A">
        <w:rPr>
          <w:rFonts w:ascii="Calibri" w:eastAsiaTheme="minorHAnsi" w:hAnsi="Calibri" w:cstheme="minorBidi"/>
          <w:bCs/>
          <w:sz w:val="22"/>
          <w:szCs w:val="22"/>
          <w:lang w:val="pt-PT" w:eastAsia="en-US"/>
        </w:rPr>
        <w:t xml:space="preserve">. </w:t>
      </w:r>
      <w:r w:rsidRPr="00446A4A">
        <w:rPr>
          <w:rFonts w:ascii="Calibri" w:eastAsiaTheme="minorHAnsi" w:hAnsi="Calibri" w:cstheme="minorBidi"/>
          <w:bCs/>
          <w:sz w:val="22"/>
          <w:szCs w:val="22"/>
          <w:lang w:val="en-US" w:eastAsia="en-US"/>
        </w:rPr>
        <w:t xml:space="preserve">For the sake of clarity, Euronext believes the same approach should apply where the delay has the scope of preserving the stability of the financial system. </w:t>
      </w:r>
    </w:p>
    <w:permEnd w:id="1323575206"/>
    <w:p w:rsidR="00E9344E" w:rsidRDefault="00E9344E" w:rsidP="00E9344E">
      <w:r>
        <w:t>&lt;ESMA_QUESTION_MAR_TA_9&gt;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Managers’ transactions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1930777227" w:edGrp="everyone"/>
      <w:r>
        <w:t>TYPE YOUR TEXT HERE</w:t>
      </w:r>
    </w:p>
    <w:permEnd w:id="1930777227"/>
    <w:p w:rsidR="00E9344E" w:rsidRDefault="00E9344E" w:rsidP="00E9344E">
      <w:r>
        <w:t>&lt;ESMA_QUESTION_MAR_TA_10&gt;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64041152" w:edGrp="everyone"/>
      <w:r>
        <w:t>TYPE YOUR TEXT HERE</w:t>
      </w:r>
    </w:p>
    <w:permEnd w:id="64041152"/>
    <w:p w:rsidR="00E9344E" w:rsidRDefault="00E9344E" w:rsidP="00E9344E">
      <w:r>
        <w:t>&lt;ESMA_QUESTION_MAR_TA_11&gt;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64239908" w:edGrp="everyone"/>
      <w:r>
        <w:t>TYPE YOUR TEXT HERE</w:t>
      </w:r>
    </w:p>
    <w:permEnd w:id="164239908"/>
    <w:p w:rsidR="00E9344E" w:rsidRDefault="00E9344E" w:rsidP="00E9344E">
      <w:r>
        <w:t>&lt;ESMA_QUESTION_MAR_TA_12&gt;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E9344E" w:rsidP="00E9344E">
      <w:permStart w:id="1849701338" w:edGrp="everyone"/>
      <w:r>
        <w:t>TYPE YOUR TEXT HERE</w:t>
      </w:r>
    </w:p>
    <w:permEnd w:id="1849701338"/>
    <w:p w:rsidR="00E9344E" w:rsidRDefault="00E9344E" w:rsidP="00E9344E">
      <w:r>
        <w:t>&lt;ESMA_QUESTION_MAR_TA_13&gt;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4433982" w:edGrp="everyone"/>
      <w:r>
        <w:t>TYPE YOUR TEXT HERE</w:t>
      </w:r>
    </w:p>
    <w:permEnd w:id="84433982"/>
    <w:p w:rsidR="00E9344E" w:rsidRDefault="00E9344E" w:rsidP="00E9344E">
      <w:r>
        <w:t>&lt;ESMA_QUESTION_MAR_TA_14&gt;</w:t>
      </w:r>
    </w:p>
    <w:p w:rsidR="00E9344E" w:rsidRDefault="00E9344E" w:rsidP="00E9344E">
      <w:r>
        <w:br w:type="page"/>
      </w:r>
    </w:p>
    <w:p w:rsidR="00E9344E" w:rsidRDefault="00E9344E" w:rsidP="00E9344E">
      <w:pPr>
        <w:pStyle w:val="Titre1"/>
        <w:keepLines/>
        <w:numPr>
          <w:ilvl w:val="0"/>
          <w:numId w:val="37"/>
        </w:numPr>
        <w:spacing w:before="480" w:after="0"/>
      </w:pPr>
      <w:r>
        <w:lastRenderedPageBreak/>
        <w:t>Reporting of infringements</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499409639" w:edGrp="everyone"/>
      <w:r>
        <w:t>TYPE YOUR TEXT HERE</w:t>
      </w:r>
    </w:p>
    <w:permEnd w:id="1499409639"/>
    <w:p w:rsidR="00E9344E" w:rsidRDefault="00E9344E" w:rsidP="00E9344E">
      <w:r>
        <w:t>&lt;ESMA_QUESTION_MAR_TA_15&gt;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950244429" w:edGrp="everyone"/>
      <w:r>
        <w:t>TYPE YOUR TEXT HERE</w:t>
      </w:r>
    </w:p>
    <w:permEnd w:id="1950244429"/>
    <w:p w:rsidR="00E9344E" w:rsidRDefault="00E9344E" w:rsidP="00E9344E">
      <w:r>
        <w:t>&lt;ESMA_QUESTION_MAR_TA_16&gt;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Titre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Titre5"/>
        <w:keepNext w:val="0"/>
        <w:keepLines w:val="0"/>
        <w:numPr>
          <w:ilvl w:val="0"/>
          <w:numId w:val="39"/>
        </w:numPr>
        <w:spacing w:before="0" w:line="276" w:lineRule="auto"/>
      </w:pPr>
      <w:r>
        <w:t>protection of the rights related to data processing;</w:t>
      </w:r>
    </w:p>
    <w:p w:rsidR="00E9344E" w:rsidRDefault="00E9344E" w:rsidP="00E9344E">
      <w:pPr>
        <w:pStyle w:val="Titre5"/>
        <w:keepNext w:val="0"/>
        <w:keepLines w:val="0"/>
        <w:numPr>
          <w:ilvl w:val="0"/>
          <w:numId w:val="39"/>
        </w:numPr>
        <w:spacing w:before="0" w:line="276" w:lineRule="auto"/>
      </w:pPr>
      <w:r>
        <w:t>security aspects of the data processing operation; and</w:t>
      </w:r>
    </w:p>
    <w:p w:rsidR="00E9344E" w:rsidRDefault="00E9344E" w:rsidP="00E9344E">
      <w:pPr>
        <w:pStyle w:val="Titre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993412211" w:edGrp="everyone"/>
      <w:r>
        <w:t>TYPE YOUR TEXT HERE</w:t>
      </w:r>
    </w:p>
    <w:permEnd w:id="993412211"/>
    <w:p w:rsidR="00E9344E" w:rsidRDefault="00E9344E" w:rsidP="00E9344E">
      <w:r>
        <w:t>&lt;ESMA_QUESTION_MAR_TA_17&gt;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538264233" w:edGrp="everyone"/>
      <w:r>
        <w:t>TYPE YOUR TEXT HERE</w:t>
      </w:r>
    </w:p>
    <w:permEnd w:id="538264233"/>
    <w:p w:rsidR="00E9344E" w:rsidRDefault="00E9344E" w:rsidP="00E9344E">
      <w:r>
        <w:t>&lt;ESMA_QUESTION_MAR_TA_18&gt;</w:t>
      </w:r>
    </w:p>
    <w:p w:rsidR="00E9344E" w:rsidRDefault="00E9344E" w:rsidP="00E9344E"/>
    <w:p w:rsidR="00E9344E" w:rsidRDefault="00E9344E" w:rsidP="00E9344E">
      <w:pPr>
        <w:pStyle w:val="Titre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653437189" w:edGrp="everyone"/>
      <w:r>
        <w:t>TYPE YOUR TEXT HERE</w:t>
      </w:r>
    </w:p>
    <w:permEnd w:id="1653437189"/>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BE2" w:rsidRDefault="00655BE2">
      <w:r>
        <w:separator/>
      </w:r>
    </w:p>
    <w:p w:rsidR="00655BE2" w:rsidRDefault="00655BE2"/>
  </w:endnote>
  <w:endnote w:type="continuationSeparator" w:id="0">
    <w:p w:rsidR="00655BE2" w:rsidRDefault="00655BE2">
      <w:r>
        <w:continuationSeparator/>
      </w:r>
    </w:p>
    <w:p w:rsidR="00655BE2" w:rsidRDefault="00655BE2"/>
  </w:endnote>
  <w:endnote w:type="continuationNotice" w:id="1">
    <w:p w:rsidR="00655BE2" w:rsidRDefault="00655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10182A">
            <w:rPr>
              <w:noProof/>
            </w:rPr>
            <w:t>8</w:t>
          </w:r>
          <w:r>
            <w:rPr>
              <w:noProof/>
            </w:rPr>
            <w:fldChar w:fldCharType="end"/>
          </w:r>
        </w:p>
      </w:tc>
    </w:tr>
  </w:tbl>
  <w:p w:rsidR="00811EDA" w:rsidRDefault="00811ED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BE2" w:rsidRDefault="00655BE2">
      <w:r>
        <w:separator/>
      </w:r>
    </w:p>
    <w:p w:rsidR="00655BE2" w:rsidRDefault="00655BE2"/>
  </w:footnote>
  <w:footnote w:type="continuationSeparator" w:id="0">
    <w:p w:rsidR="00655BE2" w:rsidRDefault="00655BE2">
      <w:r>
        <w:continuationSeparator/>
      </w:r>
    </w:p>
    <w:p w:rsidR="00655BE2" w:rsidRDefault="00655BE2"/>
  </w:footnote>
  <w:footnote w:type="continuationNotice" w:id="1">
    <w:p w:rsidR="00655BE2" w:rsidRDefault="00655BE2"/>
  </w:footnote>
  <w:footnote w:id="2">
    <w:p w:rsidR="00E9344E" w:rsidRDefault="00E9344E" w:rsidP="00E9344E">
      <w:pPr>
        <w:pStyle w:val="Notedebasdepage"/>
      </w:pPr>
      <w:r>
        <w:rPr>
          <w:rStyle w:val="Appelnotedebasdep"/>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En-tte"/>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En-tte"/>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En-tte"/>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rsidP="000C06C9">
    <w:pPr>
      <w:pStyle w:val="En-tte"/>
      <w:tabs>
        <w:tab w:val="clear" w:pos="4536"/>
        <w:tab w:val="clear" w:pos="9072"/>
        <w:tab w:val="left" w:pos="8227"/>
      </w:tabs>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lang w:val="fr-FR"/>
      </w:rPr>
    </w:pPr>
  </w:p>
  <w:p w:rsidR="00811EDA" w:rsidRPr="002F4496" w:rsidRDefault="00811EDA">
    <w:pPr>
      <w:pStyle w:val="En-tte"/>
      <w:rPr>
        <w:highlight w:val="yellow"/>
        <w:lang w:val="fr-FR"/>
      </w:rPr>
    </w:pPr>
  </w:p>
  <w:p w:rsidR="00811EDA" w:rsidRDefault="00024F53">
    <w:pPr>
      <w:pStyle w:val="En-tte"/>
    </w:pPr>
    <w:r>
      <w:rPr>
        <w:noProof/>
        <w:lang w:val="en-US" w:eastAsia="en-US"/>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epuce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Corpsdetex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epuce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epuce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Titre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re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enumros"/>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720"/>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182A"/>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72FE"/>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3D0"/>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6C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6A4A"/>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1D67"/>
    <w:rsid w:val="00482458"/>
    <w:rsid w:val="004837ED"/>
    <w:rsid w:val="00483942"/>
    <w:rsid w:val="004843CE"/>
    <w:rsid w:val="00485142"/>
    <w:rsid w:val="004852A7"/>
    <w:rsid w:val="00486C17"/>
    <w:rsid w:val="00486DE2"/>
    <w:rsid w:val="00487117"/>
    <w:rsid w:val="00487A32"/>
    <w:rsid w:val="00487A91"/>
    <w:rsid w:val="00487DE9"/>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31C"/>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AB7"/>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5F87"/>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55BE2"/>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75218"/>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7F33"/>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55D3"/>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44B"/>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7F6"/>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76D"/>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Titre1">
    <w:name w:val="heading 1"/>
    <w:basedOn w:val="Normal"/>
    <w:next w:val="Normal"/>
    <w:link w:val="Titre1Car"/>
    <w:qFormat/>
    <w:rsid w:val="009E7724"/>
    <w:pPr>
      <w:keepNext/>
      <w:numPr>
        <w:numId w:val="6"/>
      </w:numPr>
      <w:spacing w:before="240" w:after="60"/>
      <w:outlineLvl w:val="0"/>
    </w:pPr>
    <w:rPr>
      <w:rFonts w:cs="Arial"/>
      <w:b/>
      <w:bCs/>
      <w:kern w:val="32"/>
      <w:sz w:val="24"/>
      <w:szCs w:val="32"/>
    </w:rPr>
  </w:style>
  <w:style w:type="paragraph" w:styleId="Titre2">
    <w:name w:val="heading 2"/>
    <w:basedOn w:val="Normal"/>
    <w:next w:val="Normal"/>
    <w:link w:val="Titre2Car"/>
    <w:qFormat/>
    <w:rsid w:val="00886A60"/>
    <w:pPr>
      <w:keepNext/>
      <w:keepLines/>
      <w:spacing w:before="200" w:after="120"/>
      <w:outlineLvl w:val="1"/>
    </w:pPr>
    <w:rPr>
      <w:b/>
      <w:bCs/>
      <w:szCs w:val="26"/>
    </w:rPr>
  </w:style>
  <w:style w:type="paragraph" w:styleId="Titre3">
    <w:name w:val="heading 3"/>
    <w:basedOn w:val="Normal"/>
    <w:next w:val="Normal"/>
    <w:link w:val="Titre3Car"/>
    <w:qFormat/>
    <w:rsid w:val="003865E5"/>
    <w:pPr>
      <w:keepNext/>
      <w:keepLines/>
      <w:spacing w:before="200"/>
      <w:outlineLvl w:val="2"/>
    </w:pPr>
    <w:rPr>
      <w:rFonts w:ascii="Cambria" w:hAnsi="Cambria"/>
      <w:b/>
      <w:bCs/>
      <w:color w:val="4F81BD"/>
    </w:rPr>
  </w:style>
  <w:style w:type="paragraph" w:styleId="Titre4">
    <w:name w:val="heading 4"/>
    <w:basedOn w:val="Normal"/>
    <w:next w:val="Normal"/>
    <w:link w:val="Titre4C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re5">
    <w:name w:val="heading 5"/>
    <w:aliases w:val="Questions"/>
    <w:basedOn w:val="Normal"/>
    <w:next w:val="Normal"/>
    <w:link w:val="Titre5Car"/>
    <w:qFormat/>
    <w:rsid w:val="00E9344E"/>
    <w:pPr>
      <w:keepNext/>
      <w:keepLines/>
      <w:numPr>
        <w:numId w:val="14"/>
      </w:numPr>
      <w:spacing w:before="200"/>
      <w:jc w:val="both"/>
      <w:outlineLvl w:val="4"/>
    </w:pPr>
    <w:rPr>
      <w:b/>
    </w:rPr>
  </w:style>
  <w:style w:type="paragraph" w:styleId="Titre6">
    <w:name w:val="heading 6"/>
    <w:basedOn w:val="Normal"/>
    <w:next w:val="Normal"/>
    <w:link w:val="Titre6Car"/>
    <w:qFormat/>
    <w:rsid w:val="003609B6"/>
    <w:pPr>
      <w:numPr>
        <w:ilvl w:val="5"/>
        <w:numId w:val="4"/>
      </w:numPr>
      <w:spacing w:before="240" w:after="60"/>
      <w:outlineLvl w:val="5"/>
    </w:pPr>
    <w:rPr>
      <w:rFonts w:ascii="Times New Roman" w:hAnsi="Times New Roman"/>
      <w:b/>
      <w:bCs/>
      <w:szCs w:val="22"/>
    </w:rPr>
  </w:style>
  <w:style w:type="paragraph" w:styleId="Titre7">
    <w:name w:val="heading 7"/>
    <w:basedOn w:val="Normal"/>
    <w:next w:val="Normal"/>
    <w:link w:val="Titre7Car"/>
    <w:unhideWhenUsed/>
    <w:qFormat/>
    <w:rsid w:val="002D6E1A"/>
    <w:pPr>
      <w:spacing w:before="240" w:after="60"/>
      <w:ind w:left="1296" w:hanging="1296"/>
      <w:outlineLvl w:val="6"/>
    </w:pPr>
    <w:rPr>
      <w:rFonts w:ascii="Times New Roman" w:hAnsi="Times New Roman"/>
    </w:rPr>
  </w:style>
  <w:style w:type="paragraph" w:styleId="Titre8">
    <w:name w:val="heading 8"/>
    <w:basedOn w:val="Normal"/>
    <w:next w:val="Normal"/>
    <w:link w:val="Titre8Car"/>
    <w:qFormat/>
    <w:rsid w:val="003609B6"/>
    <w:pPr>
      <w:numPr>
        <w:ilvl w:val="7"/>
        <w:numId w:val="4"/>
      </w:numPr>
      <w:spacing w:before="240" w:after="60"/>
      <w:outlineLvl w:val="7"/>
    </w:pPr>
    <w:rPr>
      <w:rFonts w:ascii="Times New Roman" w:hAnsi="Times New Roman"/>
      <w:i/>
      <w:iCs/>
    </w:rPr>
  </w:style>
  <w:style w:type="paragraph" w:styleId="Titre9">
    <w:name w:val="heading 9"/>
    <w:basedOn w:val="Normal"/>
    <w:next w:val="Normal"/>
    <w:link w:val="Titre9Car"/>
    <w:qFormat/>
    <w:rsid w:val="00A06867"/>
    <w:pPr>
      <w:tabs>
        <w:tab w:val="num" w:pos="1584"/>
      </w:tabs>
      <w:spacing w:before="240" w:after="60"/>
      <w:ind w:left="1584"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5B64CB"/>
    <w:pPr>
      <w:tabs>
        <w:tab w:val="center" w:pos="4536"/>
        <w:tab w:val="right" w:pos="9072"/>
      </w:tabs>
    </w:pPr>
  </w:style>
  <w:style w:type="paragraph" w:styleId="Pieddepage">
    <w:name w:val="footer"/>
    <w:basedOn w:val="Normal"/>
    <w:link w:val="PieddepageCar"/>
    <w:rsid w:val="005B64CB"/>
    <w:pPr>
      <w:tabs>
        <w:tab w:val="center" w:pos="4536"/>
        <w:tab w:val="right" w:pos="9072"/>
      </w:tabs>
    </w:pPr>
  </w:style>
  <w:style w:type="table" w:styleId="Grilledutableau">
    <w:name w:val="Table Grid"/>
    <w:basedOn w:val="Tableau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rodepage">
    <w:name w:val="page number"/>
    <w:basedOn w:val="Policepardfau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M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Lienhypertext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Notedebasdepage">
    <w:name w:val="footnote text"/>
    <w:aliases w:val="Char3, Char3,Fußnotentextf,Fußnotentextr,stile 1,Footnote1,Footnote2,Footnote3,Footnote4,Footnote5,Footnote6,Footnote7,Footnote8,Footnote9,Footnote10,Footnote11,Footnote21,Footnote31,Footnote41,Footnote51,Footnote61,Footnote71"/>
    <w:basedOn w:val="Normal"/>
    <w:link w:val="NotedebasdepageCar"/>
    <w:uiPriority w:val="99"/>
    <w:rsid w:val="001725A5"/>
    <w:pPr>
      <w:spacing w:line="200" w:lineRule="exact"/>
    </w:pPr>
    <w:rPr>
      <w:sz w:val="16"/>
      <w:szCs w:val="20"/>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
    <w:uiPriority w:val="99"/>
    <w:rsid w:val="00C274F3"/>
    <w:rPr>
      <w:vertAlign w:val="superscript"/>
    </w:rPr>
  </w:style>
  <w:style w:type="paragraph" w:styleId="TM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Marquedecommentaire">
    <w:name w:val="annotation reference"/>
    <w:rsid w:val="004B1E61"/>
    <w:rPr>
      <w:sz w:val="16"/>
      <w:szCs w:val="16"/>
    </w:rPr>
  </w:style>
  <w:style w:type="paragraph" w:styleId="Commentaire">
    <w:name w:val="annotation text"/>
    <w:basedOn w:val="Normal"/>
    <w:link w:val="CommentaireCar"/>
    <w:rsid w:val="004B1E61"/>
    <w:rPr>
      <w:szCs w:val="20"/>
    </w:rPr>
  </w:style>
  <w:style w:type="character" w:customStyle="1" w:styleId="CommentaireCar">
    <w:name w:val="Commentaire Car"/>
    <w:link w:val="Commentaire"/>
    <w:uiPriority w:val="99"/>
    <w:rsid w:val="004B1E61"/>
    <w:rPr>
      <w:rFonts w:ascii="Georgia" w:hAnsi="Georgia"/>
      <w:lang w:eastAsia="de-DE"/>
    </w:rPr>
  </w:style>
  <w:style w:type="paragraph" w:styleId="Objetducommentaire">
    <w:name w:val="annotation subject"/>
    <w:basedOn w:val="Commentaire"/>
    <w:next w:val="Commentaire"/>
    <w:link w:val="ObjetducommentaireCar"/>
    <w:rsid w:val="004B1E61"/>
    <w:rPr>
      <w:b/>
      <w:bCs/>
    </w:rPr>
  </w:style>
  <w:style w:type="character" w:customStyle="1" w:styleId="ObjetducommentaireCar">
    <w:name w:val="Objet du commentaire Car"/>
    <w:link w:val="Objetducommentaire"/>
    <w:rsid w:val="004B1E61"/>
    <w:rPr>
      <w:rFonts w:ascii="Georgia" w:hAnsi="Georgia"/>
      <w:b/>
      <w:bCs/>
      <w:lang w:eastAsia="de-DE"/>
    </w:rPr>
  </w:style>
  <w:style w:type="paragraph" w:styleId="Textedebulles">
    <w:name w:val="Balloon Text"/>
    <w:basedOn w:val="Normal"/>
    <w:link w:val="TextedebullesCar"/>
    <w:rsid w:val="004B1E61"/>
    <w:rPr>
      <w:rFonts w:ascii="Tahoma" w:hAnsi="Tahoma" w:cs="Tahoma"/>
      <w:sz w:val="16"/>
      <w:szCs w:val="16"/>
    </w:rPr>
  </w:style>
  <w:style w:type="character" w:customStyle="1" w:styleId="TextedebullesCar">
    <w:name w:val="Texte de bulles Car"/>
    <w:link w:val="Textedebulles"/>
    <w:rsid w:val="004B1E61"/>
    <w:rPr>
      <w:rFonts w:ascii="Tahoma" w:hAnsi="Tahoma" w:cs="Tahoma"/>
      <w:sz w:val="16"/>
      <w:szCs w:val="16"/>
      <w:lang w:eastAsia="de-DE"/>
    </w:rPr>
  </w:style>
  <w:style w:type="paragraph" w:styleId="Paragraphedeliste">
    <w:name w:val="List Paragraph"/>
    <w:aliases w:val="Paragraphe EI,Paragraphe de liste1,EC"/>
    <w:basedOn w:val="Normal"/>
    <w:link w:val="ParagraphedelisteCar"/>
    <w:uiPriority w:val="34"/>
    <w:qFormat/>
    <w:rsid w:val="002A0C82"/>
    <w:pPr>
      <w:ind w:left="720"/>
      <w:contextualSpacing/>
    </w:pPr>
  </w:style>
  <w:style w:type="paragraph" w:styleId="En-ttedetabledesmatires">
    <w:name w:val="TOC Heading"/>
    <w:basedOn w:val="Titre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NotedebasdepageCar">
    <w:name w:val="Note de bas de page Car"/>
    <w:aliases w:val="Char3 Car, Char3 Car,Fußnotentextf Car,Fußnotentextr Car,stile 1 Car,Footnote1 Car,Footnote2 Car,Footnote3 Car,Footnote4 Car,Footnote5 Car,Footnote6 Car,Footnote7 Car,Footnote8 Car,Footnote9 Car,Footnote10 Car,Footnote11 Car"/>
    <w:link w:val="Notedebasdepage"/>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Policepardfau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re1Car">
    <w:name w:val="Titre 1 Car"/>
    <w:link w:val="Titre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Accentuation">
    <w:name w:val="Emphasis"/>
    <w:uiPriority w:val="20"/>
    <w:qFormat/>
    <w:rsid w:val="005F028E"/>
    <w:rPr>
      <w:i/>
      <w:iCs/>
    </w:rPr>
  </w:style>
  <w:style w:type="paragraph" w:styleId="Rvision">
    <w:name w:val="Revision"/>
    <w:link w:val="RvisionCar"/>
    <w:hidden/>
    <w:uiPriority w:val="99"/>
    <w:semiHidden/>
    <w:rsid w:val="008E6A37"/>
    <w:rPr>
      <w:rFonts w:ascii="Georgia" w:hAnsi="Georgia"/>
      <w:sz w:val="22"/>
      <w:szCs w:val="24"/>
      <w:lang w:eastAsia="de-DE"/>
    </w:rPr>
  </w:style>
  <w:style w:type="paragraph" w:styleId="TM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M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M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M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M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M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M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gende">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Explorateurdedocuments">
    <w:name w:val="Document Map"/>
    <w:basedOn w:val="Normal"/>
    <w:link w:val="ExplorateurdedocumentsCar"/>
    <w:rsid w:val="00AA016B"/>
    <w:rPr>
      <w:rFonts w:ascii="Tahoma" w:hAnsi="Tahoma" w:cs="Tahoma"/>
      <w:sz w:val="16"/>
      <w:szCs w:val="16"/>
    </w:rPr>
  </w:style>
  <w:style w:type="character" w:customStyle="1" w:styleId="ExplorateurdedocumentsCar">
    <w:name w:val="Explorateur de documents Car"/>
    <w:link w:val="Explorateurdedocuments"/>
    <w:rsid w:val="00AA016B"/>
    <w:rPr>
      <w:rFonts w:ascii="Tahoma" w:hAnsi="Tahoma" w:cs="Tahoma"/>
      <w:sz w:val="16"/>
      <w:szCs w:val="16"/>
      <w:lang w:eastAsia="de-DE"/>
    </w:rPr>
  </w:style>
  <w:style w:type="paragraph" w:styleId="Textebrut">
    <w:name w:val="Plain Text"/>
    <w:basedOn w:val="Normal"/>
    <w:link w:val="TextebrutCar"/>
    <w:unhideWhenUsed/>
    <w:rsid w:val="00AA016B"/>
    <w:rPr>
      <w:rFonts w:ascii="Consolas" w:hAnsi="Consolas"/>
      <w:sz w:val="21"/>
      <w:szCs w:val="21"/>
      <w:lang w:val="de-DE"/>
    </w:rPr>
  </w:style>
  <w:style w:type="character" w:customStyle="1" w:styleId="TextebrutCar">
    <w:name w:val="Texte brut Car"/>
    <w:link w:val="Textebrut"/>
    <w:rsid w:val="00AA016B"/>
    <w:rPr>
      <w:rFonts w:ascii="Consolas" w:hAnsi="Consolas"/>
      <w:sz w:val="21"/>
      <w:szCs w:val="21"/>
      <w:lang w:val="de-DE" w:eastAsia="de-DE"/>
    </w:rPr>
  </w:style>
  <w:style w:type="paragraph" w:styleId="Corpsdetexte">
    <w:name w:val="Body Text"/>
    <w:basedOn w:val="Normal"/>
    <w:link w:val="CorpsdetexteCar"/>
    <w:unhideWhenUsed/>
    <w:rsid w:val="00AA016B"/>
    <w:pPr>
      <w:numPr>
        <w:numId w:val="9"/>
      </w:numPr>
      <w:spacing w:after="240"/>
      <w:jc w:val="both"/>
    </w:pPr>
    <w:rPr>
      <w:rFonts w:ascii="Times New Roman" w:hAnsi="Times New Roman"/>
      <w:sz w:val="24"/>
      <w:szCs w:val="20"/>
      <w:lang w:eastAsia="en-GB"/>
    </w:rPr>
  </w:style>
  <w:style w:type="character" w:customStyle="1" w:styleId="CorpsdetexteCar">
    <w:name w:val="Corps de texte Car"/>
    <w:link w:val="Corpsdetexte"/>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lev">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re2Car">
    <w:name w:val="Titre 2 Car"/>
    <w:link w:val="Titre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re9Car">
    <w:name w:val="Titre 9 Car"/>
    <w:link w:val="Titre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re7Car">
    <w:name w:val="Titre 7 Car"/>
    <w:link w:val="Titre7"/>
    <w:rsid w:val="002D6E1A"/>
    <w:rPr>
      <w:sz w:val="22"/>
      <w:szCs w:val="24"/>
      <w:lang w:eastAsia="de-DE"/>
    </w:rPr>
  </w:style>
  <w:style w:type="character" w:customStyle="1" w:styleId="Titre6Car">
    <w:name w:val="Titre 6 Car"/>
    <w:link w:val="Titre6"/>
    <w:rsid w:val="002D6E1A"/>
    <w:rPr>
      <w:b/>
      <w:bCs/>
      <w:szCs w:val="22"/>
      <w:lang w:eastAsia="de-DE"/>
    </w:rPr>
  </w:style>
  <w:style w:type="character" w:customStyle="1" w:styleId="Titre8Car">
    <w:name w:val="Titre 8 Car"/>
    <w:link w:val="Titre8"/>
    <w:rsid w:val="002D6E1A"/>
    <w:rPr>
      <w:i/>
      <w:iCs/>
      <w:szCs w:val="24"/>
      <w:lang w:eastAsia="de-DE"/>
    </w:rPr>
  </w:style>
  <w:style w:type="numbering" w:customStyle="1" w:styleId="NoList1">
    <w:name w:val="No List1"/>
    <w:next w:val="Aucuneliste"/>
    <w:uiPriority w:val="99"/>
    <w:semiHidden/>
    <w:unhideWhenUsed/>
    <w:rsid w:val="002D6E1A"/>
  </w:style>
  <w:style w:type="character" w:styleId="Lienhypertextesuivivisit">
    <w:name w:val="FollowedHyperlink"/>
    <w:unhideWhenUsed/>
    <w:rsid w:val="002D6E1A"/>
    <w:rPr>
      <w:color w:val="800080"/>
      <w:u w:val="single"/>
    </w:rPr>
  </w:style>
  <w:style w:type="character" w:customStyle="1" w:styleId="En-tteCar">
    <w:name w:val="En-tête Car"/>
    <w:link w:val="En-tte"/>
    <w:rsid w:val="002D6E1A"/>
    <w:rPr>
      <w:rFonts w:ascii="Georgia" w:hAnsi="Georgia"/>
      <w:sz w:val="22"/>
      <w:szCs w:val="24"/>
      <w:lang w:eastAsia="de-DE"/>
    </w:rPr>
  </w:style>
  <w:style w:type="character" w:customStyle="1" w:styleId="PieddepageCar">
    <w:name w:val="Pied de page Car"/>
    <w:link w:val="Pieddepage"/>
    <w:rsid w:val="002D6E1A"/>
    <w:rPr>
      <w:rFonts w:ascii="Georgia" w:hAnsi="Georgia"/>
      <w:sz w:val="22"/>
      <w:szCs w:val="24"/>
      <w:lang w:eastAsia="de-DE"/>
    </w:rPr>
  </w:style>
  <w:style w:type="paragraph" w:styleId="Notedefin">
    <w:name w:val="endnote text"/>
    <w:basedOn w:val="Normal"/>
    <w:link w:val="NotedefinCar"/>
    <w:unhideWhenUsed/>
    <w:rsid w:val="002D6E1A"/>
    <w:rPr>
      <w:szCs w:val="20"/>
    </w:rPr>
  </w:style>
  <w:style w:type="character" w:customStyle="1" w:styleId="NotedefinCar">
    <w:name w:val="Note de fin Car"/>
    <w:link w:val="Notedefin"/>
    <w:rsid w:val="002D6E1A"/>
    <w:rPr>
      <w:rFonts w:ascii="Georgia" w:hAnsi="Georgia"/>
      <w:lang w:eastAsia="de-DE"/>
    </w:rPr>
  </w:style>
  <w:style w:type="paragraph" w:styleId="Listenumros">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ParagraphedelisteCar">
    <w:name w:val="Paragraphe de liste Car"/>
    <w:aliases w:val="Paragraphe EI Car,Paragraphe de liste1 Car,EC Car"/>
    <w:link w:val="Paragraphedelist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phedelist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Appeldenotedefin">
    <w:name w:val="endnote reference"/>
    <w:unhideWhenUsed/>
    <w:rsid w:val="002D6E1A"/>
    <w:rPr>
      <w:vertAlign w:val="superscript"/>
    </w:rPr>
  </w:style>
  <w:style w:type="character" w:styleId="Textedelespacerserv">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au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ucu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rodeligne">
    <w:name w:val="line number"/>
    <w:basedOn w:val="Policepardfau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gende"/>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re5Car">
    <w:name w:val="Titre 5 Car"/>
    <w:aliases w:val="Questions Car"/>
    <w:link w:val="Titre5"/>
    <w:rsid w:val="00E9344E"/>
    <w:rPr>
      <w:rFonts w:ascii="Georgia" w:hAnsi="Georgia"/>
      <w:b/>
      <w:szCs w:val="24"/>
      <w:lang w:eastAsia="de-DE"/>
    </w:rPr>
  </w:style>
  <w:style w:type="character" w:customStyle="1" w:styleId="Titre3Car">
    <w:name w:val="Titre 3 Car"/>
    <w:link w:val="Titre3"/>
    <w:rsid w:val="003865E5"/>
    <w:rPr>
      <w:rFonts w:ascii="Cambria" w:eastAsia="Times New Roman" w:hAnsi="Cambria" w:cs="Times New Roman"/>
      <w:b/>
      <w:bCs/>
      <w:color w:val="4F81BD"/>
      <w:sz w:val="22"/>
      <w:szCs w:val="24"/>
      <w:lang w:eastAsia="de-DE"/>
    </w:rPr>
  </w:style>
  <w:style w:type="character" w:customStyle="1" w:styleId="Titre4Car">
    <w:name w:val="Titre 4 Car"/>
    <w:link w:val="Titre4"/>
    <w:rsid w:val="00CB7286"/>
    <w:rPr>
      <w:b/>
      <w:bCs/>
      <w:sz w:val="28"/>
      <w:szCs w:val="28"/>
      <w:lang w:eastAsia="de-DE"/>
    </w:rPr>
  </w:style>
  <w:style w:type="table" w:styleId="Listeclaire-Accent3">
    <w:name w:val="Light List Accent 3"/>
    <w:basedOn w:val="Tableau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au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re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re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itre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enumros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enumros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enumros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epuces">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epuces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epuces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epuces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desillustration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re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re">
    <w:name w:val="Title"/>
    <w:basedOn w:val="Normal"/>
    <w:next w:val="Normal"/>
    <w:link w:val="TitreC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reCar">
    <w:name w:val="Titre Car"/>
    <w:link w:val="Titr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visionCar">
    <w:name w:val="Révision Car"/>
    <w:link w:val="Rvision"/>
    <w:uiPriority w:val="99"/>
    <w:semiHidden/>
    <w:locked/>
    <w:rsid w:val="000D2D0B"/>
    <w:rPr>
      <w:rFonts w:ascii="Georgia" w:hAnsi="Georgia"/>
      <w:sz w:val="22"/>
      <w:szCs w:val="24"/>
      <w:lang w:eastAsia="de-DE"/>
    </w:rPr>
  </w:style>
  <w:style w:type="table" w:customStyle="1" w:styleId="TableGrid2">
    <w:name w:val="Table Grid2"/>
    <w:basedOn w:val="TableauNormal"/>
    <w:next w:val="Grilledutableau"/>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eple">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29078891">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32378829">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1553069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46096277">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42435584">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xtedelespacerserv"/>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xtedelespacerserv"/>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17565C"/>
    <w:rsid w:val="001821F7"/>
    <w:rsid w:val="00880D16"/>
    <w:rsid w:val="0088361F"/>
    <w:rsid w:val="00BF2945"/>
    <w:rsid w:val="00D924AF"/>
    <w:rsid w:val="00DA60A1"/>
    <w:rsid w:val="00EC6858"/>
    <w:rsid w:val="00F763A4"/>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6F0B2-4DCB-4B0D-91DD-D967F6F113E2}">
  <ds:schemaRefs>
    <ds:schemaRef ds:uri="http://schemas.openxmlformats.org/officeDocument/2006/bibliography"/>
  </ds:schemaRefs>
</ds:datastoreItem>
</file>

<file path=customXml/itemProps2.xml><?xml version="1.0" encoding="utf-8"?>
<ds:datastoreItem xmlns:ds="http://schemas.openxmlformats.org/officeDocument/2006/customXml" ds:itemID="{027AD521-0709-4D5C-B16D-2F821CE4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2802</Words>
  <Characters>15974</Characters>
  <Application>Microsoft Office Word</Application>
  <DocSecurity>8</DocSecurity>
  <Lines>133</Lines>
  <Paragraphs>37</Paragraphs>
  <ScaleCrop>false</ScaleCrop>
  <HeadingPairs>
    <vt:vector size="10" baseType="variant">
      <vt:variant>
        <vt:lpstr>Titre</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Titel</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18739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rghezali</cp:lastModifiedBy>
  <cp:revision>4</cp:revision>
  <cp:lastPrinted>2014-05-08T15:06:00Z</cp:lastPrinted>
  <dcterms:created xsi:type="dcterms:W3CDTF">2014-10-15T12:32:00Z</dcterms:created>
  <dcterms:modified xsi:type="dcterms:W3CDTF">2014-10-15T17:00:00Z</dcterms:modified>
</cp:coreProperties>
</file>