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Kop1"/>
        <w:numPr>
          <w:ilvl w:val="0"/>
          <w:numId w:val="0"/>
        </w:numPr>
      </w:pPr>
      <w:r>
        <w:rPr>
          <w:szCs w:val="20"/>
        </w:rPr>
        <w:br w:type="page"/>
      </w:r>
      <w:r w:rsidR="00E8774A">
        <w:lastRenderedPageBreak/>
        <w:t>General information about respondent</w:t>
      </w:r>
    </w:p>
    <w:tbl>
      <w:tblPr>
        <w:tblStyle w:val="Tabelraster"/>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C22C1B" w:rsidP="008313E5">
            <w:sdt>
              <w:sdtPr>
                <w:alias w:val="Association"/>
                <w:tag w:val="Association"/>
                <w:id w:val="-1769143793"/>
                <w:placeholder>
                  <w:docPart w:val="68DD8F5316B24ACAA721B8AF83F84918"/>
                </w:placeholder>
                <w:showingPlcHdr/>
                <w:comboBox>
                  <w:listItem w:displayText="Yes" w:value="Yes"/>
                  <w:listItem w:displayText="No" w:value="No"/>
                </w:comboBox>
              </w:sdtPr>
              <w:sdtEndPr/>
              <w:sdtContent>
                <w:permStart w:id="1366639418" w:edGrp="everyone"/>
                <w:r w:rsidR="00E8774A" w:rsidRPr="000E3791">
                  <w:rPr>
                    <w:rStyle w:val="Tekstvantijdelijkeaanduiding"/>
                  </w:rPr>
                  <w:t>Choose an item.</w:t>
                </w:r>
                <w:permEnd w:id="1366639418"/>
              </w:sdtContent>
            </w:sdt>
          </w:p>
        </w:tc>
      </w:tr>
      <w:tr w:rsidR="00E8774A" w:rsidTr="008313E5">
        <w:tc>
          <w:tcPr>
            <w:tcW w:w="3510" w:type="dxa"/>
          </w:tcPr>
          <w:p w:rsidR="00E8774A" w:rsidRDefault="00E8774A" w:rsidP="008313E5">
            <w:r>
              <w:t>Activity:</w:t>
            </w:r>
          </w:p>
        </w:tc>
        <w:tc>
          <w:tcPr>
            <w:tcW w:w="6118" w:type="dxa"/>
          </w:tcPr>
          <w:p w:rsidR="00E8774A" w:rsidRDefault="00C22C1B"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45438376" w:edGrp="everyone"/>
                <w:r w:rsidR="00E8774A" w:rsidRPr="000E3791">
                  <w:rPr>
                    <w:rStyle w:val="Tekstvantijdelijkeaanduiding"/>
                  </w:rPr>
                  <w:t>Choose an item.</w:t>
                </w:r>
                <w:permEnd w:id="145438376"/>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935008064" w:edGrp="everyone" w:displacedByCustomXml="prev"/>
            <w:tc>
              <w:tcPr>
                <w:tcW w:w="6118" w:type="dxa"/>
              </w:tcPr>
              <w:p w:rsidR="00E8774A" w:rsidRDefault="00E8774A" w:rsidP="008313E5">
                <w:r w:rsidRPr="000E3791">
                  <w:rPr>
                    <w:rStyle w:val="Tekstvantijdelijkeaanduiding"/>
                  </w:rPr>
                  <w:t>Choose an item.</w:t>
                </w:r>
              </w:p>
            </w:tc>
            <w:permEnd w:id="935008064" w:displacedByCustomXml="next"/>
          </w:sdtContent>
        </w:sdt>
      </w:tr>
    </w:tbl>
    <w:p w:rsidR="00D74C9D" w:rsidRDefault="005D1023" w:rsidP="00D74C9D">
      <w:pPr>
        <w:pStyle w:val="Kop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1401490327" w:edGrp="everyone"/>
      <w:r>
        <w:t>TYPE YOUR TEXT HERE</w:t>
      </w:r>
    </w:p>
    <w:permEnd w:id="1401490327"/>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Kop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106755" w:rsidRPr="00106755" w:rsidRDefault="00106755" w:rsidP="00106755">
      <w:pPr>
        <w:spacing w:line="360" w:lineRule="auto"/>
        <w:rPr>
          <w:rFonts w:cs="Arial"/>
          <w:szCs w:val="20"/>
        </w:rPr>
      </w:pPr>
      <w:permStart w:id="1551921775" w:edGrp="everyone"/>
      <w:r w:rsidRPr="00106755">
        <w:rPr>
          <w:rFonts w:cs="Arial"/>
          <w:szCs w:val="20"/>
        </w:rPr>
        <w:t>We generally agree that the proposed examples and the indicators relating to these practice clarify the indicators of manipulative behaviours listed in Annex I of MAR. It makes sense that practices known as ‘wash trades’, ‘painting the tape’, ‘trash and cash’, ‘quote stuffing’, ‘marking the close’, ‘layering or spoo</w:t>
      </w:r>
      <w:r w:rsidRPr="00106755">
        <w:rPr>
          <w:rFonts w:cs="Arial"/>
          <w:szCs w:val="20"/>
        </w:rPr>
        <w:t>f</w:t>
      </w:r>
      <w:r w:rsidRPr="00106755">
        <w:rPr>
          <w:rFonts w:cs="Arial"/>
          <w:szCs w:val="20"/>
        </w:rPr>
        <w:t xml:space="preserve">ing’ and ‘pump and dump’ are included in the list of examples. </w:t>
      </w:r>
    </w:p>
    <w:p w:rsidR="00106755" w:rsidRPr="00106755" w:rsidRDefault="00106755" w:rsidP="00106755">
      <w:pPr>
        <w:spacing w:line="360" w:lineRule="auto"/>
        <w:rPr>
          <w:rFonts w:cs="Arial"/>
          <w:szCs w:val="20"/>
        </w:rPr>
      </w:pPr>
    </w:p>
    <w:p w:rsidR="00E9344E" w:rsidRPr="00106755" w:rsidRDefault="00106755" w:rsidP="00106755">
      <w:pPr>
        <w:spacing w:line="360" w:lineRule="auto"/>
        <w:rPr>
          <w:rFonts w:cs="Arial"/>
          <w:szCs w:val="20"/>
        </w:rPr>
      </w:pPr>
      <w:r w:rsidRPr="00106755">
        <w:rPr>
          <w:rFonts w:cs="Arial"/>
          <w:szCs w:val="20"/>
        </w:rPr>
        <w:t>We support ESMA’s approach that the proposed lists of examples and indicator are neither exhaustive nor determinative. This means not only that other situations may be considered as market manipulation. but also  a practice or example mentioned on the list may fall outside the scope in case the trade, order or behaviour is justified by legitimate reasons and/or any manipulative intention is clearly absent. The lists should be deemed as a practical tool to be used by competent authorities and market participants to an</w:t>
      </w:r>
      <w:r w:rsidRPr="00106755">
        <w:rPr>
          <w:rFonts w:cs="Arial"/>
          <w:szCs w:val="20"/>
        </w:rPr>
        <w:t>a</w:t>
      </w:r>
      <w:r w:rsidRPr="00106755">
        <w:rPr>
          <w:rFonts w:cs="Arial"/>
          <w:szCs w:val="20"/>
        </w:rPr>
        <w:t>lyse on a case by case basis whether mark</w:t>
      </w:r>
      <w:r>
        <w:rPr>
          <w:rFonts w:cs="Arial"/>
          <w:szCs w:val="20"/>
        </w:rPr>
        <w:t>et manipulation has occurred.</w:t>
      </w:r>
    </w:p>
    <w:permEnd w:id="1551921775"/>
    <w:p w:rsidR="00E9344E" w:rsidRDefault="00E9344E" w:rsidP="00E9344E">
      <w:r>
        <w:t>&lt;ESMA_QUESTION_MAR_TA_1&gt;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Pr="00106755" w:rsidRDefault="00106755" w:rsidP="00106755">
      <w:pPr>
        <w:spacing w:line="360" w:lineRule="auto"/>
        <w:rPr>
          <w:rFonts w:ascii="Arial" w:hAnsi="Arial" w:cs="Arial"/>
          <w:szCs w:val="20"/>
        </w:rPr>
      </w:pPr>
      <w:permStart w:id="1810855366" w:edGrp="everyone"/>
      <w:r w:rsidRPr="000E2DEC">
        <w:rPr>
          <w:rFonts w:ascii="Arial" w:hAnsi="Arial" w:cs="Arial"/>
          <w:szCs w:val="20"/>
        </w:rPr>
        <w:t xml:space="preserve">We </w:t>
      </w:r>
      <w:r w:rsidRPr="00106755">
        <w:rPr>
          <w:rFonts w:cs="Arial"/>
          <w:szCs w:val="20"/>
        </w:rPr>
        <w:t>consider the non-exhaustive list appropriate taking into account that MAR, as opposed to MAD, fully applies to any financial instrument traded on any trading platform (e.g. RM, MTF and OTF) and also encompasses certain OTC derivatives such as CDS and contracts for differences as well as commodity derivatives where manipulative strategies can also extend across spot and derivative markets</w:t>
      </w:r>
      <w:r>
        <w:rPr>
          <w:rFonts w:ascii="Arial" w:hAnsi="Arial" w:cs="Arial"/>
          <w:szCs w:val="20"/>
        </w:rPr>
        <w:t>.</w:t>
      </w:r>
    </w:p>
    <w:permEnd w:id="1810855366"/>
    <w:p w:rsidR="00E9344E" w:rsidRDefault="00E9344E" w:rsidP="00E9344E">
      <w:r>
        <w:t>&lt;ESMA_QUESTION_MAR_TA_2&gt;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that the practice known as “Phishing</w:t>
      </w:r>
      <w:r>
        <w:rPr>
          <w:rStyle w:val="Voetnootmarkering"/>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106755" w:rsidRDefault="00106755" w:rsidP="00106755">
      <w:permStart w:id="397178681" w:edGrp="everyone"/>
      <w:r>
        <w:t>We recognize that phishing is one of the top online threats  to financial institutions and their clients and has been around for over a decade now. Market participants, competent authorities and public prosecutors haven’t been able so far to really get rid of phishing. Cybercriminals seem to continue to gain from phis</w:t>
      </w:r>
      <w:r>
        <w:t>h</w:t>
      </w:r>
      <w:r>
        <w:t>ing activities.</w:t>
      </w:r>
    </w:p>
    <w:p w:rsidR="00106755" w:rsidRDefault="00106755" w:rsidP="00106755"/>
    <w:p w:rsidR="00106755" w:rsidRDefault="00106755" w:rsidP="00106755">
      <w:r>
        <w:t>While phishing is clearly a manipulative form of attempting financial market participants and also d</w:t>
      </w:r>
      <w:r>
        <w:t>e</w:t>
      </w:r>
      <w:r>
        <w:t xml:space="preserve">mands much more attention from EU policymakers and regulators than has been the case so far, we are not sure whether including phishing in the MAR level II is the most adequate  way to tackle the problem. </w:t>
      </w:r>
      <w:r>
        <w:lastRenderedPageBreak/>
        <w:t>Manipulative conduct  under the MAR is primarily dealing with misleading or unnatural behaviour r</w:t>
      </w:r>
      <w:r>
        <w:t>e</w:t>
      </w:r>
      <w:r>
        <w:t xml:space="preserve">garding instruments and derivatives traded on financial markets. Phishing, on the other hand, involves behaviour in relation to misleading  bank account holders via electronic communication networks and therefore is not directly related to financial market trades or orders. </w:t>
      </w:r>
    </w:p>
    <w:p w:rsidR="00106755" w:rsidRDefault="00106755" w:rsidP="00106755"/>
    <w:p w:rsidR="00E9344E" w:rsidRDefault="00106755" w:rsidP="00E9344E">
      <w:r>
        <w:t>Due to that other forms of regulation or supervision might be more effective to tackle the phishing pro</w:t>
      </w:r>
      <w:r>
        <w:t>b</w:t>
      </w:r>
      <w:r>
        <w:t xml:space="preserve">lems. If phishing nevertheless were to be included under MAR it would be an fundamental extension, that – similar to the extending with benchmark manipulation, should be done by amending level I rather than putting it on a non-exhaustive indicative list under level II. For the time being, we believe that education, bringing awareness to </w:t>
      </w:r>
      <w:r w:rsidR="00C22C1B">
        <w:t>customers</w:t>
      </w:r>
      <w:bookmarkStart w:id="4" w:name="_GoBack"/>
      <w:bookmarkEnd w:id="4"/>
      <w:r>
        <w:t xml:space="preserve"> and ensuring that the banking online environment is fundamentally secure, offers a good approach to at least mitigate the phishing problem. </w:t>
      </w:r>
      <w:permEnd w:id="397178681"/>
      <w:r w:rsidR="00E9344E">
        <w:t>&lt;E</w:t>
      </w:r>
      <w:r w:rsidR="00E9344E">
        <w:t>S</w:t>
      </w:r>
      <w:r w:rsidR="00E9344E">
        <w:t>MA_QUESTION_MAR_TA_3&gt;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106755" w:rsidP="00E9344E">
      <w:permStart w:id="1560960955" w:edGrp="everyone"/>
      <w:r w:rsidRPr="00106755">
        <w:t>We support ESMA´s approach to cross trading venue and cross product manipulation</w:t>
      </w:r>
      <w:r>
        <w:t>.</w:t>
      </w:r>
    </w:p>
    <w:permEnd w:id="1560960955"/>
    <w:p w:rsidR="00EC69C3" w:rsidRDefault="00E9344E" w:rsidP="00E9344E">
      <w:r>
        <w:t>&lt;ESMA_QUESTION_MAR_TA_4&gt;</w:t>
      </w:r>
    </w:p>
    <w:p w:rsidR="00E9344E" w:rsidRDefault="00EC69C3" w:rsidP="00E9344E">
      <w:r>
        <w:br w:type="page"/>
      </w:r>
    </w:p>
    <w:p w:rsidR="00E9344E" w:rsidRDefault="00E9344E" w:rsidP="00E9344E">
      <w:pPr>
        <w:pStyle w:val="Kop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791755122" w:edGrp="everyone"/>
      <w:r>
        <w:t>TYPE YOUR TEXT HERE</w:t>
      </w:r>
    </w:p>
    <w:permEnd w:id="1791755122"/>
    <w:p w:rsidR="00E9344E" w:rsidRDefault="00E9344E" w:rsidP="00E9344E">
      <w:r>
        <w:t>&lt;ESMA_QUESTION_MAR_TA_5&gt;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008300177" w:edGrp="everyone"/>
      <w:r>
        <w:t>TYPE YOUR TEXT HERE</w:t>
      </w:r>
    </w:p>
    <w:permEnd w:id="1008300177"/>
    <w:p w:rsidR="00E9344E" w:rsidRDefault="00E9344E" w:rsidP="00E9344E">
      <w:r>
        <w:t>&lt;ESMA_QUESTION_MAR_TA_6&gt;</w:t>
      </w:r>
    </w:p>
    <w:p w:rsidR="00E9344E" w:rsidRDefault="00E9344E" w:rsidP="00E9344E">
      <w:r>
        <w:br w:type="page"/>
      </w:r>
    </w:p>
    <w:p w:rsidR="00E9344E" w:rsidRDefault="00E9344E" w:rsidP="00E9344E">
      <w:pPr>
        <w:pStyle w:val="Kop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106755" w:rsidP="00E9344E">
      <w:permStart w:id="2041855282" w:edGrp="everyone"/>
      <w:r w:rsidRPr="00106755">
        <w:t>We tend to agree. The proposals seem to a large extent based on the existing Transparency Directive- and Prospectus Directive approach to disclosures and take into account the importance that it is the competent authority in charge of the surveillance that is informed of the delay.</w:t>
      </w:r>
    </w:p>
    <w:permEnd w:id="2041855282"/>
    <w:p w:rsidR="00E9344E" w:rsidRDefault="00E9344E" w:rsidP="00E9344E">
      <w:r>
        <w:t>&lt;ESMA_QUESTION_MAR_TA_7&gt;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106755" w:rsidP="00E9344E">
      <w:permStart w:id="948649175" w:edGrp="everyone"/>
      <w:r w:rsidRPr="00106755">
        <w:t>We believe that notifications on delays should go to the home competent authority of the issuer, according to the Transparency Directive and/or Prospectus Directive, and otherwise, to that of the trading venue to which the security was first admitted to trading or traded.</w:t>
      </w:r>
      <w:permEnd w:id="948649175"/>
      <w:r w:rsidR="00E9344E">
        <w:t>&lt;ESMA_QUESTION_MAR_TA_8&gt;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106755" w:rsidP="00E9344E">
      <w:permStart w:id="879325379" w:edGrp="everyone"/>
      <w:r w:rsidRPr="00106755">
        <w:t>We do not agree as it may result in unnecessary complexity being introduced to the regulatory regime through the creation of too many different criteria to select the right competent authority to whom delays should be notified.</w:t>
      </w:r>
    </w:p>
    <w:permEnd w:id="879325379"/>
    <w:p w:rsidR="00E9344E" w:rsidRDefault="00E9344E" w:rsidP="00E9344E">
      <w:r>
        <w:t>&lt;ESMA_QUESTION_MAR_TA_9&gt;</w:t>
      </w:r>
    </w:p>
    <w:p w:rsidR="00E9344E" w:rsidRDefault="00E9344E" w:rsidP="00E9344E">
      <w:r>
        <w:br w:type="page"/>
      </w:r>
    </w:p>
    <w:p w:rsidR="00E9344E" w:rsidRDefault="00E9344E" w:rsidP="00E9344E">
      <w:pPr>
        <w:pStyle w:val="Kop1"/>
        <w:keepLines/>
        <w:numPr>
          <w:ilvl w:val="0"/>
          <w:numId w:val="37"/>
        </w:numPr>
        <w:spacing w:before="480" w:after="0"/>
      </w:pPr>
      <w:r>
        <w:lastRenderedPageBreak/>
        <w:t>Managers’ transactions</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2060540663" w:edGrp="everyone"/>
      <w:r>
        <w:t>TYPE YOUR TEXT HERE</w:t>
      </w:r>
    </w:p>
    <w:permEnd w:id="2060540663"/>
    <w:p w:rsidR="00E9344E" w:rsidRDefault="00E9344E" w:rsidP="00E9344E">
      <w:r>
        <w:t>&lt;ESMA_QUESTION_MAR_TA_10&gt;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42495249" w:edGrp="everyone"/>
      <w:r>
        <w:t>TYPE YOUR TEXT HERE</w:t>
      </w:r>
    </w:p>
    <w:permEnd w:id="42495249"/>
    <w:p w:rsidR="00E9344E" w:rsidRDefault="00E9344E" w:rsidP="00E9344E">
      <w:r>
        <w:t>&lt;ESMA_QUESTION_MAR_TA_11&gt;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2046116944" w:edGrp="everyone"/>
      <w:r>
        <w:t>TYPE YOUR TEXT HERE</w:t>
      </w:r>
    </w:p>
    <w:permEnd w:id="2046116944"/>
    <w:p w:rsidR="00E9344E" w:rsidRDefault="00E9344E" w:rsidP="00E9344E">
      <w:r>
        <w:t>&lt;ESMA_QUESTION_MAR_TA_12&gt;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1605465314" w:edGrp="everyone"/>
      <w:r>
        <w:t>TYPE YOUR TEXT HERE</w:t>
      </w:r>
    </w:p>
    <w:permEnd w:id="1605465314"/>
    <w:p w:rsidR="00E9344E" w:rsidRDefault="00E9344E" w:rsidP="00E9344E">
      <w:r>
        <w:t>&lt;ESMA_QUESTION_MAR_TA_13&gt;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467898063" w:edGrp="everyone"/>
      <w:r>
        <w:t>TYPE YOUR TEXT HERE</w:t>
      </w:r>
    </w:p>
    <w:permEnd w:id="1467898063"/>
    <w:p w:rsidR="00E9344E" w:rsidRDefault="00E9344E" w:rsidP="00E9344E">
      <w:r>
        <w:t>&lt;ESMA_QUESTION_MAR_TA_14&gt;</w:t>
      </w:r>
    </w:p>
    <w:p w:rsidR="00E9344E" w:rsidRDefault="00E9344E" w:rsidP="00E9344E">
      <w:r>
        <w:br w:type="page"/>
      </w:r>
    </w:p>
    <w:p w:rsidR="00E9344E" w:rsidRDefault="00E9344E" w:rsidP="00E9344E">
      <w:pPr>
        <w:pStyle w:val="Kop1"/>
        <w:keepLines/>
        <w:numPr>
          <w:ilvl w:val="0"/>
          <w:numId w:val="37"/>
        </w:numPr>
        <w:spacing w:before="480" w:after="0"/>
      </w:pPr>
      <w:r>
        <w:lastRenderedPageBreak/>
        <w:t>Reporting of infringements</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106755" w:rsidP="00E9344E">
      <w:permStart w:id="1291073904" w:edGrp="everyone"/>
      <w:r w:rsidRPr="00106755">
        <w:t xml:space="preserve">We generally agree with procedures proposed. It is of paramount importance that competent authorities have appropriate arrangements in place for both the reporting and reported persons to avoid them to become victims of unfair treatment. Although we acknowledge that internal reporting requirements for employees should not refrain them to report externally to competent authorities (paragraph 140), it should be noted that robust internal reporting and compliance </w:t>
      </w:r>
      <w:proofErr w:type="spellStart"/>
      <w:r w:rsidRPr="00106755">
        <w:t>mechnanisms</w:t>
      </w:r>
      <w:proofErr w:type="spellEnd"/>
      <w:r w:rsidRPr="00106755">
        <w:t xml:space="preserve"> within issuers are as such vital for the overall success of notification and disclosure elements the MAR regime. Consequently, issuers and other market participants should be stimulated rather than discouraged to put in place appropriate inte</w:t>
      </w:r>
      <w:r w:rsidRPr="00106755">
        <w:t>r</w:t>
      </w:r>
      <w:r w:rsidRPr="00106755">
        <w:t>nal reporting arrangements.</w:t>
      </w:r>
    </w:p>
    <w:permEnd w:id="1291073904"/>
    <w:p w:rsidR="00E9344E" w:rsidRDefault="00E9344E" w:rsidP="00E9344E">
      <w:r>
        <w:t>&lt;ESMA_QUESTION_MAR_TA_15&gt;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781875832" w:edGrp="everyone"/>
      <w:r>
        <w:t>TYPE YOUR TEXT HERE</w:t>
      </w:r>
    </w:p>
    <w:permEnd w:id="781875832"/>
    <w:p w:rsidR="00E9344E" w:rsidRDefault="00E9344E" w:rsidP="00E9344E">
      <w:r>
        <w:t>&lt;ESMA_QUESTION_MAR_TA_16&gt;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Kop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Kop5"/>
        <w:keepNext w:val="0"/>
        <w:keepLines w:val="0"/>
        <w:numPr>
          <w:ilvl w:val="0"/>
          <w:numId w:val="39"/>
        </w:numPr>
        <w:spacing w:before="0" w:line="276" w:lineRule="auto"/>
      </w:pPr>
      <w:r>
        <w:t>protection of the rights related to data processing;</w:t>
      </w:r>
    </w:p>
    <w:p w:rsidR="00E9344E" w:rsidRDefault="00E9344E" w:rsidP="00E9344E">
      <w:pPr>
        <w:pStyle w:val="Kop5"/>
        <w:keepNext w:val="0"/>
        <w:keepLines w:val="0"/>
        <w:numPr>
          <w:ilvl w:val="0"/>
          <w:numId w:val="39"/>
        </w:numPr>
        <w:spacing w:before="0" w:line="276" w:lineRule="auto"/>
      </w:pPr>
      <w:r>
        <w:t>security aspects of the data processing operation; and</w:t>
      </w:r>
    </w:p>
    <w:p w:rsidR="00E9344E" w:rsidRDefault="00E9344E" w:rsidP="00E9344E">
      <w:pPr>
        <w:pStyle w:val="Kop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07700744" w:edGrp="everyone"/>
      <w:r>
        <w:t>TYPE YOUR TEXT HERE</w:t>
      </w:r>
    </w:p>
    <w:permEnd w:id="2007700744"/>
    <w:p w:rsidR="00E9344E" w:rsidRDefault="00E9344E" w:rsidP="00E9344E">
      <w:r>
        <w:t>&lt;ESMA_QUESTION_MAR_TA_17&gt;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947607688" w:edGrp="everyone"/>
      <w:r>
        <w:lastRenderedPageBreak/>
        <w:t>TYPE YOUR TEXT HERE</w:t>
      </w:r>
    </w:p>
    <w:permEnd w:id="1947607688"/>
    <w:p w:rsidR="00E9344E" w:rsidRDefault="00E9344E" w:rsidP="00E9344E">
      <w:r>
        <w:t>&lt;ESMA_QUESTION_MAR_TA_18&gt;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531969608" w:edGrp="everyone"/>
      <w:r>
        <w:t>TYPE YOUR TEXT HERE</w:t>
      </w:r>
    </w:p>
    <w:permEnd w:id="531969608"/>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22C1B">
            <w:rPr>
              <w:noProof/>
            </w:rPr>
            <w:t>7</w:t>
          </w:r>
          <w:r>
            <w:rPr>
              <w:noProof/>
            </w:rPr>
            <w:fldChar w:fldCharType="end"/>
          </w:r>
        </w:p>
      </w:tc>
    </w:tr>
  </w:tbl>
  <w:p w:rsidR="00811EDA" w:rsidRDefault="00811ED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Voetnoottekst"/>
      </w:pPr>
      <w:r>
        <w:rPr>
          <w:rStyle w:val="Voetnootmarkering"/>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Koptekst"/>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Koptekst"/>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tekst"/>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highlight w:val="yellow"/>
        <w:lang w:val="fr-FR"/>
      </w:rPr>
    </w:pPr>
  </w:p>
  <w:p w:rsidR="00811EDA" w:rsidRDefault="00024F53">
    <w:pPr>
      <w:pStyle w:val="Koptekst"/>
    </w:pPr>
    <w:r>
      <w:rPr>
        <w:noProof/>
        <w:lang w:val="en-US" w:eastAsia="en-US"/>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6755"/>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01"/>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2C1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6F4"/>
    <w:rPr>
      <w:rFonts w:ascii="Georgia" w:hAnsi="Georgia"/>
      <w:szCs w:val="24"/>
      <w:lang w:eastAsia="de-DE"/>
    </w:rPr>
  </w:style>
  <w:style w:type="paragraph" w:styleId="Kop1">
    <w:name w:val="heading 1"/>
    <w:basedOn w:val="Standaard"/>
    <w:next w:val="Standaard"/>
    <w:link w:val="Kop1Char"/>
    <w:qFormat/>
    <w:rsid w:val="009E7724"/>
    <w:pPr>
      <w:keepNext/>
      <w:numPr>
        <w:numId w:val="6"/>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4"/>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9"/>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ascii="Arial" w:hAnsi="Arial"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6F4"/>
    <w:rPr>
      <w:rFonts w:ascii="Georgia" w:hAnsi="Georgia"/>
      <w:szCs w:val="24"/>
      <w:lang w:eastAsia="de-DE"/>
    </w:rPr>
  </w:style>
  <w:style w:type="paragraph" w:styleId="Kop1">
    <w:name w:val="heading 1"/>
    <w:basedOn w:val="Standaard"/>
    <w:next w:val="Standaard"/>
    <w:link w:val="Kop1Char"/>
    <w:qFormat/>
    <w:rsid w:val="009E7724"/>
    <w:pPr>
      <w:keepNext/>
      <w:numPr>
        <w:numId w:val="6"/>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4"/>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9"/>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ascii="Arial" w:hAnsi="Arial"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kstvantijdelijkeaanduiding"/>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kstvantijdelijkeaanduiding"/>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4760-2D60-4D3B-94A9-94A0D1A18B91}">
  <ds:schemaRefs>
    <ds:schemaRef ds:uri="http://schemas.openxmlformats.org/officeDocument/2006/bibliography"/>
  </ds:schemaRefs>
</ds:datastoreItem>
</file>

<file path=customXml/itemProps2.xml><?xml version="1.0" encoding="utf-8"?>
<ds:datastoreItem xmlns:ds="http://schemas.openxmlformats.org/officeDocument/2006/customXml" ds:itemID="{08A95933-A68C-4576-804E-548B161B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1E63321B</Template>
  <TotalTime>0</TotalTime>
  <Pages>13</Pages>
  <Words>2153</Words>
  <Characters>12756</Characters>
  <Application>Microsoft Office Word</Application>
  <DocSecurity>8</DocSecurity>
  <Lines>106</Lines>
  <Paragraphs>29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14880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Wouter Kuijpers</cp:lastModifiedBy>
  <cp:revision>2</cp:revision>
  <cp:lastPrinted>2014-05-08T15:06:00Z</cp:lastPrinted>
  <dcterms:created xsi:type="dcterms:W3CDTF">2014-10-14T09:31:00Z</dcterms:created>
  <dcterms:modified xsi:type="dcterms:W3CDTF">2014-10-14T09:31:00Z</dcterms:modified>
</cp:coreProperties>
</file>