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B67488"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489295456" w:edGrp="everyone"/>
                <w:r w:rsidR="00D642D2">
                  <w:t>Yes</w:t>
                </w:r>
                <w:permEnd w:id="489295456"/>
              </w:sdtContent>
            </w:sdt>
          </w:p>
        </w:tc>
      </w:tr>
      <w:tr w:rsidR="00E8774A" w:rsidTr="008313E5">
        <w:tc>
          <w:tcPr>
            <w:tcW w:w="3510" w:type="dxa"/>
          </w:tcPr>
          <w:p w:rsidR="00E8774A" w:rsidRDefault="00E8774A" w:rsidP="008313E5">
            <w:r>
              <w:t>Activity:</w:t>
            </w:r>
          </w:p>
        </w:tc>
        <w:tc>
          <w:tcPr>
            <w:tcW w:w="6118" w:type="dxa"/>
          </w:tcPr>
          <w:p w:rsidR="00E8774A" w:rsidRDefault="00B67488"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337798457" w:edGrp="everyone"/>
                <w:r w:rsidR="00D642D2">
                  <w:t>Banking sector</w:t>
                </w:r>
                <w:permEnd w:id="337798457"/>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907093091" w:edGrp="everyone" w:displacedByCustomXml="prev"/>
            <w:tc>
              <w:tcPr>
                <w:tcW w:w="6118" w:type="dxa"/>
              </w:tcPr>
              <w:p w:rsidR="00E8774A" w:rsidRDefault="00D642D2" w:rsidP="008313E5">
                <w:r>
                  <w:t>Europe</w:t>
                </w:r>
              </w:p>
            </w:tc>
            <w:permEnd w:id="907093091" w:displacedByCustomXml="next"/>
          </w:sdtContent>
        </w:sdt>
      </w:tr>
    </w:tbl>
    <w:p w:rsidR="00D74C9D" w:rsidRDefault="005D1023" w:rsidP="00D74C9D">
      <w:pPr>
        <w:pStyle w:val="Heading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D74C9D" w:rsidRDefault="00D74C9D" w:rsidP="00D74C9D">
      <w:permStart w:id="546313758" w:edGrp="everyone"/>
      <w:r>
        <w:t>TYPE YOUR TEXT HERE</w:t>
      </w:r>
    </w:p>
    <w:permEnd w:id="546313758"/>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Heading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D642D2" w:rsidRPr="00CF3EBA" w:rsidRDefault="00D642D2" w:rsidP="00D642D2">
      <w:pPr>
        <w:pStyle w:val="Flietext"/>
        <w:suppressAutoHyphens/>
        <w:spacing w:line="240" w:lineRule="auto"/>
        <w:jc w:val="both"/>
        <w:rPr>
          <w:rFonts w:ascii="Garamond" w:hAnsi="Garamond"/>
          <w:sz w:val="24"/>
          <w:szCs w:val="24"/>
          <w:lang w:val="en-GB"/>
        </w:rPr>
      </w:pPr>
      <w:permStart w:id="1977250786" w:edGrp="everyone"/>
      <w:r w:rsidRPr="00CF3EBA">
        <w:rPr>
          <w:rFonts w:ascii="Garamond" w:hAnsi="Garamond"/>
          <w:sz w:val="24"/>
          <w:szCs w:val="24"/>
          <w:lang w:val="en-GB"/>
        </w:rPr>
        <w:t xml:space="preserve">ESMA’s Technical Advice (TA) to the European Commission addresses in detail the indicators of manipulative behaviour contained in Annex I of the Market Abuse Regulation (MAR). </w:t>
      </w:r>
      <w:r w:rsidRPr="00CF3EBA">
        <w:rPr>
          <w:rFonts w:ascii="Garamond" w:hAnsi="Garamond"/>
          <w:bCs/>
          <w:sz w:val="24"/>
          <w:szCs w:val="24"/>
          <w:lang w:val="en-GB"/>
        </w:rPr>
        <w:t>ESBG</w:t>
      </w:r>
      <w:r w:rsidRPr="00CF3EBA">
        <w:rPr>
          <w:rFonts w:ascii="Garamond" w:hAnsi="Garamond"/>
          <w:sz w:val="24"/>
          <w:szCs w:val="24"/>
          <w:lang w:val="en-GB"/>
        </w:rPr>
        <w:t xml:space="preserve"> basically agrees with the comments drawn up by ESMA. However, the multiple duplications and repetitions in the TA do not, in our opinion, conduce to legal certainty. ESBG therefore proposes to remove the numerous repetitions. Instead, a much shorter list based on clear and simple principles would be much more helpful in order to assess whether behaviour is manipulative or not.</w:t>
      </w:r>
    </w:p>
    <w:permEnd w:id="1977250786"/>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E9344E" w:rsidP="00E9344E">
      <w:permStart w:id="1026689549" w:edGrp="everyone"/>
      <w:r>
        <w:t>TYPE YOUR TEXT HERE</w:t>
      </w:r>
    </w:p>
    <w:permEnd w:id="1026689549"/>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D642D2" w:rsidRPr="00CF3EBA" w:rsidRDefault="00D642D2" w:rsidP="00D642D2">
      <w:pPr>
        <w:pStyle w:val="Flietext"/>
        <w:suppressAutoHyphens/>
        <w:spacing w:line="240" w:lineRule="auto"/>
        <w:jc w:val="both"/>
        <w:rPr>
          <w:rFonts w:ascii="Garamond" w:hAnsi="Garamond"/>
          <w:sz w:val="24"/>
          <w:szCs w:val="24"/>
          <w:lang w:val="en-GB"/>
        </w:rPr>
      </w:pPr>
      <w:permStart w:id="610948819" w:edGrp="everyone"/>
      <w:r w:rsidRPr="00CF3EBA">
        <w:rPr>
          <w:rFonts w:ascii="Garamond" w:hAnsi="Garamond"/>
          <w:sz w:val="24"/>
          <w:szCs w:val="24"/>
          <w:lang w:val="en-GB"/>
        </w:rPr>
        <w:t>No. Even though “Phishing” might be an offence worthy of punishment in other contexts, it does not in ESBG’s view constitute a market-manipulative behaviour according to MAR.</w:t>
      </w:r>
    </w:p>
    <w:permEnd w:id="610948819"/>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1267479326" w:edGrp="everyone"/>
      <w:r>
        <w:t>TYPE YOUR TEXT HERE</w:t>
      </w:r>
    </w:p>
    <w:permEnd w:id="1267479326"/>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707099907" w:edGrp="everyone"/>
      <w:r>
        <w:t>TYPE YOUR TEXT HERE</w:t>
      </w:r>
    </w:p>
    <w:permEnd w:id="707099907"/>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2038003425" w:edGrp="everyone"/>
      <w:r>
        <w:t>TYPE YOUR TEXT HERE</w:t>
      </w:r>
    </w:p>
    <w:permEnd w:id="2038003425"/>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E9344E" w:rsidP="00E9344E">
      <w:permStart w:id="1893622279" w:edGrp="everyone"/>
      <w:r>
        <w:t>TYPE YOUR TEXT HERE</w:t>
      </w:r>
    </w:p>
    <w:permEnd w:id="1893622279"/>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1766212237" w:edGrp="everyone"/>
      <w:r>
        <w:t>TYPE YOUR TEXT HERE</w:t>
      </w:r>
    </w:p>
    <w:permEnd w:id="1766212237"/>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1562468714" w:edGrp="everyone"/>
      <w:r>
        <w:t>TYPE YOUR TEXT HERE</w:t>
      </w:r>
    </w:p>
    <w:permEnd w:id="1562468714"/>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D642D2" w:rsidRPr="00CF3EBA" w:rsidRDefault="00D642D2" w:rsidP="00D642D2">
      <w:pPr>
        <w:pStyle w:val="Flietext"/>
        <w:suppressAutoHyphens/>
        <w:spacing w:line="240" w:lineRule="auto"/>
        <w:jc w:val="both"/>
        <w:rPr>
          <w:rFonts w:ascii="Garamond" w:hAnsi="Garamond"/>
          <w:sz w:val="24"/>
          <w:szCs w:val="24"/>
          <w:lang w:val="en-GB"/>
        </w:rPr>
      </w:pPr>
      <w:permStart w:id="1562931933" w:edGrp="everyone"/>
      <w:r w:rsidRPr="00CF3EBA">
        <w:rPr>
          <w:rFonts w:ascii="Garamond" w:hAnsi="Garamond"/>
          <w:sz w:val="24"/>
          <w:szCs w:val="24"/>
          <w:lang w:val="en-GB"/>
        </w:rPr>
        <w:t xml:space="preserve">ESBG </w:t>
      </w:r>
      <w:r>
        <w:rPr>
          <w:rFonts w:ascii="Garamond" w:hAnsi="Garamond"/>
          <w:sz w:val="24"/>
          <w:szCs w:val="24"/>
          <w:lang w:val="en-GB"/>
        </w:rPr>
        <w:t>in principle</w:t>
      </w:r>
      <w:r w:rsidRPr="00CF3EBA">
        <w:rPr>
          <w:rFonts w:ascii="Garamond" w:hAnsi="Garamond"/>
          <w:sz w:val="24"/>
          <w:szCs w:val="24"/>
          <w:lang w:val="en-GB"/>
        </w:rPr>
        <w:t xml:space="preserve"> agrees with the list drawn up by ESMA. Some of the points enumerated, however, go beyond the existing legal framework and normative purpose of the rules on managers’ transactions. This applies particularly to points b), l) and m) of the non-exhaustive list of types of transactions included in the draft TA (paragraph 2). Neither the situation where a person discharging managerial responsibility (PDMR) receives financial instruments as part of his/her contractual remuneration (letter b)) nor the (automatic) conversion of a financial instrument into another one (letter l)) and the receipt of a gift, donation or inheritance (letter m)) involves the taking of a conscious investment decision by a PDMR. A trade executed due to one of these reasons hides no information to other capital market participants. On the contrary, it has to be feared that, solely because of the size of a transaction based on l) or m), other capital market participants may develop false expectations, because they think the transaction grounds on a conscious investment decision by the PMDR.</w:t>
      </w:r>
    </w:p>
    <w:permEnd w:id="1562931933"/>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D642D2" w:rsidRPr="00CF3EBA" w:rsidRDefault="00D642D2" w:rsidP="00D642D2">
      <w:pPr>
        <w:pStyle w:val="Flietext"/>
        <w:suppressAutoHyphens/>
        <w:spacing w:line="240" w:lineRule="auto"/>
        <w:jc w:val="both"/>
        <w:rPr>
          <w:rFonts w:ascii="Garamond" w:hAnsi="Garamond"/>
          <w:sz w:val="24"/>
          <w:szCs w:val="24"/>
          <w:lang w:val="en-GB"/>
        </w:rPr>
      </w:pPr>
      <w:permStart w:id="1166147585" w:edGrp="everyone"/>
      <w:r w:rsidRPr="00CF3EBA">
        <w:rPr>
          <w:rFonts w:ascii="Garamond" w:hAnsi="Garamond"/>
          <w:sz w:val="24"/>
          <w:szCs w:val="24"/>
          <w:lang w:val="en-GB"/>
        </w:rPr>
        <w:t>ESBG considers the threshold for indices and baskets in paragraph 3 of the draft TA prudent and expressly support</w:t>
      </w:r>
      <w:r w:rsidRPr="003C02F1">
        <w:rPr>
          <w:rFonts w:ascii="Garamond" w:hAnsi="Garamond"/>
          <w:color w:val="FF0000"/>
          <w:sz w:val="24"/>
          <w:szCs w:val="24"/>
          <w:lang w:val="en-GB"/>
        </w:rPr>
        <w:t>s</w:t>
      </w:r>
      <w:r w:rsidRPr="00CF3EBA">
        <w:rPr>
          <w:rFonts w:ascii="Garamond" w:hAnsi="Garamond"/>
          <w:sz w:val="24"/>
          <w:szCs w:val="24"/>
          <w:lang w:val="en-GB"/>
        </w:rPr>
        <w:t xml:space="preserve"> the introduction of such a provision.</w:t>
      </w:r>
    </w:p>
    <w:p w:rsidR="00E9344E" w:rsidRDefault="00E9344E" w:rsidP="00E9344E">
      <w:bookmarkStart w:id="4" w:name="_GoBack"/>
      <w:bookmarkEnd w:id="4"/>
      <w:permEnd w:id="1166147585"/>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117064538" w:edGrp="everyone"/>
      <w:r>
        <w:t>TYPE YOUR TEXT HERE</w:t>
      </w:r>
    </w:p>
    <w:permEnd w:id="117064538"/>
    <w:p w:rsidR="00E9344E" w:rsidRDefault="00E9344E" w:rsidP="00E9344E">
      <w:r>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E9344E" w:rsidRDefault="00E9344E" w:rsidP="00E9344E">
      <w:permStart w:id="1924744102" w:edGrp="everyone"/>
      <w:r>
        <w:t>TYPE YOUR TEXT HERE</w:t>
      </w:r>
    </w:p>
    <w:permEnd w:id="1924744102"/>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883783569" w:edGrp="everyone"/>
      <w:r>
        <w:t>TYPE YOUR TEXT HERE</w:t>
      </w:r>
    </w:p>
    <w:permEnd w:id="883783569"/>
    <w:p w:rsidR="00E9344E" w:rsidRDefault="00E9344E" w:rsidP="00E9344E">
      <w:r>
        <w:lastRenderedPageBreak/>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697321967" w:edGrp="everyone"/>
      <w:r>
        <w:t>TYPE YOUR TEXT HERE</w:t>
      </w:r>
    </w:p>
    <w:permEnd w:id="1697321967"/>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155430823" w:edGrp="everyone"/>
      <w:r>
        <w:t>TYPE YOUR TEXT HERE</w:t>
      </w:r>
    </w:p>
    <w:permEnd w:id="1155430823"/>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2094219004" w:edGrp="everyone"/>
      <w:r>
        <w:t>TYPE YOUR TEXT HERE</w:t>
      </w:r>
    </w:p>
    <w:permEnd w:id="2094219004"/>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1887177100" w:edGrp="everyone"/>
      <w:r>
        <w:t>TYPE YOUR TEXT HERE</w:t>
      </w:r>
    </w:p>
    <w:permEnd w:id="1887177100"/>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1410535983" w:edGrp="everyone"/>
      <w:r>
        <w:t>TYPE YOUR TEXT HERE</w:t>
      </w:r>
    </w:p>
    <w:permEnd w:id="1410535983"/>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488" w:rsidRDefault="00B67488">
      <w:r>
        <w:separator/>
      </w:r>
    </w:p>
    <w:p w:rsidR="00B67488" w:rsidRDefault="00B67488"/>
  </w:endnote>
  <w:endnote w:type="continuationSeparator" w:id="0">
    <w:p w:rsidR="00B67488" w:rsidRDefault="00B67488">
      <w:r>
        <w:continuationSeparator/>
      </w:r>
    </w:p>
    <w:p w:rsidR="00B67488" w:rsidRDefault="00B67488"/>
  </w:endnote>
  <w:endnote w:type="continuationNotice" w:id="1">
    <w:p w:rsidR="00B67488" w:rsidRDefault="00B67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D642D2">
            <w:rPr>
              <w:noProof/>
            </w:rPr>
            <w:t>10</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488" w:rsidRDefault="00B67488">
      <w:r>
        <w:separator/>
      </w:r>
    </w:p>
    <w:p w:rsidR="00B67488" w:rsidRDefault="00B67488"/>
  </w:footnote>
  <w:footnote w:type="continuationSeparator" w:id="0">
    <w:p w:rsidR="00B67488" w:rsidRDefault="00B67488">
      <w:r>
        <w:continuationSeparator/>
      </w:r>
    </w:p>
    <w:p w:rsidR="00B67488" w:rsidRDefault="00B67488"/>
  </w:footnote>
  <w:footnote w:type="continuationNotice" w:id="1">
    <w:p w:rsidR="00B67488" w:rsidRDefault="00B67488"/>
  </w:footnote>
  <w:footnote w:id="2">
    <w:p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024F53">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113D"/>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540"/>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67488"/>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42D2"/>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Flietext">
    <w:name w:val="Fließtext"/>
    <w:basedOn w:val="Normal"/>
    <w:uiPriority w:val="99"/>
    <w:rsid w:val="00D642D2"/>
    <w:pPr>
      <w:spacing w:line="300" w:lineRule="exact"/>
    </w:pPr>
    <w:rPr>
      <w:rFonts w:ascii="Verdana" w:hAnsi="Verdana" w:cs="Verdana"/>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Flietext">
    <w:name w:val="Fließtext"/>
    <w:basedOn w:val="Normal"/>
    <w:uiPriority w:val="99"/>
    <w:rsid w:val="00D642D2"/>
    <w:pPr>
      <w:spacing w:line="300" w:lineRule="exact"/>
    </w:pPr>
    <w:rPr>
      <w:rFonts w:ascii="Verdana" w:hAnsi="Verdana" w:cs="Verdana"/>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120A38"/>
    <w:rsid w:val="002F0FE2"/>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5068C-AF73-4D3B-A97D-5C5E9117A346}">
  <ds:schemaRefs>
    <ds:schemaRef ds:uri="http://schemas.openxmlformats.org/officeDocument/2006/bibliography"/>
  </ds:schemaRefs>
</ds:datastoreItem>
</file>

<file path=customXml/itemProps2.xml><?xml version="1.0" encoding="utf-8"?>
<ds:datastoreItem xmlns:ds="http://schemas.openxmlformats.org/officeDocument/2006/customXml" ds:itemID="{A831E46E-3FB1-4A22-AC21-0D6D55BA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1843</Words>
  <Characters>10508</Characters>
  <Application>Microsoft Office Word</Application>
  <DocSecurity>8</DocSecurity>
  <Lines>87</Lines>
  <Paragraphs>24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12327</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RMO</cp:lastModifiedBy>
  <cp:revision>2</cp:revision>
  <cp:lastPrinted>2014-05-08T15:06:00Z</cp:lastPrinted>
  <dcterms:created xsi:type="dcterms:W3CDTF">2014-10-15T15:42:00Z</dcterms:created>
  <dcterms:modified xsi:type="dcterms:W3CDTF">2014-10-15T15:42:00Z</dcterms:modified>
</cp:coreProperties>
</file>