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bookmarkStart w:id="0" w:name="_GoBack"/>
            <w:bookmarkEnd w:id="0"/>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 xml:space="preserve">for the ESMA MiFID II/MiFIR Discussion Paper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1"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input/Consultations’.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3" w:name="_Toc335141335"/>
      <w:r w:rsidRPr="00F574D0">
        <w:rPr>
          <w:rFonts w:cs="Georgia"/>
          <w:b/>
          <w:bCs/>
          <w:i/>
          <w:color w:val="000000"/>
          <w:szCs w:val="20"/>
          <w:lang w:eastAsia="en-GB"/>
        </w:rPr>
        <w:lastRenderedPageBreak/>
        <w:t>Data protection</w:t>
      </w:r>
      <w:bookmarkEnd w:id="3"/>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berschrift1"/>
        <w:numPr>
          <w:ilvl w:val="0"/>
          <w:numId w:val="0"/>
        </w:numPr>
      </w:pPr>
      <w:r>
        <w:rPr>
          <w:szCs w:val="20"/>
        </w:rPr>
        <w:br w:type="page"/>
      </w:r>
      <w:r w:rsidR="00E8774A">
        <w:t>General information about respondent</w:t>
      </w:r>
    </w:p>
    <w:tbl>
      <w:tblPr>
        <w:tblStyle w:val="Tabellenraster"/>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F53164"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751135567" w:edGrp="everyone"/>
                <w:r w:rsidR="001D62C8">
                  <w:t>Yes</w:t>
                </w:r>
                <w:permEnd w:id="1751135567"/>
              </w:sdtContent>
            </w:sdt>
          </w:p>
        </w:tc>
      </w:tr>
      <w:tr w:rsidR="00E8774A" w:rsidTr="008313E5">
        <w:tc>
          <w:tcPr>
            <w:tcW w:w="3510" w:type="dxa"/>
          </w:tcPr>
          <w:p w:rsidR="00E8774A" w:rsidRDefault="00E8774A" w:rsidP="008313E5">
            <w:r>
              <w:t>Activity:</w:t>
            </w:r>
          </w:p>
        </w:tc>
        <w:tc>
          <w:tcPr>
            <w:tcW w:w="6118" w:type="dxa"/>
          </w:tcPr>
          <w:p w:rsidR="00E8774A" w:rsidRDefault="00F53164"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280052816" w:edGrp="everyone"/>
                <w:r w:rsidR="001D62C8">
                  <w:t>Issuer</w:t>
                </w:r>
                <w:permEnd w:id="1280052816"/>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889632143" w:edGrp="everyone" w:displacedByCustomXml="prev"/>
            <w:tc>
              <w:tcPr>
                <w:tcW w:w="6118" w:type="dxa"/>
              </w:tcPr>
              <w:p w:rsidR="00E8774A" w:rsidRDefault="001D62C8" w:rsidP="008313E5">
                <w:r>
                  <w:t>Germany</w:t>
                </w:r>
              </w:p>
            </w:tc>
            <w:permEnd w:id="1889632143" w:displacedByCustomXml="next"/>
          </w:sdtContent>
        </w:sdt>
      </w:tr>
    </w:tbl>
    <w:p w:rsidR="00D74C9D" w:rsidRDefault="005D1023" w:rsidP="00D74C9D">
      <w:pPr>
        <w:pStyle w:val="berschrift1"/>
        <w:numPr>
          <w:ilvl w:val="0"/>
          <w:numId w:val="0"/>
        </w:numPr>
      </w:pPr>
      <w:r w:rsidRPr="00321CD3">
        <w:br w:type="page"/>
      </w:r>
      <w:bookmarkStart w:id="4" w:name="_Toc392599420"/>
      <w:bookmarkEnd w:id="1"/>
      <w:r w:rsidR="00D74C9D" w:rsidRPr="004C2CD3">
        <w:t>Introduction</w:t>
      </w:r>
      <w:bookmarkEnd w:id="4"/>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Default="00D74C9D" w:rsidP="00D74C9D">
      <w:permStart w:id="1797462426" w:edGrp="everyone"/>
      <w:r>
        <w:t>TYPE YOUR TEXT HERE</w:t>
      </w:r>
    </w:p>
    <w:permEnd w:id="1797462426"/>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berschrift1"/>
        <w:keepLines/>
        <w:numPr>
          <w:ilvl w:val="0"/>
          <w:numId w:val="37"/>
        </w:numPr>
        <w:spacing w:before="480" w:after="0"/>
      </w:pPr>
      <w:r>
        <w:t>Specification of the indicators of market manipulation</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E9344E" w:rsidP="00E9344E">
      <w:permStart w:id="781016601" w:edGrp="everyone"/>
      <w:r>
        <w:t>TYPE YOUR TEXT HERE</w:t>
      </w:r>
    </w:p>
    <w:permEnd w:id="781016601"/>
    <w:p w:rsidR="00E9344E" w:rsidRDefault="00E9344E" w:rsidP="00E9344E">
      <w:r>
        <w:t>&lt;ESMA_QUESTION_MAR_TA_1&gt;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 xml:space="preserve">Do you think that the non-exhaustive list of indicators of market manipulation proposed in the CP are appropriate considering the extended scope of MAR in terms of instruments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1669859287" w:edGrp="everyone"/>
      <w:r>
        <w:t>TYPE YOUR TEXT HERE</w:t>
      </w:r>
    </w:p>
    <w:permEnd w:id="1669859287"/>
    <w:p w:rsidR="00E9344E" w:rsidRDefault="00E9344E" w:rsidP="00E9344E">
      <w:r>
        <w:t>&lt;ESMA_QUESTION_MAR_TA_2&gt;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consider that the practice known as “Phishing</w:t>
      </w:r>
      <w:r>
        <w:rPr>
          <w:rStyle w:val="Funotenzeichen"/>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1816405093" w:edGrp="everyone"/>
      <w:r>
        <w:t>TYPE YOUR TEXT HERE</w:t>
      </w:r>
    </w:p>
    <w:permEnd w:id="1816405093"/>
    <w:p w:rsidR="00E9344E" w:rsidRDefault="00E9344E" w:rsidP="00E9344E">
      <w:r>
        <w:t>&lt;ESMA_QUESTION_MAR_TA_3&gt;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976105235" w:edGrp="everyone"/>
      <w:r>
        <w:t>TYPE YOUR TEXT HERE</w:t>
      </w:r>
    </w:p>
    <w:permEnd w:id="976105235"/>
    <w:p w:rsidR="00EC69C3" w:rsidRDefault="00E9344E" w:rsidP="00E9344E">
      <w:r>
        <w:t>&lt;ESMA_QUESTION_MAR_TA_4&gt;</w:t>
      </w:r>
    </w:p>
    <w:p w:rsidR="00E9344E" w:rsidRDefault="00EC69C3" w:rsidP="00E9344E">
      <w:r>
        <w:br w:type="page"/>
      </w:r>
    </w:p>
    <w:p w:rsidR="00E9344E" w:rsidRDefault="00E9344E" w:rsidP="00E9344E">
      <w:pPr>
        <w:pStyle w:val="berschrift1"/>
        <w:keepLines/>
        <w:numPr>
          <w:ilvl w:val="0"/>
          <w:numId w:val="37"/>
        </w:numPr>
        <w:spacing w:before="480" w:after="0"/>
      </w:pPr>
      <w:r>
        <w:t>Minimum thresholds for the purpose of the exemption for certain participants in the emission allowance market from the requirement to publicly disclose inside information</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individual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2102540955" w:edGrp="everyone"/>
      <w:r>
        <w:t>TYPE YOUR TEXT HERE</w:t>
      </w:r>
    </w:p>
    <w:permEnd w:id="2102540955"/>
    <w:p w:rsidR="00E9344E" w:rsidRDefault="00E9344E" w:rsidP="00E9344E">
      <w:r>
        <w:t>&lt;ESMA_QUESTION_MAR_TA_5&gt;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In your opinion, what types of entity-specific, non-public information held by individual market participants are most relevant for price formation or investment decisions in the emission allowance market?</w:t>
      </w:r>
    </w:p>
    <w:p w:rsidR="00E9344E" w:rsidRDefault="00E9344E" w:rsidP="00E9344E"/>
    <w:p w:rsidR="00E9344E" w:rsidRDefault="00E9344E" w:rsidP="00E9344E">
      <w:r>
        <w:t>&lt;ESMA_QUESTION_MAR_TA_6&gt;</w:t>
      </w:r>
    </w:p>
    <w:p w:rsidR="00E9344E" w:rsidRDefault="00E9344E" w:rsidP="00E9344E">
      <w:permStart w:id="1457328304" w:edGrp="everyone"/>
      <w:r>
        <w:t>TYPE YOUR TEXT HERE</w:t>
      </w:r>
    </w:p>
    <w:permEnd w:id="1457328304"/>
    <w:p w:rsidR="00E9344E" w:rsidRDefault="00E9344E" w:rsidP="00E9344E">
      <w:r>
        <w:t>&lt;ESMA_QUESTION_MAR_TA_6&gt;</w:t>
      </w:r>
    </w:p>
    <w:p w:rsidR="00E9344E" w:rsidRDefault="00E9344E" w:rsidP="00E9344E">
      <w:r>
        <w:br w:type="page"/>
      </w:r>
    </w:p>
    <w:p w:rsidR="00E9344E" w:rsidRDefault="00E9344E" w:rsidP="00E9344E">
      <w:pPr>
        <w:pStyle w:val="berschrift1"/>
        <w:keepLines/>
        <w:numPr>
          <w:ilvl w:val="0"/>
          <w:numId w:val="37"/>
        </w:numPr>
        <w:spacing w:before="480" w:after="0"/>
      </w:pPr>
      <w:r>
        <w:t>Determination of the competent authority for notification of delays in public disclosure of inside information</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 xml:space="preserve">Do you agree with the proposals for determining the competent authority to whom issuers of financial instruments and emission allowances market participants should notify delays in disclosure of inside information? </w:t>
      </w:r>
    </w:p>
    <w:p w:rsidR="00E9344E" w:rsidRDefault="00E9344E" w:rsidP="00E9344E"/>
    <w:p w:rsidR="00E9344E" w:rsidRDefault="00E9344E" w:rsidP="00E9344E">
      <w:r>
        <w:t>&lt;ESMA_QUESTION_MAR_TA_7&gt;</w:t>
      </w:r>
    </w:p>
    <w:p w:rsidR="00E9344E" w:rsidRDefault="00E9344E" w:rsidP="00E9344E">
      <w:permStart w:id="7019911" w:edGrp="everyone"/>
      <w:r>
        <w:t>TYPE YOUR TEXT HERE</w:t>
      </w:r>
    </w:p>
    <w:permEnd w:id="7019911"/>
    <w:p w:rsidR="00E9344E" w:rsidRDefault="00E9344E" w:rsidP="00E9344E">
      <w:r>
        <w:t>&lt;ESMA_QUESTION_MAR_TA_7&gt;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different MSs, which criteria should ESMA take into consideration to determine the relevant competent authority?</w:t>
      </w:r>
    </w:p>
    <w:p w:rsidR="00E9344E" w:rsidRDefault="00E9344E" w:rsidP="00E9344E"/>
    <w:p w:rsidR="00E9344E" w:rsidRDefault="00E9344E" w:rsidP="00E9344E">
      <w:r>
        <w:t>&lt;ESMA_QUESTION_MAR_TA_8&gt;</w:t>
      </w:r>
    </w:p>
    <w:p w:rsidR="00E9344E" w:rsidRDefault="00E9344E" w:rsidP="00E9344E">
      <w:permStart w:id="1432043032" w:edGrp="everyone"/>
      <w:r>
        <w:t>TYPE YOUR TEXT HERE</w:t>
      </w:r>
    </w:p>
    <w:permEnd w:id="1432043032"/>
    <w:p w:rsidR="00E9344E" w:rsidRDefault="00E9344E" w:rsidP="00E9344E">
      <w:r>
        <w:t>&lt;ESMA_QUESTION_MAR_TA_8&gt;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authority be determined according to mechanism set out in Article 19(2) of MAR or in another way?</w:t>
      </w:r>
    </w:p>
    <w:p w:rsidR="00E9344E" w:rsidRDefault="00E9344E" w:rsidP="00E9344E"/>
    <w:p w:rsidR="00E9344E" w:rsidRDefault="00E9344E" w:rsidP="00E9344E">
      <w:r>
        <w:t>&lt;ESMA_QUESTION_MAR_TA_9&gt;</w:t>
      </w:r>
    </w:p>
    <w:p w:rsidR="00E9344E" w:rsidRDefault="00E9344E" w:rsidP="00E9344E">
      <w:permStart w:id="1326996387" w:edGrp="everyone"/>
      <w:r>
        <w:t>TYPE YOUR TEXT HERE</w:t>
      </w:r>
    </w:p>
    <w:permEnd w:id="1326996387"/>
    <w:p w:rsidR="00E9344E" w:rsidRDefault="00E9344E" w:rsidP="00E9344E">
      <w:r>
        <w:t>&lt;ESMA_QUESTION_MAR_TA_9&gt;</w:t>
      </w:r>
    </w:p>
    <w:p w:rsidR="00E9344E" w:rsidRDefault="00E9344E" w:rsidP="00E9344E">
      <w:r>
        <w:br w:type="page"/>
      </w:r>
    </w:p>
    <w:p w:rsidR="00E9344E" w:rsidRDefault="00E9344E" w:rsidP="00E9344E">
      <w:pPr>
        <w:pStyle w:val="berschrift1"/>
        <w:keepLines/>
        <w:numPr>
          <w:ilvl w:val="0"/>
          <w:numId w:val="37"/>
        </w:numPr>
        <w:spacing w:before="480" w:after="0"/>
      </w:pPr>
      <w:r>
        <w:t>Managers’ transactions</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1D62C8" w:rsidRDefault="001D62C8" w:rsidP="001D62C8">
      <w:pPr>
        <w:rPr>
          <w:lang w:val="en-US"/>
        </w:rPr>
      </w:pPr>
      <w:permStart w:id="1456014744" w:edGrp="everyone"/>
      <w:r w:rsidRPr="003365D4">
        <w:rPr>
          <w:lang w:val="en-US"/>
        </w:rPr>
        <w:t>No</w:t>
      </w:r>
      <w:r>
        <w:rPr>
          <w:lang w:val="en-US"/>
        </w:rPr>
        <w:t xml:space="preserve">. </w:t>
      </w:r>
    </w:p>
    <w:p w:rsidR="001D62C8" w:rsidRDefault="001D62C8" w:rsidP="001D62C8">
      <w:pPr>
        <w:rPr>
          <w:lang w:val="en-US"/>
        </w:rPr>
      </w:pPr>
    </w:p>
    <w:p w:rsidR="001D62C8" w:rsidRDefault="001D62C8" w:rsidP="001D62C8">
      <w:r>
        <w:t xml:space="preserve">ESMA is going to interpret the duty to notify managers’ transaction in a way that will create misleading  market signals and massive additional compliance problems. </w:t>
      </w:r>
    </w:p>
    <w:p w:rsidR="001D62C8" w:rsidRDefault="001D62C8" w:rsidP="001D62C8"/>
    <w:p w:rsidR="001D62C8" w:rsidRDefault="001D62C8" w:rsidP="001D62C8">
      <w:pPr>
        <w:rPr>
          <w:noProof/>
          <w:lang w:val="en-US"/>
        </w:rPr>
      </w:pPr>
      <w:r>
        <w:t xml:space="preserve">As already expressed in our position paper on ESMA’s discussion paper in January 2014 </w:t>
      </w:r>
      <w:r w:rsidRPr="00CA569C">
        <w:rPr>
          <w:noProof/>
          <w:lang w:val="en-US"/>
        </w:rPr>
        <w:t xml:space="preserve">ESMA does not make a difference with regard to how the respective financial instrument has been acquired by the PDMR. </w:t>
      </w:r>
    </w:p>
    <w:p w:rsidR="001D62C8" w:rsidRDefault="001D62C8" w:rsidP="001D62C8">
      <w:pPr>
        <w:rPr>
          <w:noProof/>
          <w:lang w:val="en-US"/>
        </w:rPr>
      </w:pPr>
      <w:r>
        <w:rPr>
          <w:noProof/>
          <w:lang w:val="en-US"/>
        </w:rPr>
        <w:t xml:space="preserve">By definition </w:t>
      </w:r>
      <w:r w:rsidRPr="00CA569C">
        <w:rPr>
          <w:noProof/>
          <w:lang w:val="en-US"/>
        </w:rPr>
        <w:t>an acquisition of a financial instrument may only create signals for the market if there is an active investment decision by the reporting person. This is also the core legislative and economic rationale behind the duty to publish PDMRs’ transactions: Other market participants may extract from the reported transaction the PDMR’s current expectations with regard to the listed company. Market participants would</w:t>
      </w:r>
      <w:r>
        <w:rPr>
          <w:noProof/>
          <w:lang w:val="en-US"/>
        </w:rPr>
        <w:t xml:space="preserve"> </w:t>
      </w:r>
      <w:r w:rsidRPr="00CA569C">
        <w:rPr>
          <w:noProof/>
          <w:lang w:val="en-US"/>
        </w:rPr>
        <w:t xml:space="preserve">be </w:t>
      </w:r>
      <w:r>
        <w:rPr>
          <w:noProof/>
          <w:lang w:val="en-US"/>
        </w:rPr>
        <w:t xml:space="preserve">definitely misled </w:t>
      </w:r>
      <w:r w:rsidRPr="00CA569C">
        <w:rPr>
          <w:noProof/>
          <w:lang w:val="en-US"/>
        </w:rPr>
        <w:t xml:space="preserve">if the duty to report also covered transactions that resulted from situations where the PDMR has no discretion and/or is completely passive. </w:t>
      </w:r>
    </w:p>
    <w:p w:rsidR="001D62C8" w:rsidRDefault="001D62C8" w:rsidP="001D62C8">
      <w:pPr>
        <w:rPr>
          <w:noProof/>
          <w:lang w:val="en-US"/>
        </w:rPr>
      </w:pPr>
    </w:p>
    <w:p w:rsidR="001D62C8" w:rsidRDefault="001D62C8" w:rsidP="001D62C8">
      <w:pPr>
        <w:rPr>
          <w:noProof/>
          <w:lang w:val="en-US"/>
        </w:rPr>
      </w:pPr>
      <w:r w:rsidRPr="00CA569C">
        <w:rPr>
          <w:noProof/>
          <w:lang w:val="en-US"/>
        </w:rPr>
        <w:t xml:space="preserve">Consequently, </w:t>
      </w:r>
      <w:r w:rsidRPr="00875871">
        <w:rPr>
          <w:b/>
          <w:noProof/>
          <w:lang w:val="en-US"/>
        </w:rPr>
        <w:t>gifts, inheritances and denotations should be out of scope</w:t>
      </w:r>
      <w:r w:rsidRPr="00CA569C">
        <w:rPr>
          <w:noProof/>
          <w:lang w:val="en-US"/>
        </w:rPr>
        <w:t xml:space="preserve">, because they have in common that </w:t>
      </w:r>
      <w:r w:rsidRPr="009C5BDF">
        <w:rPr>
          <w:noProof/>
          <w:lang w:val="en-US"/>
        </w:rPr>
        <w:t>that due to the lack of consideration they are not based on an symptomatic investment or divestment decision of the person in question.</w:t>
      </w:r>
      <w:r w:rsidRPr="00CA569C">
        <w:rPr>
          <w:noProof/>
          <w:lang w:val="en-US"/>
        </w:rPr>
        <w:t xml:space="preserve"> </w:t>
      </w:r>
      <w:r>
        <w:rPr>
          <w:noProof/>
          <w:lang w:val="en-US"/>
        </w:rPr>
        <w:t xml:space="preserve">This is why we oppose ESMA’s proposal on this point (see para 2)m), p. 46). </w:t>
      </w:r>
      <w:r w:rsidRPr="00875871">
        <w:rPr>
          <w:b/>
          <w:noProof/>
          <w:lang w:val="en-US"/>
        </w:rPr>
        <w:t>In the same manner, any non-discretionary purchase, sale or execution of a financial instrument should be out of scope because such transactions will never reveal changes of the PDMR’s expectations and thus will rather mislead the market</w:t>
      </w:r>
      <w:r w:rsidRPr="00CA569C">
        <w:rPr>
          <w:noProof/>
          <w:lang w:val="en-US"/>
        </w:rPr>
        <w:t xml:space="preserve">. </w:t>
      </w:r>
      <w:r>
        <w:rPr>
          <w:noProof/>
          <w:lang w:val="en-US"/>
        </w:rPr>
        <w:t xml:space="preserve">Therefore, the </w:t>
      </w:r>
      <w:r w:rsidRPr="00CA569C">
        <w:rPr>
          <w:noProof/>
          <w:lang w:val="en-US"/>
        </w:rPr>
        <w:t xml:space="preserve">extent </w:t>
      </w:r>
      <w:r>
        <w:rPr>
          <w:noProof/>
          <w:lang w:val="en-US"/>
        </w:rPr>
        <w:t xml:space="preserve">to which </w:t>
      </w:r>
      <w:r w:rsidRPr="00CA569C">
        <w:rPr>
          <w:noProof/>
          <w:lang w:val="en-US"/>
        </w:rPr>
        <w:t>acquisitions under remuneration plans will form a transaction to be notified</w:t>
      </w:r>
      <w:r>
        <w:rPr>
          <w:noProof/>
          <w:lang w:val="en-US"/>
        </w:rPr>
        <w:t xml:space="preserve"> should be limited</w:t>
      </w:r>
      <w:r w:rsidRPr="00CA569C">
        <w:rPr>
          <w:noProof/>
          <w:lang w:val="en-US"/>
        </w:rPr>
        <w:t xml:space="preserve">. From our perspective the duty to notify should be limited at least in two respects. First, </w:t>
      </w:r>
      <w:r w:rsidRPr="00875871">
        <w:rPr>
          <w:b/>
          <w:noProof/>
          <w:lang w:val="en-US"/>
        </w:rPr>
        <w:t>any acquisition and sale that follows a non-discretionary remuneration plan should be out of scope</w:t>
      </w:r>
      <w:r w:rsidRPr="00CA569C">
        <w:rPr>
          <w:noProof/>
          <w:lang w:val="en-US"/>
        </w:rPr>
        <w:t xml:space="preserve">, because such transaction will </w:t>
      </w:r>
      <w:r>
        <w:rPr>
          <w:noProof/>
          <w:lang w:val="en-US"/>
        </w:rPr>
        <w:t xml:space="preserve">by definition </w:t>
      </w:r>
      <w:r w:rsidRPr="00CA569C">
        <w:rPr>
          <w:noProof/>
          <w:lang w:val="en-US"/>
        </w:rPr>
        <w:t xml:space="preserve">never provide markets with information on the expectations of the person in question (see above). </w:t>
      </w:r>
      <w:r>
        <w:rPr>
          <w:noProof/>
          <w:lang w:val="en-US"/>
        </w:rPr>
        <w:t xml:space="preserve">Against this background we doubt that para. 2)b) should be in the scope without any excemption. </w:t>
      </w:r>
    </w:p>
    <w:p w:rsidR="001D62C8" w:rsidRDefault="001D62C8" w:rsidP="001D62C8">
      <w:pPr>
        <w:rPr>
          <w:noProof/>
          <w:lang w:val="en-US"/>
        </w:rPr>
      </w:pPr>
    </w:p>
    <w:p w:rsidR="00E9344E" w:rsidRDefault="001D62C8" w:rsidP="001D62C8">
      <w:r>
        <w:rPr>
          <w:noProof/>
          <w:lang w:val="en-US"/>
        </w:rPr>
        <w:t xml:space="preserve">If a stock based salary plan is pre-determined there is also no need to ban “trading” in the closed period. In addition to that, we still miss a clarification </w:t>
      </w:r>
      <w:r w:rsidRPr="00CA569C">
        <w:rPr>
          <w:noProof/>
          <w:lang w:val="en-US"/>
        </w:rPr>
        <w:t>as to when a notification becomes due</w:t>
      </w:r>
      <w:r>
        <w:rPr>
          <w:noProof/>
          <w:lang w:val="en-US"/>
        </w:rPr>
        <w:t xml:space="preserve"> with </w:t>
      </w:r>
      <w:r w:rsidRPr="00CA569C">
        <w:rPr>
          <w:noProof/>
          <w:lang w:val="en-US"/>
        </w:rPr>
        <w:t>respect to derivative instruments under those plans (phantom stocks). From our point of view</w:t>
      </w:r>
      <w:r>
        <w:rPr>
          <w:noProof/>
          <w:lang w:val="en-US"/>
        </w:rPr>
        <w:t>, also here,</w:t>
      </w:r>
      <w:r w:rsidRPr="00CA569C">
        <w:rPr>
          <w:noProof/>
          <w:lang w:val="en-US"/>
        </w:rPr>
        <w:t xml:space="preserve"> it has to be avoided in any case that a reported transaction creates a misleading signal to the marke</w:t>
      </w:r>
    </w:p>
    <w:permEnd w:id="1456014744"/>
    <w:p w:rsidR="00E9344E" w:rsidRDefault="00E9344E" w:rsidP="00E9344E">
      <w:r>
        <w:t>&lt;ESMA_QUESTION_MAR_TA_10&gt;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1D62C8" w:rsidRDefault="001D62C8" w:rsidP="001D62C8">
      <w:pPr>
        <w:rPr>
          <w:noProof/>
          <w:lang w:val="en-US"/>
        </w:rPr>
      </w:pPr>
      <w:permStart w:id="739056632" w:edGrp="everyone"/>
      <w:r>
        <w:rPr>
          <w:noProof/>
          <w:lang w:val="en-US"/>
        </w:rPr>
        <w:t xml:space="preserve">We would prefer an index weight of 50 percent. The German regulator has chosen this weight, and we are not aware that it has caused concerns regarding market integrity or circumvention strategies. </w:t>
      </w:r>
    </w:p>
    <w:permEnd w:id="739056632"/>
    <w:p w:rsidR="00E9344E" w:rsidRDefault="00E9344E" w:rsidP="00E9344E">
      <w:r>
        <w:t>&lt;ESMA_QUESTION_MAR_TA_11&gt;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1D62C8" w:rsidP="00E9344E">
      <w:permStart w:id="397161859" w:edGrp="everyone"/>
      <w:r>
        <w:rPr>
          <w:noProof/>
          <w:lang w:val="en-US"/>
        </w:rPr>
        <w:t xml:space="preserve">As explained above any pre-determined purchase or sale as well as any transaction where the PDMR is completely passive should be principally permitted </w:t>
      </w:r>
      <w:r w:rsidRPr="00B7747D">
        <w:rPr>
          <w:noProof/>
          <w:lang w:val="en-US"/>
        </w:rPr>
        <w:t xml:space="preserve">(both within the closed period and out of the closed period) as </w:t>
      </w:r>
      <w:r>
        <w:rPr>
          <w:noProof/>
          <w:lang w:val="en-US"/>
        </w:rPr>
        <w:t xml:space="preserve">they </w:t>
      </w:r>
      <w:r w:rsidRPr="00B7747D">
        <w:rPr>
          <w:noProof/>
          <w:lang w:val="en-US"/>
        </w:rPr>
        <w:t>not create signals</w:t>
      </w:r>
      <w:r>
        <w:rPr>
          <w:noProof/>
          <w:lang w:val="en-US"/>
        </w:rPr>
        <w:t xml:space="preserve"> for the market are – by definition – not executed on the basis of inside information.</w:t>
      </w:r>
    </w:p>
    <w:permEnd w:id="397161859"/>
    <w:p w:rsidR="00E9344E" w:rsidRDefault="00E9344E" w:rsidP="00E9344E">
      <w:r>
        <w:t>&lt;ESMA_QUESTION_MAR_TA_12&gt;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Regarding transactions executed by a third party under a (full) discretionary portfolio or asset management mandate, do you foresee any issue with the proposed approach regarding the disclosure of such transactions or the need to ensure that the closed period prohibition is respected?</w:t>
      </w:r>
    </w:p>
    <w:p w:rsidR="00E9344E" w:rsidRDefault="00E9344E" w:rsidP="00E9344E"/>
    <w:p w:rsidR="00E9344E" w:rsidRDefault="00E9344E" w:rsidP="00E9344E">
      <w:r>
        <w:t>&lt;ESMA_QUESTION_MAR_TA_13&gt;</w:t>
      </w:r>
    </w:p>
    <w:p w:rsidR="001D62C8" w:rsidRDefault="001D62C8" w:rsidP="00365DD4">
      <w:pPr>
        <w:rPr>
          <w:noProof/>
          <w:lang w:val="en-US"/>
        </w:rPr>
      </w:pPr>
      <w:permStart w:id="417093691" w:edGrp="everyone"/>
      <w:r>
        <w:rPr>
          <w:noProof/>
          <w:lang w:val="en-US"/>
        </w:rPr>
        <w:t xml:space="preserve">In general securities held under a fully discretionary portfolio or asset management mandate should be out of the scope of the notification duty if there is no influence by the PDMR and, hence, no investment decision taken that can be influenced by the PDMR’s (inside) knowledge. </w:t>
      </w:r>
    </w:p>
    <w:p w:rsidR="001D62C8" w:rsidRDefault="001D62C8" w:rsidP="00365DD4">
      <w:pPr>
        <w:rPr>
          <w:noProof/>
          <w:lang w:val="en-US"/>
        </w:rPr>
      </w:pPr>
    </w:p>
    <w:p w:rsidR="001D62C8" w:rsidRDefault="001D62C8" w:rsidP="00365DD4">
      <w:pPr>
        <w:rPr>
          <w:noProof/>
          <w:lang w:val="en-US"/>
        </w:rPr>
      </w:pPr>
      <w:r>
        <w:rPr>
          <w:noProof/>
          <w:lang w:val="en-US"/>
        </w:rPr>
        <w:t>The consequence of ESMA’s proposal will be that PDMR’s contract with the third party will have to determine that no transaction in the shares of the issuer or instruments relating to it will be undertaken. In fact, ESMA’s interpretation will ban investments of the manager in own shares even if they are undertaken indirectly. If this is not the intention of ESMA the rule could be clarified in a way that the weight of the PDMR’s company should not exceed a certain threshold under the asset management mandate.</w:t>
      </w:r>
    </w:p>
    <w:p w:rsidR="001D62C8" w:rsidRDefault="001D62C8" w:rsidP="00365DD4">
      <w:pPr>
        <w:rPr>
          <w:noProof/>
          <w:lang w:val="en-US"/>
        </w:rPr>
      </w:pPr>
    </w:p>
    <w:p w:rsidR="001D62C8" w:rsidRDefault="001D62C8" w:rsidP="00365DD4">
      <w:pPr>
        <w:rPr>
          <w:noProof/>
          <w:lang w:val="en-US"/>
        </w:rPr>
      </w:pPr>
      <w:r>
        <w:rPr>
          <w:noProof/>
          <w:lang w:val="en-US"/>
        </w:rPr>
        <w:t>Regarding the interpretation of transactions that are conducted by third parties under an asset management mandate we are of the opinion the ESMA’s is not consistent with the text of MAR. Art. 19 (11) MAR states that a PDMR “</w:t>
      </w:r>
      <w:r w:rsidRPr="004B7202">
        <w:rPr>
          <w:noProof/>
          <w:lang w:val="en-US"/>
        </w:rPr>
        <w:t xml:space="preserve">shall not conduct any transactions on its </w:t>
      </w:r>
      <w:r w:rsidRPr="004B7202">
        <w:rPr>
          <w:noProof/>
          <w:u w:val="single"/>
          <w:lang w:val="en-US"/>
        </w:rPr>
        <w:t>own account</w:t>
      </w:r>
      <w:r w:rsidRPr="004B7202">
        <w:rPr>
          <w:noProof/>
          <w:lang w:val="en-US"/>
        </w:rPr>
        <w:t xml:space="preserve"> or </w:t>
      </w:r>
      <w:r w:rsidRPr="004B7202">
        <w:rPr>
          <w:noProof/>
          <w:u w:val="single"/>
          <w:lang w:val="en-US"/>
        </w:rPr>
        <w:t>for the account of a third party</w:t>
      </w:r>
      <w:r>
        <w:rPr>
          <w:noProof/>
          <w:u w:val="single"/>
          <w:lang w:val="en-US"/>
        </w:rPr>
        <w:t>”</w:t>
      </w:r>
      <w:r>
        <w:rPr>
          <w:noProof/>
          <w:lang w:val="en-US"/>
        </w:rPr>
        <w:t xml:space="preserve"> in the closed period. An fully discretionary asset management mandate cannot be subsumed under this definition as the asset manager acts on “its own account”, so that is simply not the PDMR who acts. Thus, indirect investments undertaken by a third party on a fully discretionary basis cannot b</w:t>
      </w:r>
      <w:r w:rsidR="00875871">
        <w:rPr>
          <w:noProof/>
          <w:lang w:val="en-US"/>
        </w:rPr>
        <w:t>e banned according to the level-</w:t>
      </w:r>
      <w:r>
        <w:rPr>
          <w:noProof/>
          <w:lang w:val="en-US"/>
        </w:rPr>
        <w:t>1</w:t>
      </w:r>
      <w:r w:rsidR="00875871">
        <w:rPr>
          <w:noProof/>
          <w:lang w:val="en-US"/>
        </w:rPr>
        <w:t>-</w:t>
      </w:r>
      <w:r>
        <w:rPr>
          <w:noProof/>
          <w:lang w:val="en-US"/>
        </w:rPr>
        <w:t xml:space="preserve">text. </w:t>
      </w:r>
    </w:p>
    <w:p w:rsidR="001D62C8" w:rsidRDefault="001D62C8" w:rsidP="00365DD4">
      <w:pPr>
        <w:rPr>
          <w:noProof/>
          <w:lang w:val="en-US"/>
        </w:rPr>
      </w:pPr>
    </w:p>
    <w:p w:rsidR="00E9344E" w:rsidRDefault="001D62C8" w:rsidP="00E9344E">
      <w:r>
        <w:rPr>
          <w:noProof/>
          <w:lang w:val="en-US"/>
        </w:rPr>
        <w:t>Both concerns hold also true with respect to the investment in collective investment undertakings (such as UCITS). We wonder whether ESMA’s postion would in practice mean that a PDMR will not be able anymore to invest in mutual funds or other indirect investment schemes that may invest in the listed company where the PDMR is employed. The PDMR of a German blue chip may for example not be permitted to invest in an investment funds specialised on European equities, because he/she will have not control of any of the transactions of the funds and thus will not be able to ensure that he recieves the information on trades by the fund manager nor will he/she be able to ensure compliance with a trading ban. Thus, ESMA should clarify that the trades of the asset managers of colletive investment undertakings will never lead to a notification nor will they fall under the trading</w:t>
      </w:r>
      <w:r w:rsidR="00875871">
        <w:rPr>
          <w:noProof/>
          <w:lang w:val="en-US"/>
        </w:rPr>
        <w:t xml:space="preserve"> b</w:t>
      </w:r>
      <w:r>
        <w:rPr>
          <w:noProof/>
          <w:lang w:val="en-US"/>
        </w:rPr>
        <w:t>an</w:t>
      </w:r>
      <w:r w:rsidR="00875871">
        <w:rPr>
          <w:noProof/>
          <w:lang w:val="en-US"/>
        </w:rPr>
        <w:t>.</w:t>
      </w:r>
      <w:r w:rsidR="00262B1A">
        <w:rPr>
          <w:noProof/>
          <w:lang w:val="en-US"/>
        </w:rPr>
        <w:t>_</w:t>
      </w:r>
      <w:permEnd w:id="417093691"/>
      <w:r w:rsidR="00E9344E">
        <w:t>&lt;ESMA_QUESTION_MAR_TA_13&gt;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84890469" w:edGrp="everyone"/>
      <w:r>
        <w:t>TYPE YOUR TEXT HERE</w:t>
      </w:r>
    </w:p>
    <w:permEnd w:id="84890469"/>
    <w:p w:rsidR="00E9344E" w:rsidRDefault="00E9344E" w:rsidP="00E9344E">
      <w:r>
        <w:t>&lt;ESMA_QUESTION_MAR_TA_14&gt;</w:t>
      </w:r>
    </w:p>
    <w:p w:rsidR="00E9344E" w:rsidRDefault="00E9344E" w:rsidP="00E9344E">
      <w:r>
        <w:br w:type="page"/>
      </w:r>
    </w:p>
    <w:p w:rsidR="00E9344E" w:rsidRDefault="00E9344E" w:rsidP="00E9344E">
      <w:pPr>
        <w:pStyle w:val="berschrift1"/>
        <w:keepLines/>
        <w:numPr>
          <w:ilvl w:val="0"/>
          <w:numId w:val="37"/>
        </w:numPr>
        <w:spacing w:before="480" w:after="0"/>
      </w:pPr>
      <w:r>
        <w:t>Reporting of infringements</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legislation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331629806" w:edGrp="everyone"/>
      <w:r>
        <w:t>TYPE YOUR TEXT HERE</w:t>
      </w:r>
    </w:p>
    <w:permEnd w:id="331629806"/>
    <w:p w:rsidR="00E9344E" w:rsidRDefault="00E9344E" w:rsidP="00E9344E">
      <w:r>
        <w:t>&lt;ESMA_QUESTION_MAR_TA_15&gt;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think there are other elements to be developed in relation to specific procedures for the receipt of reports of infringements under MAR and their follow-up, including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556380719" w:edGrp="everyone"/>
      <w:r>
        <w:t>TYPE YOUR TEXT HERE</w:t>
      </w:r>
    </w:p>
    <w:permEnd w:id="1556380719"/>
    <w:p w:rsidR="00E9344E" w:rsidRDefault="00E9344E" w:rsidP="00E9344E">
      <w:r>
        <w:t>&lt;ESMA_QUESTION_MAR_TA_16&gt;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berschrift5"/>
        <w:keepNext w:val="0"/>
        <w:keepLines w:val="0"/>
        <w:numPr>
          <w:ilvl w:val="0"/>
          <w:numId w:val="39"/>
        </w:numPr>
        <w:spacing w:before="0" w:line="276" w:lineRule="auto"/>
      </w:pPr>
      <w:r>
        <w:t>compliance with data retention periods and notification requirements for data processing;</w:t>
      </w:r>
    </w:p>
    <w:p w:rsidR="00E9344E" w:rsidRDefault="00E9344E" w:rsidP="00E9344E">
      <w:pPr>
        <w:pStyle w:val="berschrift5"/>
        <w:keepNext w:val="0"/>
        <w:keepLines w:val="0"/>
        <w:numPr>
          <w:ilvl w:val="0"/>
          <w:numId w:val="39"/>
        </w:numPr>
        <w:spacing w:before="0" w:line="276" w:lineRule="auto"/>
      </w:pPr>
      <w:r>
        <w:t>protection of the rights related to data processing;</w:t>
      </w:r>
    </w:p>
    <w:p w:rsidR="00E9344E" w:rsidRDefault="00E9344E" w:rsidP="00E9344E">
      <w:pPr>
        <w:pStyle w:val="berschrift5"/>
        <w:keepNext w:val="0"/>
        <w:keepLines w:val="0"/>
        <w:numPr>
          <w:ilvl w:val="0"/>
          <w:numId w:val="39"/>
        </w:numPr>
        <w:spacing w:before="0" w:line="276" w:lineRule="auto"/>
      </w:pPr>
      <w:r>
        <w:t>security aspects of the data processing operation; and</w:t>
      </w:r>
    </w:p>
    <w:p w:rsidR="00E9344E" w:rsidRDefault="00E9344E" w:rsidP="00E9344E">
      <w:pPr>
        <w:pStyle w:val="berschrift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1822493191" w:edGrp="everyone"/>
      <w:r>
        <w:t>TYPE YOUR TEXT HERE</w:t>
      </w:r>
    </w:p>
    <w:permEnd w:id="1822493191"/>
    <w:p w:rsidR="00E9344E" w:rsidRDefault="00E9344E" w:rsidP="00E9344E">
      <w:r>
        <w:t>&lt;ESMA_QUESTION_MAR_TA_17&gt;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In the context of “the protection of employees working under contract of employment”, among the following common forms of unfair treatment - namely dismissal, punitive,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848374821" w:edGrp="everyone"/>
      <w:r>
        <w:t>TYPE YOUR TEXT HERE</w:t>
      </w:r>
    </w:p>
    <w:permEnd w:id="848374821"/>
    <w:p w:rsidR="00E9344E" w:rsidRDefault="00E9344E" w:rsidP="00E9344E">
      <w:r>
        <w:t>&lt;ESMA_QUESTION_MAR_TA_18&gt;</w:t>
      </w:r>
    </w:p>
    <w:p w:rsidR="00E9344E" w:rsidRDefault="00E9344E" w:rsidP="00E9344E"/>
    <w:p w:rsidR="00E9344E" w:rsidRDefault="00E9344E" w:rsidP="00E9344E">
      <w:pPr>
        <w:pStyle w:val="berschrift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complement the mechanism of the competent authorities and the waiver of liability for reporting proposed in the draft technical advice, in order to increase the protection of employees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1599150357" w:edGrp="everyone"/>
      <w:r>
        <w:t>TYPE YOUR TEXT HERE</w:t>
      </w:r>
    </w:p>
    <w:permEnd w:id="1599150357"/>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343" w:rsidRDefault="005D2343">
      <w:r>
        <w:separator/>
      </w:r>
    </w:p>
    <w:p w:rsidR="005D2343" w:rsidRDefault="005D2343"/>
  </w:endnote>
  <w:endnote w:type="continuationSeparator" w:id="0">
    <w:p w:rsidR="005D2343" w:rsidRDefault="005D2343">
      <w:r>
        <w:continuationSeparator/>
      </w:r>
    </w:p>
    <w:p w:rsidR="005D2343" w:rsidRDefault="005D2343"/>
  </w:endnote>
  <w:endnote w:type="continuationNotice" w:id="1">
    <w:p w:rsidR="005D2343" w:rsidRDefault="005D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Lucida Sans"/>
    <w:panose1 w:val="00000000000000000000"/>
    <w:charset w:val="00"/>
    <w:family w:val="auto"/>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F53164">
            <w:rPr>
              <w:noProof/>
            </w:rPr>
            <w:t>3</w:t>
          </w:r>
          <w:r>
            <w:rPr>
              <w:noProof/>
            </w:rPr>
            <w:fldChar w:fldCharType="end"/>
          </w:r>
        </w:p>
      </w:tc>
    </w:tr>
  </w:tbl>
  <w:p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343" w:rsidRDefault="005D2343">
      <w:r>
        <w:separator/>
      </w:r>
    </w:p>
    <w:p w:rsidR="005D2343" w:rsidRDefault="005D2343"/>
  </w:footnote>
  <w:footnote w:type="continuationSeparator" w:id="0">
    <w:p w:rsidR="005D2343" w:rsidRDefault="005D2343">
      <w:r>
        <w:continuationSeparator/>
      </w:r>
    </w:p>
    <w:p w:rsidR="005D2343" w:rsidRDefault="005D2343"/>
  </w:footnote>
  <w:footnote w:type="continuationNotice" w:id="1">
    <w:p w:rsidR="005D2343" w:rsidRDefault="005D2343"/>
  </w:footnote>
  <w:footnote w:id="2">
    <w:p w:rsidR="00E9344E" w:rsidRDefault="00E9344E" w:rsidP="00E9344E">
      <w:pPr>
        <w:pStyle w:val="Funotentext"/>
      </w:pPr>
      <w:r>
        <w:rPr>
          <w:rStyle w:val="Funotenzeichen"/>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024F53">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A7EF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024F53"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fzeile"/>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highlight w:val="yellow"/>
        <w:lang w:val="fr-FR"/>
      </w:rPr>
    </w:pPr>
  </w:p>
  <w:p w:rsidR="00811EDA" w:rsidRDefault="00024F53">
    <w:pPr>
      <w:pStyle w:val="Kopfzeile"/>
    </w:pPr>
    <w:r>
      <w:rPr>
        <w:noProof/>
        <w:lang w:val="de-DE"/>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F25F"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6C7"/>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2C8"/>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2B1A"/>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1C2"/>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343"/>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7587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56DD"/>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164"/>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5:docId w15:val="{2AC6472D-20BB-4710-A7C7-1E72BAAC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36F4"/>
    <w:rPr>
      <w:rFonts w:ascii="Georgia" w:hAnsi="Georgia"/>
      <w:szCs w:val="24"/>
      <w:lang w:eastAsia="de-DE"/>
    </w:rPr>
  </w:style>
  <w:style w:type="paragraph" w:styleId="berschrift1">
    <w:name w:val="heading 1"/>
    <w:basedOn w:val="Standard"/>
    <w:next w:val="Standard"/>
    <w:link w:val="berschrift1Zchn"/>
    <w:qFormat/>
    <w:rsid w:val="009E7724"/>
    <w:pPr>
      <w:keepNext/>
      <w:numPr>
        <w:numId w:val="6"/>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4"/>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uiPriority w:val="99"/>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9"/>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2"/>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ascii="Arial" w:hAnsi="Arial"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7"/>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consultation/Consultation-Paper-Draft-technical-advice-possible-delegated-acts-concerning-Market-Ab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tzhalt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tzhalt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Lucida Sans"/>
    <w:panose1 w:val="00000000000000000000"/>
    <w:charset w:val="00"/>
    <w:family w:val="auto"/>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 w:val="00FA7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D5F02-6DB8-4BB5-A387-5EA0CB9C7AA0}">
  <ds:schemaRefs>
    <ds:schemaRef ds:uri="http://schemas.openxmlformats.org/officeDocument/2006/bibliography"/>
  </ds:schemaRefs>
</ds:datastoreItem>
</file>

<file path=customXml/itemProps2.xml><?xml version="1.0" encoding="utf-8"?>
<ds:datastoreItem xmlns:ds="http://schemas.openxmlformats.org/officeDocument/2006/customXml" ds:itemID="{6F1635BC-6DE0-45F1-9CF9-C70EF206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2152</Words>
  <Characters>13563</Characters>
  <Application>Microsoft Office Word</Application>
  <DocSecurity>8</DocSecurity>
  <Lines>113</Lines>
  <Paragraphs>31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15684</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Fey, Dr. Gerrit</cp:lastModifiedBy>
  <cp:revision>2</cp:revision>
  <cp:lastPrinted>2014-10-15T06:49:00Z</cp:lastPrinted>
  <dcterms:created xsi:type="dcterms:W3CDTF">2014-10-15T06:49:00Z</dcterms:created>
  <dcterms:modified xsi:type="dcterms:W3CDTF">2014-10-15T06:49:00Z</dcterms:modified>
</cp:coreProperties>
</file>