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ipervnculo"/>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ipervnculo"/>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ipervnculo"/>
            <w:szCs w:val="20"/>
          </w:rPr>
          <w:t>www.esma.europa.eu</w:t>
        </w:r>
      </w:hyperlink>
      <w:r w:rsidRPr="00321CD3">
        <w:rPr>
          <w:szCs w:val="20"/>
        </w:rPr>
        <w:t xml:space="preserve"> under the heading ‘Disclaimer’.</w:t>
      </w:r>
    </w:p>
    <w:p w:rsidR="00E8774A" w:rsidRDefault="00024F53" w:rsidP="00E8774A">
      <w:pPr>
        <w:pStyle w:val="Ttulo1"/>
        <w:numPr>
          <w:ilvl w:val="0"/>
          <w:numId w:val="0"/>
        </w:numPr>
      </w:pPr>
      <w:r>
        <w:rPr>
          <w:szCs w:val="20"/>
        </w:rPr>
        <w:br w:type="page"/>
      </w:r>
      <w:r w:rsidR="00E8774A">
        <w:lastRenderedPageBreak/>
        <w:t>General information about respondent</w:t>
      </w:r>
    </w:p>
    <w:tbl>
      <w:tblPr>
        <w:tblStyle w:val="Tablaconcuadrcula"/>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3A1EE4"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836808476" w:edGrp="everyone"/>
                <w:r w:rsidR="00693C67">
                  <w:t>No</w:t>
                </w:r>
                <w:permEnd w:id="1836808476"/>
              </w:sdtContent>
            </w:sdt>
          </w:p>
        </w:tc>
      </w:tr>
      <w:tr w:rsidR="00E8774A" w:rsidTr="008313E5">
        <w:tc>
          <w:tcPr>
            <w:tcW w:w="3510" w:type="dxa"/>
          </w:tcPr>
          <w:p w:rsidR="00E8774A" w:rsidRDefault="00E8774A" w:rsidP="008313E5">
            <w:r>
              <w:t>Activity:</w:t>
            </w:r>
          </w:p>
        </w:tc>
        <w:tc>
          <w:tcPr>
            <w:tcW w:w="6118" w:type="dxa"/>
          </w:tcPr>
          <w:p w:rsidR="00E8774A" w:rsidRDefault="003A1EE4"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673387748" w:edGrp="everyone"/>
                <w:r>
                  <w:t>Government, Regulatory and Enforcement</w:t>
                </w:r>
                <w:permEnd w:id="673387748"/>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702176949" w:edGrp="everyone" w:displacedByCustomXml="prev"/>
            <w:tc>
              <w:tcPr>
                <w:tcW w:w="6118" w:type="dxa"/>
              </w:tcPr>
              <w:p w:rsidR="00E8774A" w:rsidRDefault="00596FD8" w:rsidP="008313E5">
                <w:r>
                  <w:t>Spain</w:t>
                </w:r>
              </w:p>
            </w:tc>
            <w:permEnd w:id="1702176949" w:displacedByCustomXml="next"/>
          </w:sdtContent>
        </w:sdt>
      </w:tr>
    </w:tbl>
    <w:p w:rsidR="00D74C9D" w:rsidRDefault="005D1023" w:rsidP="00D74C9D">
      <w:pPr>
        <w:pStyle w:val="Ttulo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596FD8" w:rsidRPr="00C33F27" w:rsidRDefault="00596FD8" w:rsidP="00596FD8">
      <w:pPr>
        <w:jc w:val="both"/>
      </w:pPr>
      <w:permStart w:id="1669139688" w:edGrp="everyone"/>
      <w:r w:rsidRPr="00C33F27">
        <w:t>The CNMV's Advisory Commit</w:t>
      </w:r>
      <w:r>
        <w:t>tee</w:t>
      </w:r>
      <w:r w:rsidRPr="00C33F27">
        <w:t xml:space="preserve"> has been set by the Spanish Securities Market Law as the consultative body of the CNMV. This Committee is composed by market participants (members of secondary markets</w:t>
      </w:r>
      <w:smartTag w:uri="urn:schemas-microsoft-com:office:smarttags" w:element="PersonName">
        <w:r w:rsidRPr="00C33F27">
          <w:t>,</w:t>
        </w:r>
      </w:smartTag>
      <w:r w:rsidRPr="00C33F27">
        <w:t xml:space="preserve"> issuers</w:t>
      </w:r>
      <w:smartTag w:uri="urn:schemas-microsoft-com:office:smarttags" w:element="PersonName">
        <w:r w:rsidRPr="00C33F27">
          <w:t>,</w:t>
        </w:r>
      </w:smartTag>
      <w:r w:rsidRPr="00C33F27">
        <w:t xml:space="preserve"> retail investors</w:t>
      </w:r>
      <w:smartTag w:uri="urn:schemas-microsoft-com:office:smarttags" w:element="PersonName">
        <w:r w:rsidRPr="00C33F27">
          <w:t>,</w:t>
        </w:r>
      </w:smartTag>
      <w:r w:rsidRPr="00C33F27">
        <w:t xml:space="preserve"> intermediaries</w:t>
      </w:r>
      <w:smartTag w:uri="urn:schemas-microsoft-com:office:smarttags" w:element="PersonName">
        <w:r w:rsidRPr="00C33F27">
          <w:t>,</w:t>
        </w:r>
      </w:smartTag>
      <w:r w:rsidRPr="00C33F27">
        <w:t xml:space="preserve"> the collective investment industry</w:t>
      </w:r>
      <w:smartTag w:uri="urn:schemas-microsoft-com:office:smarttags" w:element="PersonName">
        <w:r w:rsidRPr="00C33F27">
          <w:t>,</w:t>
        </w:r>
      </w:smartTag>
      <w:r w:rsidRPr="00C33F27">
        <w:t xml:space="preserve"> </w:t>
      </w:r>
      <w:proofErr w:type="spellStart"/>
      <w:r w:rsidRPr="00C33F27">
        <w:t>etc</w:t>
      </w:r>
      <w:proofErr w:type="spellEnd"/>
      <w:r w:rsidRPr="00C33F27">
        <w:t>) and its opinions are ind</w:t>
      </w:r>
      <w:r w:rsidRPr="00C33F27">
        <w:t>e</w:t>
      </w:r>
      <w:r w:rsidRPr="00C33F27">
        <w:t>pendent from those of the CNMV.</w:t>
      </w:r>
    </w:p>
    <w:permEnd w:id="1669139688"/>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Ttulo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596FD8" w:rsidP="00E9344E">
      <w:permStart w:id="2031947279" w:edGrp="everyone"/>
      <w:r w:rsidRPr="00CF69C5">
        <w:t>We believe the examples of practices proposed by ESMA are sufficiently explanatory and help identify manipulative behaviours</w:t>
      </w:r>
      <w:proofErr w:type="gramStart"/>
      <w:r w:rsidRPr="00CF69C5">
        <w:t>.</w:t>
      </w:r>
      <w:permEnd w:id="2031947279"/>
      <w:r w:rsidR="00E9344E">
        <w:t>&lt;</w:t>
      </w:r>
      <w:proofErr w:type="gramEnd"/>
      <w:r w:rsidR="00E9344E">
        <w:t>ESMA_QUESTION_MAR_TA_1&gt;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Pr="00596FD8" w:rsidRDefault="00596FD8" w:rsidP="00596FD8">
      <w:pPr>
        <w:jc w:val="both"/>
        <w:rPr>
          <w:b/>
        </w:rPr>
      </w:pPr>
      <w:permStart w:id="1425550907" w:edGrp="everyone"/>
      <w:r w:rsidRPr="00CF69C5">
        <w:t>We believe the non-exhaustive list of indicators proposed in the CP is appropriate.</w:t>
      </w:r>
    </w:p>
    <w:permEnd w:id="1425550907"/>
    <w:p w:rsidR="00E9344E" w:rsidRDefault="00E9344E" w:rsidP="00E9344E">
      <w:r>
        <w:t>&lt;ESMA_QUESTION_MAR_TA_2&gt;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consider that the practice known as “Phishing</w:t>
      </w:r>
      <w:r>
        <w:rPr>
          <w:rStyle w:val="Refdenotaalpi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596FD8" w:rsidP="00E9344E">
      <w:permStart w:id="21720631" w:edGrp="everyone"/>
      <w:r w:rsidRPr="00CF69C5">
        <w:t>Phishing is clearly illegal—in fact, it's classified as a crime in the current Spanish Criminal Code; however, to be able to classify it as market manipulation, it would be necessary to analyse how the illegally-obtained information was used</w:t>
      </w:r>
      <w:permEnd w:id="21720631"/>
      <w:r w:rsidR="00E9344E">
        <w:t>&lt;ESMA_QUESTION_MAR_TA_3&gt;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C69C3" w:rsidRDefault="00596FD8" w:rsidP="00E9344E">
      <w:permStart w:id="1191133202" w:edGrp="everyone"/>
      <w:r w:rsidRPr="00CF69C5">
        <w:t xml:space="preserve">We believe that the reference to OTC transactions is appropriate, given that instruments which trade on both types of markets can lead to market manipulation. </w:t>
      </w:r>
      <w:permEnd w:id="1191133202"/>
      <w:r w:rsidR="00E9344E">
        <w:t>&lt;ESMA_QUESTION_MAR_TA_4&gt;</w:t>
      </w:r>
    </w:p>
    <w:p w:rsidR="00E9344E" w:rsidRDefault="00EC69C3" w:rsidP="00E9344E">
      <w:r>
        <w:br w:type="page"/>
      </w:r>
    </w:p>
    <w:p w:rsidR="00E9344E" w:rsidRDefault="00E9344E" w:rsidP="00E9344E">
      <w:pPr>
        <w:pStyle w:val="Ttulo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596FD8" w:rsidP="00E9344E">
      <w:permStart w:id="1591698807" w:edGrp="everyone"/>
      <w:r w:rsidRPr="00CF69C5">
        <w:t xml:space="preserve">The suggested thresholds appear to be appropriate with regard to the objectives being pursued. </w:t>
      </w:r>
      <w:permEnd w:id="1591698807"/>
      <w:r w:rsidR="00E9344E">
        <w:t>&lt;E</w:t>
      </w:r>
      <w:r w:rsidR="00E9344E">
        <w:t>S</w:t>
      </w:r>
      <w:r w:rsidR="00E9344E">
        <w:t>MA_QUESTION_MAR_TA_5&gt;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596FD8" w:rsidP="00E9344E">
      <w:permStart w:id="944073229" w:edGrp="everyone"/>
      <w:r w:rsidRPr="00CF69C5">
        <w:t>We believe that relevant corporate information in the emission rights market is no different from the information for other listed securities and financial instruments.</w:t>
      </w:r>
      <w:r>
        <w:t xml:space="preserve"> </w:t>
      </w:r>
      <w:permEnd w:id="944073229"/>
      <w:r w:rsidR="00E9344E">
        <w:t>&lt;ESMA_QUESTION_MAR_TA_6&gt;</w:t>
      </w:r>
    </w:p>
    <w:p w:rsidR="00E9344E" w:rsidRDefault="00E9344E" w:rsidP="00E9344E">
      <w:r>
        <w:br w:type="page"/>
      </w:r>
    </w:p>
    <w:p w:rsidR="00E9344E" w:rsidRDefault="00E9344E" w:rsidP="00E9344E">
      <w:pPr>
        <w:pStyle w:val="Ttulo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596FD8" w:rsidRPr="00CF69C5" w:rsidRDefault="00596FD8" w:rsidP="00596FD8">
      <w:pPr>
        <w:jc w:val="both"/>
      </w:pPr>
      <w:permStart w:id="1655464188" w:edGrp="everyone"/>
      <w:r w:rsidRPr="00CF69C5">
        <w:t>We agree with the proposals for determining the competent authority for notifications of delays in discl</w:t>
      </w:r>
      <w:r w:rsidRPr="00CF69C5">
        <w:t>o</w:t>
      </w:r>
      <w:r w:rsidRPr="00CF69C5">
        <w:t>sure of inside information.</w:t>
      </w:r>
    </w:p>
    <w:permEnd w:id="1655464188"/>
    <w:p w:rsidR="00E9344E" w:rsidRDefault="00E9344E" w:rsidP="00E9344E">
      <w:r>
        <w:t>&lt;ESMA_QUESTION_MAR_TA_7&gt;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596FD8" w:rsidP="00E9344E">
      <w:permStart w:id="802566344" w:edGrp="everyone"/>
      <w:r w:rsidRPr="00CF69C5">
        <w:t>We believe the relevant criterion for determining the competent authority could be the member state where the financial instrument's trading volume is greatest</w:t>
      </w:r>
      <w:proofErr w:type="gramStart"/>
      <w:r w:rsidRPr="00CF69C5">
        <w:t>.</w:t>
      </w:r>
      <w:permEnd w:id="802566344"/>
      <w:r w:rsidR="00E9344E">
        <w:t>&lt;</w:t>
      </w:r>
      <w:proofErr w:type="gramEnd"/>
      <w:r w:rsidR="00E9344E">
        <w:t>ESMA_QUESTION_MAR_TA_8&gt;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596FD8" w:rsidRPr="00CF69C5" w:rsidRDefault="00596FD8" w:rsidP="00596FD8">
      <w:pPr>
        <w:jc w:val="both"/>
      </w:pPr>
      <w:permStart w:id="743070473" w:edGrp="everyone"/>
      <w:r w:rsidRPr="00CF69C5">
        <w:t xml:space="preserve">In view of the conditions established in Article 17(5) of MAR, which refer to the possibility of delaying the disclosure of inside information for important reasons such as preserving the stability of a Member state's financial system, we consider it appropriate to establish criteria that differ from those indicated in the preceding item. </w:t>
      </w:r>
    </w:p>
    <w:p w:rsidR="00596FD8" w:rsidRPr="00CF69C5" w:rsidRDefault="00596FD8" w:rsidP="00596FD8">
      <w:pPr>
        <w:jc w:val="both"/>
      </w:pPr>
      <w:r w:rsidRPr="00CF69C5">
        <w:t>We agree that the competent authority should be defined in accordance with article 19(2) of MAR, i.e. that it is determined in accordance with the rules of the Member State where the issuer is registered.</w:t>
      </w:r>
    </w:p>
    <w:permEnd w:id="743070473"/>
    <w:p w:rsidR="00E9344E" w:rsidRDefault="00E9344E" w:rsidP="00E9344E">
      <w:r>
        <w:t>&lt;ESMA_QUESTION_MAR_TA_9&gt;</w:t>
      </w:r>
    </w:p>
    <w:p w:rsidR="00E9344E" w:rsidRDefault="00E9344E" w:rsidP="00E9344E">
      <w:r>
        <w:br w:type="page"/>
      </w:r>
    </w:p>
    <w:p w:rsidR="00E9344E" w:rsidRDefault="00E9344E" w:rsidP="00E9344E">
      <w:pPr>
        <w:pStyle w:val="Ttulo1"/>
        <w:keepLines/>
        <w:numPr>
          <w:ilvl w:val="0"/>
          <w:numId w:val="37"/>
        </w:numPr>
        <w:spacing w:before="480" w:after="0"/>
      </w:pPr>
      <w:r>
        <w:lastRenderedPageBreak/>
        <w:t>Managers’ transactions</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596FD8" w:rsidRPr="00693C67" w:rsidRDefault="00596FD8" w:rsidP="00596FD8">
      <w:pPr>
        <w:jc w:val="both"/>
        <w:rPr>
          <w:b/>
          <w:lang w:val="es-ES"/>
        </w:rPr>
      </w:pPr>
      <w:permStart w:id="11092775" w:edGrp="everyone"/>
      <w:proofErr w:type="spellStart"/>
      <w:r w:rsidRPr="00693C67">
        <w:rPr>
          <w:lang w:val="es-ES"/>
        </w:rPr>
        <w:t>We</w:t>
      </w:r>
      <w:proofErr w:type="spellEnd"/>
      <w:r w:rsidRPr="00693C67">
        <w:rPr>
          <w:lang w:val="es-ES"/>
        </w:rPr>
        <w:t xml:space="preserve"> </w:t>
      </w:r>
      <w:proofErr w:type="spellStart"/>
      <w:r w:rsidRPr="00693C67">
        <w:rPr>
          <w:lang w:val="es-ES"/>
        </w:rPr>
        <w:t>agree</w:t>
      </w:r>
      <w:proofErr w:type="spellEnd"/>
      <w:r w:rsidRPr="00693C67">
        <w:rPr>
          <w:lang w:val="es-ES"/>
        </w:rPr>
        <w:t>.</w:t>
      </w:r>
    </w:p>
    <w:permEnd w:id="11092775"/>
    <w:p w:rsidR="00E9344E" w:rsidRDefault="00E9344E" w:rsidP="00E9344E">
      <w:r>
        <w:t>&lt;ESMA_QUESTION_MAR_TA_10&gt;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596FD8" w:rsidP="00E9344E">
      <w:permStart w:id="1811510635" w:edGrp="everyone"/>
      <w:r w:rsidRPr="00CF69C5">
        <w:t xml:space="preserve">We agree with the weighting approach proposed by ESMA. </w:t>
      </w:r>
      <w:permEnd w:id="1811510635"/>
      <w:r w:rsidR="00E9344E">
        <w:t>&lt;ESMA_QUESTION_MAR_TA_11&gt;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596FD8" w:rsidRPr="00CF69C5" w:rsidRDefault="00596FD8" w:rsidP="00596FD8">
      <w:pPr>
        <w:keepNext/>
        <w:jc w:val="both"/>
      </w:pPr>
      <w:permStart w:id="176123040" w:edGrp="everyone"/>
      <w:r w:rsidRPr="00CF69C5">
        <w:t>We agree with the approach proposed by ESMA.</w:t>
      </w:r>
    </w:p>
    <w:permEnd w:id="176123040"/>
    <w:p w:rsidR="00E9344E" w:rsidRDefault="00E9344E" w:rsidP="00E9344E">
      <w:r>
        <w:t>&lt;ESMA_QUESTION_MAR_TA_12&gt;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596FD8" w:rsidRPr="00CF69C5" w:rsidRDefault="00596FD8" w:rsidP="00596FD8">
      <w:pPr>
        <w:jc w:val="both"/>
      </w:pPr>
      <w:permStart w:id="1447979337" w:edGrp="everyone"/>
      <w:r w:rsidRPr="00CF69C5">
        <w:t>We do not believe that the liability of the executive and the manager is well defined where financial i</w:t>
      </w:r>
      <w:r w:rsidRPr="00CF69C5">
        <w:t>n</w:t>
      </w:r>
      <w:r w:rsidRPr="00CF69C5">
        <w:t xml:space="preserve">struments are traded during the closed period. </w:t>
      </w:r>
    </w:p>
    <w:permEnd w:id="1447979337"/>
    <w:p w:rsidR="00E9344E" w:rsidRDefault="00E9344E" w:rsidP="00E9344E">
      <w:r>
        <w:t>&lt;ESMA_QUESTION_MAR_TA_13&gt;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596FD8" w:rsidRPr="00CF69C5" w:rsidRDefault="00596FD8" w:rsidP="00596FD8">
      <w:pPr>
        <w:jc w:val="both"/>
      </w:pPr>
      <w:permStart w:id="1091184093" w:edGrp="everyone"/>
      <w:r w:rsidRPr="00CF69C5">
        <w:t>We consider the transactions in the list proposed by ESMA to be appropriate for justifying permission to trade during a closed period.</w:t>
      </w:r>
    </w:p>
    <w:permEnd w:id="1091184093"/>
    <w:p w:rsidR="00E9344E" w:rsidRDefault="00E9344E" w:rsidP="00E9344E">
      <w:r>
        <w:t>&lt;ESMA_QUESTION_MAR_TA_14&gt;</w:t>
      </w:r>
    </w:p>
    <w:p w:rsidR="00E9344E" w:rsidRDefault="00E9344E" w:rsidP="00E9344E">
      <w:r>
        <w:br w:type="page"/>
      </w:r>
    </w:p>
    <w:p w:rsidR="00E9344E" w:rsidRDefault="00E9344E" w:rsidP="00E9344E">
      <w:pPr>
        <w:pStyle w:val="Ttulo1"/>
        <w:keepLines/>
        <w:numPr>
          <w:ilvl w:val="0"/>
          <w:numId w:val="37"/>
        </w:numPr>
        <w:spacing w:before="480" w:after="0"/>
      </w:pPr>
      <w:r>
        <w:lastRenderedPageBreak/>
        <w:t>Reporting of infringements</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596FD8" w:rsidRPr="00CF69C5" w:rsidRDefault="00596FD8" w:rsidP="00596FD8">
      <w:pPr>
        <w:jc w:val="both"/>
      </w:pPr>
      <w:permStart w:id="97209892" w:edGrp="everyone"/>
      <w:r w:rsidRPr="00CF69C5">
        <w:t>Please find our answer to this question and the following one below.</w:t>
      </w:r>
    </w:p>
    <w:permEnd w:id="97209892"/>
    <w:p w:rsidR="00E9344E" w:rsidRDefault="00E9344E" w:rsidP="00E9344E">
      <w:r>
        <w:t>&lt;ESMA_QUESTION_MAR_TA_15&gt;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596FD8" w:rsidRPr="00CF69C5" w:rsidRDefault="00596FD8" w:rsidP="00596FD8">
      <w:pPr>
        <w:jc w:val="both"/>
      </w:pPr>
      <w:permStart w:id="628325645" w:edGrp="everyone"/>
      <w:r w:rsidRPr="00CF69C5">
        <w:t xml:space="preserve">We agree with the proposals and analyses included in ESMA's draft technical advice. </w:t>
      </w:r>
    </w:p>
    <w:p w:rsidR="00596FD8" w:rsidRDefault="00596FD8" w:rsidP="00596FD8">
      <w:pPr>
        <w:jc w:val="both"/>
      </w:pPr>
      <w:r w:rsidRPr="00CF69C5">
        <w:t>With regard to specific procedures for receiving reports of infringement, we believe their content is ad</w:t>
      </w:r>
      <w:r w:rsidRPr="00CF69C5">
        <w:t>e</w:t>
      </w:r>
      <w:r w:rsidRPr="00CF69C5">
        <w:t>quate and that no additional elements are required.</w:t>
      </w:r>
    </w:p>
    <w:permEnd w:id="628325645"/>
    <w:p w:rsidR="00E9344E" w:rsidRDefault="00E9344E" w:rsidP="00E9344E">
      <w:r>
        <w:t>&lt;ESMA_QUESTION_MAR_TA_16&gt;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Ttulo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Ttulo5"/>
        <w:keepNext w:val="0"/>
        <w:keepLines w:val="0"/>
        <w:numPr>
          <w:ilvl w:val="0"/>
          <w:numId w:val="39"/>
        </w:numPr>
        <w:spacing w:before="0" w:line="276" w:lineRule="auto"/>
      </w:pPr>
      <w:r>
        <w:t>protection of the rights related to data processing;</w:t>
      </w:r>
    </w:p>
    <w:p w:rsidR="00E9344E" w:rsidRDefault="00E9344E" w:rsidP="00E9344E">
      <w:pPr>
        <w:pStyle w:val="Ttulo5"/>
        <w:keepNext w:val="0"/>
        <w:keepLines w:val="0"/>
        <w:numPr>
          <w:ilvl w:val="0"/>
          <w:numId w:val="39"/>
        </w:numPr>
        <w:spacing w:before="0" w:line="276" w:lineRule="auto"/>
      </w:pPr>
      <w:r>
        <w:t>security aspects of the data processing operation; and</w:t>
      </w:r>
    </w:p>
    <w:p w:rsidR="00E9344E" w:rsidRDefault="00E9344E" w:rsidP="00E9344E">
      <w:pPr>
        <w:pStyle w:val="Ttulo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596FD8" w:rsidRPr="00596FD8" w:rsidRDefault="00596FD8" w:rsidP="00596FD8">
      <w:pPr>
        <w:ind w:left="142"/>
        <w:jc w:val="both"/>
        <w:rPr>
          <w:lang w:val="es-ES"/>
        </w:rPr>
      </w:pPr>
      <w:permStart w:id="887186049" w:edGrp="everyone"/>
      <w:r w:rsidRPr="00596FD8">
        <w:rPr>
          <w:lang w:val="es-ES"/>
        </w:rPr>
        <w:t xml:space="preserve">No </w:t>
      </w:r>
    </w:p>
    <w:permEnd w:id="887186049"/>
    <w:p w:rsidR="00E9344E" w:rsidRDefault="00E9344E" w:rsidP="00E9344E">
      <w:r>
        <w:t>&lt;ESMA_QUESTION_MAR_TA_17&gt;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596FD8" w:rsidRPr="00CF69C5" w:rsidRDefault="00596FD8" w:rsidP="00596FD8">
      <w:pPr>
        <w:jc w:val="both"/>
      </w:pPr>
      <w:permStart w:id="246049502" w:edGrp="everyone"/>
      <w:r w:rsidRPr="00CF69C5">
        <w:t xml:space="preserve">With regard to protection of employees under contract of employment, the current technical rules state that reporting in good faith to the competent authority never constitutes an infringement if the contract contained a confidentiality clause or under any legislative, regulatory or administrative provision, and will never create liability of any kind for the </w:t>
      </w:r>
      <w:proofErr w:type="spellStart"/>
      <w:r w:rsidRPr="00CF69C5">
        <w:t>whistleblower</w:t>
      </w:r>
      <w:proofErr w:type="spellEnd"/>
      <w:r w:rsidRPr="00CF69C5">
        <w:t xml:space="preserve">. </w:t>
      </w:r>
    </w:p>
    <w:p w:rsidR="00596FD8" w:rsidRDefault="00596FD8" w:rsidP="00596FD8">
      <w:pPr>
        <w:jc w:val="both"/>
      </w:pPr>
      <w:r w:rsidRPr="00CF69C5">
        <w:lastRenderedPageBreak/>
        <w:t>OPINION: All of the forms listed constitute unfair treatment and, therefore, clash with the provisions of the Regulation. Protection mechanisms must include the right to compensation for damages.</w:t>
      </w:r>
    </w:p>
    <w:permEnd w:id="246049502"/>
    <w:p w:rsidR="00E9344E" w:rsidRDefault="00E9344E" w:rsidP="00E9344E">
      <w:r>
        <w:t>&lt;ESMA_QUESTION_MAR_TA_18&gt;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596FD8" w:rsidP="00596FD8">
      <w:pPr>
        <w:jc w:val="both"/>
      </w:pPr>
      <w:permStart w:id="283855920" w:edGrp="everyone"/>
      <w:r w:rsidRPr="00CF69C5">
        <w:t xml:space="preserve">No, it appears to be sufficient, as detailed in the proposal, that the person who reports an infringement of the Regulation in good faith will not suffer any liability as a result of such report. </w:t>
      </w:r>
    </w:p>
    <w:permEnd w:id="283855920"/>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Arial"/>
    <w:panose1 w:val="020B0403030403020204"/>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3A1EE4">
            <w:rPr>
              <w:noProof/>
            </w:rPr>
            <w:t>5</w:t>
          </w:r>
          <w:r>
            <w:rPr>
              <w:noProof/>
            </w:rPr>
            <w:fldChar w:fldCharType="end"/>
          </w:r>
        </w:p>
      </w:tc>
    </w:tr>
  </w:tbl>
  <w:p w:rsidR="00811EDA" w:rsidRDefault="00811E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Textonotapie"/>
      </w:pPr>
      <w:r>
        <w:rPr>
          <w:rStyle w:val="Refdenotaalpi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Encabezado"/>
    </w:pPr>
    <w:r>
      <w:rPr>
        <w:noProof/>
        <w:lang w:val="es-ES" w:eastAsia="es-E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Encabezado"/>
      <w:jc w:val="right"/>
    </w:pPr>
    <w:r>
      <w:rPr>
        <w:noProof/>
        <w:lang w:val="es-ES" w:eastAsia="es-E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cabezado"/>
      <w:rPr>
        <w:lang w:val="fr-FR"/>
      </w:rPr>
    </w:pPr>
  </w:p>
  <w:p w:rsidR="00811EDA" w:rsidRPr="002F4496" w:rsidRDefault="00811EDA" w:rsidP="000C06C9">
    <w:pPr>
      <w:pStyle w:val="Encabezado"/>
      <w:tabs>
        <w:tab w:val="clear" w:pos="4536"/>
        <w:tab w:val="clear" w:pos="9072"/>
        <w:tab w:val="left" w:pos="8227"/>
      </w:tabs>
      <w:rPr>
        <w:lang w:val="fr-FR"/>
      </w:rPr>
    </w:pPr>
  </w:p>
  <w:p w:rsidR="00811EDA" w:rsidRPr="002F4496" w:rsidRDefault="00811EDA" w:rsidP="000C06C9">
    <w:pPr>
      <w:pStyle w:val="Encabezado"/>
      <w:tabs>
        <w:tab w:val="clear" w:pos="4536"/>
        <w:tab w:val="clear" w:pos="9072"/>
        <w:tab w:val="left" w:pos="8227"/>
      </w:tabs>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highlight w:val="yellow"/>
        <w:lang w:val="fr-FR"/>
      </w:rPr>
    </w:pPr>
  </w:p>
  <w:p w:rsidR="00811EDA" w:rsidRDefault="00024F53">
    <w:pPr>
      <w:pStyle w:val="Encabezado"/>
    </w:pPr>
    <w:r>
      <w:rPr>
        <w:noProof/>
        <w:lang w:val="es-ES" w:eastAsia="es-ES"/>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s-ES" w:eastAsia="es-E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1EE4"/>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96FD8"/>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3C67"/>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5A99"/>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Ttulo1">
    <w:name w:val="heading 1"/>
    <w:basedOn w:val="Normal"/>
    <w:next w:val="Normal"/>
    <w:link w:val="Ttulo1Car"/>
    <w:qFormat/>
    <w:rsid w:val="009E7724"/>
    <w:pPr>
      <w:keepNext/>
      <w:numPr>
        <w:numId w:val="6"/>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4"/>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uiPriority w:val="99"/>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9"/>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Georgia" w:hAnsi="Georgia"/>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Ttulo1">
    <w:name w:val="heading 1"/>
    <w:basedOn w:val="Normal"/>
    <w:next w:val="Normal"/>
    <w:link w:val="Ttulo1Car"/>
    <w:qFormat/>
    <w:rsid w:val="009E7724"/>
    <w:pPr>
      <w:keepNext/>
      <w:numPr>
        <w:numId w:val="6"/>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4"/>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uiPriority w:val="99"/>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9"/>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Georgia" w:hAnsi="Georgia"/>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Textodelmarcadordeposicin"/>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Textodelmarcadordeposicin"/>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Arial"/>
    <w:panose1 w:val="020B0403030403020204"/>
    <w:charset w:val="00"/>
    <w:family w:val="swiss"/>
    <w:notTrueType/>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6238C-4CD2-4D84-9076-112A796FB38F}">
  <ds:schemaRefs>
    <ds:schemaRef ds:uri="http://schemas.openxmlformats.org/officeDocument/2006/bibliography"/>
  </ds:schemaRefs>
</ds:datastoreItem>
</file>

<file path=customXml/itemProps2.xml><?xml version="1.0" encoding="utf-8"?>
<ds:datastoreItem xmlns:ds="http://schemas.openxmlformats.org/officeDocument/2006/customXml" ds:itemID="{AACFDBA5-30B3-406B-AB1C-38E67509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1938</Words>
  <Characters>11671</Characters>
  <Application>Microsoft Office Word</Application>
  <DocSecurity>8</DocSecurity>
  <Lines>97</Lines>
  <Paragraphs>27</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13582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David de Miguel Rato</cp:lastModifiedBy>
  <cp:revision>5</cp:revision>
  <cp:lastPrinted>2014-05-08T15:06:00Z</cp:lastPrinted>
  <dcterms:created xsi:type="dcterms:W3CDTF">2014-10-15T14:55:00Z</dcterms:created>
  <dcterms:modified xsi:type="dcterms:W3CDTF">2014-10-15T15:16:00Z</dcterms:modified>
</cp:coreProperties>
</file>