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trPr>
          <w:trHeight w:val="284"/>
        </w:trPr>
        <w:tc>
          <w:tcPr>
            <w:tcW w:w="9412" w:type="dxa"/>
          </w:tcPr>
          <w:p>
            <w:pPr>
              <w:pStyle w:val="00bDBInfo"/>
            </w:pPr>
            <w:r>
              <w:t>20 August</w:t>
            </w:r>
            <w:r>
              <w:t xml:space="preserve"> </w:t>
            </w:r>
            <w:r>
              <w:t>2014</w:t>
            </w:r>
          </w:p>
        </w:tc>
      </w:tr>
    </w:tbl>
    <w:p>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trPr>
          <w:trHeight w:hRule="exact" w:val="1209"/>
        </w:trPr>
        <w:tc>
          <w:tcPr>
            <w:tcW w:w="9397" w:type="dxa"/>
            <w:vAlign w:val="bottom"/>
          </w:tcPr>
          <w:p>
            <w:pPr>
              <w:pStyle w:val="01aDBTitle"/>
            </w:pPr>
            <w:r>
              <w:t>Reply form</w:t>
            </w:r>
            <w:r>
              <w:t xml:space="preserve"> </w:t>
            </w:r>
            <w:r>
              <w:t>for</w:t>
            </w:r>
            <w:r>
              <w:t xml:space="preserve"> the </w:t>
            </w:r>
          </w:p>
          <w:p>
            <w:pPr>
              <w:pStyle w:val="01aDBTitle"/>
            </w:pPr>
            <w:r>
              <w:t>ESMA MAR</w:t>
            </w:r>
            <w:r>
              <w:t xml:space="preserve"> </w:t>
            </w:r>
            <w:r>
              <w:t xml:space="preserve"> </w:t>
            </w:r>
            <w:r>
              <w:t xml:space="preserve">Technical </w:t>
            </w:r>
            <w:r>
              <w:t>advice</w:t>
            </w:r>
          </w:p>
          <w:p>
            <w:pPr>
              <w:pStyle w:val="01aDBTitle"/>
            </w:pPr>
            <w:r>
              <w:t xml:space="preserve"> </w:t>
            </w:r>
          </w:p>
          <w:p>
            <w:pPr>
              <w:pStyle w:val="01aDBTitle"/>
            </w:pPr>
            <w:r>
              <w:t>Template for comments</w:t>
            </w:r>
          </w:p>
          <w:p>
            <w:pPr>
              <w:pStyle w:val="01aDBTitle"/>
            </w:pPr>
            <w:r>
              <w:t>for the ESMA MiFID II/MiFIR Discussion P</w:t>
            </w:r>
            <w:r>
              <w:t>a</w:t>
            </w:r>
            <w:r>
              <w:t xml:space="preserve">per </w:t>
            </w:r>
            <w:r>
              <w:t xml:space="preserve"> </w:t>
            </w:r>
            <w:r>
              <w:t xml:space="preserve"> </w:t>
            </w:r>
          </w:p>
        </w:tc>
      </w:tr>
      <w:tr>
        <w:trPr>
          <w:trHeight w:hRule="exact" w:val="605"/>
        </w:trPr>
        <w:tc>
          <w:tcPr>
            <w:tcW w:w="9397" w:type="dxa"/>
            <w:tcMar>
              <w:top w:w="142" w:type="dxa"/>
            </w:tcMar>
          </w:tcPr>
          <w:p>
            <w:pPr>
              <w:pStyle w:val="01bDBSubtitle"/>
            </w:pPr>
            <w:r>
              <w:t xml:space="preserve"> </w:t>
            </w:r>
          </w:p>
        </w:tc>
      </w:tr>
    </w:tbl>
    <w:p>
      <w:pPr>
        <w:pStyle w:val="05HeadlinenoIndex"/>
        <w:sectPr>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trPr>
          <w:trHeight w:hRule="exact" w:val="964"/>
        </w:trPr>
        <w:tc>
          <w:tcPr>
            <w:tcW w:w="2325" w:type="dxa"/>
          </w:tcPr>
          <w:p>
            <w:pPr>
              <w:pStyle w:val="02Date"/>
            </w:pPr>
            <w:r>
              <w:lastRenderedPageBreak/>
              <w:t xml:space="preserve">Date: </w:t>
            </w:r>
            <w:r>
              <w:t>20 August</w:t>
            </w:r>
            <w:r>
              <w:t xml:space="preserve"> </w:t>
            </w:r>
            <w:r>
              <w:t>201</w:t>
            </w:r>
            <w:r>
              <w:t>4</w:t>
            </w:r>
          </w:p>
        </w:tc>
      </w:tr>
    </w:tbl>
    <w:p>
      <w:pPr>
        <w:pStyle w:val="05HeadlinenoIndex"/>
      </w:pPr>
      <w:bookmarkStart w:id="0" w:name="_Toc280628648"/>
    </w:p>
    <w:p>
      <w:pPr>
        <w:pStyle w:val="05HeadlinenoIndex"/>
      </w:pPr>
      <w:r>
        <w:br w:type="page"/>
      </w:r>
      <w:r>
        <w:lastRenderedPageBreak/>
        <w:t xml:space="preserve">Responding to this paper </w:t>
      </w:r>
    </w:p>
    <w:p>
      <w:pPr>
        <w:pStyle w:val="04BodyText"/>
        <w:spacing w:before="120" w:after="120"/>
      </w:pPr>
      <w:r>
        <w:t>The European Securities and Markets Autho</w:t>
      </w:r>
      <w:r>
        <w:t>rity (ESMA) invites responses</w:t>
      </w:r>
      <w:r>
        <w:t xml:space="preserve"> </w:t>
      </w:r>
      <w:r>
        <w:t xml:space="preserve">to </w:t>
      </w:r>
      <w:r>
        <w:t xml:space="preserve">the specific questions listed in </w:t>
      </w:r>
      <w:r>
        <w:t xml:space="preserve">the ESMA </w:t>
      </w:r>
      <w:r>
        <w:t>Consultation Paper - Draft technical advice on possible delegated acts concerning the Market Abuse Regulation (MAR)</w:t>
      </w:r>
      <w:r>
        <w:t xml:space="preserve">, </w:t>
      </w:r>
      <w:r>
        <w:t>published</w:t>
      </w:r>
      <w:r>
        <w:t xml:space="preserve"> on the ESMA website (</w:t>
      </w:r>
      <w:hyperlink r:id="rId13" w:history="1">
        <w:r>
          <w:rPr>
            <w:rStyle w:val="Hyperlink"/>
          </w:rPr>
          <w:t>here</w:t>
        </w:r>
      </w:hyperlink>
      <w:r>
        <w:t>)</w:t>
      </w:r>
      <w:r>
        <w:t>.</w:t>
      </w:r>
    </w:p>
    <w:p>
      <w:pPr>
        <w:pStyle w:val="04BodyText"/>
        <w:spacing w:before="120" w:after="120"/>
      </w:pPr>
    </w:p>
    <w:p>
      <w:pPr>
        <w:autoSpaceDE w:val="0"/>
        <w:autoSpaceDN w:val="0"/>
        <w:adjustRightInd w:val="0"/>
        <w:spacing w:before="120" w:after="120" w:line="276" w:lineRule="auto"/>
        <w:jc w:val="both"/>
        <w:rPr>
          <w:rFonts w:cs="Georgia"/>
          <w:b/>
          <w:bCs/>
          <w:i/>
          <w:color w:val="000000"/>
          <w:szCs w:val="20"/>
          <w:lang w:eastAsia="en-GB"/>
        </w:rPr>
      </w:pPr>
      <w:r>
        <w:rPr>
          <w:rFonts w:cs="Georgia"/>
          <w:b/>
          <w:bCs/>
          <w:i/>
          <w:color w:val="000000"/>
          <w:szCs w:val="20"/>
          <w:lang w:eastAsia="en-GB"/>
        </w:rPr>
        <w:t>Instructions</w:t>
      </w:r>
    </w:p>
    <w:p>
      <w:pPr>
        <w:pStyle w:val="04BodyText"/>
        <w:spacing w:before="120" w:after="120"/>
      </w:pPr>
      <w:r>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t>:</w:t>
      </w:r>
    </w:p>
    <w:p>
      <w:pPr>
        <w:pStyle w:val="04bList"/>
        <w:numPr>
          <w:ilvl w:val="0"/>
          <w:numId w:val="5"/>
        </w:numPr>
        <w:spacing w:before="120" w:after="120"/>
        <w:ind w:left="720"/>
      </w:pPr>
      <w:r>
        <w:t xml:space="preserve">use this </w:t>
      </w:r>
      <w:r>
        <w:t>form</w:t>
      </w:r>
      <w:r>
        <w:t xml:space="preserve"> and send </w:t>
      </w:r>
      <w:r>
        <w:t>your</w:t>
      </w:r>
      <w:r>
        <w:t xml:space="preserve"> response</w:t>
      </w:r>
      <w:r>
        <w:t>s</w:t>
      </w:r>
      <w:r>
        <w:t xml:space="preserve"> in Word format;</w:t>
      </w:r>
    </w:p>
    <w:p>
      <w:pPr>
        <w:pStyle w:val="04bList"/>
        <w:numPr>
          <w:ilvl w:val="0"/>
          <w:numId w:val="5"/>
        </w:numPr>
        <w:spacing w:before="120" w:after="120"/>
        <w:ind w:left="720"/>
      </w:pPr>
      <w:r>
        <w:t xml:space="preserve">do </w:t>
      </w:r>
      <w:r>
        <w:t>not remove the tags of type &lt;ESMA_QUESTION_</w:t>
      </w:r>
      <w:r>
        <w:t>T</w:t>
      </w:r>
      <w:r>
        <w:t>A_</w:t>
      </w:r>
      <w:r>
        <w:t>1&gt; - i.e. the response to one question has to be framed by the 2 tags corresponding to the question; and</w:t>
      </w:r>
    </w:p>
    <w:p>
      <w:pPr>
        <w:pStyle w:val="04bList"/>
        <w:numPr>
          <w:ilvl w:val="0"/>
          <w:numId w:val="5"/>
        </w:numPr>
        <w:spacing w:before="120" w:after="120"/>
        <w:ind w:left="720"/>
      </w:pPr>
      <w:r>
        <w:t xml:space="preserve">if </w:t>
      </w:r>
      <w:r>
        <w:t>you do not have a</w:t>
      </w:r>
      <w:r>
        <w:t xml:space="preserve"> response to a question, </w:t>
      </w:r>
      <w:r>
        <w:t xml:space="preserve">do </w:t>
      </w:r>
      <w:r>
        <w:t>not delete it and leave the text “TYPE YOUR TEXT HERE” between the tags.</w:t>
      </w:r>
    </w:p>
    <w:p>
      <w:pPr>
        <w:pStyle w:val="04bList"/>
        <w:numPr>
          <w:ilvl w:val="0"/>
          <w:numId w:val="0"/>
        </w:numPr>
        <w:spacing w:before="120" w:after="120"/>
      </w:pPr>
      <w:r>
        <w:t>Responses are most helpful:</w:t>
      </w:r>
    </w:p>
    <w:p>
      <w:pPr>
        <w:pStyle w:val="04bList"/>
        <w:numPr>
          <w:ilvl w:val="0"/>
          <w:numId w:val="33"/>
        </w:numPr>
        <w:spacing w:before="120" w:after="120"/>
      </w:pPr>
      <w:r>
        <w:t>if they respond to the question stated;</w:t>
      </w:r>
    </w:p>
    <w:p>
      <w:pPr>
        <w:pStyle w:val="04bList"/>
        <w:numPr>
          <w:ilvl w:val="0"/>
          <w:numId w:val="33"/>
        </w:numPr>
        <w:spacing w:before="120" w:after="120"/>
      </w:pPr>
      <w:r>
        <w:t>contain a clear rationale, including on any related costs and benefits; and</w:t>
      </w:r>
    </w:p>
    <w:p>
      <w:pPr>
        <w:pStyle w:val="04bList"/>
        <w:numPr>
          <w:ilvl w:val="0"/>
          <w:numId w:val="33"/>
        </w:numPr>
        <w:spacing w:before="120" w:after="120"/>
      </w:pPr>
      <w:r>
        <w:t>describe any alternatives that ESMA should consider</w:t>
      </w:r>
    </w:p>
    <w:p>
      <w:pPr>
        <w:pStyle w:val="04bList"/>
        <w:numPr>
          <w:ilvl w:val="0"/>
          <w:numId w:val="0"/>
        </w:numPr>
        <w:spacing w:before="120" w:after="120"/>
      </w:pPr>
    </w:p>
    <w:p>
      <w:pPr>
        <w:pStyle w:val="04bList"/>
        <w:numPr>
          <w:ilvl w:val="0"/>
          <w:numId w:val="0"/>
        </w:numPr>
        <w:spacing w:before="120" w:after="120"/>
      </w:pPr>
      <w:r>
        <w:t>To help you navigate this document more easily, bookmarks are available in “Navigation Pane” for Word 2010 and in “Document Map” for Word 2007.</w:t>
      </w:r>
    </w:p>
    <w:p>
      <w:pPr>
        <w:pStyle w:val="04BodyText"/>
        <w:spacing w:before="120" w:after="120"/>
      </w:pPr>
      <w:r>
        <w:t xml:space="preserve">Responses must reach us by </w:t>
      </w:r>
      <w:r>
        <w:rPr>
          <w:b/>
        </w:rPr>
        <w:t xml:space="preserve">15 October </w:t>
      </w:r>
      <w:r>
        <w:rPr>
          <w:b/>
        </w:rPr>
        <w:t>2014</w:t>
      </w:r>
      <w:r>
        <w:t xml:space="preserve">. </w:t>
      </w:r>
    </w:p>
    <w:p>
      <w:pPr>
        <w:pStyle w:val="04BodyText"/>
        <w:spacing w:before="120" w:after="120"/>
      </w:pPr>
      <w:r>
        <w:t xml:space="preserve">All contributions should be submitted online at </w:t>
      </w:r>
      <w:hyperlink r:id="rId14" w:history="1">
        <w:r>
          <w:rPr>
            <w:rStyle w:val="Hyperlink"/>
          </w:rPr>
          <w:t>www.esma.europa.eu</w:t>
        </w:r>
      </w:hyperlink>
      <w:r>
        <w:t xml:space="preserve"> under the heading ‘Your i</w:t>
      </w:r>
      <w:r>
        <w:t>n</w:t>
      </w:r>
      <w:r>
        <w:t xml:space="preserve">put/Consultations’. </w:t>
      </w:r>
    </w:p>
    <w:p>
      <w:pPr>
        <w:pStyle w:val="04BodyText"/>
        <w:spacing w:before="120" w:after="120"/>
      </w:pPr>
      <w:r>
        <w:t>Naming protocol - In order to facilitate the handling of stakeholders responses please save your document using the following format:</w:t>
      </w:r>
    </w:p>
    <w:p>
      <w:pPr>
        <w:pStyle w:val="04BodyText"/>
        <w:spacing w:before="120" w:after="120"/>
      </w:pPr>
      <w:r>
        <w:t>ESMA_MAR_CP_TA_NAMEOFCOMPANY_NAMEOFDOCUMENT: e.g.if the respondent were ESMA, the name of the reply form would be ESMA_MAR_CP_TA_ESMA_REPLYFORM or E</w:t>
      </w:r>
      <w:r>
        <w:t>S</w:t>
      </w:r>
      <w:r>
        <w:t>MA_MAR_CP_TA_ESMA_ANNEX1</w:t>
      </w:r>
    </w:p>
    <w:p>
      <w:pPr>
        <w:pStyle w:val="04BodyText"/>
        <w:spacing w:before="120" w:after="120"/>
      </w:pPr>
      <w:bookmarkStart w:id="1" w:name="_UserCurPos"/>
      <w:bookmarkEnd w:id="1"/>
    </w:p>
    <w:p>
      <w:pPr>
        <w:autoSpaceDE w:val="0"/>
        <w:autoSpaceDN w:val="0"/>
        <w:adjustRightInd w:val="0"/>
        <w:spacing w:before="120" w:after="120" w:line="276" w:lineRule="auto"/>
        <w:jc w:val="both"/>
        <w:rPr>
          <w:rFonts w:cs="Georgia"/>
          <w:b/>
          <w:bCs/>
          <w:i/>
          <w:color w:val="000000"/>
          <w:szCs w:val="20"/>
          <w:lang w:eastAsia="en-GB"/>
        </w:rPr>
      </w:pPr>
      <w:bookmarkStart w:id="2" w:name="_Toc335141334"/>
      <w:r>
        <w:rPr>
          <w:rFonts w:cs="Georgia"/>
          <w:b/>
          <w:bCs/>
          <w:i/>
          <w:color w:val="000000"/>
          <w:szCs w:val="20"/>
          <w:lang w:eastAsia="en-GB"/>
        </w:rPr>
        <w:t>Publication of responses</w:t>
      </w:r>
      <w:bookmarkEnd w:id="2"/>
    </w:p>
    <w:p>
      <w:pPr>
        <w:pStyle w:val="04BodyText"/>
        <w:spacing w:before="120" w:after="120"/>
      </w:pPr>
      <w:r>
        <w:t xml:space="preserve">All contributions received will be published following the end of the consultation period, unless otherwise requested. </w:t>
      </w:r>
      <w:r>
        <w:rPr>
          <w:b/>
        </w:rPr>
        <w:t>Please clearly indicate by ticking the appropriate checkbox in the website submi</w:t>
      </w:r>
      <w:r>
        <w:rPr>
          <w:b/>
        </w:rPr>
        <w:t>s</w:t>
      </w:r>
      <w:r>
        <w:rPr>
          <w:b/>
        </w:rPr>
        <w:t>sion form if you do not wish your contribution to be publicly disclosed. A standard conf</w:t>
      </w:r>
      <w:r>
        <w:rPr>
          <w:b/>
        </w:rPr>
        <w:t>i</w:t>
      </w:r>
      <w:r>
        <w:rPr>
          <w:b/>
        </w:rPr>
        <w:t>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pPr>
        <w:pStyle w:val="04BodyText"/>
        <w:spacing w:before="120" w:after="120"/>
      </w:pPr>
    </w:p>
    <w:p>
      <w:pPr>
        <w:autoSpaceDE w:val="0"/>
        <w:autoSpaceDN w:val="0"/>
        <w:adjustRightInd w:val="0"/>
        <w:spacing w:before="120" w:after="120" w:line="276" w:lineRule="auto"/>
        <w:jc w:val="both"/>
        <w:rPr>
          <w:rFonts w:cs="Georgia"/>
          <w:b/>
          <w:bCs/>
          <w:i/>
          <w:color w:val="000000"/>
          <w:szCs w:val="20"/>
          <w:lang w:eastAsia="en-GB"/>
        </w:rPr>
      </w:pPr>
      <w:bookmarkStart w:id="3" w:name="_Toc335141335"/>
      <w:r>
        <w:rPr>
          <w:rFonts w:cs="Georgia"/>
          <w:b/>
          <w:bCs/>
          <w:i/>
          <w:color w:val="000000"/>
          <w:szCs w:val="20"/>
          <w:lang w:eastAsia="en-GB"/>
        </w:rPr>
        <w:lastRenderedPageBreak/>
        <w:t>Data protection</w:t>
      </w:r>
      <w:bookmarkEnd w:id="3"/>
    </w:p>
    <w:p>
      <w:pPr>
        <w:autoSpaceDE w:val="0"/>
        <w:autoSpaceDN w:val="0"/>
        <w:adjustRightInd w:val="0"/>
        <w:spacing w:before="120" w:after="120" w:line="276" w:lineRule="auto"/>
        <w:jc w:val="both"/>
        <w:rPr>
          <w:szCs w:val="20"/>
        </w:rPr>
      </w:pPr>
      <w:r>
        <w:rPr>
          <w:szCs w:val="20"/>
        </w:rPr>
        <w:t xml:space="preserve">Information on data protection can be found at </w:t>
      </w:r>
      <w:hyperlink r:id="rId15" w:history="1">
        <w:r>
          <w:rPr>
            <w:rStyle w:val="Hyperlink"/>
            <w:szCs w:val="20"/>
          </w:rPr>
          <w:t>www.esma.europa.eu</w:t>
        </w:r>
      </w:hyperlink>
      <w:r>
        <w:rPr>
          <w:szCs w:val="20"/>
        </w:rPr>
        <w:t xml:space="preserve"> under the heading ‘Disclaimer’.</w:t>
      </w:r>
    </w:p>
    <w:p>
      <w:pPr>
        <w:pStyle w:val="Heading1"/>
        <w:numPr>
          <w:ilvl w:val="0"/>
          <w:numId w:val="0"/>
        </w:numPr>
      </w:pPr>
      <w:r>
        <w:rPr>
          <w:szCs w:val="20"/>
        </w:rPr>
        <w:br w:type="page"/>
      </w:r>
      <w:r>
        <w:lastRenderedPageBreak/>
        <w:t>General information about respondent</w:t>
      </w:r>
    </w:p>
    <w:tbl>
      <w:tblPr>
        <w:tblStyle w:val="TableGrid"/>
        <w:tblW w:w="0" w:type="auto"/>
        <w:tblLook w:val="04A0" w:firstRow="1" w:lastRow="0" w:firstColumn="1" w:lastColumn="0" w:noHBand="0" w:noVBand="1"/>
      </w:tblPr>
      <w:tblGrid>
        <w:gridCol w:w="3510"/>
        <w:gridCol w:w="6118"/>
      </w:tblGrid>
      <w:tr>
        <w:tc>
          <w:tcPr>
            <w:tcW w:w="3510" w:type="dxa"/>
          </w:tcPr>
          <w:p>
            <w:r>
              <w:t>Are you representing an association?</w:t>
            </w:r>
          </w:p>
        </w:tc>
        <w:tc>
          <w:tcPr>
            <w:tcW w:w="6118" w:type="dxa"/>
          </w:tcPr>
          <w:p>
            <w:sdt>
              <w:sdtPr>
                <w:alias w:val="Association"/>
                <w:tag w:val="Association"/>
                <w:id w:val="-1769143793"/>
                <w:placeholder>
                  <w:docPart w:val="68DD8F5316B24ACAA721B8AF83F84918"/>
                </w:placeholder>
                <w:comboBox>
                  <w:listItem w:displayText="Yes" w:value="Yes"/>
                  <w:listItem w:displayText="No" w:value="No"/>
                </w:comboBox>
              </w:sdtPr>
              <w:sdtContent>
                <w:permStart w:id="1063214160" w:edGrp="everyone"/>
                <w:r>
                  <w:t>Yes</w:t>
                </w:r>
                <w:permEnd w:id="1063214160"/>
              </w:sdtContent>
            </w:sdt>
          </w:p>
        </w:tc>
      </w:tr>
      <w:tr>
        <w:tc>
          <w:tcPr>
            <w:tcW w:w="3510" w:type="dxa"/>
          </w:tcPr>
          <w:p>
            <w:r>
              <w:t>Activity:</w:t>
            </w:r>
          </w:p>
        </w:tc>
        <w:tc>
          <w:tcPr>
            <w:tcW w:w="6118" w:type="dxa"/>
          </w:tcPr>
          <w:p>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535381707" w:edGrp="everyone"/>
                <w:r>
                  <w:t>Non-financial counterparty</w:t>
                </w:r>
                <w:permEnd w:id="535381707"/>
              </w:sdtContent>
            </w:sdt>
          </w:p>
        </w:tc>
      </w:tr>
      <w:tr>
        <w:tc>
          <w:tcPr>
            <w:tcW w:w="3510" w:type="dxa"/>
          </w:tcPr>
          <w:p>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395545712" w:edGrp="everyone" w:displacedByCustomXml="prev"/>
            <w:tc>
              <w:tcPr>
                <w:tcW w:w="6118" w:type="dxa"/>
              </w:tcPr>
              <w:p>
                <w:r>
                  <w:t>Europe</w:t>
                </w:r>
              </w:p>
            </w:tc>
            <w:permEnd w:id="1395545712" w:displacedByCustomXml="next"/>
          </w:sdtContent>
        </w:sdt>
      </w:tr>
    </w:tbl>
    <w:p>
      <w:pPr>
        <w:pStyle w:val="Heading1"/>
        <w:numPr>
          <w:ilvl w:val="0"/>
          <w:numId w:val="0"/>
        </w:numPr>
      </w:pPr>
      <w:r>
        <w:br w:type="page"/>
      </w:r>
      <w:bookmarkStart w:id="4" w:name="_Toc392599420"/>
      <w:bookmarkEnd w:id="0"/>
      <w:r>
        <w:lastRenderedPageBreak/>
        <w:t>Introduction</w:t>
      </w:r>
      <w:bookmarkEnd w:id="4"/>
    </w:p>
    <w:p/>
    <w:p>
      <w:pPr>
        <w:rPr>
          <w:b/>
        </w:rPr>
      </w:pPr>
      <w:r>
        <w:rPr>
          <w:b/>
        </w:rPr>
        <w:t>Please make your introductory comments below</w:t>
      </w:r>
      <w:r>
        <w:rPr>
          <w:b/>
        </w:rPr>
        <w:t>, if any</w:t>
      </w:r>
      <w:r>
        <w:rPr>
          <w:b/>
        </w:rPr>
        <w:t>:</w:t>
      </w:r>
    </w:p>
    <w:p/>
    <w:p>
      <w:r>
        <w:t>&lt;</w:t>
      </w:r>
      <w:r>
        <w:t xml:space="preserve"> </w:t>
      </w:r>
      <w:r>
        <w:t>ESMA_COMMENT</w:t>
      </w:r>
      <w:r>
        <w:t>_MAR_TA_1&gt;</w:t>
      </w:r>
    </w:p>
    <w:p>
      <w:permStart w:id="892014133" w:edGrp="everyone"/>
      <w:r>
        <w:t>TYPE YOUR TEXT HERE</w:t>
      </w:r>
    </w:p>
    <w:permEnd w:id="892014133"/>
    <w:p>
      <w:r>
        <w:t>&lt;</w:t>
      </w:r>
      <w:r>
        <w:t xml:space="preserve"> </w:t>
      </w:r>
      <w:r>
        <w:t>ESMA_COMMENT_MAR_TA_1&gt;</w:t>
      </w:r>
    </w:p>
    <w:p>
      <w:r>
        <w:br w:type="page"/>
      </w:r>
    </w:p>
    <w:p>
      <w:pPr>
        <w:pStyle w:val="Heading1"/>
        <w:keepLines/>
        <w:numPr>
          <w:ilvl w:val="0"/>
          <w:numId w:val="37"/>
        </w:numPr>
        <w:spacing w:before="480" w:after="0"/>
      </w:pPr>
      <w:r>
        <w:lastRenderedPageBreak/>
        <w:t>Specification of the indicators of market manipulation</w:t>
      </w:r>
    </w:p>
    <w:p/>
    <w:p>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p>
      <w:r>
        <w:t>&lt;ESMA_QUESTION_MAR_TA_1&gt;</w:t>
      </w:r>
    </w:p>
    <w:p>
      <w:pPr>
        <w:pStyle w:val="BodyText0"/>
        <w:spacing w:before="120" w:after="120"/>
        <w:ind w:right="176"/>
        <w:rPr>
          <w:rFonts w:cs="Arial"/>
          <w:b/>
        </w:rPr>
      </w:pPr>
      <w:permStart w:id="2047702070" w:edGrp="everyone"/>
      <w:r>
        <w:rPr>
          <w:rFonts w:cs="Arial"/>
          <w:b/>
        </w:rPr>
        <w:t>Examples of Practices v Related Indicators</w:t>
      </w:r>
    </w:p>
    <w:p>
      <w:pPr>
        <w:pStyle w:val="BodyText0"/>
        <w:spacing w:before="120" w:after="120"/>
        <w:ind w:right="176"/>
        <w:rPr>
          <w:rFonts w:cs="Arial"/>
        </w:rPr>
      </w:pPr>
      <w:r>
        <w:rPr>
          <w:rFonts w:cs="Arial"/>
        </w:rPr>
        <w:t>CMC Europe queries the approach regarding separate “examples of practices” to clarify the Annex I MAR indicators and the so-called “related indicators”. The related indicators are neither practices nor additional indicators of manipulative behaviour that should be added to Annex I MAR. We see no basis in Article 12(5) MAR or in the mandate for the related indicators. Presented alongside the examples of practices, we consider that the related indicators are more likely to confuse rather than clarify the exa</w:t>
      </w:r>
      <w:r>
        <w:rPr>
          <w:rFonts w:cs="Arial"/>
        </w:rPr>
        <w:t>m</w:t>
      </w:r>
      <w:r>
        <w:rPr>
          <w:rFonts w:cs="Arial"/>
        </w:rPr>
        <w:t xml:space="preserve">ples of practices, which in turn are presented to clarify the indicators in Annex I MAR. Given that the related indicators are related to examples of practice and may relevantly clarify these practices, we propose that </w:t>
      </w:r>
      <w:proofErr w:type="spellStart"/>
      <w:r>
        <w:rPr>
          <w:rFonts w:cs="Arial"/>
        </w:rPr>
        <w:t>ESMA</w:t>
      </w:r>
      <w:proofErr w:type="spellEnd"/>
      <w:r>
        <w:rPr>
          <w:rFonts w:cs="Arial"/>
        </w:rPr>
        <w:t xml:space="preserve"> integrate the related indicators into the examples of practices. We consider that this would enhance many examples of practices included in the draft technical advice while simplifying the prevention, detection and reporting of market manipulation and attempted market manipulation.      </w:t>
      </w:r>
    </w:p>
    <w:p>
      <w:pPr>
        <w:pStyle w:val="BodyText0"/>
        <w:spacing w:before="120" w:after="120"/>
        <w:ind w:right="175"/>
        <w:rPr>
          <w:rFonts w:cs="Arial"/>
          <w:b/>
        </w:rPr>
      </w:pPr>
      <w:r>
        <w:rPr>
          <w:rFonts w:cs="Arial"/>
          <w:b/>
        </w:rPr>
        <w:t>EP 5(2): Abusive squeeze</w:t>
      </w:r>
    </w:p>
    <w:p>
      <w:pPr>
        <w:pStyle w:val="BodyText0"/>
        <w:spacing w:before="120" w:after="120"/>
        <w:ind w:right="175"/>
        <w:rPr>
          <w:rFonts w:cs="Arial"/>
        </w:rPr>
      </w:pPr>
      <w:r>
        <w:rPr>
          <w:rFonts w:cs="Arial"/>
        </w:rPr>
        <w:t>The example of practice does not link ownership or control of a dominant position with trading in a financial instrument, related spot commodity contract or auctioned product based on emission allowan</w:t>
      </w:r>
      <w:r>
        <w:rPr>
          <w:rFonts w:cs="Arial"/>
        </w:rPr>
        <w:t>c</w:t>
      </w:r>
      <w:r>
        <w:rPr>
          <w:rFonts w:cs="Arial"/>
        </w:rPr>
        <w:t>es. As such, the example of practice</w:t>
      </w:r>
      <w:bookmarkStart w:id="5" w:name="_GoBack"/>
      <w:bookmarkEnd w:id="5"/>
      <w:r>
        <w:rPr>
          <w:rFonts w:cs="Arial"/>
        </w:rPr>
        <w:t xml:space="preserve"> would capture legitimate trading by persons without a dominant position and unrelated to any person with a dominant position. We suggest amending the example of practice to link persons with a dominant position and trading in a financial instrument, related spot commodity contract or auctioned product based on emission allowances. We consider that the practice at section 6.4.2(b) of ACER Guidance on the application of Regulation (EU) No 1227/2011 of the Eur</w:t>
      </w:r>
      <w:r>
        <w:rPr>
          <w:rFonts w:cs="Arial"/>
        </w:rPr>
        <w:t>o</w:t>
      </w:r>
      <w:r>
        <w:rPr>
          <w:rFonts w:cs="Arial"/>
        </w:rPr>
        <w:t>pean Parliament and of the Council of 25 October 2011 on wholesale energy market integrity and tran</w:t>
      </w:r>
      <w:r>
        <w:rPr>
          <w:rFonts w:cs="Arial"/>
        </w:rPr>
        <w:t>s</w:t>
      </w:r>
      <w:r>
        <w:rPr>
          <w:rFonts w:cs="Arial"/>
        </w:rPr>
        <w:t>parency (29 October 2013) [</w:t>
      </w:r>
      <w:hyperlink r:id="rId16" w:history="1">
        <w:r>
          <w:rPr>
            <w:rStyle w:val="Hyperlink"/>
            <w:rFonts w:cs="Arial"/>
          </w:rPr>
          <w:t>link</w:t>
        </w:r>
      </w:hyperlink>
      <w:r>
        <w:rPr>
          <w:rFonts w:cs="Arial"/>
        </w:rPr>
        <w:t>] is more practical.</w:t>
      </w:r>
    </w:p>
    <w:p>
      <w:pPr>
        <w:pStyle w:val="BodyText0"/>
        <w:spacing w:before="120" w:after="120"/>
        <w:ind w:right="175"/>
        <w:rPr>
          <w:rFonts w:cs="Arial"/>
          <w:b/>
        </w:rPr>
      </w:pPr>
      <w:r>
        <w:rPr>
          <w:rFonts w:cs="Arial"/>
          <w:b/>
        </w:rPr>
        <w:t>EP 6(1): Wash trades</w:t>
      </w:r>
    </w:p>
    <w:p>
      <w:pPr>
        <w:pStyle w:val="BodyText0"/>
        <w:spacing w:before="120" w:after="120"/>
        <w:ind w:right="175"/>
        <w:rPr>
          <w:rFonts w:cs="Arial"/>
        </w:rPr>
      </w:pPr>
      <w:r>
        <w:rPr>
          <w:rFonts w:cs="Arial"/>
        </w:rPr>
        <w:t xml:space="preserve">The example of practice </w:t>
      </w:r>
      <w:r>
        <w:rPr>
          <w:rFonts w:cs="Arial"/>
          <w:i/>
        </w:rPr>
        <w:t>may</w:t>
      </w:r>
      <w:r>
        <w:rPr>
          <w:rFonts w:cs="Arial"/>
        </w:rPr>
        <w:t xml:space="preserve"> include wash trades that occur accidentally within or between subsidiaries. Commercial market participants take all reasonable precautions to prevent such transactions and tra</w:t>
      </w:r>
      <w:r>
        <w:rPr>
          <w:rFonts w:cs="Arial"/>
        </w:rPr>
        <w:t>d</w:t>
      </w:r>
      <w:r>
        <w:rPr>
          <w:rFonts w:cs="Arial"/>
        </w:rPr>
        <w:t xml:space="preserve">ing venues apply strict rules with substantial penalties for accidental wash trades. We do not consider accidental wash trades to be manipulative per Article 12(1) MAR or Annex </w:t>
      </w:r>
      <w:proofErr w:type="gramStart"/>
      <w:r>
        <w:rPr>
          <w:rFonts w:cs="Arial"/>
        </w:rPr>
        <w:t>I(</w:t>
      </w:r>
      <w:proofErr w:type="gramEnd"/>
      <w:r>
        <w:rPr>
          <w:rFonts w:cs="Arial"/>
        </w:rPr>
        <w:t xml:space="preserve">A)(c). Deliberate wash trades require collusion between counterparties. We suggest that </w:t>
      </w:r>
      <w:proofErr w:type="spellStart"/>
      <w:r>
        <w:rPr>
          <w:rFonts w:cs="Arial"/>
        </w:rPr>
        <w:t>ESMA</w:t>
      </w:r>
      <w:proofErr w:type="spellEnd"/>
      <w:r>
        <w:rPr>
          <w:rFonts w:cs="Arial"/>
        </w:rPr>
        <w:t xml:space="preserve"> amends the example of pra</w:t>
      </w:r>
      <w:r>
        <w:rPr>
          <w:rFonts w:cs="Arial"/>
        </w:rPr>
        <w:t>c</w:t>
      </w:r>
      <w:r>
        <w:rPr>
          <w:rFonts w:cs="Arial"/>
        </w:rPr>
        <w:t xml:space="preserve">tice to delete the words “concert or” in the final sentence. The example of practice would more clearly exclude accidental wash trades.    </w:t>
      </w:r>
    </w:p>
    <w:p>
      <w:pPr>
        <w:pStyle w:val="BodyText0"/>
        <w:spacing w:before="120" w:after="120"/>
        <w:ind w:right="175"/>
        <w:rPr>
          <w:rFonts w:cs="Arial"/>
          <w:b/>
        </w:rPr>
      </w:pPr>
      <w:r>
        <w:rPr>
          <w:rFonts w:cs="Arial"/>
          <w:b/>
        </w:rPr>
        <w:t>EP 10(6): Fixing the settlement price</w:t>
      </w:r>
    </w:p>
    <w:p>
      <w:pPr>
        <w:rPr>
          <w:rFonts w:ascii="Arial" w:hAnsi="Arial" w:cs="Arial"/>
          <w:szCs w:val="20"/>
          <w:lang w:eastAsia="en-CA"/>
        </w:rPr>
      </w:pPr>
      <w:r>
        <w:rPr>
          <w:rFonts w:ascii="Arial" w:hAnsi="Arial" w:cs="Arial"/>
          <w:szCs w:val="20"/>
          <w:lang w:eastAsia="en-CA"/>
        </w:rPr>
        <w:t xml:space="preserve">The example of practice is unclear. Market participants trading physically-settled commodity derivatives and related spot commodity contracts may have insurance and freight arrangements relating to multiple deliveries across various seaborne physical commodities. Such insurance, freight and other arrangements are often made to reduce the costs of physical trade, not to “distort” these costs in order to fix settlement prices. We do not consider such arrangements to be manipulative per Article 12(1) MAR or Annex </w:t>
      </w:r>
      <w:proofErr w:type="gramStart"/>
      <w:r>
        <w:rPr>
          <w:rFonts w:ascii="Arial" w:hAnsi="Arial" w:cs="Arial"/>
          <w:szCs w:val="20"/>
          <w:lang w:eastAsia="en-CA"/>
        </w:rPr>
        <w:t>I(</w:t>
      </w:r>
      <w:proofErr w:type="gramEnd"/>
      <w:r>
        <w:rPr>
          <w:rFonts w:ascii="Arial" w:hAnsi="Arial" w:cs="Arial"/>
          <w:szCs w:val="20"/>
          <w:lang w:eastAsia="en-CA"/>
        </w:rPr>
        <w:t xml:space="preserve">A)(g). We suggest that </w:t>
      </w:r>
      <w:proofErr w:type="spellStart"/>
      <w:r>
        <w:rPr>
          <w:rFonts w:ascii="Arial" w:hAnsi="Arial" w:cs="Arial"/>
          <w:szCs w:val="20"/>
          <w:lang w:eastAsia="en-CA"/>
        </w:rPr>
        <w:t>ESMA</w:t>
      </w:r>
      <w:proofErr w:type="spellEnd"/>
      <w:r>
        <w:rPr>
          <w:rFonts w:ascii="Arial" w:hAnsi="Arial" w:cs="Arial"/>
          <w:szCs w:val="20"/>
          <w:lang w:eastAsia="en-CA"/>
        </w:rPr>
        <w:t xml:space="preserve"> amends the example of practice to further specify the kinds of insurance, freight or other arrangements that would distort the costs associated with a commodity contract.</w:t>
      </w:r>
    </w:p>
    <w:permEnd w:id="2047702070"/>
    <w:p>
      <w:r>
        <w:t>&lt;ESMA_QUESTION_MAR_TA_1&gt;</w:t>
      </w:r>
    </w:p>
    <w:p/>
    <w:p>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p>
      <w:r>
        <w:t>&lt;ESMA_QUESTION_MAR_TA_2&gt;</w:t>
      </w:r>
    </w:p>
    <w:p>
      <w:permStart w:id="266408857" w:edGrp="everyone"/>
      <w:r>
        <w:lastRenderedPageBreak/>
        <w:t>TYPE YOUR TEXT HERE</w:t>
      </w:r>
    </w:p>
    <w:permEnd w:id="266408857"/>
    <w:p>
      <w:r>
        <w:t>&lt;ESMA_QUESTION_MAR_TA_2&gt;</w:t>
      </w:r>
    </w:p>
    <w:p/>
    <w:p>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p>
      <w:r>
        <w:t>&lt;ESMA_QUESTION_MAR_TA_3&gt;</w:t>
      </w:r>
    </w:p>
    <w:p>
      <w:permStart w:id="2095205086" w:edGrp="everyone"/>
      <w:r>
        <w:t>TYPE YOUR TEXT HERE</w:t>
      </w:r>
    </w:p>
    <w:permEnd w:id="2095205086"/>
    <w:p>
      <w:r>
        <w:t>&lt;ESMA_QUESTION_MAR_TA_3&gt;</w:t>
      </w:r>
    </w:p>
    <w:p/>
    <w:p>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p>
      <w:r>
        <w:t>&lt;ESMA_QUESTION_MAR_TA_4&gt;</w:t>
      </w:r>
    </w:p>
    <w:p>
      <w:pPr>
        <w:rPr>
          <w:rFonts w:ascii="Arial" w:hAnsi="Arial" w:cs="Arial"/>
          <w:szCs w:val="20"/>
          <w:lang w:eastAsia="en-CA"/>
        </w:rPr>
      </w:pPr>
      <w:permStart w:id="1098460340" w:edGrp="everyone"/>
      <w:r>
        <w:rPr>
          <w:rFonts w:ascii="Arial" w:hAnsi="Arial" w:cs="Arial"/>
          <w:szCs w:val="20"/>
          <w:lang w:eastAsia="en-CA"/>
        </w:rPr>
        <w:t xml:space="preserve">Yes. CMC Europe sees no legislative basis for excluding OTC transactions from Article 12 MAR, Annex I MAR and related implementing measures. That said, we note the prevalence of cross-product and cross-venue trading in commodity derivatives. We consider such trading legitimate and normal and caution </w:t>
      </w:r>
      <w:proofErr w:type="spellStart"/>
      <w:r>
        <w:rPr>
          <w:rFonts w:ascii="Arial" w:hAnsi="Arial" w:cs="Arial"/>
          <w:szCs w:val="20"/>
          <w:lang w:eastAsia="en-CA"/>
        </w:rPr>
        <w:t>ESMA</w:t>
      </w:r>
      <w:proofErr w:type="spellEnd"/>
      <w:r>
        <w:rPr>
          <w:rFonts w:ascii="Arial" w:hAnsi="Arial" w:cs="Arial"/>
          <w:szCs w:val="20"/>
          <w:lang w:eastAsia="en-CA"/>
        </w:rPr>
        <w:t xml:space="preserve"> against proposing examples of practice in the technical advice that may unintentionally capture much legitimate transactions, orders and behaviours in commodity derivative markets and physical co</w:t>
      </w:r>
      <w:r>
        <w:rPr>
          <w:rFonts w:ascii="Arial" w:hAnsi="Arial" w:cs="Arial"/>
          <w:szCs w:val="20"/>
          <w:lang w:eastAsia="en-CA"/>
        </w:rPr>
        <w:t>m</w:t>
      </w:r>
      <w:r>
        <w:rPr>
          <w:rFonts w:ascii="Arial" w:hAnsi="Arial" w:cs="Arial"/>
          <w:szCs w:val="20"/>
          <w:lang w:eastAsia="en-CA"/>
        </w:rPr>
        <w:t>modity markets.</w:t>
      </w:r>
    </w:p>
    <w:permEnd w:id="1098460340"/>
    <w:p>
      <w:r>
        <w:t>&lt;ESMA_QUESTION_MAR_TA_4&gt;</w:t>
      </w:r>
    </w:p>
    <w:p>
      <w:r>
        <w:br w:type="page"/>
      </w:r>
    </w:p>
    <w:p>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p>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p>
      <w:r>
        <w:t>&lt;ESMA_QUESTION_MAR_TA_5&gt;</w:t>
      </w:r>
    </w:p>
    <w:p>
      <w:pPr>
        <w:pStyle w:val="BodyText0"/>
        <w:spacing w:before="120" w:after="120"/>
        <w:ind w:right="176"/>
        <w:rPr>
          <w:rFonts w:cs="Arial"/>
          <w:b/>
        </w:rPr>
      </w:pPr>
      <w:permStart w:id="1008209151" w:edGrp="everyone"/>
      <w:r>
        <w:rPr>
          <w:rFonts w:cs="Arial"/>
          <w:b/>
        </w:rPr>
        <w:t>Rated thermal input (</w:t>
      </w:r>
      <w:proofErr w:type="spellStart"/>
      <w:r>
        <w:rPr>
          <w:rFonts w:cs="Arial"/>
          <w:b/>
        </w:rPr>
        <w:t>RTI</w:t>
      </w:r>
      <w:proofErr w:type="spellEnd"/>
      <w:r>
        <w:rPr>
          <w:rFonts w:cs="Arial"/>
          <w:b/>
        </w:rPr>
        <w:t>) threshold</w:t>
      </w:r>
    </w:p>
    <w:p>
      <w:pPr>
        <w:pStyle w:val="BodyText0"/>
        <w:spacing w:before="120" w:after="120"/>
        <w:ind w:right="176"/>
        <w:rPr>
          <w:rFonts w:cs="Arial"/>
        </w:rPr>
      </w:pPr>
      <w:r>
        <w:rPr>
          <w:rFonts w:cs="Arial"/>
        </w:rPr>
        <w:t xml:space="preserve">CMC Europe disputes the proposed threshold on rated thermal input for </w:t>
      </w:r>
      <w:proofErr w:type="spellStart"/>
      <w:r>
        <w:rPr>
          <w:rFonts w:cs="Arial"/>
        </w:rPr>
        <w:t>EAMPs</w:t>
      </w:r>
      <w:proofErr w:type="spellEnd"/>
      <w:r>
        <w:rPr>
          <w:rFonts w:cs="Arial"/>
        </w:rPr>
        <w:t xml:space="preserve"> carrying out combu</w:t>
      </w:r>
      <w:r>
        <w:rPr>
          <w:rFonts w:cs="Arial"/>
        </w:rPr>
        <w:t>s</w:t>
      </w:r>
      <w:r>
        <w:rPr>
          <w:rFonts w:cs="Arial"/>
        </w:rPr>
        <w:t>tion activities. We note the conclusions of s.1.5.4 and 1.5.7 of the Europe Economics/Norton Rose Fulbright LLP study “Economic Analysis for Impact Assessment on Threshold for Disclosure of Non-Public Information on Emission Allowances” [hereinafter “Consultant’s analysis”] on ‘Weighting of emi</w:t>
      </w:r>
      <w:r>
        <w:rPr>
          <w:rFonts w:cs="Arial"/>
        </w:rPr>
        <w:t>t</w:t>
      </w:r>
      <w:r>
        <w:rPr>
          <w:rFonts w:cs="Arial"/>
        </w:rPr>
        <w:t xml:space="preserve">ters using REMIT threshold’ and ‘Options for the [MAR] threshold’. We believe that the conversion factors referenced are alternatively (a) incorrect, and/or (b) incorrectly applied. </w:t>
      </w:r>
    </w:p>
    <w:p>
      <w:pPr>
        <w:pStyle w:val="BodyText0"/>
        <w:spacing w:before="120" w:after="120"/>
        <w:ind w:right="176"/>
        <w:rPr>
          <w:rFonts w:cs="Arial"/>
          <w:bCs/>
        </w:rPr>
      </w:pPr>
      <w:r>
        <w:rPr>
          <w:rFonts w:cs="Arial"/>
        </w:rPr>
        <w:t xml:space="preserve">We note that the MIT report “The Future of Coal” (March 2007) on which the analysis at s.1.5.4 and 1.5.7 is purportedly based dates from 2007 and uses older quantitative data. We note that there is no express reference to “average emission metrics” in the MIT report cited in the Consultant’s analysis. Consensus average emission metrics </w:t>
      </w:r>
      <w:r>
        <w:rPr>
          <w:rFonts w:cs="Arial"/>
          <w:bCs/>
        </w:rPr>
        <w:t xml:space="preserve">for common combustion fuels range from 0.2 </w:t>
      </w:r>
      <w:proofErr w:type="gramStart"/>
      <w:r>
        <w:rPr>
          <w:rFonts w:cs="Arial"/>
          <w:bCs/>
        </w:rPr>
        <w:t>to 0.36</w:t>
      </w:r>
      <w:r>
        <w:rPr>
          <w:rFonts w:cs="Arial"/>
        </w:rPr>
        <w:t xml:space="preserve"> </w:t>
      </w:r>
      <w:r>
        <w:rPr>
          <w:rFonts w:cs="Arial"/>
          <w:bCs/>
        </w:rPr>
        <w:t>kgCO</w:t>
      </w:r>
      <w:r>
        <w:rPr>
          <w:rFonts w:cs="Arial"/>
          <w:bCs/>
          <w:vertAlign w:val="subscript"/>
        </w:rPr>
        <w:t>2</w:t>
      </w:r>
      <w:r>
        <w:rPr>
          <w:rFonts w:cs="Arial"/>
          <w:bCs/>
        </w:rPr>
        <w:t>/kWh, which is far lower than the average emission metrics range used in the Consultant’s anal</w:t>
      </w:r>
      <w:r>
        <w:rPr>
          <w:rFonts w:cs="Arial"/>
          <w:bCs/>
        </w:rPr>
        <w:t>y</w:t>
      </w:r>
      <w:r>
        <w:rPr>
          <w:rFonts w:cs="Arial"/>
          <w:bCs/>
        </w:rPr>
        <w:t>sis</w:t>
      </w:r>
      <w:proofErr w:type="gramEnd"/>
      <w:r>
        <w:rPr>
          <w:rFonts w:cs="Arial"/>
          <w:bCs/>
        </w:rPr>
        <w:t>. Using the consensus average emission metrics for the most carbon-intensive combustion fuels equates to a rated thermal input threshold of at least 2500MW.</w:t>
      </w:r>
    </w:p>
    <w:p>
      <w:pPr>
        <w:pStyle w:val="BodyText0"/>
        <w:spacing w:before="120" w:after="120"/>
        <w:ind w:right="176"/>
        <w:rPr>
          <w:rFonts w:cs="Arial"/>
        </w:rPr>
      </w:pPr>
      <w:r>
        <w:rPr>
          <w:rFonts w:cs="Arial"/>
          <w:bCs/>
        </w:rPr>
        <w:t xml:space="preserve">We urge </w:t>
      </w:r>
      <w:proofErr w:type="spellStart"/>
      <w:r>
        <w:rPr>
          <w:rFonts w:cs="Arial"/>
          <w:bCs/>
        </w:rPr>
        <w:t>ESMA</w:t>
      </w:r>
      <w:proofErr w:type="spellEnd"/>
      <w:r>
        <w:rPr>
          <w:rFonts w:cs="Arial"/>
          <w:bCs/>
        </w:rPr>
        <w:t xml:space="preserve"> to reassess the findings of the Consultant’s analysis and amend the draft technical advice should the analysis prove incorrect. We believe that thresholds of 6MT CO</w:t>
      </w:r>
      <w:r>
        <w:rPr>
          <w:rFonts w:cs="Arial"/>
          <w:bCs/>
          <w:vertAlign w:val="subscript"/>
        </w:rPr>
        <w:t>2</w:t>
      </w:r>
      <w:r>
        <w:rPr>
          <w:rFonts w:cs="Arial"/>
          <w:bCs/>
        </w:rPr>
        <w:t xml:space="preserve"> equivalent and 2500MW </w:t>
      </w:r>
      <w:proofErr w:type="spellStart"/>
      <w:r>
        <w:rPr>
          <w:rFonts w:cs="Arial"/>
          <w:bCs/>
        </w:rPr>
        <w:t>RTI</w:t>
      </w:r>
      <w:proofErr w:type="spellEnd"/>
      <w:r>
        <w:rPr>
          <w:rFonts w:cs="Arial"/>
          <w:bCs/>
        </w:rPr>
        <w:t xml:space="preserve"> would capture a suitable sub-set of emission allowance market participants for the pu</w:t>
      </w:r>
      <w:r>
        <w:rPr>
          <w:rFonts w:cs="Arial"/>
          <w:bCs/>
        </w:rPr>
        <w:t>r</w:t>
      </w:r>
      <w:r>
        <w:rPr>
          <w:rFonts w:cs="Arial"/>
          <w:bCs/>
        </w:rPr>
        <w:t xml:space="preserve">poses of Article 17(2) MAR. </w:t>
      </w:r>
      <w:r>
        <w:rPr>
          <w:rFonts w:cs="Arial"/>
        </w:rPr>
        <w:t xml:space="preserve"> </w:t>
      </w:r>
    </w:p>
    <w:p>
      <w:pPr>
        <w:pStyle w:val="BodyText0"/>
        <w:spacing w:before="120" w:after="120"/>
        <w:ind w:right="176"/>
        <w:rPr>
          <w:rFonts w:cs="Arial"/>
          <w:b/>
        </w:rPr>
      </w:pPr>
      <w:r>
        <w:rPr>
          <w:rFonts w:cs="Arial"/>
          <w:b/>
        </w:rPr>
        <w:t>Application of thresholds</w:t>
      </w:r>
    </w:p>
    <w:p>
      <w:pPr>
        <w:pStyle w:val="BodyText0"/>
        <w:spacing w:before="120" w:after="120"/>
        <w:ind w:right="176"/>
        <w:rPr>
          <w:rFonts w:cs="Arial"/>
        </w:rPr>
      </w:pPr>
      <w:r>
        <w:rPr>
          <w:rFonts w:cs="Arial"/>
        </w:rPr>
        <w:t xml:space="preserve">We encourage </w:t>
      </w:r>
      <w:proofErr w:type="spellStart"/>
      <w:r>
        <w:rPr>
          <w:rFonts w:cs="Arial"/>
        </w:rPr>
        <w:t>ESMA</w:t>
      </w:r>
      <w:proofErr w:type="spellEnd"/>
      <w:r>
        <w:rPr>
          <w:rFonts w:cs="Arial"/>
        </w:rPr>
        <w:t xml:space="preserve"> to clarify application of the thresholds in the technical advice. It is unclear from the analysis at paragraphs 45, 48, 50 and from the draft technical advice whether the annual CO</w:t>
      </w:r>
      <w:r>
        <w:rPr>
          <w:rFonts w:cs="Arial"/>
          <w:vertAlign w:val="subscript"/>
        </w:rPr>
        <w:t>2</w:t>
      </w:r>
      <w:r>
        <w:rPr>
          <w:rFonts w:cs="Arial"/>
        </w:rPr>
        <w:t xml:space="preserve"> equivalent emissions (Emissions) threshold and the rated thermal input (</w:t>
      </w:r>
      <w:proofErr w:type="spellStart"/>
      <w:r>
        <w:rPr>
          <w:rFonts w:cs="Arial"/>
        </w:rPr>
        <w:t>RTI</w:t>
      </w:r>
      <w:proofErr w:type="spellEnd"/>
      <w:r>
        <w:rPr>
          <w:rFonts w:cs="Arial"/>
        </w:rPr>
        <w:t xml:space="preserve">) threshold are to apply alternatively or cumulatively. </w:t>
      </w:r>
    </w:p>
    <w:p>
      <w:r>
        <w:rPr>
          <w:rFonts w:ascii="Arial" w:hAnsi="Arial" w:cs="Arial"/>
          <w:szCs w:val="20"/>
          <w:lang w:eastAsia="en-CA"/>
        </w:rPr>
        <w:t xml:space="preserve">We consider that the primary legislation is clear that the thresholds should apply cumulatively such that an operator of installations within the </w:t>
      </w:r>
      <w:proofErr w:type="spellStart"/>
      <w:r>
        <w:rPr>
          <w:rFonts w:ascii="Arial" w:hAnsi="Arial" w:cs="Arial"/>
          <w:szCs w:val="20"/>
          <w:lang w:eastAsia="en-CA"/>
        </w:rPr>
        <w:t>ETS</w:t>
      </w:r>
      <w:proofErr w:type="spellEnd"/>
      <w:r>
        <w:rPr>
          <w:rFonts w:ascii="Arial" w:hAnsi="Arial" w:cs="Arial"/>
          <w:szCs w:val="20"/>
          <w:lang w:eastAsia="en-CA"/>
        </w:rPr>
        <w:t xml:space="preserve"> with combined emissions exceeding 6 MT CO2 equivalent </w:t>
      </w:r>
      <w:proofErr w:type="gramStart"/>
      <w:r>
        <w:rPr>
          <w:rFonts w:ascii="Arial" w:hAnsi="Arial" w:cs="Arial"/>
          <w:szCs w:val="20"/>
          <w:lang w:eastAsia="en-CA"/>
        </w:rPr>
        <w:t>p/a</w:t>
      </w:r>
      <w:proofErr w:type="gramEnd"/>
      <w:r>
        <w:rPr>
          <w:rFonts w:ascii="Arial" w:hAnsi="Arial" w:cs="Arial"/>
          <w:szCs w:val="20"/>
          <w:lang w:eastAsia="en-CA"/>
        </w:rPr>
        <w:t xml:space="preserve"> </w:t>
      </w:r>
      <w:r>
        <w:rPr>
          <w:rFonts w:ascii="Arial" w:hAnsi="Arial" w:cs="Arial"/>
          <w:szCs w:val="20"/>
          <w:u w:val="single"/>
          <w:lang w:eastAsia="en-CA"/>
        </w:rPr>
        <w:t>and</w:t>
      </w:r>
      <w:r>
        <w:rPr>
          <w:rFonts w:ascii="Arial" w:hAnsi="Arial" w:cs="Arial"/>
          <w:szCs w:val="20"/>
          <w:lang w:eastAsia="en-CA"/>
        </w:rPr>
        <w:t xml:space="preserve">, where such operators have combustion activities, these activities have a combined rated thermal input exceeding 1050 MW. Operators of installations within the </w:t>
      </w:r>
      <w:proofErr w:type="spellStart"/>
      <w:r>
        <w:rPr>
          <w:rFonts w:ascii="Arial" w:hAnsi="Arial" w:cs="Arial"/>
          <w:szCs w:val="20"/>
          <w:lang w:eastAsia="en-CA"/>
        </w:rPr>
        <w:t>ETS</w:t>
      </w:r>
      <w:proofErr w:type="spellEnd"/>
      <w:r>
        <w:rPr>
          <w:rFonts w:ascii="Arial" w:hAnsi="Arial" w:cs="Arial"/>
          <w:szCs w:val="20"/>
          <w:lang w:eastAsia="en-CA"/>
        </w:rPr>
        <w:t xml:space="preserve"> with emissions or combustion activ</w:t>
      </w:r>
      <w:r>
        <w:rPr>
          <w:rFonts w:ascii="Arial" w:hAnsi="Arial" w:cs="Arial"/>
          <w:szCs w:val="20"/>
          <w:lang w:eastAsia="en-CA"/>
        </w:rPr>
        <w:t>i</w:t>
      </w:r>
      <w:r>
        <w:rPr>
          <w:rFonts w:ascii="Arial" w:hAnsi="Arial" w:cs="Arial"/>
          <w:szCs w:val="20"/>
          <w:lang w:eastAsia="en-CA"/>
        </w:rPr>
        <w:t>ties falling below either threshold should be exempted from the Article 17(2) MAR disclosure requirement</w:t>
      </w:r>
      <w:r>
        <w:rPr>
          <w:rFonts w:cs="Arial"/>
        </w:rPr>
        <w:t>.</w:t>
      </w:r>
    </w:p>
    <w:permEnd w:id="1008209151"/>
    <w:p>
      <w:r>
        <w:t>&lt;ESMA_QUESTION_MAR_TA_5&gt;</w:t>
      </w:r>
    </w:p>
    <w:p/>
    <w:p>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p>
      <w:r>
        <w:t>&lt;ESMA_QUESTION_MAR_TA_6&gt;</w:t>
      </w:r>
    </w:p>
    <w:p>
      <w:pPr>
        <w:pStyle w:val="BodyText0"/>
        <w:spacing w:before="120" w:after="120"/>
        <w:ind w:right="176"/>
        <w:rPr>
          <w:rFonts w:cs="Arial"/>
        </w:rPr>
      </w:pPr>
      <w:permStart w:id="1167205162" w:edGrp="everyone"/>
      <w:r>
        <w:rPr>
          <w:rFonts w:cs="Arial"/>
        </w:rPr>
        <w:t xml:space="preserve">CMC Europe considers that entity-specific, non-public information held by emission allowance market participants would on publication </w:t>
      </w:r>
      <w:r>
        <w:rPr>
          <w:rFonts w:cs="Arial"/>
          <w:u w:val="single"/>
        </w:rPr>
        <w:t>not</w:t>
      </w:r>
      <w:r>
        <w:rPr>
          <w:rFonts w:cs="Arial"/>
        </w:rPr>
        <w:t xml:space="preserve"> have a significant effect on the prices of emission allowances, au</w:t>
      </w:r>
      <w:r>
        <w:rPr>
          <w:rFonts w:cs="Arial"/>
        </w:rPr>
        <w:t>c</w:t>
      </w:r>
      <w:r>
        <w:rPr>
          <w:rFonts w:cs="Arial"/>
        </w:rPr>
        <w:t>tioned products and related derivative contracts. We note the conclusions of s.1.4 of the Europe Econo</w:t>
      </w:r>
      <w:r>
        <w:rPr>
          <w:rFonts w:cs="Arial"/>
        </w:rPr>
        <w:t>m</w:t>
      </w:r>
      <w:r>
        <w:rPr>
          <w:rFonts w:cs="Arial"/>
        </w:rPr>
        <w:t>ics/Norton Rose Fulbright LLP study “Economic Analysis for Impact Assessment on Threshold for Discl</w:t>
      </w:r>
      <w:r>
        <w:rPr>
          <w:rFonts w:cs="Arial"/>
        </w:rPr>
        <w:t>o</w:t>
      </w:r>
      <w:r>
        <w:rPr>
          <w:rFonts w:cs="Arial"/>
        </w:rPr>
        <w:t>sure of Non-Public Information on Emission Allowances” with regard to entity-specific, non-public info</w:t>
      </w:r>
      <w:r>
        <w:rPr>
          <w:rFonts w:cs="Arial"/>
        </w:rPr>
        <w:t>r</w:t>
      </w:r>
      <w:r>
        <w:rPr>
          <w:rFonts w:cs="Arial"/>
        </w:rPr>
        <w:t>mation held by emission allowance market participants. We consider that entity-specific, non-</w:t>
      </w:r>
      <w:r>
        <w:rPr>
          <w:rFonts w:cs="Arial"/>
        </w:rPr>
        <w:lastRenderedPageBreak/>
        <w:t>public information that may affect price formation will be information on the entity’s physical operations relevant to the entity’s capacity and use of facilities for production, use of storage, consumption or transmission or electricity or natural gas or related to the capacity and use of LNG facilities, including planned or u</w:t>
      </w:r>
      <w:r>
        <w:rPr>
          <w:rFonts w:cs="Arial"/>
        </w:rPr>
        <w:t>n</w:t>
      </w:r>
      <w:r>
        <w:rPr>
          <w:rFonts w:cs="Arial"/>
        </w:rPr>
        <w:t>planned unavailability of these facilities. This information is already subject to the Article 4(1) REMIT public disclosure requir</w:t>
      </w:r>
      <w:r>
        <w:rPr>
          <w:rFonts w:cs="Arial"/>
        </w:rPr>
        <w:t>e</w:t>
      </w:r>
      <w:r>
        <w:rPr>
          <w:rFonts w:cs="Arial"/>
        </w:rPr>
        <w:t xml:space="preserve">ment.  </w:t>
      </w:r>
    </w:p>
    <w:permEnd w:id="1167205162"/>
    <w:p>
      <w:r>
        <w:t>&lt;ESMA_QUESTION_MAR_TA_6&gt;</w:t>
      </w:r>
    </w:p>
    <w:p>
      <w:r>
        <w:br w:type="page"/>
      </w:r>
    </w:p>
    <w:p>
      <w:pPr>
        <w:pStyle w:val="Heading1"/>
        <w:keepLines/>
        <w:numPr>
          <w:ilvl w:val="0"/>
          <w:numId w:val="37"/>
        </w:numPr>
        <w:spacing w:before="480" w:after="0"/>
      </w:pPr>
      <w:r>
        <w:lastRenderedPageBreak/>
        <w:t>Determination of the competent authority for notification of delays in public disclosure of inside information</w:t>
      </w:r>
    </w:p>
    <w:p/>
    <w:p>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p>
      <w:r>
        <w:t>&lt;ESMA_QUESTION_MAR_TA_7&gt;</w:t>
      </w:r>
    </w:p>
    <w:p>
      <w:permStart w:id="819341128" w:edGrp="everyone"/>
      <w:r>
        <w:t>TYPE YOUR TEXT HERE</w:t>
      </w:r>
    </w:p>
    <w:permEnd w:id="819341128"/>
    <w:p>
      <w:r>
        <w:t>&lt;ESMA_QUESTION_MAR_TA_7&gt;</w:t>
      </w:r>
    </w:p>
    <w:p/>
    <w:p>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p>
      <w:r>
        <w:t>&lt;ESMA_QUESTION_MAR_TA_8&gt;</w:t>
      </w:r>
    </w:p>
    <w:p>
      <w:permStart w:id="1367100322" w:edGrp="everyone"/>
      <w:r>
        <w:t>TYPE YOUR TEXT HERE</w:t>
      </w:r>
    </w:p>
    <w:permEnd w:id="1367100322"/>
    <w:p>
      <w:r>
        <w:t>&lt;ESMA_QUESTION_MAR_TA_8&gt;</w:t>
      </w:r>
    </w:p>
    <w:p/>
    <w:p>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p>
      <w:r>
        <w:t>&lt;ESMA_QUESTION_MAR_TA_9&gt;</w:t>
      </w:r>
    </w:p>
    <w:p>
      <w:permStart w:id="172635579" w:edGrp="everyone"/>
      <w:r>
        <w:t>TYPE YOUR TEXT HERE</w:t>
      </w:r>
    </w:p>
    <w:permEnd w:id="172635579"/>
    <w:p>
      <w:r>
        <w:t>&lt;ESMA_QUESTION_MAR_TA_9&gt;</w:t>
      </w:r>
    </w:p>
    <w:p>
      <w:r>
        <w:br w:type="page"/>
      </w:r>
    </w:p>
    <w:p>
      <w:pPr>
        <w:pStyle w:val="Heading1"/>
        <w:keepLines/>
        <w:numPr>
          <w:ilvl w:val="0"/>
          <w:numId w:val="37"/>
        </w:numPr>
        <w:spacing w:before="480" w:after="0"/>
      </w:pPr>
      <w:r>
        <w:lastRenderedPageBreak/>
        <w:t>Managers’ transactions</w:t>
      </w:r>
    </w:p>
    <w:p/>
    <w:p>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p>
      <w:r>
        <w:t>&lt;ESMA_QUESTION_MAR_TA_10&gt;</w:t>
      </w:r>
    </w:p>
    <w:p>
      <w:permStart w:id="1375566881" w:edGrp="everyone"/>
      <w:r>
        <w:t>TYPE YOUR TEXT HERE</w:t>
      </w:r>
    </w:p>
    <w:permEnd w:id="1375566881"/>
    <w:p>
      <w:r>
        <w:t>&lt;ESMA_QUESTION_MAR_TA_10&gt;</w:t>
      </w:r>
    </w:p>
    <w:p/>
    <w:p>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p>
      <w:r>
        <w:t>&lt;ESMA_QUESTION_MAR_TA_11&gt;</w:t>
      </w:r>
    </w:p>
    <w:p>
      <w:permStart w:id="1578503217" w:edGrp="everyone"/>
      <w:r>
        <w:t>TYPE YOUR TEXT HERE</w:t>
      </w:r>
    </w:p>
    <w:permEnd w:id="1578503217"/>
    <w:p>
      <w:r>
        <w:t>&lt;ESMA_QUESTION_MAR_TA_11&gt;</w:t>
      </w:r>
    </w:p>
    <w:p/>
    <w:p>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p>
      <w:r>
        <w:t>&lt;ESMA_QUESTION_MAR_TA_12&gt;</w:t>
      </w:r>
    </w:p>
    <w:p>
      <w:permStart w:id="938298147" w:edGrp="everyone"/>
      <w:r>
        <w:t>TYPE YOUR TEXT HERE</w:t>
      </w:r>
    </w:p>
    <w:permEnd w:id="938298147"/>
    <w:p>
      <w:r>
        <w:t>&lt;ESMA_QUESTION_MAR_TA_12&gt;</w:t>
      </w:r>
    </w:p>
    <w:p/>
    <w:p>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p>
      <w:r>
        <w:t>&lt;ESMA_QUESTION_MAR_TA_13&gt;</w:t>
      </w:r>
    </w:p>
    <w:p>
      <w:permStart w:id="501238682" w:edGrp="everyone"/>
      <w:r>
        <w:t>TYPE YOUR TEXT HERE</w:t>
      </w:r>
    </w:p>
    <w:permEnd w:id="501238682"/>
    <w:p>
      <w:r>
        <w:t>&lt;ESMA_QUESTION_MAR_TA_13&gt;</w:t>
      </w:r>
    </w:p>
    <w:p/>
    <w:p>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p>
      <w:r>
        <w:t>&lt;ESMA_QUESTION_MAR_TA_14&gt;</w:t>
      </w:r>
    </w:p>
    <w:p>
      <w:permStart w:id="2038320319" w:edGrp="everyone"/>
      <w:r>
        <w:t>TYPE YOUR TEXT HERE</w:t>
      </w:r>
    </w:p>
    <w:permEnd w:id="2038320319"/>
    <w:p>
      <w:r>
        <w:t>&lt;ESMA_QUESTION_MAR_TA_14&gt;</w:t>
      </w:r>
    </w:p>
    <w:p>
      <w:r>
        <w:br w:type="page"/>
      </w:r>
    </w:p>
    <w:p>
      <w:pPr>
        <w:pStyle w:val="Heading1"/>
        <w:keepLines/>
        <w:numPr>
          <w:ilvl w:val="0"/>
          <w:numId w:val="37"/>
        </w:numPr>
        <w:spacing w:before="480" w:after="0"/>
      </w:pPr>
      <w:r>
        <w:lastRenderedPageBreak/>
        <w:t>Reporting of infringements</w:t>
      </w:r>
    </w:p>
    <w:p/>
    <w:p>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p>
      <w:r>
        <w:t>&lt;ESMA_QUESTION_MAR_TA_15&gt;</w:t>
      </w:r>
    </w:p>
    <w:p>
      <w:permStart w:id="1183725706" w:edGrp="everyone"/>
      <w:r>
        <w:t>TYPE YOUR TEXT HERE</w:t>
      </w:r>
    </w:p>
    <w:permEnd w:id="1183725706"/>
    <w:p>
      <w:r>
        <w:t>&lt;ESMA_QUESTION_MAR_TA_15&gt;</w:t>
      </w:r>
    </w:p>
    <w:p/>
    <w:p>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p>
      <w:r>
        <w:t>&lt;ESMA_QUESTION_MAR_TA_16&gt;</w:t>
      </w:r>
    </w:p>
    <w:p>
      <w:permStart w:id="1444574861" w:edGrp="everyone"/>
      <w:r>
        <w:t>TYPE YOUR TEXT HERE</w:t>
      </w:r>
    </w:p>
    <w:permEnd w:id="1444574861"/>
    <w:p>
      <w:r>
        <w:t>&lt;ESMA_QUESTION_MAR_TA_16&gt;</w:t>
      </w:r>
    </w:p>
    <w:p/>
    <w:p>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pPr>
        <w:pStyle w:val="Heading5"/>
        <w:keepNext w:val="0"/>
        <w:keepLines w:val="0"/>
        <w:numPr>
          <w:ilvl w:val="0"/>
          <w:numId w:val="39"/>
        </w:numPr>
        <w:spacing w:before="0" w:line="276" w:lineRule="auto"/>
      </w:pPr>
      <w:r>
        <w:t>compliance with data retention periods and notification requirements for data pr</w:t>
      </w:r>
      <w:r>
        <w:t>o</w:t>
      </w:r>
      <w:r>
        <w:t>cessing;</w:t>
      </w:r>
    </w:p>
    <w:p>
      <w:pPr>
        <w:pStyle w:val="Heading5"/>
        <w:keepNext w:val="0"/>
        <w:keepLines w:val="0"/>
        <w:numPr>
          <w:ilvl w:val="0"/>
          <w:numId w:val="39"/>
        </w:numPr>
        <w:spacing w:before="0" w:line="276" w:lineRule="auto"/>
      </w:pPr>
      <w:r>
        <w:t>protection of the rights related to data processing;</w:t>
      </w:r>
    </w:p>
    <w:p>
      <w:pPr>
        <w:pStyle w:val="Heading5"/>
        <w:keepNext w:val="0"/>
        <w:keepLines w:val="0"/>
        <w:numPr>
          <w:ilvl w:val="0"/>
          <w:numId w:val="39"/>
        </w:numPr>
        <w:spacing w:before="0" w:line="276" w:lineRule="auto"/>
      </w:pPr>
      <w:r>
        <w:t>security aspects of the data processing operation; and</w:t>
      </w:r>
    </w:p>
    <w:p>
      <w:pPr>
        <w:pStyle w:val="Heading5"/>
        <w:keepNext w:val="0"/>
        <w:keepLines w:val="0"/>
        <w:numPr>
          <w:ilvl w:val="0"/>
          <w:numId w:val="39"/>
        </w:numPr>
        <w:spacing w:before="0" w:line="276" w:lineRule="auto"/>
      </w:pPr>
      <w:r>
        <w:t>conditions for the management of reporting mechanisms (including limitations of cross-border data transferral)?</w:t>
      </w:r>
    </w:p>
    <w:p>
      <w:pPr>
        <w:ind w:left="720"/>
      </w:pPr>
    </w:p>
    <w:p>
      <w:r>
        <w:t>&lt;ESMA_QUESTION_MAR_TA_17&gt;</w:t>
      </w:r>
    </w:p>
    <w:p>
      <w:permStart w:id="1965912014" w:edGrp="everyone"/>
      <w:r>
        <w:t>TYPE YOUR TEXT HERE</w:t>
      </w:r>
    </w:p>
    <w:permEnd w:id="1965912014"/>
    <w:p>
      <w:r>
        <w:t>&lt;ESMA_QUESTION_MAR_TA_17&gt;</w:t>
      </w:r>
    </w:p>
    <w:p/>
    <w:p>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p>
      <w:r>
        <w:t>&lt;ESMA_QUESTION_MAR_TA_18&gt;</w:t>
      </w:r>
    </w:p>
    <w:p>
      <w:permStart w:id="1675297563" w:edGrp="everyone"/>
      <w:r>
        <w:t>TYPE YOUR TEXT HERE</w:t>
      </w:r>
    </w:p>
    <w:permEnd w:id="1675297563"/>
    <w:p>
      <w:r>
        <w:t>&lt;ESMA_QUESTION_MAR_TA_18&gt;</w:t>
      </w:r>
    </w:p>
    <w:p/>
    <w:p>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p>
      <w:r>
        <w:t>&lt;ESMA_QUESTION_MAR_TA_19&gt;</w:t>
      </w:r>
    </w:p>
    <w:p>
      <w:permStart w:id="1477320527" w:edGrp="everyone"/>
      <w:r>
        <w:t>TYPE YOUR TEXT HERE</w:t>
      </w:r>
    </w:p>
    <w:permEnd w:id="1477320527"/>
    <w:p>
      <w:r>
        <w:t>&lt;ESMA_QUESTION_MAR_TA_19&gt;</w:t>
      </w:r>
    </w:p>
    <w:p>
      <w:pPr>
        <w:keepLines/>
      </w:pPr>
    </w:p>
    <w:sectPr>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pPr>
          <w:r>
            <w:fldChar w:fldCharType="begin"/>
          </w:r>
          <w:r>
            <w:instrText xml:space="preserve"> PAGE </w:instrText>
          </w:r>
          <w:r>
            <w:fldChar w:fldCharType="separate"/>
          </w:r>
          <w:r>
            <w:rPr>
              <w:noProof/>
            </w:rPr>
            <w:t>5</w:t>
          </w:r>
          <w:r>
            <w:rPr>
              <w:noProof/>
            </w:rPr>
            <w:fldChar w:fldCharType="end"/>
          </w:r>
        </w:p>
      </w:tc>
    </w:tr>
  </w:tbl>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footnote>
  <w:footnote w:id="2">
    <w:p>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trPr>
        <w:trHeight w:val="284"/>
      </w:trPr>
      <w:tc>
        <w:tcPr>
          <w:tcW w:w="8460" w:type="dxa"/>
        </w:tcPr>
        <w:p>
          <w:pPr>
            <w:pStyle w:val="00Footer"/>
            <w:rPr>
              <w:lang w:val="fr-FR"/>
            </w:rPr>
          </w:pPr>
        </w:p>
      </w:tc>
      <w:tc>
        <w:tcPr>
          <w:tcW w:w="952" w:type="dxa"/>
        </w:tcPr>
        <w:p>
          <w:pPr>
            <w:pStyle w:val="00aPagenumber"/>
            <w:rPr>
              <w:lang w:val="fr-FR"/>
            </w:rPr>
          </w:pPr>
        </w:p>
      </w:tc>
    </w:tr>
  </w:tbl>
  <w:p>
    <w:pPr>
      <w:rPr>
        <w:lang w:val="fr-FR"/>
      </w:rPr>
    </w:pPr>
  </w:p>
  <w:p>
    <w:pPr>
      <w:pStyle w:val="Header"/>
      <w:rPr>
        <w:lang w:val="fr-FR"/>
      </w:rPr>
    </w:pPr>
  </w:p>
  <w:p>
    <w:pPr>
      <w:pStyle w:val="Header"/>
      <w:tabs>
        <w:tab w:val="clear" w:pos="4536"/>
        <w:tab w:val="clear" w:pos="9072"/>
        <w:tab w:val="left" w:pos="8227"/>
      </w:tabs>
      <w:rPr>
        <w:lang w:val="fr-FR"/>
      </w:rPr>
    </w:pPr>
  </w:p>
  <w:p>
    <w:pPr>
      <w:pStyle w:val="Header"/>
      <w:tabs>
        <w:tab w:val="clear" w:pos="4536"/>
        <w:tab w:val="clear" w:pos="9072"/>
        <w:tab w:val="left" w:pos="8227"/>
      </w:tabs>
      <w:rPr>
        <w:lang w:val="fr-FR"/>
      </w:rPr>
    </w:pPr>
  </w:p>
  <w:p>
    <w:pPr>
      <w:pStyle w:val="Header"/>
      <w:rPr>
        <w:lang w:val="fr-FR"/>
      </w:rPr>
    </w:pPr>
  </w:p>
  <w:p>
    <w:pPr>
      <w:pStyle w:val="Header"/>
      <w:rPr>
        <w:lang w:val="fr-FR"/>
      </w:rPr>
    </w:pPr>
  </w:p>
  <w:p>
    <w:pPr>
      <w:pStyle w:val="Header"/>
      <w:rPr>
        <w:lang w:val="fr-FR"/>
      </w:rPr>
    </w:pPr>
  </w:p>
  <w:p>
    <w:pPr>
      <w:pStyle w:val="Header"/>
      <w:rPr>
        <w:lang w:val="fr-FR"/>
      </w:rPr>
    </w:pPr>
  </w:p>
  <w:p>
    <w:pPr>
      <w:pStyle w:val="Header"/>
      <w:rPr>
        <w:highlight w:val="yellow"/>
        <w:lang w:val="fr-FR"/>
      </w:rPr>
    </w:pPr>
  </w:p>
  <w:p>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C4EA12"/>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4EC65CA8"/>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3">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22"/>
  </w:num>
  <w:num w:numId="3">
    <w:abstractNumId w:val="15"/>
  </w:num>
  <w:num w:numId="4">
    <w:abstractNumId w:val="26"/>
  </w:num>
  <w:num w:numId="5">
    <w:abstractNumId w:val="5"/>
  </w:num>
  <w:num w:numId="6">
    <w:abstractNumId w:val="28"/>
  </w:num>
  <w:num w:numId="7">
    <w:abstractNumId w:val="2"/>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5"/>
  </w:num>
  <w:num w:numId="16">
    <w:abstractNumId w:val="13"/>
  </w:num>
  <w:num w:numId="17">
    <w:abstractNumId w:val="3"/>
  </w:num>
  <w:num w:numId="18">
    <w:abstractNumId w:val="17"/>
  </w:num>
  <w:num w:numId="19">
    <w:abstractNumId w:val="18"/>
  </w:num>
  <w:num w:numId="20">
    <w:abstractNumId w:val="20"/>
  </w:num>
  <w:num w:numId="21">
    <w:abstractNumId w:val="29"/>
  </w:num>
  <w:num w:numId="22">
    <w:abstractNumId w:val="36"/>
  </w:num>
  <w:num w:numId="23">
    <w:abstractNumId w:val="27"/>
  </w:num>
  <w:num w:numId="24">
    <w:abstractNumId w:val="12"/>
  </w:num>
  <w:num w:numId="25">
    <w:abstractNumId w:val="32"/>
  </w:num>
  <w:num w:numId="26">
    <w:abstractNumId w:val="31"/>
  </w:num>
  <w:num w:numId="27">
    <w:abstractNumId w:val="23"/>
  </w:num>
  <w:num w:numId="28">
    <w:abstractNumId w:val="35"/>
  </w:num>
  <w:num w:numId="29">
    <w:abstractNumId w:val="38"/>
  </w:num>
  <w:num w:numId="30">
    <w:abstractNumId w:val="10"/>
  </w:num>
  <w:num w:numId="31">
    <w:abstractNumId w:val="6"/>
  </w:num>
  <w:num w:numId="32">
    <w:abstractNumId w:val="24"/>
  </w:num>
  <w:num w:numId="33">
    <w:abstractNumId w:val="4"/>
  </w:num>
  <w:num w:numId="34">
    <w:abstractNumId w:val="6"/>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6"/>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4"/>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7"/>
  </w:num>
  <w:num w:numId="42">
    <w:abstractNumId w:val="1"/>
  </w:num>
  <w:num w:numId="43">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TmpRUP" w:val="1"/>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1" w:defQFormat="0" w:count="267">
    <w:lsdException w:name="Normal" w:uiPriority="29" w:qFormat="1"/>
    <w:lsdException w:name="caption" w:semiHidden="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nhideWhenUsed="0"/>
    <w:lsdException w:name="Outline List 1" w:uiPriority="0" w:unhideWhenUsed="0"/>
    <w:lsdException w:name="Outline List 2" w:uiPriority="0" w:unhideWhenUsed="0"/>
    <w:lsdException w:name="Outline List 3" w:uiPriority="0" w:unhideWhenUsed="0"/>
    <w:lsdException w:name="Placeholder Text" w:semiHidden="1"/>
    <w:lsdException w:name="Revision" w:semiHidden="1" w:unhideWhenUsed="0"/>
    <w:lsdException w:name="Bibliography" w:semiHidden="1"/>
    <w:lsdException w:name="TOC Heading" w:semiHidden="1"/>
  </w:latentStyles>
  <w:style w:type="paragraph" w:default="1" w:styleId="Normal">
    <w:name w:val="Normal"/>
    <w:uiPriority w:val="29"/>
    <w:unhideWhenUsed/>
    <w:qFormat/>
    <w:rPr>
      <w:rFonts w:ascii="Georgia" w:hAnsi="Georgia"/>
      <w:szCs w:val="24"/>
      <w:lang w:eastAsia="de-DE"/>
    </w:rPr>
  </w:style>
  <w:style w:type="paragraph" w:styleId="Heading1">
    <w:name w:val="heading 1"/>
    <w:basedOn w:val="Normal"/>
    <w:next w:val="Normal"/>
    <w:link w:val="Heading1Char"/>
    <w:uiPriority w:val="99"/>
    <w:semiHidden/>
    <w:unhideWhenUsed/>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4"/>
      </w:numPr>
      <w:spacing w:before="20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semiHidden/>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Pr>
      <w:rFonts w:ascii="Georgia" w:hAnsi="Georgia"/>
      <w:sz w:val="16"/>
      <w:lang w:eastAsia="de-DE"/>
    </w:rPr>
  </w:style>
  <w:style w:type="paragraph" w:customStyle="1" w:styleId="DPpara">
    <w:name w:val="DP para"/>
    <w:basedOn w:val="04aNumeration"/>
    <w:link w:val="DPparaChar"/>
    <w:uiPriority w:val="49"/>
    <w:qFormat/>
    <w:pPr>
      <w:numPr>
        <w:numId w:val="7"/>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1"/>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2"/>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9"/>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20"/>
      </w:numPr>
    </w:pPr>
  </w:style>
  <w:style w:type="paragraph" w:customStyle="1" w:styleId="Tiret4">
    <w:name w:val="Tiret 4"/>
    <w:basedOn w:val="Point4"/>
    <w:uiPriority w:val="49"/>
    <w:qFormat/>
    <w:pPr>
      <w:numPr>
        <w:numId w:val="21"/>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6"/>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ascii="Arial" w:hAnsi="Arial"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8"/>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30"/>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BodyText0">
    <w:name w:val="#BodyText"/>
    <w:basedOn w:val="Normal"/>
    <w:qFormat/>
    <w:pPr>
      <w:spacing w:after="240"/>
      <w:jc w:val="both"/>
    </w:pPr>
    <w:rPr>
      <w:rFonts w:ascii="Arial" w:hAnsi="Arial"/>
      <w:szCs w:val="20"/>
      <w:lang w:eastAsia="en-CA"/>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ascii="Georgia" w:hAnsi="Georgia"/>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rPr>
      <w:rFonts w:ascii="Georgia" w:hAnsi="Georgia"/>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Georgia" w:hAnsi="Georgia"/>
      <w:sz w:val="20"/>
      <w:szCs w:val="24"/>
      <w:lang w:eastAsia="de-DE"/>
    </w:rPr>
  </w:style>
  <w:style w:type="character" w:customStyle="1" w:styleId="BodyTextFirstIndentChar">
    <w:name w:val="Body Text First Indent Char"/>
    <w:basedOn w:val="BodyTextChar"/>
    <w:link w:val="BodyTextFirstIndent"/>
    <w:rPr>
      <w:rFonts w:ascii="Georgia" w:hAnsi="Georgia"/>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rPr>
      <w:rFonts w:ascii="Georgia" w:hAnsi="Georgia"/>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rPr>
      <w:rFonts w:ascii="Georgia" w:hAnsi="Georgia"/>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rPr>
      <w:rFonts w:ascii="Georgia" w:hAnsi="Georgia"/>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rPr>
      <w:rFonts w:ascii="Georgia" w:hAnsi="Georgia"/>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rPr>
      <w:rFonts w:ascii="Georgia" w:hAnsi="Georgia"/>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Georgia" w:hAnsi="Georgia"/>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rPr>
      <w:rFonts w:ascii="Georgia" w:hAnsi="Georgia"/>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rPr>
      <w:rFonts w:ascii="Georgia" w:hAnsi="Georgia"/>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Georgia" w:hAnsi="Georgia"/>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42"/>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43"/>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Georgia" w:hAnsi="Georgia"/>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rPr>
      <w:rFonts w:ascii="Georgia" w:hAnsi="Georgia"/>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Georgia" w:hAnsi="Georgia"/>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Georgia" w:hAnsi="Georgia"/>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rPr>
      <w:rFonts w:ascii="Georgia" w:hAnsi="Georgia"/>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1" w:defQFormat="0" w:count="267">
    <w:lsdException w:name="Normal" w:uiPriority="29" w:qFormat="1"/>
    <w:lsdException w:name="caption" w:semiHidden="1"/>
    <w:lsdException w:name="page number" w:uiPriority="29" w:qFormat="1"/>
    <w:lsdException w:name="Closing" w:uiPriority="29" w:qFormat="1"/>
    <w:lsdException w:name="Date" w:uiPriority="29" w:qFormat="1"/>
    <w:lsdException w:name="HTML Top of Form" w:uiPriority="0" w:unhideWhenUsed="0"/>
    <w:lsdException w:name="HTML Bottom of Form" w:uiPriority="0" w:unhideWhenUsed="0"/>
    <w:lsdException w:name="No List" w:unhideWhenUsed="0"/>
    <w:lsdException w:name="Outline List 1" w:uiPriority="0" w:unhideWhenUsed="0"/>
    <w:lsdException w:name="Outline List 2" w:uiPriority="0" w:unhideWhenUsed="0"/>
    <w:lsdException w:name="Outline List 3" w:uiPriority="0" w:unhideWhenUsed="0"/>
    <w:lsdException w:name="Placeholder Text" w:semiHidden="1"/>
    <w:lsdException w:name="Revision" w:semiHidden="1" w:unhideWhenUsed="0"/>
    <w:lsdException w:name="Bibliography" w:semiHidden="1"/>
    <w:lsdException w:name="TOC Heading" w:semiHidden="1"/>
  </w:latentStyles>
  <w:style w:type="paragraph" w:default="1" w:styleId="Normal">
    <w:name w:val="Normal"/>
    <w:uiPriority w:val="29"/>
    <w:unhideWhenUsed/>
    <w:qFormat/>
    <w:rPr>
      <w:rFonts w:ascii="Georgia" w:hAnsi="Georgia"/>
      <w:szCs w:val="24"/>
      <w:lang w:eastAsia="de-DE"/>
    </w:rPr>
  </w:style>
  <w:style w:type="paragraph" w:styleId="Heading1">
    <w:name w:val="heading 1"/>
    <w:basedOn w:val="Normal"/>
    <w:next w:val="Normal"/>
    <w:link w:val="Heading1Char"/>
    <w:uiPriority w:val="99"/>
    <w:semiHidden/>
    <w:unhideWhenUsed/>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uiPriority w:val="99"/>
    <w:semiHidden/>
    <w:unhideWhenUsed/>
    <w:pPr>
      <w:keepNext/>
      <w:keepLines/>
      <w:spacing w:before="200" w:after="120"/>
      <w:outlineLvl w:val="1"/>
    </w:pPr>
    <w:rPr>
      <w:b/>
      <w:bCs/>
      <w:szCs w:val="26"/>
    </w:rPr>
  </w:style>
  <w:style w:type="paragraph" w:styleId="Heading3">
    <w:name w:val="heading 3"/>
    <w:basedOn w:val="Normal"/>
    <w:next w:val="Normal"/>
    <w:link w:val="Heading3Char2"/>
    <w:uiPriority w:val="99"/>
    <w:semiHidden/>
    <w:unhideWhenUsed/>
    <w:pPr>
      <w:keepNext/>
      <w:keepLines/>
      <w:spacing w:before="200"/>
      <w:outlineLvl w:val="2"/>
    </w:pPr>
    <w:rPr>
      <w:rFonts w:ascii="Cambria" w:hAnsi="Cambria"/>
      <w:b/>
      <w:bCs/>
      <w:color w:val="4F81BD"/>
    </w:rPr>
  </w:style>
  <w:style w:type="paragraph" w:styleId="Heading4">
    <w:name w:val="heading 4"/>
    <w:basedOn w:val="Normal"/>
    <w:next w:val="Normal"/>
    <w:link w:val="Heading4Char1"/>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9"/>
    <w:semiHidden/>
    <w:unhideWhenUsed/>
    <w:pPr>
      <w:keepNext/>
      <w:keepLines/>
      <w:numPr>
        <w:numId w:val="14"/>
      </w:numPr>
      <w:spacing w:before="200"/>
      <w:jc w:val="both"/>
      <w:outlineLvl w:val="4"/>
    </w:pPr>
    <w:rPr>
      <w:b/>
    </w:rPr>
  </w:style>
  <w:style w:type="paragraph" w:styleId="Heading6">
    <w:name w:val="heading 6"/>
    <w:basedOn w:val="Normal"/>
    <w:next w:val="Normal"/>
    <w:link w:val="Heading6Char"/>
    <w:uiPriority w:val="99"/>
    <w:semiHidden/>
    <w:unhideWhenUsed/>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semiHidden/>
    <w:unhideWhenUsed/>
    <w:pPr>
      <w:spacing w:before="240" w:after="60"/>
      <w:ind w:left="1296" w:hanging="1296"/>
      <w:outlineLvl w:val="6"/>
    </w:pPr>
    <w:rPr>
      <w:rFonts w:ascii="Times New Roman" w:hAnsi="Times New Roman"/>
    </w:rPr>
  </w:style>
  <w:style w:type="paragraph" w:styleId="Heading8">
    <w:name w:val="heading 8"/>
    <w:basedOn w:val="Normal"/>
    <w:next w:val="Normal"/>
    <w:link w:val="Heading8Char"/>
    <w:uiPriority w:val="99"/>
    <w:semiHidden/>
    <w:unhideWhenUsed/>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semiHidden/>
    <w:unhideWhenUsed/>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36"/>
        <w:tab w:val="right" w:pos="9072"/>
      </w:tabs>
    </w:pPr>
  </w:style>
  <w:style w:type="paragraph" w:styleId="Footer">
    <w:name w:val="footer"/>
    <w:basedOn w:val="Normal"/>
    <w:link w:val="FooterChar"/>
    <w:uiPriority w:val="99"/>
    <w:semiHidden/>
    <w:unhideWhenUsed/>
    <w:pPr>
      <w:tabs>
        <w:tab w:val="center" w:pos="4536"/>
        <w:tab w:val="right" w:pos="9072"/>
      </w:tabs>
    </w:p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29"/>
    <w:qFormat/>
    <w:pPr>
      <w:spacing w:line="200" w:lineRule="exact"/>
    </w:pPr>
    <w:rPr>
      <w:color w:val="2D4190"/>
      <w:sz w:val="16"/>
    </w:rPr>
  </w:style>
  <w:style w:type="paragraph" w:customStyle="1" w:styleId="05aTitle">
    <w:name w:val="05a_Title"/>
    <w:basedOn w:val="Normal"/>
    <w:uiPriority w:val="29"/>
    <w:qFormat/>
    <w:pPr>
      <w:spacing w:line="340" w:lineRule="exact"/>
    </w:pPr>
    <w:rPr>
      <w:b/>
      <w:color w:val="000000"/>
      <w:sz w:val="28"/>
    </w:rPr>
  </w:style>
  <w:style w:type="paragraph" w:customStyle="1" w:styleId="02Date">
    <w:name w:val="02_Date"/>
    <w:basedOn w:val="Normal"/>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Normal"/>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eNumber">
    <w:name w:val="page number"/>
    <w:basedOn w:val="DefaultParagraphFont"/>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semiHidden/>
    <w:unhideWhenUsed/>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TOC2">
    <w:name w:val="toc 2"/>
    <w:basedOn w:val="Normal"/>
    <w:next w:val="Normal"/>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Normal"/>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rPr>
      <w:rFonts w:ascii="Georgia" w:hAnsi="Georgia"/>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rPr>
      <w:rFonts w:ascii="Georgia" w:hAnsi="Georgia"/>
      <w:b/>
      <w:bCs/>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99"/>
    <w:semiHidden/>
    <w:unhideWhenUsed/>
    <w:pPr>
      <w:ind w:left="720"/>
      <w:contextualSpacing/>
    </w:pPr>
  </w:style>
  <w:style w:type="paragraph" w:styleId="TOCHeading">
    <w:name w:val="TOC Heading"/>
    <w:basedOn w:val="Heading1"/>
    <w:next w:val="Normal"/>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Pr>
      <w:rFonts w:ascii="Georgia" w:hAnsi="Georgia"/>
      <w:sz w:val="16"/>
      <w:lang w:eastAsia="de-DE"/>
    </w:rPr>
  </w:style>
  <w:style w:type="paragraph" w:customStyle="1" w:styleId="DPpara">
    <w:name w:val="DP para"/>
    <w:basedOn w:val="04aNumeration"/>
    <w:link w:val="DPparaChar"/>
    <w:uiPriority w:val="49"/>
    <w:qFormat/>
    <w:pPr>
      <w:numPr>
        <w:numId w:val="7"/>
      </w:numPr>
    </w:pPr>
    <w:rPr>
      <w:szCs w:val="20"/>
    </w:rPr>
  </w:style>
  <w:style w:type="character" w:customStyle="1" w:styleId="DPparaChar">
    <w:name w:val="DP para Char"/>
    <w:link w:val="DPpara"/>
    <w:locked/>
    <w:rPr>
      <w:rFonts w:ascii="Georgia" w:hAnsi="Georgia"/>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uiPriority w:val="29"/>
    <w:qFormat/>
  </w:style>
  <w:style w:type="paragraph" w:customStyle="1" w:styleId="ManualNumPar1">
    <w:name w:val="Manual NumPar 1"/>
    <w:basedOn w:val="Normal"/>
    <w:next w:val="Normal"/>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Heading1Char">
    <w:name w:val="Heading 1 Char"/>
    <w:link w:val="Heading1"/>
    <w:rPr>
      <w:rFonts w:ascii="Georgia" w:hAnsi="Georgia"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Emphasis">
    <w:name w:val="Emphasis"/>
    <w:uiPriority w:val="99"/>
    <w:semiHidden/>
    <w:unhideWhenUsed/>
    <w:rPr>
      <w:i/>
      <w:iCs/>
    </w:rPr>
  </w:style>
  <w:style w:type="paragraph" w:styleId="Revision">
    <w:name w:val="Revision"/>
    <w:link w:val="RevisionChar"/>
    <w:hidden/>
    <w:uiPriority w:val="99"/>
    <w:semiHidden/>
    <w:rPr>
      <w:rFonts w:ascii="Georgia" w:hAnsi="Georgia"/>
      <w:sz w:val="22"/>
      <w:szCs w:val="24"/>
      <w:lang w:eastAsia="de-DE"/>
    </w:rPr>
  </w:style>
  <w:style w:type="paragraph" w:styleId="TOC3">
    <w:name w:val="toc 3"/>
    <w:basedOn w:val="Normal"/>
    <w:next w:val="Normal"/>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Normal"/>
    <w:next w:val="Normal"/>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29"/>
    <w:qFormat/>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99"/>
    <w:semiHidden/>
    <w:unhideWhenUsed/>
    <w:pPr>
      <w:spacing w:after="100" w:line="276" w:lineRule="auto"/>
      <w:ind w:left="660"/>
    </w:pPr>
    <w:rPr>
      <w:rFonts w:ascii="Calibri" w:hAnsi="Calibri"/>
      <w:szCs w:val="22"/>
      <w:lang w:eastAsia="en-GB"/>
    </w:rPr>
  </w:style>
  <w:style w:type="paragraph" w:styleId="TOC5">
    <w:name w:val="toc 5"/>
    <w:basedOn w:val="Normal"/>
    <w:next w:val="Normal"/>
    <w:autoRedefine/>
    <w:uiPriority w:val="99"/>
    <w:semiHidden/>
    <w:unhideWhenUsed/>
    <w:pPr>
      <w:spacing w:after="100" w:line="276" w:lineRule="auto"/>
      <w:ind w:left="880"/>
    </w:pPr>
    <w:rPr>
      <w:rFonts w:ascii="Calibri" w:hAnsi="Calibri"/>
      <w:szCs w:val="22"/>
      <w:lang w:eastAsia="en-GB"/>
    </w:rPr>
  </w:style>
  <w:style w:type="paragraph" w:styleId="TOC6">
    <w:name w:val="toc 6"/>
    <w:basedOn w:val="Normal"/>
    <w:next w:val="Normal"/>
    <w:autoRedefine/>
    <w:uiPriority w:val="99"/>
    <w:semiHidden/>
    <w:unhideWhenUsed/>
    <w:pPr>
      <w:spacing w:after="100" w:line="276" w:lineRule="auto"/>
      <w:ind w:left="1100"/>
    </w:pPr>
    <w:rPr>
      <w:rFonts w:ascii="Calibri" w:hAnsi="Calibri"/>
      <w:szCs w:val="22"/>
      <w:lang w:eastAsia="en-GB"/>
    </w:rPr>
  </w:style>
  <w:style w:type="paragraph" w:styleId="TOC7">
    <w:name w:val="toc 7"/>
    <w:basedOn w:val="Normal"/>
    <w:next w:val="Normal"/>
    <w:autoRedefine/>
    <w:uiPriority w:val="99"/>
    <w:semiHidden/>
    <w:unhideWhenUsed/>
    <w:pPr>
      <w:spacing w:after="100" w:line="276" w:lineRule="auto"/>
      <w:ind w:left="1320"/>
    </w:pPr>
    <w:rPr>
      <w:rFonts w:ascii="Calibri" w:hAnsi="Calibri"/>
      <w:szCs w:val="22"/>
      <w:lang w:eastAsia="en-GB"/>
    </w:rPr>
  </w:style>
  <w:style w:type="paragraph" w:styleId="TOC8">
    <w:name w:val="toc 8"/>
    <w:basedOn w:val="Normal"/>
    <w:next w:val="Normal"/>
    <w:autoRedefine/>
    <w:uiPriority w:val="99"/>
    <w:semiHidden/>
    <w:unhideWhenUsed/>
    <w:pPr>
      <w:spacing w:after="100" w:line="276" w:lineRule="auto"/>
      <w:ind w:left="1540"/>
    </w:pPr>
    <w:rPr>
      <w:rFonts w:ascii="Calibri" w:hAnsi="Calibri"/>
      <w:szCs w:val="22"/>
      <w:lang w:eastAsia="en-GB"/>
    </w:rPr>
  </w:style>
  <w:style w:type="paragraph" w:styleId="TOC9">
    <w:name w:val="toc 9"/>
    <w:basedOn w:val="Normal"/>
    <w:next w:val="Normal"/>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Caption">
    <w:name w:val="caption"/>
    <w:basedOn w:val="Normal"/>
    <w:next w:val="Normal"/>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de-DE"/>
    </w:rPr>
  </w:style>
  <w:style w:type="paragraph" w:styleId="PlainText">
    <w:name w:val="Plain Text"/>
    <w:basedOn w:val="Normal"/>
    <w:link w:val="PlainTextChar"/>
    <w:uiPriority w:val="99"/>
    <w:semiHidden/>
    <w:unhideWhenUsed/>
    <w:rPr>
      <w:rFonts w:ascii="Consolas" w:hAnsi="Consolas"/>
      <w:sz w:val="21"/>
      <w:szCs w:val="21"/>
      <w:lang w:val="de-DE"/>
    </w:rPr>
  </w:style>
  <w:style w:type="character" w:customStyle="1" w:styleId="PlainTextChar">
    <w:name w:val="Plain Text Char"/>
    <w:link w:val="PlainText"/>
    <w:rPr>
      <w:rFonts w:ascii="Consolas" w:hAnsi="Consolas"/>
      <w:sz w:val="21"/>
      <w:szCs w:val="21"/>
      <w:lang w:val="de-DE" w:eastAsia="de-DE"/>
    </w:rPr>
  </w:style>
  <w:style w:type="paragraph" w:styleId="BodyText">
    <w:name w:val="Body Text"/>
    <w:basedOn w:val="Normal"/>
    <w:link w:val="BodyTextChar"/>
    <w:uiPriority w:val="99"/>
    <w:semiHidden/>
    <w:unhideWhenUsed/>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Pr>
      <w:sz w:val="24"/>
    </w:rPr>
  </w:style>
  <w:style w:type="paragraph" w:customStyle="1" w:styleId="ListParagraph1">
    <w:name w:val="List Paragraph1"/>
    <w:basedOn w:val="Normal"/>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Strong">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Heading2Char2">
    <w:name w:val="Heading 2 Char2"/>
    <w:link w:val="Heading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Heading9Char">
    <w:name w:val="Heading 9 Char"/>
    <w:link w:val="Heading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Normal"/>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Heading7Char">
    <w:name w:val="Heading 7 Char"/>
    <w:link w:val="Heading7"/>
    <w:rPr>
      <w:sz w:val="22"/>
      <w:szCs w:val="24"/>
      <w:lang w:eastAsia="de-DE"/>
    </w:rPr>
  </w:style>
  <w:style w:type="character" w:customStyle="1" w:styleId="Heading6Char">
    <w:name w:val="Heading 6 Char"/>
    <w:link w:val="Heading6"/>
    <w:rPr>
      <w:b/>
      <w:bCs/>
      <w:szCs w:val="22"/>
      <w:lang w:eastAsia="de-DE"/>
    </w:rPr>
  </w:style>
  <w:style w:type="character" w:customStyle="1" w:styleId="Heading8Char">
    <w:name w:val="Heading 8 Char"/>
    <w:link w:val="Heading8"/>
    <w:rPr>
      <w:i/>
      <w:iCs/>
      <w:szCs w:val="24"/>
      <w:lang w:eastAsia="de-DE"/>
    </w:rPr>
  </w:style>
  <w:style w:type="numbering" w:customStyle="1" w:styleId="NoList1">
    <w:name w:val="No List1"/>
    <w:next w:val="NoList"/>
    <w:uiPriority w:val="99"/>
    <w:semiHidden/>
    <w:unhideWhenUsed/>
  </w:style>
  <w:style w:type="character" w:styleId="FollowedHyperlink">
    <w:name w:val="FollowedHyperlink"/>
    <w:uiPriority w:val="99"/>
    <w:semiHidden/>
    <w:unhideWhenUsed/>
    <w:rPr>
      <w:color w:val="800080"/>
      <w:u w:val="single"/>
    </w:rPr>
  </w:style>
  <w:style w:type="character" w:customStyle="1" w:styleId="HeaderChar">
    <w:name w:val="Header Char"/>
    <w:link w:val="Header"/>
    <w:rPr>
      <w:rFonts w:ascii="Georgia" w:hAnsi="Georgia"/>
      <w:sz w:val="22"/>
      <w:szCs w:val="24"/>
      <w:lang w:eastAsia="de-DE"/>
    </w:rPr>
  </w:style>
  <w:style w:type="character" w:customStyle="1" w:styleId="FooterChar">
    <w:name w:val="Footer Char"/>
    <w:link w:val="Footer"/>
    <w:rPr>
      <w:rFonts w:ascii="Georgia" w:hAnsi="Georgia"/>
      <w:sz w:val="22"/>
      <w:szCs w:val="24"/>
      <w:lang w:eastAsia="de-DE"/>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link w:val="EndnoteText"/>
    <w:rPr>
      <w:rFonts w:ascii="Georgia" w:hAnsi="Georgia"/>
      <w:lang w:eastAsia="de-DE"/>
    </w:rPr>
  </w:style>
  <w:style w:type="paragraph" w:styleId="ListNumber">
    <w:name w:val="List Number"/>
    <w:basedOn w:val="Normal"/>
    <w:uiPriority w:val="99"/>
    <w:semiHidden/>
    <w:unhideWhenUsed/>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Pr>
      <w:rFonts w:ascii="Georgia" w:hAnsi="Georgia"/>
      <w:sz w:val="22"/>
      <w:szCs w:val="24"/>
      <w:lang w:eastAsia="de-DE"/>
    </w:rPr>
  </w:style>
  <w:style w:type="paragraph" w:customStyle="1" w:styleId="04anumbering0">
    <w:name w:val="04anumbering"/>
    <w:basedOn w:val="Normal"/>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Normal"/>
    <w:uiPriority w:val="49"/>
    <w:qFormat/>
    <w:pPr>
      <w:numPr>
        <w:numId w:val="11"/>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Paragraph"/>
    <w:link w:val="DPChar"/>
    <w:uiPriority w:val="29"/>
    <w:qFormat/>
    <w:pPr>
      <w:ind w:left="708"/>
      <w:contextualSpacing w:val="0"/>
      <w:jc w:val="both"/>
    </w:pPr>
    <w:rPr>
      <w:b/>
      <w:szCs w:val="20"/>
      <w:u w:val="single"/>
    </w:rPr>
  </w:style>
  <w:style w:type="paragraph" w:customStyle="1" w:styleId="Bullet">
    <w:name w:val="Bullet"/>
    <w:basedOn w:val="Normal"/>
    <w:uiPriority w:val="49"/>
    <w:qFormat/>
    <w:pPr>
      <w:numPr>
        <w:numId w:val="12"/>
      </w:numPr>
      <w:tabs>
        <w:tab w:val="left" w:pos="708"/>
      </w:tabs>
      <w:spacing w:before="120" w:after="120" w:line="276" w:lineRule="auto"/>
      <w:jc w:val="both"/>
    </w:pPr>
    <w:rPr>
      <w:szCs w:val="20"/>
      <w:lang w:eastAsia="en-GB"/>
    </w:rPr>
  </w:style>
  <w:style w:type="character" w:styleId="EndnoteReference">
    <w:name w:val="endnote reference"/>
    <w:uiPriority w:val="99"/>
    <w:semiHidden/>
    <w:unhideWhenUsed/>
    <w:rPr>
      <w:vertAlign w:val="superscript"/>
    </w:rPr>
  </w:style>
  <w:style w:type="character" w:styleId="PlaceholderText">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TableNormal"/>
    <w:uiPriority w:val="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LineNumber">
    <w:name w:val="line number"/>
    <w:basedOn w:val="DefaultParagraphFont"/>
    <w:uiPriority w:val="99"/>
    <w:semiHidden/>
    <w:unhideWhenUsed/>
  </w:style>
  <w:style w:type="paragraph" w:customStyle="1" w:styleId="aStyle">
    <w:name w:val="a) Style"/>
    <w:basedOn w:val="Normal"/>
    <w:uiPriority w:val="49"/>
    <w:qFormat/>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Caption"/>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Normal"/>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Heading5Char14">
    <w:name w:val="Heading 5 Char14"/>
    <w:aliases w:val="Questions Char7"/>
    <w:link w:val="Heading5"/>
    <w:rPr>
      <w:rFonts w:ascii="Georgia" w:hAnsi="Georgia"/>
      <w:b/>
      <w:szCs w:val="24"/>
      <w:lang w:eastAsia="de-DE"/>
    </w:rPr>
  </w:style>
  <w:style w:type="character" w:customStyle="1" w:styleId="Heading3Char2">
    <w:name w:val="Heading 3 Char2"/>
    <w:link w:val="Heading3"/>
    <w:rPr>
      <w:rFonts w:ascii="Cambria" w:eastAsia="Times New Roman" w:hAnsi="Cambria" w:cs="Times New Roman"/>
      <w:b/>
      <w:bCs/>
      <w:color w:val="4F81BD"/>
      <w:sz w:val="22"/>
      <w:szCs w:val="24"/>
      <w:lang w:eastAsia="de-DE"/>
    </w:rPr>
  </w:style>
  <w:style w:type="character" w:customStyle="1" w:styleId="Heading4Char1">
    <w:name w:val="Heading 4 Char1"/>
    <w:link w:val="Heading4"/>
    <w:rPr>
      <w:b/>
      <w:bCs/>
      <w:sz w:val="28"/>
      <w:szCs w:val="28"/>
      <w:lang w:eastAsia="de-DE"/>
    </w:rPr>
  </w:style>
  <w:style w:type="table" w:styleId="LightList-Accent3">
    <w:name w:val="Light List Accent 3"/>
    <w:basedOn w:val="TableNormal"/>
    <w:uiPriority w:val="99"/>
    <w:semiHidden/>
    <w:unhideWhenUsed/>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2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Normal"/>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Heading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Heading1"/>
    <w:next w:val="Normal"/>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49"/>
    <w:qFormat/>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Normal"/>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29"/>
    <w:qFormat/>
    <w:rPr>
      <w:szCs w:val="20"/>
    </w:rPr>
  </w:style>
  <w:style w:type="paragraph" w:customStyle="1" w:styleId="Sbuchead">
    <w:name w:val="Sbuchead"/>
    <w:basedOn w:val="Normal"/>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29"/>
    <w:qFormat/>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Normal"/>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29"/>
    <w:qFormat/>
    <w:pPr>
      <w:spacing w:before="120" w:after="120"/>
      <w:ind w:left="850"/>
      <w:jc w:val="both"/>
    </w:pPr>
    <w:rPr>
      <w:rFonts w:ascii="Times New Roman" w:hAnsi="Times New Roman"/>
      <w:sz w:val="24"/>
      <w:lang w:eastAsia="en-US"/>
    </w:rPr>
  </w:style>
  <w:style w:type="paragraph" w:customStyle="1" w:styleId="Text2">
    <w:name w:val="Text 2"/>
    <w:basedOn w:val="Normal"/>
    <w:uiPriority w:val="29"/>
    <w:qFormat/>
    <w:pPr>
      <w:spacing w:before="120" w:after="120"/>
      <w:ind w:left="1417"/>
      <w:jc w:val="both"/>
    </w:pPr>
    <w:rPr>
      <w:rFonts w:ascii="Times New Roman" w:hAnsi="Times New Roman"/>
      <w:sz w:val="24"/>
      <w:lang w:eastAsia="en-US"/>
    </w:rPr>
  </w:style>
  <w:style w:type="paragraph" w:customStyle="1" w:styleId="Text3">
    <w:name w:val="Text 3"/>
    <w:basedOn w:val="Normal"/>
    <w:uiPriority w:val="29"/>
    <w:qFormat/>
    <w:pPr>
      <w:spacing w:before="120" w:after="120"/>
      <w:ind w:left="1984"/>
      <w:jc w:val="both"/>
    </w:pPr>
    <w:rPr>
      <w:rFonts w:ascii="Times New Roman" w:hAnsi="Times New Roman"/>
      <w:sz w:val="24"/>
      <w:lang w:eastAsia="en-US"/>
    </w:rPr>
  </w:style>
  <w:style w:type="paragraph" w:customStyle="1" w:styleId="Text4">
    <w:name w:val="Text 4"/>
    <w:basedOn w:val="Normal"/>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29"/>
    <w:qFormat/>
    <w:pPr>
      <w:spacing w:before="120" w:after="120"/>
      <w:jc w:val="center"/>
    </w:pPr>
    <w:rPr>
      <w:rFonts w:ascii="Times New Roman" w:hAnsi="Times New Roman"/>
      <w:sz w:val="24"/>
      <w:lang w:eastAsia="en-US"/>
    </w:rPr>
  </w:style>
  <w:style w:type="paragraph" w:customStyle="1" w:styleId="NormalLeft">
    <w:name w:val="Normal Left"/>
    <w:basedOn w:val="Normal"/>
    <w:uiPriority w:val="29"/>
    <w:qFormat/>
    <w:pPr>
      <w:spacing w:before="120" w:after="120"/>
    </w:pPr>
    <w:rPr>
      <w:rFonts w:ascii="Times New Roman" w:hAnsi="Times New Roman"/>
      <w:sz w:val="24"/>
      <w:lang w:eastAsia="en-US"/>
    </w:rPr>
  </w:style>
  <w:style w:type="paragraph" w:customStyle="1" w:styleId="NormalRight">
    <w:name w:val="Normal Right"/>
    <w:basedOn w:val="Normal"/>
    <w:uiPriority w:val="29"/>
    <w:qFormat/>
    <w:pPr>
      <w:spacing w:before="120" w:after="120"/>
      <w:jc w:val="right"/>
    </w:pPr>
    <w:rPr>
      <w:rFonts w:ascii="Times New Roman" w:hAnsi="Times New Roman"/>
      <w:sz w:val="24"/>
      <w:lang w:eastAsia="en-US"/>
    </w:rPr>
  </w:style>
  <w:style w:type="paragraph" w:customStyle="1" w:styleId="QuotedText">
    <w:name w:val="Quoted Text"/>
    <w:basedOn w:val="Normal"/>
    <w:uiPriority w:val="29"/>
    <w:qFormat/>
    <w:pPr>
      <w:spacing w:before="120" w:after="120"/>
      <w:ind w:left="1417"/>
      <w:jc w:val="both"/>
    </w:pPr>
    <w:rPr>
      <w:rFonts w:ascii="Times New Roman" w:hAnsi="Times New Roman"/>
      <w:sz w:val="24"/>
      <w:lang w:eastAsia="en-US"/>
    </w:rPr>
  </w:style>
  <w:style w:type="paragraph" w:customStyle="1" w:styleId="Point0">
    <w:name w:val="Point 0"/>
    <w:basedOn w:val="Normal"/>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9"/>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20"/>
      </w:numPr>
    </w:pPr>
  </w:style>
  <w:style w:type="paragraph" w:customStyle="1" w:styleId="Tiret4">
    <w:name w:val="Tiret 4"/>
    <w:basedOn w:val="Point4"/>
    <w:uiPriority w:val="49"/>
    <w:qFormat/>
    <w:pPr>
      <w:numPr>
        <w:numId w:val="21"/>
      </w:numPr>
    </w:pPr>
  </w:style>
  <w:style w:type="paragraph" w:customStyle="1" w:styleId="PointDouble0">
    <w:name w:val="PointDouble 0"/>
    <w:basedOn w:val="Normal"/>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49"/>
    <w:qFormat/>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uiPriority w:val="49"/>
    <w:qFormat/>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uiPriority w:val="49"/>
    <w:qFormat/>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uiPriority w:val="49"/>
    <w:qFormat/>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Normal"/>
    <w:uiPriority w:val="49"/>
    <w:qFormat/>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uiPriority w:val="49"/>
    <w:qFormat/>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uiPriority w:val="49"/>
    <w:qFormat/>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uiPriority w:val="49"/>
    <w:qFormat/>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uiPriority w:val="49"/>
    <w:qFormat/>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uiPriority w:val="49"/>
    <w:qFormat/>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uiPriority w:val="49"/>
    <w:qFormat/>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uiPriority w:val="49"/>
    <w:qFormat/>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uiPriority w:val="49"/>
    <w:qFormat/>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uiPriority w:val="49"/>
    <w:qFormat/>
    <w:pPr>
      <w:numPr>
        <w:numId w:val="23"/>
      </w:numPr>
      <w:spacing w:before="120" w:after="120"/>
      <w:jc w:val="both"/>
    </w:pPr>
    <w:rPr>
      <w:rFonts w:ascii="Times New Roman" w:hAnsi="Times New Roman"/>
      <w:sz w:val="24"/>
      <w:lang w:eastAsia="en-US"/>
    </w:rPr>
  </w:style>
  <w:style w:type="paragraph" w:customStyle="1" w:styleId="Bullet1">
    <w:name w:val="Bullet 1"/>
    <w:basedOn w:val="Normal"/>
    <w:uiPriority w:val="49"/>
    <w:qFormat/>
    <w:pPr>
      <w:numPr>
        <w:numId w:val="24"/>
      </w:numPr>
      <w:spacing w:before="120" w:after="120"/>
      <w:jc w:val="both"/>
    </w:pPr>
    <w:rPr>
      <w:rFonts w:ascii="Times New Roman" w:hAnsi="Times New Roman"/>
      <w:sz w:val="24"/>
      <w:lang w:eastAsia="en-US"/>
    </w:rPr>
  </w:style>
  <w:style w:type="paragraph" w:customStyle="1" w:styleId="Bullet2">
    <w:name w:val="Bullet 2"/>
    <w:basedOn w:val="Normal"/>
    <w:uiPriority w:val="49"/>
    <w:qFormat/>
    <w:pPr>
      <w:numPr>
        <w:numId w:val="25"/>
      </w:numPr>
      <w:spacing w:before="120" w:after="120"/>
      <w:jc w:val="both"/>
    </w:pPr>
    <w:rPr>
      <w:rFonts w:ascii="Times New Roman" w:hAnsi="Times New Roman"/>
      <w:sz w:val="24"/>
      <w:lang w:eastAsia="en-US"/>
    </w:rPr>
  </w:style>
  <w:style w:type="paragraph" w:customStyle="1" w:styleId="Bullet3">
    <w:name w:val="Bullet 3"/>
    <w:basedOn w:val="Normal"/>
    <w:uiPriority w:val="49"/>
    <w:qFormat/>
    <w:pPr>
      <w:numPr>
        <w:numId w:val="26"/>
      </w:numPr>
      <w:spacing w:before="120" w:after="120"/>
      <w:jc w:val="both"/>
    </w:pPr>
    <w:rPr>
      <w:rFonts w:ascii="Times New Roman" w:hAnsi="Times New Roman"/>
      <w:sz w:val="24"/>
      <w:lang w:eastAsia="en-US"/>
    </w:rPr>
  </w:style>
  <w:style w:type="paragraph" w:customStyle="1" w:styleId="Bullet4">
    <w:name w:val="Bullet 4"/>
    <w:basedOn w:val="Normal"/>
    <w:uiPriority w:val="49"/>
    <w:qFormat/>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29"/>
    <w:qFormat/>
    <w:pPr>
      <w:spacing w:after="240"/>
    </w:pPr>
    <w:rPr>
      <w:rFonts w:ascii="Times New Roman" w:hAnsi="Times New Roman"/>
      <w:sz w:val="24"/>
      <w:lang w:eastAsia="en-US"/>
    </w:rPr>
  </w:style>
  <w:style w:type="paragraph" w:customStyle="1" w:styleId="Datedadoption">
    <w:name w:val="Date d'adoption"/>
    <w:basedOn w:val="Normal"/>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29"/>
    <w:qFormat/>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29"/>
    <w:qFormat/>
    <w:rPr>
      <w:rFonts w:ascii="Arial" w:hAnsi="Arial" w:cs="Arial"/>
      <w:sz w:val="24"/>
      <w:lang w:eastAsia="en-US"/>
    </w:rPr>
  </w:style>
  <w:style w:type="paragraph" w:customStyle="1" w:styleId="Rfrenceinstitutionnelle">
    <w:name w:val="Référence institutionnelle"/>
    <w:basedOn w:val="Normal"/>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29"/>
    <w:qFormat/>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Normal"/>
    <w:uiPriority w:val="29"/>
    <w:qFormat/>
    <w:pPr>
      <w:jc w:val="center"/>
    </w:pPr>
    <w:rPr>
      <w:rFonts w:ascii="Times New Roman" w:hAnsi="Times New Roman"/>
      <w:b/>
      <w:sz w:val="24"/>
      <w:lang w:eastAsia="en-US"/>
    </w:rPr>
  </w:style>
  <w:style w:type="paragraph" w:customStyle="1" w:styleId="Statut">
    <w:name w:val="Statut"/>
    <w:basedOn w:val="Normal"/>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Normal"/>
    <w:next w:val="Normal"/>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29"/>
    <w:qFormat/>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29"/>
    <w:qFormat/>
    <w:pPr>
      <w:spacing w:before="360"/>
      <w:jc w:val="center"/>
    </w:pPr>
    <w:rPr>
      <w:rFonts w:ascii="Times New Roman" w:hAnsi="Times New Roman"/>
      <w:sz w:val="24"/>
      <w:lang w:eastAsia="en-US"/>
    </w:rPr>
  </w:style>
  <w:style w:type="paragraph" w:customStyle="1" w:styleId="Rfrencecroise">
    <w:name w:val="Référence croisée"/>
    <w:basedOn w:val="Normal"/>
    <w:uiPriority w:val="29"/>
    <w:qFormat/>
    <w:pPr>
      <w:jc w:val="center"/>
    </w:pPr>
    <w:rPr>
      <w:rFonts w:ascii="Times New Roman" w:hAnsi="Times New Roman"/>
      <w:sz w:val="24"/>
      <w:lang w:eastAsia="en-US"/>
    </w:rPr>
  </w:style>
  <w:style w:type="paragraph" w:customStyle="1" w:styleId="Fichefinanciretitre">
    <w:name w:val="Fiche financière titre"/>
    <w:basedOn w:val="Normal"/>
    <w:next w:val="Normal"/>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Normal"/>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29"/>
    <w:qFormat/>
    <w:pPr>
      <w:spacing w:after="240"/>
    </w:pPr>
  </w:style>
  <w:style w:type="paragraph" w:customStyle="1" w:styleId="Accompagnant">
    <w:name w:val="Accompagnant"/>
    <w:basedOn w:val="Normal"/>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Normal"/>
    <w:next w:val="Normal"/>
    <w:uiPriority w:val="29"/>
    <w:qFormat/>
    <w:pPr>
      <w:spacing w:before="360"/>
      <w:jc w:val="center"/>
    </w:pPr>
    <w:rPr>
      <w:rFonts w:ascii="Times New Roman" w:hAnsi="Times New Roman"/>
      <w:sz w:val="24"/>
      <w:lang w:eastAsia="en-US"/>
    </w:rPr>
  </w:style>
  <w:style w:type="paragraph" w:styleId="ListNumber2">
    <w:name w:val="List Number 2"/>
    <w:basedOn w:val="Normal"/>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semiHidden/>
    <w:unhideWhenUsed/>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semiHidden/>
    <w:unhideWhenUsed/>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semiHidden/>
    <w:unhideWhenUsed/>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Normal"/>
    <w:uiPriority w:val="29"/>
    <w:qFormat/>
    <w:pPr>
      <w:ind w:left="720"/>
      <w:contextualSpacing/>
    </w:pPr>
    <w:rPr>
      <w:rFonts w:ascii="Cambria" w:hAnsi="Cambria"/>
      <w:sz w:val="24"/>
      <w:lang w:val="en-US" w:eastAsia="en-US"/>
    </w:rPr>
  </w:style>
  <w:style w:type="paragraph" w:customStyle="1" w:styleId="Listeavsnitt1">
    <w:name w:val="Listeavsnitt1"/>
    <w:basedOn w:val="Normal"/>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8"/>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Normal"/>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29"/>
    <w:qFormat/>
    <w:pPr>
      <w:ind w:left="720"/>
      <w:contextualSpacing/>
    </w:pPr>
    <w:rPr>
      <w:rFonts w:ascii="Cambria" w:hAnsi="Cambria"/>
      <w:sz w:val="24"/>
      <w:lang w:val="en-US" w:eastAsia="en-US"/>
    </w:rPr>
  </w:style>
  <w:style w:type="paragraph" w:customStyle="1" w:styleId="ListParagraph2">
    <w:name w:val="List Paragraph2"/>
    <w:basedOn w:val="Normal"/>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Normal"/>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Normal"/>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29"/>
    <w:qFormat/>
    <w:pPr>
      <w:ind w:left="720"/>
      <w:contextualSpacing/>
    </w:pPr>
    <w:rPr>
      <w:rFonts w:ascii="Times New Roman" w:hAnsi="Times New Roman"/>
      <w:sz w:val="24"/>
      <w:lang w:eastAsia="en-GB"/>
    </w:rPr>
  </w:style>
  <w:style w:type="paragraph" w:customStyle="1" w:styleId="Listenabsatz4">
    <w:name w:val="Listenabsatz4"/>
    <w:basedOn w:val="Normal"/>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Normal"/>
    <w:link w:val="aStyle1Char"/>
    <w:uiPriority w:val="49"/>
    <w:qFormat/>
    <w:pPr>
      <w:numPr>
        <w:numId w:val="30"/>
      </w:numPr>
      <w:suppressAutoHyphens/>
      <w:spacing w:after="250" w:line="276" w:lineRule="auto"/>
      <w:jc w:val="both"/>
    </w:pPr>
    <w:rPr>
      <w:szCs w:val="20"/>
      <w:lang w:val="x-none" w:eastAsia="x-none"/>
    </w:rPr>
  </w:style>
  <w:style w:type="character" w:customStyle="1" w:styleId="aStyle1Char">
    <w:name w:val="a. Style1 Char"/>
    <w:link w:val="aStyle1"/>
    <w:rPr>
      <w:rFonts w:ascii="Georgia" w:hAnsi="Georgia"/>
      <w:lang w:val="x-none" w:eastAsia="x-none"/>
    </w:rPr>
  </w:style>
  <w:style w:type="paragraph" w:styleId="Title">
    <w:name w:val="Title"/>
    <w:basedOn w:val="Normal"/>
    <w:next w:val="Normal"/>
    <w:link w:val="Title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Pr>
      <w:rFonts w:ascii="Cambria" w:hAnsi="Cambria"/>
      <w:b/>
      <w:kern w:val="28"/>
      <w:sz w:val="32"/>
      <w:lang w:val="fr-FR" w:eastAsia="fr-FR"/>
    </w:rPr>
  </w:style>
  <w:style w:type="paragraph" w:customStyle="1" w:styleId="32LadilloosubtitulonotadeprensaCNMV">
    <w:name w:val="3.2. Ladillo o subtitulo nota de prensa CNMV"/>
    <w:basedOn w:val="Normal"/>
    <w:uiPriority w:val="29"/>
    <w:qFormat/>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Pr>
      <w:rFonts w:ascii="Georgia" w:hAnsi="Georgia"/>
      <w:sz w:val="22"/>
      <w:szCs w:val="24"/>
      <w:lang w:eastAsia="de-DE"/>
    </w:rPr>
  </w:style>
  <w:style w:type="table" w:customStyle="1" w:styleId="TableGrid2">
    <w:name w:val="Table Grid2"/>
    <w:basedOn w:val="TableNormal"/>
    <w:next w:val="TableGrid"/>
    <w:uiPriority w:val="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99"/>
    <w:semiHidden/>
    <w:unhideWhenUsed/>
    <w:rPr>
      <w:b/>
      <w:i w:val="0"/>
      <w:iCs/>
      <w:sz w:val="20"/>
    </w:rPr>
  </w:style>
  <w:style w:type="paragraph" w:customStyle="1" w:styleId="NEW-Paragraph-Level1">
    <w:name w:val="NEW-Paragraph-Level1"/>
    <w:basedOn w:val="Normal"/>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uiPriority w:val="49"/>
    <w:qFormat/>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Georgia" w:hAnsi="Georgia"/>
      <w:lang w:eastAsia="de-DE"/>
    </w:rPr>
  </w:style>
  <w:style w:type="character" w:customStyle="1" w:styleId="NEW-Paragraph-level3Char">
    <w:name w:val="NEW-Paragraph-level3 Char"/>
    <w:link w:val="NEW-Paragraph-level3"/>
    <w:rPr>
      <w:rFonts w:ascii="Georgia" w:hAnsi="Georgia"/>
      <w:lang w:eastAsia="de-DE"/>
    </w:rPr>
  </w:style>
  <w:style w:type="paragraph" w:customStyle="1" w:styleId="NEW-Level0">
    <w:name w:val="NEW-Level0"/>
    <w:basedOn w:val="Normal"/>
    <w:uiPriority w:val="49"/>
    <w:qFormat/>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uiPriority w:val="49"/>
    <w:qFormat/>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Georgia" w:hAnsi="Georgia" w:cs="Arial"/>
      <w:b/>
      <w:bCs/>
      <w:kern w:val="32"/>
      <w:sz w:val="28"/>
      <w:szCs w:val="28"/>
      <w:lang w:eastAsia="de-DE"/>
    </w:rPr>
  </w:style>
  <w:style w:type="character" w:customStyle="1" w:styleId="aNEW-Level1Char">
    <w:name w:val="aNEW-Level1 Char"/>
    <w:link w:val="aNEW-Level1"/>
    <w:rPr>
      <w:rFonts w:ascii="Georgia" w:hAnsi="Georgia"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Normal"/>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Normal"/>
    <w:link w:val="aNEW-QuestionsChar"/>
    <w:uiPriority w:val="49"/>
    <w:qFormat/>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Georgia" w:eastAsia="Calibri" w:hAnsi="Georgia"/>
      <w:b/>
      <w:bCs/>
      <w:kern w:val="28"/>
      <w:szCs w:val="32"/>
      <w:lang w:eastAsia="en-US"/>
    </w:rPr>
  </w:style>
  <w:style w:type="character" w:customStyle="1" w:styleId="aNEW-ParagraphChar">
    <w:name w:val="aNEW-Paragraph Char"/>
    <w:link w:val="aNEW-Paragraph"/>
    <w:rPr>
      <w:rFonts w:ascii="Georgia" w:eastAsia="Calibri" w:hAnsi="Georgia"/>
      <w:lang w:eastAsia="de-DE"/>
    </w:rPr>
  </w:style>
  <w:style w:type="paragraph" w:customStyle="1" w:styleId="aNew-Level33">
    <w:name w:val="aNew-Level33"/>
    <w:basedOn w:val="Normal"/>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Georgia" w:hAnsi="Georgia"/>
      <w:lang w:eastAsia="de-DE"/>
    </w:rPr>
  </w:style>
  <w:style w:type="character" w:customStyle="1" w:styleId="aNEW-Paragraph-level3Char">
    <w:name w:val="aNEW-Paragraph-level3 Char"/>
    <w:link w:val="aNEW-Paragraph-level3"/>
    <w:rPr>
      <w:rFonts w:ascii="Georgia" w:hAnsi="Georgia"/>
      <w:lang w:eastAsia="de-DE"/>
    </w:rPr>
  </w:style>
  <w:style w:type="paragraph" w:customStyle="1" w:styleId="aNew-Level5">
    <w:name w:val="aNew-Level5"/>
    <w:basedOn w:val="Normal"/>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BodyText0">
    <w:name w:val="#BodyText"/>
    <w:basedOn w:val="Normal"/>
    <w:qFormat/>
    <w:pPr>
      <w:spacing w:after="240"/>
      <w:jc w:val="both"/>
    </w:pPr>
    <w:rPr>
      <w:rFonts w:ascii="Arial" w:hAnsi="Arial"/>
      <w:szCs w:val="20"/>
      <w:lang w:eastAsia="en-CA"/>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rPr>
      <w:rFonts w:ascii="Georgia" w:hAnsi="Georgia"/>
      <w:szCs w:val="24"/>
      <w:lang w:eastAsia="de-D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rPr>
      <w:rFonts w:ascii="Georgia" w:hAnsi="Georgia"/>
      <w:sz w:val="16"/>
      <w:szCs w:val="16"/>
      <w:lang w:eastAsia="de-DE"/>
    </w:rPr>
  </w:style>
  <w:style w:type="paragraph" w:styleId="BodyTextFirstIndent">
    <w:name w:val="Body Text First Indent"/>
    <w:basedOn w:val="BodyText"/>
    <w:link w:val="BodyTextFirstIndentChar"/>
    <w:uiPriority w:val="99"/>
    <w:semiHidden/>
    <w:unhideWhenUsed/>
    <w:pPr>
      <w:numPr>
        <w:numId w:val="0"/>
      </w:numPr>
      <w:spacing w:after="0"/>
      <w:ind w:firstLine="360"/>
      <w:jc w:val="left"/>
    </w:pPr>
    <w:rPr>
      <w:rFonts w:ascii="Georgia" w:hAnsi="Georgia"/>
      <w:sz w:val="20"/>
      <w:szCs w:val="24"/>
      <w:lang w:eastAsia="de-DE"/>
    </w:rPr>
  </w:style>
  <w:style w:type="character" w:customStyle="1" w:styleId="BodyTextFirstIndentChar">
    <w:name w:val="Body Text First Indent Char"/>
    <w:basedOn w:val="BodyTextChar"/>
    <w:link w:val="BodyTextFirstIndent"/>
    <w:rPr>
      <w:rFonts w:ascii="Georgia" w:hAnsi="Georgia"/>
      <w:sz w:val="24"/>
      <w:szCs w:val="24"/>
      <w:lang w:eastAsia="de-DE"/>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rPr>
      <w:rFonts w:ascii="Georgia" w:hAnsi="Georgia"/>
      <w:szCs w:val="24"/>
      <w:lang w:eastAsia="de-DE"/>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rPr>
      <w:rFonts w:ascii="Georgia" w:hAnsi="Georgia"/>
      <w:szCs w:val="24"/>
      <w:lang w:eastAsia="de-D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rPr>
      <w:rFonts w:ascii="Georgia" w:hAnsi="Georgia"/>
      <w:szCs w:val="24"/>
      <w:lang w:eastAsia="de-DE"/>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rPr>
      <w:rFonts w:ascii="Georgia" w:hAnsi="Georgia"/>
      <w:sz w:val="16"/>
      <w:szCs w:val="16"/>
      <w:lang w:eastAsia="de-DE"/>
    </w:rPr>
  </w:style>
  <w:style w:type="character" w:styleId="BookTitle">
    <w:name w:val="Book Title"/>
    <w:basedOn w:val="DefaultParagraphFont"/>
    <w:uiPriority w:val="99"/>
    <w:semiHidden/>
    <w:unhideWhenUsed/>
    <w:rPr>
      <w:b/>
      <w:bCs/>
      <w:smallCaps/>
      <w:spacing w:val="5"/>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rPr>
      <w:rFonts w:ascii="Georgia" w:hAnsi="Georgia"/>
      <w:szCs w:val="24"/>
      <w:lang w:eastAsia="de-DE"/>
    </w:rPr>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Georgia" w:hAnsi="Georgia"/>
      <w:szCs w:val="24"/>
      <w:lang w:eastAsia="de-DE"/>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rPr>
      <w:rFonts w:ascii="Georgia" w:hAnsi="Georgia"/>
      <w:szCs w:val="24"/>
      <w:lang w:eastAsia="de-DE"/>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rPr>
      <w:rFonts w:ascii="Georgia" w:hAnsi="Georgia"/>
      <w:i/>
      <w:iCs/>
      <w:szCs w:val="24"/>
      <w:lang w:eastAsia="de-DE"/>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Cs w:val="20"/>
    </w:rPr>
  </w:style>
  <w:style w:type="character" w:customStyle="1" w:styleId="HTMLPreformattedChar">
    <w:name w:val="HTML Preformatted Char"/>
    <w:basedOn w:val="DefaultParagraphFont"/>
    <w:link w:val="HTMLPreformatted"/>
    <w:rPr>
      <w:rFonts w:ascii="Consolas" w:hAnsi="Consolas" w:cs="Consolas"/>
      <w:lang w:eastAsia="de-DE"/>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Georgia" w:hAnsi="Georgia"/>
      <w:b/>
      <w:bCs/>
      <w:i/>
      <w:iCs/>
      <w:color w:val="4F81BD" w:themeColor="accent1"/>
      <w:szCs w:val="24"/>
      <w:lang w:eastAsia="de-DE"/>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5">
    <w:name w:val="List Bullet 5"/>
    <w:basedOn w:val="Normal"/>
    <w:uiPriority w:val="99"/>
    <w:semiHidden/>
    <w:unhideWhenUsed/>
    <w:pPr>
      <w:numPr>
        <w:numId w:val="42"/>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5">
    <w:name w:val="List Number 5"/>
    <w:basedOn w:val="Normal"/>
    <w:uiPriority w:val="99"/>
    <w:semiHidden/>
    <w:unhideWhenUsed/>
    <w:pPr>
      <w:numPr>
        <w:numId w:val="43"/>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xtChar">
    <w:name w:val="Macro Text Char"/>
    <w:basedOn w:val="DefaultParagraphFont"/>
    <w:link w:val="MacroText"/>
    <w:rPr>
      <w:rFonts w:ascii="Consolas" w:hAnsi="Consolas" w:cs="Consolas"/>
      <w:lang w:eastAsia="de-DE"/>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de-DE"/>
    </w:rPr>
  </w:style>
  <w:style w:type="paragraph" w:styleId="NoSpacing">
    <w:name w:val="No Spacing"/>
    <w:uiPriority w:val="99"/>
    <w:semiHidden/>
    <w:unhideWhenUsed/>
    <w:rPr>
      <w:rFonts w:ascii="Georgia" w:hAnsi="Georgia"/>
      <w:szCs w:val="24"/>
      <w:lang w:eastAsia="de-DE"/>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rPr>
      <w:rFonts w:ascii="Georgia" w:hAnsi="Georgia"/>
      <w:szCs w:val="24"/>
      <w:lang w:eastAsia="de-DE"/>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Georgia" w:hAnsi="Georgia"/>
      <w:i/>
      <w:iCs/>
      <w:color w:val="000000" w:themeColor="text1"/>
      <w:szCs w:val="24"/>
      <w:lang w:eastAsia="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Georgia" w:hAnsi="Georgia"/>
      <w:szCs w:val="24"/>
      <w:lang w:eastAsia="de-DE"/>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rPr>
      <w:rFonts w:ascii="Georgia" w:hAnsi="Georgia"/>
      <w:szCs w:val="24"/>
      <w:lang w:eastAsia="de-DE"/>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de-DE"/>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cer.europa.eu/remit/Documents/REMIT%20ACER%20Guidance%203rd%20Edition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pPr>
            <w:pStyle w:val="68DD8F5316B24ACAA721B8AF83F84918"/>
          </w:pPr>
          <w:r>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pPr>
            <w:pStyle w:val="D5B685D445D340288F8171B5CFF17E35"/>
          </w:pPr>
          <w:r>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pPr>
            <w:pStyle w:val="D46234344A7E46CEB6A77AE06BE1049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009C-ECE1-423C-A1F7-29C2EA7BD3E6}">
  <ds:schemaRefs>
    <ds:schemaRef ds:uri="http://schemas.openxmlformats.org/officeDocument/2006/bibliography"/>
  </ds:schemaRefs>
</ds:datastoreItem>
</file>

<file path=customXml/itemProps2.xml><?xml version="1.0" encoding="utf-8"?>
<ds:datastoreItem xmlns:ds="http://schemas.openxmlformats.org/officeDocument/2006/customXml" ds:itemID="{F7568B3E-C15B-4619-B540-0312AFF7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2549</Words>
  <Characters>15351</Characters>
  <Application>Microsoft Office Word</Application>
  <DocSecurity>8</DocSecurity>
  <Lines>274</Lines>
  <Paragraphs>142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17758</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Wolters, Lara</cp:lastModifiedBy>
  <cp:revision>2</cp:revision>
  <cp:lastPrinted>2014-05-08T15:06:00Z</cp:lastPrinted>
  <dcterms:created xsi:type="dcterms:W3CDTF">2014-10-15T15:09:00Z</dcterms:created>
  <dcterms:modified xsi:type="dcterms:W3CDTF">2014-10-15T15:09:00Z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ies>
</file>