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t>General information about respondent</w:t>
      </w:r>
    </w:p>
    <w:tbl>
      <w:tblPr>
        <w:tblStyle w:val="TableGrid"/>
        <w:tblW w:w="0" w:type="auto"/>
        <w:tblLook w:val="04A0" w:firstRow="1" w:lastRow="0" w:firstColumn="1" w:lastColumn="0" w:noHBand="0" w:noVBand="1"/>
      </w:tblPr>
      <w:tblGrid>
        <w:gridCol w:w="3510"/>
        <w:gridCol w:w="6118"/>
      </w:tblGrid>
      <w:tr w:rsidR="00E8774A" w:rsidTr="00F772D1">
        <w:tc>
          <w:tcPr>
            <w:tcW w:w="3510" w:type="dxa"/>
          </w:tcPr>
          <w:p w:rsidR="00E8774A" w:rsidRDefault="00E8774A" w:rsidP="00F772D1">
            <w:r>
              <w:t>Are you representing an association?</w:t>
            </w:r>
          </w:p>
        </w:tc>
        <w:tc>
          <w:tcPr>
            <w:tcW w:w="6118" w:type="dxa"/>
          </w:tcPr>
          <w:p w:rsidR="00E8774A" w:rsidRDefault="001545EE" w:rsidP="00F772D1">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204110746" w:edGrp="everyone"/>
                <w:r w:rsidR="00F772D1">
                  <w:t>Yes</w:t>
                </w:r>
                <w:permEnd w:id="204110746"/>
              </w:sdtContent>
            </w:sdt>
          </w:p>
        </w:tc>
      </w:tr>
      <w:tr w:rsidR="00E8774A" w:rsidTr="00F772D1">
        <w:tc>
          <w:tcPr>
            <w:tcW w:w="3510" w:type="dxa"/>
          </w:tcPr>
          <w:p w:rsidR="00E8774A" w:rsidRDefault="00E8774A" w:rsidP="00F772D1">
            <w:r>
              <w:t>Activity:</w:t>
            </w:r>
          </w:p>
        </w:tc>
        <w:tc>
          <w:tcPr>
            <w:tcW w:w="6118" w:type="dxa"/>
          </w:tcPr>
          <w:p w:rsidR="00E8774A" w:rsidRDefault="001545EE" w:rsidP="00F772D1">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066099139" w:edGrp="everyone"/>
                <w:r w:rsidR="00F772D1">
                  <w:t>Banking sector</w:t>
                </w:r>
                <w:permEnd w:id="1066099139"/>
              </w:sdtContent>
            </w:sdt>
          </w:p>
        </w:tc>
      </w:tr>
      <w:tr w:rsidR="00E8774A" w:rsidTr="00F772D1">
        <w:tc>
          <w:tcPr>
            <w:tcW w:w="3510" w:type="dxa"/>
          </w:tcPr>
          <w:p w:rsidR="00E8774A" w:rsidRDefault="00E8774A" w:rsidP="00F772D1">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098994674" w:edGrp="everyone" w:displacedByCustomXml="prev"/>
            <w:tc>
              <w:tcPr>
                <w:tcW w:w="6118" w:type="dxa"/>
              </w:tcPr>
              <w:p w:rsidR="00E8774A" w:rsidRDefault="00F772D1" w:rsidP="00F772D1">
                <w:r>
                  <w:t>Ireland</w:t>
                </w:r>
              </w:p>
            </w:tc>
            <w:permEnd w:id="2098994674"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C87E87" w:rsidP="00D74C9D">
      <w:permStart w:id="30421238" w:edGrp="everyone"/>
      <w:r w:rsidRPr="00950839">
        <w:rPr>
          <w:lang w:eastAsia="en-GB"/>
        </w:rPr>
        <w:t>Banking and Payments Federation Ireland (BPFI) is the voice of banking and payments in Ireland.  Repr</w:t>
      </w:r>
      <w:r w:rsidRPr="00950839">
        <w:rPr>
          <w:lang w:eastAsia="en-GB"/>
        </w:rPr>
        <w:t>e</w:t>
      </w:r>
      <w:r w:rsidRPr="00950839">
        <w:rPr>
          <w:lang w:eastAsia="en-GB"/>
        </w:rPr>
        <w:t>senting over 70 domestic and international members institutions, we mobilise the sector’s collective r</w:t>
      </w:r>
      <w:r w:rsidRPr="00950839">
        <w:rPr>
          <w:lang w:eastAsia="en-GB"/>
        </w:rPr>
        <w:t>e</w:t>
      </w:r>
      <w:r w:rsidRPr="00950839">
        <w:rPr>
          <w:lang w:eastAsia="en-GB"/>
        </w:rPr>
        <w:t>sources and insights to build competitive sustainable businesses which support customers, the econ</w:t>
      </w:r>
      <w:r>
        <w:rPr>
          <w:lang w:eastAsia="en-GB"/>
        </w:rPr>
        <w:t>omy and society</w:t>
      </w:r>
      <w:proofErr w:type="gramStart"/>
      <w:r w:rsidR="00850399">
        <w:rPr>
          <w:lang w:eastAsia="en-GB"/>
        </w:rPr>
        <w:t>.</w:t>
      </w:r>
      <w:permEnd w:id="30421238"/>
      <w:r w:rsidR="00D74C9D">
        <w:t>&lt;</w:t>
      </w:r>
      <w:proofErr w:type="gramEnd"/>
      <w:r w:rsidR="00D74C9D" w:rsidRPr="00D74C9D">
        <w:t xml:space="preserve"> </w:t>
      </w:r>
      <w:r w:rsidR="00D74C9D">
        <w:t>ESMA_COMMENT_MAR_TA_1&gt;</w:t>
      </w:r>
    </w:p>
    <w:p w:rsidR="00D74C9D" w:rsidRDefault="00D74C9D">
      <w:r>
        <w:br w:type="page"/>
      </w:r>
    </w:p>
    <w:p w:rsidR="00E9344E" w:rsidRDefault="00E9344E" w:rsidP="00E9344E">
      <w:pPr>
        <w:pStyle w:val="Heading1"/>
        <w:keepLines/>
        <w:numPr>
          <w:ilvl w:val="0"/>
          <w:numId w:val="37"/>
        </w:numPr>
        <w:spacing w:before="480" w:after="0"/>
      </w:pPr>
      <w:r>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BE4F89" w:rsidP="00E9344E">
      <w:permStart w:id="848641445" w:edGrp="everyone"/>
      <w:r>
        <w:t>Yes</w:t>
      </w:r>
    </w:p>
    <w:permEnd w:id="848641445"/>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748109351" w:edGrp="everyone"/>
      <w:r>
        <w:t>TYPE YOUR TEXT HERE</w:t>
      </w:r>
    </w:p>
    <w:permEnd w:id="748109351"/>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982538674" w:edGrp="everyone"/>
      <w:r>
        <w:t>TYPE YOUR TEXT HERE</w:t>
      </w:r>
    </w:p>
    <w:permEnd w:id="982538674"/>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1308586667" w:edGrp="everyone"/>
      <w:r>
        <w:t>TYPE YOUR TEXT HERE</w:t>
      </w:r>
    </w:p>
    <w:permEnd w:id="1308586667"/>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2062052545" w:edGrp="everyone"/>
      <w:r>
        <w:t>TYPE YOUR TEXT HERE</w:t>
      </w:r>
    </w:p>
    <w:permEnd w:id="2062052545"/>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389591582" w:edGrp="everyone"/>
      <w:r>
        <w:t>TYPE YOUR TEXT HERE</w:t>
      </w:r>
    </w:p>
    <w:permEnd w:id="1389591582"/>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F772D1" w:rsidRDefault="00F772D1" w:rsidP="00F772D1">
      <w:permStart w:id="834091502" w:edGrp="everyone"/>
      <w:r>
        <w:t xml:space="preserve">Agree with the proposals for determining the competent authority to </w:t>
      </w:r>
      <w:proofErr w:type="gramStart"/>
      <w:r>
        <w:t>whom</w:t>
      </w:r>
      <w:proofErr w:type="gramEnd"/>
      <w:r>
        <w:t xml:space="preserve"> issuers of financial instr</w:t>
      </w:r>
      <w:r>
        <w:t>u</w:t>
      </w:r>
      <w:r>
        <w:t>ments should notify delays in disclosure of inside information and the degree of certainty this will provide. The prioritisation of the Issuers registered office and equity securities is to be welcomed.</w:t>
      </w:r>
    </w:p>
    <w:p w:rsidR="00F772D1" w:rsidRDefault="00F772D1" w:rsidP="00F772D1"/>
    <w:p w:rsidR="00E9344E" w:rsidRDefault="00F772D1" w:rsidP="00E9344E">
      <w:r>
        <w:t>No comments in respect of emission allowances market participants</w:t>
      </w:r>
      <w:proofErr w:type="gramStart"/>
      <w:r>
        <w:t>.</w:t>
      </w:r>
      <w:permEnd w:id="834091502"/>
      <w:r w:rsidR="00E9344E">
        <w:t>&lt;</w:t>
      </w:r>
      <w:proofErr w:type="gramEnd"/>
      <w:r w:rsidR="00E9344E">
        <w: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438545306" w:edGrp="everyone"/>
      <w:r>
        <w:t>TYPE YOUR TEXT HERE</w:t>
      </w:r>
    </w:p>
    <w:permEnd w:id="1438545306"/>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F772D1" w:rsidRDefault="00F772D1" w:rsidP="00F772D1">
      <w:permStart w:id="1487874642" w:edGrp="everyone"/>
      <w:r>
        <w:t xml:space="preserve">As delays under Article 17(5) MAR will be time critical and advance consent on the competent authority is required there must be clarity on the relevant competent authority. If the approach in Art 17(5) is adopted then clear and unequivocal guidance must be provided for cases where </w:t>
      </w:r>
      <w:proofErr w:type="gramStart"/>
      <w:r>
        <w:t>issuers</w:t>
      </w:r>
      <w:proofErr w:type="gramEnd"/>
      <w:r>
        <w:t xml:space="preserve"> financial instruments were admitted to trading or traded simultaneously in different member states.</w:t>
      </w:r>
    </w:p>
    <w:p w:rsidR="00F772D1" w:rsidRDefault="00F772D1" w:rsidP="00F772D1"/>
    <w:p w:rsidR="00E9344E" w:rsidRDefault="00F772D1" w:rsidP="00E9344E">
      <w:r>
        <w:t>A separate mechanism may be required to ensure that the competent authority, with the power to consent to this delay, is the competent authority of the country where it is necessary to preserve the stability of the financial system. As this section relates only to issuers that are credit institutions or financial institutions it is suggested that the relevant competent authority should be linked to the country responsible for regul</w:t>
      </w:r>
      <w:r>
        <w:t>a</w:t>
      </w:r>
      <w:r>
        <w:t>tion of the credit institution</w:t>
      </w:r>
      <w:proofErr w:type="gramStart"/>
      <w:r>
        <w:t>.</w:t>
      </w:r>
      <w:permEnd w:id="1487874642"/>
      <w:r w:rsidR="00E9344E">
        <w:t>&lt;</w:t>
      </w:r>
      <w:proofErr w:type="gramEnd"/>
      <w:r w:rsidR="00E9344E">
        <w: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F772D1" w:rsidRDefault="00F772D1" w:rsidP="00F772D1">
      <w:permStart w:id="1790405731" w:edGrp="everyone"/>
      <w:r>
        <w:t>This list is quite comprehensive and it strikes us that connected persons may find elements of it very technical. With regard to the types transactions listed we would comment specifically in relation to;</w:t>
      </w:r>
    </w:p>
    <w:p w:rsidR="00F772D1" w:rsidRDefault="00F772D1" w:rsidP="00F772D1">
      <w:r>
        <w:t xml:space="preserve">"m) </w:t>
      </w:r>
      <w:proofErr w:type="gramStart"/>
      <w:r>
        <w:t>gift</w:t>
      </w:r>
      <w:proofErr w:type="gramEnd"/>
      <w:r>
        <w:t xml:space="preserve"> and donation made or received as well as inheritance" - this is a very broad statement and requires definition in terms of the party to whom or from a gift/inheritance is made/received and the nature of the gift/inheritance which would give rise to a disclosure requirement;</w:t>
      </w:r>
    </w:p>
    <w:p w:rsidR="00F772D1" w:rsidRDefault="00F772D1" w:rsidP="00F772D1">
      <w:r>
        <w:t>"</w:t>
      </w:r>
      <w:proofErr w:type="gramStart"/>
      <w:r>
        <w:t>n</w:t>
      </w:r>
      <w:proofErr w:type="gramEnd"/>
      <w:r>
        <w:t xml:space="preserve">) transactions executed by a third party under a (fully) discretionary portfolio or asset management mandate" - the requirement to disclose seems directly in conflict with a situation where a third party has been delegated full transaction discretion.     </w:t>
      </w:r>
    </w:p>
    <w:p w:rsidR="00E9344E" w:rsidRDefault="00F772D1" w:rsidP="00E9344E">
      <w:r>
        <w:t xml:space="preserve">In addition, we query the inclusion of (g) exercise of rights and (l) automatic conversions as transaction types that require notification. Exercise of rights simply maintains a proportionate shareholding and automatic conversion is a passive action by a shareholder. </w:t>
      </w:r>
      <w:permEnd w:id="1790405731"/>
      <w:r w:rsidR="00E9344E">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F772D1" w:rsidP="00E9344E">
      <w:permStart w:id="1354576030" w:edGrp="everyone"/>
      <w:r>
        <w:t>Use of a weighting approach seems proportionate. It appears that the only option considered apart from the 20</w:t>
      </w:r>
      <w:proofErr w:type="gramStart"/>
      <w:r>
        <w:t>%  weighting</w:t>
      </w:r>
      <w:proofErr w:type="gramEnd"/>
      <w:r>
        <w:t xml:space="preserve"> suggested was to not use any weighting at all and, on that basis, it is definitely prefer</w:t>
      </w:r>
      <w:r>
        <w:t>a</w:t>
      </w:r>
      <w:r>
        <w:t>ble however, having decided to use a weighting the actual level this should be set at is open to debate - 20% looks like the lower end of the spectrum - could it be 30%, 40%?</w:t>
      </w:r>
      <w:permEnd w:id="1354576030"/>
      <w:r w:rsidR="00E9344E">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F772D1" w:rsidP="00E9344E">
      <w:permStart w:id="947268648" w:edGrp="everyone"/>
      <w:r w:rsidRPr="00F772D1">
        <w:t xml:space="preserve">Overall </w:t>
      </w:r>
      <w:r>
        <w:t>we</w:t>
      </w:r>
      <w:r w:rsidRPr="00F772D1">
        <w:t xml:space="preserve"> support the approach to circumstances under which trading during a closed period may be permitted. Paragraph 109 implies that only the publication of the full annual report would end a closed period and not a preliminary announcement of annual results. This is not consistent with the UK Model Code which relates to the 60 days immediately preceding a preliminary announcement of listed company annual results. It is suggested that as the preliminary announcement enables the market to assess if the company’s annual results have met, exceeded or fallen short of expectations and that they convey the essential thrust of the full financial statement this is the appropriate end to a closed per</w:t>
      </w:r>
      <w:r w:rsidRPr="00F772D1">
        <w:t>i</w:t>
      </w:r>
      <w:r>
        <w:t>o</w:t>
      </w:r>
      <w:r w:rsidRPr="00F772D1">
        <w:t>d</w:t>
      </w:r>
      <w:proofErr w:type="gramStart"/>
      <w:r w:rsidRPr="00F772D1">
        <w:t>.</w:t>
      </w:r>
      <w:permEnd w:id="947268648"/>
      <w:r w:rsidR="00E9344E">
        <w:t>&lt;</w:t>
      </w:r>
      <w:proofErr w:type="gramEnd"/>
      <w:r w:rsidR="00E9344E">
        <w: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F772D1" w:rsidP="00E9344E">
      <w:permStart w:id="489241887" w:edGrp="everyone"/>
      <w:r>
        <w:t>Applying a closed period prohibition to discretionary portfolio management may be difficult to enforce and raises the question of responsibility for any breaches (i.e. is the issuer's manager liable for errors by the discretionary portfolio manager). In addition, if this is to be a requirement, the timelines for disclosure look very tight given the extra party involved</w:t>
      </w:r>
      <w:proofErr w:type="gramStart"/>
      <w:r>
        <w:t>.</w:t>
      </w:r>
      <w:permEnd w:id="489241887"/>
      <w:r w:rsidR="00E9344E">
        <w:t>&lt;</w:t>
      </w:r>
      <w:proofErr w:type="gramEnd"/>
      <w:r w:rsidR="00E9344E">
        <w: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F772D1" w:rsidP="00E9344E">
      <w:permStart w:id="1011641686" w:edGrp="everyone"/>
      <w:r w:rsidRPr="00F772D1">
        <w:t>Yes - nothing to add to the list provided</w:t>
      </w:r>
      <w:proofErr w:type="gramStart"/>
      <w:r w:rsidRPr="00F772D1">
        <w:t>.</w:t>
      </w:r>
      <w:permEnd w:id="1011641686"/>
      <w:r w:rsidR="00E9344E">
        <w:t>&lt;</w:t>
      </w:r>
      <w:proofErr w:type="gramEnd"/>
      <w:r w:rsidR="00E9344E">
        <w:t>ESMA_QUESTION_MAR_TA_14&gt;</w:t>
      </w:r>
    </w:p>
    <w:p w:rsidR="00E9344E" w:rsidRDefault="00E9344E" w:rsidP="00E9344E">
      <w:bookmarkStart w:id="4" w:name="_GoBack"/>
      <w:bookmarkEnd w:id="4"/>
      <w:r>
        <w:br w:type="page"/>
      </w:r>
    </w:p>
    <w:p w:rsidR="00E9344E" w:rsidRDefault="00E9344E" w:rsidP="00E9344E">
      <w:pPr>
        <w:pStyle w:val="Heading1"/>
        <w:keepLines/>
        <w:numPr>
          <w:ilvl w:val="0"/>
          <w:numId w:val="37"/>
        </w:numPr>
        <w:spacing w:before="480" w:after="0"/>
      </w:pPr>
      <w:r>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321691731" w:edGrp="everyone"/>
      <w:r>
        <w:t>TYPE YOUR TEXT HERE</w:t>
      </w:r>
    </w:p>
    <w:permEnd w:id="1321691731"/>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436966886" w:edGrp="everyone"/>
      <w:r>
        <w:t>TYPE YOUR TEXT HERE</w:t>
      </w:r>
    </w:p>
    <w:permEnd w:id="1436966886"/>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423774769" w:edGrp="everyone"/>
      <w:r>
        <w:t>TYPE YOUR TEXT HERE</w:t>
      </w:r>
    </w:p>
    <w:permEnd w:id="1423774769"/>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31953274" w:edGrp="everyone"/>
      <w:r>
        <w:t>TYPE YOUR TEXT HERE</w:t>
      </w:r>
    </w:p>
    <w:permEnd w:id="131953274"/>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613114540" w:edGrp="everyone"/>
      <w:r>
        <w:t>TYPE YOUR TEXT HERE</w:t>
      </w:r>
    </w:p>
    <w:permEnd w:id="613114540"/>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D1" w:rsidRDefault="00F772D1">
      <w:r>
        <w:separator/>
      </w:r>
    </w:p>
    <w:p w:rsidR="00F772D1" w:rsidRDefault="00F772D1"/>
  </w:endnote>
  <w:endnote w:type="continuationSeparator" w:id="0">
    <w:p w:rsidR="00F772D1" w:rsidRDefault="00F772D1">
      <w:r>
        <w:continuationSeparator/>
      </w:r>
    </w:p>
    <w:p w:rsidR="00F772D1" w:rsidRDefault="00F772D1"/>
  </w:endnote>
  <w:endnote w:type="continuationNotice" w:id="1">
    <w:p w:rsidR="00F772D1" w:rsidRDefault="00F77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772D1" w:rsidRPr="00315E96" w:rsidTr="00315E96">
      <w:trPr>
        <w:trHeight w:val="284"/>
      </w:trPr>
      <w:tc>
        <w:tcPr>
          <w:tcW w:w="8460" w:type="dxa"/>
        </w:tcPr>
        <w:p w:rsidR="00F772D1" w:rsidRPr="00315E96" w:rsidRDefault="00F772D1" w:rsidP="00315E96">
          <w:pPr>
            <w:pStyle w:val="00Footer"/>
            <w:rPr>
              <w:lang w:val="fr-FR"/>
            </w:rPr>
          </w:pPr>
        </w:p>
      </w:tc>
      <w:tc>
        <w:tcPr>
          <w:tcW w:w="952" w:type="dxa"/>
        </w:tcPr>
        <w:p w:rsidR="00F772D1" w:rsidRPr="002C5B2D" w:rsidRDefault="00F772D1" w:rsidP="002C5B2D">
          <w:pPr>
            <w:pStyle w:val="00aPagenumber"/>
          </w:pPr>
          <w:r>
            <w:fldChar w:fldCharType="begin"/>
          </w:r>
          <w:r>
            <w:instrText xml:space="preserve"> PAGE </w:instrText>
          </w:r>
          <w:r>
            <w:fldChar w:fldCharType="separate"/>
          </w:r>
          <w:r w:rsidR="001545EE">
            <w:rPr>
              <w:noProof/>
            </w:rPr>
            <w:t>13</w:t>
          </w:r>
          <w:r>
            <w:rPr>
              <w:noProof/>
            </w:rPr>
            <w:fldChar w:fldCharType="end"/>
          </w:r>
        </w:p>
      </w:tc>
    </w:tr>
  </w:tbl>
  <w:p w:rsidR="00F772D1" w:rsidRDefault="00F77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D1" w:rsidRDefault="00F77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D1" w:rsidRDefault="00F772D1">
      <w:r>
        <w:separator/>
      </w:r>
    </w:p>
    <w:p w:rsidR="00F772D1" w:rsidRDefault="00F772D1"/>
  </w:footnote>
  <w:footnote w:type="continuationSeparator" w:id="0">
    <w:p w:rsidR="00F772D1" w:rsidRDefault="00F772D1">
      <w:r>
        <w:continuationSeparator/>
      </w:r>
    </w:p>
    <w:p w:rsidR="00F772D1" w:rsidRDefault="00F772D1"/>
  </w:footnote>
  <w:footnote w:type="continuationNotice" w:id="1">
    <w:p w:rsidR="00F772D1" w:rsidRDefault="00F772D1"/>
  </w:footnote>
  <w:footnote w:id="2">
    <w:p w:rsidR="00F772D1" w:rsidRDefault="00F772D1"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D1" w:rsidRDefault="00F772D1">
    <w:pPr>
      <w:pStyle w:val="Header"/>
    </w:pPr>
    <w:r>
      <w:rPr>
        <w:noProof/>
        <w:lang w:val="en-IE" w:eastAsia="en-I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D1" w:rsidRDefault="00F772D1" w:rsidP="00013CCE">
    <w:pPr>
      <w:pStyle w:val="Header"/>
      <w:jc w:val="right"/>
    </w:pPr>
    <w:r>
      <w:rPr>
        <w:noProof/>
        <w:lang w:val="en-IE" w:eastAsia="en-I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D1" w:rsidRDefault="00F772D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772D1" w:rsidRPr="002F4496" w:rsidTr="000C06C9">
      <w:trPr>
        <w:trHeight w:val="284"/>
      </w:trPr>
      <w:tc>
        <w:tcPr>
          <w:tcW w:w="8460" w:type="dxa"/>
        </w:tcPr>
        <w:p w:rsidR="00F772D1" w:rsidRPr="000C3B6D" w:rsidRDefault="00F772D1" w:rsidP="000C06C9">
          <w:pPr>
            <w:pStyle w:val="00Footer"/>
            <w:rPr>
              <w:lang w:val="fr-FR"/>
            </w:rPr>
          </w:pPr>
        </w:p>
      </w:tc>
      <w:tc>
        <w:tcPr>
          <w:tcW w:w="952" w:type="dxa"/>
        </w:tcPr>
        <w:p w:rsidR="00F772D1" w:rsidRPr="00146B34" w:rsidRDefault="00F772D1" w:rsidP="000C06C9">
          <w:pPr>
            <w:pStyle w:val="00aPagenumber"/>
            <w:rPr>
              <w:lang w:val="fr-FR"/>
            </w:rPr>
          </w:pPr>
        </w:p>
      </w:tc>
    </w:tr>
  </w:tbl>
  <w:p w:rsidR="00F772D1" w:rsidRPr="00DB46C3" w:rsidRDefault="00F772D1">
    <w:pPr>
      <w:rPr>
        <w:lang w:val="fr-FR"/>
      </w:rPr>
    </w:pPr>
  </w:p>
  <w:p w:rsidR="00F772D1" w:rsidRPr="002F4496" w:rsidRDefault="00F772D1">
    <w:pPr>
      <w:pStyle w:val="Header"/>
      <w:rPr>
        <w:lang w:val="fr-FR"/>
      </w:rPr>
    </w:pPr>
  </w:p>
  <w:p w:rsidR="00F772D1" w:rsidRPr="002F4496" w:rsidRDefault="00F772D1" w:rsidP="000C06C9">
    <w:pPr>
      <w:pStyle w:val="Header"/>
      <w:tabs>
        <w:tab w:val="clear" w:pos="4536"/>
        <w:tab w:val="clear" w:pos="9072"/>
        <w:tab w:val="left" w:pos="8227"/>
      </w:tabs>
      <w:rPr>
        <w:lang w:val="fr-FR"/>
      </w:rPr>
    </w:pPr>
  </w:p>
  <w:p w:rsidR="00F772D1" w:rsidRPr="002F4496" w:rsidRDefault="00F772D1" w:rsidP="000C06C9">
    <w:pPr>
      <w:pStyle w:val="Header"/>
      <w:tabs>
        <w:tab w:val="clear" w:pos="4536"/>
        <w:tab w:val="clear" w:pos="9072"/>
        <w:tab w:val="left" w:pos="8227"/>
      </w:tabs>
      <w:rPr>
        <w:lang w:val="fr-FR"/>
      </w:rPr>
    </w:pPr>
  </w:p>
  <w:p w:rsidR="00F772D1" w:rsidRPr="002F4496" w:rsidRDefault="00F772D1">
    <w:pPr>
      <w:pStyle w:val="Header"/>
      <w:rPr>
        <w:lang w:val="fr-FR"/>
      </w:rPr>
    </w:pPr>
  </w:p>
  <w:p w:rsidR="00F772D1" w:rsidRPr="002F4496" w:rsidRDefault="00F772D1">
    <w:pPr>
      <w:pStyle w:val="Header"/>
      <w:rPr>
        <w:lang w:val="fr-FR"/>
      </w:rPr>
    </w:pPr>
  </w:p>
  <w:p w:rsidR="00F772D1" w:rsidRPr="002F4496" w:rsidRDefault="00F772D1">
    <w:pPr>
      <w:pStyle w:val="Header"/>
      <w:rPr>
        <w:lang w:val="fr-FR"/>
      </w:rPr>
    </w:pPr>
  </w:p>
  <w:p w:rsidR="00F772D1" w:rsidRPr="002F4496" w:rsidRDefault="00F772D1">
    <w:pPr>
      <w:pStyle w:val="Header"/>
      <w:rPr>
        <w:lang w:val="fr-FR"/>
      </w:rPr>
    </w:pPr>
  </w:p>
  <w:p w:rsidR="00F772D1" w:rsidRPr="002F4496" w:rsidRDefault="00F772D1">
    <w:pPr>
      <w:pStyle w:val="Header"/>
      <w:rPr>
        <w:highlight w:val="yellow"/>
        <w:lang w:val="fr-FR"/>
      </w:rPr>
    </w:pPr>
  </w:p>
  <w:p w:rsidR="00F772D1" w:rsidRDefault="00F772D1">
    <w:pPr>
      <w:pStyle w:val="Header"/>
    </w:pPr>
    <w:r>
      <w:rPr>
        <w:noProof/>
        <w:lang w:val="en-IE" w:eastAsia="en-IE"/>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IE" w:eastAsia="en-I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5EE"/>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99"/>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4F89"/>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87E87"/>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939"/>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2D1"/>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53FBB"/>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6FA5E-E7DA-4752-A67E-3CA38E53044F}">
  <ds:schemaRefs>
    <ds:schemaRef ds:uri="http://schemas.openxmlformats.org/officeDocument/2006/bibliography"/>
  </ds:schemaRefs>
</ds:datastoreItem>
</file>

<file path=customXml/itemProps2.xml><?xml version="1.0" encoding="utf-8"?>
<ds:datastoreItem xmlns:ds="http://schemas.openxmlformats.org/officeDocument/2006/customXml" ds:itemID="{784DFA8E-644D-4F22-AA27-DB1BB08F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DACD8E8D</Template>
  <TotalTime>0</TotalTime>
  <Pages>13</Pages>
  <Words>2074</Words>
  <Characters>12274</Characters>
  <Application>Microsoft Office Word</Application>
  <DocSecurity>8</DocSecurity>
  <Lines>102</Lines>
  <Paragraphs>28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14320</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Gavin Purtill</cp:lastModifiedBy>
  <cp:revision>2</cp:revision>
  <cp:lastPrinted>2014-05-08T15:06:00Z</cp:lastPrinted>
  <dcterms:created xsi:type="dcterms:W3CDTF">2014-10-15T15:54:00Z</dcterms:created>
  <dcterms:modified xsi:type="dcterms:W3CDTF">2014-10-15T15:54:00Z</dcterms:modified>
</cp:coreProperties>
</file>