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E679BA" w:rsidTr="00315E96">
        <w:trPr>
          <w:trHeight w:val="284"/>
        </w:trPr>
        <w:tc>
          <w:tcPr>
            <w:tcW w:w="9412" w:type="dxa"/>
          </w:tcPr>
          <w:p w:rsidR="00C2094B" w:rsidRPr="00376B02" w:rsidRDefault="002B52C2" w:rsidP="005A150A">
            <w:pPr>
              <w:pStyle w:val="00bDBInfo"/>
            </w:pPr>
            <w:bookmarkStart w:id="0" w:name="_GoBack"/>
            <w:bookmarkEnd w:id="0"/>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1"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2" w:history="1">
        <w:r w:rsidR="00015B5E" w:rsidRPr="00015B5E">
          <w:rPr>
            <w:rStyle w:val="Lienhypertexte"/>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3" w:history="1">
        <w:r w:rsidRPr="00321CD3">
          <w:rPr>
            <w:rStyle w:val="Lienhypertexte"/>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ESMA_MAR_CP_TA_ESMA_ANNEX1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4"/>
      <w:r w:rsidRPr="00F574D0">
        <w:rPr>
          <w:rFonts w:cs="Georgia"/>
          <w:b/>
          <w:bCs/>
          <w:i/>
          <w:color w:val="000000"/>
          <w:szCs w:val="20"/>
          <w:lang w:eastAsia="en-GB"/>
        </w:rPr>
        <w:t>Publication of responses</w:t>
      </w:r>
      <w:bookmarkEnd w:id="2"/>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3" w:name="_Toc335141335"/>
      <w:r w:rsidRPr="00F574D0">
        <w:rPr>
          <w:rFonts w:cs="Georgia"/>
          <w:b/>
          <w:bCs/>
          <w:i/>
          <w:color w:val="000000"/>
          <w:szCs w:val="20"/>
          <w:lang w:eastAsia="en-GB"/>
        </w:rPr>
        <w:lastRenderedPageBreak/>
        <w:t>Data protection</w:t>
      </w:r>
      <w:bookmarkEnd w:id="3"/>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4" w:history="1">
        <w:r w:rsidRPr="00321CD3">
          <w:rPr>
            <w:rStyle w:val="Lienhypertexte"/>
            <w:szCs w:val="20"/>
          </w:rPr>
          <w:t>www.esma.europa.eu</w:t>
        </w:r>
      </w:hyperlink>
      <w:r w:rsidRPr="00321CD3">
        <w:rPr>
          <w:szCs w:val="20"/>
        </w:rPr>
        <w:t xml:space="preserve"> under the heading ‘Disclaimer’.</w:t>
      </w:r>
    </w:p>
    <w:p w:rsidR="00E8774A" w:rsidRDefault="00024F53" w:rsidP="00E8774A">
      <w:pPr>
        <w:pStyle w:val="Titre1"/>
        <w:numPr>
          <w:ilvl w:val="0"/>
          <w:numId w:val="0"/>
        </w:numPr>
      </w:pPr>
      <w:r>
        <w:rPr>
          <w:szCs w:val="20"/>
        </w:rPr>
        <w:br w:type="page"/>
      </w:r>
      <w:r w:rsidR="00E8774A">
        <w:lastRenderedPageBreak/>
        <w:t>General information about respondent</w:t>
      </w:r>
    </w:p>
    <w:tbl>
      <w:tblPr>
        <w:tblStyle w:val="Grilledutableau"/>
        <w:tblW w:w="0" w:type="auto"/>
        <w:tblLook w:val="04A0"/>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51602B" w:rsidP="008313E5">
            <w:sdt>
              <w:sdtPr>
                <w:alias w:val="Association"/>
                <w:tag w:val="Association"/>
                <w:id w:val="-1769143793"/>
                <w:placeholder>
                  <w:docPart w:val="68DD8F5316B24ACAA721B8AF83F84918"/>
                </w:placeholder>
                <w:comboBox>
                  <w:listItem w:displayText="Yes" w:value="Yes"/>
                  <w:listItem w:displayText="No" w:value="No"/>
                </w:comboBox>
              </w:sdtPr>
              <w:sdtContent>
                <w:permStart w:id="0" w:edGrp="everyone"/>
                <w:r w:rsidR="00E60FCA">
                  <w:t>Yes</w:t>
                </w:r>
                <w:permEnd w:id="0"/>
              </w:sdtContent>
            </w:sdt>
          </w:p>
        </w:tc>
      </w:tr>
      <w:tr w:rsidR="00E8774A" w:rsidTr="008313E5">
        <w:tc>
          <w:tcPr>
            <w:tcW w:w="3510" w:type="dxa"/>
          </w:tcPr>
          <w:p w:rsidR="00E8774A" w:rsidRDefault="00E8774A" w:rsidP="008313E5">
            <w:r>
              <w:t>Activity:</w:t>
            </w:r>
          </w:p>
        </w:tc>
        <w:tc>
          <w:tcPr>
            <w:tcW w:w="6118" w:type="dxa"/>
          </w:tcPr>
          <w:p w:rsidR="00E8774A" w:rsidRDefault="0051602B"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1" w:edGrp="everyone"/>
                <w:r w:rsidR="00E60FCA">
                  <w:t>Investment Services</w:t>
                </w:r>
                <w:permEnd w:id="1"/>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2" w:edGrp="everyone" w:displacedByCustomXml="prev"/>
            <w:tc>
              <w:tcPr>
                <w:tcW w:w="6118" w:type="dxa"/>
              </w:tcPr>
              <w:p w:rsidR="00E8774A" w:rsidRDefault="00E60FCA" w:rsidP="008313E5">
                <w:r>
                  <w:t>France</w:t>
                </w:r>
              </w:p>
            </w:tc>
            <w:permEnd w:id="2" w:displacedByCustomXml="next"/>
          </w:sdtContent>
        </w:sdt>
      </w:tr>
    </w:tbl>
    <w:p w:rsidR="00D74C9D" w:rsidRDefault="005D1023" w:rsidP="00D74C9D">
      <w:pPr>
        <w:pStyle w:val="Titre1"/>
        <w:numPr>
          <w:ilvl w:val="0"/>
          <w:numId w:val="0"/>
        </w:numPr>
      </w:pPr>
      <w:r w:rsidRPr="00321CD3">
        <w:br w:type="page"/>
      </w:r>
      <w:bookmarkStart w:id="4" w:name="_Toc392599420"/>
      <w:bookmarkEnd w:id="1"/>
      <w:r w:rsidR="00D74C9D" w:rsidRPr="004C2CD3">
        <w:lastRenderedPageBreak/>
        <w:t>Introduction</w:t>
      </w:r>
      <w:bookmarkEnd w:id="4"/>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9819F4" w:rsidRDefault="009819F4" w:rsidP="009819F4">
      <w:pPr>
        <w:jc w:val="both"/>
      </w:pPr>
      <w:permStart w:id="3" w:edGrp="everyone"/>
      <w:r>
        <w:t xml:space="preserve">Association </w:t>
      </w:r>
      <w:proofErr w:type="spellStart"/>
      <w:r>
        <w:t>française</w:t>
      </w:r>
      <w:proofErr w:type="spellEnd"/>
      <w:r>
        <w:t xml:space="preserve"> des </w:t>
      </w:r>
      <w:proofErr w:type="spellStart"/>
      <w:r>
        <w:t>marchés</w:t>
      </w:r>
      <w:proofErr w:type="spellEnd"/>
      <w:r>
        <w:t xml:space="preserve"> financiers (AMAFI) is the trade organisation working at national, European and international levels to represent financial market participants in France. It acts on behalf of credit institutions, investment firms and trading and post-trade infrastructures, regardless of where they operate or where their clients or counterparties are located. AMAFI has more than 120 members operating for their own account or for clients in different segments, particularly organised and over-the-counter markets for equities, fixed-income products and derivatives. Nearly one-third of its members are subsid</w:t>
      </w:r>
      <w:r>
        <w:t>i</w:t>
      </w:r>
      <w:r>
        <w:t>aries or branches of non-French institutions.</w:t>
      </w:r>
    </w:p>
    <w:p w:rsidR="009819F4" w:rsidRDefault="009819F4" w:rsidP="009819F4">
      <w:pPr>
        <w:jc w:val="both"/>
      </w:pPr>
    </w:p>
    <w:p w:rsidR="009819F4" w:rsidRDefault="009819F4" w:rsidP="009819F4">
      <w:pPr>
        <w:jc w:val="both"/>
      </w:pPr>
      <w:r>
        <w:t>AMAFI has been following closely the revision of the Market Abuse Directive and welcomes the opport</w:t>
      </w:r>
      <w:r>
        <w:t>u</w:t>
      </w:r>
      <w:r>
        <w:t xml:space="preserve">nity to answer ESMA’s consultation on its consultation paper </w:t>
      </w:r>
      <w:r w:rsidRPr="009819F4">
        <w:t>on draft technical advice on possible del</w:t>
      </w:r>
      <w:r w:rsidRPr="009819F4">
        <w:t>e</w:t>
      </w:r>
      <w:r w:rsidRPr="009819F4">
        <w:t>gated acts concerning the Market Abuse Regulation</w:t>
      </w:r>
      <w:r>
        <w:t>.</w:t>
      </w:r>
    </w:p>
    <w:permEnd w:id="3"/>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Titre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E9344E" w:rsidRDefault="000B57B2" w:rsidP="00B27A8F">
      <w:pPr>
        <w:jc w:val="both"/>
      </w:pPr>
      <w:permStart w:id="4" w:edGrp="everyone"/>
      <w:r>
        <w:t>AMAFI agrees that these examples are useful. Obviously, each of them will need to be considered in light of the specific circumstances of each case to determine if they should give rise to a suspicion.</w:t>
      </w:r>
    </w:p>
    <w:p w:rsidR="007868F9" w:rsidRDefault="007868F9" w:rsidP="00B27A8F">
      <w:pPr>
        <w:jc w:val="both"/>
      </w:pPr>
    </w:p>
    <w:p w:rsidR="007868F9" w:rsidRDefault="007868F9" w:rsidP="00B27A8F">
      <w:pPr>
        <w:jc w:val="both"/>
      </w:pPr>
      <w:r>
        <w:t xml:space="preserve">AMAFI welcomes the </w:t>
      </w:r>
      <w:r w:rsidR="00B036BB">
        <w:t>classification</w:t>
      </w:r>
      <w:r>
        <w:t xml:space="preserve"> of examples and practices according to each indicator, as it facilitates their use by firms. It however does not always agree with the choice made as to which examples pertain to which indicator (for e.g. example 1 of indicator 7, example 2 of indicator 6, examples 1 and 2 of indicator 4).</w:t>
      </w:r>
    </w:p>
    <w:p w:rsidR="00A41847" w:rsidRDefault="00A41847" w:rsidP="00B27A8F">
      <w:pPr>
        <w:jc w:val="both"/>
      </w:pPr>
    </w:p>
    <w:p w:rsidR="007868F9" w:rsidRDefault="00A41847" w:rsidP="00B27A8F">
      <w:pPr>
        <w:jc w:val="both"/>
      </w:pPr>
      <w:r>
        <w:t xml:space="preserve">Example s) of § 13 refers to “qualified holding” without explaining its meaning. This concept should be explained or the wording clarified. </w:t>
      </w:r>
    </w:p>
    <w:permEnd w:id="4"/>
    <w:p w:rsidR="00E9344E" w:rsidRDefault="00E9344E" w:rsidP="00E9344E">
      <w:r>
        <w:t>&lt;ESMA_QUESTION_MAR_TA_1&gt;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E9344E" w:rsidRDefault="00B036BB" w:rsidP="00B27A8F">
      <w:pPr>
        <w:jc w:val="both"/>
      </w:pPr>
      <w:permStart w:id="5" w:edGrp="everyone"/>
      <w:r>
        <w:t xml:space="preserve">AMAFI is of the view that examples specific to the commodities markets could have been provided, based on competent authorities’ experience. </w:t>
      </w:r>
    </w:p>
    <w:permEnd w:id="5"/>
    <w:p w:rsidR="00E9344E" w:rsidRDefault="00E9344E" w:rsidP="00E9344E">
      <w:r>
        <w:t>&lt;ESMA_QUESTION_MAR_TA_2&gt;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consider that the practice known as “Phishing</w:t>
      </w:r>
      <w:r>
        <w:rPr>
          <w:rStyle w:val="Appelnotedebasdep"/>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E9344E" w:rsidRDefault="00B036BB" w:rsidP="00B27A8F">
      <w:pPr>
        <w:jc w:val="both"/>
      </w:pPr>
      <w:permStart w:id="6" w:edGrp="everyone"/>
      <w:r>
        <w:t>No, AMAFI considers that it is not per se a market abuse practice, even if the information obtained through phishing could theoretically be used afterwards to commit a market abuse</w:t>
      </w:r>
      <w:r w:rsidR="006A62B0">
        <w:t xml:space="preserve"> (we are unsure ho</w:t>
      </w:r>
      <w:r w:rsidR="006A62B0">
        <w:t>w</w:t>
      </w:r>
      <w:r w:rsidR="006A62B0">
        <w:t>ever if this has already been experienced by competent authorities)</w:t>
      </w:r>
      <w:r>
        <w:t>. It is a fraudulent behaviour</w:t>
      </w:r>
      <w:r w:rsidR="006A62B0">
        <w:t xml:space="preserve"> that should be sanctioned as such</w:t>
      </w:r>
      <w:r>
        <w:t xml:space="preserve">, not a market abuse behaviour. </w:t>
      </w:r>
    </w:p>
    <w:permEnd w:id="6"/>
    <w:p w:rsidR="00E9344E" w:rsidRDefault="00E9344E" w:rsidP="00E9344E">
      <w:r>
        <w:t>&lt;ESMA_QUESTION_MAR_TA_3&gt;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B036BB" w:rsidP="00B27A8F">
      <w:pPr>
        <w:jc w:val="both"/>
      </w:pPr>
      <w:permStart w:id="7" w:edGrp="everyone"/>
      <w:r>
        <w:t>These are in scope of MAR so, even though it is challenging to monitor OTC transactions,  it is relevant to consider them in the context of inter-venue manipulation.</w:t>
      </w:r>
    </w:p>
    <w:permEnd w:id="7"/>
    <w:p w:rsidR="00EC69C3" w:rsidRDefault="00E9344E" w:rsidP="00E9344E">
      <w:r>
        <w:t>&lt;ESMA_QUESTION_MAR_TA_4&gt;</w:t>
      </w:r>
    </w:p>
    <w:p w:rsidR="00E9344E" w:rsidRDefault="00EC69C3" w:rsidP="00E9344E">
      <w:r>
        <w:br w:type="page"/>
      </w:r>
    </w:p>
    <w:p w:rsidR="00E9344E" w:rsidRDefault="00E9344E" w:rsidP="00E9344E">
      <w:pPr>
        <w:pStyle w:val="Titre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w:t>
      </w:r>
      <w:r>
        <w:t>d</w:t>
      </w:r>
      <w:r>
        <w:t>ual information would have no impact on investors' decisions? Please substantiate.</w:t>
      </w:r>
    </w:p>
    <w:p w:rsidR="00E9344E" w:rsidRDefault="00E9344E" w:rsidP="00E9344E"/>
    <w:p w:rsidR="00E9344E" w:rsidRDefault="00E9344E" w:rsidP="00E9344E">
      <w:r>
        <w:t>&lt;ESMA_QUESTION_MAR_TA_5&gt;</w:t>
      </w:r>
    </w:p>
    <w:p w:rsidR="00A41847" w:rsidRDefault="00A41847" w:rsidP="00A41847">
      <w:permStart w:id="8" w:edGrp="everyone"/>
      <w:r>
        <w:t>AMAFI has not examined this question.</w:t>
      </w:r>
    </w:p>
    <w:permEnd w:id="8"/>
    <w:p w:rsidR="00E9344E" w:rsidRDefault="00E9344E" w:rsidP="00E9344E">
      <w:r>
        <w:t>&lt;ESMA_QUESTION_MAR_TA_5&gt;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A41847" w:rsidRDefault="00A41847" w:rsidP="00A41847">
      <w:permStart w:id="9" w:edGrp="everyone"/>
      <w:r>
        <w:t>AMAFI has not examined this question.</w:t>
      </w:r>
    </w:p>
    <w:permEnd w:id="9"/>
    <w:p w:rsidR="00E9344E" w:rsidRDefault="00E9344E" w:rsidP="00E9344E">
      <w:r>
        <w:t>&lt;ESMA_QUESTION_MAR_TA_6&gt;</w:t>
      </w:r>
    </w:p>
    <w:p w:rsidR="00E9344E" w:rsidRDefault="00E9344E" w:rsidP="00E9344E">
      <w:r>
        <w:br w:type="page"/>
      </w:r>
    </w:p>
    <w:p w:rsidR="00E9344E" w:rsidRDefault="00E9344E" w:rsidP="00E9344E">
      <w:pPr>
        <w:pStyle w:val="Titre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A41847" w:rsidRDefault="00A41847" w:rsidP="00A41847">
      <w:permStart w:id="10" w:edGrp="everyone"/>
      <w:r>
        <w:t>AMAFI has not examined this question.</w:t>
      </w:r>
    </w:p>
    <w:permEnd w:id="10"/>
    <w:p w:rsidR="00E9344E" w:rsidRDefault="00E9344E" w:rsidP="00E9344E">
      <w:r>
        <w:t>&lt;ESMA_QUESTION_MAR_TA_7&gt;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A41847" w:rsidRDefault="00A41847" w:rsidP="00A41847">
      <w:permStart w:id="11" w:edGrp="everyone"/>
      <w:r>
        <w:t>AMAFI has not examined this question.</w:t>
      </w:r>
    </w:p>
    <w:permEnd w:id="11"/>
    <w:p w:rsidR="00E9344E" w:rsidRDefault="00E9344E" w:rsidP="00E9344E">
      <w:r>
        <w:t>&lt;ESMA_QUESTION_MAR_TA_8&gt;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A41847" w:rsidRDefault="00A41847" w:rsidP="00A41847">
      <w:permStart w:id="12" w:edGrp="everyone"/>
      <w:r>
        <w:t>AMAFI has not examined this question.</w:t>
      </w:r>
    </w:p>
    <w:permEnd w:id="12"/>
    <w:p w:rsidR="00E9344E" w:rsidRDefault="00E9344E" w:rsidP="00E9344E">
      <w:r>
        <w:t>&lt;ESMA_QUESTION_MAR_TA_9&gt;</w:t>
      </w:r>
    </w:p>
    <w:p w:rsidR="00E9344E" w:rsidRDefault="00E9344E" w:rsidP="00E9344E">
      <w:r>
        <w:br w:type="page"/>
      </w:r>
    </w:p>
    <w:p w:rsidR="00E9344E" w:rsidRDefault="00E9344E" w:rsidP="00E9344E">
      <w:pPr>
        <w:pStyle w:val="Titre1"/>
        <w:keepLines/>
        <w:numPr>
          <w:ilvl w:val="0"/>
          <w:numId w:val="37"/>
        </w:numPr>
        <w:spacing w:before="480" w:after="0"/>
      </w:pPr>
      <w:r>
        <w:lastRenderedPageBreak/>
        <w:t>Managers’ transactions</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A41847" w:rsidRDefault="00A41847" w:rsidP="00A41847">
      <w:permStart w:id="13" w:edGrp="everyone"/>
      <w:r>
        <w:t>AMAFI has not examined this question.</w:t>
      </w:r>
    </w:p>
    <w:permEnd w:id="13"/>
    <w:p w:rsidR="00E9344E" w:rsidRDefault="00E9344E" w:rsidP="00E9344E">
      <w:r>
        <w:t>&lt;ESMA_QUESTION_MAR_TA_10&gt;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A41847" w:rsidRDefault="00A41847" w:rsidP="00A41847">
      <w:permStart w:id="14" w:edGrp="everyone"/>
      <w:r>
        <w:t>AMAFI has not examined this question.</w:t>
      </w:r>
    </w:p>
    <w:permEnd w:id="14"/>
    <w:p w:rsidR="00E9344E" w:rsidRDefault="00E9344E" w:rsidP="00E9344E">
      <w:r>
        <w:t>&lt;ESMA_QUESTION_MAR_TA_11&gt;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A41847" w:rsidRDefault="00A41847" w:rsidP="00A41847">
      <w:permStart w:id="15" w:edGrp="everyone"/>
      <w:r>
        <w:t>AMAFI has not examined this question.</w:t>
      </w:r>
    </w:p>
    <w:permEnd w:id="15"/>
    <w:p w:rsidR="00E9344E" w:rsidRDefault="00E9344E" w:rsidP="00E9344E">
      <w:r>
        <w:t>&lt;ESMA_QUESTION_MAR_TA_12&gt;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w:t>
      </w:r>
      <w:r>
        <w:t>e</w:t>
      </w:r>
      <w:r>
        <w:t>riod prohibition is respected?</w:t>
      </w:r>
    </w:p>
    <w:p w:rsidR="00E9344E" w:rsidRDefault="00E9344E" w:rsidP="00E9344E"/>
    <w:p w:rsidR="00E9344E" w:rsidRDefault="00E9344E" w:rsidP="00E9344E">
      <w:r>
        <w:t>&lt;ESMA_QUESTION_MAR_TA_13&gt;</w:t>
      </w:r>
    </w:p>
    <w:p w:rsidR="00A41847" w:rsidRDefault="00A41847" w:rsidP="00A41847">
      <w:permStart w:id="16" w:edGrp="everyone"/>
      <w:r>
        <w:t>AMAFI has not examined this question.</w:t>
      </w:r>
    </w:p>
    <w:permEnd w:id="16"/>
    <w:p w:rsidR="00E9344E" w:rsidRDefault="00E9344E" w:rsidP="00E9344E">
      <w:r>
        <w:t>&lt;ESMA_QUESTION_MAR_TA_13&gt;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A41847" w:rsidRDefault="00A41847" w:rsidP="00A41847">
      <w:permStart w:id="17" w:edGrp="everyone"/>
      <w:r>
        <w:t>AMAFI has not examined this question.</w:t>
      </w:r>
    </w:p>
    <w:permEnd w:id="17"/>
    <w:p w:rsidR="00E9344E" w:rsidRDefault="00E9344E" w:rsidP="00E9344E">
      <w:r>
        <w:t>&lt;ESMA_QUESTION_MAR_TA_14&gt;</w:t>
      </w:r>
    </w:p>
    <w:p w:rsidR="00E9344E" w:rsidRDefault="00E9344E" w:rsidP="00E9344E">
      <w:r>
        <w:br w:type="page"/>
      </w:r>
    </w:p>
    <w:p w:rsidR="00E9344E" w:rsidRDefault="00E9344E" w:rsidP="00E9344E">
      <w:pPr>
        <w:pStyle w:val="Titre1"/>
        <w:keepLines/>
        <w:numPr>
          <w:ilvl w:val="0"/>
          <w:numId w:val="37"/>
        </w:numPr>
        <w:spacing w:before="480" w:after="0"/>
      </w:pPr>
      <w:r>
        <w:lastRenderedPageBreak/>
        <w:t>Reporting of infringements</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A41847" w:rsidP="00E9344E">
      <w:permStart w:id="18" w:edGrp="everyone"/>
      <w:r>
        <w:t>AMAFI has not examined this question.</w:t>
      </w:r>
    </w:p>
    <w:permEnd w:id="18"/>
    <w:p w:rsidR="00E9344E" w:rsidRDefault="00E9344E" w:rsidP="00E9344E">
      <w:r>
        <w:t>&lt;ESMA_QUESTION_MAR_TA_15&gt;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A41847" w:rsidRDefault="00A41847" w:rsidP="00A41847">
      <w:permStart w:id="19" w:edGrp="everyone"/>
      <w:r>
        <w:t>AMAFI has not examined this question.</w:t>
      </w:r>
    </w:p>
    <w:permEnd w:id="19"/>
    <w:p w:rsidR="00E9344E" w:rsidRDefault="00E9344E" w:rsidP="00E9344E">
      <w:r>
        <w:t>&lt;ESMA_QUESTION_MAR_TA_16&gt;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Titre5"/>
        <w:keepNext w:val="0"/>
        <w:keepLines w:val="0"/>
        <w:numPr>
          <w:ilvl w:val="0"/>
          <w:numId w:val="39"/>
        </w:numPr>
        <w:spacing w:before="0" w:line="276" w:lineRule="auto"/>
      </w:pPr>
      <w:r>
        <w:t>compliance with data retention periods and notification requirements for data processing;</w:t>
      </w:r>
    </w:p>
    <w:p w:rsidR="00E9344E" w:rsidRDefault="00E9344E" w:rsidP="00E9344E">
      <w:pPr>
        <w:pStyle w:val="Titre5"/>
        <w:keepNext w:val="0"/>
        <w:keepLines w:val="0"/>
        <w:numPr>
          <w:ilvl w:val="0"/>
          <w:numId w:val="39"/>
        </w:numPr>
        <w:spacing w:before="0" w:line="276" w:lineRule="auto"/>
      </w:pPr>
      <w:r>
        <w:t>protection of the rights related to data processing;</w:t>
      </w:r>
    </w:p>
    <w:p w:rsidR="00E9344E" w:rsidRDefault="00E9344E" w:rsidP="00E9344E">
      <w:pPr>
        <w:pStyle w:val="Titre5"/>
        <w:keepNext w:val="0"/>
        <w:keepLines w:val="0"/>
        <w:numPr>
          <w:ilvl w:val="0"/>
          <w:numId w:val="39"/>
        </w:numPr>
        <w:spacing w:before="0" w:line="276" w:lineRule="auto"/>
      </w:pPr>
      <w:r>
        <w:t>security aspects of the data processing operation; and</w:t>
      </w:r>
    </w:p>
    <w:p w:rsidR="00E9344E" w:rsidRDefault="00E9344E" w:rsidP="00E9344E">
      <w:pPr>
        <w:pStyle w:val="Titre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A41847" w:rsidRDefault="00A41847" w:rsidP="00A41847">
      <w:permStart w:id="20" w:edGrp="everyone"/>
      <w:r>
        <w:t>AMAFI has not examined this question.</w:t>
      </w:r>
    </w:p>
    <w:permEnd w:id="20"/>
    <w:p w:rsidR="00E9344E" w:rsidRDefault="00E9344E" w:rsidP="00E9344E">
      <w:r>
        <w:t>&lt;ESMA_QUESTION_MAR_TA_17&gt;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A41847" w:rsidRDefault="00A41847" w:rsidP="00A41847">
      <w:permStart w:id="21" w:edGrp="everyone"/>
      <w:r>
        <w:t>AMAFI has not examined this question.</w:t>
      </w:r>
    </w:p>
    <w:permEnd w:id="21"/>
    <w:p w:rsidR="00E9344E" w:rsidRDefault="00E9344E" w:rsidP="00E9344E">
      <w:r>
        <w:t>&lt;ESMA_QUESTION_MAR_TA_18&gt;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lastRenderedPageBreak/>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A41847" w:rsidRDefault="00A41847" w:rsidP="00A41847">
      <w:permStart w:id="22" w:edGrp="everyone"/>
      <w:r>
        <w:t>AMAFI has not examined this question.</w:t>
      </w:r>
    </w:p>
    <w:permEnd w:id="22"/>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5"/>
      <w:headerReference w:type="first" r:id="rId16"/>
      <w:footerReference w:type="first" r:id="rId17"/>
      <w:pgSz w:w="11906" w:h="16838" w:code="9"/>
      <w:pgMar w:top="2552" w:right="1247" w:bottom="1361"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649" w:rsidRDefault="00C06649">
      <w:r>
        <w:separator/>
      </w:r>
    </w:p>
    <w:p w:rsidR="00C06649" w:rsidRDefault="00C06649"/>
  </w:endnote>
  <w:endnote w:type="continuationSeparator" w:id="0">
    <w:p w:rsidR="00C06649" w:rsidRDefault="00C06649">
      <w:r>
        <w:continuationSeparator/>
      </w:r>
    </w:p>
    <w:p w:rsidR="00C06649" w:rsidRDefault="00C06649"/>
  </w:endnote>
  <w:endnote w:type="continuationNotice" w:id="1">
    <w:p w:rsidR="00C06649" w:rsidRDefault="00C0664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51602B" w:rsidP="002C5B2D">
          <w:pPr>
            <w:pStyle w:val="00aPagenumber"/>
          </w:pPr>
          <w:r>
            <w:fldChar w:fldCharType="begin"/>
          </w:r>
          <w:r w:rsidR="00811EDA">
            <w:instrText xml:space="preserve"> PAGE </w:instrText>
          </w:r>
          <w:r>
            <w:fldChar w:fldCharType="separate"/>
          </w:r>
          <w:r w:rsidR="009819F4">
            <w:rPr>
              <w:noProof/>
            </w:rPr>
            <w:t>6</w:t>
          </w:r>
          <w:r>
            <w:rPr>
              <w:noProof/>
            </w:rPr>
            <w:fldChar w:fldCharType="end"/>
          </w:r>
        </w:p>
      </w:tc>
    </w:tr>
  </w:tbl>
  <w:p w:rsidR="00811EDA" w:rsidRDefault="00811ED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649" w:rsidRDefault="00C06649">
      <w:r>
        <w:separator/>
      </w:r>
    </w:p>
    <w:p w:rsidR="00C06649" w:rsidRDefault="00C06649"/>
  </w:footnote>
  <w:footnote w:type="continuationSeparator" w:id="0">
    <w:p w:rsidR="00C06649" w:rsidRDefault="00C06649">
      <w:r>
        <w:continuationSeparator/>
      </w:r>
    </w:p>
    <w:p w:rsidR="00C06649" w:rsidRDefault="00C06649"/>
  </w:footnote>
  <w:footnote w:type="continuationNotice" w:id="1">
    <w:p w:rsidR="00C06649" w:rsidRDefault="00C06649"/>
  </w:footnote>
  <w:footnote w:id="2">
    <w:p w:rsidR="00E9344E" w:rsidRDefault="00E9344E" w:rsidP="00E9344E">
      <w:pPr>
        <w:pStyle w:val="Notedebasdepage"/>
      </w:pPr>
      <w:r>
        <w:rPr>
          <w:rStyle w:val="Appelnotedebasdep"/>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024F53">
    <w:pPr>
      <w:pStyle w:val="En-tte"/>
    </w:pPr>
    <w:r>
      <w:rPr>
        <w:noProof/>
        <w:lang w:val="fr-FR" w:eastAsia="fr-FR"/>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561975"/>
                  </a:xfrm>
                  <a:prstGeom prst="rect">
                    <a:avLst/>
                  </a:prstGeom>
                  <a:noFill/>
                  <a:ln>
                    <a:noFill/>
                  </a:ln>
                </pic:spPr>
              </pic:pic>
            </a:graphicData>
          </a:graphic>
        </wp:anchor>
      </w:drawing>
    </w:r>
    <w:r w:rsidR="0051602B" w:rsidRPr="0051602B">
      <w:rPr>
        <w:noProof/>
        <w:lang w:eastAsia="en-GB"/>
      </w:rPr>
      <w:pict>
        <v:line id="Line 16" o:spid="_x0000_s2049"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024F53" w:rsidP="00013CCE">
    <w:pPr>
      <w:pStyle w:val="En-tte"/>
      <w:jc w:val="right"/>
    </w:pPr>
    <w:r>
      <w:rPr>
        <w:noProof/>
        <w:lang w:val="fr-FR" w:eastAsia="fr-FR"/>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fr-FR" w:eastAsia="fr-FR"/>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0310" cy="6800850"/>
                  </a:xfrm>
                  <a:prstGeom prst="rect">
                    <a:avLst/>
                  </a:prstGeom>
                  <a:noFill/>
                  <a:ln>
                    <a:noFill/>
                  </a:ln>
                </pic:spPr>
              </pic:pic>
            </a:graphicData>
          </a:graphic>
        </wp:anchor>
      </w:drawing>
    </w:r>
    <w:r w:rsidR="00811EDA">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En-tte"/>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highlight w:val="yellow"/>
        <w:lang w:val="fr-FR"/>
      </w:rPr>
    </w:pPr>
  </w:p>
  <w:p w:rsidR="00811EDA" w:rsidRDefault="0051602B">
    <w:pPr>
      <w:pStyle w:val="En-tte"/>
    </w:pPr>
    <w:r w:rsidRPr="0051602B">
      <w:rPr>
        <w:noProof/>
        <w:lang w:eastAsia="en-GB"/>
      </w:rPr>
      <w:pict>
        <v:line id="Straight Connector 138" o:spid="_x0000_s2050"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024F53">
      <w:rPr>
        <w:noProof/>
        <w:lang w:val="fr-FR" w:eastAsia="fr-FR"/>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1"/>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2051">
      <o:colormru v:ext="edit" colors="#2d4491,#283583"/>
    </o:shapedefaults>
    <o:shapelayout v:ext="edit">
      <o:idmap v:ext="edit" data="2"/>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7B2"/>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97D"/>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5900"/>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02B"/>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382"/>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A62B0"/>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68F9"/>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021"/>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9F4"/>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847"/>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6BB"/>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A8F"/>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649"/>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0FCA"/>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ADE"/>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Titre1">
    <w:name w:val="heading 1"/>
    <w:basedOn w:val="Normal"/>
    <w:next w:val="Normal"/>
    <w:link w:val="Titre1Car"/>
    <w:qFormat/>
    <w:rsid w:val="009E7724"/>
    <w:pPr>
      <w:keepNext/>
      <w:numPr>
        <w:numId w:val="6"/>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4"/>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9"/>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rPr>
  </w:style>
  <w:style w:type="character" w:customStyle="1" w:styleId="aStyle1Char">
    <w:name w:val="a. Style1 Char"/>
    <w:link w:val="aStyle1"/>
    <w:rsid w:val="000D2D0B"/>
    <w:rPr>
      <w:rFonts w:ascii="Georgia" w:hAnsi="Georgia"/>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26520558">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http://www.esma.europa.eu/consultation/Consultation-Paper-Draft-technical-advice-possible-delegated-acts-concerning-Market-Ab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Textedelespacerserv"/>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Textedelespacerserv"/>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Textedelespacerserv"/>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hyphenationZone w:val="425"/>
  <w:characterSpacingControl w:val="doNotCompress"/>
  <w:compat>
    <w:useFELayout/>
  </w:compat>
  <w:rsids>
    <w:rsidRoot w:val="00057CC3"/>
    <w:rsid w:val="00057CC3"/>
    <w:rsid w:val="001743A7"/>
    <w:rsid w:val="00595ECC"/>
    <w:rsid w:val="008501E1"/>
    <w:rsid w:val="00880D16"/>
    <w:rsid w:val="0088361F"/>
    <w:rsid w:val="00D924AF"/>
    <w:rsid w:val="00DA60A1"/>
    <w:rsid w:val="00FA555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E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0A6D5-42ED-404F-A74B-CA8FDC61FC9B}">
  <ds:schemaRefs>
    <ds:schemaRef ds:uri="http://schemas.openxmlformats.org/officeDocument/2006/bibliography"/>
  </ds:schemaRefs>
</ds:datastoreItem>
</file>

<file path=customXml/itemProps2.xml><?xml version="1.0" encoding="utf-8"?>
<ds:datastoreItem xmlns:ds="http://schemas.openxmlformats.org/officeDocument/2006/customXml" ds:itemID="{8D1CEC7D-B9F0-4315-A77A-2F7B37800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1843</Words>
  <Characters>11047</Characters>
  <Application>Microsoft Office Word</Application>
  <DocSecurity>8</DocSecurity>
  <Lines>92</Lines>
  <Paragraphs>25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12865</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AMAFI</cp:lastModifiedBy>
  <cp:revision>3</cp:revision>
  <cp:lastPrinted>2014-05-08T15:06:00Z</cp:lastPrinted>
  <dcterms:created xsi:type="dcterms:W3CDTF">2014-10-15T12:27:00Z</dcterms:created>
  <dcterms:modified xsi:type="dcterms:W3CDTF">2014-10-15T13:39:00Z</dcterms:modified>
</cp:coreProperties>
</file>