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2B52C2" w:rsidP="005A150A">
            <w:pPr>
              <w:pStyle w:val="00bDBInfo"/>
            </w:pPr>
            <w:bookmarkStart w:id="0" w:name="_GoBack"/>
            <w:bookmarkEnd w:id="0"/>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even" r:id="rId10"/>
          <w:headerReference w:type="default" r:id="rId11"/>
          <w:footerReference w:type="even" r:id="rId12"/>
          <w:footerReference w:type="default" r:id="rId13"/>
          <w:headerReference w:type="first" r:id="rId14"/>
          <w:foot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1"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6" w:history="1">
        <w:r w:rsidR="00015B5E" w:rsidRPr="00015B5E">
          <w:rPr>
            <w:rStyle w:val="Hyperlink"/>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7" w:history="1">
        <w:r w:rsidRPr="00321CD3">
          <w:rPr>
            <w:rStyle w:val="Hyperlink"/>
          </w:rPr>
          <w:t>www.esma.europa.eu</w:t>
        </w:r>
      </w:hyperlink>
      <w:r w:rsidRPr="00321CD3">
        <w:t xml:space="preserve"> under the heading ‘Your i</w:t>
      </w:r>
      <w:r w:rsidRPr="00321CD3">
        <w:t>n</w:t>
      </w:r>
      <w:r w:rsidRPr="00321CD3">
        <w:t xml:space="preserve">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w:t>
      </w:r>
      <w:r>
        <w:t>S</w:t>
      </w:r>
      <w:r>
        <w:t>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4"/>
      <w:r w:rsidRPr="00F574D0">
        <w:rPr>
          <w:rFonts w:cs="Georgia"/>
          <w:b/>
          <w:bCs/>
          <w:i/>
          <w:color w:val="000000"/>
          <w:szCs w:val="20"/>
          <w:lang w:eastAsia="en-GB"/>
        </w:rPr>
        <w:t>Publication of responses</w:t>
      </w:r>
      <w:bookmarkEnd w:id="2"/>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3" w:name="_Toc335141335"/>
      <w:r w:rsidRPr="00F574D0">
        <w:rPr>
          <w:rFonts w:cs="Georgia"/>
          <w:b/>
          <w:bCs/>
          <w:i/>
          <w:color w:val="000000"/>
          <w:szCs w:val="20"/>
          <w:lang w:eastAsia="en-GB"/>
        </w:rPr>
        <w:lastRenderedPageBreak/>
        <w:t>Data protection</w:t>
      </w:r>
      <w:bookmarkEnd w:id="3"/>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8" w:history="1">
        <w:r w:rsidRPr="00321CD3">
          <w:rPr>
            <w:rStyle w:val="Hyperlink"/>
            <w:szCs w:val="20"/>
          </w:rPr>
          <w:t>www.esma.europa.eu</w:t>
        </w:r>
      </w:hyperlink>
      <w:r w:rsidRPr="00321CD3">
        <w:rPr>
          <w:szCs w:val="20"/>
        </w:rPr>
        <w:t xml:space="preserve"> under the heading ‘Disclaimer’.</w:t>
      </w:r>
    </w:p>
    <w:p w:rsidR="00E8774A" w:rsidRDefault="00024F53" w:rsidP="00E8774A">
      <w:pPr>
        <w:pStyle w:val="Heading1"/>
        <w:numPr>
          <w:ilvl w:val="0"/>
          <w:numId w:val="0"/>
        </w:numPr>
      </w:pPr>
      <w:r>
        <w:rPr>
          <w:szCs w:val="20"/>
        </w:rPr>
        <w:br w:type="page"/>
      </w:r>
      <w:r w:rsidR="00E8774A">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E8774A" w:rsidTr="008313E5">
        <w:tc>
          <w:tcPr>
            <w:tcW w:w="3510" w:type="dxa"/>
          </w:tcPr>
          <w:p w:rsidR="00E8774A" w:rsidRDefault="00E8774A" w:rsidP="008313E5">
            <w:r>
              <w:t>Are you representing an association?</w:t>
            </w:r>
          </w:p>
        </w:tc>
        <w:tc>
          <w:tcPr>
            <w:tcW w:w="6118" w:type="dxa"/>
          </w:tcPr>
          <w:p w:rsidR="00E8774A" w:rsidRDefault="000054C4" w:rsidP="008313E5">
            <w:sdt>
              <w:sdtPr>
                <w:alias w:val="Association"/>
                <w:tag w:val="Association"/>
                <w:id w:val="-1769143793"/>
                <w:placeholder>
                  <w:docPart w:val="68DD8F5316B24ACAA721B8AF83F84918"/>
                </w:placeholder>
                <w:comboBox>
                  <w:listItem w:displayText="Yes" w:value="Yes"/>
                  <w:listItem w:displayText="No" w:value="No"/>
                </w:comboBox>
              </w:sdtPr>
              <w:sdtEndPr/>
              <w:sdtContent>
                <w:permStart w:id="443160374" w:edGrp="everyone"/>
                <w:r w:rsidR="00531E27">
                  <w:t>Yes</w:t>
                </w:r>
                <w:permEnd w:id="443160374"/>
              </w:sdtContent>
            </w:sdt>
          </w:p>
        </w:tc>
      </w:tr>
      <w:tr w:rsidR="00E8774A" w:rsidTr="008313E5">
        <w:tc>
          <w:tcPr>
            <w:tcW w:w="3510" w:type="dxa"/>
          </w:tcPr>
          <w:p w:rsidR="00E8774A" w:rsidRDefault="00E8774A" w:rsidP="008313E5">
            <w:r>
              <w:t>Activity:</w:t>
            </w:r>
          </w:p>
        </w:tc>
        <w:tc>
          <w:tcPr>
            <w:tcW w:w="6118" w:type="dxa"/>
          </w:tcPr>
          <w:p w:rsidR="00E8774A" w:rsidRDefault="000054C4" w:rsidP="008313E5">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353983674" w:edGrp="everyone"/>
                <w:r w:rsidR="00531E27">
                  <w:t>Banking sector</w:t>
                </w:r>
                <w:permEnd w:id="353983674"/>
              </w:sdtContent>
            </w:sdt>
          </w:p>
        </w:tc>
      </w:tr>
      <w:tr w:rsidR="00E8774A" w:rsidTr="008313E5">
        <w:tc>
          <w:tcPr>
            <w:tcW w:w="3510" w:type="dxa"/>
          </w:tcPr>
          <w:p w:rsidR="00E8774A" w:rsidRDefault="00E8774A" w:rsidP="008313E5">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15713448" w:edGrp="everyone" w:displacedByCustomXml="prev"/>
            <w:tc>
              <w:tcPr>
                <w:tcW w:w="6118" w:type="dxa"/>
              </w:tcPr>
              <w:p w:rsidR="00E8774A" w:rsidRDefault="00531E27" w:rsidP="008313E5">
                <w:r>
                  <w:t>Europe</w:t>
                </w:r>
              </w:p>
            </w:tc>
            <w:permEnd w:id="1115713448" w:displacedByCustomXml="next"/>
          </w:sdtContent>
        </w:sdt>
      </w:tr>
    </w:tbl>
    <w:p w:rsidR="00D74C9D" w:rsidRDefault="005D1023" w:rsidP="00D74C9D">
      <w:pPr>
        <w:pStyle w:val="Heading1"/>
        <w:numPr>
          <w:ilvl w:val="0"/>
          <w:numId w:val="0"/>
        </w:numPr>
      </w:pPr>
      <w:r w:rsidRPr="00321CD3">
        <w:br w:type="page"/>
      </w:r>
      <w:bookmarkStart w:id="4" w:name="_Toc392599420"/>
      <w:bookmarkEnd w:id="1"/>
      <w:r w:rsidR="00D74C9D" w:rsidRPr="004C2CD3">
        <w:lastRenderedPageBreak/>
        <w:t>Introduction</w:t>
      </w:r>
      <w:bookmarkEnd w:id="4"/>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5A1950" w:rsidRDefault="005A1950" w:rsidP="005A1950">
      <w:pPr>
        <w:pStyle w:val="Body1"/>
      </w:pPr>
      <w:permStart w:id="642451346" w:edGrp="everyone"/>
      <w:r>
        <w:t xml:space="preserve"> We thank ESMA for the opportunity to be involved with the consultation process in relation to the technical advice on possible delegated acts to the Market Abuse Regulation (596/2014) (“</w:t>
      </w:r>
      <w:r w:rsidRPr="00CB2BD1">
        <w:rPr>
          <w:b/>
          <w:bCs/>
        </w:rPr>
        <w:t>MAR</w:t>
      </w:r>
      <w:r>
        <w:t xml:space="preserve">”). </w:t>
      </w:r>
    </w:p>
    <w:p w:rsidR="005A1950" w:rsidRDefault="005A1950" w:rsidP="005A1950">
      <w:pPr>
        <w:pStyle w:val="Body1"/>
      </w:pPr>
      <w:r>
        <w:t>Please find below the executive summary of our key concerns with respect to the provisions and commentary detailed within the Consultation Paper.</w:t>
      </w:r>
    </w:p>
    <w:p w:rsidR="005A1950" w:rsidRDefault="005A1950" w:rsidP="005A1950">
      <w:pPr>
        <w:pStyle w:val="Body1"/>
      </w:pPr>
      <w:r>
        <w:t>1.</w:t>
      </w:r>
      <w:r>
        <w:tab/>
        <w:t>Market manipulation indicators.</w:t>
      </w:r>
    </w:p>
    <w:p w:rsidR="005A1950" w:rsidRDefault="005A1950" w:rsidP="005A1950">
      <w:pPr>
        <w:pStyle w:val="Body1"/>
        <w:ind w:left="1360" w:firstLine="10"/>
      </w:pPr>
      <w:r>
        <w:t>We do not consider the extensive non-exhaustive lists of example practices detailed within the draft technical advice as the most useful way to clarify  the market manipulation indic</w:t>
      </w:r>
      <w:r>
        <w:t>a</w:t>
      </w:r>
      <w:r>
        <w:t>tors detailed at Annex I MAR. We consider the extensive lists provided as being un-useable in practice and we suggest that general principles be stated which would illum</w:t>
      </w:r>
      <w:r>
        <w:t>i</w:t>
      </w:r>
      <w:r>
        <w:t>nate the examples listed in the Annex.</w:t>
      </w:r>
    </w:p>
    <w:p w:rsidR="005A1950" w:rsidRDefault="005A1950" w:rsidP="005A1950">
      <w:pPr>
        <w:pStyle w:val="Body1"/>
      </w:pPr>
      <w:r>
        <w:t>2.</w:t>
      </w:r>
      <w:r>
        <w:tab/>
        <w:t xml:space="preserve">PDMRs and the closed period prohibition and disclosure. </w:t>
      </w:r>
    </w:p>
    <w:p w:rsidR="005A1950" w:rsidRDefault="005A1950" w:rsidP="005A1950">
      <w:pPr>
        <w:pStyle w:val="Body1"/>
        <w:ind w:left="1360" w:firstLine="10"/>
      </w:pPr>
      <w:r>
        <w:t>We are greatly concerned with the commentary that transactions by collective schemes, in which a PDMR has invested, are to be included within the prohibition and disclosure r</w:t>
      </w:r>
      <w:r>
        <w:t>e</w:t>
      </w:r>
      <w:r>
        <w:t>gime. Given the aims of the provision, we do not understand the rationale that transa</w:t>
      </w:r>
      <w:r>
        <w:t>c</w:t>
      </w:r>
      <w:r>
        <w:t xml:space="preserve">tions, over which the PDMR has no influence, should be caught by the prohibition. </w:t>
      </w:r>
    </w:p>
    <w:p w:rsidR="005A1950" w:rsidRDefault="005A1950" w:rsidP="005A1950">
      <w:pPr>
        <w:pStyle w:val="Body1"/>
      </w:pPr>
      <w:r>
        <w:t>3.</w:t>
      </w:r>
      <w:r>
        <w:tab/>
        <w:t>Reporting of infringements.</w:t>
      </w:r>
    </w:p>
    <w:p w:rsidR="00D74C9D" w:rsidRDefault="005A1950" w:rsidP="005A1950">
      <w:pPr>
        <w:pStyle w:val="Body1"/>
        <w:ind w:left="1360" w:firstLine="10"/>
      </w:pPr>
      <w:r>
        <w:t>We are concerned that the provisions relating the reporting of infringements would mean, in practice, that firms will be required to have different regimes for differing types of i</w:t>
      </w:r>
      <w:r>
        <w:t>n</w:t>
      </w:r>
      <w:r>
        <w:t>fringement reporting e.g. market abuse regime vs. national legislation.</w:t>
      </w:r>
      <w:r w:rsidR="00D74C9D">
        <w:t xml:space="preserve"> </w:t>
      </w:r>
    </w:p>
    <w:permEnd w:id="642451346"/>
    <w:p w:rsidR="00D74C9D" w:rsidRDefault="00D74C9D" w:rsidP="00D74C9D">
      <w:r>
        <w:t>&lt;</w:t>
      </w:r>
      <w:r w:rsidRPr="00D74C9D">
        <w:t xml:space="preserve"> </w:t>
      </w:r>
      <w:r>
        <w:t>ESMA_COMMENT_MAR_TA_1&gt;</w:t>
      </w:r>
    </w:p>
    <w:p w:rsidR="00D74C9D" w:rsidRDefault="00D74C9D">
      <w:r>
        <w:br w:type="page"/>
      </w:r>
    </w:p>
    <w:p w:rsidR="00E9344E" w:rsidRDefault="00E9344E" w:rsidP="00E9344E">
      <w:pPr>
        <w:pStyle w:val="Heading1"/>
        <w:keepLines/>
        <w:numPr>
          <w:ilvl w:val="0"/>
          <w:numId w:val="37"/>
        </w:numPr>
        <w:spacing w:before="480" w:after="0"/>
      </w:pPr>
      <w:r>
        <w:lastRenderedPageBreak/>
        <w:t>Specification of the indicators of market manipulation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5A1950" w:rsidRDefault="005A1950" w:rsidP="005A1950">
      <w:pPr>
        <w:pStyle w:val="Body1"/>
      </w:pPr>
      <w:permStart w:id="294670651" w:edGrp="everyone"/>
      <w:r>
        <w:t xml:space="preserve"> No. Whilst we agree that it is helpful for ESMA to provide examples of behaviour that has potential to be market manipulation, we query the usefulness of such an extensive non-exhaustive list. We note that a number of the examples provided are unclear, repetitive and in some cases erroneous. Additionally we note ESMA has used terminology which is not inline with market understanding of such terms, such as </w:t>
      </w:r>
      <w:r w:rsidRPr="00D30879">
        <w:t>‘pump and dump’ and ‘trash and cash’</w:t>
      </w:r>
      <w:r>
        <w:t>.</w:t>
      </w:r>
    </w:p>
    <w:p w:rsidR="005A1950" w:rsidRDefault="005A1950" w:rsidP="005A1950">
      <w:pPr>
        <w:pStyle w:val="Body1"/>
      </w:pPr>
      <w:r>
        <w:t>Given the breadth of behaviours that could indicate market manipulation may be taking place, we consider that it would be more helpful to provide a list of more general factors that may be consi</w:t>
      </w:r>
      <w:r>
        <w:t>d</w:t>
      </w:r>
      <w:r>
        <w:t>ered in respect of the indicators set out in Annex 1 MAR. We are strongly of the view that the aims and intent of the person(s) in question should be an important consideration and ask ESMA to e</w:t>
      </w:r>
      <w:r>
        <w:t>x</w:t>
      </w:r>
      <w:r>
        <w:t xml:space="preserve">pressly detail this.  Further, we are of the view that any order or transaction whose </w:t>
      </w:r>
      <w:r w:rsidRPr="00AF0A9A">
        <w:t>primary obje</w:t>
      </w:r>
      <w:r w:rsidRPr="00AF0A9A">
        <w:t>c</w:t>
      </w:r>
      <w:r w:rsidRPr="00AF0A9A">
        <w:t>tive is the movement of the price of the investment</w:t>
      </w:r>
      <w:r>
        <w:t xml:space="preserve"> </w:t>
      </w:r>
      <w:r w:rsidRPr="00AF0A9A">
        <w:t>rather t</w:t>
      </w:r>
      <w:r>
        <w:t xml:space="preserve">han the creation, liquidation or hedging </w:t>
      </w:r>
      <w:r w:rsidRPr="00AF0A9A">
        <w:t>of a position</w:t>
      </w:r>
      <w:r>
        <w:t>, may warrant further investigation</w:t>
      </w:r>
      <w:r w:rsidRPr="009E7C1D">
        <w:t>.</w:t>
      </w:r>
    </w:p>
    <w:p w:rsidR="005A1950" w:rsidRDefault="005A1950" w:rsidP="005A1950">
      <w:pPr>
        <w:pStyle w:val="Body1"/>
      </w:pPr>
      <w:r w:rsidRPr="00460C9E">
        <w:t>It would also be helpful for the advice to stipulate when a practice is not abusive behaviour, for e</w:t>
      </w:r>
      <w:r w:rsidRPr="00460C9E">
        <w:t>x</w:t>
      </w:r>
      <w:r w:rsidRPr="00460C9E">
        <w:t>ample, by stating that the practice is not manipulative behaviour if conducted for legitimate re</w:t>
      </w:r>
      <w:r w:rsidRPr="00460C9E">
        <w:t>a</w:t>
      </w:r>
      <w:r w:rsidRPr="00460C9E">
        <w:t>sons (e.g. Draft technical advice Section 7(2) vs. MAR 1.6.4 (2)). For example, section 4 relates to orders to trade given or</w:t>
      </w:r>
      <w:r>
        <w:t xml:space="preserve"> transactions undertaken</w:t>
      </w:r>
      <w:r w:rsidRPr="00460C9E">
        <w:t xml:space="preserve"> representing a significant proportion of daily vo</w:t>
      </w:r>
      <w:r w:rsidRPr="00460C9E">
        <w:t>l</w:t>
      </w:r>
      <w:r w:rsidRPr="00460C9E">
        <w:t>ume in the relevant financial instrument.  We would question why is holding a significant percen</w:t>
      </w:r>
      <w:r w:rsidRPr="00460C9E">
        <w:t>t</w:t>
      </w:r>
      <w:r w:rsidRPr="00460C9E">
        <w:t>age of volume an indicator of manipulative behaviour?  Another example is in section 5 where the text related to orders to trade given or transactions undertaken by persons with a significant buying or selling position. Similarly, holding a significant position in itself is not an indicator of market m</w:t>
      </w:r>
      <w:r w:rsidRPr="00460C9E">
        <w:t>a</w:t>
      </w:r>
      <w:r w:rsidRPr="00460C9E">
        <w:t>nipulation.</w:t>
      </w:r>
    </w:p>
    <w:p w:rsidR="00E9344E" w:rsidRDefault="005A1950" w:rsidP="005A1950">
      <w:pPr>
        <w:pStyle w:val="Body1"/>
      </w:pPr>
      <w:r>
        <w:t>The mandate detailed within MAR is to provide further clarity on the Annex 1 MAR indicators. In our view there is a clear pattern of improper intent throughout the examples of manipulative beha</w:t>
      </w:r>
      <w:r>
        <w:t>v</w:t>
      </w:r>
      <w:r>
        <w:t>iours detailed in both Annex 1 MAR, and the draft technical advice, as such we consider it may be of more use to specify that the aims and intent of the person(s) should be a primary consideration, rather than detailing such extensive non-exhaustive lists.</w:t>
      </w:r>
    </w:p>
    <w:permEnd w:id="294670651"/>
    <w:p w:rsidR="00E9344E" w:rsidRDefault="00E9344E" w:rsidP="00E9344E">
      <w:r>
        <w:t>&lt;ESMA_QUESTION_MAR_TA_1&gt;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rsidR="00E9344E" w:rsidRDefault="00E9344E" w:rsidP="00E9344E"/>
    <w:p w:rsidR="00E9344E" w:rsidRDefault="00E9344E" w:rsidP="00E9344E">
      <w:r>
        <w:t>&lt;ESMA_QUESTION_MAR_TA_2&gt;</w:t>
      </w:r>
    </w:p>
    <w:p w:rsidR="005A1950" w:rsidRDefault="005A1950" w:rsidP="005A1950">
      <w:pPr>
        <w:pStyle w:val="Body1"/>
      </w:pPr>
      <w:permStart w:id="2082144415" w:edGrp="everyone"/>
      <w:r>
        <w:t xml:space="preserve"> No. Whilst we agree that it is helpful for ESMA to provide examples of behaviour that has potential to be market manipulation, we query the usefulness of such an extensive non-exhaustive list. We note that a number of the examples provided are unclear, repetitive and in some cases erroneous. Additionally we note ESMA has used terminology which is not inline with market understanding of such terms, such as </w:t>
      </w:r>
      <w:r w:rsidRPr="00D30879">
        <w:t>‘pump and dump’ and ‘trash and cash’</w:t>
      </w:r>
      <w:r>
        <w:t>.</w:t>
      </w:r>
    </w:p>
    <w:p w:rsidR="005A1950" w:rsidRDefault="005A1950" w:rsidP="005A1950">
      <w:pPr>
        <w:pStyle w:val="Body1"/>
      </w:pPr>
      <w:r>
        <w:lastRenderedPageBreak/>
        <w:t xml:space="preserve">Given the breadth of behaviours that could indicate market manipulation may be taking place, we consider that it would be more helpful to provide a list of more general factors that may be considered in respect of the indicators set out in Annex 1 MAR. We are strongly of the view that the aims and intent of the person(s) in question should be an important consideration and ask ESMA to expressly detail this.  Further, we are of the view that any order or transaction whose </w:t>
      </w:r>
      <w:r w:rsidRPr="00AF0A9A">
        <w:t>primary objective is the movement of the price of the investment</w:t>
      </w:r>
      <w:r>
        <w:t xml:space="preserve"> </w:t>
      </w:r>
      <w:r w:rsidRPr="00AF0A9A">
        <w:t>rather t</w:t>
      </w:r>
      <w:r>
        <w:t xml:space="preserve">han the creation, liquidation or hedging </w:t>
      </w:r>
      <w:r w:rsidRPr="00AF0A9A">
        <w:t>of a position</w:t>
      </w:r>
      <w:r>
        <w:t>, may warrant further investigation</w:t>
      </w:r>
      <w:r w:rsidRPr="009E7C1D">
        <w:t>.</w:t>
      </w:r>
    </w:p>
    <w:p w:rsidR="005A1950" w:rsidRDefault="005A1950" w:rsidP="005A1950">
      <w:pPr>
        <w:pStyle w:val="Body1"/>
      </w:pPr>
      <w:r w:rsidRPr="00460C9E">
        <w:t>It would also be helpful for the advice to stipulate when a practice is not abusive behaviour, for example, by stating that the practice is not manipulative behaviour if conducted for legitimate reasons (e.g. Draft technical advice Section 7(2) vs. MAR 1.6.4 (2)). For example, section 4 relates to orders to trade given or</w:t>
      </w:r>
      <w:r>
        <w:t xml:space="preserve"> transactions undertaken</w:t>
      </w:r>
      <w:r w:rsidRPr="00460C9E">
        <w:t xml:space="preserve"> representing a significant proportion of daily volume in the relevant financial instrument.  We would question why is holding a significant percentage of volume an indicator of manipulative behaviour?  Another example is in section 5 where the text related to orders to trade given or transactions undertaken by persons with a significant buying or selling position. Similarly, holding a significant position in itself is not an indicator of market manipulation.</w:t>
      </w:r>
    </w:p>
    <w:p w:rsidR="00E9344E" w:rsidRDefault="005A1950" w:rsidP="005A1950">
      <w:pPr>
        <w:pStyle w:val="Body1"/>
      </w:pPr>
      <w:r>
        <w:t>The mandate detailed within MAR is to provide further clarity on the Annex 1 MAR indicators. In our view there is a clear pattern of improper intent throughout the examples of manipulative behaviours detailed in both Annex 1 MAR, and the draft technical advice, as such we consider it may be of more use to specify that the aims and intent of the person(s) should be a primary consideration, rather than detailing such extensive non-exhaustive lists.</w:t>
      </w:r>
    </w:p>
    <w:permEnd w:id="2082144415"/>
    <w:p w:rsidR="00E9344E" w:rsidRDefault="00E9344E" w:rsidP="00E9344E">
      <w:r>
        <w:t>&lt;ESMA_QUESTION_MAR_TA_2&gt;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that the practice known as “Phishing</w:t>
      </w:r>
      <w:r>
        <w:rPr>
          <w:rStyle w:val="FootnoteReference"/>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E9344E" w:rsidRPr="005A1950" w:rsidRDefault="005A1950" w:rsidP="005A1950">
      <w:pPr>
        <w:pStyle w:val="Body1"/>
        <w:rPr>
          <w:rFonts w:cs="Arial"/>
          <w:sz w:val="22"/>
          <w:szCs w:val="22"/>
        </w:rPr>
      </w:pPr>
      <w:permStart w:id="32463907" w:edGrp="everyone"/>
      <w:r>
        <w:t>Yes, we agree that phishing is not an acceptable practice.</w:t>
      </w:r>
    </w:p>
    <w:permEnd w:id="32463907"/>
    <w:p w:rsidR="00E9344E" w:rsidRDefault="00E9344E" w:rsidP="00E9344E">
      <w:r>
        <w:t>&lt;ESMA_QUESTION_MAR_TA_3&gt;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5A1950" w:rsidRPr="006A596D" w:rsidRDefault="005A1950" w:rsidP="005A1950">
      <w:pPr>
        <w:pStyle w:val="Body1"/>
      </w:pPr>
      <w:permStart w:id="494102985" w:edGrp="everyone"/>
      <w:r>
        <w:t>Yes, we do support the reference to OTC transactions with respect to cross-product and inter-trading venue manipulation. As described at our response to question 1, we consider that the important factor in considering behaviours to be the presence of intent and this should not differ for trades undertaken on an OTC basis.</w:t>
      </w:r>
    </w:p>
    <w:permEnd w:id="494102985"/>
    <w:p w:rsidR="00EC69C3" w:rsidRDefault="00E9344E" w:rsidP="00E9344E">
      <w:r>
        <w:t>&lt;ESMA_QUESTION_MAR_TA_4&gt;</w:t>
      </w:r>
    </w:p>
    <w:p w:rsidR="00E9344E" w:rsidRDefault="00EC69C3" w:rsidP="00E9344E">
      <w:r>
        <w:br w:type="page"/>
      </w:r>
    </w:p>
    <w:p w:rsidR="00E9344E" w:rsidRDefault="00E9344E" w:rsidP="00E9344E">
      <w:pPr>
        <w:pStyle w:val="Heading1"/>
        <w:keepLines/>
        <w:numPr>
          <w:ilvl w:val="0"/>
          <w:numId w:val="37"/>
        </w:numPr>
        <w:spacing w:before="480" w:after="0"/>
      </w:pPr>
      <w:r>
        <w:t>Minimum thresholds for the purpose of the exemption for certain participants in the emission allowance market from the requirement to publicly disclose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individual information would have no impact on investors' decisions? Please substantiate.</w:t>
      </w:r>
    </w:p>
    <w:p w:rsidR="00E9344E" w:rsidRDefault="00E9344E" w:rsidP="00E9344E"/>
    <w:p w:rsidR="00E9344E" w:rsidRDefault="00E9344E" w:rsidP="00E9344E">
      <w:r>
        <w:t>&lt;ESMA_QUESTION_MAR_TA_5&gt;</w:t>
      </w:r>
    </w:p>
    <w:p w:rsidR="00E9344E" w:rsidRDefault="00E9344E" w:rsidP="00E9344E">
      <w:permStart w:id="1961231142" w:edGrp="everyone"/>
      <w:r>
        <w:t>TYPE YOUR TEXT HERE</w:t>
      </w:r>
    </w:p>
    <w:permEnd w:id="1961231142"/>
    <w:p w:rsidR="00E9344E" w:rsidRDefault="00E9344E" w:rsidP="00E9344E">
      <w:r>
        <w:t>&lt;ESMA_QUESTION_MAR_TA_5&gt;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your opinion, what types of entity-specific, non-public information held by individual market participants are most relevant for price formation or investment decisions in the emission allowance market?</w:t>
      </w:r>
    </w:p>
    <w:p w:rsidR="00E9344E" w:rsidRDefault="00E9344E" w:rsidP="00E9344E"/>
    <w:p w:rsidR="00E9344E" w:rsidRDefault="00E9344E" w:rsidP="00E9344E">
      <w:r>
        <w:t>&lt;ESMA_QUESTION_MAR_TA_6&gt;</w:t>
      </w:r>
    </w:p>
    <w:p w:rsidR="00E9344E" w:rsidRDefault="00E9344E" w:rsidP="00E9344E">
      <w:permStart w:id="1419013162" w:edGrp="everyone"/>
      <w:r>
        <w:t>TYPE YOUR TEXT HERE</w:t>
      </w:r>
    </w:p>
    <w:permEnd w:id="1419013162"/>
    <w:p w:rsidR="00E9344E" w:rsidRDefault="00E9344E" w:rsidP="00E9344E">
      <w:r>
        <w:t>&lt;ESMA_QUESTION_MAR_TA_6&gt;</w:t>
      </w:r>
    </w:p>
    <w:p w:rsidR="00E9344E" w:rsidRDefault="00E9344E" w:rsidP="00E9344E">
      <w:r>
        <w:br w:type="page"/>
      </w:r>
    </w:p>
    <w:p w:rsidR="00E9344E" w:rsidRDefault="00E9344E" w:rsidP="00E9344E">
      <w:pPr>
        <w:pStyle w:val="Heading1"/>
        <w:keepLines/>
        <w:numPr>
          <w:ilvl w:val="0"/>
          <w:numId w:val="37"/>
        </w:numPr>
        <w:spacing w:before="480" w:after="0"/>
      </w:pPr>
      <w:r>
        <w:t>Determination of the competent authority for notification of delays in public disclosure of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 xml:space="preserve">Do you agree with the proposals for determining the competent authority to whom issuers of financial instruments and emission allowances market participants should notify delays in disclosure of inside information? </w:t>
      </w:r>
    </w:p>
    <w:p w:rsidR="00E9344E" w:rsidRDefault="00E9344E" w:rsidP="00E9344E"/>
    <w:p w:rsidR="00E9344E" w:rsidRDefault="00E9344E" w:rsidP="00E9344E">
      <w:r>
        <w:t>&lt;ESMA_QUESTION_MAR_TA_7&gt;</w:t>
      </w:r>
    </w:p>
    <w:p w:rsidR="00E9344E" w:rsidRDefault="00E9344E" w:rsidP="00E9344E">
      <w:permStart w:id="82277844" w:edGrp="everyone"/>
      <w:r>
        <w:t>TYPE YOUR TEXT HERE</w:t>
      </w:r>
    </w:p>
    <w:permEnd w:id="82277844"/>
    <w:p w:rsidR="00E9344E" w:rsidRDefault="00E9344E" w:rsidP="00E9344E">
      <w:r>
        <w:t>&lt;ESMA_QUESTION_MAR_TA_7&gt;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different MSs, which criteria should ESMA take into consideration to determine the relevant competent authority?</w:t>
      </w:r>
    </w:p>
    <w:p w:rsidR="00E9344E" w:rsidRDefault="00E9344E" w:rsidP="00E9344E"/>
    <w:p w:rsidR="00E9344E" w:rsidRDefault="00E9344E" w:rsidP="00E9344E">
      <w:r>
        <w:t>&lt;ESMA_QUESTION_MAR_TA_8&gt;</w:t>
      </w:r>
    </w:p>
    <w:p w:rsidR="00E9344E" w:rsidRDefault="005A1950" w:rsidP="005A1950">
      <w:pPr>
        <w:pStyle w:val="Body1"/>
      </w:pPr>
      <w:permStart w:id="271398795" w:edGrp="everyone"/>
      <w:r w:rsidRPr="006119BB">
        <w:t xml:space="preserve">In such a case, </w:t>
      </w:r>
      <w:r>
        <w:t xml:space="preserve">we consider the relevant </w:t>
      </w:r>
      <w:r w:rsidRPr="006119BB">
        <w:t xml:space="preserve">competent authority should </w:t>
      </w:r>
      <w:r>
        <w:t xml:space="preserve">be the one in the Member State where the trading venue with the highest </w:t>
      </w:r>
      <w:r w:rsidRPr="006119BB">
        <w:t>liquidity on average</w:t>
      </w:r>
      <w:r>
        <w:t>,</w:t>
      </w:r>
      <w:r w:rsidRPr="006119BB">
        <w:t xml:space="preserve"> during the </w:t>
      </w:r>
      <w:r>
        <w:t xml:space="preserve">prior </w:t>
      </w:r>
      <w:r w:rsidRPr="006119BB">
        <w:t>six months</w:t>
      </w:r>
      <w:r>
        <w:t>, is located</w:t>
      </w:r>
      <w:r w:rsidRPr="006119BB">
        <w:t xml:space="preserve">. This would provide information to the </w:t>
      </w:r>
      <w:r w:rsidRPr="002C6C95">
        <w:t>competent authority</w:t>
      </w:r>
      <w:r w:rsidRPr="006119BB">
        <w:t xml:space="preserve"> overseeing the larger liquidity venue.</w:t>
      </w:r>
    </w:p>
    <w:permEnd w:id="271398795"/>
    <w:p w:rsidR="00E9344E" w:rsidRDefault="00E9344E" w:rsidP="00E9344E">
      <w:r>
        <w:t>&lt;ESMA_QUESTION_MAR_TA_8&gt;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authority be determined according to mechanism set out in Article 19(2) of MAR or in another way?</w:t>
      </w:r>
    </w:p>
    <w:p w:rsidR="00E9344E" w:rsidRDefault="00E9344E" w:rsidP="00E9344E"/>
    <w:p w:rsidR="00E9344E" w:rsidRDefault="00E9344E" w:rsidP="00E9344E">
      <w:r>
        <w:t>&lt;ESMA_QUESTION_MAR_TA_9&gt;</w:t>
      </w:r>
    </w:p>
    <w:p w:rsidR="00E9344E" w:rsidRDefault="005A1950" w:rsidP="005A1950">
      <w:pPr>
        <w:pStyle w:val="Body1"/>
      </w:pPr>
      <w:permStart w:id="129911792" w:edGrp="everyone"/>
      <w:r w:rsidRPr="006A596D">
        <w:t>In cases of systemic risk</w:t>
      </w:r>
      <w:r>
        <w:t>, disclosure should be made by the credit or financial</w:t>
      </w:r>
      <w:r w:rsidRPr="006A596D">
        <w:t xml:space="preserve"> institu</w:t>
      </w:r>
      <w:r>
        <w:t>tion to the</w:t>
      </w:r>
      <w:r w:rsidRPr="006A596D">
        <w:t xml:space="preserve"> </w:t>
      </w:r>
      <w:r w:rsidRPr="00E55EA6">
        <w:t xml:space="preserve">competent authority </w:t>
      </w:r>
      <w:r w:rsidRPr="006A596D">
        <w:t xml:space="preserve">of the </w:t>
      </w:r>
      <w:r>
        <w:t>Member State</w:t>
      </w:r>
      <w:r w:rsidRPr="006A596D">
        <w:t xml:space="preserve"> where the </w:t>
      </w:r>
      <w:r>
        <w:t xml:space="preserve">credit or </w:t>
      </w:r>
      <w:r w:rsidRPr="006A596D">
        <w:t xml:space="preserve">financial institution </w:t>
      </w:r>
      <w:r>
        <w:t xml:space="preserve">has its </w:t>
      </w:r>
      <w:r w:rsidRPr="006A596D">
        <w:t xml:space="preserve"> registered</w:t>
      </w:r>
      <w:r>
        <w:t xml:space="preserve"> office. Where the credit or financial</w:t>
      </w:r>
      <w:r w:rsidRPr="006A596D">
        <w:t xml:space="preserve"> institu</w:t>
      </w:r>
      <w:r>
        <w:t xml:space="preserve">tion is </w:t>
      </w:r>
      <w:r w:rsidRPr="006A596D">
        <w:t>not registered in a M</w:t>
      </w:r>
      <w:r>
        <w:t xml:space="preserve">ember </w:t>
      </w:r>
      <w:r w:rsidRPr="006A596D">
        <w:t>S</w:t>
      </w:r>
      <w:r>
        <w:t>tate</w:t>
      </w:r>
      <w:r w:rsidRPr="006A596D">
        <w:t>,</w:t>
      </w:r>
      <w:r>
        <w:t xml:space="preserve"> we are of the view that</w:t>
      </w:r>
      <w:r w:rsidRPr="006A596D">
        <w:t xml:space="preserve"> disclosure should be made to the </w:t>
      </w:r>
      <w:r>
        <w:t xml:space="preserve">competent authority of the  Member </w:t>
      </w:r>
      <w:r w:rsidRPr="006A596D">
        <w:t>S</w:t>
      </w:r>
      <w:r>
        <w:t>tate</w:t>
      </w:r>
      <w:r w:rsidRPr="006A596D">
        <w:t xml:space="preserve"> which provides lead prudential oversight of the financial institution.</w:t>
      </w:r>
    </w:p>
    <w:permEnd w:id="129911792"/>
    <w:p w:rsidR="00E9344E" w:rsidRDefault="00E9344E" w:rsidP="00E9344E">
      <w:r>
        <w:t>&lt;ESMA_QUESTION_MAR_TA_9&gt;</w:t>
      </w:r>
    </w:p>
    <w:p w:rsidR="00E9344E" w:rsidRDefault="00E9344E" w:rsidP="00E9344E">
      <w:r>
        <w:br w:type="page"/>
      </w:r>
    </w:p>
    <w:p w:rsidR="00E9344E" w:rsidRDefault="00E9344E" w:rsidP="00E9344E">
      <w:pPr>
        <w:pStyle w:val="Heading1"/>
        <w:keepLines/>
        <w:numPr>
          <w:ilvl w:val="0"/>
          <w:numId w:val="37"/>
        </w:numPr>
        <w:spacing w:before="480" w:after="0"/>
      </w:pPr>
      <w:r>
        <w:t>Managers’ transactions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5A1950" w:rsidRDefault="005A1950" w:rsidP="005A1950">
      <w:pPr>
        <w:pStyle w:val="Body1"/>
      </w:pPr>
      <w:permStart w:id="1979990523" w:edGrp="everyone"/>
      <w:r>
        <w:t>Yes, we g</w:t>
      </w:r>
      <w:r w:rsidRPr="006119BB">
        <w:t>enerally agree</w:t>
      </w:r>
      <w:r>
        <w:t xml:space="preserve"> with the types of the transactions listed. However, please find our more detailed comments on the draft technical advice below:</w:t>
      </w:r>
    </w:p>
    <w:p w:rsidR="005A1950" w:rsidRDefault="005A1950" w:rsidP="005A1950">
      <w:pPr>
        <w:pStyle w:val="Body1"/>
        <w:numPr>
          <w:ilvl w:val="0"/>
          <w:numId w:val="42"/>
        </w:numPr>
      </w:pPr>
      <w:r>
        <w:t>para. 4 – we find it unclear what exactly is meant by the transaction “cannot be executed at another point in time” and suggest that this be deleted so as to avoid a literal interpretation, as it should not be an absolute, all or nothing requirement but the  “reasonableness” test should apply.</w:t>
      </w:r>
    </w:p>
    <w:p w:rsidR="005A1950" w:rsidRDefault="005A1950" w:rsidP="005A1950">
      <w:pPr>
        <w:pStyle w:val="Body1"/>
        <w:numPr>
          <w:ilvl w:val="0"/>
          <w:numId w:val="42"/>
        </w:numPr>
      </w:pPr>
      <w:r>
        <w:t xml:space="preserve">para. 7 – we consider that one should demonstrate that the sale of share is the “most” reasonable alternative, rather than the “only” </w:t>
      </w:r>
      <w:r w:rsidRPr="00D432A8">
        <w:t>reasonable alternative</w:t>
      </w:r>
      <w:r>
        <w:t>.</w:t>
      </w:r>
    </w:p>
    <w:p w:rsidR="005A1950" w:rsidRDefault="005A1950" w:rsidP="005A1950">
      <w:pPr>
        <w:pStyle w:val="Body1"/>
        <w:numPr>
          <w:ilvl w:val="0"/>
          <w:numId w:val="42"/>
        </w:numPr>
      </w:pPr>
      <w:r>
        <w:t>para. 8 – we do not consider there is a need for the circumstances to be described as “extremely” urgent. In our view there is little difference between “extreme urgency” and “urgency”, and to include the extreme element to the requirement is not helpful.</w:t>
      </w:r>
    </w:p>
    <w:p w:rsidR="00E9344E" w:rsidRDefault="005A1950" w:rsidP="00E9344E">
      <w:pPr>
        <w:pStyle w:val="Body1"/>
        <w:numPr>
          <w:ilvl w:val="0"/>
          <w:numId w:val="42"/>
        </w:numPr>
      </w:pPr>
      <w:r>
        <w:t>para.13(a) – we do not understand the rationale for an “at least 4 months prior” notification requirement. We agree that the PDMR should notify the issuer prior to the closed period but we consider at least 4 months to be an unnecessarily long notification period.</w:t>
      </w:r>
    </w:p>
    <w:permEnd w:id="1979990523"/>
    <w:p w:rsidR="00E9344E" w:rsidRDefault="00E9344E" w:rsidP="00E9344E">
      <w:r>
        <w:t>&lt;ESMA_QUESTION_MAR_TA_10&gt;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E9344E" w:rsidRDefault="005A1950" w:rsidP="005A1950">
      <w:pPr>
        <w:pStyle w:val="Body1"/>
      </w:pPr>
      <w:permStart w:id="290015223" w:edGrp="everyone"/>
      <w:r>
        <w:t>Yes we do consider the weighting approach as appropriate. A weighted standard</w:t>
      </w:r>
      <w:r w:rsidRPr="006119BB">
        <w:t xml:space="preserve"> is </w:t>
      </w:r>
      <w:r>
        <w:t>a commonly used and understood approach (e.g. with respect to disclosure obligations under the Short Selling R</w:t>
      </w:r>
      <w:r w:rsidRPr="007C6D07">
        <w:t xml:space="preserve">egulation </w:t>
      </w:r>
      <w:r>
        <w:t xml:space="preserve">(EU) </w:t>
      </w:r>
      <w:r w:rsidRPr="007C6D07">
        <w:t>(</w:t>
      </w:r>
      <w:r w:rsidRPr="007C6D07">
        <w:rPr>
          <w:rStyle w:val="Emphasis"/>
        </w:rPr>
        <w:t>236/2012</w:t>
      </w:r>
      <w:r>
        <w:rPr>
          <w:rStyle w:val="Emphasis"/>
        </w:rPr>
        <w:t>))</w:t>
      </w:r>
      <w:r w:rsidRPr="007C6D07">
        <w:t xml:space="preserve"> and</w:t>
      </w:r>
      <w:r>
        <w:t xml:space="preserve"> we consider it suitable here.</w:t>
      </w:r>
    </w:p>
    <w:permEnd w:id="290015223"/>
    <w:p w:rsidR="00E9344E" w:rsidRDefault="00E9344E" w:rsidP="00E9344E">
      <w:r>
        <w:t>&lt;ESMA_QUESTION_MAR_TA_11&gt;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E9344E" w:rsidRDefault="005A1950" w:rsidP="005A1950">
      <w:pPr>
        <w:pStyle w:val="Body1"/>
      </w:pPr>
      <w:permStart w:id="1782204039" w:edGrp="everyone"/>
      <w:r>
        <w:t>We generally agree with the circumstances detailed in the draft technical advice. We consider that it would be useful for ESMA to</w:t>
      </w:r>
      <w:r w:rsidRPr="0074479E">
        <w:t xml:space="preserve"> prov</w:t>
      </w:r>
      <w:r>
        <w:t>ide further clarification on</w:t>
      </w:r>
      <w:r w:rsidRPr="0074479E">
        <w:t xml:space="preserve"> when trading is permitted during closed periods. In particular, in relation to paragraph 4, it would helpful for ESMA</w:t>
      </w:r>
      <w:r>
        <w:t xml:space="preserve"> to expand upon when a transaction “cannot” be executed at another time. We are of the view that it is important to expressly differentiate between circumstances which cannot wait and those where it would be economically unreasonable, in the opinion of the PDMR, to wait. </w:t>
      </w:r>
      <w:r w:rsidRPr="0074479E">
        <w:t>In relation paragraph 7, we wo</w:t>
      </w:r>
      <w:r>
        <w:t>uld suggest replacing the word “only”</w:t>
      </w:r>
      <w:r w:rsidRPr="0074479E">
        <w:t xml:space="preserve"> reasonable alternative with ‘most’ reasonable alternative. In addition, in relation to pa</w:t>
      </w:r>
      <w:r>
        <w:t xml:space="preserve">ragraph 13, we consider the 4 month period before the expiration date of the option or warrant </w:t>
      </w:r>
      <w:r w:rsidRPr="0074479E">
        <w:t xml:space="preserve"> to be too long.  </w:t>
      </w:r>
      <w:r w:rsidRPr="00460C9E">
        <w:t>As long as there is no opportunity for the emplo</w:t>
      </w:r>
      <w:r>
        <w:t xml:space="preserve">yee to influence the grant or </w:t>
      </w:r>
      <w:r w:rsidRPr="00460C9E">
        <w:t xml:space="preserve"> terms of the warrants or options, there would not seem to be any need to impose an arbitrary time frame.  </w:t>
      </w:r>
    </w:p>
    <w:permEnd w:id="1782204039"/>
    <w:p w:rsidR="00E9344E" w:rsidRDefault="00E9344E" w:rsidP="00E9344E">
      <w:r>
        <w:t>&lt;ESMA_QUESTION_MAR_TA_12&gt;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Regarding transactions executed by a third party under a (full) discretionary portfolio or asset management mandate, do you foresee any issue with the proposed approach regarding the disclosure of such transactions or the need to ensure that the closed period prohibition is respected?</w:t>
      </w:r>
    </w:p>
    <w:p w:rsidR="00E9344E" w:rsidRDefault="00E9344E" w:rsidP="00E9344E"/>
    <w:p w:rsidR="00E9344E" w:rsidRDefault="00E9344E" w:rsidP="00E9344E">
      <w:r>
        <w:t>&lt;ESMA_QUESTION_MAR_TA_13&gt;</w:t>
      </w:r>
    </w:p>
    <w:p w:rsidR="005A1950" w:rsidRDefault="005A1950" w:rsidP="005A1950">
      <w:pPr>
        <w:pStyle w:val="Body1"/>
      </w:pPr>
      <w:permStart w:id="633014586" w:edGrp="everyone"/>
      <w:r>
        <w:t xml:space="preserve">Yes. We agree that the closed period prohibition should be respected. With respect to </w:t>
      </w:r>
      <w:r w:rsidRPr="00A442EC">
        <w:t>(full) discretionary portfo</w:t>
      </w:r>
      <w:r>
        <w:t>lio or asset management mandates, where a manager executes transactions on behalf of the PDMR, w</w:t>
      </w:r>
      <w:r w:rsidRPr="00A442EC">
        <w:t>e consider the guidance provided by ESMA in para.114</w:t>
      </w:r>
      <w:r>
        <w:t xml:space="preserve"> of the Consultation Paper</w:t>
      </w:r>
      <w:r w:rsidRPr="00A442EC">
        <w:t>, in relation to the PDMR informing the portfolio managers of the relevant prohibitions, as useful and ask ESMA to consider expressly stating this in the draft technical advice</w:t>
      </w:r>
      <w:r>
        <w:t xml:space="preserve">. </w:t>
      </w:r>
    </w:p>
    <w:p w:rsidR="005A1950" w:rsidRDefault="005A1950" w:rsidP="005A1950">
      <w:pPr>
        <w:pStyle w:val="Body1"/>
      </w:pPr>
      <w:r>
        <w:t>We are greatly concerned by the suggestion that transactions by collective investment schemes (“</w:t>
      </w:r>
      <w:r w:rsidRPr="00BD2848">
        <w:rPr>
          <w:b/>
          <w:bCs/>
        </w:rPr>
        <w:t>CIS</w:t>
      </w:r>
      <w:r>
        <w:t>”) in which the PDMR might have invested could be caught by the prohibition and disclosure regime.</w:t>
      </w:r>
    </w:p>
    <w:p w:rsidR="005A1950" w:rsidRDefault="005A1950" w:rsidP="005A1950">
      <w:pPr>
        <w:pStyle w:val="Body1"/>
      </w:pPr>
      <w:r>
        <w:t>As a matter of law, we do not consider that the Level 1 text, by referring, in Article 19(1) and (2), to transaction conducted on the PDMR’s account, could include CISs which, by definition, transact on their own behalf, with the CIS manager taking decisions on the CIS’s behalf, within the constraints of the CIS’s investment mandate.</w:t>
      </w:r>
    </w:p>
    <w:p w:rsidR="005A1950" w:rsidRDefault="005A1950" w:rsidP="005A1950">
      <w:pPr>
        <w:pStyle w:val="Body1"/>
      </w:pPr>
      <w:r>
        <w:t>The transaction that is carried out on the PDMR’s account is that of investing in the CIS, and there we do agree that Article 19(1)(a), by referring to “other financial instruments related thereto”, would require the PDMR to disclose investments in CIS where the latter’s investment mandate would allow the CIS to invest in the shares and debt instruments of the relevant issuers, or to derivatives related to them.</w:t>
      </w:r>
    </w:p>
    <w:p w:rsidR="005A1950" w:rsidRDefault="005A1950" w:rsidP="005A1950">
      <w:pPr>
        <w:pStyle w:val="Body1"/>
      </w:pPr>
      <w:r>
        <w:t xml:space="preserve">To argue otherwise, as well as being unsustainable in law is, in our view, also impracticable, in that, by requiring the CIS manager to notify the PDMR every time the CIS transacts in a relevant instrument, would generate such high administrative costs that would, in practice, result in CISs refusing investments from PDMRs in issuers in which the CIS’s investment mandate allows investment. Given that generally managers have a lot of discretion on which financial instruments to purchase, this would effectively result in PDMRs being banned from investing in a large proportion of actively managed CIS. </w:t>
      </w:r>
    </w:p>
    <w:p w:rsidR="005A1950" w:rsidRDefault="005A1950" w:rsidP="005A1950">
      <w:pPr>
        <w:pStyle w:val="Body1"/>
      </w:pPr>
      <w:r>
        <w:t>PDMRs would also be effectively barred from investing in passively managed PDMRs because it is hard to imagine why such a CIS, whose attractiveness lies, at least in part on low management fees and the ability to track, with as small a tracking error as possible, a particular index or basket, would commit to either (1) notifying the PDMR of any transaction in relevant instruments (which would be expensive) or (2) exclude the relevant instruments for all PDMRs invested in the fund from the investment range (which would increase the tracking error and most likely breach the terms of the investment mandate).</w:t>
      </w:r>
    </w:p>
    <w:p w:rsidR="00E9344E" w:rsidRPr="005A1950" w:rsidRDefault="005A1950" w:rsidP="005A1950">
      <w:pPr>
        <w:pStyle w:val="Body1"/>
      </w:pPr>
      <w:r w:rsidRPr="005A1950">
        <w:t>Given that the purpose of Article 19 is to avoid the possibility of PDMRs trading on information available to them because of their position, the legislator cannot have intended to restrict their ability to invest in collective investment schemes, which is, on the contrary, to be encouraged, since it means that investment decisions are made by someone with no connection to the PDMR and no access to the information available to him/her.</w:t>
      </w:r>
    </w:p>
    <w:permEnd w:id="633014586"/>
    <w:p w:rsidR="00E9344E" w:rsidRDefault="00E9344E" w:rsidP="00E9344E">
      <w:r>
        <w:t>&lt;ESMA_QUESTION_MAR_TA_13&gt;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E9344E" w:rsidRDefault="005A1950" w:rsidP="005A1950">
      <w:pPr>
        <w:pStyle w:val="Body1"/>
      </w:pPr>
      <w:permStart w:id="428226897" w:edGrp="everyone"/>
      <w:r w:rsidRPr="006119BB">
        <w:t>Exceptional circumstances</w:t>
      </w:r>
      <w:r>
        <w:t xml:space="preserve"> for such trading </w:t>
      </w:r>
      <w:r w:rsidRPr="006119BB">
        <w:t xml:space="preserve"> should be defined by reference to compelling circumstances which would unduly impact the </w:t>
      </w:r>
      <w:r>
        <w:t>PDM</w:t>
      </w:r>
      <w:r w:rsidRPr="006119BB">
        <w:t xml:space="preserve">R and which cannot be avoided until after the closed period. </w:t>
      </w:r>
    </w:p>
    <w:permEnd w:id="428226897"/>
    <w:p w:rsidR="00E9344E" w:rsidRDefault="00E9344E" w:rsidP="00E9344E">
      <w:r>
        <w:t>&lt;ESMA_QUESTION_MAR_TA_14&gt;</w:t>
      </w:r>
    </w:p>
    <w:p w:rsidR="00E9344E" w:rsidRDefault="00E9344E" w:rsidP="00E9344E">
      <w:r>
        <w:br w:type="page"/>
      </w:r>
    </w:p>
    <w:p w:rsidR="00E9344E" w:rsidRDefault="00E9344E" w:rsidP="00E9344E">
      <w:pPr>
        <w:pStyle w:val="Heading1"/>
        <w:keepLines/>
        <w:numPr>
          <w:ilvl w:val="0"/>
          <w:numId w:val="37"/>
        </w:numPr>
        <w:spacing w:before="480" w:after="0"/>
      </w:pPr>
      <w:r>
        <w:t>Reporting of infringements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legislation or guidance could be useful for the protection of the reporting persons under the market abuse regime?</w:t>
      </w:r>
    </w:p>
    <w:p w:rsidR="00E9344E" w:rsidRDefault="00E9344E" w:rsidP="00E9344E"/>
    <w:p w:rsidR="00E9344E" w:rsidRDefault="00E9344E" w:rsidP="00E9344E">
      <w:r>
        <w:t>&lt;ESMA_QUESTION_MAR_TA_15&gt;</w:t>
      </w:r>
    </w:p>
    <w:p w:rsidR="005A1950" w:rsidRPr="005A1950" w:rsidRDefault="005A1950" w:rsidP="005A1950">
      <w:pPr>
        <w:spacing w:after="140" w:line="290" w:lineRule="auto"/>
        <w:ind w:left="680"/>
        <w:jc w:val="both"/>
        <w:rPr>
          <w:rFonts w:ascii="Arial" w:hAnsi="Arial" w:cs="Arial"/>
          <w:kern w:val="20"/>
        </w:rPr>
      </w:pPr>
      <w:permStart w:id="1501063754" w:edGrp="everyone"/>
      <w:r>
        <w:t xml:space="preserve"> </w:t>
      </w:r>
      <w:r w:rsidRPr="005A1950">
        <w:rPr>
          <w:rFonts w:ascii="Arial" w:hAnsi="Arial" w:cs="Arial"/>
          <w:kern w:val="20"/>
        </w:rPr>
        <w:t>No. In principle we support the aims of the proposed draft technical advice with respect to protecting reporting persons. However, we have a number of concerns in relation to such procedures.</w:t>
      </w:r>
    </w:p>
    <w:p w:rsidR="005A1950" w:rsidRPr="005A1950" w:rsidRDefault="005A1950" w:rsidP="005A1950">
      <w:pPr>
        <w:spacing w:after="140" w:line="290" w:lineRule="auto"/>
        <w:ind w:left="680"/>
        <w:jc w:val="both"/>
        <w:rPr>
          <w:rFonts w:ascii="Arial" w:hAnsi="Arial" w:cs="Arial"/>
          <w:kern w:val="20"/>
        </w:rPr>
      </w:pPr>
      <w:r w:rsidRPr="005A1950">
        <w:rPr>
          <w:rFonts w:ascii="Arial" w:hAnsi="Arial" w:cs="Arial"/>
          <w:kern w:val="20"/>
        </w:rPr>
        <w:t xml:space="preserve">Firstly, we are concerned about the notion of having an additional and separate procedural framework specifically with respect to the market abuse regime. We note that with respect of reporting infringements in other areas, firms will already have established policies under national regimes and we query if having other procedures in place at the national competent authority level for certain reporting may be confusing to the employees that the legislation is ultimately aiming to protect. </w:t>
      </w:r>
    </w:p>
    <w:p w:rsidR="005A1950" w:rsidRPr="005A1950" w:rsidRDefault="005A1950" w:rsidP="005A1950">
      <w:pPr>
        <w:spacing w:after="140" w:line="290" w:lineRule="auto"/>
        <w:ind w:left="680"/>
        <w:jc w:val="both"/>
        <w:rPr>
          <w:rFonts w:ascii="Arial" w:hAnsi="Arial" w:cs="Arial"/>
          <w:kern w:val="20"/>
        </w:rPr>
      </w:pPr>
      <w:r w:rsidRPr="005A1950">
        <w:rPr>
          <w:rFonts w:ascii="Arial" w:hAnsi="Arial" w:cs="Arial"/>
          <w:kern w:val="20"/>
        </w:rPr>
        <w:t>Secondly, we query if it would be workable to have such procedures harmonised across all Member States. As ESMA will be aware, national law currently dictates such reporting protection and this does vary from Member State to Member State; therefore having such procedures set out in directly effective European legislation may greatly impact, or ultimately contradict, the national whistleblowing regime currently in place.</w:t>
      </w:r>
    </w:p>
    <w:p w:rsidR="005A1950" w:rsidRPr="005A1950" w:rsidRDefault="005A1950" w:rsidP="005A1950">
      <w:pPr>
        <w:spacing w:after="140" w:line="290" w:lineRule="auto"/>
        <w:ind w:left="680"/>
        <w:jc w:val="both"/>
        <w:rPr>
          <w:rFonts w:ascii="Arial" w:hAnsi="Arial" w:cs="Arial"/>
          <w:kern w:val="20"/>
        </w:rPr>
      </w:pPr>
      <w:r w:rsidRPr="005A1950">
        <w:rPr>
          <w:rFonts w:ascii="Arial" w:hAnsi="Arial" w:cs="Arial"/>
          <w:kern w:val="20"/>
        </w:rPr>
        <w:t>To alleviate such concerns we ask ESMA to consider introducing a policy and principle approach to the procedures that national competent authorities are to introduce in this area. This will enable to national competent authorities to introduce a regime, as prescribed at Article 32(1) MAR, but enabling flexibility for national competent authorities to implement such measures.</w:t>
      </w:r>
    </w:p>
    <w:p w:rsidR="00E9344E" w:rsidRPr="005A1950" w:rsidRDefault="005A1950" w:rsidP="005A1950">
      <w:pPr>
        <w:spacing w:after="140" w:line="290" w:lineRule="auto"/>
        <w:ind w:left="680"/>
        <w:jc w:val="both"/>
        <w:rPr>
          <w:rFonts w:ascii="Arial" w:hAnsi="Arial" w:cs="Arial"/>
          <w:kern w:val="20"/>
        </w:rPr>
      </w:pPr>
      <w:r w:rsidRPr="005A1950">
        <w:rPr>
          <w:rFonts w:ascii="Arial" w:hAnsi="Arial" w:cs="Arial"/>
          <w:kern w:val="20"/>
        </w:rPr>
        <w:t>Additionally, we wish to bring to ESMA’s attention that there is significant scope for  conflict with employment law principles if it is required that the identity of the reporting person(s) is not revealed to those implicated by the report. This is likely to compromise any subsequent investigation and any disciplinary action taken against the individual(s) against whom a report has been made. The circumstances in paragraph 19 of the draft technical advice should  be widened to make it clear that confidentiality may not be preserved in these circumstances, as it would very rarely be considered ‘fair’ in a disciplinary process for an individual not to know the full circumstances of the allegations made against them, which may require the identity of the reporter to be known.</w:t>
      </w:r>
    </w:p>
    <w:permEnd w:id="1501063754"/>
    <w:p w:rsidR="00E9344E" w:rsidRDefault="00E9344E" w:rsidP="00E9344E">
      <w:r>
        <w:t>&lt;ESMA_QUESTION_MAR_TA_15&gt;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there are other elements to be developed in relation to specific procedures for the receipt of reports of infringements under MAR and their follow-up, including the establishment of secure communication channels for such reports</w:t>
      </w:r>
    </w:p>
    <w:p w:rsidR="00E9344E" w:rsidRDefault="00E9344E" w:rsidP="00E9344E"/>
    <w:p w:rsidR="00E9344E" w:rsidRDefault="00E9344E" w:rsidP="00E9344E">
      <w:r>
        <w:t>&lt;ESMA_QUESTION_MAR_TA_16&gt;</w:t>
      </w:r>
    </w:p>
    <w:p w:rsidR="00E9344E" w:rsidRPr="005A1950" w:rsidRDefault="005A1950" w:rsidP="005A1950">
      <w:pPr>
        <w:spacing w:after="140" w:line="290" w:lineRule="auto"/>
        <w:ind w:left="680"/>
        <w:jc w:val="both"/>
        <w:rPr>
          <w:rFonts w:ascii="Arial" w:hAnsi="Arial" w:cs="Arial"/>
          <w:kern w:val="20"/>
        </w:rPr>
      </w:pPr>
      <w:permStart w:id="1605771157" w:edGrp="everyone"/>
      <w:r>
        <w:t xml:space="preserve"> </w:t>
      </w:r>
      <w:r w:rsidRPr="005A1950">
        <w:rPr>
          <w:rFonts w:ascii="Arial" w:hAnsi="Arial" w:cs="Arial"/>
          <w:kern w:val="20"/>
        </w:rPr>
        <w:t>We support the requirement for the establishment of secure communication channels for infringement reporting. However; we are strongly of the view that this secure communication with the national competent authority should be in place between both the firm subject to the report, as well as the reporting person(s). We note that the details of the reporting person(s), and information provided by them, are to be kept confidential. We ask ESMA to also introduce this standard with respect to the firm subject to the infringement report. We consider it very important to ensure that any information provided to the national competent authority by the firm, with respect to the potential infringement investigation, is kept confidential and is not passed to the reporting person(s).</w:t>
      </w:r>
    </w:p>
    <w:permEnd w:id="1605771157"/>
    <w:p w:rsidR="00E9344E" w:rsidRDefault="00E9344E" w:rsidP="00E9344E">
      <w:r>
        <w:t>&lt;ESMA_QUESTION_MAR_TA_16&gt;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Heading5"/>
        <w:keepNext w:val="0"/>
        <w:keepLines w:val="0"/>
        <w:numPr>
          <w:ilvl w:val="0"/>
          <w:numId w:val="39"/>
        </w:numPr>
        <w:spacing w:before="0" w:line="276" w:lineRule="auto"/>
      </w:pPr>
      <w:r>
        <w:t>compliance with data retention periods and notification requirements for data processing;</w:t>
      </w:r>
    </w:p>
    <w:p w:rsidR="00E9344E" w:rsidRDefault="00E9344E" w:rsidP="00E9344E">
      <w:pPr>
        <w:pStyle w:val="Heading5"/>
        <w:keepNext w:val="0"/>
        <w:keepLines w:val="0"/>
        <w:numPr>
          <w:ilvl w:val="0"/>
          <w:numId w:val="39"/>
        </w:numPr>
        <w:spacing w:before="0" w:line="276" w:lineRule="auto"/>
      </w:pPr>
      <w:r>
        <w:t>protection of the rights related to data processing;</w:t>
      </w:r>
    </w:p>
    <w:p w:rsidR="00E9344E" w:rsidRDefault="00E9344E" w:rsidP="00E9344E">
      <w:pPr>
        <w:pStyle w:val="Heading5"/>
        <w:keepNext w:val="0"/>
        <w:keepLines w:val="0"/>
        <w:numPr>
          <w:ilvl w:val="0"/>
          <w:numId w:val="39"/>
        </w:numPr>
        <w:spacing w:before="0" w:line="276" w:lineRule="auto"/>
      </w:pPr>
      <w:r>
        <w:t>security aspects of the data processing operation; and</w:t>
      </w:r>
    </w:p>
    <w:p w:rsidR="00E9344E" w:rsidRDefault="00E9344E" w:rsidP="00E9344E">
      <w:pPr>
        <w:pStyle w:val="Heading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5A1950" w:rsidRPr="005A1950" w:rsidRDefault="005A1950" w:rsidP="005A1950">
      <w:pPr>
        <w:spacing w:after="140" w:line="290" w:lineRule="auto"/>
        <w:ind w:left="680"/>
        <w:jc w:val="both"/>
        <w:outlineLvl w:val="1"/>
        <w:rPr>
          <w:rFonts w:ascii="Arial" w:hAnsi="Arial" w:cs="Arial"/>
          <w:kern w:val="20"/>
        </w:rPr>
      </w:pPr>
      <w:permStart w:id="1037506602" w:edGrp="everyone"/>
      <w:r>
        <w:t xml:space="preserve"> </w:t>
      </w:r>
      <w:r w:rsidRPr="005A1950">
        <w:rPr>
          <w:rFonts w:ascii="Arial" w:hAnsi="Arial" w:cs="Arial"/>
          <w:kern w:val="20"/>
        </w:rPr>
        <w:t>We consider the data protection laws currently in place across the Union as adequate to addressing the concerns listed above. Data protection is a well established and considered regime and we strongly support ensuring that the current regimes in each Member State are retained in respect of the data protection elements of MAR. We are concerned that The requirements in the technical guidance, as drafted, would give employees making a report of a MAR infringement greater protection in relation to confidentiality than those making other types of protected disclosure. This is not only disjointed but also confusing for the employees subject to the protection.</w:t>
      </w:r>
    </w:p>
    <w:p w:rsidR="00E9344E" w:rsidRPr="005A1950" w:rsidRDefault="005A1950" w:rsidP="005A1950">
      <w:pPr>
        <w:spacing w:after="140" w:line="290" w:lineRule="auto"/>
        <w:ind w:left="680"/>
        <w:jc w:val="both"/>
        <w:outlineLvl w:val="1"/>
        <w:rPr>
          <w:rFonts w:ascii="Arial" w:hAnsi="Arial" w:cs="Arial"/>
          <w:kern w:val="20"/>
        </w:rPr>
      </w:pPr>
      <w:r w:rsidRPr="005A1950">
        <w:rPr>
          <w:rFonts w:ascii="Arial" w:hAnsi="Arial" w:cs="Arial"/>
          <w:kern w:val="20"/>
        </w:rPr>
        <w:t>With respect to cross-border transfer of data, it is accepted and widely recognised that data should not be transferred to another jurisdiction, unless the jurisdiction is question has equivalent data protection laws. We strongly support this mechanism with respect to cross border movement of personal data</w:t>
      </w:r>
      <w:r>
        <w:rPr>
          <w:rFonts w:ascii="Arial" w:hAnsi="Arial" w:cs="Arial"/>
          <w:kern w:val="20"/>
        </w:rPr>
        <w:t>.</w:t>
      </w:r>
    </w:p>
    <w:permEnd w:id="1037506602"/>
    <w:p w:rsidR="00E9344E" w:rsidRDefault="00E9344E" w:rsidP="00E9344E">
      <w:r>
        <w:t>&lt;ESMA_QUESTION_MAR_TA_17&gt;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the context of “the protection of employees working under contract of employment”, among the following common forms of unfair treatment - namely dismissal, punitive,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E9344E" w:rsidRPr="005A1950" w:rsidRDefault="005A1950" w:rsidP="005A1950">
      <w:pPr>
        <w:spacing w:after="140" w:line="290" w:lineRule="auto"/>
        <w:ind w:left="680"/>
        <w:jc w:val="both"/>
        <w:rPr>
          <w:rFonts w:ascii="Arial" w:hAnsi="Arial" w:cs="Arial"/>
          <w:kern w:val="20"/>
        </w:rPr>
      </w:pPr>
      <w:permStart w:id="2013142167" w:edGrp="everyone"/>
      <w:r>
        <w:t xml:space="preserve"> </w:t>
      </w:r>
      <w:r w:rsidRPr="005A1950">
        <w:rPr>
          <w:rFonts w:ascii="Arial" w:hAnsi="Arial" w:cs="Arial"/>
          <w:kern w:val="20"/>
        </w:rPr>
        <w:t xml:space="preserve">In our view, the most important form of unfair treatment is dismissal. Firms will already have policies in place with respect to dismissal, as well as other unfair treatments listed, such as harassment, under national employment law or internal policies. We therefore do not consider it useful to have parallel separate procedures in place with respect to protection of employees, pursuant to MAR infringement reporting.  </w:t>
      </w:r>
    </w:p>
    <w:permEnd w:id="2013142167"/>
    <w:p w:rsidR="00E9344E" w:rsidRDefault="00E9344E" w:rsidP="00E9344E">
      <w:r>
        <w:t>&lt;ESMA_QUESTION_MAR_TA_18&gt;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complement the mechanism of the competent authorities and the waiver of liability for reporting proposed in the draft technical advice, in order to increase the protection of employees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5A1950" w:rsidRPr="005A1950" w:rsidRDefault="005A1950" w:rsidP="005A1950">
      <w:pPr>
        <w:spacing w:after="140" w:line="290" w:lineRule="auto"/>
        <w:ind w:left="680"/>
        <w:jc w:val="both"/>
        <w:rPr>
          <w:rFonts w:ascii="Arial" w:hAnsi="Arial" w:cs="Arial"/>
          <w:kern w:val="20"/>
        </w:rPr>
      </w:pPr>
      <w:permStart w:id="163909519" w:edGrp="everyone"/>
      <w:r>
        <w:t xml:space="preserve"> </w:t>
      </w:r>
      <w:r w:rsidRPr="005A1950">
        <w:rPr>
          <w:rFonts w:ascii="Arial" w:hAnsi="Arial" w:cs="Arial"/>
          <w:kern w:val="20"/>
        </w:rPr>
        <w:t>Although implied by the current text, the principle that reports made by employees in bad faith are not included in the waiver should be expressed. Malicious reporting is not acceptable.</w:t>
      </w:r>
    </w:p>
    <w:p w:rsidR="00E9344E" w:rsidRPr="005A1950" w:rsidRDefault="005A1950" w:rsidP="005A1950">
      <w:pPr>
        <w:spacing w:after="140" w:line="290" w:lineRule="auto"/>
        <w:ind w:left="680"/>
        <w:jc w:val="both"/>
        <w:rPr>
          <w:rFonts w:cs="Arial"/>
          <w:kern w:val="20"/>
        </w:rPr>
      </w:pPr>
      <w:r w:rsidRPr="005A1950">
        <w:rPr>
          <w:rFonts w:ascii="Arial" w:hAnsi="Arial" w:cs="Arial"/>
          <w:kern w:val="20"/>
        </w:rPr>
        <w:t>We also ask ESMA to consider the cross border impact of such a waiver, where firms outside the EU have strict banking privacy laws. For example, where an employee within the EU reports information with respect to a Swiss incorporated company or bank</w:t>
      </w:r>
      <w:r w:rsidRPr="00020D60">
        <w:rPr>
          <w:kern w:val="20"/>
        </w:rPr>
        <w:t>.</w:t>
      </w:r>
    </w:p>
    <w:permEnd w:id="163909519"/>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9"/>
      <w:headerReference w:type="first" r:id="rId20"/>
      <w:footerReference w:type="first" r:id="rId21"/>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EBB" w:rsidRDefault="00DE2EBB">
      <w:r>
        <w:separator/>
      </w:r>
    </w:p>
    <w:p w:rsidR="00DE2EBB" w:rsidRDefault="00DE2EBB"/>
  </w:endnote>
  <w:endnote w:type="continuationSeparator" w:id="0">
    <w:p w:rsidR="00DE2EBB" w:rsidRDefault="00DE2EBB">
      <w:r>
        <w:continuationSeparator/>
      </w:r>
    </w:p>
    <w:p w:rsidR="00DE2EBB" w:rsidRDefault="00DE2EBB"/>
  </w:endnote>
  <w:endnote w:type="continuationNotice" w:id="1">
    <w:p w:rsidR="00DE2EBB" w:rsidRDefault="00DE2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50" w:rsidRDefault="005A19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0054C4">
            <w:rPr>
              <w:noProof/>
            </w:rPr>
            <w:t>8</w:t>
          </w:r>
          <w:r>
            <w:rPr>
              <w:noProof/>
            </w:rPr>
            <w:fldChar w:fldCharType="end"/>
          </w:r>
        </w:p>
      </w:tc>
    </w:tr>
  </w:tbl>
  <w:p w:rsidR="00811EDA" w:rsidRDefault="00811E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50" w:rsidRDefault="005A195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EBB" w:rsidRDefault="00DE2EBB">
      <w:r>
        <w:separator/>
      </w:r>
    </w:p>
    <w:p w:rsidR="00DE2EBB" w:rsidRDefault="00DE2EBB"/>
  </w:footnote>
  <w:footnote w:type="continuationSeparator" w:id="0">
    <w:p w:rsidR="00DE2EBB" w:rsidRDefault="00DE2EBB">
      <w:r>
        <w:continuationSeparator/>
      </w:r>
    </w:p>
    <w:p w:rsidR="00DE2EBB" w:rsidRDefault="00DE2EBB"/>
  </w:footnote>
  <w:footnote w:type="continuationNotice" w:id="1">
    <w:p w:rsidR="00DE2EBB" w:rsidRDefault="00DE2EBB"/>
  </w:footnote>
  <w:footnote w:id="2">
    <w:p w:rsidR="00E9344E" w:rsidRDefault="00E9344E" w:rsidP="00E9344E">
      <w:pPr>
        <w:pStyle w:val="FootnoteText"/>
      </w:pPr>
      <w:r>
        <w:rPr>
          <w:rStyle w:val="FootnoteReference"/>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50" w:rsidRDefault="005A1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pPr>
      <w:pStyle w:val="Header"/>
    </w:pPr>
    <w:r>
      <w:rPr>
        <w:noProof/>
        <w:lang w:eastAsia="zh-CN" w:bidi="hi-IN"/>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bidi="hi-IN"/>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rsidP="00013CCE">
    <w:pPr>
      <w:pStyle w:val="Header"/>
      <w:jc w:val="right"/>
    </w:pPr>
    <w:r>
      <w:rPr>
        <w:noProof/>
        <w:lang w:eastAsia="zh-CN" w:bidi="hi-IN"/>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bidi="hi-IN"/>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024F53">
    <w:pPr>
      <w:pStyle w:val="Header"/>
    </w:pPr>
    <w:r>
      <w:rPr>
        <w:noProof/>
        <w:lang w:eastAsia="zh-CN" w:bidi="hi-IN"/>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zh-CN" w:bidi="hi-IN"/>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4C1DC1"/>
    <w:multiLevelType w:val="hybridMultilevel"/>
    <w:tmpl w:val="774409C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0">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8">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1"/>
  </w:num>
  <w:num w:numId="3">
    <w:abstractNumId w:val="13"/>
  </w:num>
  <w:num w:numId="4">
    <w:abstractNumId w:val="25"/>
  </w:num>
  <w:num w:numId="5">
    <w:abstractNumId w:val="3"/>
  </w:num>
  <w:num w:numId="6">
    <w:abstractNumId w:val="27"/>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32"/>
  </w:num>
  <w:num w:numId="15">
    <w:abstractNumId w:val="24"/>
  </w:num>
  <w:num w:numId="16">
    <w:abstractNumId w:val="11"/>
  </w:num>
  <w:num w:numId="17">
    <w:abstractNumId w:val="1"/>
  </w:num>
  <w:num w:numId="18">
    <w:abstractNumId w:val="15"/>
  </w:num>
  <w:num w:numId="19">
    <w:abstractNumId w:val="16"/>
  </w:num>
  <w:num w:numId="20">
    <w:abstractNumId w:val="18"/>
  </w:num>
  <w:num w:numId="21">
    <w:abstractNumId w:val="28"/>
  </w:num>
  <w:num w:numId="22">
    <w:abstractNumId w:val="35"/>
  </w:num>
  <w:num w:numId="23">
    <w:abstractNumId w:val="26"/>
  </w:num>
  <w:num w:numId="24">
    <w:abstractNumId w:val="10"/>
  </w:num>
  <w:num w:numId="25">
    <w:abstractNumId w:val="31"/>
  </w:num>
  <w:num w:numId="26">
    <w:abstractNumId w:val="30"/>
  </w:num>
  <w:num w:numId="27">
    <w:abstractNumId w:val="22"/>
  </w:num>
  <w:num w:numId="28">
    <w:abstractNumId w:val="34"/>
  </w:num>
  <w:num w:numId="29">
    <w:abstractNumId w:val="37"/>
  </w:num>
  <w:num w:numId="30">
    <w:abstractNumId w:val="8"/>
  </w:num>
  <w:num w:numId="31">
    <w:abstractNumId w:val="4"/>
  </w:num>
  <w:num w:numId="32">
    <w:abstractNumId w:val="23"/>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5"/>
  </w:num>
  <w:num w:numId="42">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Moves/>
  <w:doNotTrackFormatting/>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4C4"/>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1FD0"/>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560B"/>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1E27"/>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1950"/>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Body1">
    <w:name w:val="Body 1"/>
    <w:basedOn w:val="Normal"/>
    <w:rsid w:val="005A1950"/>
    <w:pPr>
      <w:spacing w:after="140" w:line="290" w:lineRule="auto"/>
      <w:ind w:left="680"/>
      <w:jc w:val="both"/>
    </w:pPr>
    <w:rPr>
      <w:rFonts w:ascii="Arial" w:hAnsi="Arial"/>
      <w:kern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Body1">
    <w:name w:val="Body 1"/>
    <w:basedOn w:val="Normal"/>
    <w:rsid w:val="005A1950"/>
    <w:pPr>
      <w:spacing w:after="140" w:line="290" w:lineRule="auto"/>
      <w:ind w:left="680"/>
      <w:jc w:val="both"/>
    </w:pPr>
    <w:rPr>
      <w:rFonts w:ascii="Arial" w:hAnsi="Arial"/>
      <w:kern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esma.europa.eu"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consultation/Consultation-Paper-Draft-technical-advice-possible-delegated-acts-concerning-Market-Abu"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ceholde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ceholde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D924AF"/>
    <w:rsid w:val="00DA60A1"/>
    <w:rsid w:val="00FA555B"/>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01D19-4ED4-4DDA-B956-D4410201B97F}">
  <ds:schemaRefs>
    <ds:schemaRef ds:uri="http://schemas.openxmlformats.org/officeDocument/2006/bibliography"/>
  </ds:schemaRefs>
</ds:datastoreItem>
</file>

<file path=customXml/itemProps2.xml><?xml version="1.0" encoding="utf-8"?>
<ds:datastoreItem xmlns:ds="http://schemas.openxmlformats.org/officeDocument/2006/customXml" ds:itemID="{1646CB2D-E714-4D55-8C9C-3269C3CB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1F9DBC95.dotm</Template>
  <TotalTime>0</TotalTime>
  <Pages>8</Pages>
  <Words>4264</Words>
  <Characters>23476</Characters>
  <Application>Microsoft Office Word</Application>
  <DocSecurity>8</DocSecurity>
  <Lines>446</Lines>
  <Paragraphs>152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27650</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Any Authorised User</cp:lastModifiedBy>
  <cp:revision>6</cp:revision>
  <cp:lastPrinted>2014-05-08T15:06:00Z</cp:lastPrinted>
  <dcterms:created xsi:type="dcterms:W3CDTF">2014-10-14T10:00:00Z</dcterms:created>
  <dcterms:modified xsi:type="dcterms:W3CDTF">2014-10-15T12:24:00Z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
  </property>
  <property fmtid="{D5CDD505-2E9C-101B-9397-08002B2CF9AE}" pid="3" name="Document Number">
    <vt:lpwstr/>
  </property>
  <property fmtid="{D5CDD505-2E9C-101B-9397-08002B2CF9AE}" pid="4" name="Version">
    <vt:lpwstr/>
  </property>
  <property fmtid="{D5CDD505-2E9C-101B-9397-08002B2CF9AE}" pid="5" name="Last Modified">
    <vt:lpwstr/>
  </property>
  <property fmtid="{D5CDD505-2E9C-101B-9397-08002B2CF9AE}" pid="6" name="Matter Number">
    <vt:lpwstr/>
  </property>
  <property fmtid="{D5CDD505-2E9C-101B-9397-08002B2CF9AE}" pid="7" name="Client Code">
    <vt:lpwstr/>
  </property>
  <property fmtid="{D5CDD505-2E9C-101B-9397-08002B2CF9AE}" pid="8" name="Mode">
    <vt:lpwstr>Export</vt:lpwstr>
  </property>
  <property fmtid="{D5CDD505-2E9C-101B-9397-08002B2CF9AE}" pid="9" name="DEDocumentLocation">
    <vt:lpwstr>H:\settings\profile\desktop\ESMA_MAR_CP_TA_AFME_REPLY FORM.docx</vt:lpwstr>
  </property>
</Properties>
</file>