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65" w:type="dxa"/>
        <w:tblInd w:w="-214" w:type="dxa"/>
        <w:tblLayout w:type="fixed"/>
        <w:tblCellMar>
          <w:left w:w="70" w:type="dxa"/>
          <w:right w:w="70" w:type="dxa"/>
        </w:tblCellMar>
        <w:tblLook w:val="0000" w:firstRow="0" w:lastRow="0" w:firstColumn="0" w:lastColumn="0" w:noHBand="0" w:noVBand="0"/>
      </w:tblPr>
      <w:tblGrid>
        <w:gridCol w:w="5316"/>
        <w:gridCol w:w="4649"/>
      </w:tblGrid>
      <w:tr w:rsidR="00E245DF" w:rsidRPr="00D56066" w:rsidTr="000F2831">
        <w:trPr>
          <w:trHeight w:hRule="exact" w:val="2977"/>
        </w:trPr>
        <w:tc>
          <w:tcPr>
            <w:tcW w:w="5316" w:type="dxa"/>
          </w:tcPr>
          <w:p w:rsidR="00E245DF" w:rsidRPr="00100D95" w:rsidRDefault="00E245DF" w:rsidP="001453AB">
            <w:pPr>
              <w:rPr>
                <w:b/>
                <w:lang w:val="en-GB"/>
              </w:rPr>
            </w:pPr>
          </w:p>
          <w:p w:rsidR="00E245DF" w:rsidRDefault="00E245DF" w:rsidP="001453AB">
            <w:pPr>
              <w:rPr>
                <w:lang w:val="en-GB"/>
              </w:rPr>
            </w:pPr>
          </w:p>
          <w:p w:rsidR="00A80552" w:rsidRPr="000F2831" w:rsidRDefault="000F2831" w:rsidP="001453AB">
            <w:pPr>
              <w:rPr>
                <w:b/>
                <w:lang w:val="en-GB"/>
              </w:rPr>
            </w:pPr>
            <w:r w:rsidRPr="000F2831">
              <w:rPr>
                <w:b/>
                <w:lang w:val="en-GB"/>
              </w:rPr>
              <w:t>ESMA</w:t>
            </w:r>
          </w:p>
          <w:p w:rsidR="00F534C9" w:rsidRPr="00100D95" w:rsidRDefault="00F534C9" w:rsidP="00F534C9">
            <w:pPr>
              <w:rPr>
                <w:lang w:val="en-GB"/>
              </w:rPr>
            </w:pPr>
          </w:p>
        </w:tc>
        <w:tc>
          <w:tcPr>
            <w:tcW w:w="4649" w:type="dxa"/>
          </w:tcPr>
          <w:p w:rsidR="00E245DF" w:rsidRPr="00D56066" w:rsidRDefault="00E245DF" w:rsidP="001453AB">
            <w:pPr>
              <w:rPr>
                <w:b/>
                <w:lang w:val="en-GB"/>
              </w:rPr>
            </w:pPr>
          </w:p>
          <w:p w:rsidR="00E245DF" w:rsidRPr="00D56066" w:rsidRDefault="00E245DF" w:rsidP="001453AB">
            <w:pPr>
              <w:rPr>
                <w:b/>
                <w:lang w:val="en-GB"/>
              </w:rPr>
            </w:pPr>
          </w:p>
          <w:p w:rsidR="00E245DF" w:rsidRPr="00D56066" w:rsidRDefault="00E245DF" w:rsidP="001453AB">
            <w:pPr>
              <w:rPr>
                <w:b/>
                <w:lang w:val="en-GB"/>
              </w:rPr>
            </w:pPr>
          </w:p>
          <w:p w:rsidR="00D56066" w:rsidRPr="00D364F4" w:rsidRDefault="00D56066" w:rsidP="00D56066">
            <w:pPr>
              <w:spacing w:line="260" w:lineRule="atLeast"/>
              <w:jc w:val="right"/>
              <w:rPr>
                <w:b/>
                <w:bCs/>
                <w:noProof/>
                <w:color w:val="000000"/>
                <w:sz w:val="18"/>
                <w:szCs w:val="18"/>
                <w:lang w:val="en-GB"/>
              </w:rPr>
            </w:pPr>
            <w:r w:rsidRPr="00D364F4">
              <w:rPr>
                <w:b/>
                <w:bCs/>
                <w:noProof/>
                <w:color w:val="000000"/>
                <w:sz w:val="18"/>
                <w:szCs w:val="18"/>
                <w:lang w:val="en-GB"/>
              </w:rPr>
              <w:t>Division Bank and Insurance</w:t>
            </w:r>
          </w:p>
          <w:p w:rsidR="00D56066" w:rsidRPr="00D364F4" w:rsidRDefault="00D56066" w:rsidP="00D56066">
            <w:pPr>
              <w:spacing w:line="260" w:lineRule="atLeast"/>
              <w:jc w:val="right"/>
              <w:rPr>
                <w:bCs/>
                <w:color w:val="000000"/>
                <w:sz w:val="18"/>
                <w:szCs w:val="18"/>
                <w:lang w:val="en-GB"/>
              </w:rPr>
            </w:pPr>
            <w:r w:rsidRPr="00D364F4">
              <w:rPr>
                <w:bCs/>
                <w:noProof/>
                <w:color w:val="000000"/>
                <w:sz w:val="18"/>
                <w:szCs w:val="18"/>
                <w:lang w:val="en-GB"/>
              </w:rPr>
              <w:t>Austrian Federal Economic Chamber</w:t>
            </w:r>
          </w:p>
          <w:p w:rsidR="00D56066" w:rsidRPr="00D364F4" w:rsidRDefault="00D56066" w:rsidP="00D56066">
            <w:pPr>
              <w:spacing w:line="260" w:lineRule="atLeast"/>
              <w:jc w:val="right"/>
              <w:rPr>
                <w:color w:val="000000"/>
                <w:sz w:val="18"/>
                <w:szCs w:val="18"/>
              </w:rPr>
            </w:pPr>
            <w:r w:rsidRPr="00D364F4">
              <w:rPr>
                <w:noProof/>
                <w:color w:val="000000"/>
                <w:sz w:val="18"/>
                <w:szCs w:val="18"/>
              </w:rPr>
              <w:t>Wiedner Hauptstraße 63 | P.O. Box 320</w:t>
            </w:r>
          </w:p>
          <w:p w:rsidR="00D56066" w:rsidRPr="00D364F4" w:rsidRDefault="00D56066" w:rsidP="00D56066">
            <w:pPr>
              <w:spacing w:line="260" w:lineRule="atLeast"/>
              <w:jc w:val="right"/>
              <w:rPr>
                <w:color w:val="000000"/>
                <w:sz w:val="18"/>
                <w:szCs w:val="18"/>
              </w:rPr>
            </w:pPr>
            <w:r w:rsidRPr="00D364F4">
              <w:rPr>
                <w:noProof/>
                <w:color w:val="000000"/>
                <w:sz w:val="18"/>
                <w:szCs w:val="18"/>
              </w:rPr>
              <w:t>1045 Vienna</w:t>
            </w:r>
          </w:p>
          <w:p w:rsidR="00D56066" w:rsidRPr="00D364F4" w:rsidRDefault="00D56066" w:rsidP="00D56066">
            <w:pPr>
              <w:spacing w:line="260" w:lineRule="atLeast"/>
              <w:jc w:val="right"/>
              <w:rPr>
                <w:color w:val="000000"/>
                <w:sz w:val="18"/>
                <w:szCs w:val="18"/>
              </w:rPr>
            </w:pPr>
            <w:r w:rsidRPr="00D364F4">
              <w:rPr>
                <w:noProof/>
                <w:color w:val="000000"/>
                <w:sz w:val="18"/>
                <w:szCs w:val="18"/>
              </w:rPr>
              <w:t>T +43 (0)5 90 900-DW | F +43 (0)5 90 900-272</w:t>
            </w:r>
          </w:p>
          <w:p w:rsidR="00D56066" w:rsidRPr="00D364F4" w:rsidRDefault="00D56066" w:rsidP="00D56066">
            <w:pPr>
              <w:spacing w:line="260" w:lineRule="atLeast"/>
              <w:jc w:val="right"/>
              <w:rPr>
                <w:color w:val="000000"/>
                <w:sz w:val="18"/>
                <w:szCs w:val="18"/>
              </w:rPr>
            </w:pPr>
            <w:r w:rsidRPr="00D364F4">
              <w:rPr>
                <w:noProof/>
                <w:color w:val="000000"/>
                <w:sz w:val="18"/>
                <w:szCs w:val="18"/>
              </w:rPr>
              <w:t>E  bsbv@wko.at</w:t>
            </w:r>
          </w:p>
          <w:p w:rsidR="00E245DF" w:rsidRPr="00D56066" w:rsidRDefault="00D56066" w:rsidP="00D56066">
            <w:pPr>
              <w:jc w:val="right"/>
              <w:rPr>
                <w:lang w:val="en-GB"/>
              </w:rPr>
            </w:pPr>
            <w:bookmarkStart w:id="0" w:name="_GoBack"/>
            <w:bookmarkEnd w:id="0"/>
            <w:r w:rsidRPr="00D364F4">
              <w:rPr>
                <w:noProof/>
                <w:color w:val="000000"/>
                <w:sz w:val="18"/>
                <w:szCs w:val="18"/>
                <w:lang w:val="en-GB"/>
              </w:rPr>
              <w:t>W  http://wko.at/bsbv</w:t>
            </w:r>
          </w:p>
        </w:tc>
      </w:tr>
    </w:tbl>
    <w:p w:rsidR="00E245DF" w:rsidRPr="00D56066" w:rsidRDefault="00E245DF" w:rsidP="00E245DF">
      <w:pPr>
        <w:tabs>
          <w:tab w:val="left" w:pos="2977"/>
          <w:tab w:val="left" w:pos="5954"/>
          <w:tab w:val="left" w:pos="7655"/>
          <w:tab w:val="left" w:pos="8364"/>
        </w:tabs>
        <w:ind w:right="-1"/>
        <w:rPr>
          <w:rFonts w:cs="Trebuchet MS"/>
          <w:sz w:val="16"/>
          <w:szCs w:val="16"/>
          <w:lang w:val="en-GB"/>
        </w:rPr>
      </w:pPr>
    </w:p>
    <w:p w:rsidR="00E245DF" w:rsidRPr="00A80552" w:rsidRDefault="00E245DF" w:rsidP="00E245DF">
      <w:pPr>
        <w:tabs>
          <w:tab w:val="left" w:pos="2977"/>
          <w:tab w:val="left" w:pos="5954"/>
          <w:tab w:val="left" w:pos="7655"/>
          <w:tab w:val="left" w:pos="8364"/>
        </w:tabs>
        <w:ind w:right="-1"/>
        <w:rPr>
          <w:rFonts w:cs="Trebuchet MS"/>
          <w:sz w:val="16"/>
          <w:szCs w:val="16"/>
          <w:lang w:val="de-AT"/>
        </w:rPr>
      </w:pPr>
      <w:r w:rsidRPr="00A80552">
        <w:rPr>
          <w:rFonts w:cs="Trebuchet MS"/>
          <w:sz w:val="16"/>
          <w:szCs w:val="16"/>
          <w:lang w:val="de-AT"/>
        </w:rPr>
        <w:t>Ihr Zeichen, Ihre Nachricht vom</w:t>
      </w:r>
      <w:r w:rsidRPr="00A80552">
        <w:rPr>
          <w:rFonts w:cs="Trebuchet MS"/>
          <w:sz w:val="16"/>
          <w:szCs w:val="16"/>
          <w:lang w:val="de-AT"/>
        </w:rPr>
        <w:tab/>
        <w:t>Unser Zeichen, Sacharbeiter</w:t>
      </w:r>
      <w:r w:rsidRPr="00A80552">
        <w:rPr>
          <w:rFonts w:cs="Trebuchet MS"/>
          <w:sz w:val="16"/>
          <w:szCs w:val="16"/>
          <w:lang w:val="de-AT"/>
        </w:rPr>
        <w:tab/>
        <w:t>Durchwahl</w:t>
      </w:r>
      <w:r w:rsidRPr="00A80552">
        <w:rPr>
          <w:rFonts w:cs="Trebuchet MS"/>
          <w:sz w:val="16"/>
          <w:szCs w:val="16"/>
          <w:lang w:val="de-AT"/>
        </w:rPr>
        <w:tab/>
        <w:t>Datum</w:t>
      </w:r>
    </w:p>
    <w:p w:rsidR="00E245DF" w:rsidRPr="00100D95" w:rsidRDefault="00E245DF" w:rsidP="00E245DF">
      <w:pPr>
        <w:tabs>
          <w:tab w:val="left" w:pos="2977"/>
          <w:tab w:val="left" w:pos="5954"/>
          <w:tab w:val="left" w:pos="7655"/>
        </w:tabs>
        <w:ind w:right="-1"/>
        <w:rPr>
          <w:rFonts w:cs="Trebuchet MS"/>
          <w:snapToGrid w:val="0"/>
          <w:color w:val="000000"/>
          <w:szCs w:val="22"/>
          <w:u w:color="000000"/>
          <w:lang w:val="en-GB"/>
        </w:rPr>
      </w:pPr>
      <w:r w:rsidRPr="00A80552">
        <w:rPr>
          <w:rFonts w:cs="Trebuchet MS"/>
          <w:snapToGrid w:val="0"/>
          <w:color w:val="000000"/>
          <w:u w:color="000000"/>
          <w:lang w:val="de-AT"/>
        </w:rPr>
        <w:tab/>
      </w:r>
      <w:r w:rsidRPr="00100D95">
        <w:rPr>
          <w:rFonts w:cs="Trebuchet MS"/>
          <w:snapToGrid w:val="0"/>
          <w:color w:val="000000"/>
          <w:szCs w:val="22"/>
          <w:u w:color="000000"/>
          <w:lang w:val="en-GB"/>
        </w:rPr>
        <w:t>BSBV 64/Dr. Priester/</w:t>
      </w:r>
      <w:r w:rsidR="001C4912" w:rsidRPr="00100D95">
        <w:rPr>
          <w:rFonts w:cs="Trebuchet MS"/>
          <w:snapToGrid w:val="0"/>
          <w:color w:val="000000"/>
          <w:szCs w:val="22"/>
          <w:u w:color="000000"/>
          <w:lang w:val="en-GB"/>
        </w:rPr>
        <w:t>Sc</w:t>
      </w:r>
      <w:r w:rsidR="00076293" w:rsidRPr="00100D95">
        <w:rPr>
          <w:rFonts w:cs="Trebuchet MS"/>
          <w:snapToGrid w:val="0"/>
          <w:color w:val="000000"/>
          <w:szCs w:val="22"/>
          <w:u w:color="000000"/>
          <w:lang w:val="en-GB"/>
        </w:rPr>
        <w:tab/>
        <w:t xml:space="preserve">3132            </w:t>
      </w:r>
      <w:r w:rsidR="000F2831">
        <w:rPr>
          <w:rFonts w:cs="Trebuchet MS"/>
          <w:snapToGrid w:val="0"/>
          <w:color w:val="000000"/>
          <w:szCs w:val="22"/>
          <w:u w:color="000000"/>
          <w:lang w:val="en-GB"/>
        </w:rPr>
        <w:t>13</w:t>
      </w:r>
      <w:r w:rsidR="00076293" w:rsidRPr="00100D95">
        <w:rPr>
          <w:rFonts w:cs="Trebuchet MS"/>
          <w:snapToGrid w:val="0"/>
          <w:color w:val="000000"/>
          <w:szCs w:val="22"/>
          <w:u w:color="000000"/>
          <w:lang w:val="en-GB"/>
        </w:rPr>
        <w:t xml:space="preserve"> </w:t>
      </w:r>
      <w:r w:rsidR="000F2831">
        <w:rPr>
          <w:rFonts w:cs="Trebuchet MS"/>
          <w:snapToGrid w:val="0"/>
          <w:color w:val="000000"/>
          <w:szCs w:val="22"/>
          <w:u w:color="000000"/>
          <w:lang w:val="en-GB"/>
        </w:rPr>
        <w:t xml:space="preserve">February </w:t>
      </w:r>
      <w:r w:rsidR="006C0423" w:rsidRPr="00100D95">
        <w:rPr>
          <w:rFonts w:cs="Trebuchet MS"/>
          <w:snapToGrid w:val="0"/>
          <w:color w:val="000000"/>
          <w:szCs w:val="22"/>
          <w:u w:color="000000"/>
          <w:lang w:val="en-GB"/>
        </w:rPr>
        <w:t>2015</w:t>
      </w:r>
    </w:p>
    <w:p w:rsidR="00E736C4" w:rsidRPr="00100D95" w:rsidRDefault="00E736C4">
      <w:pPr>
        <w:rPr>
          <w:lang w:val="en-GB"/>
        </w:rPr>
      </w:pPr>
    </w:p>
    <w:p w:rsidR="00F03A28" w:rsidRPr="00F03A28" w:rsidRDefault="00D23647" w:rsidP="00F03A28">
      <w:pPr>
        <w:pStyle w:val="Default"/>
        <w:rPr>
          <w:rFonts w:ascii="Trebuchet MS" w:hAnsi="Trebuchet MS" w:cs="Arial"/>
          <w:sz w:val="22"/>
          <w:szCs w:val="22"/>
          <w:lang w:val="en-GB" w:eastAsia="en-US"/>
        </w:rPr>
      </w:pPr>
      <w:r w:rsidRPr="00F03A28">
        <w:rPr>
          <w:rFonts w:ascii="Trebuchet MS" w:hAnsi="Trebuchet MS"/>
          <w:sz w:val="22"/>
          <w:szCs w:val="22"/>
          <w:lang w:val="en-GB"/>
        </w:rPr>
        <w:t>Re:</w:t>
      </w:r>
      <w:r w:rsidR="00E245DF" w:rsidRPr="00100D95">
        <w:rPr>
          <w:b/>
          <w:szCs w:val="22"/>
          <w:lang w:val="en-GB"/>
        </w:rPr>
        <w:t xml:space="preserve"> </w:t>
      </w:r>
      <w:r w:rsidRPr="00F03A28">
        <w:rPr>
          <w:rFonts w:ascii="Trebuchet MS" w:hAnsi="Trebuchet MS"/>
          <w:b/>
          <w:sz w:val="22"/>
          <w:szCs w:val="22"/>
          <w:u w:val="single"/>
          <w:lang w:val="en-GB"/>
        </w:rPr>
        <w:t xml:space="preserve">ESMA </w:t>
      </w:r>
      <w:r w:rsidR="001C4912" w:rsidRPr="00F03A28">
        <w:rPr>
          <w:rFonts w:ascii="Trebuchet MS" w:hAnsi="Trebuchet MS"/>
          <w:b/>
          <w:sz w:val="22"/>
          <w:szCs w:val="22"/>
          <w:u w:val="single"/>
          <w:lang w:val="en-GB"/>
        </w:rPr>
        <w:t>–</w:t>
      </w:r>
      <w:r w:rsidR="00F03A28" w:rsidRPr="00F03A28">
        <w:rPr>
          <w:rFonts w:ascii="Trebuchet MS" w:hAnsi="Trebuchet MS"/>
          <w:b/>
          <w:sz w:val="22"/>
          <w:szCs w:val="22"/>
          <w:u w:val="single"/>
          <w:lang w:val="en-GB"/>
        </w:rPr>
        <w:t xml:space="preserve"> </w:t>
      </w:r>
      <w:r w:rsidR="00F03A28" w:rsidRPr="00F03A28">
        <w:rPr>
          <w:rFonts w:ascii="Trebuchet MS" w:hAnsi="Trebuchet MS" w:cs="Arial"/>
          <w:b/>
          <w:bCs/>
          <w:sz w:val="22"/>
          <w:szCs w:val="22"/>
          <w:u w:val="single"/>
          <w:lang w:val="en-GB" w:eastAsia="en-US"/>
        </w:rPr>
        <w:t>Review of the technical standards on reporting under Article 9 of EMIR</w:t>
      </w:r>
    </w:p>
    <w:tbl>
      <w:tblPr>
        <w:tblW w:w="0" w:type="auto"/>
        <w:tblBorders>
          <w:top w:val="nil"/>
          <w:left w:val="nil"/>
          <w:bottom w:val="nil"/>
          <w:right w:val="nil"/>
        </w:tblBorders>
        <w:tblLayout w:type="fixed"/>
        <w:tblLook w:val="0000" w:firstRow="0" w:lastRow="0" w:firstColumn="0" w:lastColumn="0" w:noHBand="0" w:noVBand="0"/>
      </w:tblPr>
      <w:tblGrid>
        <w:gridCol w:w="9398"/>
      </w:tblGrid>
      <w:tr w:rsidR="00F03A28" w:rsidRPr="00D56066">
        <w:trPr>
          <w:trHeight w:val="131"/>
        </w:trPr>
        <w:tc>
          <w:tcPr>
            <w:tcW w:w="9398" w:type="dxa"/>
          </w:tcPr>
          <w:p w:rsidR="00F03A28" w:rsidRPr="00F03A28" w:rsidRDefault="00F03A28" w:rsidP="00F03A28">
            <w:pPr>
              <w:autoSpaceDE w:val="0"/>
              <w:autoSpaceDN w:val="0"/>
              <w:adjustRightInd w:val="0"/>
              <w:spacing w:line="240" w:lineRule="auto"/>
              <w:rPr>
                <w:rFonts w:cs="Arial"/>
                <w:color w:val="000000"/>
                <w:szCs w:val="22"/>
                <w:lang w:val="en-GB" w:eastAsia="en-US"/>
              </w:rPr>
            </w:pPr>
          </w:p>
        </w:tc>
      </w:tr>
    </w:tbl>
    <w:p w:rsidR="009F47C6" w:rsidRPr="00100D95" w:rsidRDefault="009F47C6" w:rsidP="00F03A28">
      <w:pPr>
        <w:rPr>
          <w:szCs w:val="22"/>
          <w:lang w:val="en-GB"/>
        </w:rPr>
      </w:pPr>
      <w:r w:rsidRPr="00100D95">
        <w:rPr>
          <w:szCs w:val="22"/>
          <w:lang w:val="en-GB"/>
        </w:rPr>
        <w:t xml:space="preserve">The Division Bank and Insurance of the Austrian Federal Economic Chamber, as representative of the entire Austrian banking industry, appreciates the possibility to comment on the ESMA </w:t>
      </w:r>
      <w:r w:rsidR="006C0423" w:rsidRPr="00100D95">
        <w:rPr>
          <w:szCs w:val="22"/>
          <w:lang w:val="en-GB"/>
        </w:rPr>
        <w:t xml:space="preserve">Consultation Paper regarding </w:t>
      </w:r>
      <w:r w:rsidR="00F03A28" w:rsidRPr="00F03A28">
        <w:rPr>
          <w:rFonts w:cs="Arial"/>
          <w:bCs/>
          <w:color w:val="000000"/>
          <w:szCs w:val="22"/>
          <w:lang w:val="en-GB" w:eastAsia="en-US"/>
        </w:rPr>
        <w:t>Review of the technical standards on reporting under Article 9 of EMIR</w:t>
      </w:r>
      <w:r w:rsidR="00F03A28" w:rsidRPr="00F03A28">
        <w:rPr>
          <w:szCs w:val="22"/>
          <w:lang w:val="en-GB"/>
        </w:rPr>
        <w:t xml:space="preserve"> </w:t>
      </w:r>
      <w:r w:rsidRPr="00100D95">
        <w:rPr>
          <w:szCs w:val="22"/>
          <w:lang w:val="en-GB"/>
        </w:rPr>
        <w:t>and would like to submit the following position:</w:t>
      </w:r>
    </w:p>
    <w:p w:rsidR="0009689A" w:rsidRDefault="0009689A" w:rsidP="00100D95">
      <w:pPr>
        <w:spacing w:line="240" w:lineRule="auto"/>
        <w:rPr>
          <w:szCs w:val="22"/>
          <w:lang w:val="en-GB"/>
        </w:rPr>
      </w:pPr>
    </w:p>
    <w:p w:rsidR="005B30D9" w:rsidRDefault="005B30D9" w:rsidP="005B30D9">
      <w:pPr>
        <w:autoSpaceDE w:val="0"/>
        <w:autoSpaceDN w:val="0"/>
        <w:adjustRightInd w:val="0"/>
        <w:spacing w:line="240" w:lineRule="auto"/>
        <w:rPr>
          <w:rFonts w:ascii="Arial" w:hAnsi="Arial" w:cs="Arial"/>
          <w:b/>
          <w:bCs/>
          <w:color w:val="000000"/>
          <w:szCs w:val="22"/>
          <w:lang w:val="en-GB" w:eastAsia="en-US"/>
        </w:rPr>
      </w:pPr>
      <w:r w:rsidRPr="005B30D9">
        <w:rPr>
          <w:rFonts w:ascii="Arial" w:hAnsi="Arial" w:cs="Arial"/>
          <w:b/>
          <w:bCs/>
          <w:color w:val="000000"/>
          <w:szCs w:val="22"/>
          <w:lang w:val="en-GB" w:eastAsia="en-US"/>
        </w:rPr>
        <w:t>Q1: Do you envisage any difficulties with removing the ‘other’ category from derivative class and type descriptions in Articles 4(3</w:t>
      </w:r>
      <w:proofErr w:type="gramStart"/>
      <w:r w:rsidRPr="005B30D9">
        <w:rPr>
          <w:rFonts w:ascii="Arial" w:hAnsi="Arial" w:cs="Arial"/>
          <w:b/>
          <w:bCs/>
          <w:color w:val="000000"/>
          <w:szCs w:val="22"/>
          <w:lang w:val="en-GB" w:eastAsia="en-US"/>
        </w:rPr>
        <w:t>)(</w:t>
      </w:r>
      <w:proofErr w:type="gramEnd"/>
      <w:r w:rsidRPr="005B30D9">
        <w:rPr>
          <w:rFonts w:ascii="Arial" w:hAnsi="Arial" w:cs="Arial"/>
          <w:b/>
          <w:bCs/>
          <w:color w:val="000000"/>
          <w:szCs w:val="22"/>
          <w:lang w:val="en-GB" w:eastAsia="en-US"/>
        </w:rPr>
        <w:t xml:space="preserve">a) and 4(3)(b) of ITS 1247/2012? If so, what additional derivative </w:t>
      </w:r>
      <w:proofErr w:type="gramStart"/>
      <w:r w:rsidRPr="005B30D9">
        <w:rPr>
          <w:rFonts w:ascii="Arial" w:hAnsi="Arial" w:cs="Arial"/>
          <w:b/>
          <w:bCs/>
          <w:color w:val="000000"/>
          <w:szCs w:val="22"/>
          <w:lang w:val="en-GB" w:eastAsia="en-US"/>
        </w:rPr>
        <w:t>class(</w:t>
      </w:r>
      <w:proofErr w:type="spellStart"/>
      <w:proofErr w:type="gramEnd"/>
      <w:r w:rsidRPr="005B30D9">
        <w:rPr>
          <w:rFonts w:ascii="Arial" w:hAnsi="Arial" w:cs="Arial"/>
          <w:b/>
          <w:bCs/>
          <w:color w:val="000000"/>
          <w:szCs w:val="22"/>
          <w:lang w:val="en-GB" w:eastAsia="en-US"/>
        </w:rPr>
        <w:t>es</w:t>
      </w:r>
      <w:proofErr w:type="spellEnd"/>
      <w:r w:rsidRPr="005B30D9">
        <w:rPr>
          <w:rFonts w:ascii="Arial" w:hAnsi="Arial" w:cs="Arial"/>
          <w:b/>
          <w:bCs/>
          <w:color w:val="000000"/>
          <w:szCs w:val="22"/>
          <w:lang w:val="en-GB" w:eastAsia="en-US"/>
        </w:rPr>
        <w:t xml:space="preserve">) and type(s) would need to be included? Please elaborate. </w:t>
      </w:r>
    </w:p>
    <w:p w:rsidR="005B30D9" w:rsidRDefault="005B30D9" w:rsidP="005B30D9">
      <w:pPr>
        <w:autoSpaceDE w:val="0"/>
        <w:autoSpaceDN w:val="0"/>
        <w:adjustRightInd w:val="0"/>
        <w:spacing w:line="240" w:lineRule="auto"/>
        <w:rPr>
          <w:rFonts w:ascii="Arial" w:hAnsi="Arial" w:cs="Arial"/>
          <w:color w:val="000000"/>
          <w:szCs w:val="22"/>
          <w:lang w:val="en-GB" w:eastAsia="en-US"/>
        </w:rPr>
      </w:pPr>
    </w:p>
    <w:p w:rsidR="00E97865" w:rsidRPr="00E11380" w:rsidRDefault="00E97865" w:rsidP="005B30D9">
      <w:pPr>
        <w:autoSpaceDE w:val="0"/>
        <w:autoSpaceDN w:val="0"/>
        <w:adjustRightInd w:val="0"/>
        <w:spacing w:line="240" w:lineRule="auto"/>
        <w:rPr>
          <w:rFonts w:cs="Arial"/>
          <w:color w:val="000000"/>
          <w:szCs w:val="22"/>
          <w:lang w:val="en-GB" w:eastAsia="en-US"/>
        </w:rPr>
      </w:pPr>
      <w:r w:rsidRPr="00E11380">
        <w:rPr>
          <w:rFonts w:cs="Arial"/>
          <w:szCs w:val="22"/>
          <w:lang w:val="en-GB" w:eastAsia="de-AT"/>
        </w:rPr>
        <w:t>Two additional derivative classes need to be included, which are typical for ETDs: Bond and Index</w:t>
      </w:r>
    </w:p>
    <w:p w:rsidR="00E97865" w:rsidRPr="005B30D9" w:rsidRDefault="00E97865" w:rsidP="005B30D9">
      <w:pPr>
        <w:autoSpaceDE w:val="0"/>
        <w:autoSpaceDN w:val="0"/>
        <w:adjustRightInd w:val="0"/>
        <w:spacing w:line="240" w:lineRule="auto"/>
        <w:rPr>
          <w:rFonts w:ascii="Arial" w:hAnsi="Arial" w:cs="Arial"/>
          <w:color w:val="000000"/>
          <w:szCs w:val="22"/>
          <w:lang w:val="en-GB" w:eastAsia="en-US"/>
        </w:rPr>
      </w:pPr>
    </w:p>
    <w:p w:rsidR="005B30D9" w:rsidRDefault="005B30D9" w:rsidP="005B30D9">
      <w:pPr>
        <w:autoSpaceDE w:val="0"/>
        <w:autoSpaceDN w:val="0"/>
        <w:adjustRightInd w:val="0"/>
        <w:spacing w:line="240" w:lineRule="auto"/>
        <w:rPr>
          <w:rFonts w:ascii="Arial" w:hAnsi="Arial" w:cs="Arial"/>
          <w:b/>
          <w:bCs/>
          <w:color w:val="000000"/>
          <w:szCs w:val="22"/>
          <w:lang w:val="en-GB" w:eastAsia="en-US"/>
        </w:rPr>
      </w:pPr>
      <w:r w:rsidRPr="005B30D9">
        <w:rPr>
          <w:rFonts w:ascii="Arial" w:hAnsi="Arial" w:cs="Arial"/>
          <w:b/>
          <w:bCs/>
          <w:color w:val="000000"/>
          <w:szCs w:val="22"/>
          <w:lang w:val="en-GB" w:eastAsia="en-US"/>
        </w:rPr>
        <w:t xml:space="preserve">Q2: Do you think the clarifications introduced in this section adequately reflect the derivatives market and will help improve the data quality of reports? Will the proposed changes cause significant new difficulties? Please elaborate. </w:t>
      </w:r>
    </w:p>
    <w:p w:rsidR="00647C37" w:rsidRPr="00D56066" w:rsidRDefault="00647C37" w:rsidP="000F2831">
      <w:pPr>
        <w:rPr>
          <w:lang w:val="en-GB" w:eastAsia="en-US"/>
        </w:rPr>
      </w:pPr>
    </w:p>
    <w:p w:rsidR="00E97865" w:rsidRPr="00D56066" w:rsidRDefault="00E97865" w:rsidP="00696D98">
      <w:pPr>
        <w:autoSpaceDE w:val="0"/>
        <w:autoSpaceDN w:val="0"/>
        <w:adjustRightInd w:val="0"/>
        <w:rPr>
          <w:rFonts w:cs="Arial"/>
          <w:color w:val="000000"/>
          <w:szCs w:val="22"/>
          <w:lang w:val="en-GB" w:eastAsia="en-US"/>
        </w:rPr>
      </w:pPr>
      <w:r w:rsidRPr="00D56066">
        <w:rPr>
          <w:color w:val="000000"/>
          <w:szCs w:val="22"/>
          <w:lang w:val="en-GB"/>
        </w:rPr>
        <w:t>The clarifications will not cause significant new difficulties. We think that even after the implementation of the proposed clarifications there will still be significant reporting differences between market participants. The most efficient way to minimize these reporting mismatches would be, if ESMA publishes reporting examples</w:t>
      </w:r>
      <w:r w:rsidR="000B12FD" w:rsidRPr="00D56066">
        <w:rPr>
          <w:color w:val="000000"/>
          <w:szCs w:val="22"/>
          <w:lang w:val="en-GB"/>
        </w:rPr>
        <w:t>/guidelines for specific trades.</w:t>
      </w:r>
      <w:r w:rsidRPr="00D56066">
        <w:rPr>
          <w:color w:val="000000"/>
          <w:szCs w:val="22"/>
          <w:lang w:val="en-GB"/>
        </w:rPr>
        <w:br/>
        <w:t>From the current point of view it seems almost impossible to harmonize the reports as there seems to be to</w:t>
      </w:r>
      <w:r w:rsidR="00490C96" w:rsidRPr="00D56066">
        <w:rPr>
          <w:color w:val="000000"/>
          <w:szCs w:val="22"/>
          <w:lang w:val="en-GB"/>
        </w:rPr>
        <w:t>o much room for interpretations.</w:t>
      </w:r>
    </w:p>
    <w:p w:rsidR="00E97865" w:rsidRPr="005B30D9" w:rsidRDefault="00E97865" w:rsidP="005B30D9">
      <w:pPr>
        <w:autoSpaceDE w:val="0"/>
        <w:autoSpaceDN w:val="0"/>
        <w:adjustRightInd w:val="0"/>
        <w:spacing w:line="240" w:lineRule="auto"/>
        <w:rPr>
          <w:rFonts w:ascii="Arial" w:hAnsi="Arial" w:cs="Arial"/>
          <w:color w:val="000000"/>
          <w:szCs w:val="22"/>
          <w:lang w:val="en-GB" w:eastAsia="en-US"/>
        </w:rPr>
      </w:pPr>
    </w:p>
    <w:p w:rsidR="005B30D9" w:rsidRDefault="005B30D9" w:rsidP="005B30D9">
      <w:pPr>
        <w:spacing w:line="240" w:lineRule="auto"/>
        <w:rPr>
          <w:rFonts w:ascii="Arial" w:hAnsi="Arial" w:cs="Arial"/>
          <w:b/>
          <w:bCs/>
          <w:color w:val="000000"/>
          <w:szCs w:val="22"/>
          <w:lang w:val="en-GB" w:eastAsia="en-US"/>
        </w:rPr>
      </w:pPr>
      <w:r w:rsidRPr="005B30D9">
        <w:rPr>
          <w:rFonts w:ascii="Arial" w:hAnsi="Arial" w:cs="Arial"/>
          <w:b/>
          <w:bCs/>
          <w:color w:val="000000"/>
          <w:szCs w:val="22"/>
          <w:lang w:val="en-GB" w:eastAsia="en-US"/>
        </w:rPr>
        <w:t>Q3: What difficulties do you anticipate with the approaches for the population of the mark to market valuation described in paragraphs 21 or 19 respectively? Please elaborate and specify for each type of contract what would be the most practical and industry consistent way to populate this field in line with either of the approaches set out in paragraphs 21 and 23.</w:t>
      </w:r>
    </w:p>
    <w:p w:rsidR="00490C96" w:rsidRDefault="00490C96" w:rsidP="005B30D9">
      <w:pPr>
        <w:spacing w:line="240" w:lineRule="auto"/>
        <w:rPr>
          <w:rFonts w:ascii="Arial" w:hAnsi="Arial" w:cs="Arial"/>
          <w:b/>
          <w:bCs/>
          <w:color w:val="000000"/>
          <w:szCs w:val="22"/>
          <w:lang w:val="en-GB" w:eastAsia="en-US"/>
        </w:rPr>
      </w:pPr>
    </w:p>
    <w:p w:rsidR="00490C96" w:rsidRPr="00490C96" w:rsidRDefault="00490C96" w:rsidP="005B30D9">
      <w:pPr>
        <w:spacing w:line="240" w:lineRule="auto"/>
        <w:rPr>
          <w:szCs w:val="22"/>
          <w:lang w:val="en-GB"/>
        </w:rPr>
      </w:pPr>
      <w:r w:rsidRPr="00490C96">
        <w:rPr>
          <w:color w:val="000000"/>
          <w:lang w:val="en-GB"/>
        </w:rPr>
        <w:t xml:space="preserve">In our opinion the alternative approach (2.2 nr. 23) should be preferred as it seems to be the most simple and </w:t>
      </w:r>
      <w:r w:rsidR="002C0F93" w:rsidRPr="00490C96">
        <w:rPr>
          <w:color w:val="000000"/>
          <w:lang w:val="en-GB"/>
        </w:rPr>
        <w:t>unambiguous</w:t>
      </w:r>
      <w:r w:rsidRPr="00490C96">
        <w:rPr>
          <w:color w:val="000000"/>
          <w:lang w:val="en-GB"/>
        </w:rPr>
        <w:t xml:space="preserve"> approach.</w:t>
      </w:r>
    </w:p>
    <w:p w:rsidR="005B30D9" w:rsidRDefault="005B30D9" w:rsidP="00100D95">
      <w:pPr>
        <w:spacing w:line="240" w:lineRule="auto"/>
        <w:rPr>
          <w:szCs w:val="22"/>
          <w:lang w:val="en-GB"/>
        </w:rPr>
      </w:pPr>
    </w:p>
    <w:p w:rsidR="005B30D9" w:rsidRDefault="005B30D9" w:rsidP="00100D95">
      <w:pPr>
        <w:spacing w:line="240" w:lineRule="auto"/>
        <w:rPr>
          <w:b/>
          <w:bCs/>
          <w:szCs w:val="22"/>
          <w:lang w:val="en-GB"/>
        </w:rPr>
      </w:pPr>
      <w:r w:rsidRPr="005B30D9">
        <w:rPr>
          <w:b/>
          <w:bCs/>
          <w:szCs w:val="22"/>
          <w:lang w:val="en-GB"/>
        </w:rPr>
        <w:lastRenderedPageBreak/>
        <w:t>Q4: Do you think the adaptations illustrated in this section adequately reflect the derivatives market and will help improve the data quality of reports? Will the proposed changes cause significant new difficulties? Please elaborate.</w:t>
      </w:r>
    </w:p>
    <w:p w:rsidR="00490C96" w:rsidRDefault="00490C96" w:rsidP="00100D95">
      <w:pPr>
        <w:spacing w:line="240" w:lineRule="auto"/>
        <w:rPr>
          <w:b/>
          <w:bCs/>
          <w:szCs w:val="22"/>
          <w:lang w:val="en-GB"/>
        </w:rPr>
      </w:pPr>
    </w:p>
    <w:p w:rsidR="00490C96" w:rsidRPr="002C0F93" w:rsidRDefault="002C0F93" w:rsidP="002C0F93">
      <w:pPr>
        <w:pStyle w:val="Listenabsatz"/>
        <w:numPr>
          <w:ilvl w:val="0"/>
          <w:numId w:val="15"/>
        </w:numPr>
        <w:rPr>
          <w:rFonts w:ascii="Trebuchet MS" w:hAnsi="Trebuchet MS"/>
          <w:b/>
          <w:bCs/>
          <w:sz w:val="22"/>
          <w:szCs w:val="22"/>
        </w:rPr>
      </w:pPr>
      <w:r w:rsidRPr="002C0F93">
        <w:rPr>
          <w:rFonts w:ascii="Trebuchet MS" w:hAnsi="Trebuchet MS" w:cs="Arial"/>
          <w:sz w:val="22"/>
          <w:szCs w:val="22"/>
          <w:lang w:eastAsia="de-AT"/>
        </w:rPr>
        <w:t>Par. 29: please ensure that a "client code" can still be used to identify a private person (retail customer), which do not have a LEI</w:t>
      </w:r>
      <w:r w:rsidR="0070580C">
        <w:rPr>
          <w:rFonts w:ascii="Trebuchet MS" w:hAnsi="Trebuchet MS" w:cs="Arial"/>
          <w:sz w:val="22"/>
          <w:szCs w:val="22"/>
          <w:lang w:eastAsia="de-AT"/>
        </w:rPr>
        <w:t>.</w:t>
      </w:r>
      <w:r w:rsidRPr="002C0F93">
        <w:rPr>
          <w:rFonts w:ascii="Trebuchet MS" w:hAnsi="Trebuchet MS" w:cs="Arial"/>
          <w:sz w:val="22"/>
          <w:szCs w:val="22"/>
          <w:lang w:eastAsia="de-AT"/>
        </w:rPr>
        <w:br/>
      </w:r>
      <w:r w:rsidRPr="002C0F93">
        <w:rPr>
          <w:rFonts w:ascii="Trebuchet MS" w:hAnsi="Trebuchet MS" w:cs="Arial"/>
          <w:sz w:val="22"/>
          <w:szCs w:val="22"/>
          <w:lang w:eastAsia="de-AT"/>
        </w:rPr>
        <w:br/>
        <w:t>Par. 34: it is unclear how to apply this principle to ETD Reporting. Status Quo (</w:t>
      </w:r>
      <w:proofErr w:type="spellStart"/>
      <w:r w:rsidRPr="002C0F93">
        <w:rPr>
          <w:rFonts w:ascii="Trebuchet MS" w:hAnsi="Trebuchet MS" w:cs="Arial"/>
          <w:sz w:val="22"/>
          <w:szCs w:val="22"/>
          <w:lang w:eastAsia="de-AT"/>
        </w:rPr>
        <w:t>RegisTR</w:t>
      </w:r>
      <w:proofErr w:type="spellEnd"/>
      <w:r w:rsidRPr="002C0F93">
        <w:rPr>
          <w:rFonts w:ascii="Trebuchet MS" w:hAnsi="Trebuchet MS" w:cs="Arial"/>
          <w:sz w:val="22"/>
          <w:szCs w:val="22"/>
          <w:lang w:eastAsia="de-AT"/>
        </w:rPr>
        <w:t>): If a client opens an ETD position, this position receives a UTI, which will then be used until termination of the ETD. If the client entirely closes the position, the quantity for this UTI will be modified to 0. If the client later again opens a position with the same ETD, we again modify the quantity, using the same UTI as before. Now, how do we have to apply "original notional" and "</w:t>
      </w:r>
      <w:proofErr w:type="spellStart"/>
      <w:r w:rsidRPr="002C0F93">
        <w:rPr>
          <w:rFonts w:ascii="Trebuchet MS" w:hAnsi="Trebuchet MS" w:cs="Arial"/>
          <w:sz w:val="22"/>
          <w:szCs w:val="22"/>
          <w:lang w:eastAsia="de-AT"/>
        </w:rPr>
        <w:t>acual</w:t>
      </w:r>
      <w:proofErr w:type="spellEnd"/>
      <w:r w:rsidRPr="002C0F93">
        <w:rPr>
          <w:rFonts w:ascii="Trebuchet MS" w:hAnsi="Trebuchet MS" w:cs="Arial"/>
          <w:sz w:val="22"/>
          <w:szCs w:val="22"/>
          <w:lang w:eastAsia="de-AT"/>
        </w:rPr>
        <w:t xml:space="preserve"> notional" in this case? We assume that every time we create a new Position-UTI, this notional is considered as "original notional" and remains unchanged for the rest of this UTI's life. Is this interpretation correct?</w:t>
      </w:r>
      <w:r w:rsidRPr="002C0F93">
        <w:rPr>
          <w:rFonts w:ascii="Trebuchet MS" w:hAnsi="Trebuchet MS" w:cs="Arial"/>
          <w:sz w:val="22"/>
          <w:szCs w:val="22"/>
          <w:lang w:eastAsia="de-AT"/>
        </w:rPr>
        <w:br/>
      </w:r>
      <w:r w:rsidRPr="002C0F93">
        <w:rPr>
          <w:rFonts w:ascii="Trebuchet MS" w:hAnsi="Trebuchet MS" w:cs="Arial"/>
          <w:sz w:val="22"/>
          <w:szCs w:val="22"/>
          <w:lang w:eastAsia="de-AT"/>
        </w:rPr>
        <w:br/>
        <w:t>Par. 41: most IT systems handle corrections through cancelling and reporting a new trade. This is in many cases a deeply manifested principle, therefore we ask that this approach can be used further, as an alternative to the new approach.</w:t>
      </w:r>
    </w:p>
    <w:p w:rsidR="002C0F93" w:rsidRDefault="002C0F93" w:rsidP="00100D95">
      <w:pPr>
        <w:spacing w:line="240" w:lineRule="auto"/>
        <w:rPr>
          <w:b/>
          <w:bCs/>
          <w:szCs w:val="22"/>
          <w:lang w:val="en-GB"/>
        </w:rPr>
      </w:pPr>
    </w:p>
    <w:p w:rsidR="002C0F93" w:rsidRPr="00EB3251" w:rsidRDefault="002C0F93" w:rsidP="002C0F93">
      <w:pPr>
        <w:pStyle w:val="Listenabsatz"/>
        <w:numPr>
          <w:ilvl w:val="0"/>
          <w:numId w:val="15"/>
        </w:numPr>
        <w:rPr>
          <w:rFonts w:ascii="Trebuchet MS" w:hAnsi="Trebuchet MS"/>
          <w:b/>
          <w:bCs/>
          <w:sz w:val="22"/>
          <w:szCs w:val="22"/>
        </w:rPr>
      </w:pPr>
      <w:r w:rsidRPr="002C0F93">
        <w:rPr>
          <w:rFonts w:ascii="Trebuchet MS" w:hAnsi="Trebuchet MS"/>
          <w:color w:val="000000"/>
          <w:sz w:val="22"/>
          <w:szCs w:val="22"/>
        </w:rPr>
        <w:t xml:space="preserve">Many of the proposed adoptions will improve the data quality of reports. For efficiency reasons we would prefer if all counterparty </w:t>
      </w:r>
      <w:proofErr w:type="spellStart"/>
      <w:r w:rsidRPr="002C0F93">
        <w:rPr>
          <w:rFonts w:ascii="Trebuchet MS" w:hAnsi="Trebuchet MS"/>
          <w:color w:val="000000"/>
          <w:sz w:val="22"/>
          <w:szCs w:val="22"/>
        </w:rPr>
        <w:t>informations</w:t>
      </w:r>
      <w:proofErr w:type="spellEnd"/>
      <w:r w:rsidRPr="002C0F93">
        <w:rPr>
          <w:rFonts w:ascii="Trebuchet MS" w:hAnsi="Trebuchet MS"/>
          <w:color w:val="000000"/>
          <w:sz w:val="22"/>
          <w:szCs w:val="22"/>
        </w:rPr>
        <w:t xml:space="preserve"> are included in the LEI system and don't have to be reported by the reporting counterparty in separate fields (</w:t>
      </w:r>
      <w:proofErr w:type="spellStart"/>
      <w:r w:rsidRPr="002C0F93">
        <w:rPr>
          <w:rFonts w:ascii="Trebuchet MS" w:hAnsi="Trebuchet MS"/>
          <w:color w:val="000000"/>
          <w:sz w:val="22"/>
          <w:szCs w:val="22"/>
        </w:rPr>
        <w:t>e.g."Corporate</w:t>
      </w:r>
      <w:proofErr w:type="spellEnd"/>
      <w:r w:rsidRPr="002C0F93">
        <w:rPr>
          <w:rFonts w:ascii="Trebuchet MS" w:hAnsi="Trebuchet MS"/>
          <w:color w:val="000000"/>
          <w:sz w:val="22"/>
          <w:szCs w:val="22"/>
        </w:rPr>
        <w:t xml:space="preserve"> Sector</w:t>
      </w:r>
      <w:r>
        <w:rPr>
          <w:rFonts w:ascii="Trebuchet MS" w:hAnsi="Trebuchet MS"/>
          <w:color w:val="000000"/>
          <w:sz w:val="22"/>
          <w:szCs w:val="22"/>
        </w:rPr>
        <w:t xml:space="preserve"> of the Counterparty"). If this</w:t>
      </w:r>
      <w:r w:rsidRPr="002C0F93">
        <w:rPr>
          <w:rFonts w:ascii="Trebuchet MS" w:hAnsi="Trebuchet MS"/>
          <w:color w:val="000000"/>
          <w:sz w:val="22"/>
          <w:szCs w:val="22"/>
        </w:rPr>
        <w:t xml:space="preserve"> information is directly linked to the LEI of the relevant counterparty it is supposed to be the latest and true information.</w:t>
      </w:r>
    </w:p>
    <w:p w:rsidR="00EB3251" w:rsidRPr="00EB3251" w:rsidRDefault="00EB3251" w:rsidP="00EB3251">
      <w:pPr>
        <w:pStyle w:val="Listenabsatz"/>
        <w:rPr>
          <w:rFonts w:ascii="Trebuchet MS" w:hAnsi="Trebuchet MS"/>
          <w:b/>
          <w:bCs/>
          <w:sz w:val="22"/>
          <w:szCs w:val="22"/>
        </w:rPr>
      </w:pPr>
    </w:p>
    <w:p w:rsidR="00EB3251" w:rsidRPr="00EB3251" w:rsidRDefault="00EB3251" w:rsidP="00EB3251">
      <w:pPr>
        <w:pStyle w:val="Listenabsatz"/>
        <w:numPr>
          <w:ilvl w:val="0"/>
          <w:numId w:val="15"/>
        </w:numPr>
        <w:rPr>
          <w:rFonts w:ascii="Trebuchet MS" w:hAnsi="Trebuchet MS"/>
          <w:bCs/>
          <w:sz w:val="22"/>
          <w:szCs w:val="22"/>
        </w:rPr>
      </w:pPr>
      <w:r w:rsidRPr="00EB3251">
        <w:rPr>
          <w:rFonts w:ascii="Trebuchet MS" w:hAnsi="Trebuchet MS"/>
          <w:bCs/>
          <w:sz w:val="22"/>
          <w:szCs w:val="22"/>
        </w:rPr>
        <w:t>Our comment relates to the question which party is responsible for the generation of the “unique trade identifier” (UTI).</w:t>
      </w:r>
    </w:p>
    <w:p w:rsidR="00EB3251" w:rsidRPr="00EB3251" w:rsidRDefault="00EB3251" w:rsidP="00EB3251">
      <w:pPr>
        <w:pStyle w:val="Listenabsatz"/>
        <w:ind w:left="360"/>
        <w:rPr>
          <w:rFonts w:ascii="Trebuchet MS" w:hAnsi="Trebuchet MS"/>
          <w:bCs/>
          <w:sz w:val="22"/>
          <w:szCs w:val="22"/>
        </w:rPr>
      </w:pPr>
    </w:p>
    <w:p w:rsidR="00EB3251" w:rsidRPr="00EB3251" w:rsidRDefault="00EB3251" w:rsidP="00EB3251">
      <w:pPr>
        <w:pStyle w:val="Listenabsatz"/>
        <w:ind w:left="360"/>
        <w:rPr>
          <w:rFonts w:ascii="Trebuchet MS" w:hAnsi="Trebuchet MS"/>
          <w:bCs/>
          <w:sz w:val="22"/>
          <w:szCs w:val="22"/>
        </w:rPr>
      </w:pPr>
      <w:r w:rsidRPr="00EB3251">
        <w:rPr>
          <w:rFonts w:ascii="Trebuchet MS" w:hAnsi="Trebuchet MS"/>
          <w:bCs/>
          <w:sz w:val="22"/>
          <w:szCs w:val="22"/>
        </w:rPr>
        <w:t>In Art. 1(4) point 2(d</w:t>
      </w:r>
      <w:proofErr w:type="gramStart"/>
      <w:r w:rsidRPr="00EB3251">
        <w:rPr>
          <w:rFonts w:ascii="Trebuchet MS" w:hAnsi="Trebuchet MS"/>
          <w:bCs/>
          <w:sz w:val="22"/>
          <w:szCs w:val="22"/>
        </w:rPr>
        <w:t>)(</w:t>
      </w:r>
      <w:proofErr w:type="gramEnd"/>
      <w:r w:rsidRPr="00EB3251">
        <w:rPr>
          <w:rFonts w:ascii="Trebuchet MS" w:hAnsi="Trebuchet MS"/>
          <w:bCs/>
          <w:sz w:val="22"/>
          <w:szCs w:val="22"/>
        </w:rPr>
        <w:t>iii) of its Draft Technical Standard (see Annex V) the ESMA says that “within the same group of entities the seller generates the unique trade identifier”.</w:t>
      </w:r>
    </w:p>
    <w:p w:rsidR="00EB3251" w:rsidRPr="00EB3251" w:rsidRDefault="00EB3251" w:rsidP="00EB3251">
      <w:pPr>
        <w:pStyle w:val="Listenabsatz"/>
        <w:ind w:left="360"/>
        <w:rPr>
          <w:rFonts w:ascii="Trebuchet MS" w:hAnsi="Trebuchet MS"/>
          <w:bCs/>
          <w:sz w:val="22"/>
          <w:szCs w:val="22"/>
        </w:rPr>
      </w:pPr>
    </w:p>
    <w:p w:rsidR="00EB3251" w:rsidRPr="00EB3251" w:rsidRDefault="00EB3251" w:rsidP="00EB3251">
      <w:pPr>
        <w:pStyle w:val="Listenabsatz"/>
        <w:ind w:left="360"/>
        <w:rPr>
          <w:rFonts w:ascii="Trebuchet MS" w:hAnsi="Trebuchet MS"/>
          <w:bCs/>
          <w:sz w:val="22"/>
          <w:szCs w:val="22"/>
        </w:rPr>
      </w:pPr>
      <w:r w:rsidRPr="00EB3251">
        <w:rPr>
          <w:rFonts w:ascii="Trebuchet MS" w:hAnsi="Trebuchet MS"/>
          <w:bCs/>
          <w:sz w:val="22"/>
          <w:szCs w:val="22"/>
        </w:rPr>
        <w:t>In our view, it is difficult to clearly determine the seller and the buyer for a number of derivatives transactions. If the ESMA kept the formulation used in the Draft Technical Standard ESMA would need to issue further Q&amp;A for the different derivatives classes. That is why we would be pleased if the ESMA further clarified this requirement with respect to the different derivatives classes</w:t>
      </w:r>
    </w:p>
    <w:p w:rsidR="005B30D9" w:rsidRDefault="005B30D9" w:rsidP="00100D95">
      <w:pPr>
        <w:spacing w:line="240" w:lineRule="auto"/>
        <w:rPr>
          <w:b/>
          <w:bCs/>
          <w:szCs w:val="22"/>
          <w:lang w:val="en-GB"/>
        </w:rPr>
      </w:pPr>
    </w:p>
    <w:p w:rsidR="005B30D9" w:rsidRDefault="005B30D9" w:rsidP="00100D95">
      <w:pPr>
        <w:spacing w:line="240" w:lineRule="auto"/>
        <w:rPr>
          <w:b/>
          <w:bCs/>
          <w:szCs w:val="22"/>
          <w:lang w:val="en-GB"/>
        </w:rPr>
      </w:pPr>
      <w:r w:rsidRPr="005B30D9">
        <w:rPr>
          <w:b/>
          <w:bCs/>
          <w:szCs w:val="22"/>
          <w:lang w:val="en-GB"/>
        </w:rPr>
        <w:t>Q5: Do you think the introduction of new values and fields adequately reflect the derivatives market and will help improve the data quality of reports? Will the proposed changes cause significant new difficulties? Please elaborate.</w:t>
      </w:r>
    </w:p>
    <w:p w:rsidR="002C0F93" w:rsidRDefault="002C0F93" w:rsidP="00100D95">
      <w:pPr>
        <w:spacing w:line="240" w:lineRule="auto"/>
        <w:rPr>
          <w:b/>
          <w:bCs/>
          <w:szCs w:val="22"/>
          <w:lang w:val="en-GB"/>
        </w:rPr>
      </w:pPr>
    </w:p>
    <w:p w:rsidR="002C0F93" w:rsidRPr="00D03A86" w:rsidRDefault="00D03A86" w:rsidP="00D03A86">
      <w:pPr>
        <w:pStyle w:val="Listenabsatz"/>
        <w:numPr>
          <w:ilvl w:val="0"/>
          <w:numId w:val="16"/>
        </w:numPr>
        <w:rPr>
          <w:rFonts w:ascii="Trebuchet MS" w:hAnsi="Trebuchet MS"/>
          <w:b/>
          <w:bCs/>
          <w:sz w:val="22"/>
          <w:szCs w:val="22"/>
        </w:rPr>
      </w:pPr>
      <w:r w:rsidRPr="00D03A86">
        <w:rPr>
          <w:rFonts w:ascii="Trebuchet MS" w:hAnsi="Trebuchet MS" w:cs="Arial"/>
          <w:sz w:val="22"/>
          <w:szCs w:val="22"/>
          <w:lang w:eastAsia="de-AT"/>
        </w:rPr>
        <w:t>With respect to par. 45, we consider it more practical to report the branch we actually trade with, instead of the headquarters</w:t>
      </w:r>
      <w:r w:rsidR="0070580C">
        <w:rPr>
          <w:rFonts w:ascii="Trebuchet MS" w:hAnsi="Trebuchet MS" w:cs="Arial"/>
          <w:sz w:val="22"/>
          <w:szCs w:val="22"/>
          <w:lang w:eastAsia="de-AT"/>
        </w:rPr>
        <w:t>.</w:t>
      </w:r>
    </w:p>
    <w:p w:rsidR="00D03A86" w:rsidRPr="0070580C" w:rsidRDefault="00D03A86" w:rsidP="00D03A86">
      <w:pPr>
        <w:rPr>
          <w:b/>
          <w:bCs/>
          <w:szCs w:val="22"/>
          <w:lang w:val="en-GB"/>
        </w:rPr>
      </w:pPr>
    </w:p>
    <w:p w:rsidR="00D03A86" w:rsidRPr="001E2A72" w:rsidRDefault="001E2A72" w:rsidP="00D03A86">
      <w:pPr>
        <w:pStyle w:val="Listenabsatz"/>
        <w:numPr>
          <w:ilvl w:val="0"/>
          <w:numId w:val="16"/>
        </w:numPr>
        <w:rPr>
          <w:rFonts w:ascii="Trebuchet MS" w:hAnsi="Trebuchet MS"/>
          <w:b/>
          <w:bCs/>
          <w:sz w:val="22"/>
          <w:szCs w:val="22"/>
        </w:rPr>
      </w:pPr>
      <w:r w:rsidRPr="001E2A72">
        <w:rPr>
          <w:rFonts w:ascii="Trebuchet MS" w:hAnsi="Trebuchet MS"/>
          <w:color w:val="000000"/>
          <w:sz w:val="22"/>
          <w:szCs w:val="22"/>
        </w:rPr>
        <w:t>The introductions will not cause significant new difficulties. We think that even after the implementation of the proposed introductions there will be still significant reporting differences between market participants. The most efficient way to minimize these reporting mismatches would be, if ESMA publishes reporting examples/guidelines for specific trade.</w:t>
      </w:r>
      <w:r w:rsidRPr="001E2A72">
        <w:rPr>
          <w:rFonts w:ascii="Trebuchet MS" w:hAnsi="Trebuchet MS"/>
          <w:color w:val="000000"/>
          <w:sz w:val="22"/>
          <w:szCs w:val="22"/>
        </w:rPr>
        <w:br/>
      </w:r>
      <w:r w:rsidRPr="001E2A72">
        <w:rPr>
          <w:rFonts w:ascii="Trebuchet MS" w:hAnsi="Trebuchet MS"/>
          <w:color w:val="000000"/>
          <w:sz w:val="22"/>
          <w:szCs w:val="22"/>
        </w:rPr>
        <w:lastRenderedPageBreak/>
        <w:t>From the current point of view it seems almost impossible to harmonize the reports as there seems to be too much room for interpretations.</w:t>
      </w:r>
    </w:p>
    <w:p w:rsidR="005B30D9" w:rsidRDefault="005B30D9" w:rsidP="00100D95">
      <w:pPr>
        <w:spacing w:line="240" w:lineRule="auto"/>
        <w:rPr>
          <w:b/>
          <w:bCs/>
          <w:szCs w:val="22"/>
          <w:lang w:val="en-GB"/>
        </w:rPr>
      </w:pPr>
    </w:p>
    <w:p w:rsidR="005B30D9" w:rsidRDefault="005B30D9" w:rsidP="005B30D9">
      <w:pPr>
        <w:autoSpaceDE w:val="0"/>
        <w:autoSpaceDN w:val="0"/>
        <w:adjustRightInd w:val="0"/>
        <w:spacing w:line="240" w:lineRule="auto"/>
        <w:rPr>
          <w:rFonts w:ascii="Arial" w:hAnsi="Arial" w:cs="Arial"/>
          <w:b/>
          <w:bCs/>
          <w:color w:val="000000"/>
          <w:szCs w:val="22"/>
          <w:lang w:val="en-GB" w:eastAsia="en-US"/>
        </w:rPr>
      </w:pPr>
      <w:r w:rsidRPr="005B30D9">
        <w:rPr>
          <w:rFonts w:ascii="Arial" w:hAnsi="Arial" w:cs="Arial"/>
          <w:b/>
          <w:bCs/>
          <w:color w:val="000000"/>
          <w:szCs w:val="22"/>
          <w:lang w:val="en-GB" w:eastAsia="en-US"/>
        </w:rPr>
        <w:t xml:space="preserve">Q6: In your view, which of the reportable fields should permit for negative values as per paragraph 40? Please explain. </w:t>
      </w:r>
    </w:p>
    <w:p w:rsidR="001E2A72" w:rsidRDefault="001E2A72" w:rsidP="005B30D9">
      <w:pPr>
        <w:autoSpaceDE w:val="0"/>
        <w:autoSpaceDN w:val="0"/>
        <w:adjustRightInd w:val="0"/>
        <w:spacing w:line="240" w:lineRule="auto"/>
        <w:rPr>
          <w:rFonts w:ascii="Arial" w:hAnsi="Arial" w:cs="Arial"/>
          <w:b/>
          <w:bCs/>
          <w:color w:val="000000"/>
          <w:szCs w:val="22"/>
          <w:lang w:val="en-GB" w:eastAsia="en-US"/>
        </w:rPr>
      </w:pPr>
    </w:p>
    <w:p w:rsidR="001E2A72" w:rsidRPr="00E11380" w:rsidRDefault="001E2A72" w:rsidP="005B30D9">
      <w:pPr>
        <w:autoSpaceDE w:val="0"/>
        <w:autoSpaceDN w:val="0"/>
        <w:adjustRightInd w:val="0"/>
        <w:spacing w:line="240" w:lineRule="auto"/>
        <w:rPr>
          <w:rFonts w:cs="Arial"/>
          <w:b/>
          <w:bCs/>
          <w:color w:val="000000"/>
          <w:szCs w:val="22"/>
          <w:lang w:val="en-GB" w:eastAsia="en-US"/>
        </w:rPr>
      </w:pPr>
      <w:r w:rsidRPr="00E11380">
        <w:rPr>
          <w:rFonts w:cs="Arial"/>
          <w:szCs w:val="22"/>
          <w:lang w:val="en-GB" w:eastAsia="de-AT"/>
        </w:rPr>
        <w:t>We did not identify a need for change.</w:t>
      </w:r>
    </w:p>
    <w:p w:rsidR="0045726B" w:rsidRPr="005B30D9" w:rsidRDefault="0045726B" w:rsidP="005B30D9">
      <w:pPr>
        <w:autoSpaceDE w:val="0"/>
        <w:autoSpaceDN w:val="0"/>
        <w:adjustRightInd w:val="0"/>
        <w:spacing w:line="240" w:lineRule="auto"/>
        <w:rPr>
          <w:rFonts w:ascii="Arial" w:hAnsi="Arial" w:cs="Arial"/>
          <w:color w:val="000000"/>
          <w:szCs w:val="22"/>
          <w:lang w:val="en-GB" w:eastAsia="en-US"/>
        </w:rPr>
      </w:pPr>
    </w:p>
    <w:p w:rsidR="005B30D9" w:rsidRDefault="005B30D9" w:rsidP="005B30D9">
      <w:pPr>
        <w:autoSpaceDE w:val="0"/>
        <w:autoSpaceDN w:val="0"/>
        <w:adjustRightInd w:val="0"/>
        <w:spacing w:line="240" w:lineRule="auto"/>
        <w:rPr>
          <w:rFonts w:ascii="Arial" w:hAnsi="Arial" w:cs="Arial"/>
          <w:b/>
          <w:bCs/>
          <w:color w:val="000000"/>
          <w:szCs w:val="22"/>
          <w:lang w:val="en-GB" w:eastAsia="en-US"/>
        </w:rPr>
      </w:pPr>
      <w:r w:rsidRPr="005B30D9">
        <w:rPr>
          <w:rFonts w:ascii="Arial" w:hAnsi="Arial" w:cs="Arial"/>
          <w:b/>
          <w:bCs/>
          <w:color w:val="000000"/>
          <w:szCs w:val="22"/>
          <w:lang w:val="en-GB" w:eastAsia="en-US"/>
        </w:rPr>
        <w:t xml:space="preserve">Q7: Do you anticipate any difficulties with populating the corporate sector of the reporting counterparty field for non-financials as described in paragraph 42? Please elaborate. </w:t>
      </w:r>
    </w:p>
    <w:p w:rsidR="00E11380" w:rsidRPr="00696D98" w:rsidRDefault="00E11380" w:rsidP="00696D98">
      <w:pPr>
        <w:autoSpaceDE w:val="0"/>
        <w:autoSpaceDN w:val="0"/>
        <w:adjustRightInd w:val="0"/>
        <w:rPr>
          <w:rFonts w:cs="Arial"/>
          <w:color w:val="000000"/>
          <w:szCs w:val="22"/>
          <w:lang w:eastAsia="en-US"/>
        </w:rPr>
      </w:pPr>
    </w:p>
    <w:p w:rsidR="001E2A72" w:rsidRPr="00D56066" w:rsidRDefault="001E2A72" w:rsidP="00172EAC">
      <w:pPr>
        <w:autoSpaceDE w:val="0"/>
        <w:autoSpaceDN w:val="0"/>
        <w:adjustRightInd w:val="0"/>
        <w:rPr>
          <w:rFonts w:cs="Arial"/>
          <w:color w:val="000000"/>
          <w:szCs w:val="22"/>
          <w:lang w:val="en-GB" w:eastAsia="en-US"/>
        </w:rPr>
      </w:pPr>
      <w:r w:rsidRPr="00D56066">
        <w:rPr>
          <w:color w:val="000000"/>
          <w:szCs w:val="22"/>
          <w:lang w:val="en-GB"/>
        </w:rPr>
        <w:t xml:space="preserve">We think that the reporting of corporate sector for NFC- would cause significant additional efforts for FC. Therefore, we suggest </w:t>
      </w:r>
      <w:proofErr w:type="gramStart"/>
      <w:r w:rsidRPr="00D56066">
        <w:rPr>
          <w:color w:val="000000"/>
          <w:szCs w:val="22"/>
          <w:lang w:val="en-GB"/>
        </w:rPr>
        <w:t>to include</w:t>
      </w:r>
      <w:proofErr w:type="gramEnd"/>
      <w:r w:rsidRPr="00D56066">
        <w:rPr>
          <w:color w:val="000000"/>
          <w:szCs w:val="22"/>
          <w:lang w:val="en-GB"/>
        </w:rPr>
        <w:t xml:space="preserve"> these information in the LEI system, this means that the information has to be provided/updated just once. These would be the most efficient way to administrate that information.</w:t>
      </w:r>
    </w:p>
    <w:p w:rsidR="001E2A72" w:rsidRPr="001E2A72" w:rsidRDefault="001E2A72" w:rsidP="001E2A72">
      <w:pPr>
        <w:autoSpaceDE w:val="0"/>
        <w:autoSpaceDN w:val="0"/>
        <w:adjustRightInd w:val="0"/>
        <w:rPr>
          <w:rFonts w:cs="Arial"/>
          <w:color w:val="000000"/>
          <w:szCs w:val="22"/>
          <w:lang w:val="en-GB" w:eastAsia="en-US"/>
        </w:rPr>
      </w:pPr>
    </w:p>
    <w:p w:rsidR="005B30D9" w:rsidRDefault="005B30D9" w:rsidP="005B30D9">
      <w:pPr>
        <w:autoSpaceDE w:val="0"/>
        <w:autoSpaceDN w:val="0"/>
        <w:adjustRightInd w:val="0"/>
        <w:spacing w:line="240" w:lineRule="auto"/>
        <w:rPr>
          <w:rFonts w:ascii="Arial" w:hAnsi="Arial" w:cs="Arial"/>
          <w:b/>
          <w:bCs/>
          <w:color w:val="000000"/>
          <w:szCs w:val="22"/>
          <w:lang w:val="en-GB" w:eastAsia="en-US"/>
        </w:rPr>
      </w:pPr>
      <w:r w:rsidRPr="005B30D9">
        <w:rPr>
          <w:rFonts w:ascii="Arial" w:hAnsi="Arial" w:cs="Arial"/>
          <w:b/>
          <w:bCs/>
          <w:color w:val="000000"/>
          <w:szCs w:val="22"/>
          <w:lang w:val="en-GB" w:eastAsia="en-US"/>
        </w:rPr>
        <w:t xml:space="preserve">Q8: Do you envisage any difficulties with the approach described in paragraph 45 for the identification of indices and baskets? Please elaborate and specify what would be the most practical and industry consistent way to identify indices and baskets. </w:t>
      </w:r>
    </w:p>
    <w:p w:rsidR="001E2A72" w:rsidRDefault="001E2A72" w:rsidP="005B30D9">
      <w:pPr>
        <w:autoSpaceDE w:val="0"/>
        <w:autoSpaceDN w:val="0"/>
        <w:adjustRightInd w:val="0"/>
        <w:spacing w:line="240" w:lineRule="auto"/>
        <w:rPr>
          <w:rFonts w:ascii="Arial" w:hAnsi="Arial" w:cs="Arial"/>
          <w:b/>
          <w:bCs/>
          <w:color w:val="000000"/>
          <w:szCs w:val="22"/>
          <w:lang w:val="en-GB" w:eastAsia="en-US"/>
        </w:rPr>
      </w:pPr>
    </w:p>
    <w:p w:rsidR="00647C37" w:rsidRDefault="00647C37" w:rsidP="005B30D9">
      <w:pPr>
        <w:autoSpaceDE w:val="0"/>
        <w:autoSpaceDN w:val="0"/>
        <w:adjustRightInd w:val="0"/>
        <w:spacing w:line="240" w:lineRule="auto"/>
        <w:rPr>
          <w:lang w:val="en-GB"/>
        </w:rPr>
      </w:pPr>
      <w:r>
        <w:rPr>
          <w:lang w:val="en-GB"/>
        </w:rPr>
        <w:t xml:space="preserve">We envisage difficulties for baskets and indices that don’t have an ISIN. </w:t>
      </w:r>
    </w:p>
    <w:p w:rsidR="00647C37" w:rsidRPr="00D56066" w:rsidRDefault="00647C37" w:rsidP="005B30D9">
      <w:pPr>
        <w:autoSpaceDE w:val="0"/>
        <w:autoSpaceDN w:val="0"/>
        <w:adjustRightInd w:val="0"/>
        <w:spacing w:line="240" w:lineRule="auto"/>
        <w:rPr>
          <w:rFonts w:ascii="Arial" w:hAnsi="Arial" w:cs="Arial"/>
          <w:color w:val="000000"/>
          <w:szCs w:val="22"/>
          <w:lang w:val="en-GB" w:eastAsia="en-US"/>
        </w:rPr>
      </w:pPr>
    </w:p>
    <w:p w:rsidR="005B30D9" w:rsidRPr="005B30D9" w:rsidRDefault="005B30D9" w:rsidP="005B30D9">
      <w:pPr>
        <w:spacing w:line="240" w:lineRule="auto"/>
        <w:rPr>
          <w:szCs w:val="22"/>
          <w:lang w:val="en-GB"/>
        </w:rPr>
      </w:pPr>
      <w:r w:rsidRPr="005B30D9">
        <w:rPr>
          <w:rFonts w:ascii="Arial" w:hAnsi="Arial" w:cs="Arial"/>
          <w:b/>
          <w:bCs/>
          <w:color w:val="000000"/>
          <w:szCs w:val="22"/>
          <w:lang w:val="en-GB" w:eastAsia="en-US"/>
        </w:rPr>
        <w:t>Q10: The current approach to reporting means that strategies such as straddles cannot usually be reported on a single report but instead have to be decomposed and reported as multiple derivative contracts. This is believed to cause difficulties reconciling the reports with firms’ internal systems and also difficulties in reporting valuations where the market price may reflect the strategy rather than the individual components. Would it be valuable to allow for strategies to be reported directly as single reports? If so, how should this be achieved? For example, would additional values in the Option Type field (Current Table 2 Field 55) achieve this or would other changes also be needed? What sorts of strategies could and should be identified in this sort of way?</w:t>
      </w:r>
    </w:p>
    <w:p w:rsidR="00076293" w:rsidRDefault="00076293" w:rsidP="00100D95">
      <w:pPr>
        <w:rPr>
          <w:szCs w:val="22"/>
          <w:lang w:val="en-GB"/>
        </w:rPr>
      </w:pPr>
    </w:p>
    <w:p w:rsidR="001E2A72" w:rsidRPr="002232D2" w:rsidRDefault="002232D2" w:rsidP="00100D95">
      <w:pPr>
        <w:rPr>
          <w:rFonts w:cs="Arial"/>
          <w:szCs w:val="22"/>
          <w:lang w:val="en-GB" w:eastAsia="de-AT"/>
        </w:rPr>
      </w:pPr>
      <w:r w:rsidRPr="002232D2">
        <w:rPr>
          <w:rFonts w:cs="Arial"/>
          <w:szCs w:val="22"/>
          <w:lang w:val="en-GB" w:eastAsia="de-AT"/>
        </w:rPr>
        <w:t>When individual components of such strategies are booked separately within the internal systems generating the report a single report will be counterproductive. We thus ask that both, a single report as well as separated reporting should be allowed.</w:t>
      </w:r>
    </w:p>
    <w:p w:rsidR="002232D2" w:rsidRDefault="002232D2" w:rsidP="00100D95">
      <w:pPr>
        <w:rPr>
          <w:rFonts w:cs="Arial"/>
          <w:szCs w:val="22"/>
          <w:lang w:val="en-GB" w:eastAsia="de-AT"/>
        </w:rPr>
      </w:pPr>
    </w:p>
    <w:p w:rsidR="002232D2" w:rsidRPr="002232D2" w:rsidRDefault="002232D2" w:rsidP="002232D2">
      <w:pPr>
        <w:rPr>
          <w:rFonts w:cs="Arial"/>
          <w:b/>
          <w:szCs w:val="22"/>
          <w:lang w:val="en-GB"/>
        </w:rPr>
      </w:pPr>
      <w:r w:rsidRPr="002232D2">
        <w:rPr>
          <w:rFonts w:cs="Arial"/>
          <w:b/>
          <w:szCs w:val="22"/>
          <w:lang w:val="en-GB"/>
        </w:rPr>
        <w:t>Article 3b:</w:t>
      </w:r>
    </w:p>
    <w:p w:rsidR="002232D2" w:rsidRPr="002232D2" w:rsidRDefault="002232D2" w:rsidP="002232D2">
      <w:pPr>
        <w:rPr>
          <w:rFonts w:cs="Arial"/>
          <w:szCs w:val="22"/>
          <w:lang w:val="en-GB"/>
        </w:rPr>
      </w:pPr>
      <w:r w:rsidRPr="002232D2">
        <w:rPr>
          <w:rFonts w:cs="Arial"/>
          <w:szCs w:val="22"/>
          <w:lang w:val="en-GB"/>
        </w:rPr>
        <w:t>“The collateralisation types under Article 3b (page 40) do not seem to cover all possible instances. We find at least one more instance:</w:t>
      </w:r>
    </w:p>
    <w:p w:rsidR="002232D2" w:rsidRPr="002232D2" w:rsidRDefault="002232D2" w:rsidP="002232D2">
      <w:pPr>
        <w:rPr>
          <w:rFonts w:cs="Arial"/>
          <w:szCs w:val="22"/>
          <w:lang w:val="en-GB"/>
        </w:rPr>
      </w:pPr>
      <w:r w:rsidRPr="002232D2">
        <w:rPr>
          <w:rFonts w:cs="Arial"/>
          <w:szCs w:val="22"/>
          <w:lang w:val="en-GB"/>
        </w:rPr>
        <w:t xml:space="preserve">Both counterparties regularly post variation margin, only the reporting counterparty POSTS initial margin. This is true for a) trades with a Clearing Broker, as well as b) client's reports of trades with us. </w:t>
      </w:r>
    </w:p>
    <w:p w:rsidR="002232D2" w:rsidRPr="002232D2" w:rsidRDefault="002232D2" w:rsidP="002232D2">
      <w:pPr>
        <w:rPr>
          <w:rFonts w:cs="Arial"/>
          <w:szCs w:val="22"/>
          <w:lang w:val="en-GB"/>
        </w:rPr>
      </w:pPr>
      <w:r w:rsidRPr="002232D2">
        <w:rPr>
          <w:rFonts w:cs="Arial"/>
          <w:szCs w:val="22"/>
          <w:lang w:val="en-GB"/>
        </w:rPr>
        <w:t>None of the four reporting instances stated in Article 3b seem to cover that case.”</w:t>
      </w:r>
    </w:p>
    <w:p w:rsidR="00EB3251" w:rsidRPr="00100D95" w:rsidRDefault="00EB3251" w:rsidP="00100D95">
      <w:pPr>
        <w:rPr>
          <w:szCs w:val="22"/>
          <w:lang w:val="en-GB"/>
        </w:rPr>
      </w:pPr>
    </w:p>
    <w:p w:rsidR="00076293" w:rsidRPr="00100D95" w:rsidRDefault="00076293" w:rsidP="00100D95">
      <w:pPr>
        <w:rPr>
          <w:szCs w:val="22"/>
          <w:lang w:val="en-GB"/>
        </w:rPr>
      </w:pPr>
      <w:r w:rsidRPr="00100D95">
        <w:rPr>
          <w:szCs w:val="22"/>
          <w:lang w:val="en-GB"/>
        </w:rPr>
        <w:t>Yours sincerely,</w:t>
      </w:r>
    </w:p>
    <w:p w:rsidR="005B30D9" w:rsidRPr="00100D95" w:rsidRDefault="005B30D9" w:rsidP="00100D95">
      <w:pPr>
        <w:rPr>
          <w:szCs w:val="22"/>
          <w:lang w:val="en-GB"/>
        </w:rPr>
      </w:pPr>
    </w:p>
    <w:p w:rsidR="00076293" w:rsidRPr="00100D95" w:rsidRDefault="00076293" w:rsidP="00100D95">
      <w:pPr>
        <w:rPr>
          <w:szCs w:val="22"/>
          <w:lang w:val="en-GB"/>
        </w:rPr>
      </w:pPr>
      <w:r w:rsidRPr="00100D95">
        <w:rPr>
          <w:szCs w:val="22"/>
          <w:lang w:val="en-GB"/>
        </w:rPr>
        <w:t>Dr. Franz Rudorfer</w:t>
      </w:r>
    </w:p>
    <w:p w:rsidR="00076293" w:rsidRPr="00100D95" w:rsidRDefault="00076293" w:rsidP="00100D95">
      <w:pPr>
        <w:rPr>
          <w:szCs w:val="22"/>
          <w:lang w:val="en-GB"/>
        </w:rPr>
      </w:pPr>
      <w:r w:rsidRPr="00100D95">
        <w:rPr>
          <w:szCs w:val="22"/>
          <w:lang w:val="en-GB"/>
        </w:rPr>
        <w:t>Managing Director</w:t>
      </w:r>
    </w:p>
    <w:p w:rsidR="00076293" w:rsidRPr="00100D95" w:rsidRDefault="00076293" w:rsidP="00100D95">
      <w:pPr>
        <w:rPr>
          <w:szCs w:val="22"/>
          <w:lang w:val="en-GB"/>
        </w:rPr>
      </w:pPr>
      <w:r w:rsidRPr="00100D95">
        <w:rPr>
          <w:szCs w:val="22"/>
          <w:lang w:val="en-GB"/>
        </w:rPr>
        <w:t>Division Bank and Insurance</w:t>
      </w:r>
    </w:p>
    <w:sectPr w:rsidR="00076293" w:rsidRPr="00100D95" w:rsidSect="00E736C4">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A1D" w:rsidRDefault="00FC4A1D" w:rsidP="00E245DF">
      <w:pPr>
        <w:spacing w:line="240" w:lineRule="auto"/>
      </w:pPr>
      <w:r>
        <w:separator/>
      </w:r>
    </w:p>
  </w:endnote>
  <w:endnote w:type="continuationSeparator" w:id="0">
    <w:p w:rsidR="00FC4A1D" w:rsidRDefault="00FC4A1D" w:rsidP="00E245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A1D" w:rsidRDefault="00FC4A1D" w:rsidP="00E245DF">
      <w:pPr>
        <w:spacing w:line="240" w:lineRule="auto"/>
      </w:pPr>
      <w:r>
        <w:separator/>
      </w:r>
    </w:p>
  </w:footnote>
  <w:footnote w:type="continuationSeparator" w:id="0">
    <w:p w:rsidR="00FC4A1D" w:rsidRDefault="00FC4A1D" w:rsidP="00E245D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5DF" w:rsidRDefault="00E245DF">
    <w:pPr>
      <w:pStyle w:val="Kopfzeile"/>
    </w:pPr>
    <w:r>
      <w:rPr>
        <w:noProof/>
        <w:lang w:val="de-AT" w:eastAsia="de-AT"/>
      </w:rPr>
      <w:drawing>
        <wp:anchor distT="0" distB="0" distL="114300" distR="114300" simplePos="0" relativeHeight="251659264" behindDoc="0" locked="1" layoutInCell="1" allowOverlap="1" wp14:anchorId="12A23616" wp14:editId="7401B538">
          <wp:simplePos x="0" y="0"/>
          <wp:positionH relativeFrom="page">
            <wp:posOffset>5012055</wp:posOffset>
          </wp:positionH>
          <wp:positionV relativeFrom="page">
            <wp:posOffset>349885</wp:posOffset>
          </wp:positionV>
          <wp:extent cx="2210435" cy="861695"/>
          <wp:effectExtent l="0" t="0" r="0" b="0"/>
          <wp:wrapTopAndBottom/>
          <wp:docPr id="1"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0435" cy="861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653D6"/>
    <w:multiLevelType w:val="hybridMultilevel"/>
    <w:tmpl w:val="26F60562"/>
    <w:lvl w:ilvl="0" w:tplc="F2486A16">
      <w:start w:val="1"/>
      <w:numFmt w:val="decimal"/>
      <w:lvlText w:val="%1"/>
      <w:lvlJc w:val="left"/>
      <w:pPr>
        <w:ind w:left="0"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6957DF0"/>
    <w:multiLevelType w:val="hybridMultilevel"/>
    <w:tmpl w:val="10B2DD8A"/>
    <w:lvl w:ilvl="0" w:tplc="18090001">
      <w:start w:val="1"/>
      <w:numFmt w:val="bullet"/>
      <w:lvlText w:val=""/>
      <w:lvlJc w:val="left"/>
      <w:pPr>
        <w:ind w:left="1776" w:hanging="360"/>
      </w:pPr>
      <w:rPr>
        <w:rFonts w:ascii="Symbol" w:hAnsi="Symbol" w:hint="default"/>
      </w:rPr>
    </w:lvl>
    <w:lvl w:ilvl="1" w:tplc="18090003">
      <w:start w:val="1"/>
      <w:numFmt w:val="bullet"/>
      <w:lvlText w:val="o"/>
      <w:lvlJc w:val="left"/>
      <w:pPr>
        <w:ind w:left="2496" w:hanging="360"/>
      </w:pPr>
      <w:rPr>
        <w:rFonts w:ascii="Courier New" w:hAnsi="Courier New" w:cs="Courier New" w:hint="default"/>
      </w:rPr>
    </w:lvl>
    <w:lvl w:ilvl="2" w:tplc="18090005" w:tentative="1">
      <w:start w:val="1"/>
      <w:numFmt w:val="bullet"/>
      <w:lvlText w:val=""/>
      <w:lvlJc w:val="left"/>
      <w:pPr>
        <w:ind w:left="3216" w:hanging="360"/>
      </w:pPr>
      <w:rPr>
        <w:rFonts w:ascii="Wingdings" w:hAnsi="Wingdings" w:hint="default"/>
      </w:rPr>
    </w:lvl>
    <w:lvl w:ilvl="3" w:tplc="18090001" w:tentative="1">
      <w:start w:val="1"/>
      <w:numFmt w:val="bullet"/>
      <w:lvlText w:val=""/>
      <w:lvlJc w:val="left"/>
      <w:pPr>
        <w:ind w:left="3936" w:hanging="360"/>
      </w:pPr>
      <w:rPr>
        <w:rFonts w:ascii="Symbol" w:hAnsi="Symbol" w:hint="default"/>
      </w:rPr>
    </w:lvl>
    <w:lvl w:ilvl="4" w:tplc="18090003" w:tentative="1">
      <w:start w:val="1"/>
      <w:numFmt w:val="bullet"/>
      <w:lvlText w:val="o"/>
      <w:lvlJc w:val="left"/>
      <w:pPr>
        <w:ind w:left="4656" w:hanging="360"/>
      </w:pPr>
      <w:rPr>
        <w:rFonts w:ascii="Courier New" w:hAnsi="Courier New" w:cs="Courier New" w:hint="default"/>
      </w:rPr>
    </w:lvl>
    <w:lvl w:ilvl="5" w:tplc="18090005" w:tentative="1">
      <w:start w:val="1"/>
      <w:numFmt w:val="bullet"/>
      <w:lvlText w:val=""/>
      <w:lvlJc w:val="left"/>
      <w:pPr>
        <w:ind w:left="5376" w:hanging="360"/>
      </w:pPr>
      <w:rPr>
        <w:rFonts w:ascii="Wingdings" w:hAnsi="Wingdings" w:hint="default"/>
      </w:rPr>
    </w:lvl>
    <w:lvl w:ilvl="6" w:tplc="18090001" w:tentative="1">
      <w:start w:val="1"/>
      <w:numFmt w:val="bullet"/>
      <w:lvlText w:val=""/>
      <w:lvlJc w:val="left"/>
      <w:pPr>
        <w:ind w:left="6096" w:hanging="360"/>
      </w:pPr>
      <w:rPr>
        <w:rFonts w:ascii="Symbol" w:hAnsi="Symbol" w:hint="default"/>
      </w:rPr>
    </w:lvl>
    <w:lvl w:ilvl="7" w:tplc="18090003" w:tentative="1">
      <w:start w:val="1"/>
      <w:numFmt w:val="bullet"/>
      <w:lvlText w:val="o"/>
      <w:lvlJc w:val="left"/>
      <w:pPr>
        <w:ind w:left="6816" w:hanging="360"/>
      </w:pPr>
      <w:rPr>
        <w:rFonts w:ascii="Courier New" w:hAnsi="Courier New" w:cs="Courier New" w:hint="default"/>
      </w:rPr>
    </w:lvl>
    <w:lvl w:ilvl="8" w:tplc="18090005" w:tentative="1">
      <w:start w:val="1"/>
      <w:numFmt w:val="bullet"/>
      <w:lvlText w:val=""/>
      <w:lvlJc w:val="left"/>
      <w:pPr>
        <w:ind w:left="7536" w:hanging="360"/>
      </w:pPr>
      <w:rPr>
        <w:rFonts w:ascii="Wingdings" w:hAnsi="Wingdings" w:hint="default"/>
      </w:rPr>
    </w:lvl>
  </w:abstractNum>
  <w:abstractNum w:abstractNumId="2">
    <w:nsid w:val="172F245F"/>
    <w:multiLevelType w:val="hybridMultilevel"/>
    <w:tmpl w:val="00D41A64"/>
    <w:lvl w:ilvl="0" w:tplc="E896658E">
      <w:start w:val="1"/>
      <w:numFmt w:val="decimal"/>
      <w:lvlText w:val="Q%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nsid w:val="325D6598"/>
    <w:multiLevelType w:val="hybridMultilevel"/>
    <w:tmpl w:val="10C491D6"/>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nsid w:val="32B04ADA"/>
    <w:multiLevelType w:val="hybridMultilevel"/>
    <w:tmpl w:val="7C4ABD64"/>
    <w:lvl w:ilvl="0" w:tplc="5F3627E2">
      <w:start w:val="1"/>
      <w:numFmt w:val="lowerRoman"/>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nsid w:val="37A15BD9"/>
    <w:multiLevelType w:val="hybridMultilevel"/>
    <w:tmpl w:val="9F7CD36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nsid w:val="3B3760B3"/>
    <w:multiLevelType w:val="hybridMultilevel"/>
    <w:tmpl w:val="E820CF7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3E627419"/>
    <w:multiLevelType w:val="hybridMultilevel"/>
    <w:tmpl w:val="7690E62E"/>
    <w:lvl w:ilvl="0" w:tplc="744612AA">
      <w:start w:val="1"/>
      <w:numFmt w:val="bullet"/>
      <w:lvlText w:val=""/>
      <w:lvlJc w:val="left"/>
      <w:pPr>
        <w:ind w:left="357" w:hanging="357"/>
      </w:pPr>
      <w:rPr>
        <w:rFonts w:ascii="Symbol" w:hAnsi="Symbol" w:hint="default"/>
      </w:rPr>
    </w:lvl>
    <w:lvl w:ilvl="1" w:tplc="18090003">
      <w:start w:val="1"/>
      <w:numFmt w:val="bullet"/>
      <w:lvlText w:val="o"/>
      <w:lvlJc w:val="left"/>
      <w:pPr>
        <w:ind w:left="2496" w:hanging="360"/>
      </w:pPr>
      <w:rPr>
        <w:rFonts w:ascii="Courier New" w:hAnsi="Courier New" w:cs="Courier New" w:hint="default"/>
      </w:rPr>
    </w:lvl>
    <w:lvl w:ilvl="2" w:tplc="18090005" w:tentative="1">
      <w:start w:val="1"/>
      <w:numFmt w:val="bullet"/>
      <w:lvlText w:val=""/>
      <w:lvlJc w:val="left"/>
      <w:pPr>
        <w:ind w:left="3216" w:hanging="360"/>
      </w:pPr>
      <w:rPr>
        <w:rFonts w:ascii="Wingdings" w:hAnsi="Wingdings" w:hint="default"/>
      </w:rPr>
    </w:lvl>
    <w:lvl w:ilvl="3" w:tplc="18090001" w:tentative="1">
      <w:start w:val="1"/>
      <w:numFmt w:val="bullet"/>
      <w:lvlText w:val=""/>
      <w:lvlJc w:val="left"/>
      <w:pPr>
        <w:ind w:left="3936" w:hanging="360"/>
      </w:pPr>
      <w:rPr>
        <w:rFonts w:ascii="Symbol" w:hAnsi="Symbol" w:hint="default"/>
      </w:rPr>
    </w:lvl>
    <w:lvl w:ilvl="4" w:tplc="18090003" w:tentative="1">
      <w:start w:val="1"/>
      <w:numFmt w:val="bullet"/>
      <w:lvlText w:val="o"/>
      <w:lvlJc w:val="left"/>
      <w:pPr>
        <w:ind w:left="4656" w:hanging="360"/>
      </w:pPr>
      <w:rPr>
        <w:rFonts w:ascii="Courier New" w:hAnsi="Courier New" w:cs="Courier New" w:hint="default"/>
      </w:rPr>
    </w:lvl>
    <w:lvl w:ilvl="5" w:tplc="18090005" w:tentative="1">
      <w:start w:val="1"/>
      <w:numFmt w:val="bullet"/>
      <w:lvlText w:val=""/>
      <w:lvlJc w:val="left"/>
      <w:pPr>
        <w:ind w:left="5376" w:hanging="360"/>
      </w:pPr>
      <w:rPr>
        <w:rFonts w:ascii="Wingdings" w:hAnsi="Wingdings" w:hint="default"/>
      </w:rPr>
    </w:lvl>
    <w:lvl w:ilvl="6" w:tplc="18090001" w:tentative="1">
      <w:start w:val="1"/>
      <w:numFmt w:val="bullet"/>
      <w:lvlText w:val=""/>
      <w:lvlJc w:val="left"/>
      <w:pPr>
        <w:ind w:left="6096" w:hanging="360"/>
      </w:pPr>
      <w:rPr>
        <w:rFonts w:ascii="Symbol" w:hAnsi="Symbol" w:hint="default"/>
      </w:rPr>
    </w:lvl>
    <w:lvl w:ilvl="7" w:tplc="18090003" w:tentative="1">
      <w:start w:val="1"/>
      <w:numFmt w:val="bullet"/>
      <w:lvlText w:val="o"/>
      <w:lvlJc w:val="left"/>
      <w:pPr>
        <w:ind w:left="6816" w:hanging="360"/>
      </w:pPr>
      <w:rPr>
        <w:rFonts w:ascii="Courier New" w:hAnsi="Courier New" w:cs="Courier New" w:hint="default"/>
      </w:rPr>
    </w:lvl>
    <w:lvl w:ilvl="8" w:tplc="18090005" w:tentative="1">
      <w:start w:val="1"/>
      <w:numFmt w:val="bullet"/>
      <w:lvlText w:val=""/>
      <w:lvlJc w:val="left"/>
      <w:pPr>
        <w:ind w:left="7536" w:hanging="360"/>
      </w:pPr>
      <w:rPr>
        <w:rFonts w:ascii="Wingdings" w:hAnsi="Wingdings" w:hint="default"/>
      </w:rPr>
    </w:lvl>
  </w:abstractNum>
  <w:abstractNum w:abstractNumId="9">
    <w:nsid w:val="4F292309"/>
    <w:multiLevelType w:val="hybridMultilevel"/>
    <w:tmpl w:val="6E3C63B0"/>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nsid w:val="572040C0"/>
    <w:multiLevelType w:val="hybridMultilevel"/>
    <w:tmpl w:val="3224FEA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nsid w:val="5A257F55"/>
    <w:multiLevelType w:val="hybridMultilevel"/>
    <w:tmpl w:val="AF304B0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2">
    <w:nsid w:val="5C311997"/>
    <w:multiLevelType w:val="hybridMultilevel"/>
    <w:tmpl w:val="B4964FF6"/>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3">
    <w:nsid w:val="605735B9"/>
    <w:multiLevelType w:val="hybridMultilevel"/>
    <w:tmpl w:val="63E2658A"/>
    <w:lvl w:ilvl="0" w:tplc="A1F26418">
      <w:start w:val="1"/>
      <w:numFmt w:val="decimal"/>
      <w:pStyle w:val="berschrift5"/>
      <w:suff w:val="nothing"/>
      <w:lvlText w:val="Q%1:"/>
      <w:lvlJc w:val="left"/>
      <w:pPr>
        <w:ind w:left="227" w:hanging="227"/>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E22755"/>
    <w:multiLevelType w:val="hybridMultilevel"/>
    <w:tmpl w:val="63FA0BFE"/>
    <w:lvl w:ilvl="0" w:tplc="B55E7C30">
      <w:start w:val="1"/>
      <w:numFmt w:val="bullet"/>
      <w:lvlText w:val=""/>
      <w:lvlJc w:val="left"/>
      <w:pPr>
        <w:ind w:left="3759" w:hanging="3759"/>
      </w:pPr>
      <w:rPr>
        <w:rFonts w:ascii="Symbol" w:hAnsi="Symbol" w:hint="default"/>
      </w:rPr>
    </w:lvl>
    <w:lvl w:ilvl="1" w:tplc="18090003">
      <w:start w:val="1"/>
      <w:numFmt w:val="bullet"/>
      <w:lvlText w:val="o"/>
      <w:lvlJc w:val="left"/>
      <w:pPr>
        <w:ind w:left="2496" w:hanging="360"/>
      </w:pPr>
      <w:rPr>
        <w:rFonts w:ascii="Courier New" w:hAnsi="Courier New" w:cs="Courier New" w:hint="default"/>
      </w:rPr>
    </w:lvl>
    <w:lvl w:ilvl="2" w:tplc="18090005" w:tentative="1">
      <w:start w:val="1"/>
      <w:numFmt w:val="bullet"/>
      <w:lvlText w:val=""/>
      <w:lvlJc w:val="left"/>
      <w:pPr>
        <w:ind w:left="3216" w:hanging="360"/>
      </w:pPr>
      <w:rPr>
        <w:rFonts w:ascii="Wingdings" w:hAnsi="Wingdings" w:hint="default"/>
      </w:rPr>
    </w:lvl>
    <w:lvl w:ilvl="3" w:tplc="18090001" w:tentative="1">
      <w:start w:val="1"/>
      <w:numFmt w:val="bullet"/>
      <w:lvlText w:val=""/>
      <w:lvlJc w:val="left"/>
      <w:pPr>
        <w:ind w:left="3936" w:hanging="360"/>
      </w:pPr>
      <w:rPr>
        <w:rFonts w:ascii="Symbol" w:hAnsi="Symbol" w:hint="default"/>
      </w:rPr>
    </w:lvl>
    <w:lvl w:ilvl="4" w:tplc="18090003" w:tentative="1">
      <w:start w:val="1"/>
      <w:numFmt w:val="bullet"/>
      <w:lvlText w:val="o"/>
      <w:lvlJc w:val="left"/>
      <w:pPr>
        <w:ind w:left="4656" w:hanging="360"/>
      </w:pPr>
      <w:rPr>
        <w:rFonts w:ascii="Courier New" w:hAnsi="Courier New" w:cs="Courier New" w:hint="default"/>
      </w:rPr>
    </w:lvl>
    <w:lvl w:ilvl="5" w:tplc="18090005" w:tentative="1">
      <w:start w:val="1"/>
      <w:numFmt w:val="bullet"/>
      <w:lvlText w:val=""/>
      <w:lvlJc w:val="left"/>
      <w:pPr>
        <w:ind w:left="5376" w:hanging="360"/>
      </w:pPr>
      <w:rPr>
        <w:rFonts w:ascii="Wingdings" w:hAnsi="Wingdings" w:hint="default"/>
      </w:rPr>
    </w:lvl>
    <w:lvl w:ilvl="6" w:tplc="18090001" w:tentative="1">
      <w:start w:val="1"/>
      <w:numFmt w:val="bullet"/>
      <w:lvlText w:val=""/>
      <w:lvlJc w:val="left"/>
      <w:pPr>
        <w:ind w:left="6096" w:hanging="360"/>
      </w:pPr>
      <w:rPr>
        <w:rFonts w:ascii="Symbol" w:hAnsi="Symbol" w:hint="default"/>
      </w:rPr>
    </w:lvl>
    <w:lvl w:ilvl="7" w:tplc="18090003" w:tentative="1">
      <w:start w:val="1"/>
      <w:numFmt w:val="bullet"/>
      <w:lvlText w:val="o"/>
      <w:lvlJc w:val="left"/>
      <w:pPr>
        <w:ind w:left="6816" w:hanging="360"/>
      </w:pPr>
      <w:rPr>
        <w:rFonts w:ascii="Courier New" w:hAnsi="Courier New" w:cs="Courier New" w:hint="default"/>
      </w:rPr>
    </w:lvl>
    <w:lvl w:ilvl="8" w:tplc="18090005" w:tentative="1">
      <w:start w:val="1"/>
      <w:numFmt w:val="bullet"/>
      <w:lvlText w:val=""/>
      <w:lvlJc w:val="left"/>
      <w:pPr>
        <w:ind w:left="7536" w:hanging="360"/>
      </w:pPr>
      <w:rPr>
        <w:rFonts w:ascii="Wingdings" w:hAnsi="Wingdings" w:hint="default"/>
      </w:rPr>
    </w:lvl>
  </w:abstractNum>
  <w:abstractNum w:abstractNumId="15">
    <w:nsid w:val="7A6836FD"/>
    <w:multiLevelType w:val="hybridMultilevel"/>
    <w:tmpl w:val="DEFAB7AC"/>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6">
    <w:nsid w:val="7A6E15D8"/>
    <w:multiLevelType w:val="hybridMultilevel"/>
    <w:tmpl w:val="696A724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abstractNumId w:val="1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14"/>
  </w:num>
  <w:num w:numId="6">
    <w:abstractNumId w:val="8"/>
  </w:num>
  <w:num w:numId="7">
    <w:abstractNumId w:val="5"/>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4"/>
  </w:num>
  <w:num w:numId="11">
    <w:abstractNumId w:val="9"/>
  </w:num>
  <w:num w:numId="12">
    <w:abstractNumId w:val="10"/>
  </w:num>
  <w:num w:numId="13">
    <w:abstractNumId w:val="15"/>
  </w:num>
  <w:num w:numId="14">
    <w:abstractNumId w:val="16"/>
  </w:num>
  <w:num w:numId="15">
    <w:abstractNumId w:val="3"/>
  </w:num>
  <w:num w:numId="16">
    <w:abstractNumId w:val="11"/>
  </w:num>
  <w:num w:numId="1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anus Kogler">
    <w15:presenceInfo w15:providerId="Windows Live" w15:userId="31dd04f042f6ea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5DF"/>
    <w:rsid w:val="00002CAE"/>
    <w:rsid w:val="0000713F"/>
    <w:rsid w:val="000127E2"/>
    <w:rsid w:val="00012D1A"/>
    <w:rsid w:val="00016D43"/>
    <w:rsid w:val="0003719F"/>
    <w:rsid w:val="00041E2C"/>
    <w:rsid w:val="000608E2"/>
    <w:rsid w:val="000641B8"/>
    <w:rsid w:val="00071001"/>
    <w:rsid w:val="00075857"/>
    <w:rsid w:val="00076293"/>
    <w:rsid w:val="000814A0"/>
    <w:rsid w:val="00082C8C"/>
    <w:rsid w:val="0009689A"/>
    <w:rsid w:val="000A71B3"/>
    <w:rsid w:val="000A71EA"/>
    <w:rsid w:val="000B12FD"/>
    <w:rsid w:val="000B7855"/>
    <w:rsid w:val="000C4EA0"/>
    <w:rsid w:val="000D607B"/>
    <w:rsid w:val="000D7CD2"/>
    <w:rsid w:val="000F1496"/>
    <w:rsid w:val="000F2831"/>
    <w:rsid w:val="000F69DE"/>
    <w:rsid w:val="00100D95"/>
    <w:rsid w:val="00102C32"/>
    <w:rsid w:val="00102E04"/>
    <w:rsid w:val="00103E15"/>
    <w:rsid w:val="00106C6F"/>
    <w:rsid w:val="00123FF7"/>
    <w:rsid w:val="001455FF"/>
    <w:rsid w:val="00166D5F"/>
    <w:rsid w:val="001675EA"/>
    <w:rsid w:val="00172EAC"/>
    <w:rsid w:val="00193FBA"/>
    <w:rsid w:val="00196071"/>
    <w:rsid w:val="001A04D8"/>
    <w:rsid w:val="001A1F7F"/>
    <w:rsid w:val="001C4912"/>
    <w:rsid w:val="001C5380"/>
    <w:rsid w:val="001E2A72"/>
    <w:rsid w:val="001E2D12"/>
    <w:rsid w:val="001F25D1"/>
    <w:rsid w:val="00200EC8"/>
    <w:rsid w:val="0020107C"/>
    <w:rsid w:val="00205517"/>
    <w:rsid w:val="00213287"/>
    <w:rsid w:val="00220E0E"/>
    <w:rsid w:val="002232D2"/>
    <w:rsid w:val="00226ADD"/>
    <w:rsid w:val="00231E37"/>
    <w:rsid w:val="00240497"/>
    <w:rsid w:val="00252C74"/>
    <w:rsid w:val="002535CA"/>
    <w:rsid w:val="00253970"/>
    <w:rsid w:val="00261C4B"/>
    <w:rsid w:val="00271D63"/>
    <w:rsid w:val="00273354"/>
    <w:rsid w:val="00277E56"/>
    <w:rsid w:val="00283BF5"/>
    <w:rsid w:val="002971D3"/>
    <w:rsid w:val="002A2E36"/>
    <w:rsid w:val="002A6A53"/>
    <w:rsid w:val="002C0F93"/>
    <w:rsid w:val="002C33A7"/>
    <w:rsid w:val="002D4063"/>
    <w:rsid w:val="002D7E99"/>
    <w:rsid w:val="002E40B7"/>
    <w:rsid w:val="00304584"/>
    <w:rsid w:val="003258AF"/>
    <w:rsid w:val="00326AD7"/>
    <w:rsid w:val="00331C9B"/>
    <w:rsid w:val="003351AC"/>
    <w:rsid w:val="00353145"/>
    <w:rsid w:val="00354C94"/>
    <w:rsid w:val="00356823"/>
    <w:rsid w:val="0037643C"/>
    <w:rsid w:val="00382B0A"/>
    <w:rsid w:val="00385222"/>
    <w:rsid w:val="00386157"/>
    <w:rsid w:val="003925AD"/>
    <w:rsid w:val="003C7BD4"/>
    <w:rsid w:val="003D1A2B"/>
    <w:rsid w:val="003D621A"/>
    <w:rsid w:val="003D70C4"/>
    <w:rsid w:val="003D7AD3"/>
    <w:rsid w:val="003E3102"/>
    <w:rsid w:val="003E6683"/>
    <w:rsid w:val="003F3096"/>
    <w:rsid w:val="003F6C84"/>
    <w:rsid w:val="003F72E9"/>
    <w:rsid w:val="003F792D"/>
    <w:rsid w:val="004045DE"/>
    <w:rsid w:val="00411B54"/>
    <w:rsid w:val="004270E2"/>
    <w:rsid w:val="00442A54"/>
    <w:rsid w:val="00446AEB"/>
    <w:rsid w:val="00446BE3"/>
    <w:rsid w:val="00450DC1"/>
    <w:rsid w:val="00454F8D"/>
    <w:rsid w:val="0045726B"/>
    <w:rsid w:val="00470A23"/>
    <w:rsid w:val="00471400"/>
    <w:rsid w:val="00475637"/>
    <w:rsid w:val="00482ED1"/>
    <w:rsid w:val="00484B00"/>
    <w:rsid w:val="00490C96"/>
    <w:rsid w:val="004A0C5F"/>
    <w:rsid w:val="004A2074"/>
    <w:rsid w:val="004C5683"/>
    <w:rsid w:val="004C5BD9"/>
    <w:rsid w:val="004D5B87"/>
    <w:rsid w:val="004F23C4"/>
    <w:rsid w:val="005073AE"/>
    <w:rsid w:val="005154D9"/>
    <w:rsid w:val="005246B6"/>
    <w:rsid w:val="00527B54"/>
    <w:rsid w:val="00531490"/>
    <w:rsid w:val="00547A59"/>
    <w:rsid w:val="005501F5"/>
    <w:rsid w:val="005534B9"/>
    <w:rsid w:val="00596D89"/>
    <w:rsid w:val="005A265C"/>
    <w:rsid w:val="005A7E33"/>
    <w:rsid w:val="005B30D9"/>
    <w:rsid w:val="005B7474"/>
    <w:rsid w:val="005B7B2B"/>
    <w:rsid w:val="005C0931"/>
    <w:rsid w:val="005C5376"/>
    <w:rsid w:val="005D0BA5"/>
    <w:rsid w:val="005D282D"/>
    <w:rsid w:val="005D3BF4"/>
    <w:rsid w:val="005D6B25"/>
    <w:rsid w:val="005D714A"/>
    <w:rsid w:val="005F6829"/>
    <w:rsid w:val="0060498F"/>
    <w:rsid w:val="00617DBA"/>
    <w:rsid w:val="00626C2B"/>
    <w:rsid w:val="00631FED"/>
    <w:rsid w:val="006327CF"/>
    <w:rsid w:val="00640476"/>
    <w:rsid w:val="00647C37"/>
    <w:rsid w:val="0066391E"/>
    <w:rsid w:val="00665515"/>
    <w:rsid w:val="00667712"/>
    <w:rsid w:val="00672BCD"/>
    <w:rsid w:val="0068065A"/>
    <w:rsid w:val="00696D98"/>
    <w:rsid w:val="006A04A3"/>
    <w:rsid w:val="006A78D2"/>
    <w:rsid w:val="006B464D"/>
    <w:rsid w:val="006C0423"/>
    <w:rsid w:val="006D58B7"/>
    <w:rsid w:val="006E0005"/>
    <w:rsid w:val="006E2E0E"/>
    <w:rsid w:val="006E5EB7"/>
    <w:rsid w:val="006F2C6D"/>
    <w:rsid w:val="006F4D40"/>
    <w:rsid w:val="006F7C2F"/>
    <w:rsid w:val="007050C2"/>
    <w:rsid w:val="0070580C"/>
    <w:rsid w:val="007250D7"/>
    <w:rsid w:val="00733E21"/>
    <w:rsid w:val="00737458"/>
    <w:rsid w:val="00744E03"/>
    <w:rsid w:val="00746591"/>
    <w:rsid w:val="007572B2"/>
    <w:rsid w:val="00757D59"/>
    <w:rsid w:val="007624B1"/>
    <w:rsid w:val="00764C39"/>
    <w:rsid w:val="00765216"/>
    <w:rsid w:val="00765322"/>
    <w:rsid w:val="007766FC"/>
    <w:rsid w:val="00780333"/>
    <w:rsid w:val="00782F87"/>
    <w:rsid w:val="00786DF5"/>
    <w:rsid w:val="007933D7"/>
    <w:rsid w:val="007A6524"/>
    <w:rsid w:val="007C1031"/>
    <w:rsid w:val="007D472B"/>
    <w:rsid w:val="007F0DCC"/>
    <w:rsid w:val="007F47AD"/>
    <w:rsid w:val="008042C9"/>
    <w:rsid w:val="00813C58"/>
    <w:rsid w:val="00813D37"/>
    <w:rsid w:val="00822213"/>
    <w:rsid w:val="00831F79"/>
    <w:rsid w:val="00835A38"/>
    <w:rsid w:val="008401B3"/>
    <w:rsid w:val="00841B66"/>
    <w:rsid w:val="0085688E"/>
    <w:rsid w:val="00861D96"/>
    <w:rsid w:val="00864113"/>
    <w:rsid w:val="00864BB9"/>
    <w:rsid w:val="00873CCE"/>
    <w:rsid w:val="00875856"/>
    <w:rsid w:val="008862DB"/>
    <w:rsid w:val="00886998"/>
    <w:rsid w:val="00897409"/>
    <w:rsid w:val="008A0FF8"/>
    <w:rsid w:val="008A24DF"/>
    <w:rsid w:val="008A713B"/>
    <w:rsid w:val="008B46EE"/>
    <w:rsid w:val="008C62EC"/>
    <w:rsid w:val="008D08A5"/>
    <w:rsid w:val="008D6D1E"/>
    <w:rsid w:val="008F40A5"/>
    <w:rsid w:val="00905D69"/>
    <w:rsid w:val="00947228"/>
    <w:rsid w:val="00951D89"/>
    <w:rsid w:val="00954E0A"/>
    <w:rsid w:val="00956F9A"/>
    <w:rsid w:val="00964715"/>
    <w:rsid w:val="00976333"/>
    <w:rsid w:val="00982719"/>
    <w:rsid w:val="00990658"/>
    <w:rsid w:val="009A789A"/>
    <w:rsid w:val="009B14CE"/>
    <w:rsid w:val="009C58B4"/>
    <w:rsid w:val="009D6188"/>
    <w:rsid w:val="009F47C6"/>
    <w:rsid w:val="009F7963"/>
    <w:rsid w:val="00A01D86"/>
    <w:rsid w:val="00A04226"/>
    <w:rsid w:val="00A07A71"/>
    <w:rsid w:val="00A1002E"/>
    <w:rsid w:val="00A26AF1"/>
    <w:rsid w:val="00A27E15"/>
    <w:rsid w:val="00A30D99"/>
    <w:rsid w:val="00A40993"/>
    <w:rsid w:val="00A40F7B"/>
    <w:rsid w:val="00A44660"/>
    <w:rsid w:val="00A65254"/>
    <w:rsid w:val="00A675D0"/>
    <w:rsid w:val="00A741F1"/>
    <w:rsid w:val="00A80552"/>
    <w:rsid w:val="00A8502A"/>
    <w:rsid w:val="00AB3544"/>
    <w:rsid w:val="00AC215F"/>
    <w:rsid w:val="00AC28F5"/>
    <w:rsid w:val="00AC617A"/>
    <w:rsid w:val="00AD057B"/>
    <w:rsid w:val="00AD104F"/>
    <w:rsid w:val="00AD16CA"/>
    <w:rsid w:val="00AD40B1"/>
    <w:rsid w:val="00AD6225"/>
    <w:rsid w:val="00AE2B70"/>
    <w:rsid w:val="00B01A38"/>
    <w:rsid w:val="00B05EEA"/>
    <w:rsid w:val="00B158EE"/>
    <w:rsid w:val="00B20F70"/>
    <w:rsid w:val="00B259C5"/>
    <w:rsid w:val="00B27DDA"/>
    <w:rsid w:val="00B313B9"/>
    <w:rsid w:val="00B3531E"/>
    <w:rsid w:val="00B5484D"/>
    <w:rsid w:val="00B56534"/>
    <w:rsid w:val="00B61C7D"/>
    <w:rsid w:val="00B63950"/>
    <w:rsid w:val="00B84E69"/>
    <w:rsid w:val="00B91CBF"/>
    <w:rsid w:val="00BA1C24"/>
    <w:rsid w:val="00BA33A0"/>
    <w:rsid w:val="00BB4B43"/>
    <w:rsid w:val="00BB5056"/>
    <w:rsid w:val="00BB6754"/>
    <w:rsid w:val="00BC2477"/>
    <w:rsid w:val="00BC6C12"/>
    <w:rsid w:val="00BD06D9"/>
    <w:rsid w:val="00BD39D5"/>
    <w:rsid w:val="00BD567B"/>
    <w:rsid w:val="00BE79A7"/>
    <w:rsid w:val="00BF2B69"/>
    <w:rsid w:val="00BF312C"/>
    <w:rsid w:val="00C04A90"/>
    <w:rsid w:val="00C10E89"/>
    <w:rsid w:val="00C160EC"/>
    <w:rsid w:val="00C36B74"/>
    <w:rsid w:val="00C42CFE"/>
    <w:rsid w:val="00C42DA7"/>
    <w:rsid w:val="00C65C5C"/>
    <w:rsid w:val="00C779A5"/>
    <w:rsid w:val="00C8448C"/>
    <w:rsid w:val="00CB1F99"/>
    <w:rsid w:val="00CB4B04"/>
    <w:rsid w:val="00CB71CB"/>
    <w:rsid w:val="00CD434B"/>
    <w:rsid w:val="00CD6209"/>
    <w:rsid w:val="00CD7345"/>
    <w:rsid w:val="00CE4DF9"/>
    <w:rsid w:val="00CE7A80"/>
    <w:rsid w:val="00CF5188"/>
    <w:rsid w:val="00CF54DF"/>
    <w:rsid w:val="00D00A67"/>
    <w:rsid w:val="00D00D00"/>
    <w:rsid w:val="00D03A86"/>
    <w:rsid w:val="00D04EBB"/>
    <w:rsid w:val="00D23647"/>
    <w:rsid w:val="00D45F3F"/>
    <w:rsid w:val="00D4620F"/>
    <w:rsid w:val="00D51DA1"/>
    <w:rsid w:val="00D5367E"/>
    <w:rsid w:val="00D54BC6"/>
    <w:rsid w:val="00D55033"/>
    <w:rsid w:val="00D55BF3"/>
    <w:rsid w:val="00D56066"/>
    <w:rsid w:val="00D60841"/>
    <w:rsid w:val="00D615F1"/>
    <w:rsid w:val="00D710D2"/>
    <w:rsid w:val="00D86C87"/>
    <w:rsid w:val="00D90FF5"/>
    <w:rsid w:val="00D956B6"/>
    <w:rsid w:val="00D95A94"/>
    <w:rsid w:val="00D96F6A"/>
    <w:rsid w:val="00DA37ED"/>
    <w:rsid w:val="00DA5D6E"/>
    <w:rsid w:val="00DB3E70"/>
    <w:rsid w:val="00DB65F5"/>
    <w:rsid w:val="00DB6699"/>
    <w:rsid w:val="00DC7BC0"/>
    <w:rsid w:val="00DD11C1"/>
    <w:rsid w:val="00DD288B"/>
    <w:rsid w:val="00DD6B4B"/>
    <w:rsid w:val="00DE516A"/>
    <w:rsid w:val="00DE5505"/>
    <w:rsid w:val="00DE7501"/>
    <w:rsid w:val="00DF0080"/>
    <w:rsid w:val="00E05EC2"/>
    <w:rsid w:val="00E11380"/>
    <w:rsid w:val="00E11A80"/>
    <w:rsid w:val="00E245DF"/>
    <w:rsid w:val="00E33347"/>
    <w:rsid w:val="00E3381F"/>
    <w:rsid w:val="00E34B9D"/>
    <w:rsid w:val="00E50617"/>
    <w:rsid w:val="00E51955"/>
    <w:rsid w:val="00E70AE7"/>
    <w:rsid w:val="00E736C4"/>
    <w:rsid w:val="00E76A26"/>
    <w:rsid w:val="00E8086C"/>
    <w:rsid w:val="00E95F0C"/>
    <w:rsid w:val="00E97865"/>
    <w:rsid w:val="00EA367F"/>
    <w:rsid w:val="00EB3251"/>
    <w:rsid w:val="00EB42A2"/>
    <w:rsid w:val="00EB432D"/>
    <w:rsid w:val="00EB5344"/>
    <w:rsid w:val="00EC5392"/>
    <w:rsid w:val="00EC5E56"/>
    <w:rsid w:val="00EC6603"/>
    <w:rsid w:val="00EE25FD"/>
    <w:rsid w:val="00EF0612"/>
    <w:rsid w:val="00F03A28"/>
    <w:rsid w:val="00F11A35"/>
    <w:rsid w:val="00F12014"/>
    <w:rsid w:val="00F121AF"/>
    <w:rsid w:val="00F2629E"/>
    <w:rsid w:val="00F31D66"/>
    <w:rsid w:val="00F325D3"/>
    <w:rsid w:val="00F45B5D"/>
    <w:rsid w:val="00F534C9"/>
    <w:rsid w:val="00F56473"/>
    <w:rsid w:val="00F7001B"/>
    <w:rsid w:val="00F723C7"/>
    <w:rsid w:val="00F86929"/>
    <w:rsid w:val="00F94622"/>
    <w:rsid w:val="00FA68C6"/>
    <w:rsid w:val="00FA7B80"/>
    <w:rsid w:val="00FB1AEA"/>
    <w:rsid w:val="00FB3022"/>
    <w:rsid w:val="00FB5F64"/>
    <w:rsid w:val="00FB65D1"/>
    <w:rsid w:val="00FC4A1D"/>
    <w:rsid w:val="00FC5FCA"/>
    <w:rsid w:val="00FC6679"/>
    <w:rsid w:val="00FD3DA0"/>
    <w:rsid w:val="00FE13A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245DF"/>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paragraph" w:styleId="berschrift5">
    <w:name w:val="heading 5"/>
    <w:aliases w:val="Questions"/>
    <w:basedOn w:val="Standard"/>
    <w:next w:val="Standard"/>
    <w:link w:val="berschrift5Zchn"/>
    <w:qFormat/>
    <w:rsid w:val="00A1002E"/>
    <w:pPr>
      <w:keepNext/>
      <w:keepLines/>
      <w:numPr>
        <w:numId w:val="1"/>
      </w:numPr>
      <w:spacing w:line="240" w:lineRule="auto"/>
      <w:jc w:val="both"/>
      <w:outlineLvl w:val="4"/>
    </w:pPr>
    <w:rPr>
      <w:rFonts w:ascii="Georgia" w:hAnsi="Georgia"/>
      <w:b/>
      <w:sz w:val="20"/>
      <w:szCs w:val="24"/>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rsid w:val="00385222"/>
    <w:rPr>
      <w:rFonts w:ascii="Tahoma" w:hAnsi="Tahoma" w:cs="Tahoma"/>
      <w:sz w:val="16"/>
      <w:szCs w:val="16"/>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
    <w:basedOn w:val="Standard"/>
    <w:link w:val="FunotentextZchn"/>
    <w:rsid w:val="00BC2477"/>
    <w:rPr>
      <w:sz w:val="18"/>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basedOn w:val="Absatz-Standardschriftart"/>
    <w:link w:val="Funotentext"/>
    <w:uiPriority w:val="99"/>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styleId="Kopfzeile">
    <w:name w:val="header"/>
    <w:basedOn w:val="Standard"/>
    <w:link w:val="KopfzeileZchn"/>
    <w:uiPriority w:val="99"/>
    <w:unhideWhenUsed/>
    <w:rsid w:val="00E245D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E245DF"/>
    <w:rPr>
      <w:rFonts w:ascii="Trebuchet MS" w:hAnsi="Trebuchet MS" w:cs="Times New Roman"/>
      <w:szCs w:val="20"/>
      <w:lang w:val="de-DE" w:eastAsia="de-DE"/>
    </w:rPr>
  </w:style>
  <w:style w:type="paragraph" w:styleId="Fuzeile">
    <w:name w:val="footer"/>
    <w:basedOn w:val="Standard"/>
    <w:link w:val="FuzeileZchn"/>
    <w:unhideWhenUsed/>
    <w:rsid w:val="00E245DF"/>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245DF"/>
    <w:rPr>
      <w:rFonts w:ascii="Trebuchet MS" w:hAnsi="Trebuchet MS" w:cs="Times New Roman"/>
      <w:szCs w:val="20"/>
      <w:lang w:val="de-DE" w:eastAsia="de-DE"/>
    </w:rPr>
  </w:style>
  <w:style w:type="character" w:customStyle="1" w:styleId="berschrift5Zchn">
    <w:name w:val="Überschrift 5 Zchn"/>
    <w:aliases w:val="Questions Zchn"/>
    <w:basedOn w:val="Absatz-Standardschriftart"/>
    <w:link w:val="berschrift5"/>
    <w:rsid w:val="00A1002E"/>
    <w:rPr>
      <w:rFonts w:ascii="Georgia" w:hAnsi="Georgia" w:cs="Times New Roman"/>
      <w:b/>
      <w:sz w:val="20"/>
      <w:szCs w:val="24"/>
      <w:lang w:val="en-GB" w:eastAsia="de-DE"/>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A1002E"/>
    <w:rPr>
      <w:vertAlign w:val="superscript"/>
    </w:rPr>
  </w:style>
  <w:style w:type="paragraph" w:styleId="Listenabsatz">
    <w:name w:val="List Paragraph"/>
    <w:aliases w:val="Paragraphe EI,Paragraphe de liste1,EC"/>
    <w:basedOn w:val="Standard"/>
    <w:link w:val="ListenabsatzZchn"/>
    <w:uiPriority w:val="34"/>
    <w:qFormat/>
    <w:rsid w:val="00A1002E"/>
    <w:pPr>
      <w:spacing w:line="240" w:lineRule="auto"/>
      <w:ind w:left="720"/>
      <w:contextualSpacing/>
    </w:pPr>
    <w:rPr>
      <w:rFonts w:ascii="Georgia" w:hAnsi="Georgia"/>
      <w:sz w:val="20"/>
      <w:szCs w:val="24"/>
      <w:lang w:val="en-GB"/>
    </w:rPr>
  </w:style>
  <w:style w:type="paragraph" w:customStyle="1" w:styleId="Default">
    <w:name w:val="Default"/>
    <w:rsid w:val="00A1002E"/>
    <w:pPr>
      <w:autoSpaceDE w:val="0"/>
      <w:autoSpaceDN w:val="0"/>
      <w:adjustRightInd w:val="0"/>
      <w:spacing w:line="240" w:lineRule="auto"/>
    </w:pPr>
    <w:rPr>
      <w:rFonts w:ascii="Georgia" w:hAnsi="Georgia" w:cs="Georgia"/>
      <w:color w:val="000000"/>
      <w:sz w:val="24"/>
      <w:szCs w:val="24"/>
      <w:lang w:val="fr-FR" w:eastAsia="en-GB"/>
    </w:rPr>
  </w:style>
  <w:style w:type="character" w:customStyle="1" w:styleId="ListenabsatzZchn">
    <w:name w:val="Listenabsatz Zchn"/>
    <w:aliases w:val="Paragraphe EI Zchn,Paragraphe de liste1 Zchn,EC Zchn"/>
    <w:link w:val="Listenabsatz"/>
    <w:uiPriority w:val="34"/>
    <w:locked/>
    <w:rsid w:val="00A1002E"/>
    <w:rPr>
      <w:rFonts w:ascii="Georgia" w:hAnsi="Georgia" w:cs="Times New Roman"/>
      <w:sz w:val="20"/>
      <w:szCs w:val="24"/>
      <w:lang w:val="en-GB" w:eastAsia="de-DE"/>
    </w:rPr>
  </w:style>
  <w:style w:type="paragraph" w:customStyle="1" w:styleId="05dHeadline1blue">
    <w:name w:val="05d_Headline 1 blue"/>
    <w:basedOn w:val="Standard"/>
    <w:next w:val="Standard"/>
    <w:rsid w:val="00C42DA7"/>
    <w:pPr>
      <w:keepNext/>
      <w:numPr>
        <w:numId w:val="9"/>
      </w:numPr>
      <w:pBdr>
        <w:top w:val="single" w:sz="4" w:space="10" w:color="283583"/>
      </w:pBdr>
      <w:tabs>
        <w:tab w:val="left" w:pos="284"/>
        <w:tab w:val="left" w:pos="397"/>
      </w:tabs>
      <w:spacing w:after="280" w:line="280" w:lineRule="exact"/>
      <w:jc w:val="both"/>
    </w:pPr>
    <w:rPr>
      <w:rFonts w:ascii="Georgia" w:hAnsi="Georgia"/>
      <w:b/>
      <w:color w:val="2D4190"/>
      <w:sz w:val="20"/>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245DF"/>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paragraph" w:styleId="berschrift5">
    <w:name w:val="heading 5"/>
    <w:aliases w:val="Questions"/>
    <w:basedOn w:val="Standard"/>
    <w:next w:val="Standard"/>
    <w:link w:val="berschrift5Zchn"/>
    <w:qFormat/>
    <w:rsid w:val="00A1002E"/>
    <w:pPr>
      <w:keepNext/>
      <w:keepLines/>
      <w:numPr>
        <w:numId w:val="1"/>
      </w:numPr>
      <w:spacing w:line="240" w:lineRule="auto"/>
      <w:jc w:val="both"/>
      <w:outlineLvl w:val="4"/>
    </w:pPr>
    <w:rPr>
      <w:rFonts w:ascii="Georgia" w:hAnsi="Georgia"/>
      <w:b/>
      <w:sz w:val="20"/>
      <w:szCs w:val="24"/>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rsid w:val="00385222"/>
    <w:rPr>
      <w:rFonts w:ascii="Tahoma" w:hAnsi="Tahoma" w:cs="Tahoma"/>
      <w:sz w:val="16"/>
      <w:szCs w:val="16"/>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
    <w:basedOn w:val="Standard"/>
    <w:link w:val="FunotentextZchn"/>
    <w:rsid w:val="00BC2477"/>
    <w:rPr>
      <w:sz w:val="18"/>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basedOn w:val="Absatz-Standardschriftart"/>
    <w:link w:val="Funotentext"/>
    <w:uiPriority w:val="99"/>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styleId="Kopfzeile">
    <w:name w:val="header"/>
    <w:basedOn w:val="Standard"/>
    <w:link w:val="KopfzeileZchn"/>
    <w:uiPriority w:val="99"/>
    <w:unhideWhenUsed/>
    <w:rsid w:val="00E245D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E245DF"/>
    <w:rPr>
      <w:rFonts w:ascii="Trebuchet MS" w:hAnsi="Trebuchet MS" w:cs="Times New Roman"/>
      <w:szCs w:val="20"/>
      <w:lang w:val="de-DE" w:eastAsia="de-DE"/>
    </w:rPr>
  </w:style>
  <w:style w:type="paragraph" w:styleId="Fuzeile">
    <w:name w:val="footer"/>
    <w:basedOn w:val="Standard"/>
    <w:link w:val="FuzeileZchn"/>
    <w:unhideWhenUsed/>
    <w:rsid w:val="00E245DF"/>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245DF"/>
    <w:rPr>
      <w:rFonts w:ascii="Trebuchet MS" w:hAnsi="Trebuchet MS" w:cs="Times New Roman"/>
      <w:szCs w:val="20"/>
      <w:lang w:val="de-DE" w:eastAsia="de-DE"/>
    </w:rPr>
  </w:style>
  <w:style w:type="character" w:customStyle="1" w:styleId="berschrift5Zchn">
    <w:name w:val="Überschrift 5 Zchn"/>
    <w:aliases w:val="Questions Zchn"/>
    <w:basedOn w:val="Absatz-Standardschriftart"/>
    <w:link w:val="berschrift5"/>
    <w:rsid w:val="00A1002E"/>
    <w:rPr>
      <w:rFonts w:ascii="Georgia" w:hAnsi="Georgia" w:cs="Times New Roman"/>
      <w:b/>
      <w:sz w:val="20"/>
      <w:szCs w:val="24"/>
      <w:lang w:val="en-GB" w:eastAsia="de-DE"/>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A1002E"/>
    <w:rPr>
      <w:vertAlign w:val="superscript"/>
    </w:rPr>
  </w:style>
  <w:style w:type="paragraph" w:styleId="Listenabsatz">
    <w:name w:val="List Paragraph"/>
    <w:aliases w:val="Paragraphe EI,Paragraphe de liste1,EC"/>
    <w:basedOn w:val="Standard"/>
    <w:link w:val="ListenabsatzZchn"/>
    <w:uiPriority w:val="34"/>
    <w:qFormat/>
    <w:rsid w:val="00A1002E"/>
    <w:pPr>
      <w:spacing w:line="240" w:lineRule="auto"/>
      <w:ind w:left="720"/>
      <w:contextualSpacing/>
    </w:pPr>
    <w:rPr>
      <w:rFonts w:ascii="Georgia" w:hAnsi="Georgia"/>
      <w:sz w:val="20"/>
      <w:szCs w:val="24"/>
      <w:lang w:val="en-GB"/>
    </w:rPr>
  </w:style>
  <w:style w:type="paragraph" w:customStyle="1" w:styleId="Default">
    <w:name w:val="Default"/>
    <w:rsid w:val="00A1002E"/>
    <w:pPr>
      <w:autoSpaceDE w:val="0"/>
      <w:autoSpaceDN w:val="0"/>
      <w:adjustRightInd w:val="0"/>
      <w:spacing w:line="240" w:lineRule="auto"/>
    </w:pPr>
    <w:rPr>
      <w:rFonts w:ascii="Georgia" w:hAnsi="Georgia" w:cs="Georgia"/>
      <w:color w:val="000000"/>
      <w:sz w:val="24"/>
      <w:szCs w:val="24"/>
      <w:lang w:val="fr-FR" w:eastAsia="en-GB"/>
    </w:rPr>
  </w:style>
  <w:style w:type="character" w:customStyle="1" w:styleId="ListenabsatzZchn">
    <w:name w:val="Listenabsatz Zchn"/>
    <w:aliases w:val="Paragraphe EI Zchn,Paragraphe de liste1 Zchn,EC Zchn"/>
    <w:link w:val="Listenabsatz"/>
    <w:uiPriority w:val="34"/>
    <w:locked/>
    <w:rsid w:val="00A1002E"/>
    <w:rPr>
      <w:rFonts w:ascii="Georgia" w:hAnsi="Georgia" w:cs="Times New Roman"/>
      <w:sz w:val="20"/>
      <w:szCs w:val="24"/>
      <w:lang w:val="en-GB" w:eastAsia="de-DE"/>
    </w:rPr>
  </w:style>
  <w:style w:type="paragraph" w:customStyle="1" w:styleId="05dHeadline1blue">
    <w:name w:val="05d_Headline 1 blue"/>
    <w:basedOn w:val="Standard"/>
    <w:next w:val="Standard"/>
    <w:rsid w:val="00C42DA7"/>
    <w:pPr>
      <w:keepNext/>
      <w:numPr>
        <w:numId w:val="9"/>
      </w:numPr>
      <w:pBdr>
        <w:top w:val="single" w:sz="4" w:space="10" w:color="283583"/>
      </w:pBdr>
      <w:tabs>
        <w:tab w:val="left" w:pos="284"/>
        <w:tab w:val="left" w:pos="397"/>
      </w:tabs>
      <w:spacing w:after="280" w:line="280" w:lineRule="exact"/>
      <w:jc w:val="both"/>
    </w:pPr>
    <w:rPr>
      <w:rFonts w:ascii="Georgia" w:hAnsi="Georgia"/>
      <w:b/>
      <w:color w:val="2D4190"/>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589765">
      <w:bodyDiv w:val="1"/>
      <w:marLeft w:val="0"/>
      <w:marRight w:val="0"/>
      <w:marTop w:val="0"/>
      <w:marBottom w:val="0"/>
      <w:divBdr>
        <w:top w:val="none" w:sz="0" w:space="0" w:color="auto"/>
        <w:left w:val="none" w:sz="0" w:space="0" w:color="auto"/>
        <w:bottom w:val="none" w:sz="0" w:space="0" w:color="auto"/>
        <w:right w:val="none" w:sz="0" w:space="0" w:color="auto"/>
      </w:divBdr>
    </w:div>
    <w:div w:id="880362401">
      <w:bodyDiv w:val="1"/>
      <w:marLeft w:val="0"/>
      <w:marRight w:val="0"/>
      <w:marTop w:val="0"/>
      <w:marBottom w:val="0"/>
      <w:divBdr>
        <w:top w:val="none" w:sz="0" w:space="0" w:color="auto"/>
        <w:left w:val="none" w:sz="0" w:space="0" w:color="auto"/>
        <w:bottom w:val="none" w:sz="0" w:space="0" w:color="auto"/>
        <w:right w:val="none" w:sz="0" w:space="0" w:color="auto"/>
      </w:divBdr>
    </w:div>
    <w:div w:id="1200896207">
      <w:bodyDiv w:val="1"/>
      <w:marLeft w:val="0"/>
      <w:marRight w:val="0"/>
      <w:marTop w:val="0"/>
      <w:marBottom w:val="0"/>
      <w:divBdr>
        <w:top w:val="none" w:sz="0" w:space="0" w:color="auto"/>
        <w:left w:val="none" w:sz="0" w:space="0" w:color="auto"/>
        <w:bottom w:val="none" w:sz="0" w:space="0" w:color="auto"/>
        <w:right w:val="none" w:sz="0" w:space="0" w:color="auto"/>
      </w:divBdr>
    </w:div>
    <w:div w:id="1223256256">
      <w:bodyDiv w:val="1"/>
      <w:marLeft w:val="0"/>
      <w:marRight w:val="0"/>
      <w:marTop w:val="0"/>
      <w:marBottom w:val="0"/>
      <w:divBdr>
        <w:top w:val="none" w:sz="0" w:space="0" w:color="auto"/>
        <w:left w:val="none" w:sz="0" w:space="0" w:color="auto"/>
        <w:bottom w:val="none" w:sz="0" w:space="0" w:color="auto"/>
        <w:right w:val="none" w:sz="0" w:space="0" w:color="auto"/>
      </w:divBdr>
    </w:div>
    <w:div w:id="1369724582">
      <w:bodyDiv w:val="1"/>
      <w:marLeft w:val="0"/>
      <w:marRight w:val="0"/>
      <w:marTop w:val="0"/>
      <w:marBottom w:val="0"/>
      <w:divBdr>
        <w:top w:val="none" w:sz="0" w:space="0" w:color="auto"/>
        <w:left w:val="none" w:sz="0" w:space="0" w:color="auto"/>
        <w:bottom w:val="none" w:sz="0" w:space="0" w:color="auto"/>
        <w:right w:val="none" w:sz="0" w:space="0" w:color="auto"/>
      </w:divBdr>
    </w:div>
    <w:div w:id="179332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C523C-B927-4F5D-A01E-18CA684C6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1126</Words>
  <Characters>7100</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WKO Inhouse GmbH</Company>
  <LinksUpToDate>false</LinksUpToDate>
  <CharactersWithSpaces>8210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Schmid Christine, WKÖ BSBV</dc:creator>
  <cp:lastModifiedBy>Schmid Christine, WKÖ BSBV</cp:lastModifiedBy>
  <cp:revision>6</cp:revision>
  <cp:lastPrinted>2015-01-27T09:14:00Z</cp:lastPrinted>
  <dcterms:created xsi:type="dcterms:W3CDTF">2015-02-13T09:22:00Z</dcterms:created>
  <dcterms:modified xsi:type="dcterms:W3CDTF">2015-02-13T11:54:00Z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