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Default Extension="emf" ContentType="image/x-emf"/>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FA" w:rsidRDefault="00CD32FA" w:rsidP="00CD32FA"/>
    <w:p w:rsidR="00DF7C9F" w:rsidRPr="00DF7C9F" w:rsidRDefault="00DF7C9F" w:rsidP="00DF7C9F">
      <w:pPr>
        <w:pStyle w:val="AONormal"/>
      </w:pPr>
    </w:p>
    <w:p w:rsidR="002E01A8" w:rsidRDefault="002E01A8" w:rsidP="00CD0D01">
      <w:pPr>
        <w:pStyle w:val="BodyText"/>
        <w:spacing w:after="0"/>
      </w:pPr>
      <w:r>
        <w:t>February 15, 2013</w:t>
      </w:r>
    </w:p>
    <w:p w:rsidR="002E01A8" w:rsidRDefault="002E01A8" w:rsidP="00CD0D01">
      <w:pPr>
        <w:pStyle w:val="BodyText"/>
        <w:spacing w:after="0"/>
      </w:pPr>
    </w:p>
    <w:p w:rsidR="00CD0D01" w:rsidRDefault="00CD0D01" w:rsidP="00CD0D01">
      <w:pPr>
        <w:pStyle w:val="BodyText"/>
        <w:spacing w:after="0"/>
      </w:pPr>
      <w:r>
        <w:t>European Securities and Markets Authority  (ESMA)</w:t>
      </w:r>
    </w:p>
    <w:p w:rsidR="00CD0D01" w:rsidRDefault="00CD0D01" w:rsidP="00CD0D01">
      <w:pPr>
        <w:pStyle w:val="BodyText"/>
        <w:spacing w:after="0"/>
      </w:pPr>
      <w:r>
        <w:t>103 Rue de Grenelle</w:t>
      </w:r>
    </w:p>
    <w:p w:rsidR="00CD0D01" w:rsidRDefault="00CD0D01" w:rsidP="00CD0D01">
      <w:pPr>
        <w:pStyle w:val="BodyText"/>
        <w:spacing w:after="0"/>
      </w:pPr>
      <w:r>
        <w:t>75007 Paris, France</w:t>
      </w:r>
    </w:p>
    <w:p w:rsidR="00CD0D01" w:rsidRDefault="00CD0D01" w:rsidP="00CD0D01">
      <w:pPr>
        <w:pStyle w:val="BodyText"/>
        <w:spacing w:after="0"/>
      </w:pPr>
    </w:p>
    <w:p w:rsidR="00CD0D01" w:rsidRDefault="00CD0D01" w:rsidP="00CD0D01">
      <w:pPr>
        <w:pStyle w:val="BodyText"/>
        <w:spacing w:after="0"/>
      </w:pPr>
      <w:r>
        <w:t>European Banking Authority</w:t>
      </w:r>
    </w:p>
    <w:p w:rsidR="00CD0D01" w:rsidRDefault="00CD0D01" w:rsidP="00CD0D01">
      <w:pPr>
        <w:pStyle w:val="BodyText"/>
        <w:spacing w:after="0"/>
      </w:pPr>
      <w:r>
        <w:t>Tower 42 (Level 18)</w:t>
      </w:r>
      <w:r>
        <w:br/>
        <w:t>25 Old Broad Street</w:t>
      </w:r>
    </w:p>
    <w:p w:rsidR="00CD0D01" w:rsidRDefault="00CD0D01" w:rsidP="00CD0D01">
      <w:pPr>
        <w:pStyle w:val="BodyText"/>
        <w:spacing w:after="0"/>
      </w:pPr>
      <w:r>
        <w:t>London EC2N 1H</w:t>
      </w:r>
    </w:p>
    <w:p w:rsidR="00164C0A" w:rsidRPr="00CD0D01" w:rsidRDefault="00CD0D01" w:rsidP="00CD0D01">
      <w:pPr>
        <w:pStyle w:val="BodyText"/>
        <w:spacing w:after="0"/>
      </w:pPr>
      <w:r>
        <w:t>United Kingdom</w:t>
      </w:r>
    </w:p>
    <w:p w:rsidR="00746AEA" w:rsidRDefault="00164C0A" w:rsidP="0092511C">
      <w:pPr>
        <w:autoSpaceDE w:val="0"/>
        <w:autoSpaceDN w:val="0"/>
        <w:adjustRightInd w:val="0"/>
        <w:spacing w:beforeLines="120" w:afterLines="120"/>
        <w:ind w:left="720"/>
        <w:contextualSpacing/>
        <w:rPr>
          <w:rFonts w:eastAsia="SimSun"/>
          <w:b/>
          <w:sz w:val="24"/>
          <w:szCs w:val="24"/>
          <w:lang w:eastAsia="zh-CN"/>
        </w:rPr>
      </w:pPr>
      <w:r w:rsidRPr="00AF476E">
        <w:rPr>
          <w:rFonts w:eastAsia="SimSun"/>
          <w:b/>
          <w:sz w:val="24"/>
          <w:szCs w:val="24"/>
          <w:lang w:eastAsia="zh-CN"/>
        </w:rPr>
        <w:t>RE:</w:t>
      </w:r>
      <w:r w:rsidRPr="00AF476E">
        <w:rPr>
          <w:rFonts w:eastAsia="SimSun"/>
          <w:b/>
          <w:sz w:val="24"/>
          <w:szCs w:val="24"/>
          <w:lang w:eastAsia="zh-CN"/>
        </w:rPr>
        <w:tab/>
      </w:r>
      <w:r w:rsidR="00CD0D01">
        <w:rPr>
          <w:rFonts w:eastAsia="SimSun"/>
          <w:b/>
          <w:sz w:val="24"/>
          <w:szCs w:val="24"/>
          <w:lang w:eastAsia="zh-CN"/>
        </w:rPr>
        <w:t>Consultation Paper:  Principles for Benchmarks-Setting Processes in the EU</w:t>
      </w:r>
      <w:r w:rsidRPr="00AF476E">
        <w:rPr>
          <w:rFonts w:eastAsia="SimSun"/>
          <w:b/>
          <w:sz w:val="24"/>
          <w:szCs w:val="24"/>
          <w:lang w:eastAsia="zh-CN"/>
        </w:rPr>
        <w:t xml:space="preserve"> </w:t>
      </w:r>
    </w:p>
    <w:p w:rsidR="00746AEA" w:rsidRDefault="00746AEA" w:rsidP="0092511C">
      <w:pPr>
        <w:autoSpaceDE w:val="0"/>
        <w:autoSpaceDN w:val="0"/>
        <w:adjustRightInd w:val="0"/>
        <w:spacing w:beforeLines="120" w:afterLines="120"/>
        <w:ind w:left="720"/>
        <w:contextualSpacing/>
        <w:rPr>
          <w:rFonts w:eastAsia="SimSun"/>
          <w:b/>
          <w:sz w:val="24"/>
          <w:szCs w:val="24"/>
          <w:lang w:eastAsia="zh-CN"/>
        </w:rPr>
      </w:pPr>
      <w:r>
        <w:rPr>
          <w:rFonts w:eastAsia="SimSun"/>
          <w:b/>
          <w:sz w:val="24"/>
          <w:szCs w:val="24"/>
          <w:lang w:eastAsia="zh-CN"/>
        </w:rPr>
        <w:tab/>
        <w:t>(the “Report”)</w:t>
      </w:r>
    </w:p>
    <w:p w:rsidR="00746AEA" w:rsidRDefault="00746AEA" w:rsidP="0092511C">
      <w:pPr>
        <w:autoSpaceDE w:val="0"/>
        <w:autoSpaceDN w:val="0"/>
        <w:adjustRightInd w:val="0"/>
        <w:spacing w:beforeLines="120" w:afterLines="120"/>
        <w:contextualSpacing/>
        <w:rPr>
          <w:rFonts w:eastAsia="SimSun"/>
          <w:b/>
          <w:sz w:val="24"/>
          <w:szCs w:val="24"/>
          <w:lang w:eastAsia="zh-CN"/>
        </w:rPr>
      </w:pPr>
    </w:p>
    <w:p w:rsidR="00164C0A" w:rsidRPr="003B2039" w:rsidRDefault="00164C0A" w:rsidP="00746AEA">
      <w:pPr>
        <w:autoSpaceDE w:val="0"/>
        <w:autoSpaceDN w:val="0"/>
        <w:adjustRightInd w:val="0"/>
        <w:spacing w:before="120" w:after="120"/>
        <w:ind w:firstLine="360"/>
        <w:contextualSpacing/>
        <w:rPr>
          <w:sz w:val="24"/>
          <w:szCs w:val="24"/>
        </w:rPr>
      </w:pPr>
      <w:r w:rsidRPr="003B2039">
        <w:rPr>
          <w:sz w:val="24"/>
          <w:szCs w:val="24"/>
        </w:rPr>
        <w:t xml:space="preserve">Frank Russell Company (d/b/a “Russell Investments” or “Russell”) fully supports </w:t>
      </w:r>
      <w:r w:rsidR="00CD0D01">
        <w:rPr>
          <w:sz w:val="24"/>
          <w:szCs w:val="24"/>
        </w:rPr>
        <w:t>ESMA</w:t>
      </w:r>
      <w:r w:rsidRPr="003B2039">
        <w:rPr>
          <w:sz w:val="24"/>
          <w:szCs w:val="24"/>
        </w:rPr>
        <w:t xml:space="preserve">’s </w:t>
      </w:r>
      <w:r w:rsidR="00746AEA">
        <w:rPr>
          <w:sz w:val="24"/>
          <w:szCs w:val="24"/>
        </w:rPr>
        <w:t xml:space="preserve">and the EBA’s </w:t>
      </w:r>
      <w:r w:rsidRPr="003B2039">
        <w:rPr>
          <w:sz w:val="24"/>
          <w:szCs w:val="24"/>
        </w:rPr>
        <w:t xml:space="preserve">principles </w:t>
      </w:r>
      <w:r w:rsidR="00CD0D01">
        <w:rPr>
          <w:sz w:val="24"/>
          <w:szCs w:val="24"/>
        </w:rPr>
        <w:t>of transparency and sound best practices in the index administration process</w:t>
      </w:r>
      <w:r>
        <w:rPr>
          <w:sz w:val="24"/>
          <w:szCs w:val="24"/>
        </w:rPr>
        <w:t>, although</w:t>
      </w:r>
      <w:r w:rsidRPr="003B2039">
        <w:rPr>
          <w:sz w:val="24"/>
          <w:szCs w:val="24"/>
        </w:rPr>
        <w:t xml:space="preserve"> Russell respectfully suggests </w:t>
      </w:r>
      <w:r>
        <w:rPr>
          <w:sz w:val="24"/>
          <w:szCs w:val="24"/>
        </w:rPr>
        <w:t xml:space="preserve">several </w:t>
      </w:r>
      <w:r w:rsidRPr="003B2039">
        <w:rPr>
          <w:sz w:val="24"/>
          <w:szCs w:val="24"/>
        </w:rPr>
        <w:t>alternative approaches</w:t>
      </w:r>
      <w:r w:rsidRPr="001A3838">
        <w:rPr>
          <w:sz w:val="24"/>
          <w:szCs w:val="24"/>
        </w:rPr>
        <w:t xml:space="preserve"> </w:t>
      </w:r>
      <w:r w:rsidRPr="003B2039">
        <w:rPr>
          <w:sz w:val="24"/>
          <w:szCs w:val="24"/>
        </w:rPr>
        <w:t>in its response below</w:t>
      </w:r>
      <w:r>
        <w:rPr>
          <w:sz w:val="24"/>
          <w:szCs w:val="24"/>
        </w:rPr>
        <w:t xml:space="preserve"> that Russell believes will better </w:t>
      </w:r>
      <w:r w:rsidRPr="003B2039">
        <w:rPr>
          <w:sz w:val="24"/>
          <w:szCs w:val="24"/>
        </w:rPr>
        <w:t>achieve those goals</w:t>
      </w:r>
      <w:r>
        <w:rPr>
          <w:sz w:val="24"/>
          <w:szCs w:val="24"/>
        </w:rPr>
        <w:t>, strengthen markets and protect investors without unduly burdening index providers</w:t>
      </w:r>
      <w:r w:rsidRPr="003B2039">
        <w:rPr>
          <w:sz w:val="24"/>
          <w:szCs w:val="24"/>
        </w:rPr>
        <w:t xml:space="preserve">.  Russell is continuously raising the industry standard for index construction and methodology.  </w:t>
      </w:r>
      <w:r>
        <w:rPr>
          <w:sz w:val="24"/>
          <w:szCs w:val="24"/>
        </w:rPr>
        <w:t>T</w:t>
      </w:r>
      <w:r w:rsidRPr="003B2039">
        <w:rPr>
          <w:sz w:val="24"/>
          <w:szCs w:val="24"/>
        </w:rPr>
        <w:t>he Report’s goals accord with Russell’s bedrock principles:</w:t>
      </w:r>
    </w:p>
    <w:p w:rsidR="00164C0A" w:rsidRPr="003B2039" w:rsidRDefault="00164C0A" w:rsidP="00746AEA">
      <w:pPr>
        <w:pStyle w:val="ListParagraph"/>
        <w:numPr>
          <w:ilvl w:val="0"/>
          <w:numId w:val="8"/>
        </w:numPr>
        <w:spacing w:before="120" w:after="120"/>
        <w:contextualSpacing/>
        <w:rPr>
          <w:sz w:val="24"/>
          <w:szCs w:val="24"/>
        </w:rPr>
      </w:pPr>
      <w:r w:rsidRPr="003B2039">
        <w:rPr>
          <w:sz w:val="24"/>
          <w:szCs w:val="24"/>
        </w:rPr>
        <w:t>Index providers’ design standards must be objective and sound;</w:t>
      </w:r>
    </w:p>
    <w:p w:rsidR="00164C0A" w:rsidRPr="003B2039" w:rsidRDefault="00164C0A" w:rsidP="00746AEA">
      <w:pPr>
        <w:pStyle w:val="ListParagraph"/>
        <w:numPr>
          <w:ilvl w:val="0"/>
          <w:numId w:val="8"/>
        </w:numPr>
        <w:spacing w:before="120" w:after="120"/>
        <w:contextualSpacing/>
        <w:rPr>
          <w:sz w:val="24"/>
          <w:szCs w:val="24"/>
        </w:rPr>
      </w:pPr>
      <w:r w:rsidRPr="003B2039">
        <w:rPr>
          <w:sz w:val="24"/>
          <w:szCs w:val="24"/>
        </w:rPr>
        <w:t>Indices must provide a faithful and u</w:t>
      </w:r>
      <w:r>
        <w:rPr>
          <w:sz w:val="24"/>
          <w:szCs w:val="24"/>
        </w:rPr>
        <w:t xml:space="preserve">nbiased barometer of the market </w:t>
      </w:r>
      <w:r w:rsidRPr="003B2039">
        <w:rPr>
          <w:sz w:val="24"/>
          <w:szCs w:val="24"/>
        </w:rPr>
        <w:t>they represent;</w:t>
      </w:r>
    </w:p>
    <w:p w:rsidR="00164C0A" w:rsidRPr="003B2039" w:rsidRDefault="00164C0A" w:rsidP="00746AEA">
      <w:pPr>
        <w:pStyle w:val="ListParagraph"/>
        <w:numPr>
          <w:ilvl w:val="0"/>
          <w:numId w:val="8"/>
        </w:numPr>
        <w:spacing w:before="120" w:after="120"/>
        <w:contextualSpacing/>
        <w:rPr>
          <w:sz w:val="24"/>
          <w:szCs w:val="24"/>
        </w:rPr>
      </w:pPr>
      <w:r w:rsidRPr="003B2039">
        <w:rPr>
          <w:sz w:val="24"/>
          <w:szCs w:val="24"/>
        </w:rPr>
        <w:t>Index methodologies should be transparent and readily available free of charge;</w:t>
      </w:r>
    </w:p>
    <w:p w:rsidR="00164C0A" w:rsidRPr="003B2039" w:rsidRDefault="00164C0A" w:rsidP="0092511C">
      <w:pPr>
        <w:pStyle w:val="ListParagraph"/>
        <w:numPr>
          <w:ilvl w:val="0"/>
          <w:numId w:val="8"/>
        </w:numPr>
        <w:spacing w:beforeLines="120" w:afterLines="120"/>
        <w:contextualSpacing/>
        <w:rPr>
          <w:sz w:val="24"/>
          <w:szCs w:val="24"/>
        </w:rPr>
      </w:pPr>
      <w:r w:rsidRPr="003B2039">
        <w:rPr>
          <w:sz w:val="24"/>
          <w:szCs w:val="24"/>
        </w:rPr>
        <w:t>Index providers’ operations should be governed by an appropriate governance structure; and</w:t>
      </w:r>
    </w:p>
    <w:p w:rsidR="00164C0A" w:rsidRDefault="00164C0A" w:rsidP="0092511C">
      <w:pPr>
        <w:pStyle w:val="ListParagraph"/>
        <w:numPr>
          <w:ilvl w:val="0"/>
          <w:numId w:val="8"/>
        </w:numPr>
        <w:spacing w:beforeLines="120" w:afterLines="120"/>
        <w:contextualSpacing/>
        <w:rPr>
          <w:sz w:val="24"/>
          <w:szCs w:val="24"/>
        </w:rPr>
      </w:pPr>
      <w:r w:rsidRPr="003B2039">
        <w:rPr>
          <w:sz w:val="24"/>
          <w:szCs w:val="24"/>
        </w:rPr>
        <w:t>Index providers’ internal controls should promote efficient and sound index operations.</w:t>
      </w:r>
    </w:p>
    <w:p w:rsidR="00164C0A" w:rsidRPr="003B2039" w:rsidRDefault="00164C0A" w:rsidP="0092511C">
      <w:pPr>
        <w:pStyle w:val="ListParagraph"/>
        <w:spacing w:beforeLines="120" w:afterLines="120"/>
        <w:contextualSpacing/>
        <w:rPr>
          <w:sz w:val="24"/>
          <w:szCs w:val="24"/>
        </w:rPr>
      </w:pPr>
    </w:p>
    <w:p w:rsidR="00164C0A" w:rsidRPr="003B2039" w:rsidRDefault="00164C0A" w:rsidP="000E15E8">
      <w:pPr>
        <w:pStyle w:val="ListParagraph"/>
        <w:spacing w:before="120" w:after="120"/>
        <w:ind w:left="0"/>
        <w:contextualSpacing/>
        <w:rPr>
          <w:sz w:val="24"/>
          <w:szCs w:val="24"/>
        </w:rPr>
      </w:pPr>
      <w:r w:rsidRPr="003B2039">
        <w:rPr>
          <w:sz w:val="24"/>
          <w:szCs w:val="24"/>
        </w:rPr>
        <w:t xml:space="preserve">These are all principles deeply ingrained in Russell’s heritage, practiced daily and they guide </w:t>
      </w:r>
      <w:r>
        <w:rPr>
          <w:sz w:val="24"/>
          <w:szCs w:val="24"/>
        </w:rPr>
        <w:t>Russell</w:t>
      </w:r>
      <w:r w:rsidRPr="003B2039">
        <w:rPr>
          <w:sz w:val="24"/>
          <w:szCs w:val="24"/>
        </w:rPr>
        <w:t xml:space="preserve"> as the premier provider of indices and mu</w:t>
      </w:r>
      <w:r>
        <w:rPr>
          <w:sz w:val="24"/>
          <w:szCs w:val="24"/>
        </w:rPr>
        <w:t>l</w:t>
      </w:r>
      <w:r w:rsidRPr="003B2039">
        <w:rPr>
          <w:sz w:val="24"/>
          <w:szCs w:val="24"/>
        </w:rPr>
        <w:t>ti-asset solutions.</w:t>
      </w:r>
    </w:p>
    <w:p w:rsidR="00164C0A" w:rsidRDefault="00164C0A" w:rsidP="000E15E8">
      <w:pPr>
        <w:pStyle w:val="BodyText"/>
        <w:spacing w:before="120"/>
        <w:contextualSpacing/>
        <w:rPr>
          <w:szCs w:val="24"/>
        </w:rPr>
      </w:pPr>
      <w:r w:rsidRPr="003B2039">
        <w:rPr>
          <w:szCs w:val="24"/>
        </w:rPr>
        <w:t>Russell is a leader in constructing and maintaining securities indices and is the publisher of the Russell Indexes.  Russell operates through subsidiaries worldwide and is a subsidiary of The Northwestern Mutual Life Insurance Company.  The Russell Indexes</w:t>
      </w:r>
      <w:r w:rsidRPr="001976F6">
        <w:rPr>
          <w:szCs w:val="24"/>
        </w:rPr>
        <w:t xml:space="preserve"> are constructed to provide a comprehensive and unbiased barometer of the market segment they represent.  All of the </w:t>
      </w:r>
      <w:r>
        <w:rPr>
          <w:szCs w:val="24"/>
        </w:rPr>
        <w:t>Russell Indexes</w:t>
      </w:r>
      <w:r w:rsidRPr="001976F6">
        <w:rPr>
          <w:szCs w:val="24"/>
        </w:rPr>
        <w:t xml:space="preserve"> are reconstituted periodically, but not less frequently than annually or more frequently than monthly, to ensure new and growing equities and fixed income securities are reflected</w:t>
      </w:r>
      <w:r>
        <w:rPr>
          <w:szCs w:val="24"/>
        </w:rPr>
        <w:t xml:space="preserve"> in its indices</w:t>
      </w:r>
      <w:r w:rsidRPr="001976F6">
        <w:rPr>
          <w:szCs w:val="24"/>
        </w:rPr>
        <w:t xml:space="preserve">.  </w:t>
      </w:r>
      <w:r>
        <w:rPr>
          <w:szCs w:val="24"/>
        </w:rPr>
        <w:t>O</w:t>
      </w:r>
      <w:r w:rsidRPr="001976F6">
        <w:rPr>
          <w:szCs w:val="24"/>
        </w:rPr>
        <w:t xml:space="preserve">ver the past 25 years, Russell's innovative methodology has helped the </w:t>
      </w:r>
      <w:r>
        <w:rPr>
          <w:szCs w:val="24"/>
        </w:rPr>
        <w:t>Russell Indexes</w:t>
      </w:r>
      <w:r w:rsidRPr="001976F6">
        <w:rPr>
          <w:szCs w:val="24"/>
        </w:rPr>
        <w:t xml:space="preserve"> become the </w:t>
      </w:r>
      <w:r>
        <w:rPr>
          <w:szCs w:val="24"/>
        </w:rPr>
        <w:t>indices</w:t>
      </w:r>
      <w:r w:rsidRPr="001976F6">
        <w:rPr>
          <w:szCs w:val="24"/>
        </w:rPr>
        <w:t xml:space="preserve"> most used by </w:t>
      </w:r>
      <w:r>
        <w:rPr>
          <w:szCs w:val="24"/>
        </w:rPr>
        <w:t xml:space="preserve">U.S. </w:t>
      </w:r>
      <w:r w:rsidRPr="001976F6">
        <w:rPr>
          <w:szCs w:val="24"/>
        </w:rPr>
        <w:t>institutional investors</w:t>
      </w:r>
      <w:r>
        <w:rPr>
          <w:szCs w:val="24"/>
        </w:rPr>
        <w:t>.  I</w:t>
      </w:r>
      <w:r w:rsidRPr="001976F6">
        <w:rPr>
          <w:szCs w:val="24"/>
        </w:rPr>
        <w:t xml:space="preserve">nvestment professionals </w:t>
      </w:r>
      <w:r>
        <w:rPr>
          <w:szCs w:val="24"/>
        </w:rPr>
        <w:t xml:space="preserve">manage </w:t>
      </w:r>
      <w:r w:rsidRPr="001976F6">
        <w:rPr>
          <w:szCs w:val="24"/>
        </w:rPr>
        <w:t xml:space="preserve">over </w:t>
      </w:r>
      <w:r w:rsidRPr="00753C03">
        <w:rPr>
          <w:szCs w:val="24"/>
        </w:rPr>
        <w:t>$3.9</w:t>
      </w:r>
      <w:r w:rsidRPr="001976F6">
        <w:rPr>
          <w:szCs w:val="24"/>
        </w:rPr>
        <w:t xml:space="preserve"> trillion in portfolio assets u</w:t>
      </w:r>
      <w:r>
        <w:rPr>
          <w:szCs w:val="24"/>
        </w:rPr>
        <w:t>sing</w:t>
      </w:r>
      <w:r w:rsidRPr="001976F6">
        <w:rPr>
          <w:szCs w:val="24"/>
        </w:rPr>
        <w:t xml:space="preserve"> </w:t>
      </w:r>
      <w:r>
        <w:rPr>
          <w:szCs w:val="24"/>
        </w:rPr>
        <w:t>Russell Indexes</w:t>
      </w:r>
      <w:r w:rsidRPr="001976F6">
        <w:rPr>
          <w:szCs w:val="24"/>
        </w:rPr>
        <w:t xml:space="preserve">.  </w:t>
      </w:r>
    </w:p>
    <w:p w:rsidR="00164C0A" w:rsidRDefault="00DF7C9F" w:rsidP="0092511C">
      <w:pPr>
        <w:pStyle w:val="BodyText"/>
        <w:spacing w:beforeLines="120" w:afterLines="120"/>
        <w:contextualSpacing/>
        <w:rPr>
          <w:szCs w:val="24"/>
        </w:rPr>
      </w:pPr>
      <w:r>
        <w:rPr>
          <w:szCs w:val="24"/>
        </w:rPr>
        <w:br w:type="page"/>
      </w:r>
      <w:r w:rsidR="00164C0A">
        <w:rPr>
          <w:szCs w:val="24"/>
        </w:rPr>
        <w:lastRenderedPageBreak/>
        <w:t>Russell Indexes</w:t>
      </w:r>
      <w:r w:rsidR="00164C0A" w:rsidRPr="001976F6">
        <w:rPr>
          <w:szCs w:val="24"/>
        </w:rPr>
        <w:t xml:space="preserve"> represent over 9</w:t>
      </w:r>
      <w:r w:rsidR="00164C0A">
        <w:rPr>
          <w:szCs w:val="24"/>
        </w:rPr>
        <w:t>9</w:t>
      </w:r>
      <w:r w:rsidR="00164C0A" w:rsidRPr="001976F6">
        <w:rPr>
          <w:szCs w:val="24"/>
        </w:rPr>
        <w:t>%</w:t>
      </w:r>
      <w:r w:rsidR="00164C0A">
        <w:rPr>
          <w:szCs w:val="24"/>
        </w:rPr>
        <w:t xml:space="preserve"> and 98%</w:t>
      </w:r>
      <w:r w:rsidR="00164C0A" w:rsidRPr="001976F6">
        <w:rPr>
          <w:szCs w:val="24"/>
        </w:rPr>
        <w:t xml:space="preserve"> of the investable </w:t>
      </w:r>
      <w:r w:rsidR="00164C0A">
        <w:rPr>
          <w:szCs w:val="24"/>
        </w:rPr>
        <w:t xml:space="preserve">U.S. and global </w:t>
      </w:r>
      <w:r w:rsidR="00164C0A" w:rsidRPr="001976F6">
        <w:rPr>
          <w:szCs w:val="24"/>
        </w:rPr>
        <w:t>equity universe</w:t>
      </w:r>
      <w:r w:rsidR="00164C0A">
        <w:rPr>
          <w:szCs w:val="24"/>
        </w:rPr>
        <w:t>s, respectivel</w:t>
      </w:r>
      <w:r w:rsidR="00164C0A" w:rsidRPr="00E44745">
        <w:rPr>
          <w:color w:val="000000"/>
          <w:szCs w:val="24"/>
        </w:rPr>
        <w:t>y.  Our modular index construction allows users to track current and historical market performance by specific market segment supporting a broad spectrum of sub-ind</w:t>
      </w:r>
      <w:r w:rsidR="00164C0A">
        <w:rPr>
          <w:color w:val="000000"/>
          <w:szCs w:val="24"/>
        </w:rPr>
        <w:t>ices</w:t>
      </w:r>
      <w:r w:rsidR="00164C0A" w:rsidRPr="00E44745">
        <w:rPr>
          <w:color w:val="000000"/>
          <w:szCs w:val="24"/>
        </w:rPr>
        <w:t xml:space="preserve"> based on country, region, sector and capitalization size covering over 10,000 securities in </w:t>
      </w:r>
      <w:r w:rsidR="00164C0A">
        <w:rPr>
          <w:color w:val="000000"/>
          <w:szCs w:val="24"/>
        </w:rPr>
        <w:t>50</w:t>
      </w:r>
      <w:r w:rsidR="00164C0A" w:rsidRPr="00E44745">
        <w:rPr>
          <w:color w:val="000000"/>
          <w:szCs w:val="24"/>
        </w:rPr>
        <w:t xml:space="preserve"> countries. </w:t>
      </w:r>
      <w:r w:rsidR="00164C0A">
        <w:rPr>
          <w:szCs w:val="24"/>
        </w:rPr>
        <w:t>Russell Indexes</w:t>
      </w:r>
      <w:r w:rsidR="00164C0A" w:rsidRPr="001976F6">
        <w:rPr>
          <w:szCs w:val="24"/>
        </w:rPr>
        <w:t xml:space="preserve"> are </w:t>
      </w:r>
    </w:p>
    <w:p w:rsidR="00164C0A" w:rsidRDefault="00164C0A" w:rsidP="0092511C">
      <w:pPr>
        <w:pStyle w:val="BodyText"/>
        <w:spacing w:beforeLines="120" w:afterLines="120"/>
        <w:contextualSpacing/>
        <w:rPr>
          <w:szCs w:val="24"/>
        </w:rPr>
      </w:pPr>
    </w:p>
    <w:p w:rsidR="00164C0A" w:rsidRPr="001976F6" w:rsidRDefault="00164C0A" w:rsidP="0092511C">
      <w:pPr>
        <w:pStyle w:val="BodyText"/>
        <w:spacing w:beforeLines="120" w:afterLines="120"/>
        <w:contextualSpacing/>
        <w:rPr>
          <w:szCs w:val="24"/>
        </w:rPr>
      </w:pPr>
      <w:r w:rsidRPr="001976F6">
        <w:rPr>
          <w:szCs w:val="24"/>
        </w:rPr>
        <w:t xml:space="preserve">objective, comprehensive, and built according to transparent rules.  Industries and sectors are represented by a wide variety of securities, rather than samples found in other indexes.  </w:t>
      </w:r>
      <w:r>
        <w:rPr>
          <w:szCs w:val="24"/>
        </w:rPr>
        <w:t>Russell Indexes</w:t>
      </w:r>
      <w:r w:rsidRPr="001976F6">
        <w:rPr>
          <w:szCs w:val="24"/>
        </w:rPr>
        <w:t xml:space="preserve"> are rigorously maintained.  Member securities are not selected by </w:t>
      </w:r>
      <w:r>
        <w:rPr>
          <w:szCs w:val="24"/>
        </w:rPr>
        <w:t xml:space="preserve">panels, surveys or </w:t>
      </w:r>
      <w:r w:rsidRPr="001976F6">
        <w:rPr>
          <w:szCs w:val="24"/>
        </w:rPr>
        <w:t>committee</w:t>
      </w:r>
      <w:r>
        <w:rPr>
          <w:szCs w:val="24"/>
        </w:rPr>
        <w:t>s</w:t>
      </w:r>
      <w:r w:rsidRPr="001976F6">
        <w:rPr>
          <w:szCs w:val="24"/>
        </w:rPr>
        <w:t xml:space="preserve">.  </w:t>
      </w:r>
    </w:p>
    <w:p w:rsidR="00164C0A" w:rsidRPr="001976F6" w:rsidRDefault="00164C0A" w:rsidP="000E15E8">
      <w:pPr>
        <w:pStyle w:val="NormalWeb"/>
        <w:spacing w:before="120" w:beforeAutospacing="0" w:after="120" w:afterAutospacing="0"/>
        <w:ind w:firstLine="720"/>
        <w:contextualSpacing/>
        <w:rPr>
          <w:rFonts w:eastAsia="SimSun"/>
          <w:lang w:eastAsia="en-US"/>
        </w:rPr>
      </w:pPr>
      <w:r>
        <w:t xml:space="preserve">Russell </w:t>
      </w:r>
      <w:r w:rsidRPr="001976F6">
        <w:t xml:space="preserve">owns the </w:t>
      </w:r>
      <w:r>
        <w:t>Russell Indexes</w:t>
      </w:r>
      <w:r w:rsidRPr="001976F6">
        <w:t xml:space="preserve"> and develops each Russell Index based on its own proprietary model employing its intellectual property </w:t>
      </w:r>
      <w:r>
        <w:t xml:space="preserve">(patented property as well as trade secrets and other intellectual property) </w:t>
      </w:r>
      <w:r w:rsidRPr="001976F6">
        <w:t>and industry expertise.</w:t>
      </w:r>
      <w:r>
        <w:t xml:space="preserve">  Russell Indexes may be based on the intellectual property of certain third parties under contractual arrangements with Russell.</w:t>
      </w:r>
      <w:r w:rsidRPr="001976F6">
        <w:t xml:space="preserve">  In establishing each</w:t>
      </w:r>
      <w:r w:rsidRPr="00F65521">
        <w:t xml:space="preserve"> </w:t>
      </w:r>
      <w:r w:rsidRPr="001976F6">
        <w:t xml:space="preserve">Russell Index, </w:t>
      </w:r>
      <w:r>
        <w:t>Russell</w:t>
      </w:r>
      <w:r w:rsidRPr="001976F6">
        <w:t xml:space="preserve"> has developed a set of clearly defined inclusion/exclusion criteria for determining when a security should be included or excluded from an </w:t>
      </w:r>
      <w:r>
        <w:t>I</w:t>
      </w:r>
      <w:r w:rsidRPr="001976F6">
        <w:t xml:space="preserve">ndex.  </w:t>
      </w:r>
      <w:r>
        <w:t>Certain Russell p</w:t>
      </w:r>
      <w:r w:rsidRPr="001976F6">
        <w:t xml:space="preserve">ersonnel use this proprietary, rules-based methodology to determine, </w:t>
      </w:r>
      <w:r>
        <w:t>amongst</w:t>
      </w:r>
      <w:r w:rsidRPr="001976F6">
        <w:t xml:space="preserve"> other things, the composition of each Russell Index, the policies and procedures to be followed by</w:t>
      </w:r>
      <w:r>
        <w:t xml:space="preserve"> Russell personnel in calculating and maintaining </w:t>
      </w:r>
      <w:r w:rsidRPr="001976F6">
        <w:t>each Russell Index, the method and frequency of reconstitution and the daily treatment of corporate actions.</w:t>
      </w:r>
      <w:r>
        <w:t xml:space="preserve">  Russell is pleased to submit its response to the</w:t>
      </w:r>
      <w:r w:rsidRPr="00AF476E">
        <w:rPr>
          <w:b/>
        </w:rPr>
        <w:t xml:space="preserve"> </w:t>
      </w:r>
      <w:r w:rsidRPr="00AF476E">
        <w:t>R</w:t>
      </w:r>
      <w:r>
        <w:t>eport which follows below.</w:t>
      </w:r>
    </w:p>
    <w:p w:rsidR="00164C0A" w:rsidRDefault="00164C0A" w:rsidP="000E15E8">
      <w:pPr>
        <w:pStyle w:val="AONormal"/>
        <w:spacing w:before="120" w:after="120" w:line="240" w:lineRule="auto"/>
        <w:contextualSpacing/>
        <w:jc w:val="center"/>
        <w:rPr>
          <w:b/>
          <w:sz w:val="24"/>
          <w:szCs w:val="24"/>
        </w:rPr>
      </w:pPr>
      <w:r>
        <w:rPr>
          <w:b/>
          <w:sz w:val="24"/>
          <w:szCs w:val="24"/>
        </w:rPr>
        <w:t xml:space="preserve">*  </w:t>
      </w:r>
      <w:r>
        <w:rPr>
          <w:b/>
          <w:sz w:val="24"/>
          <w:szCs w:val="24"/>
        </w:rPr>
        <w:tab/>
        <w:t xml:space="preserve">* </w:t>
      </w:r>
      <w:r>
        <w:rPr>
          <w:b/>
          <w:sz w:val="24"/>
          <w:szCs w:val="24"/>
        </w:rPr>
        <w:tab/>
        <w:t>*</w:t>
      </w:r>
    </w:p>
    <w:p w:rsidR="00CD0D01" w:rsidRPr="00CD0D01" w:rsidRDefault="00CD0D01" w:rsidP="00CD0D01">
      <w:pPr>
        <w:keepNext/>
        <w:autoSpaceDE w:val="0"/>
        <w:autoSpaceDN w:val="0"/>
        <w:adjustRightInd w:val="0"/>
        <w:rPr>
          <w:b/>
          <w:sz w:val="24"/>
          <w:szCs w:val="24"/>
        </w:rPr>
      </w:pPr>
      <w:r w:rsidRPr="00CD0D01">
        <w:rPr>
          <w:b/>
          <w:sz w:val="24"/>
          <w:szCs w:val="24"/>
        </w:rPr>
        <w:t>Question 1: Definition of the activities of benchmark setting</w:t>
      </w:r>
    </w:p>
    <w:p w:rsidR="00CD0D01" w:rsidRDefault="00CD0D01" w:rsidP="00CD0D01">
      <w:pPr>
        <w:keepNext/>
        <w:autoSpaceDE w:val="0"/>
        <w:autoSpaceDN w:val="0"/>
        <w:adjustRightInd w:val="0"/>
        <w:rPr>
          <w:sz w:val="24"/>
          <w:szCs w:val="24"/>
        </w:rPr>
      </w:pPr>
      <w:r w:rsidRPr="00CD0D01">
        <w:rPr>
          <w:sz w:val="24"/>
          <w:szCs w:val="24"/>
        </w:rPr>
        <w:t>Do you agree with the definitions provided in this section? Is this list of activities complete and accurate?</w:t>
      </w:r>
    </w:p>
    <w:p w:rsidR="00CD0D01" w:rsidRDefault="00CD0D01" w:rsidP="00CD0D01">
      <w:pPr>
        <w:pStyle w:val="AONormal"/>
        <w:rPr>
          <w:lang w:val="en-US"/>
        </w:rPr>
      </w:pPr>
    </w:p>
    <w:p w:rsidR="00CD0D01" w:rsidRDefault="00CD0D01" w:rsidP="00CD0D01">
      <w:pPr>
        <w:pStyle w:val="AONormal"/>
        <w:rPr>
          <w:u w:val="single"/>
          <w:lang w:val="en-US"/>
        </w:rPr>
      </w:pPr>
      <w:r>
        <w:rPr>
          <w:u w:val="single"/>
          <w:lang w:val="en-US"/>
        </w:rPr>
        <w:t>Definition</w:t>
      </w:r>
      <w:r w:rsidR="005F4F3C">
        <w:rPr>
          <w:u w:val="single"/>
          <w:lang w:val="en-US"/>
        </w:rPr>
        <w:t>s</w:t>
      </w:r>
      <w:r>
        <w:rPr>
          <w:u w:val="single"/>
          <w:lang w:val="en-US"/>
        </w:rPr>
        <w:t xml:space="preserve"> of Benchmark</w:t>
      </w:r>
      <w:r w:rsidR="005F4F3C">
        <w:rPr>
          <w:u w:val="single"/>
          <w:lang w:val="en-US"/>
        </w:rPr>
        <w:t>; Contributing firm</w:t>
      </w:r>
    </w:p>
    <w:p w:rsidR="00CD0D01" w:rsidRPr="00CD0D01" w:rsidRDefault="00CD0D01" w:rsidP="00CD0D01">
      <w:pPr>
        <w:pStyle w:val="AONormal"/>
        <w:rPr>
          <w:u w:val="single"/>
          <w:lang w:val="en-US"/>
        </w:rPr>
      </w:pPr>
    </w:p>
    <w:p w:rsidR="00164C0A" w:rsidRDefault="00CD0D01" w:rsidP="000E15E8">
      <w:pPr>
        <w:pStyle w:val="AONormal"/>
        <w:spacing w:before="120" w:after="120" w:line="240" w:lineRule="auto"/>
        <w:ind w:firstLine="720"/>
        <w:contextualSpacing/>
        <w:rPr>
          <w:sz w:val="24"/>
          <w:szCs w:val="24"/>
        </w:rPr>
      </w:pPr>
      <w:r>
        <w:rPr>
          <w:sz w:val="24"/>
          <w:szCs w:val="24"/>
        </w:rPr>
        <w:t xml:space="preserve">Russell believes that all </w:t>
      </w:r>
      <w:r w:rsidR="00164C0A">
        <w:rPr>
          <w:sz w:val="24"/>
          <w:szCs w:val="24"/>
        </w:rPr>
        <w:t xml:space="preserve">Benchmarks are </w:t>
      </w:r>
      <w:r>
        <w:rPr>
          <w:sz w:val="24"/>
          <w:szCs w:val="24"/>
        </w:rPr>
        <w:t xml:space="preserve">not </w:t>
      </w:r>
      <w:r w:rsidR="00164C0A">
        <w:rPr>
          <w:sz w:val="24"/>
          <w:szCs w:val="24"/>
        </w:rPr>
        <w:t xml:space="preserve">monolithic, subject to the same concerns related to manipulation and conflicts of interest and, therefore, as a monolithic whole are in need of regulatory oversight by </w:t>
      </w:r>
      <w:r>
        <w:rPr>
          <w:sz w:val="24"/>
          <w:szCs w:val="24"/>
        </w:rPr>
        <w:t>regulatory authorities</w:t>
      </w:r>
      <w:r w:rsidR="00164C0A">
        <w:rPr>
          <w:sz w:val="24"/>
          <w:szCs w:val="24"/>
        </w:rPr>
        <w:t xml:space="preserve"> without regard to the differences between them.  Although the Report and other regulatory bodies thoughtfully question that premise, meaningful regulation requires that we recognize the differences in Benchmarks before making regulatory proposals.</w:t>
      </w:r>
      <w:r w:rsidR="00164C0A">
        <w:rPr>
          <w:rStyle w:val="FootnoteReference"/>
          <w:sz w:val="24"/>
          <w:szCs w:val="24"/>
        </w:rPr>
        <w:footnoteReference w:id="1"/>
      </w:r>
      <w:r w:rsidR="00164C0A">
        <w:rPr>
          <w:sz w:val="24"/>
          <w:szCs w:val="24"/>
        </w:rPr>
        <w:t xml:space="preserve">  </w:t>
      </w:r>
    </w:p>
    <w:p w:rsidR="00164C0A" w:rsidRDefault="00164C0A" w:rsidP="000E15E8">
      <w:pPr>
        <w:pStyle w:val="AONormal"/>
        <w:spacing w:before="120" w:after="120" w:line="240" w:lineRule="auto"/>
        <w:ind w:firstLine="720"/>
        <w:contextualSpacing/>
        <w:rPr>
          <w:sz w:val="24"/>
          <w:szCs w:val="24"/>
        </w:rPr>
      </w:pPr>
    </w:p>
    <w:p w:rsidR="00164C0A" w:rsidRPr="00B1423D" w:rsidRDefault="00164C0A" w:rsidP="000E15E8">
      <w:pPr>
        <w:pStyle w:val="AONormal"/>
        <w:spacing w:before="120" w:after="120" w:line="240" w:lineRule="auto"/>
        <w:ind w:firstLine="720"/>
        <w:contextualSpacing/>
        <w:rPr>
          <w:sz w:val="24"/>
          <w:szCs w:val="24"/>
        </w:rPr>
      </w:pPr>
      <w:r>
        <w:rPr>
          <w:sz w:val="24"/>
          <w:szCs w:val="24"/>
        </w:rPr>
        <w:t xml:space="preserve">We must recognize a critical </w:t>
      </w:r>
      <w:r w:rsidRPr="00B1423D">
        <w:rPr>
          <w:sz w:val="24"/>
          <w:szCs w:val="24"/>
        </w:rPr>
        <w:t xml:space="preserve">distinction between </w:t>
      </w:r>
      <w:r>
        <w:rPr>
          <w:sz w:val="24"/>
          <w:szCs w:val="24"/>
        </w:rPr>
        <w:t xml:space="preserve">two </w:t>
      </w:r>
      <w:r w:rsidRPr="00B1423D">
        <w:rPr>
          <w:sz w:val="24"/>
          <w:szCs w:val="24"/>
        </w:rPr>
        <w:t xml:space="preserve">different types of </w:t>
      </w:r>
      <w:r>
        <w:rPr>
          <w:sz w:val="24"/>
          <w:szCs w:val="24"/>
        </w:rPr>
        <w:t>B</w:t>
      </w:r>
      <w:r w:rsidRPr="00B1423D">
        <w:rPr>
          <w:sz w:val="24"/>
          <w:szCs w:val="24"/>
        </w:rPr>
        <w:t xml:space="preserve">enchmarks.  This distinction is at the heart of the way in which these </w:t>
      </w:r>
      <w:r>
        <w:rPr>
          <w:sz w:val="24"/>
          <w:szCs w:val="24"/>
        </w:rPr>
        <w:t>B</w:t>
      </w:r>
      <w:r w:rsidRPr="00B1423D">
        <w:rPr>
          <w:sz w:val="24"/>
          <w:szCs w:val="24"/>
        </w:rPr>
        <w:t xml:space="preserve">enchmarks should be treated by </w:t>
      </w:r>
      <w:r w:rsidR="00CD0D01">
        <w:rPr>
          <w:sz w:val="24"/>
          <w:szCs w:val="24"/>
        </w:rPr>
        <w:t>regulatory authorities</w:t>
      </w:r>
      <w:r w:rsidRPr="00B1423D">
        <w:rPr>
          <w:sz w:val="24"/>
          <w:szCs w:val="24"/>
        </w:rPr>
        <w:t xml:space="preserve">, and the degree of prudential oversight that is required for them.  </w:t>
      </w:r>
      <w:r>
        <w:rPr>
          <w:sz w:val="24"/>
          <w:szCs w:val="24"/>
        </w:rPr>
        <w:t xml:space="preserve">The Report speaks in terms of, and is grounded in, </w:t>
      </w:r>
      <w:r w:rsidRPr="00B1423D">
        <w:rPr>
          <w:sz w:val="24"/>
          <w:szCs w:val="24"/>
        </w:rPr>
        <w:t xml:space="preserve">one type of these </w:t>
      </w:r>
      <w:r>
        <w:rPr>
          <w:sz w:val="24"/>
          <w:szCs w:val="24"/>
        </w:rPr>
        <w:t>B</w:t>
      </w:r>
      <w:r w:rsidRPr="00B1423D">
        <w:rPr>
          <w:sz w:val="24"/>
          <w:szCs w:val="24"/>
        </w:rPr>
        <w:t xml:space="preserve">enchmarks – using that language to cover and describe both types of </w:t>
      </w:r>
      <w:r>
        <w:rPr>
          <w:sz w:val="24"/>
          <w:szCs w:val="24"/>
        </w:rPr>
        <w:t>B</w:t>
      </w:r>
      <w:r w:rsidRPr="00B1423D">
        <w:rPr>
          <w:sz w:val="24"/>
          <w:szCs w:val="24"/>
        </w:rPr>
        <w:t>enchmark</w:t>
      </w:r>
      <w:r>
        <w:rPr>
          <w:sz w:val="24"/>
          <w:szCs w:val="24"/>
        </w:rPr>
        <w:t>s</w:t>
      </w:r>
      <w:r w:rsidRPr="00B1423D">
        <w:rPr>
          <w:sz w:val="24"/>
          <w:szCs w:val="24"/>
        </w:rPr>
        <w:t xml:space="preserve"> may well lead to confusion and to a sub-optimal regulatory structure.</w:t>
      </w:r>
      <w:r>
        <w:rPr>
          <w:sz w:val="24"/>
          <w:szCs w:val="24"/>
        </w:rPr>
        <w:t xml:space="preserve">  </w:t>
      </w:r>
      <w:r w:rsidRPr="00B1423D">
        <w:rPr>
          <w:sz w:val="24"/>
          <w:szCs w:val="24"/>
        </w:rPr>
        <w:t>Crafting the correct regulatory structure requires that we consider three key elements:</w:t>
      </w:r>
    </w:p>
    <w:p w:rsidR="00164C0A" w:rsidRPr="00B1423D" w:rsidRDefault="00164C0A" w:rsidP="000E15E8">
      <w:pPr>
        <w:pStyle w:val="ListParagraph"/>
        <w:numPr>
          <w:ilvl w:val="0"/>
          <w:numId w:val="22"/>
        </w:numPr>
        <w:spacing w:before="120" w:after="120"/>
        <w:contextualSpacing/>
        <w:rPr>
          <w:sz w:val="24"/>
          <w:szCs w:val="24"/>
        </w:rPr>
      </w:pPr>
      <w:r w:rsidRPr="00B1423D">
        <w:rPr>
          <w:sz w:val="24"/>
          <w:szCs w:val="24"/>
        </w:rPr>
        <w:lastRenderedPageBreak/>
        <w:t>What type of information is being used to construct the benchmark?</w:t>
      </w:r>
    </w:p>
    <w:p w:rsidR="00164C0A" w:rsidRPr="00B1423D" w:rsidRDefault="00164C0A" w:rsidP="0092511C">
      <w:pPr>
        <w:pStyle w:val="ListParagraph"/>
        <w:numPr>
          <w:ilvl w:val="0"/>
          <w:numId w:val="22"/>
        </w:numPr>
        <w:spacing w:beforeLines="120" w:afterLines="120" w:line="276" w:lineRule="auto"/>
        <w:contextualSpacing/>
        <w:rPr>
          <w:sz w:val="24"/>
          <w:szCs w:val="24"/>
        </w:rPr>
      </w:pPr>
      <w:r w:rsidRPr="00B1423D">
        <w:rPr>
          <w:sz w:val="24"/>
          <w:szCs w:val="24"/>
        </w:rPr>
        <w:t>What is the source of that information?</w:t>
      </w:r>
    </w:p>
    <w:p w:rsidR="00164C0A" w:rsidRDefault="00164C0A" w:rsidP="0092511C">
      <w:pPr>
        <w:pStyle w:val="ListParagraph"/>
        <w:numPr>
          <w:ilvl w:val="0"/>
          <w:numId w:val="22"/>
        </w:numPr>
        <w:spacing w:beforeLines="120" w:afterLines="120" w:line="276" w:lineRule="auto"/>
        <w:contextualSpacing/>
        <w:rPr>
          <w:sz w:val="24"/>
          <w:szCs w:val="24"/>
        </w:rPr>
      </w:pPr>
      <w:r w:rsidRPr="00B1423D">
        <w:rPr>
          <w:sz w:val="24"/>
          <w:szCs w:val="24"/>
        </w:rPr>
        <w:t>How is the information used to construct the benchmark?</w:t>
      </w:r>
    </w:p>
    <w:p w:rsidR="00164C0A" w:rsidRDefault="00164C0A" w:rsidP="0092511C">
      <w:pPr>
        <w:pStyle w:val="ListParagraph"/>
        <w:spacing w:beforeLines="120" w:afterLines="120" w:line="276" w:lineRule="auto"/>
        <w:ind w:left="0"/>
        <w:contextualSpacing/>
      </w:pPr>
    </w:p>
    <w:p w:rsidR="00164C0A" w:rsidRPr="004B140C" w:rsidRDefault="00164C0A" w:rsidP="0092511C">
      <w:pPr>
        <w:pStyle w:val="ListParagraph"/>
        <w:spacing w:beforeLines="120" w:afterLines="120" w:line="276" w:lineRule="auto"/>
        <w:ind w:left="0"/>
        <w:contextualSpacing/>
        <w:rPr>
          <w:sz w:val="24"/>
          <w:szCs w:val="24"/>
        </w:rPr>
      </w:pPr>
      <w:r w:rsidRPr="004B140C">
        <w:rPr>
          <w:sz w:val="24"/>
          <w:szCs w:val="24"/>
        </w:rPr>
        <w:t>Using these elements it is easy to determine that there are two quite different types of Benchmarks.</w:t>
      </w:r>
    </w:p>
    <w:p w:rsidR="00164C0A" w:rsidRPr="00B1423D" w:rsidRDefault="00164C0A" w:rsidP="00164C0A">
      <w:pPr>
        <w:ind w:firstLine="720"/>
        <w:rPr>
          <w:sz w:val="24"/>
          <w:szCs w:val="24"/>
        </w:rPr>
      </w:pPr>
      <w:r w:rsidRPr="00B1423D">
        <w:rPr>
          <w:sz w:val="24"/>
          <w:szCs w:val="24"/>
        </w:rPr>
        <w:t xml:space="preserve">The first is what we call </w:t>
      </w:r>
      <w:r>
        <w:rPr>
          <w:sz w:val="24"/>
          <w:szCs w:val="24"/>
        </w:rPr>
        <w:t>“</w:t>
      </w:r>
      <w:r w:rsidRPr="00B1423D">
        <w:rPr>
          <w:sz w:val="24"/>
          <w:szCs w:val="24"/>
        </w:rPr>
        <w:t>Public Data Benchmarks</w:t>
      </w:r>
      <w:r>
        <w:rPr>
          <w:sz w:val="24"/>
          <w:szCs w:val="24"/>
        </w:rPr>
        <w:t>” which are thoroughly reliable and not susceptible to manipulation or conflicts of interest absent actual fraud,</w:t>
      </w:r>
      <w:r>
        <w:rPr>
          <w:rStyle w:val="FootnoteReference"/>
          <w:sz w:val="24"/>
          <w:szCs w:val="24"/>
        </w:rPr>
        <w:footnoteReference w:id="2"/>
      </w:r>
      <w:r>
        <w:rPr>
          <w:sz w:val="24"/>
          <w:szCs w:val="24"/>
        </w:rPr>
        <w:t xml:space="preserve"> which, if present, would destroy the business of a Public Data Benchmark Provider.</w:t>
      </w:r>
      <w:r w:rsidRPr="00B1423D">
        <w:rPr>
          <w:sz w:val="24"/>
          <w:szCs w:val="24"/>
        </w:rPr>
        <w:t xml:space="preserve">  This is the type of </w:t>
      </w:r>
      <w:r>
        <w:rPr>
          <w:sz w:val="24"/>
          <w:szCs w:val="24"/>
        </w:rPr>
        <w:t>B</w:t>
      </w:r>
      <w:r w:rsidRPr="00B1423D">
        <w:rPr>
          <w:sz w:val="24"/>
          <w:szCs w:val="24"/>
        </w:rPr>
        <w:t>enchmark that Russell produces</w:t>
      </w:r>
      <w:r w:rsidRPr="002E0FD3">
        <w:rPr>
          <w:sz w:val="24"/>
          <w:szCs w:val="24"/>
        </w:rPr>
        <w:t xml:space="preserve"> </w:t>
      </w:r>
      <w:r>
        <w:rPr>
          <w:sz w:val="24"/>
          <w:szCs w:val="24"/>
        </w:rPr>
        <w:t xml:space="preserve">and which exhibit the characteristics of a credible benchmark as stated in the </w:t>
      </w:r>
      <w:r w:rsidR="00746AEA">
        <w:rPr>
          <w:sz w:val="24"/>
          <w:szCs w:val="24"/>
        </w:rPr>
        <w:t>recent IOSCO Consultation Paper</w:t>
      </w:r>
      <w:r>
        <w:rPr>
          <w:sz w:val="24"/>
          <w:szCs w:val="24"/>
        </w:rPr>
        <w:t>.</w:t>
      </w:r>
      <w:r>
        <w:rPr>
          <w:rStyle w:val="FootnoteReference"/>
          <w:sz w:val="24"/>
          <w:szCs w:val="24"/>
        </w:rPr>
        <w:footnoteReference w:id="3"/>
      </w:r>
      <w:r w:rsidRPr="00B1423D">
        <w:rPr>
          <w:sz w:val="24"/>
          <w:szCs w:val="24"/>
        </w:rPr>
        <w:t xml:space="preserve">  </w:t>
      </w:r>
      <w:r>
        <w:rPr>
          <w:sz w:val="24"/>
          <w:szCs w:val="24"/>
        </w:rPr>
        <w:t xml:space="preserve">These Benchmarks should receive a light regulatory touch in the form of </w:t>
      </w:r>
      <w:r w:rsidR="00746AEA">
        <w:rPr>
          <w:sz w:val="24"/>
          <w:szCs w:val="24"/>
        </w:rPr>
        <w:t xml:space="preserve">industry codes that perhaps may </w:t>
      </w:r>
      <w:r>
        <w:rPr>
          <w:sz w:val="24"/>
          <w:szCs w:val="24"/>
        </w:rPr>
        <w:t xml:space="preserve">be approved by </w:t>
      </w:r>
      <w:r w:rsidR="00CD0D01">
        <w:rPr>
          <w:sz w:val="24"/>
          <w:szCs w:val="24"/>
        </w:rPr>
        <w:t>regulatory authorities</w:t>
      </w:r>
      <w:r>
        <w:rPr>
          <w:sz w:val="24"/>
          <w:szCs w:val="24"/>
        </w:rPr>
        <w:t xml:space="preserve">.  </w:t>
      </w:r>
      <w:r w:rsidRPr="00B1423D">
        <w:rPr>
          <w:sz w:val="24"/>
          <w:szCs w:val="24"/>
        </w:rPr>
        <w:t xml:space="preserve">The characteristics of these </w:t>
      </w:r>
      <w:r>
        <w:rPr>
          <w:sz w:val="24"/>
          <w:szCs w:val="24"/>
        </w:rPr>
        <w:t>B</w:t>
      </w:r>
      <w:r w:rsidRPr="00B1423D">
        <w:rPr>
          <w:sz w:val="24"/>
          <w:szCs w:val="24"/>
        </w:rPr>
        <w:t xml:space="preserve">enchmarks in </w:t>
      </w:r>
      <w:r>
        <w:rPr>
          <w:sz w:val="24"/>
          <w:szCs w:val="24"/>
        </w:rPr>
        <w:t xml:space="preserve">terms of </w:t>
      </w:r>
      <w:r w:rsidRPr="00B1423D">
        <w:rPr>
          <w:sz w:val="24"/>
          <w:szCs w:val="24"/>
        </w:rPr>
        <w:t xml:space="preserve">the three </w:t>
      </w:r>
      <w:r>
        <w:rPr>
          <w:sz w:val="24"/>
          <w:szCs w:val="24"/>
        </w:rPr>
        <w:t>elements</w:t>
      </w:r>
      <w:r w:rsidRPr="00B1423D">
        <w:rPr>
          <w:sz w:val="24"/>
          <w:szCs w:val="24"/>
        </w:rPr>
        <w:t xml:space="preserve"> outlined above are as follows:</w:t>
      </w:r>
    </w:p>
    <w:p w:rsidR="00164C0A" w:rsidRPr="00B1423D" w:rsidRDefault="00164C0A" w:rsidP="00164C0A">
      <w:pPr>
        <w:pStyle w:val="AO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8"/>
      </w:tblGrid>
      <w:tr w:rsidR="00164C0A" w:rsidRPr="00B1423D" w:rsidTr="0042277A">
        <w:tc>
          <w:tcPr>
            <w:tcW w:w="3078" w:type="dxa"/>
          </w:tcPr>
          <w:p w:rsidR="00164C0A" w:rsidRPr="00B1423D" w:rsidRDefault="00164C0A" w:rsidP="0042277A">
            <w:pPr>
              <w:tabs>
                <w:tab w:val="center" w:pos="4153"/>
                <w:tab w:val="right" w:pos="8306"/>
              </w:tabs>
              <w:rPr>
                <w:sz w:val="24"/>
                <w:szCs w:val="24"/>
              </w:rPr>
            </w:pPr>
            <w:r w:rsidRPr="00B1423D">
              <w:rPr>
                <w:sz w:val="24"/>
                <w:szCs w:val="24"/>
              </w:rPr>
              <w:t>Type of information collected</w:t>
            </w:r>
            <w:r>
              <w:rPr>
                <w:sz w:val="24"/>
                <w:szCs w:val="24"/>
              </w:rPr>
              <w:t xml:space="preserve"> (referred to as “actual transaction data” in Russell’s response to the Report</w:t>
            </w:r>
          </w:p>
        </w:tc>
        <w:tc>
          <w:tcPr>
            <w:tcW w:w="6498" w:type="dxa"/>
          </w:tcPr>
          <w:p w:rsidR="00164C0A" w:rsidRPr="00B1423D" w:rsidRDefault="00164C0A" w:rsidP="0042277A">
            <w:pPr>
              <w:tabs>
                <w:tab w:val="center" w:pos="4153"/>
                <w:tab w:val="right" w:pos="8306"/>
              </w:tabs>
              <w:rPr>
                <w:sz w:val="24"/>
                <w:szCs w:val="24"/>
              </w:rPr>
            </w:pPr>
            <w:r w:rsidRPr="00B1423D">
              <w:rPr>
                <w:sz w:val="24"/>
                <w:szCs w:val="24"/>
              </w:rPr>
              <w:t xml:space="preserve">Information relating to </w:t>
            </w:r>
          </w:p>
          <w:p w:rsidR="00164C0A" w:rsidRPr="00B1423D" w:rsidRDefault="00164C0A" w:rsidP="00676CED">
            <w:pPr>
              <w:pStyle w:val="ListParagraph"/>
              <w:numPr>
                <w:ilvl w:val="0"/>
                <w:numId w:val="23"/>
              </w:numPr>
              <w:contextualSpacing/>
              <w:rPr>
                <w:sz w:val="24"/>
                <w:szCs w:val="24"/>
              </w:rPr>
            </w:pPr>
            <w:r w:rsidRPr="00B1423D">
              <w:rPr>
                <w:sz w:val="24"/>
                <w:szCs w:val="24"/>
              </w:rPr>
              <w:t>prices of actual trades performed on a regulated exchange</w:t>
            </w:r>
          </w:p>
          <w:p w:rsidR="00164C0A" w:rsidRPr="00B1423D" w:rsidRDefault="00164C0A" w:rsidP="00676CED">
            <w:pPr>
              <w:pStyle w:val="ListParagraph"/>
              <w:numPr>
                <w:ilvl w:val="0"/>
                <w:numId w:val="23"/>
              </w:numPr>
              <w:contextualSpacing/>
              <w:rPr>
                <w:sz w:val="24"/>
                <w:szCs w:val="24"/>
              </w:rPr>
            </w:pPr>
            <w:r w:rsidRPr="00B1423D">
              <w:rPr>
                <w:sz w:val="24"/>
                <w:szCs w:val="24"/>
              </w:rPr>
              <w:t>trades reported to an aggregated single consolidated tape (or similar mechanism)</w:t>
            </w:r>
          </w:p>
          <w:p w:rsidR="00164C0A" w:rsidRPr="00B1423D" w:rsidRDefault="00164C0A" w:rsidP="00676CED">
            <w:pPr>
              <w:pStyle w:val="ListParagraph"/>
              <w:numPr>
                <w:ilvl w:val="0"/>
                <w:numId w:val="23"/>
              </w:numPr>
              <w:contextualSpacing/>
              <w:rPr>
                <w:sz w:val="24"/>
                <w:szCs w:val="24"/>
              </w:rPr>
            </w:pPr>
            <w:r w:rsidRPr="00B1423D">
              <w:rPr>
                <w:sz w:val="24"/>
                <w:szCs w:val="24"/>
              </w:rPr>
              <w:t xml:space="preserve">trade or </w:t>
            </w:r>
            <w:r>
              <w:rPr>
                <w:sz w:val="24"/>
                <w:szCs w:val="24"/>
              </w:rPr>
              <w:t xml:space="preserve">tradable </w:t>
            </w:r>
            <w:r w:rsidRPr="00B1423D">
              <w:rPr>
                <w:sz w:val="24"/>
                <w:szCs w:val="24"/>
              </w:rPr>
              <w:t>quote data provided to a data consolidator and aggregator that is regarded by market participants as an authentic and dispassionate descriptor of broad market behaviour (such as Reuters for foreign exchange marketplaces, or the WM fixing rates for foreign exchange marketplaces)</w:t>
            </w:r>
          </w:p>
          <w:p w:rsidR="00164C0A" w:rsidRPr="00B1423D" w:rsidRDefault="00164C0A" w:rsidP="00676CED">
            <w:pPr>
              <w:pStyle w:val="ListParagraph"/>
              <w:numPr>
                <w:ilvl w:val="0"/>
                <w:numId w:val="23"/>
              </w:numPr>
              <w:contextualSpacing/>
              <w:rPr>
                <w:sz w:val="24"/>
                <w:szCs w:val="24"/>
              </w:rPr>
            </w:pPr>
            <w:r w:rsidRPr="00B1423D">
              <w:rPr>
                <w:sz w:val="24"/>
                <w:szCs w:val="24"/>
              </w:rPr>
              <w:t>descriptive metrics (earnings, profits, revenues and such information) of companies whose securities are being included in benchmarks where the data is sourced from publicly issue</w:t>
            </w:r>
            <w:r>
              <w:rPr>
                <w:sz w:val="24"/>
                <w:szCs w:val="24"/>
              </w:rPr>
              <w:t>d</w:t>
            </w:r>
            <w:r w:rsidRPr="00B1423D">
              <w:rPr>
                <w:sz w:val="24"/>
                <w:szCs w:val="24"/>
              </w:rPr>
              <w:t xml:space="preserve"> reports and accounts (and similar documents) filed as part of a regulatory filing process</w:t>
            </w:r>
          </w:p>
        </w:tc>
      </w:tr>
      <w:tr w:rsidR="00164C0A" w:rsidRPr="00B1423D" w:rsidTr="0042277A">
        <w:tc>
          <w:tcPr>
            <w:tcW w:w="3078" w:type="dxa"/>
          </w:tcPr>
          <w:p w:rsidR="00164C0A" w:rsidRPr="00B1423D" w:rsidRDefault="00164C0A" w:rsidP="0042277A">
            <w:pPr>
              <w:tabs>
                <w:tab w:val="center" w:pos="4153"/>
                <w:tab w:val="right" w:pos="8306"/>
              </w:tabs>
              <w:rPr>
                <w:sz w:val="24"/>
                <w:szCs w:val="24"/>
              </w:rPr>
            </w:pPr>
            <w:r w:rsidRPr="00B1423D">
              <w:rPr>
                <w:sz w:val="24"/>
                <w:szCs w:val="24"/>
              </w:rPr>
              <w:t>Source of information</w:t>
            </w:r>
          </w:p>
        </w:tc>
        <w:tc>
          <w:tcPr>
            <w:tcW w:w="6498" w:type="dxa"/>
          </w:tcPr>
          <w:p w:rsidR="00164C0A" w:rsidRPr="00B1423D" w:rsidRDefault="00164C0A" w:rsidP="0042277A">
            <w:pPr>
              <w:tabs>
                <w:tab w:val="center" w:pos="4153"/>
                <w:tab w:val="right" w:pos="8306"/>
              </w:tabs>
              <w:rPr>
                <w:sz w:val="24"/>
                <w:szCs w:val="24"/>
              </w:rPr>
            </w:pPr>
            <w:r w:rsidRPr="00B1423D">
              <w:rPr>
                <w:sz w:val="24"/>
                <w:szCs w:val="24"/>
              </w:rPr>
              <w:t>Information collected from</w:t>
            </w:r>
            <w:r>
              <w:rPr>
                <w:sz w:val="24"/>
                <w:szCs w:val="24"/>
              </w:rPr>
              <w:t>:</w:t>
            </w:r>
          </w:p>
          <w:p w:rsidR="00164C0A" w:rsidRPr="00B1423D" w:rsidRDefault="00164C0A" w:rsidP="00676CED">
            <w:pPr>
              <w:pStyle w:val="ListParagraph"/>
              <w:numPr>
                <w:ilvl w:val="0"/>
                <w:numId w:val="24"/>
              </w:numPr>
              <w:contextualSpacing/>
              <w:rPr>
                <w:sz w:val="24"/>
                <w:szCs w:val="24"/>
              </w:rPr>
            </w:pPr>
            <w:r w:rsidRPr="00B1423D">
              <w:rPr>
                <w:sz w:val="24"/>
                <w:szCs w:val="24"/>
              </w:rPr>
              <w:t>exchanges or other similar entities acting in their roles of information consolidators and reporters</w:t>
            </w:r>
            <w:r>
              <w:rPr>
                <w:sz w:val="24"/>
                <w:szCs w:val="24"/>
              </w:rPr>
              <w:t xml:space="preserve"> whose data collection and dissemination activities are likely formally regulated</w:t>
            </w:r>
          </w:p>
          <w:p w:rsidR="00164C0A" w:rsidRPr="00B1423D" w:rsidRDefault="00164C0A" w:rsidP="00676CED">
            <w:pPr>
              <w:pStyle w:val="ListParagraph"/>
              <w:numPr>
                <w:ilvl w:val="0"/>
                <w:numId w:val="24"/>
              </w:numPr>
              <w:contextualSpacing/>
              <w:rPr>
                <w:sz w:val="24"/>
                <w:szCs w:val="24"/>
              </w:rPr>
            </w:pPr>
            <w:r w:rsidRPr="00B1423D">
              <w:rPr>
                <w:sz w:val="24"/>
                <w:szCs w:val="24"/>
              </w:rPr>
              <w:t>reputable data consolidators and aggregators (such as Reuters and Bloomberg) where such data is regarded as an authentic and dispassionate descriptor of broad market behaviour</w:t>
            </w:r>
          </w:p>
          <w:p w:rsidR="00164C0A" w:rsidRPr="00B1423D" w:rsidRDefault="00164C0A" w:rsidP="00676CED">
            <w:pPr>
              <w:pStyle w:val="ListParagraph"/>
              <w:numPr>
                <w:ilvl w:val="0"/>
                <w:numId w:val="24"/>
              </w:numPr>
              <w:contextualSpacing/>
              <w:rPr>
                <w:sz w:val="24"/>
                <w:szCs w:val="24"/>
              </w:rPr>
            </w:pPr>
            <w:r w:rsidRPr="00B1423D">
              <w:rPr>
                <w:sz w:val="24"/>
                <w:szCs w:val="24"/>
              </w:rPr>
              <w:t xml:space="preserve">corporate or other entities where that information is part of a regulatory disclosure process in a standardized or </w:t>
            </w:r>
            <w:r w:rsidRPr="00B1423D">
              <w:rPr>
                <w:sz w:val="24"/>
                <w:szCs w:val="24"/>
              </w:rPr>
              <w:lastRenderedPageBreak/>
              <w:t>audited form with existing regulatory sanction applicable for intention</w:t>
            </w:r>
            <w:r>
              <w:rPr>
                <w:sz w:val="24"/>
                <w:szCs w:val="24"/>
              </w:rPr>
              <w:t>al error or failure to disclose</w:t>
            </w:r>
          </w:p>
        </w:tc>
      </w:tr>
      <w:tr w:rsidR="00164C0A" w:rsidRPr="00B1423D" w:rsidTr="0042277A">
        <w:tc>
          <w:tcPr>
            <w:tcW w:w="3078" w:type="dxa"/>
          </w:tcPr>
          <w:p w:rsidR="00164C0A" w:rsidRPr="00B1423D" w:rsidRDefault="00164C0A" w:rsidP="0042277A">
            <w:pPr>
              <w:tabs>
                <w:tab w:val="center" w:pos="4153"/>
                <w:tab w:val="right" w:pos="8306"/>
              </w:tabs>
              <w:rPr>
                <w:sz w:val="24"/>
                <w:szCs w:val="24"/>
              </w:rPr>
            </w:pPr>
            <w:r w:rsidRPr="00B1423D">
              <w:rPr>
                <w:sz w:val="24"/>
                <w:szCs w:val="24"/>
              </w:rPr>
              <w:lastRenderedPageBreak/>
              <w:t>Construction process</w:t>
            </w:r>
          </w:p>
        </w:tc>
        <w:tc>
          <w:tcPr>
            <w:tcW w:w="6498" w:type="dxa"/>
          </w:tcPr>
          <w:p w:rsidR="00164C0A" w:rsidRPr="00B1423D" w:rsidRDefault="00164C0A" w:rsidP="0042277A">
            <w:pPr>
              <w:tabs>
                <w:tab w:val="center" w:pos="4153"/>
                <w:tab w:val="right" w:pos="8306"/>
              </w:tabs>
              <w:rPr>
                <w:sz w:val="24"/>
                <w:szCs w:val="24"/>
              </w:rPr>
            </w:pPr>
            <w:r w:rsidRPr="00B1423D">
              <w:rPr>
                <w:sz w:val="24"/>
                <w:szCs w:val="24"/>
              </w:rPr>
              <w:t xml:space="preserve">The creation of </w:t>
            </w:r>
            <w:r>
              <w:rPr>
                <w:sz w:val="24"/>
                <w:szCs w:val="24"/>
              </w:rPr>
              <w:t>B</w:t>
            </w:r>
            <w:r w:rsidRPr="00B1423D">
              <w:rPr>
                <w:sz w:val="24"/>
                <w:szCs w:val="24"/>
              </w:rPr>
              <w:t xml:space="preserve">enchmarks using </w:t>
            </w:r>
            <w:r>
              <w:rPr>
                <w:sz w:val="24"/>
                <w:szCs w:val="24"/>
              </w:rPr>
              <w:t>transparent, robust</w:t>
            </w:r>
            <w:r w:rsidRPr="00B1423D">
              <w:rPr>
                <w:sz w:val="24"/>
                <w:szCs w:val="24"/>
              </w:rPr>
              <w:t>, public</w:t>
            </w:r>
            <w:r>
              <w:rPr>
                <w:sz w:val="24"/>
                <w:szCs w:val="24"/>
              </w:rPr>
              <w:t>ly available</w:t>
            </w:r>
            <w:r w:rsidRPr="00B1423D">
              <w:rPr>
                <w:sz w:val="24"/>
                <w:szCs w:val="24"/>
              </w:rPr>
              <w:t xml:space="preserve"> rules based </w:t>
            </w:r>
            <w:r>
              <w:rPr>
                <w:sz w:val="24"/>
                <w:szCs w:val="24"/>
              </w:rPr>
              <w:t>methodologies</w:t>
            </w:r>
            <w:r w:rsidRPr="00B1423D">
              <w:rPr>
                <w:sz w:val="24"/>
                <w:szCs w:val="24"/>
              </w:rPr>
              <w:t xml:space="preserve"> </w:t>
            </w:r>
            <w:r>
              <w:rPr>
                <w:sz w:val="24"/>
                <w:szCs w:val="24"/>
              </w:rPr>
              <w:t>produced by</w:t>
            </w:r>
            <w:r w:rsidRPr="00B1423D">
              <w:rPr>
                <w:sz w:val="24"/>
                <w:szCs w:val="24"/>
              </w:rPr>
              <w:t xml:space="preserve"> </w:t>
            </w:r>
            <w:r>
              <w:rPr>
                <w:sz w:val="24"/>
                <w:szCs w:val="24"/>
              </w:rPr>
              <w:t>index operations governed by an effective control framework</w:t>
            </w:r>
            <w:r w:rsidRPr="00B1423D">
              <w:rPr>
                <w:sz w:val="24"/>
                <w:szCs w:val="24"/>
              </w:rPr>
              <w:t xml:space="preserve">.  </w:t>
            </w:r>
            <w:r>
              <w:rPr>
                <w:sz w:val="24"/>
                <w:szCs w:val="24"/>
              </w:rPr>
              <w:t xml:space="preserve">Notably absent is </w:t>
            </w:r>
            <w:r w:rsidRPr="00B1423D">
              <w:rPr>
                <w:sz w:val="24"/>
                <w:szCs w:val="24"/>
              </w:rPr>
              <w:t>survey</w:t>
            </w:r>
            <w:r>
              <w:rPr>
                <w:sz w:val="24"/>
                <w:szCs w:val="24"/>
              </w:rPr>
              <w:t>, panel or estimated data collection</w:t>
            </w:r>
            <w:r w:rsidRPr="00B1423D">
              <w:rPr>
                <w:sz w:val="24"/>
                <w:szCs w:val="24"/>
              </w:rPr>
              <w:t xml:space="preserve"> methodologies.</w:t>
            </w:r>
          </w:p>
        </w:tc>
      </w:tr>
    </w:tbl>
    <w:p w:rsidR="00164C0A" w:rsidRDefault="00164C0A" w:rsidP="00164C0A"/>
    <w:p w:rsidR="00164C0A" w:rsidRPr="00A4154C" w:rsidRDefault="00164C0A" w:rsidP="00164C0A">
      <w:pPr>
        <w:ind w:firstLine="720"/>
        <w:rPr>
          <w:sz w:val="24"/>
          <w:szCs w:val="24"/>
        </w:rPr>
      </w:pPr>
      <w:r w:rsidRPr="00A4154C">
        <w:rPr>
          <w:sz w:val="24"/>
          <w:szCs w:val="24"/>
        </w:rPr>
        <w:t xml:space="preserve">The second type of benchmark can be called </w:t>
      </w:r>
      <w:r>
        <w:rPr>
          <w:sz w:val="24"/>
          <w:szCs w:val="24"/>
        </w:rPr>
        <w:t>“</w:t>
      </w:r>
      <w:r w:rsidRPr="00A4154C">
        <w:rPr>
          <w:sz w:val="24"/>
          <w:szCs w:val="24"/>
        </w:rPr>
        <w:t>Survey-Based Benchmarks.</w:t>
      </w:r>
      <w:r>
        <w:rPr>
          <w:sz w:val="24"/>
          <w:szCs w:val="24"/>
        </w:rPr>
        <w:t>”</w:t>
      </w:r>
      <w:r w:rsidRPr="00A4154C">
        <w:rPr>
          <w:sz w:val="24"/>
          <w:szCs w:val="24"/>
        </w:rPr>
        <w:t xml:space="preserve">  These are quite different</w:t>
      </w:r>
      <w:r>
        <w:rPr>
          <w:sz w:val="24"/>
          <w:szCs w:val="24"/>
        </w:rPr>
        <w:t xml:space="preserve"> specimens from </w:t>
      </w:r>
      <w:r w:rsidRPr="00B1423D">
        <w:rPr>
          <w:sz w:val="24"/>
          <w:szCs w:val="24"/>
        </w:rPr>
        <w:t>Public Data Benchmarks</w:t>
      </w:r>
      <w:r>
        <w:rPr>
          <w:sz w:val="24"/>
          <w:szCs w:val="24"/>
        </w:rPr>
        <w:t xml:space="preserve">.  Survey-Based Benchmarks are quite susceptible to manipulation and conflicts of interest and require a comprehensive substantive regulatory framework supervised by </w:t>
      </w:r>
      <w:r w:rsidR="00CD0D01">
        <w:rPr>
          <w:sz w:val="24"/>
          <w:szCs w:val="24"/>
        </w:rPr>
        <w:t>regulatory authorities</w:t>
      </w:r>
      <w:r>
        <w:rPr>
          <w:sz w:val="24"/>
          <w:szCs w:val="24"/>
        </w:rPr>
        <w:t>.</w:t>
      </w:r>
    </w:p>
    <w:p w:rsidR="00164C0A" w:rsidRPr="00A4154C" w:rsidRDefault="00164C0A" w:rsidP="00164C0A">
      <w:pPr>
        <w:pStyle w:val="AO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498"/>
      </w:tblGrid>
      <w:tr w:rsidR="00164C0A" w:rsidRPr="00A4154C" w:rsidTr="0042277A">
        <w:tc>
          <w:tcPr>
            <w:tcW w:w="3078" w:type="dxa"/>
          </w:tcPr>
          <w:p w:rsidR="00164C0A" w:rsidRPr="00A4154C" w:rsidRDefault="00164C0A" w:rsidP="0042277A">
            <w:pPr>
              <w:tabs>
                <w:tab w:val="center" w:pos="4153"/>
                <w:tab w:val="right" w:pos="8306"/>
              </w:tabs>
              <w:rPr>
                <w:sz w:val="24"/>
                <w:szCs w:val="24"/>
              </w:rPr>
            </w:pPr>
            <w:r w:rsidRPr="00A4154C">
              <w:rPr>
                <w:sz w:val="24"/>
                <w:szCs w:val="24"/>
              </w:rPr>
              <w:t>Type of information collected</w:t>
            </w:r>
          </w:p>
        </w:tc>
        <w:tc>
          <w:tcPr>
            <w:tcW w:w="6498" w:type="dxa"/>
          </w:tcPr>
          <w:p w:rsidR="00164C0A" w:rsidRPr="00A4154C" w:rsidRDefault="00164C0A" w:rsidP="0042277A">
            <w:pPr>
              <w:tabs>
                <w:tab w:val="center" w:pos="4153"/>
                <w:tab w:val="right" w:pos="8306"/>
              </w:tabs>
              <w:rPr>
                <w:sz w:val="24"/>
                <w:szCs w:val="24"/>
              </w:rPr>
            </w:pPr>
            <w:r w:rsidRPr="00A4154C">
              <w:rPr>
                <w:sz w:val="24"/>
                <w:szCs w:val="24"/>
              </w:rPr>
              <w:t>Information relating to</w:t>
            </w:r>
            <w:r>
              <w:rPr>
                <w:sz w:val="24"/>
                <w:szCs w:val="24"/>
              </w:rPr>
              <w:t>:</w:t>
            </w:r>
            <w:r w:rsidRPr="00A4154C">
              <w:rPr>
                <w:sz w:val="24"/>
                <w:szCs w:val="24"/>
              </w:rPr>
              <w:t xml:space="preserve"> </w:t>
            </w:r>
          </w:p>
          <w:p w:rsidR="00164C0A" w:rsidRPr="00A4154C" w:rsidRDefault="00164C0A" w:rsidP="00676CED">
            <w:pPr>
              <w:pStyle w:val="ListParagraph"/>
              <w:numPr>
                <w:ilvl w:val="0"/>
                <w:numId w:val="23"/>
              </w:numPr>
              <w:contextualSpacing/>
              <w:rPr>
                <w:sz w:val="24"/>
                <w:szCs w:val="24"/>
              </w:rPr>
            </w:pPr>
            <w:r>
              <w:rPr>
                <w:sz w:val="24"/>
                <w:szCs w:val="24"/>
              </w:rPr>
              <w:t xml:space="preserve">indicative </w:t>
            </w:r>
            <w:r w:rsidRPr="00A4154C">
              <w:rPr>
                <w:sz w:val="24"/>
                <w:szCs w:val="24"/>
              </w:rPr>
              <w:t>quotes or prices of trades, activity, holdings or interest in private markets</w:t>
            </w:r>
          </w:p>
          <w:p w:rsidR="00164C0A" w:rsidRPr="00A4154C" w:rsidRDefault="00164C0A" w:rsidP="00676CED">
            <w:pPr>
              <w:pStyle w:val="ListParagraph"/>
              <w:numPr>
                <w:ilvl w:val="0"/>
                <w:numId w:val="23"/>
              </w:numPr>
              <w:contextualSpacing/>
              <w:rPr>
                <w:sz w:val="24"/>
                <w:szCs w:val="24"/>
              </w:rPr>
            </w:pPr>
            <w:r w:rsidRPr="00A4154C">
              <w:rPr>
                <w:sz w:val="24"/>
                <w:szCs w:val="24"/>
              </w:rPr>
              <w:t>indications of opinions, views or approximations of the state of the market from market participants in markets</w:t>
            </w:r>
          </w:p>
          <w:p w:rsidR="00164C0A" w:rsidRPr="00A4154C" w:rsidRDefault="00164C0A" w:rsidP="00676CED">
            <w:pPr>
              <w:pStyle w:val="ListParagraph"/>
              <w:numPr>
                <w:ilvl w:val="0"/>
                <w:numId w:val="23"/>
              </w:numPr>
              <w:contextualSpacing/>
              <w:rPr>
                <w:sz w:val="24"/>
                <w:szCs w:val="24"/>
              </w:rPr>
            </w:pPr>
            <w:r w:rsidRPr="00A4154C">
              <w:rPr>
                <w:sz w:val="24"/>
                <w:szCs w:val="24"/>
              </w:rPr>
              <w:t>Model-based or assumption-based indications of prices, quotes, market levels or similar indicators</w:t>
            </w:r>
          </w:p>
        </w:tc>
      </w:tr>
      <w:tr w:rsidR="00164C0A" w:rsidRPr="00A4154C" w:rsidTr="0042277A">
        <w:tc>
          <w:tcPr>
            <w:tcW w:w="3078" w:type="dxa"/>
          </w:tcPr>
          <w:p w:rsidR="00164C0A" w:rsidRPr="00A4154C" w:rsidRDefault="00164C0A" w:rsidP="0042277A">
            <w:pPr>
              <w:tabs>
                <w:tab w:val="center" w:pos="4153"/>
                <w:tab w:val="right" w:pos="8306"/>
              </w:tabs>
              <w:rPr>
                <w:sz w:val="24"/>
                <w:szCs w:val="24"/>
              </w:rPr>
            </w:pPr>
            <w:r w:rsidRPr="00A4154C">
              <w:rPr>
                <w:sz w:val="24"/>
                <w:szCs w:val="24"/>
              </w:rPr>
              <w:t>Source of information</w:t>
            </w:r>
          </w:p>
        </w:tc>
        <w:tc>
          <w:tcPr>
            <w:tcW w:w="6498" w:type="dxa"/>
          </w:tcPr>
          <w:p w:rsidR="00164C0A" w:rsidRPr="00A4154C" w:rsidRDefault="00164C0A" w:rsidP="0042277A">
            <w:pPr>
              <w:tabs>
                <w:tab w:val="center" w:pos="4153"/>
                <w:tab w:val="right" w:pos="8306"/>
              </w:tabs>
              <w:rPr>
                <w:sz w:val="24"/>
                <w:szCs w:val="24"/>
              </w:rPr>
            </w:pPr>
            <w:r w:rsidRPr="00A4154C">
              <w:rPr>
                <w:sz w:val="24"/>
                <w:szCs w:val="24"/>
              </w:rPr>
              <w:t>Information collected</w:t>
            </w:r>
            <w:r>
              <w:rPr>
                <w:sz w:val="24"/>
                <w:szCs w:val="24"/>
              </w:rPr>
              <w:t>:</w:t>
            </w:r>
          </w:p>
          <w:p w:rsidR="00164C0A" w:rsidRDefault="00164C0A" w:rsidP="00676CED">
            <w:pPr>
              <w:pStyle w:val="ListParagraph"/>
              <w:numPr>
                <w:ilvl w:val="0"/>
                <w:numId w:val="24"/>
              </w:numPr>
              <w:contextualSpacing/>
              <w:rPr>
                <w:sz w:val="24"/>
                <w:szCs w:val="24"/>
              </w:rPr>
            </w:pPr>
            <w:r>
              <w:rPr>
                <w:sz w:val="24"/>
                <w:szCs w:val="24"/>
              </w:rPr>
              <w:t>from m</w:t>
            </w:r>
            <w:r w:rsidRPr="00A4154C">
              <w:rPr>
                <w:sz w:val="24"/>
                <w:szCs w:val="24"/>
              </w:rPr>
              <w:t>arket participants, whether from their trading desks or other similar sources</w:t>
            </w:r>
          </w:p>
          <w:p w:rsidR="00164C0A" w:rsidRPr="00EF2697" w:rsidRDefault="00164C0A" w:rsidP="00676CED">
            <w:pPr>
              <w:pStyle w:val="ListParagraph"/>
              <w:numPr>
                <w:ilvl w:val="0"/>
                <w:numId w:val="24"/>
              </w:numPr>
              <w:contextualSpacing/>
              <w:rPr>
                <w:sz w:val="24"/>
                <w:szCs w:val="24"/>
              </w:rPr>
            </w:pPr>
            <w:r w:rsidRPr="00EF2697">
              <w:rPr>
                <w:sz w:val="24"/>
                <w:szCs w:val="24"/>
              </w:rPr>
              <w:t xml:space="preserve">by means of </w:t>
            </w:r>
            <w:r>
              <w:rPr>
                <w:sz w:val="24"/>
                <w:szCs w:val="24"/>
              </w:rPr>
              <w:t xml:space="preserve">estimates, </w:t>
            </w:r>
            <w:r w:rsidRPr="00EF2697">
              <w:rPr>
                <w:sz w:val="24"/>
                <w:szCs w:val="24"/>
              </w:rPr>
              <w:t>surveys</w:t>
            </w:r>
            <w:r>
              <w:rPr>
                <w:sz w:val="24"/>
                <w:szCs w:val="24"/>
              </w:rPr>
              <w:t>, panels</w:t>
            </w:r>
            <w:r w:rsidRPr="00EF2697">
              <w:rPr>
                <w:sz w:val="24"/>
                <w:szCs w:val="24"/>
              </w:rPr>
              <w:t xml:space="preserve"> or other</w:t>
            </w:r>
            <w:r>
              <w:rPr>
                <w:sz w:val="24"/>
                <w:szCs w:val="24"/>
              </w:rPr>
              <w:t xml:space="preserve"> non-observable and non-confirmable mean</w:t>
            </w:r>
            <w:r w:rsidRPr="00EF2697">
              <w:rPr>
                <w:sz w:val="24"/>
                <w:szCs w:val="24"/>
              </w:rPr>
              <w:t>s</w:t>
            </w:r>
          </w:p>
        </w:tc>
      </w:tr>
      <w:tr w:rsidR="00164C0A" w:rsidRPr="00A4154C" w:rsidTr="0042277A">
        <w:tc>
          <w:tcPr>
            <w:tcW w:w="3078" w:type="dxa"/>
          </w:tcPr>
          <w:p w:rsidR="00164C0A" w:rsidRPr="00A4154C" w:rsidRDefault="00164C0A" w:rsidP="0042277A">
            <w:pPr>
              <w:tabs>
                <w:tab w:val="center" w:pos="4153"/>
                <w:tab w:val="right" w:pos="8306"/>
              </w:tabs>
              <w:rPr>
                <w:sz w:val="24"/>
                <w:szCs w:val="24"/>
              </w:rPr>
            </w:pPr>
            <w:r w:rsidRPr="00A4154C">
              <w:rPr>
                <w:sz w:val="24"/>
                <w:szCs w:val="24"/>
              </w:rPr>
              <w:t>Construction process</w:t>
            </w:r>
          </w:p>
        </w:tc>
        <w:tc>
          <w:tcPr>
            <w:tcW w:w="6498" w:type="dxa"/>
          </w:tcPr>
          <w:p w:rsidR="00164C0A" w:rsidRPr="00A4154C" w:rsidRDefault="00164C0A" w:rsidP="0042277A">
            <w:pPr>
              <w:tabs>
                <w:tab w:val="center" w:pos="4153"/>
                <w:tab w:val="right" w:pos="8306"/>
              </w:tabs>
              <w:rPr>
                <w:sz w:val="24"/>
                <w:szCs w:val="24"/>
              </w:rPr>
            </w:pPr>
            <w:r w:rsidRPr="00A4154C">
              <w:rPr>
                <w:sz w:val="24"/>
                <w:szCs w:val="24"/>
              </w:rPr>
              <w:t>Survey</w:t>
            </w:r>
            <w:r>
              <w:rPr>
                <w:sz w:val="24"/>
                <w:szCs w:val="24"/>
              </w:rPr>
              <w:t>, panel or estimate</w:t>
            </w:r>
            <w:r w:rsidRPr="00A4154C">
              <w:rPr>
                <w:sz w:val="24"/>
                <w:szCs w:val="24"/>
              </w:rPr>
              <w:t xml:space="preserve"> based methodologies.  Methodologies involving unclear rules,</w:t>
            </w:r>
            <w:r>
              <w:rPr>
                <w:sz w:val="24"/>
                <w:szCs w:val="24"/>
              </w:rPr>
              <w:t xml:space="preserve"> discretionary </w:t>
            </w:r>
            <w:r w:rsidRPr="00A4154C">
              <w:rPr>
                <w:sz w:val="24"/>
                <w:szCs w:val="24"/>
              </w:rPr>
              <w:t xml:space="preserve">decision making structures, incomplete data or other uncertainties that make the </w:t>
            </w:r>
            <w:r>
              <w:rPr>
                <w:sz w:val="24"/>
                <w:szCs w:val="24"/>
              </w:rPr>
              <w:t xml:space="preserve">Benchmark susceptible to manipulation and conflicts of interest and, possibly, </w:t>
            </w:r>
            <w:r w:rsidRPr="00A4154C">
              <w:rPr>
                <w:sz w:val="24"/>
                <w:szCs w:val="24"/>
              </w:rPr>
              <w:t>unable to be replicated by third parties.</w:t>
            </w:r>
          </w:p>
        </w:tc>
      </w:tr>
    </w:tbl>
    <w:p w:rsidR="00164C0A" w:rsidRDefault="00164C0A" w:rsidP="00164C0A"/>
    <w:p w:rsidR="00164C0A" w:rsidRDefault="00164C0A" w:rsidP="00164C0A">
      <w:pPr>
        <w:ind w:firstLine="720"/>
        <w:rPr>
          <w:sz w:val="24"/>
          <w:szCs w:val="24"/>
        </w:rPr>
      </w:pPr>
      <w:r w:rsidRPr="00EF2697">
        <w:rPr>
          <w:sz w:val="24"/>
          <w:szCs w:val="24"/>
        </w:rPr>
        <w:t xml:space="preserve">Public Data Benchmarks carry few or none of the potential concerns expressed </w:t>
      </w:r>
      <w:r w:rsidR="00746AEA">
        <w:rPr>
          <w:sz w:val="24"/>
          <w:szCs w:val="24"/>
        </w:rPr>
        <w:t>by ESMA, the EBA or IOSCO</w:t>
      </w:r>
      <w:r>
        <w:rPr>
          <w:sz w:val="24"/>
          <w:szCs w:val="24"/>
        </w:rPr>
        <w:t>.  The primary source of concern</w:t>
      </w:r>
      <w:r w:rsidRPr="00EF2697">
        <w:rPr>
          <w:sz w:val="24"/>
          <w:szCs w:val="24"/>
        </w:rPr>
        <w:t xml:space="preserve"> here </w:t>
      </w:r>
      <w:r>
        <w:rPr>
          <w:sz w:val="24"/>
          <w:szCs w:val="24"/>
        </w:rPr>
        <w:t>are inadequate control frameworks</w:t>
      </w:r>
      <w:r w:rsidRPr="00EF2697">
        <w:rPr>
          <w:sz w:val="24"/>
          <w:szCs w:val="24"/>
        </w:rPr>
        <w:t xml:space="preserve"> or </w:t>
      </w:r>
      <w:r>
        <w:rPr>
          <w:sz w:val="24"/>
          <w:szCs w:val="24"/>
        </w:rPr>
        <w:t xml:space="preserve">insider trading, </w:t>
      </w:r>
      <w:r w:rsidRPr="00EF2697">
        <w:rPr>
          <w:sz w:val="24"/>
          <w:szCs w:val="24"/>
        </w:rPr>
        <w:t>or</w:t>
      </w:r>
      <w:r>
        <w:rPr>
          <w:sz w:val="24"/>
          <w:szCs w:val="24"/>
        </w:rPr>
        <w:t xml:space="preserve"> other</w:t>
      </w:r>
      <w:r w:rsidRPr="00EF2697">
        <w:rPr>
          <w:sz w:val="24"/>
          <w:szCs w:val="24"/>
        </w:rPr>
        <w:t xml:space="preserve"> inappropriate use of potentially price-sensitive information about index changes.</w:t>
      </w:r>
      <w:r>
        <w:rPr>
          <w:rStyle w:val="FootnoteReference"/>
          <w:sz w:val="24"/>
          <w:szCs w:val="24"/>
        </w:rPr>
        <w:footnoteReference w:id="4"/>
      </w:r>
      <w:r w:rsidRPr="00EF2697">
        <w:rPr>
          <w:sz w:val="24"/>
          <w:szCs w:val="24"/>
        </w:rPr>
        <w:t xml:space="preserve">  These concerns can best be addressed by the creation of an industry code, and by </w:t>
      </w:r>
      <w:r>
        <w:rPr>
          <w:sz w:val="24"/>
          <w:szCs w:val="24"/>
        </w:rPr>
        <w:t>Administrators</w:t>
      </w:r>
      <w:r w:rsidRPr="00EF2697">
        <w:rPr>
          <w:sz w:val="24"/>
          <w:szCs w:val="24"/>
        </w:rPr>
        <w:t xml:space="preserve"> having strong and robust </w:t>
      </w:r>
      <w:r>
        <w:rPr>
          <w:sz w:val="24"/>
          <w:szCs w:val="24"/>
        </w:rPr>
        <w:t>control frameworks</w:t>
      </w:r>
      <w:r w:rsidRPr="00EF2697">
        <w:rPr>
          <w:sz w:val="24"/>
          <w:szCs w:val="24"/>
        </w:rPr>
        <w:t xml:space="preserve">.  The </w:t>
      </w:r>
      <w:r>
        <w:rPr>
          <w:sz w:val="24"/>
          <w:szCs w:val="24"/>
        </w:rPr>
        <w:t xml:space="preserve">design, </w:t>
      </w:r>
      <w:r w:rsidRPr="00EF2697">
        <w:rPr>
          <w:sz w:val="24"/>
          <w:szCs w:val="24"/>
        </w:rPr>
        <w:t>construction</w:t>
      </w:r>
      <w:r>
        <w:rPr>
          <w:sz w:val="24"/>
          <w:szCs w:val="24"/>
        </w:rPr>
        <w:t>, dissemination and maintenance</w:t>
      </w:r>
      <w:r w:rsidRPr="00EF2697">
        <w:rPr>
          <w:sz w:val="24"/>
          <w:szCs w:val="24"/>
        </w:rPr>
        <w:t xml:space="preserve"> of Public Data Benchmarks </w:t>
      </w:r>
      <w:r>
        <w:rPr>
          <w:sz w:val="24"/>
          <w:szCs w:val="24"/>
        </w:rPr>
        <w:t xml:space="preserve">occurs in </w:t>
      </w:r>
      <w:r w:rsidRPr="00EF2697">
        <w:rPr>
          <w:sz w:val="24"/>
          <w:szCs w:val="24"/>
        </w:rPr>
        <w:t xml:space="preserve">a highly competitive marketplace </w:t>
      </w:r>
      <w:r>
        <w:rPr>
          <w:sz w:val="24"/>
          <w:szCs w:val="24"/>
        </w:rPr>
        <w:t>with</w:t>
      </w:r>
      <w:r w:rsidRPr="00EF2697">
        <w:rPr>
          <w:sz w:val="24"/>
          <w:szCs w:val="24"/>
        </w:rPr>
        <w:t xml:space="preserve"> few or no barriers to entry.  </w:t>
      </w:r>
      <w:r>
        <w:rPr>
          <w:sz w:val="24"/>
          <w:szCs w:val="24"/>
        </w:rPr>
        <w:t xml:space="preserve">Russell believes that the inherent checks and balances of a highly competitive marketplace combined with the transparency of input data, transparent/robust/publicly available methodologies and presence of suitable control frameworks strengthens markets and </w:t>
      </w:r>
      <w:r w:rsidRPr="00EF2697">
        <w:rPr>
          <w:sz w:val="24"/>
          <w:szCs w:val="24"/>
        </w:rPr>
        <w:t>provides a huge protection to investors.</w:t>
      </w:r>
    </w:p>
    <w:p w:rsidR="00164C0A" w:rsidRPr="00EF2697" w:rsidRDefault="00164C0A" w:rsidP="00164C0A">
      <w:pPr>
        <w:pStyle w:val="AONormal"/>
      </w:pPr>
    </w:p>
    <w:p w:rsidR="00164C0A" w:rsidRPr="00EF2697" w:rsidRDefault="00164C0A" w:rsidP="00164C0A">
      <w:pPr>
        <w:ind w:firstLine="720"/>
        <w:rPr>
          <w:sz w:val="24"/>
          <w:szCs w:val="24"/>
        </w:rPr>
      </w:pPr>
      <w:r>
        <w:rPr>
          <w:sz w:val="24"/>
          <w:szCs w:val="24"/>
        </w:rPr>
        <w:t xml:space="preserve">Conversely, </w:t>
      </w:r>
      <w:r w:rsidRPr="00A4154C">
        <w:rPr>
          <w:sz w:val="24"/>
          <w:szCs w:val="24"/>
        </w:rPr>
        <w:t>Survey-Based Benchmarks</w:t>
      </w:r>
      <w:r w:rsidRPr="00EF2697">
        <w:rPr>
          <w:sz w:val="24"/>
          <w:szCs w:val="24"/>
        </w:rPr>
        <w:t xml:space="preserve"> is the area of primary concern</w:t>
      </w:r>
      <w:r>
        <w:rPr>
          <w:sz w:val="24"/>
          <w:szCs w:val="24"/>
        </w:rPr>
        <w:t xml:space="preserve"> for markets, investors and </w:t>
      </w:r>
      <w:r w:rsidR="00CD0D01">
        <w:rPr>
          <w:sz w:val="24"/>
          <w:szCs w:val="24"/>
        </w:rPr>
        <w:t>regulatory authorities</w:t>
      </w:r>
      <w:r w:rsidRPr="00EF2697">
        <w:rPr>
          <w:sz w:val="24"/>
          <w:szCs w:val="24"/>
        </w:rPr>
        <w:t>.</w:t>
      </w:r>
      <w:r>
        <w:rPr>
          <w:sz w:val="24"/>
          <w:szCs w:val="24"/>
        </w:rPr>
        <w:t xml:space="preserve">  Regardless of the presence of control frameworks </w:t>
      </w:r>
      <w:r w:rsidRPr="00A4154C">
        <w:rPr>
          <w:sz w:val="24"/>
          <w:szCs w:val="24"/>
        </w:rPr>
        <w:t>Survey-</w:t>
      </w:r>
      <w:r w:rsidRPr="00A4154C">
        <w:rPr>
          <w:sz w:val="24"/>
          <w:szCs w:val="24"/>
        </w:rPr>
        <w:lastRenderedPageBreak/>
        <w:t>Based Benchmarks</w:t>
      </w:r>
      <w:r w:rsidRPr="00EF2697">
        <w:rPr>
          <w:sz w:val="24"/>
          <w:szCs w:val="24"/>
        </w:rPr>
        <w:t xml:space="preserve"> </w:t>
      </w:r>
      <w:r>
        <w:rPr>
          <w:sz w:val="24"/>
          <w:szCs w:val="24"/>
        </w:rPr>
        <w:t>are susceptible to manipulation and multi-faceted conflicts of interest.</w:t>
      </w:r>
      <w:r w:rsidRPr="00EF2697">
        <w:rPr>
          <w:sz w:val="24"/>
          <w:szCs w:val="24"/>
        </w:rPr>
        <w:t xml:space="preserve"> </w:t>
      </w:r>
      <w:r>
        <w:rPr>
          <w:sz w:val="24"/>
          <w:szCs w:val="24"/>
        </w:rPr>
        <w:t xml:space="preserve"> </w:t>
      </w:r>
      <w:r w:rsidRPr="00A4154C">
        <w:rPr>
          <w:sz w:val="24"/>
          <w:szCs w:val="24"/>
        </w:rPr>
        <w:t>Survey-Based Benchmarks</w:t>
      </w:r>
      <w:r>
        <w:rPr>
          <w:sz w:val="24"/>
          <w:szCs w:val="24"/>
        </w:rPr>
        <w:t xml:space="preserve"> like LIBOR, unlike the Russell Indexes, are based on data supplied by those who are trying to strategically signal markets with that data and who have a vested interest in the result embodied in the Survey-Based Benchmark.  In addition, </w:t>
      </w:r>
      <w:r w:rsidRPr="00A4154C">
        <w:rPr>
          <w:sz w:val="24"/>
          <w:szCs w:val="24"/>
        </w:rPr>
        <w:t>Survey-Based Benchmarks</w:t>
      </w:r>
      <w:r>
        <w:rPr>
          <w:sz w:val="24"/>
          <w:szCs w:val="24"/>
        </w:rPr>
        <w:t>’ data sources must find a way to mitigate the conflicts of interest regarding their own usage of the Survey-Based Benchmark as we’ve seen in some recent Survey-Based Benchmark scandals.</w:t>
      </w:r>
      <w:r w:rsidRPr="00754716">
        <w:rPr>
          <w:sz w:val="24"/>
          <w:szCs w:val="24"/>
        </w:rPr>
        <w:t xml:space="preserve"> </w:t>
      </w:r>
      <w:r>
        <w:rPr>
          <w:sz w:val="24"/>
          <w:szCs w:val="24"/>
        </w:rPr>
        <w:t xml:space="preserve">In addition </w:t>
      </w:r>
      <w:r w:rsidRPr="00A4154C">
        <w:rPr>
          <w:sz w:val="24"/>
          <w:szCs w:val="24"/>
        </w:rPr>
        <w:t>Survey-Based Benchmarks</w:t>
      </w:r>
      <w:r>
        <w:rPr>
          <w:sz w:val="24"/>
          <w:szCs w:val="24"/>
        </w:rPr>
        <w:t xml:space="preserve"> grapple with other significant problems including lack of transparency, opaque methodologies and, sometimes, less robust governance mechanisms.  </w:t>
      </w:r>
      <w:r w:rsidRPr="00EF2697">
        <w:rPr>
          <w:sz w:val="24"/>
          <w:szCs w:val="24"/>
        </w:rPr>
        <w:t xml:space="preserve">This is the only type of </w:t>
      </w:r>
      <w:r>
        <w:rPr>
          <w:sz w:val="24"/>
          <w:szCs w:val="24"/>
        </w:rPr>
        <w:t>B</w:t>
      </w:r>
      <w:r w:rsidRPr="00EF2697">
        <w:rPr>
          <w:sz w:val="24"/>
          <w:szCs w:val="24"/>
        </w:rPr>
        <w:t>enchmark where the term “</w:t>
      </w:r>
      <w:r w:rsidR="005F4F3C">
        <w:rPr>
          <w:sz w:val="24"/>
          <w:szCs w:val="24"/>
        </w:rPr>
        <w:t>Contributing firm</w:t>
      </w:r>
      <w:r w:rsidRPr="00EF2697">
        <w:rPr>
          <w:sz w:val="24"/>
          <w:szCs w:val="24"/>
        </w:rPr>
        <w:t>” is appropriate</w:t>
      </w:r>
      <w:r>
        <w:rPr>
          <w:sz w:val="24"/>
          <w:szCs w:val="24"/>
        </w:rPr>
        <w:t>.  T</w:t>
      </w:r>
      <w:r w:rsidRPr="00EF2697">
        <w:rPr>
          <w:sz w:val="24"/>
          <w:szCs w:val="24"/>
        </w:rPr>
        <w:t xml:space="preserve">he concerns about the role that </w:t>
      </w:r>
      <w:r w:rsidR="005F4F3C">
        <w:rPr>
          <w:sz w:val="24"/>
          <w:szCs w:val="24"/>
        </w:rPr>
        <w:t>Contributing firm</w:t>
      </w:r>
      <w:r w:rsidRPr="00EF2697">
        <w:rPr>
          <w:sz w:val="24"/>
          <w:szCs w:val="24"/>
        </w:rPr>
        <w:t xml:space="preserve">s play and the way that information is collected, handled, managed and used are </w:t>
      </w:r>
      <w:r>
        <w:rPr>
          <w:sz w:val="24"/>
          <w:szCs w:val="24"/>
        </w:rPr>
        <w:t xml:space="preserve">highly </w:t>
      </w:r>
      <w:r w:rsidRPr="00EF2697">
        <w:rPr>
          <w:sz w:val="24"/>
          <w:szCs w:val="24"/>
        </w:rPr>
        <w:t xml:space="preserve">concerning.  Many of the concerns raised in </w:t>
      </w:r>
      <w:r w:rsidR="005F4F3C">
        <w:rPr>
          <w:sz w:val="24"/>
          <w:szCs w:val="24"/>
        </w:rPr>
        <w:t xml:space="preserve">previous European consultation papers on indices or Benchmarks, the recent IOSCO Consultation Paper and </w:t>
      </w:r>
      <w:r w:rsidRPr="00EF2697">
        <w:rPr>
          <w:sz w:val="24"/>
          <w:szCs w:val="24"/>
        </w:rPr>
        <w:t xml:space="preserve">the </w:t>
      </w:r>
      <w:r>
        <w:rPr>
          <w:sz w:val="24"/>
          <w:szCs w:val="24"/>
        </w:rPr>
        <w:t>Report</w:t>
      </w:r>
      <w:r w:rsidRPr="00EF2697">
        <w:rPr>
          <w:sz w:val="24"/>
          <w:szCs w:val="24"/>
        </w:rPr>
        <w:t xml:space="preserve"> are valid, and most of the proposals suggested (as long as they are confined to </w:t>
      </w:r>
      <w:r w:rsidRPr="00A4154C">
        <w:rPr>
          <w:sz w:val="24"/>
          <w:szCs w:val="24"/>
        </w:rPr>
        <w:t>Survey-Based Benchmarks</w:t>
      </w:r>
      <w:r w:rsidR="005F4F3C">
        <w:rPr>
          <w:sz w:val="24"/>
          <w:szCs w:val="24"/>
        </w:rPr>
        <w:t xml:space="preserve"> and Contributing firms as suggested above</w:t>
      </w:r>
      <w:r w:rsidRPr="00EF2697">
        <w:rPr>
          <w:sz w:val="24"/>
          <w:szCs w:val="24"/>
        </w:rPr>
        <w:t xml:space="preserve">) are appropriate and might well deal with those concerns.  </w:t>
      </w:r>
    </w:p>
    <w:p w:rsidR="00164C0A" w:rsidRDefault="00164C0A" w:rsidP="0092511C">
      <w:pPr>
        <w:pStyle w:val="AONormal"/>
        <w:spacing w:beforeLines="120" w:afterLines="120" w:line="240" w:lineRule="auto"/>
        <w:ind w:firstLine="720"/>
        <w:contextualSpacing/>
        <w:rPr>
          <w:sz w:val="24"/>
          <w:szCs w:val="24"/>
        </w:rPr>
      </w:pPr>
      <w:r>
        <w:rPr>
          <w:sz w:val="24"/>
          <w:szCs w:val="24"/>
        </w:rPr>
        <w:t xml:space="preserve">Due to the fundamental differences between </w:t>
      </w:r>
      <w:r w:rsidRPr="00B1423D">
        <w:rPr>
          <w:sz w:val="24"/>
          <w:szCs w:val="24"/>
        </w:rPr>
        <w:t>Public Data Benchmarks</w:t>
      </w:r>
      <w:r>
        <w:rPr>
          <w:sz w:val="24"/>
          <w:szCs w:val="24"/>
        </w:rPr>
        <w:t xml:space="preserve"> and </w:t>
      </w:r>
      <w:r w:rsidRPr="00A4154C">
        <w:rPr>
          <w:sz w:val="24"/>
          <w:szCs w:val="24"/>
        </w:rPr>
        <w:t>Survey-Based Benchmarks</w:t>
      </w:r>
      <w:r w:rsidRPr="00EF2697">
        <w:rPr>
          <w:sz w:val="24"/>
          <w:szCs w:val="24"/>
        </w:rPr>
        <w:t xml:space="preserve"> </w:t>
      </w:r>
      <w:r>
        <w:rPr>
          <w:sz w:val="24"/>
          <w:szCs w:val="24"/>
        </w:rPr>
        <w:t>Russell suggests that:</w:t>
      </w:r>
    </w:p>
    <w:p w:rsidR="00164C0A" w:rsidRPr="00142B80" w:rsidRDefault="00164C0A" w:rsidP="0092511C">
      <w:pPr>
        <w:pStyle w:val="AONormal"/>
        <w:spacing w:beforeLines="120" w:afterLines="120" w:line="240" w:lineRule="auto"/>
        <w:ind w:left="1440"/>
        <w:contextualSpacing/>
        <w:rPr>
          <w:sz w:val="24"/>
          <w:szCs w:val="24"/>
        </w:rPr>
      </w:pPr>
    </w:p>
    <w:p w:rsidR="00164C0A" w:rsidRPr="00142B80" w:rsidRDefault="00164C0A" w:rsidP="0092511C">
      <w:pPr>
        <w:pStyle w:val="AONormal"/>
        <w:numPr>
          <w:ilvl w:val="0"/>
          <w:numId w:val="10"/>
        </w:numPr>
        <w:spacing w:beforeLines="120" w:afterLines="120" w:line="240" w:lineRule="auto"/>
        <w:contextualSpacing/>
        <w:rPr>
          <w:sz w:val="24"/>
          <w:szCs w:val="24"/>
        </w:rPr>
      </w:pPr>
      <w:r w:rsidRPr="00142B80">
        <w:rPr>
          <w:sz w:val="24"/>
          <w:szCs w:val="24"/>
        </w:rPr>
        <w:t>Survey-Based Benchmarks should be governed by a substantive regulatory framework similar to the</w:t>
      </w:r>
      <w:r>
        <w:rPr>
          <w:sz w:val="24"/>
          <w:szCs w:val="24"/>
        </w:rPr>
        <w:t xml:space="preserve"> framework set forth by the UK Financial Services Authority (the “FSA”).</w:t>
      </w:r>
      <w:r>
        <w:rPr>
          <w:rStyle w:val="FootnoteReference"/>
          <w:sz w:val="24"/>
          <w:szCs w:val="24"/>
        </w:rPr>
        <w:footnoteReference w:id="5"/>
      </w:r>
      <w:r>
        <w:rPr>
          <w:sz w:val="24"/>
          <w:szCs w:val="24"/>
        </w:rPr>
        <w:t xml:space="preserve">  </w:t>
      </w:r>
    </w:p>
    <w:p w:rsidR="00164C0A" w:rsidRDefault="00164C0A" w:rsidP="0092511C">
      <w:pPr>
        <w:pStyle w:val="AONormal"/>
        <w:spacing w:beforeLines="120" w:afterLines="120" w:line="240" w:lineRule="auto"/>
        <w:ind w:left="1530"/>
        <w:contextualSpacing/>
        <w:rPr>
          <w:sz w:val="24"/>
          <w:szCs w:val="24"/>
        </w:rPr>
      </w:pPr>
    </w:p>
    <w:p w:rsidR="00164C0A" w:rsidRDefault="00164C0A" w:rsidP="0092511C">
      <w:pPr>
        <w:pStyle w:val="AONormal"/>
        <w:numPr>
          <w:ilvl w:val="0"/>
          <w:numId w:val="10"/>
        </w:numPr>
        <w:spacing w:beforeLines="120" w:afterLines="120" w:line="240" w:lineRule="auto"/>
        <w:contextualSpacing/>
        <w:rPr>
          <w:sz w:val="24"/>
          <w:szCs w:val="24"/>
        </w:rPr>
      </w:pPr>
      <w:r w:rsidRPr="00B1423D">
        <w:rPr>
          <w:sz w:val="24"/>
          <w:szCs w:val="24"/>
        </w:rPr>
        <w:t>Public Data Benchmarks</w:t>
      </w:r>
      <w:r>
        <w:rPr>
          <w:sz w:val="24"/>
          <w:szCs w:val="24"/>
        </w:rPr>
        <w:t xml:space="preserve"> should not be subject to regulation by </w:t>
      </w:r>
      <w:r w:rsidR="00CD0D01">
        <w:rPr>
          <w:sz w:val="24"/>
          <w:szCs w:val="24"/>
        </w:rPr>
        <w:t>regulatory authorities</w:t>
      </w:r>
      <w:r>
        <w:rPr>
          <w:sz w:val="24"/>
          <w:szCs w:val="24"/>
        </w:rPr>
        <w:t>,</w:t>
      </w:r>
      <w:r>
        <w:rPr>
          <w:rStyle w:val="FootnoteReference"/>
          <w:sz w:val="24"/>
          <w:szCs w:val="24"/>
        </w:rPr>
        <w:footnoteReference w:id="6"/>
      </w:r>
      <w:r>
        <w:rPr>
          <w:sz w:val="24"/>
          <w:szCs w:val="24"/>
        </w:rPr>
        <w:t xml:space="preserve"> but should as an industry develop common standards and best practices to guide their operations due to the fact that </w:t>
      </w:r>
      <w:r w:rsidRPr="00B1423D">
        <w:rPr>
          <w:sz w:val="24"/>
          <w:szCs w:val="24"/>
        </w:rPr>
        <w:t>Public Data Benchmarks</w:t>
      </w:r>
      <w:r w:rsidRPr="00D37C53">
        <w:rPr>
          <w:sz w:val="24"/>
          <w:szCs w:val="24"/>
        </w:rPr>
        <w:t xml:space="preserve"> </w:t>
      </w:r>
      <w:r>
        <w:rPr>
          <w:sz w:val="24"/>
          <w:szCs w:val="24"/>
        </w:rPr>
        <w:t>exhibit the characteristics of a credible benchmark as stated in the Report and because they are simply not subject to manipulation short of actual fraud which is already illegal under applicable laws.</w:t>
      </w:r>
      <w:r>
        <w:rPr>
          <w:rStyle w:val="FootnoteReference"/>
          <w:sz w:val="24"/>
          <w:szCs w:val="24"/>
        </w:rPr>
        <w:footnoteReference w:id="7"/>
      </w:r>
    </w:p>
    <w:p w:rsidR="00164C0A" w:rsidRDefault="00164C0A" w:rsidP="0092511C">
      <w:pPr>
        <w:pStyle w:val="AONormal"/>
        <w:spacing w:beforeLines="120" w:afterLines="120" w:line="240" w:lineRule="auto"/>
        <w:contextualSpacing/>
        <w:rPr>
          <w:sz w:val="24"/>
          <w:szCs w:val="24"/>
        </w:rPr>
      </w:pPr>
    </w:p>
    <w:p w:rsidR="005F4F3C" w:rsidRPr="005F4F3C" w:rsidRDefault="005F4F3C" w:rsidP="0092511C">
      <w:pPr>
        <w:pStyle w:val="AONormal"/>
        <w:spacing w:beforeLines="120" w:afterLines="120" w:line="240" w:lineRule="auto"/>
        <w:contextualSpacing/>
        <w:rPr>
          <w:sz w:val="24"/>
          <w:szCs w:val="24"/>
          <w:u w:val="single"/>
        </w:rPr>
      </w:pPr>
      <w:r>
        <w:rPr>
          <w:sz w:val="24"/>
          <w:szCs w:val="24"/>
          <w:u w:val="single"/>
        </w:rPr>
        <w:t>Definition of Benchmark administrator</w:t>
      </w:r>
    </w:p>
    <w:p w:rsidR="005F4F3C" w:rsidRDefault="005F4F3C" w:rsidP="0092511C">
      <w:pPr>
        <w:pStyle w:val="AONormal"/>
        <w:spacing w:beforeLines="120" w:afterLines="120" w:line="240" w:lineRule="auto"/>
        <w:contextualSpacing/>
        <w:rPr>
          <w:sz w:val="24"/>
          <w:szCs w:val="24"/>
        </w:rPr>
      </w:pPr>
    </w:p>
    <w:p w:rsidR="005F4F3C" w:rsidRDefault="005F4F3C" w:rsidP="0092511C">
      <w:pPr>
        <w:pStyle w:val="AONormal"/>
        <w:spacing w:beforeLines="120" w:afterLines="120" w:line="240" w:lineRule="auto"/>
        <w:contextualSpacing/>
        <w:rPr>
          <w:sz w:val="24"/>
          <w:szCs w:val="24"/>
        </w:rPr>
      </w:pPr>
      <w:r>
        <w:rPr>
          <w:sz w:val="24"/>
          <w:szCs w:val="24"/>
        </w:rPr>
        <w:tab/>
        <w:t xml:space="preserve">Russell notes that while the definition “Benchmark administrator” </w:t>
      </w:r>
      <w:r w:rsidR="00EA42AA">
        <w:rPr>
          <w:sz w:val="24"/>
          <w:szCs w:val="24"/>
        </w:rPr>
        <w:t>c</w:t>
      </w:r>
      <w:r>
        <w:rPr>
          <w:sz w:val="24"/>
          <w:szCs w:val="24"/>
        </w:rPr>
        <w:t xml:space="preserve">ould be clearer </w:t>
      </w:r>
      <w:r w:rsidR="00EA42AA">
        <w:rPr>
          <w:sz w:val="24"/>
          <w:szCs w:val="24"/>
        </w:rPr>
        <w:t xml:space="preserve">by </w:t>
      </w:r>
      <w:r>
        <w:rPr>
          <w:sz w:val="24"/>
          <w:szCs w:val="24"/>
        </w:rPr>
        <w:t>refer</w:t>
      </w:r>
      <w:r w:rsidR="00EA42AA">
        <w:rPr>
          <w:sz w:val="24"/>
          <w:szCs w:val="24"/>
        </w:rPr>
        <w:t>ring</w:t>
      </w:r>
      <w:r>
        <w:rPr>
          <w:sz w:val="24"/>
          <w:szCs w:val="24"/>
        </w:rPr>
        <w:t xml:space="preserve"> to “Benchmark administration” rather than “Benchmark process” on line two of that definition.</w:t>
      </w:r>
    </w:p>
    <w:p w:rsidR="00BA712C" w:rsidRPr="00BA712C" w:rsidRDefault="00BA712C" w:rsidP="00BA712C">
      <w:pPr>
        <w:keepNext/>
        <w:autoSpaceDE w:val="0"/>
        <w:autoSpaceDN w:val="0"/>
        <w:adjustRightInd w:val="0"/>
        <w:rPr>
          <w:b/>
          <w:sz w:val="24"/>
          <w:szCs w:val="24"/>
        </w:rPr>
      </w:pPr>
      <w:r w:rsidRPr="00BA712C">
        <w:rPr>
          <w:b/>
          <w:sz w:val="24"/>
          <w:szCs w:val="24"/>
        </w:rPr>
        <w:lastRenderedPageBreak/>
        <w:t xml:space="preserve">Question 2: Principles for benchmarks </w:t>
      </w:r>
    </w:p>
    <w:p w:rsidR="00BA712C" w:rsidRPr="00BA712C" w:rsidRDefault="00BA712C" w:rsidP="00BA712C">
      <w:pPr>
        <w:keepNext/>
        <w:autoSpaceDE w:val="0"/>
        <w:autoSpaceDN w:val="0"/>
        <w:adjustRightInd w:val="0"/>
        <w:rPr>
          <w:b/>
          <w:sz w:val="24"/>
          <w:szCs w:val="24"/>
        </w:rPr>
      </w:pPr>
      <w:r w:rsidRPr="00BA712C">
        <w:rPr>
          <w:sz w:val="24"/>
          <w:szCs w:val="24"/>
        </w:rPr>
        <w:t>Would you consider a set of principles a useful framework for guiding benchmark setting activities until a possible formal regulatory and supervisory framework has been established in the EU?</w:t>
      </w:r>
    </w:p>
    <w:p w:rsidR="000D6F31" w:rsidRDefault="000D6F31" w:rsidP="0092511C">
      <w:pPr>
        <w:pStyle w:val="AONormal"/>
        <w:spacing w:beforeLines="120" w:afterLines="120" w:line="240" w:lineRule="auto"/>
        <w:ind w:left="720"/>
        <w:contextualSpacing/>
        <w:rPr>
          <w:sz w:val="24"/>
          <w:szCs w:val="24"/>
        </w:rPr>
      </w:pPr>
      <w:r>
        <w:rPr>
          <w:sz w:val="24"/>
          <w:szCs w:val="24"/>
        </w:rPr>
        <w:t xml:space="preserve">Russell is extremely concerned that the promulgation of principals for Benchmark setting activities now, while IOSCO and functional regulators such as the UK FSA are considering their own principles/best practices and substantive regulations, will be counterproductive and overly burdensome to Benchmark administrators who will expend considerable time, money, effort and resources to implement an interim set of principles </w:t>
      </w:r>
      <w:r w:rsidR="00EA42AA">
        <w:rPr>
          <w:sz w:val="24"/>
          <w:szCs w:val="24"/>
        </w:rPr>
        <w:t>and, shortly thereafter,</w:t>
      </w:r>
      <w:r>
        <w:rPr>
          <w:sz w:val="24"/>
          <w:szCs w:val="24"/>
        </w:rPr>
        <w:t xml:space="preserve"> have to spend more time, money, effort and resources to comply with final principles and regulations flowing from the various other consultations now underway.</w:t>
      </w:r>
    </w:p>
    <w:p w:rsidR="000D6F31" w:rsidRDefault="000D6F31" w:rsidP="0092511C">
      <w:pPr>
        <w:pStyle w:val="AONormal"/>
        <w:spacing w:beforeLines="120" w:afterLines="120" w:line="240" w:lineRule="auto"/>
        <w:ind w:left="1440"/>
        <w:contextualSpacing/>
        <w:rPr>
          <w:sz w:val="24"/>
          <w:szCs w:val="24"/>
        </w:rPr>
      </w:pPr>
    </w:p>
    <w:p w:rsidR="000D6F31" w:rsidRDefault="00EC46CB" w:rsidP="00715EAD">
      <w:pPr>
        <w:pStyle w:val="AONormal"/>
        <w:spacing w:beforeLines="120" w:afterLines="120" w:line="240" w:lineRule="auto"/>
        <w:ind w:left="720"/>
        <w:contextualSpacing/>
        <w:rPr>
          <w:sz w:val="24"/>
          <w:szCs w:val="24"/>
        </w:rPr>
      </w:pPr>
      <w:r>
        <w:rPr>
          <w:sz w:val="24"/>
          <w:szCs w:val="24"/>
        </w:rPr>
        <w:t xml:space="preserve">Russell generally favours well crafted principles for Benchmark administration and thinks that such principles will appropriately regulate the administration of </w:t>
      </w:r>
      <w:r w:rsidRPr="00B1423D">
        <w:rPr>
          <w:sz w:val="24"/>
          <w:szCs w:val="24"/>
        </w:rPr>
        <w:t>Public Data Benchmarks</w:t>
      </w:r>
      <w:r>
        <w:rPr>
          <w:sz w:val="24"/>
          <w:szCs w:val="24"/>
        </w:rPr>
        <w:t xml:space="preserve"> without any additional substantive regulation.  </w:t>
      </w:r>
      <w:r w:rsidR="000D6F31">
        <w:rPr>
          <w:sz w:val="24"/>
          <w:szCs w:val="24"/>
        </w:rPr>
        <w:t>Russell thinks that Contributing firms and Administrators should maintain corporate policies that mitigate conflicts of interest that may arise in the context of personal securities trading, attempted improper influence of its associates or exorbitant gifts/hospitality given to or made by its associates.  Russell maintains and enforces a strict global code of ethics designed to mitigate or eliminate these and other conflicts of interest and suggests that corporate codes of ethics be adopted as a best practice.</w:t>
      </w:r>
    </w:p>
    <w:p w:rsidR="000D6F31" w:rsidRDefault="000D6F31" w:rsidP="00715EAD">
      <w:pPr>
        <w:pStyle w:val="AONormal"/>
        <w:spacing w:beforeLines="120" w:afterLines="120" w:line="240" w:lineRule="auto"/>
        <w:ind w:left="1440"/>
        <w:contextualSpacing/>
        <w:rPr>
          <w:sz w:val="24"/>
          <w:szCs w:val="24"/>
        </w:rPr>
      </w:pPr>
    </w:p>
    <w:p w:rsidR="000D6F31" w:rsidRDefault="000D6F31" w:rsidP="000D6F31">
      <w:pPr>
        <w:pStyle w:val="AONormal"/>
        <w:spacing w:before="120" w:after="120" w:line="240" w:lineRule="auto"/>
        <w:ind w:left="720"/>
        <w:contextualSpacing/>
        <w:rPr>
          <w:sz w:val="24"/>
          <w:szCs w:val="24"/>
        </w:rPr>
      </w:pPr>
      <w:r>
        <w:rPr>
          <w:sz w:val="24"/>
          <w:szCs w:val="24"/>
        </w:rPr>
        <w:t xml:space="preserve">Please see Russell’s response to the Report at pages 2-5, above for a fuller discussion of the </w:t>
      </w:r>
      <w:r w:rsidR="00EA42AA">
        <w:rPr>
          <w:sz w:val="24"/>
          <w:szCs w:val="24"/>
        </w:rPr>
        <w:t>advantages</w:t>
      </w:r>
      <w:r>
        <w:rPr>
          <w:sz w:val="24"/>
          <w:szCs w:val="24"/>
        </w:rPr>
        <w:t xml:space="preserve"> of Public Data Benchmarks over Survey-Based Benchmarks which is a necessary predicate to this response.  Benchmark inputs span a continuum from actual transaction data to surveyed expert judgments or estimated data.  Actual transaction data is typically sourced from suppliers whose operations as they relate to the collection and transmission of data is itself regulated activity by regulatory authorities and self-regulatory organizations (“SRO”, e.g., securities exchanges, securities brokers, market makers and other entities conducting and reporting actual securities transactions).  It is entirely likely that relevant codes of conduct and control frameworks are already required by law or industry best practice and in effect at these organisations.  </w:t>
      </w:r>
    </w:p>
    <w:p w:rsidR="000D6F31" w:rsidRDefault="000D6F31" w:rsidP="00715EAD">
      <w:pPr>
        <w:pStyle w:val="AONormal"/>
        <w:spacing w:beforeLines="120" w:afterLines="120"/>
        <w:ind w:left="1440"/>
        <w:contextualSpacing/>
        <w:rPr>
          <w:sz w:val="24"/>
          <w:szCs w:val="24"/>
        </w:rPr>
      </w:pPr>
    </w:p>
    <w:p w:rsidR="000D6F31" w:rsidRDefault="000D6F31" w:rsidP="00715EAD">
      <w:pPr>
        <w:pStyle w:val="AONormal"/>
        <w:spacing w:beforeLines="120" w:afterLines="120" w:line="240" w:lineRule="auto"/>
        <w:ind w:left="720"/>
        <w:contextualSpacing/>
        <w:rPr>
          <w:sz w:val="24"/>
          <w:szCs w:val="24"/>
        </w:rPr>
      </w:pPr>
      <w:r>
        <w:rPr>
          <w:sz w:val="24"/>
          <w:szCs w:val="24"/>
        </w:rPr>
        <w:t xml:space="preserve">The nature of the inputs to Public Data Benchmarks versus Survey-Based Benchmarks dictates a need for a high degree of substantive regulation of the inputs to Survey-Based Benchmarks.  Contributing firms at the points on the continuum for Survey-Based Benchmarks who are not regulated by regulatory authorities or </w:t>
      </w:r>
      <w:r w:rsidR="003D4378">
        <w:rPr>
          <w:sz w:val="24"/>
          <w:szCs w:val="24"/>
        </w:rPr>
        <w:t xml:space="preserve">any </w:t>
      </w:r>
      <w:r>
        <w:rPr>
          <w:sz w:val="24"/>
          <w:szCs w:val="24"/>
        </w:rPr>
        <w:t>SRO should implement substantive codes of conduct related to their submission activities.  In addition to codes of conduct, below, it might be prudent for regulatory authorities to adopt regulations similar to those proposed in Sections 3.4 – 3.6, 3.8-3.10 and Annex D, Section 8.2.1 – 8.2.10 of the FSA Paper.</w:t>
      </w:r>
      <w:r>
        <w:rPr>
          <w:rStyle w:val="FootnoteReference"/>
          <w:sz w:val="24"/>
          <w:szCs w:val="24"/>
        </w:rPr>
        <w:footnoteReference w:id="8"/>
      </w:r>
      <w:r>
        <w:rPr>
          <w:sz w:val="24"/>
          <w:szCs w:val="24"/>
        </w:rPr>
        <w:t xml:space="preserve">  Russell urges regulatory authorities and </w:t>
      </w:r>
      <w:r>
        <w:rPr>
          <w:sz w:val="24"/>
          <w:szCs w:val="24"/>
        </w:rPr>
        <w:lastRenderedPageBreak/>
        <w:t>Contributing firms to work collaboratively and create an effective regulatory solution that does not unduly burden Contributing firms.</w:t>
      </w:r>
    </w:p>
    <w:p w:rsidR="00D33797" w:rsidRPr="00D33797" w:rsidRDefault="00D33797" w:rsidP="00D33797">
      <w:pPr>
        <w:pStyle w:val="Default"/>
        <w:rPr>
          <w:b/>
          <w:bCs/>
        </w:rPr>
      </w:pPr>
      <w:r w:rsidRPr="00D33797">
        <w:rPr>
          <w:b/>
          <w:bCs/>
        </w:rPr>
        <w:t xml:space="preserve">Question 3: General principles for benchmarks </w:t>
      </w:r>
    </w:p>
    <w:p w:rsidR="00164C0A" w:rsidRDefault="00D33797" w:rsidP="00D33797">
      <w:pPr>
        <w:pStyle w:val="Default"/>
      </w:pPr>
      <w:r w:rsidRPr="00D33797">
        <w:t xml:space="preserve">Do you agree with the principles cited in this section? Would you add or change any of the principles? </w:t>
      </w:r>
      <w:r w:rsidR="00EC46CB" w:rsidRPr="00D33797">
        <w:t xml:space="preserve">  </w:t>
      </w:r>
    </w:p>
    <w:p w:rsidR="008D79A6" w:rsidRDefault="008D79A6" w:rsidP="00D33797">
      <w:pPr>
        <w:pStyle w:val="Default"/>
      </w:pPr>
    </w:p>
    <w:p w:rsidR="008D79A6" w:rsidRDefault="008D79A6" w:rsidP="006D0D4E">
      <w:pPr>
        <w:pStyle w:val="Default"/>
        <w:ind w:left="720"/>
      </w:pPr>
      <w:r>
        <w:t xml:space="preserve">Please see Russell’s response to Question 2, above.  In addition, please see Russell’s response to the Report at pages 2-5, above for a fuller discussion of the </w:t>
      </w:r>
      <w:r w:rsidR="00EA42AA">
        <w:t>advantages</w:t>
      </w:r>
      <w:r>
        <w:t xml:space="preserve"> of Public </w:t>
      </w:r>
      <w:r w:rsidR="00C873E5">
        <w:tab/>
      </w:r>
      <w:r>
        <w:t>Data Benchmarks over Survey-Based Benchmarks and why this Question 3 should apply to Survey-Based Benchmarks</w:t>
      </w:r>
      <w:r w:rsidR="00C873E5">
        <w:t xml:space="preserve"> rather than Public Data Benchmarks</w:t>
      </w:r>
      <w:r>
        <w:t>.</w:t>
      </w:r>
    </w:p>
    <w:p w:rsidR="006E4C04" w:rsidRDefault="006E4C04" w:rsidP="006D0D4E">
      <w:pPr>
        <w:pStyle w:val="AONormal"/>
        <w:spacing w:before="120" w:after="120" w:line="240" w:lineRule="auto"/>
        <w:ind w:left="720"/>
        <w:contextualSpacing/>
        <w:rPr>
          <w:sz w:val="24"/>
          <w:szCs w:val="24"/>
        </w:rPr>
      </w:pPr>
      <w:r>
        <w:rPr>
          <w:sz w:val="24"/>
          <w:szCs w:val="24"/>
        </w:rPr>
        <w:t>No Benchmark administrator or Contributing firm can be a guarantor of the inputs to Benchmarks.  That said, Benchmark administrators should consider the nature of Contributing firms and the facts and circumstances surrounding the submission process and perform reasonable diligence on the sources of that data to reasonably m</w:t>
      </w:r>
      <w:r w:rsidRPr="00F15C6A">
        <w:rPr>
          <w:sz w:val="24"/>
          <w:szCs w:val="24"/>
        </w:rPr>
        <w:t>aintai</w:t>
      </w:r>
      <w:r>
        <w:rPr>
          <w:sz w:val="24"/>
          <w:szCs w:val="24"/>
        </w:rPr>
        <w:t xml:space="preserve">n the integrity of inputs to Benchmarks.  </w:t>
      </w:r>
    </w:p>
    <w:p w:rsidR="006E4C04" w:rsidRDefault="006E4C04" w:rsidP="006E4C04">
      <w:pPr>
        <w:pStyle w:val="AONormal"/>
        <w:spacing w:before="120" w:after="120" w:line="240" w:lineRule="auto"/>
        <w:ind w:left="720"/>
        <w:contextualSpacing/>
        <w:rPr>
          <w:sz w:val="24"/>
          <w:szCs w:val="24"/>
        </w:rPr>
      </w:pPr>
    </w:p>
    <w:p w:rsidR="006E4C04" w:rsidRDefault="006E4C04" w:rsidP="006D0D4E">
      <w:pPr>
        <w:pStyle w:val="AONormal"/>
        <w:spacing w:before="120" w:after="120" w:line="240" w:lineRule="auto"/>
        <w:ind w:left="720"/>
        <w:contextualSpacing/>
        <w:rPr>
          <w:sz w:val="24"/>
          <w:szCs w:val="24"/>
        </w:rPr>
      </w:pPr>
      <w:r>
        <w:rPr>
          <w:sz w:val="24"/>
          <w:szCs w:val="24"/>
        </w:rPr>
        <w:t xml:space="preserve">In the case of Public Data Benchmarks input data tends to be observable transaction data sourced from suppliers whose operations as they relate to the collection and transmission of data is itself a regulated activity.  Benchmark administrators should be entitled to rely on the regulated nature of those activities to as the primary indicia of data integrity.  </w:t>
      </w:r>
    </w:p>
    <w:p w:rsidR="006E4C04" w:rsidRDefault="006E4C04" w:rsidP="006E4C04">
      <w:pPr>
        <w:pStyle w:val="AONormal"/>
        <w:spacing w:before="120" w:after="120" w:line="240" w:lineRule="auto"/>
        <w:ind w:left="1440"/>
        <w:contextualSpacing/>
        <w:rPr>
          <w:sz w:val="24"/>
          <w:szCs w:val="24"/>
        </w:rPr>
      </w:pPr>
    </w:p>
    <w:p w:rsidR="006E4C04" w:rsidRDefault="006E4C04" w:rsidP="006D0D4E">
      <w:pPr>
        <w:pStyle w:val="AONormal"/>
        <w:spacing w:before="120" w:after="120" w:line="240" w:lineRule="auto"/>
        <w:ind w:left="720"/>
        <w:contextualSpacing/>
        <w:rPr>
          <w:sz w:val="24"/>
          <w:szCs w:val="24"/>
        </w:rPr>
      </w:pPr>
      <w:r>
        <w:rPr>
          <w:sz w:val="24"/>
          <w:szCs w:val="24"/>
        </w:rPr>
        <w:t xml:space="preserve">In cases where the Benchmark administrator to a Public Data Benchmark receives data from sources whose collection and transmission of data is not a regulated activity, that Benchmark administrator should perform reasonable diligence on such sources and employ reasonable quality assurance procedures to maintain an adequate level of integrity of inputs to Public Data Benchmarks. </w:t>
      </w:r>
    </w:p>
    <w:p w:rsidR="008D79A6" w:rsidRDefault="008D79A6" w:rsidP="00D33797">
      <w:pPr>
        <w:pStyle w:val="Default"/>
      </w:pPr>
    </w:p>
    <w:p w:rsidR="00AB03C9" w:rsidRDefault="00AB03C9" w:rsidP="00D33797">
      <w:pPr>
        <w:pStyle w:val="Default"/>
      </w:pPr>
      <w:r>
        <w:tab/>
      </w:r>
      <w:r>
        <w:rPr>
          <w:u w:val="single"/>
        </w:rPr>
        <w:t>Methodologies; transparency</w:t>
      </w:r>
    </w:p>
    <w:p w:rsidR="00AB03C9" w:rsidRDefault="00AB03C9" w:rsidP="00D33797">
      <w:pPr>
        <w:pStyle w:val="Default"/>
      </w:pPr>
    </w:p>
    <w:p w:rsidR="00AB03C9" w:rsidRDefault="00AB03C9" w:rsidP="006D0D4E">
      <w:pPr>
        <w:pStyle w:val="AONormal"/>
        <w:spacing w:before="120" w:after="120" w:line="240" w:lineRule="auto"/>
        <w:ind w:left="1440"/>
        <w:contextualSpacing/>
        <w:rPr>
          <w:rFonts w:eastAsia="Arial"/>
          <w:color w:val="000000"/>
          <w:sz w:val="24"/>
          <w:szCs w:val="24"/>
          <w:lang w:val="en-US"/>
        </w:rPr>
      </w:pPr>
      <w:r>
        <w:rPr>
          <w:rFonts w:eastAsia="Arial"/>
          <w:color w:val="000000"/>
          <w:sz w:val="24"/>
          <w:szCs w:val="24"/>
          <w:lang w:val="en-US"/>
        </w:rPr>
        <w:t xml:space="preserve">Index methodology transparency is one of Russell’s bedrock principles.    Accordingly, Russell believes that indices should be </w:t>
      </w:r>
      <w:r w:rsidRPr="005A7118">
        <w:rPr>
          <w:rFonts w:eastAsia="Arial"/>
          <w:color w:val="000000"/>
          <w:sz w:val="24"/>
          <w:szCs w:val="24"/>
          <w:lang w:val="en-US"/>
        </w:rPr>
        <w:t xml:space="preserve">constructed </w:t>
      </w:r>
      <w:r>
        <w:rPr>
          <w:rFonts w:eastAsia="Arial"/>
          <w:color w:val="000000"/>
          <w:sz w:val="24"/>
          <w:szCs w:val="24"/>
          <w:lang w:val="en-US"/>
        </w:rPr>
        <w:t>as</w:t>
      </w:r>
      <w:r w:rsidRPr="005A7118">
        <w:rPr>
          <w:rFonts w:eastAsia="Arial"/>
          <w:color w:val="000000"/>
          <w:sz w:val="24"/>
          <w:szCs w:val="24"/>
          <w:lang w:val="en-US"/>
        </w:rPr>
        <w:t xml:space="preserve"> unbiased and comprehensive</w:t>
      </w:r>
      <w:r>
        <w:rPr>
          <w:rFonts w:eastAsia="Arial"/>
          <w:color w:val="000000"/>
          <w:sz w:val="24"/>
          <w:szCs w:val="24"/>
          <w:lang w:val="en-US"/>
        </w:rPr>
        <w:t xml:space="preserve"> representatives of the </w:t>
      </w:r>
      <w:r w:rsidRPr="005A7118">
        <w:rPr>
          <w:rFonts w:eastAsia="Arial"/>
          <w:color w:val="000000"/>
          <w:sz w:val="24"/>
          <w:szCs w:val="24"/>
          <w:lang w:val="en-US"/>
        </w:rPr>
        <w:t xml:space="preserve">entire market segment </w:t>
      </w:r>
      <w:r>
        <w:rPr>
          <w:rFonts w:eastAsia="Arial"/>
          <w:color w:val="000000"/>
          <w:sz w:val="24"/>
          <w:szCs w:val="24"/>
          <w:lang w:val="en-US"/>
        </w:rPr>
        <w:t xml:space="preserve">they are </w:t>
      </w:r>
      <w:r w:rsidRPr="005A7118">
        <w:rPr>
          <w:rFonts w:eastAsia="Arial"/>
          <w:color w:val="000000"/>
          <w:sz w:val="24"/>
          <w:szCs w:val="24"/>
          <w:lang w:val="en-US"/>
        </w:rPr>
        <w:t>designed to represent.</w:t>
      </w:r>
      <w:r>
        <w:rPr>
          <w:rStyle w:val="FootnoteReference"/>
          <w:rFonts w:eastAsia="Arial"/>
          <w:color w:val="000000"/>
          <w:sz w:val="24"/>
          <w:szCs w:val="24"/>
        </w:rPr>
        <w:footnoteReference w:id="9"/>
      </w:r>
      <w:r>
        <w:rPr>
          <w:rFonts w:eastAsia="Arial"/>
          <w:color w:val="000000"/>
          <w:sz w:val="24"/>
          <w:szCs w:val="24"/>
          <w:lang w:val="en-US"/>
        </w:rPr>
        <w:t xml:space="preserve">  Please see Russell’s Global Indexes Construction and Methodology document attached hereto as Appendix A as a representative example of an appropriate level of granularity and transparency for Public Data Benchmarks.</w:t>
      </w:r>
    </w:p>
    <w:p w:rsidR="00AB03C9" w:rsidRDefault="00AB03C9" w:rsidP="006D0D4E">
      <w:pPr>
        <w:widowControl w:val="0"/>
        <w:spacing w:before="120" w:after="120"/>
        <w:ind w:left="1440" w:right="576"/>
        <w:contextualSpacing/>
        <w:textAlignment w:val="baseline"/>
        <w:rPr>
          <w:rFonts w:eastAsia="Arial"/>
          <w:color w:val="000000"/>
          <w:sz w:val="24"/>
          <w:szCs w:val="24"/>
          <w:lang w:val="en-US"/>
        </w:rPr>
      </w:pPr>
      <w:r>
        <w:rPr>
          <w:rFonts w:eastAsia="Arial"/>
          <w:color w:val="000000"/>
          <w:sz w:val="24"/>
          <w:szCs w:val="24"/>
          <w:lang w:val="en-US"/>
        </w:rPr>
        <w:t>The attached Russell Global Indexes Construction and Methodology document illustrates the key tenets of the principle of</w:t>
      </w:r>
      <w:r w:rsidRPr="007B0AE1">
        <w:rPr>
          <w:rFonts w:eastAsia="Arial"/>
          <w:color w:val="000000"/>
          <w:sz w:val="24"/>
          <w:szCs w:val="24"/>
          <w:lang w:val="en-US"/>
        </w:rPr>
        <w:t xml:space="preserve"> </w:t>
      </w:r>
      <w:r>
        <w:rPr>
          <w:rFonts w:eastAsia="Arial"/>
          <w:color w:val="000000"/>
          <w:sz w:val="24"/>
          <w:szCs w:val="24"/>
          <w:lang w:val="en-US"/>
        </w:rPr>
        <w:t>granularity and transparency for Public Data Benchmarks:</w:t>
      </w:r>
    </w:p>
    <w:p w:rsidR="00AB03C9" w:rsidRDefault="00AB03C9" w:rsidP="00AB03C9">
      <w:pPr>
        <w:widowControl w:val="0"/>
        <w:spacing w:before="120" w:after="120"/>
        <w:ind w:right="576"/>
        <w:contextualSpacing/>
        <w:textAlignment w:val="baseline"/>
        <w:rPr>
          <w:rFonts w:eastAsia="Arial"/>
          <w:color w:val="000000"/>
          <w:sz w:val="24"/>
          <w:szCs w:val="24"/>
          <w:lang w:val="en-US"/>
        </w:rPr>
      </w:pPr>
    </w:p>
    <w:p w:rsidR="00AB03C9" w:rsidRDefault="00AB03C9" w:rsidP="00AB03C9">
      <w:pPr>
        <w:widowControl w:val="0"/>
        <w:numPr>
          <w:ilvl w:val="0"/>
          <w:numId w:val="11"/>
        </w:numPr>
        <w:spacing w:before="120" w:after="120"/>
        <w:ind w:right="576"/>
        <w:contextualSpacing/>
        <w:textAlignment w:val="baseline"/>
        <w:rPr>
          <w:rFonts w:eastAsia="Arial"/>
          <w:color w:val="000000"/>
          <w:sz w:val="24"/>
          <w:szCs w:val="24"/>
          <w:lang w:val="en-US"/>
        </w:rPr>
      </w:pPr>
      <w:r w:rsidRPr="005A7118">
        <w:rPr>
          <w:rFonts w:eastAsia="Arial"/>
          <w:color w:val="000000"/>
          <w:sz w:val="24"/>
          <w:szCs w:val="24"/>
          <w:lang w:val="en-US"/>
        </w:rPr>
        <w:t xml:space="preserve">All rules regarding the construction and maintenance of </w:t>
      </w:r>
      <w:r>
        <w:rPr>
          <w:rFonts w:eastAsia="Arial"/>
          <w:color w:val="000000"/>
          <w:sz w:val="24"/>
          <w:szCs w:val="24"/>
          <w:lang w:val="en-US"/>
        </w:rPr>
        <w:t xml:space="preserve">indices should </w:t>
      </w:r>
      <w:r>
        <w:rPr>
          <w:rFonts w:eastAsia="Arial"/>
          <w:color w:val="000000"/>
          <w:sz w:val="24"/>
          <w:szCs w:val="24"/>
          <w:lang w:val="en-US"/>
        </w:rPr>
        <w:lastRenderedPageBreak/>
        <w:t xml:space="preserve">be published and publicly available </w:t>
      </w:r>
      <w:r w:rsidRPr="005A7118">
        <w:rPr>
          <w:rFonts w:eastAsia="Arial"/>
          <w:color w:val="000000"/>
          <w:sz w:val="24"/>
          <w:szCs w:val="24"/>
          <w:lang w:val="en-US"/>
        </w:rPr>
        <w:t>allow</w:t>
      </w:r>
      <w:r>
        <w:rPr>
          <w:rFonts w:eastAsia="Arial"/>
          <w:color w:val="000000"/>
          <w:sz w:val="24"/>
          <w:szCs w:val="24"/>
          <w:lang w:val="en-US"/>
        </w:rPr>
        <w:t>ing</w:t>
      </w:r>
      <w:r w:rsidRPr="005A7118">
        <w:rPr>
          <w:rFonts w:eastAsia="Arial"/>
          <w:color w:val="000000"/>
          <w:sz w:val="24"/>
          <w:szCs w:val="24"/>
          <w:lang w:val="en-US"/>
        </w:rPr>
        <w:t xml:space="preserve"> the ind</w:t>
      </w:r>
      <w:r>
        <w:rPr>
          <w:rFonts w:eastAsia="Arial"/>
          <w:color w:val="000000"/>
          <w:sz w:val="24"/>
          <w:szCs w:val="24"/>
          <w:lang w:val="en-US"/>
        </w:rPr>
        <w:t xml:space="preserve">ices </w:t>
      </w:r>
      <w:r w:rsidRPr="005A7118">
        <w:rPr>
          <w:rFonts w:eastAsia="Arial"/>
          <w:color w:val="000000"/>
          <w:sz w:val="24"/>
          <w:szCs w:val="24"/>
          <w:lang w:val="en-US"/>
        </w:rPr>
        <w:t xml:space="preserve">to be tracked and </w:t>
      </w:r>
      <w:r>
        <w:rPr>
          <w:rFonts w:eastAsia="Arial"/>
          <w:color w:val="000000"/>
          <w:sz w:val="24"/>
          <w:szCs w:val="24"/>
          <w:lang w:val="en-US"/>
        </w:rPr>
        <w:t xml:space="preserve"> </w:t>
      </w:r>
      <w:r w:rsidRPr="005A7118">
        <w:rPr>
          <w:rFonts w:eastAsia="Arial"/>
          <w:color w:val="000000"/>
          <w:sz w:val="24"/>
          <w:szCs w:val="24"/>
          <w:lang w:val="en-US"/>
        </w:rPr>
        <w:t>replicated, making them better benchmarks for retail investors and both active and passive managers.</w:t>
      </w:r>
    </w:p>
    <w:p w:rsidR="00AB03C9" w:rsidRDefault="00AB03C9" w:rsidP="00AB03C9">
      <w:pPr>
        <w:widowControl w:val="0"/>
        <w:spacing w:before="120" w:after="120"/>
        <w:ind w:left="1800" w:right="576"/>
        <w:contextualSpacing/>
        <w:textAlignment w:val="baseline"/>
        <w:rPr>
          <w:rFonts w:eastAsia="Arial"/>
          <w:color w:val="000000"/>
          <w:spacing w:val="-4"/>
          <w:sz w:val="24"/>
          <w:szCs w:val="24"/>
          <w:lang w:val="en-US"/>
        </w:rPr>
      </w:pPr>
    </w:p>
    <w:p w:rsidR="00AB03C9" w:rsidRDefault="00AB03C9" w:rsidP="00AB03C9">
      <w:pPr>
        <w:widowControl w:val="0"/>
        <w:numPr>
          <w:ilvl w:val="0"/>
          <w:numId w:val="11"/>
        </w:numPr>
        <w:spacing w:before="120" w:after="120"/>
        <w:ind w:right="576"/>
        <w:contextualSpacing/>
        <w:textAlignment w:val="baseline"/>
        <w:rPr>
          <w:rFonts w:eastAsia="Arial"/>
          <w:color w:val="000000"/>
          <w:spacing w:val="-4"/>
          <w:sz w:val="24"/>
          <w:szCs w:val="24"/>
          <w:lang w:val="en-US"/>
        </w:rPr>
      </w:pPr>
      <w:r w:rsidRPr="00AE06D7">
        <w:rPr>
          <w:rFonts w:eastAsia="Arial"/>
          <w:color w:val="000000"/>
          <w:spacing w:val="-4"/>
          <w:sz w:val="24"/>
          <w:szCs w:val="24"/>
          <w:lang w:val="en-US"/>
        </w:rPr>
        <w:t xml:space="preserve">To ensure that market segments are accurately represented, </w:t>
      </w:r>
      <w:r>
        <w:rPr>
          <w:rFonts w:eastAsia="Arial"/>
          <w:color w:val="000000"/>
          <w:spacing w:val="-4"/>
          <w:sz w:val="24"/>
          <w:szCs w:val="24"/>
          <w:lang w:val="en-US"/>
        </w:rPr>
        <w:t xml:space="preserve">indices should be </w:t>
      </w:r>
      <w:r w:rsidRPr="00AE06D7">
        <w:rPr>
          <w:rFonts w:eastAsia="Arial"/>
          <w:color w:val="000000"/>
          <w:spacing w:val="-4"/>
          <w:sz w:val="24"/>
          <w:szCs w:val="24"/>
          <w:lang w:val="en-US"/>
        </w:rPr>
        <w:t>completely r</w:t>
      </w:r>
      <w:r>
        <w:rPr>
          <w:rFonts w:eastAsia="Arial"/>
          <w:color w:val="000000"/>
          <w:spacing w:val="-4"/>
          <w:sz w:val="24"/>
          <w:szCs w:val="24"/>
          <w:lang w:val="en-US"/>
        </w:rPr>
        <w:t>econsituted</w:t>
      </w:r>
      <w:r w:rsidRPr="00AE06D7">
        <w:rPr>
          <w:rFonts w:eastAsia="Arial"/>
          <w:color w:val="000000"/>
          <w:spacing w:val="-4"/>
          <w:sz w:val="24"/>
          <w:szCs w:val="24"/>
          <w:lang w:val="en-US"/>
        </w:rPr>
        <w:t xml:space="preserve"> </w:t>
      </w:r>
      <w:r>
        <w:rPr>
          <w:rFonts w:eastAsia="Arial"/>
          <w:color w:val="000000"/>
          <w:spacing w:val="-4"/>
          <w:sz w:val="24"/>
          <w:szCs w:val="24"/>
          <w:lang w:val="en-US"/>
        </w:rPr>
        <w:t xml:space="preserve">at least </w:t>
      </w:r>
      <w:r w:rsidRPr="00AE06D7">
        <w:rPr>
          <w:rFonts w:eastAsia="Arial"/>
          <w:color w:val="000000"/>
          <w:spacing w:val="-4"/>
          <w:sz w:val="24"/>
          <w:szCs w:val="24"/>
          <w:lang w:val="en-US"/>
        </w:rPr>
        <w:t>annually</w:t>
      </w:r>
      <w:r>
        <w:rPr>
          <w:rFonts w:eastAsia="Arial"/>
          <w:color w:val="000000"/>
          <w:spacing w:val="-4"/>
          <w:sz w:val="24"/>
          <w:szCs w:val="24"/>
          <w:lang w:val="en-US"/>
        </w:rPr>
        <w:t xml:space="preserve"> and maintained o</w:t>
      </w:r>
      <w:r w:rsidRPr="00AE06D7">
        <w:rPr>
          <w:rFonts w:eastAsia="Arial"/>
          <w:color w:val="000000"/>
          <w:spacing w:val="-4"/>
          <w:sz w:val="24"/>
          <w:szCs w:val="24"/>
          <w:lang w:val="en-US"/>
        </w:rPr>
        <w:t>ver time</w:t>
      </w:r>
      <w:r>
        <w:rPr>
          <w:rFonts w:eastAsia="Arial"/>
          <w:color w:val="000000"/>
          <w:spacing w:val="-4"/>
          <w:sz w:val="24"/>
          <w:szCs w:val="24"/>
          <w:lang w:val="en-US"/>
        </w:rPr>
        <w:t xml:space="preserve"> to account for changes in </w:t>
      </w:r>
      <w:r w:rsidRPr="00AE06D7">
        <w:rPr>
          <w:rFonts w:eastAsia="Arial"/>
          <w:color w:val="000000"/>
          <w:spacing w:val="-4"/>
          <w:sz w:val="24"/>
          <w:szCs w:val="24"/>
          <w:lang w:val="en-US"/>
        </w:rPr>
        <w:t>securities</w:t>
      </w:r>
      <w:r>
        <w:rPr>
          <w:rFonts w:eastAsia="Arial"/>
          <w:color w:val="000000"/>
          <w:spacing w:val="-4"/>
          <w:sz w:val="24"/>
          <w:szCs w:val="24"/>
          <w:lang w:val="en-US"/>
        </w:rPr>
        <w:t>’</w:t>
      </w:r>
      <w:r w:rsidRPr="00AE06D7">
        <w:rPr>
          <w:rFonts w:eastAsia="Arial"/>
          <w:color w:val="000000"/>
          <w:spacing w:val="-4"/>
          <w:sz w:val="24"/>
          <w:szCs w:val="24"/>
          <w:lang w:val="en-US"/>
        </w:rPr>
        <w:t xml:space="preserve"> size and style characteristics</w:t>
      </w:r>
      <w:r>
        <w:rPr>
          <w:rFonts w:eastAsia="Arial"/>
          <w:color w:val="000000"/>
          <w:spacing w:val="-4"/>
          <w:sz w:val="24"/>
          <w:szCs w:val="24"/>
          <w:lang w:val="en-US"/>
        </w:rPr>
        <w:t xml:space="preserve"> as well as</w:t>
      </w:r>
      <w:r w:rsidRPr="00AE06D7">
        <w:rPr>
          <w:rFonts w:eastAsia="Arial"/>
          <w:color w:val="000000"/>
          <w:spacing w:val="-4"/>
          <w:sz w:val="24"/>
          <w:szCs w:val="24"/>
          <w:lang w:val="en-US"/>
        </w:rPr>
        <w:t xml:space="preserve"> </w:t>
      </w:r>
      <w:r>
        <w:rPr>
          <w:rFonts w:eastAsia="Arial"/>
          <w:color w:val="000000"/>
          <w:spacing w:val="-4"/>
          <w:sz w:val="24"/>
          <w:szCs w:val="24"/>
          <w:lang w:val="en-US"/>
        </w:rPr>
        <w:t xml:space="preserve">new </w:t>
      </w:r>
      <w:r w:rsidRPr="00AE06D7">
        <w:rPr>
          <w:rFonts w:eastAsia="Arial"/>
          <w:color w:val="000000"/>
          <w:spacing w:val="-4"/>
          <w:sz w:val="24"/>
          <w:szCs w:val="24"/>
          <w:lang w:val="en-US"/>
        </w:rPr>
        <w:t xml:space="preserve">entries to the market – specifically, initial public offerings – </w:t>
      </w:r>
      <w:r>
        <w:rPr>
          <w:rFonts w:eastAsia="Arial"/>
          <w:color w:val="000000"/>
          <w:spacing w:val="-4"/>
          <w:sz w:val="24"/>
          <w:szCs w:val="24"/>
          <w:lang w:val="en-US"/>
        </w:rPr>
        <w:t xml:space="preserve">on a </w:t>
      </w:r>
      <w:r w:rsidRPr="00AE06D7">
        <w:rPr>
          <w:rFonts w:eastAsia="Arial"/>
          <w:color w:val="000000"/>
          <w:spacing w:val="-4"/>
          <w:sz w:val="24"/>
          <w:szCs w:val="24"/>
          <w:lang w:val="en-US"/>
        </w:rPr>
        <w:t>quarterly</w:t>
      </w:r>
      <w:r>
        <w:rPr>
          <w:rFonts w:eastAsia="Arial"/>
          <w:color w:val="000000"/>
          <w:spacing w:val="-4"/>
          <w:sz w:val="24"/>
          <w:szCs w:val="24"/>
          <w:lang w:val="en-US"/>
        </w:rPr>
        <w:t xml:space="preserve"> basis</w:t>
      </w:r>
      <w:r w:rsidRPr="00AE06D7">
        <w:rPr>
          <w:rFonts w:eastAsia="Arial"/>
          <w:color w:val="000000"/>
          <w:spacing w:val="-4"/>
          <w:sz w:val="24"/>
          <w:szCs w:val="24"/>
          <w:lang w:val="en-US"/>
        </w:rPr>
        <w:t>.</w:t>
      </w:r>
      <w:r>
        <w:rPr>
          <w:rStyle w:val="FootnoteReference"/>
          <w:rFonts w:eastAsia="Arial"/>
          <w:color w:val="000000"/>
          <w:spacing w:val="-4"/>
          <w:sz w:val="24"/>
          <w:szCs w:val="24"/>
        </w:rPr>
        <w:footnoteReference w:id="10"/>
      </w:r>
    </w:p>
    <w:p w:rsidR="00AB03C9" w:rsidRPr="006436EC" w:rsidRDefault="00AB03C9" w:rsidP="00AB03C9">
      <w:pPr>
        <w:pStyle w:val="AONormal"/>
        <w:numPr>
          <w:ilvl w:val="0"/>
          <w:numId w:val="11"/>
        </w:numPr>
        <w:spacing w:before="120" w:after="120" w:line="240" w:lineRule="auto"/>
        <w:contextualSpacing/>
        <w:rPr>
          <w:lang w:val="en-US"/>
        </w:rPr>
      </w:pPr>
      <w:r>
        <w:rPr>
          <w:rFonts w:eastAsia="Arial"/>
          <w:color w:val="000000"/>
          <w:sz w:val="24"/>
          <w:szCs w:val="24"/>
          <w:lang w:val="en-US"/>
        </w:rPr>
        <w:t xml:space="preserve">Honoring agreements with others and applicable intellectual property laws such that any publicly disclosed information (including disclosure via password protected websites whose access cannot be controlled by a </w:t>
      </w:r>
      <w:r w:rsidR="00A32AAF">
        <w:rPr>
          <w:rFonts w:eastAsia="Arial"/>
          <w:color w:val="000000"/>
          <w:sz w:val="24"/>
          <w:szCs w:val="24"/>
          <w:lang w:val="en-US"/>
        </w:rPr>
        <w:t>B</w:t>
      </w:r>
      <w:r>
        <w:rPr>
          <w:rFonts w:eastAsia="Arial"/>
          <w:color w:val="000000"/>
          <w:sz w:val="24"/>
          <w:szCs w:val="24"/>
          <w:lang w:val="en-US"/>
        </w:rPr>
        <w:t xml:space="preserve">enchmark </w:t>
      </w:r>
      <w:r w:rsidR="00A32AAF">
        <w:rPr>
          <w:rFonts w:eastAsia="Arial"/>
          <w:color w:val="000000"/>
          <w:sz w:val="24"/>
          <w:szCs w:val="24"/>
          <w:lang w:val="en-US"/>
        </w:rPr>
        <w:t>a</w:t>
      </w:r>
      <w:r>
        <w:rPr>
          <w:rFonts w:eastAsia="Arial"/>
          <w:color w:val="000000"/>
          <w:sz w:val="24"/>
          <w:szCs w:val="24"/>
          <w:lang w:val="en-US"/>
        </w:rPr>
        <w:t>dministrator in its sole discretion) concerning indices:</w:t>
      </w:r>
    </w:p>
    <w:p w:rsidR="00AB03C9" w:rsidRPr="006436EC" w:rsidRDefault="00AB03C9" w:rsidP="00AB03C9">
      <w:pPr>
        <w:pStyle w:val="AONormal"/>
        <w:spacing w:before="120" w:after="120" w:line="240" w:lineRule="auto"/>
        <w:ind w:left="1800"/>
        <w:contextualSpacing/>
        <w:rPr>
          <w:lang w:val="en-US"/>
        </w:rPr>
      </w:pPr>
    </w:p>
    <w:p w:rsidR="00AB03C9" w:rsidRPr="009F0DC6" w:rsidRDefault="00AB03C9" w:rsidP="00AB03C9">
      <w:pPr>
        <w:pStyle w:val="AONormal"/>
        <w:numPr>
          <w:ilvl w:val="1"/>
          <w:numId w:val="11"/>
        </w:numPr>
        <w:spacing w:before="120" w:after="120" w:line="240" w:lineRule="auto"/>
        <w:contextualSpacing/>
        <w:rPr>
          <w:lang w:val="en-US"/>
        </w:rPr>
      </w:pPr>
      <w:r>
        <w:rPr>
          <w:rFonts w:eastAsia="Arial"/>
          <w:color w:val="000000"/>
          <w:sz w:val="24"/>
          <w:szCs w:val="24"/>
          <w:lang w:val="en-US"/>
        </w:rPr>
        <w:t xml:space="preserve">do not impede Russell’s intellectual property rights or the intellectual property rights of others; and </w:t>
      </w:r>
    </w:p>
    <w:p w:rsidR="00AB03C9" w:rsidRPr="006436EC" w:rsidRDefault="00AB03C9" w:rsidP="00AB03C9">
      <w:pPr>
        <w:pStyle w:val="AONormal"/>
        <w:spacing w:before="120" w:after="120" w:line="240" w:lineRule="auto"/>
        <w:ind w:left="2520"/>
        <w:contextualSpacing/>
        <w:rPr>
          <w:lang w:val="en-US"/>
        </w:rPr>
      </w:pPr>
    </w:p>
    <w:p w:rsidR="00AB03C9" w:rsidRPr="006436EC" w:rsidRDefault="00AB03C9" w:rsidP="00AB03C9">
      <w:pPr>
        <w:pStyle w:val="AONormal"/>
        <w:numPr>
          <w:ilvl w:val="1"/>
          <w:numId w:val="11"/>
        </w:numPr>
        <w:spacing w:before="120" w:after="120" w:line="240" w:lineRule="auto"/>
        <w:contextualSpacing/>
        <w:rPr>
          <w:lang w:val="en-US"/>
        </w:rPr>
      </w:pPr>
      <w:r w:rsidRPr="00AE06D7">
        <w:rPr>
          <w:rFonts w:eastAsia="Arial"/>
          <w:color w:val="000000"/>
          <w:sz w:val="24"/>
          <w:szCs w:val="24"/>
          <w:lang w:val="en-US"/>
        </w:rPr>
        <w:t>do not violate contractual agreements with third parties</w:t>
      </w:r>
      <w:r>
        <w:rPr>
          <w:rFonts w:eastAsia="Arial"/>
          <w:color w:val="000000"/>
          <w:sz w:val="24"/>
          <w:szCs w:val="24"/>
          <w:lang w:val="en-US"/>
        </w:rPr>
        <w:t>;</w:t>
      </w:r>
      <w:r w:rsidRPr="00AE06D7">
        <w:rPr>
          <w:rFonts w:eastAsia="Arial"/>
          <w:color w:val="000000"/>
          <w:sz w:val="24"/>
          <w:szCs w:val="24"/>
          <w:lang w:val="en-US"/>
        </w:rPr>
        <w:t xml:space="preserve"> </w:t>
      </w:r>
    </w:p>
    <w:p w:rsidR="00AB03C9" w:rsidRPr="006436EC" w:rsidRDefault="00AB03C9" w:rsidP="00AB03C9">
      <w:pPr>
        <w:pStyle w:val="AONormal"/>
        <w:spacing w:before="120" w:after="120" w:line="240" w:lineRule="auto"/>
        <w:ind w:left="2520"/>
        <w:contextualSpacing/>
        <w:rPr>
          <w:lang w:val="en-US"/>
        </w:rPr>
      </w:pPr>
    </w:p>
    <w:p w:rsidR="00AB03C9" w:rsidRPr="00AB03C9" w:rsidRDefault="00AB03C9" w:rsidP="006D0D4E">
      <w:pPr>
        <w:pStyle w:val="Default"/>
        <w:ind w:left="1440"/>
      </w:pPr>
      <w:r>
        <w:rPr>
          <w:rFonts w:eastAsia="Arial"/>
        </w:rPr>
        <w:t xml:space="preserve">which helps ensure that Russell can provide unbiased and comprehensive indices on a continuous basis.  </w:t>
      </w:r>
      <w:r w:rsidR="00EA42AA">
        <w:rPr>
          <w:rFonts w:eastAsia="Arial"/>
        </w:rPr>
        <w:t xml:space="preserve">ESMA and the EBA should critically note that </w:t>
      </w:r>
      <w:r>
        <w:rPr>
          <w:rFonts w:eastAsia="Arial"/>
        </w:rPr>
        <w:t xml:space="preserve">Russell and other Benchmark </w:t>
      </w:r>
      <w:r w:rsidR="00A32AAF">
        <w:rPr>
          <w:rFonts w:eastAsia="Arial"/>
        </w:rPr>
        <w:t>a</w:t>
      </w:r>
      <w:r>
        <w:rPr>
          <w:rFonts w:eastAsia="Arial"/>
        </w:rPr>
        <w:t xml:space="preserve">dministrators cannot comply with these laws and contractual agreements unless disclosure of index constituent weightings is delayed so that they are at least retrospective as of the most recent annual index reconstitution.  Additionally, contractual covenants may preclude Benchmark </w:t>
      </w:r>
      <w:r w:rsidR="00A32AAF">
        <w:rPr>
          <w:rFonts w:eastAsia="Arial"/>
        </w:rPr>
        <w:t>a</w:t>
      </w:r>
      <w:r>
        <w:rPr>
          <w:rFonts w:eastAsia="Arial"/>
        </w:rPr>
        <w:t>dministrators from publicly disclosing certain constituent level index data.</w:t>
      </w:r>
    </w:p>
    <w:p w:rsidR="00AB03C9" w:rsidRDefault="00AB03C9" w:rsidP="00D33797">
      <w:pPr>
        <w:pStyle w:val="Default"/>
      </w:pPr>
    </w:p>
    <w:p w:rsidR="008D79A6" w:rsidRDefault="008D79A6" w:rsidP="00D33797">
      <w:pPr>
        <w:pStyle w:val="Default"/>
      </w:pPr>
      <w:r>
        <w:tab/>
      </w:r>
      <w:r>
        <w:rPr>
          <w:u w:val="single"/>
        </w:rPr>
        <w:t>Benchmark administrators</w:t>
      </w:r>
    </w:p>
    <w:p w:rsidR="008D79A6" w:rsidRDefault="008D79A6" w:rsidP="0092511C">
      <w:pPr>
        <w:pStyle w:val="AONormal"/>
        <w:spacing w:beforeLines="120" w:afterLines="120" w:line="240" w:lineRule="auto"/>
        <w:ind w:left="1440"/>
        <w:contextualSpacing/>
        <w:rPr>
          <w:sz w:val="24"/>
          <w:szCs w:val="24"/>
        </w:rPr>
      </w:pPr>
      <w:r w:rsidRPr="00653291">
        <w:rPr>
          <w:sz w:val="24"/>
          <w:szCs w:val="24"/>
        </w:rPr>
        <w:t>Russell believes that use of actual transaction data</w:t>
      </w:r>
      <w:r>
        <w:rPr>
          <w:sz w:val="24"/>
          <w:szCs w:val="24"/>
        </w:rPr>
        <w:t xml:space="preserve"> </w:t>
      </w:r>
      <w:r w:rsidRPr="00653291">
        <w:rPr>
          <w:sz w:val="24"/>
          <w:szCs w:val="24"/>
        </w:rPr>
        <w:t xml:space="preserve">(end of day and real time for benchmarks requiring real time calculation), transparent rules based methodologies and index production systems that minimize opportunities for manual intervention into the </w:t>
      </w:r>
      <w:r>
        <w:rPr>
          <w:sz w:val="24"/>
          <w:szCs w:val="24"/>
        </w:rPr>
        <w:t xml:space="preserve">Benchmark </w:t>
      </w:r>
      <w:r w:rsidR="00C873E5">
        <w:rPr>
          <w:sz w:val="24"/>
          <w:szCs w:val="24"/>
        </w:rPr>
        <w:t>a</w:t>
      </w:r>
      <w:r>
        <w:rPr>
          <w:sz w:val="24"/>
          <w:szCs w:val="24"/>
        </w:rPr>
        <w:t>dministration</w:t>
      </w:r>
      <w:r w:rsidRPr="00653291">
        <w:rPr>
          <w:sz w:val="24"/>
          <w:szCs w:val="24"/>
        </w:rPr>
        <w:t xml:space="preserve"> process best mitigate conflicts of interest in the </w:t>
      </w:r>
      <w:r>
        <w:rPr>
          <w:sz w:val="24"/>
          <w:szCs w:val="24"/>
        </w:rPr>
        <w:t xml:space="preserve">Benchmark </w:t>
      </w:r>
      <w:r w:rsidR="00C873E5">
        <w:rPr>
          <w:sz w:val="24"/>
          <w:szCs w:val="24"/>
        </w:rPr>
        <w:t>a</w:t>
      </w:r>
      <w:r>
        <w:rPr>
          <w:sz w:val="24"/>
          <w:szCs w:val="24"/>
        </w:rPr>
        <w:t>dministration</w:t>
      </w:r>
      <w:r w:rsidRPr="00653291">
        <w:rPr>
          <w:sz w:val="24"/>
          <w:szCs w:val="24"/>
        </w:rPr>
        <w:t xml:space="preserve"> process.</w:t>
      </w:r>
      <w:r>
        <w:rPr>
          <w:rStyle w:val="FootnoteReference"/>
          <w:sz w:val="24"/>
          <w:szCs w:val="24"/>
        </w:rPr>
        <w:footnoteReference w:id="11"/>
      </w:r>
      <w:r>
        <w:rPr>
          <w:sz w:val="24"/>
          <w:szCs w:val="24"/>
        </w:rPr>
        <w:t xml:space="preserve">  </w:t>
      </w:r>
      <w:r w:rsidR="00C873E5" w:rsidRPr="00653291">
        <w:rPr>
          <w:sz w:val="24"/>
          <w:szCs w:val="24"/>
        </w:rPr>
        <w:t xml:space="preserve">Russell prefers the use of actual transaction data as the input to an objective, accurate and reliable </w:t>
      </w:r>
      <w:r w:rsidR="00C873E5">
        <w:rPr>
          <w:sz w:val="24"/>
          <w:szCs w:val="24"/>
        </w:rPr>
        <w:t>indices</w:t>
      </w:r>
      <w:r w:rsidR="00C873E5" w:rsidRPr="00653291">
        <w:rPr>
          <w:sz w:val="24"/>
          <w:szCs w:val="24"/>
        </w:rPr>
        <w:t xml:space="preserve">.  However, Russell acknowledges that certain data critical to </w:t>
      </w:r>
      <w:r w:rsidR="00C873E5">
        <w:rPr>
          <w:sz w:val="24"/>
          <w:szCs w:val="24"/>
        </w:rPr>
        <w:t>Benchmark administration</w:t>
      </w:r>
      <w:r w:rsidR="00C873E5" w:rsidRPr="00653291">
        <w:rPr>
          <w:sz w:val="24"/>
          <w:szCs w:val="24"/>
        </w:rPr>
        <w:t xml:space="preserve"> might not be readily available.  In those cases (e.g., certain fixed income securities or structured securities), model data </w:t>
      </w:r>
      <w:r w:rsidR="00C873E5">
        <w:rPr>
          <w:sz w:val="24"/>
          <w:szCs w:val="24"/>
        </w:rPr>
        <w:t xml:space="preserve">or other inputs, subject to the application of processes that support the veracity of those data or inputs, </w:t>
      </w:r>
      <w:r w:rsidR="00C873E5" w:rsidRPr="00653291">
        <w:rPr>
          <w:sz w:val="24"/>
          <w:szCs w:val="24"/>
        </w:rPr>
        <w:t xml:space="preserve">might </w:t>
      </w:r>
      <w:r w:rsidR="00C873E5" w:rsidRPr="00653291">
        <w:rPr>
          <w:sz w:val="24"/>
          <w:szCs w:val="24"/>
        </w:rPr>
        <w:lastRenderedPageBreak/>
        <w:t>be an acceptable proxy for certain data elements.</w:t>
      </w:r>
      <w:r w:rsidR="00C873E5">
        <w:rPr>
          <w:rStyle w:val="FootnoteReference"/>
          <w:sz w:val="24"/>
          <w:szCs w:val="24"/>
        </w:rPr>
        <w:footnoteReference w:id="12"/>
      </w:r>
      <w:r w:rsidR="00C873E5">
        <w:rPr>
          <w:sz w:val="24"/>
          <w:szCs w:val="24"/>
        </w:rPr>
        <w:t xml:space="preserve">  </w:t>
      </w:r>
      <w:r w:rsidRPr="00653291">
        <w:rPr>
          <w:sz w:val="24"/>
          <w:szCs w:val="24"/>
        </w:rPr>
        <w:t xml:space="preserve">Russell sources </w:t>
      </w:r>
      <w:r w:rsidR="00EA42AA">
        <w:rPr>
          <w:sz w:val="24"/>
          <w:szCs w:val="24"/>
        </w:rPr>
        <w:t>its</w:t>
      </w:r>
      <w:r w:rsidRPr="00653291">
        <w:rPr>
          <w:sz w:val="24"/>
          <w:szCs w:val="24"/>
        </w:rPr>
        <w:t xml:space="preserve"> data direct from securities exchanges </w:t>
      </w:r>
      <w:r>
        <w:rPr>
          <w:sz w:val="24"/>
          <w:szCs w:val="24"/>
        </w:rPr>
        <w:t xml:space="preserve">whose data collection and dissemination activities are regulated activities </w:t>
      </w:r>
      <w:r w:rsidRPr="00653291">
        <w:rPr>
          <w:sz w:val="24"/>
          <w:szCs w:val="24"/>
        </w:rPr>
        <w:t xml:space="preserve">as well as </w:t>
      </w:r>
      <w:r>
        <w:rPr>
          <w:sz w:val="24"/>
          <w:szCs w:val="24"/>
        </w:rPr>
        <w:t>other</w:t>
      </w:r>
      <w:r w:rsidRPr="00653291">
        <w:rPr>
          <w:sz w:val="24"/>
          <w:szCs w:val="24"/>
        </w:rPr>
        <w:t xml:space="preserve"> </w:t>
      </w:r>
      <w:r>
        <w:rPr>
          <w:sz w:val="24"/>
          <w:szCs w:val="24"/>
        </w:rPr>
        <w:t>reputable</w:t>
      </w:r>
      <w:r w:rsidRPr="00653291">
        <w:rPr>
          <w:sz w:val="24"/>
          <w:szCs w:val="24"/>
        </w:rPr>
        <w:t xml:space="preserve"> data distributors.  </w:t>
      </w:r>
    </w:p>
    <w:p w:rsidR="008D79A6" w:rsidRPr="00C873E5" w:rsidRDefault="008D79A6" w:rsidP="00715EAD">
      <w:pPr>
        <w:pStyle w:val="AONormal"/>
        <w:spacing w:beforeLines="120" w:afterLines="120" w:line="240" w:lineRule="auto"/>
        <w:ind w:left="1440"/>
        <w:contextualSpacing/>
        <w:rPr>
          <w:sz w:val="24"/>
          <w:szCs w:val="24"/>
        </w:rPr>
      </w:pPr>
    </w:p>
    <w:p w:rsidR="00C873E5" w:rsidRDefault="008D79A6" w:rsidP="00715EAD">
      <w:pPr>
        <w:pStyle w:val="AONormal"/>
        <w:spacing w:beforeLines="120" w:afterLines="120" w:line="240" w:lineRule="auto"/>
        <w:ind w:left="1440"/>
        <w:contextualSpacing/>
        <w:rPr>
          <w:sz w:val="24"/>
          <w:szCs w:val="24"/>
        </w:rPr>
      </w:pPr>
      <w:r w:rsidRPr="00C873E5">
        <w:rPr>
          <w:bCs/>
          <w:iCs/>
          <w:sz w:val="24"/>
          <w:szCs w:val="24"/>
        </w:rPr>
        <w:t>Russell</w:t>
      </w:r>
      <w:r w:rsidR="00C873E5">
        <w:rPr>
          <w:bCs/>
          <w:iCs/>
          <w:sz w:val="24"/>
          <w:szCs w:val="24"/>
        </w:rPr>
        <w:t xml:space="preserve"> supports the </w:t>
      </w:r>
      <w:r w:rsidRPr="00C873E5">
        <w:rPr>
          <w:bCs/>
          <w:iCs/>
          <w:sz w:val="24"/>
          <w:szCs w:val="24"/>
        </w:rPr>
        <w:t xml:space="preserve">position that </w:t>
      </w:r>
      <w:r w:rsidR="00C873E5">
        <w:rPr>
          <w:bCs/>
          <w:iCs/>
          <w:sz w:val="24"/>
          <w:szCs w:val="24"/>
        </w:rPr>
        <w:t>benchmark a</w:t>
      </w:r>
      <w:r w:rsidRPr="00C873E5">
        <w:rPr>
          <w:bCs/>
          <w:iCs/>
          <w:sz w:val="24"/>
          <w:szCs w:val="24"/>
        </w:rPr>
        <w:t xml:space="preserve">dministrators </w:t>
      </w:r>
      <w:r w:rsidRPr="00C873E5">
        <w:rPr>
          <w:sz w:val="24"/>
          <w:szCs w:val="24"/>
        </w:rPr>
        <w:t xml:space="preserve">should be governed by an appropriate governance structure and that internal controls should promote efficient and sound Benchmark </w:t>
      </w:r>
      <w:r w:rsidR="00C873E5">
        <w:rPr>
          <w:sz w:val="24"/>
          <w:szCs w:val="24"/>
        </w:rPr>
        <w:t>a</w:t>
      </w:r>
      <w:r w:rsidRPr="00C873E5">
        <w:rPr>
          <w:sz w:val="24"/>
          <w:szCs w:val="24"/>
        </w:rPr>
        <w:t>dministration.</w:t>
      </w:r>
      <w:r w:rsidRPr="00C873E5">
        <w:rPr>
          <w:rStyle w:val="FootnoteReference"/>
          <w:sz w:val="24"/>
          <w:szCs w:val="24"/>
        </w:rPr>
        <w:footnoteReference w:id="13"/>
      </w:r>
      <w:r w:rsidRPr="00C873E5">
        <w:rPr>
          <w:sz w:val="24"/>
          <w:szCs w:val="24"/>
        </w:rPr>
        <w:t xml:space="preserve">  Benchmark </w:t>
      </w:r>
      <w:r w:rsidR="00C873E5">
        <w:rPr>
          <w:sz w:val="24"/>
          <w:szCs w:val="24"/>
        </w:rPr>
        <w:t>a</w:t>
      </w:r>
      <w:r w:rsidRPr="00C873E5">
        <w:rPr>
          <w:sz w:val="24"/>
          <w:szCs w:val="24"/>
        </w:rPr>
        <w:t>dministrators for Public Data Benchmarks should develop their own control framework and quality assurance processes (i.e., the governance structure and internal controls) that efficiently and effectively monitors their operations and mitigate any processing exceptions or conflicts of interest.</w:t>
      </w:r>
      <w:r w:rsidRPr="00C873E5">
        <w:rPr>
          <w:rStyle w:val="FootnoteReference"/>
          <w:sz w:val="24"/>
          <w:szCs w:val="24"/>
        </w:rPr>
        <w:footnoteReference w:id="14"/>
      </w:r>
      <w:r w:rsidRPr="00C873E5">
        <w:rPr>
          <w:sz w:val="24"/>
          <w:szCs w:val="24"/>
        </w:rPr>
        <w:t xml:space="preserve">  Benchmark </w:t>
      </w:r>
      <w:r w:rsidR="00C873E5">
        <w:rPr>
          <w:sz w:val="24"/>
          <w:szCs w:val="24"/>
        </w:rPr>
        <w:t>a</w:t>
      </w:r>
      <w:r w:rsidRPr="00C873E5">
        <w:rPr>
          <w:sz w:val="24"/>
          <w:szCs w:val="24"/>
        </w:rPr>
        <w:t xml:space="preserve">dministrators for Survey-Based Benchmarks must not only develop their own control framework and quality assurance processes that efficiently and effectively monitors their operations and mitigate any processing exceptions or conflicts of interest, but they must also comply with appropriately crafted substantive regulation by regulatory authorities. </w:t>
      </w:r>
    </w:p>
    <w:p w:rsidR="00C873E5" w:rsidRDefault="00C873E5" w:rsidP="00715EAD">
      <w:pPr>
        <w:pStyle w:val="AONormal"/>
        <w:spacing w:beforeLines="120" w:afterLines="120" w:line="240" w:lineRule="auto"/>
        <w:ind w:left="1440"/>
        <w:contextualSpacing/>
        <w:rPr>
          <w:sz w:val="24"/>
          <w:szCs w:val="24"/>
        </w:rPr>
      </w:pPr>
    </w:p>
    <w:p w:rsidR="008D79A6" w:rsidRDefault="008D79A6" w:rsidP="00715EAD">
      <w:pPr>
        <w:pStyle w:val="AONormal"/>
        <w:spacing w:beforeLines="120" w:afterLines="120" w:line="240" w:lineRule="auto"/>
        <w:ind w:left="1440"/>
        <w:contextualSpacing/>
        <w:rPr>
          <w:sz w:val="24"/>
          <w:szCs w:val="24"/>
        </w:rPr>
      </w:pPr>
      <w:r w:rsidRPr="00C873E5">
        <w:rPr>
          <w:sz w:val="24"/>
          <w:szCs w:val="24"/>
        </w:rPr>
        <w:t>Russell does not support the use of external audits as part of the control framework.</w:t>
      </w:r>
    </w:p>
    <w:p w:rsidR="00C873E5" w:rsidRDefault="00C873E5" w:rsidP="00715EAD">
      <w:pPr>
        <w:pStyle w:val="AONormal"/>
        <w:spacing w:beforeLines="120" w:afterLines="120" w:line="240" w:lineRule="auto"/>
        <w:contextualSpacing/>
        <w:rPr>
          <w:sz w:val="24"/>
          <w:szCs w:val="24"/>
        </w:rPr>
      </w:pPr>
    </w:p>
    <w:p w:rsidR="00C873E5" w:rsidRPr="00C873E5" w:rsidRDefault="00C873E5" w:rsidP="00715EAD">
      <w:pPr>
        <w:pStyle w:val="AONormal"/>
        <w:spacing w:beforeLines="120" w:afterLines="120" w:line="240" w:lineRule="auto"/>
        <w:contextualSpacing/>
        <w:rPr>
          <w:sz w:val="24"/>
          <w:szCs w:val="24"/>
          <w:u w:val="single"/>
        </w:rPr>
      </w:pPr>
      <w:r>
        <w:rPr>
          <w:sz w:val="24"/>
          <w:szCs w:val="24"/>
        </w:rPr>
        <w:tab/>
      </w:r>
      <w:r>
        <w:rPr>
          <w:sz w:val="24"/>
          <w:szCs w:val="24"/>
          <w:u w:val="single"/>
        </w:rPr>
        <w:t>Contributing firms</w:t>
      </w:r>
    </w:p>
    <w:p w:rsidR="00EC46CB" w:rsidRDefault="00EC46CB" w:rsidP="00715EAD">
      <w:pPr>
        <w:pStyle w:val="AONormal"/>
        <w:spacing w:beforeLines="120" w:afterLines="120" w:line="240" w:lineRule="auto"/>
        <w:ind w:left="1440"/>
        <w:contextualSpacing/>
        <w:rPr>
          <w:sz w:val="24"/>
          <w:szCs w:val="24"/>
        </w:rPr>
      </w:pPr>
    </w:p>
    <w:p w:rsidR="00A32AAF" w:rsidRDefault="00C873E5" w:rsidP="00C873E5">
      <w:pPr>
        <w:pStyle w:val="AONormal"/>
        <w:spacing w:before="120" w:after="120" w:line="240" w:lineRule="auto"/>
        <w:ind w:left="1440"/>
        <w:contextualSpacing/>
        <w:rPr>
          <w:sz w:val="24"/>
          <w:szCs w:val="24"/>
        </w:rPr>
      </w:pPr>
      <w:r>
        <w:rPr>
          <w:sz w:val="24"/>
          <w:szCs w:val="24"/>
        </w:rPr>
        <w:t>Russell notes that the notion of Contributing firms and any related regulation of them are only applicable to Survey-Based Benchmarks.  While Contributing firms must maintain robust controls over the submissions that they make,</w:t>
      </w:r>
      <w:r>
        <w:rPr>
          <w:rStyle w:val="FootnoteReference"/>
          <w:sz w:val="24"/>
          <w:szCs w:val="24"/>
        </w:rPr>
        <w:footnoteReference w:id="15"/>
      </w:r>
      <w:r>
        <w:rPr>
          <w:sz w:val="24"/>
          <w:szCs w:val="24"/>
        </w:rPr>
        <w:t xml:space="preserve"> Benchmark administrators should also m</w:t>
      </w:r>
      <w:r w:rsidRPr="00F15C6A">
        <w:rPr>
          <w:sz w:val="24"/>
          <w:szCs w:val="24"/>
        </w:rPr>
        <w:t>aintai</w:t>
      </w:r>
      <w:r>
        <w:rPr>
          <w:sz w:val="24"/>
          <w:szCs w:val="24"/>
        </w:rPr>
        <w:t>n the integrity of inputs to Benchmarks, but the processes and procedures utilized by Benchmark administrators to maintain integrity will vary depending upon whether the Benchmark administrator produces Public Data Benchmarks or Survey-Based Benchmarks.  The processes and procedures employed to maintain the integrity of Survey-Based Benchmarks must be more rigorous to overcome the inherent conflicts of interest related to those Benchmarks as discussed on pages 2-5 of Russell’s response above.</w:t>
      </w:r>
    </w:p>
    <w:p w:rsidR="00A32AAF" w:rsidRDefault="00A32AAF" w:rsidP="00C873E5">
      <w:pPr>
        <w:pStyle w:val="AONormal"/>
        <w:spacing w:before="120" w:after="120" w:line="240" w:lineRule="auto"/>
        <w:ind w:left="1440"/>
        <w:contextualSpacing/>
        <w:rPr>
          <w:sz w:val="24"/>
          <w:szCs w:val="24"/>
        </w:rPr>
      </w:pPr>
    </w:p>
    <w:p w:rsidR="00A32AAF" w:rsidRDefault="00A32AAF" w:rsidP="00A32AAF">
      <w:pPr>
        <w:pStyle w:val="AONormal"/>
        <w:spacing w:before="120" w:after="120" w:line="240" w:lineRule="auto"/>
        <w:ind w:left="1440"/>
        <w:contextualSpacing/>
        <w:rPr>
          <w:sz w:val="24"/>
          <w:szCs w:val="24"/>
        </w:rPr>
      </w:pPr>
      <w:r>
        <w:rPr>
          <w:sz w:val="24"/>
          <w:szCs w:val="24"/>
        </w:rPr>
        <w:t>Survey-Based benchmarks are susceptible to manipulation and conflicts of interest.  Accordingly, Contributing firms must maintain corporate policies related to conflicts of interest that may arise, including in the context of personal securities trading, attempted improper influence of its associates or exorbitant gifts/hospitality given to or made by its associates.  Russell maintains and enforces a strict global code of ethics designed to mitigate or eliminate these and other conflicts of interest and suggests that corporate codes of ethics be adopted as a best practice.</w:t>
      </w:r>
    </w:p>
    <w:p w:rsidR="00A32AAF" w:rsidRDefault="00A32AAF" w:rsidP="00A32AAF">
      <w:pPr>
        <w:pStyle w:val="AONormal"/>
        <w:spacing w:before="120" w:after="120" w:line="240" w:lineRule="auto"/>
        <w:ind w:left="1440"/>
        <w:contextualSpacing/>
        <w:rPr>
          <w:sz w:val="24"/>
          <w:szCs w:val="24"/>
        </w:rPr>
      </w:pPr>
    </w:p>
    <w:p w:rsidR="00AB03C9" w:rsidRDefault="00A32AAF" w:rsidP="00A32AAF">
      <w:pPr>
        <w:pStyle w:val="AONormal"/>
        <w:spacing w:before="120" w:after="120" w:line="240" w:lineRule="auto"/>
        <w:ind w:left="1440"/>
        <w:contextualSpacing/>
        <w:rPr>
          <w:sz w:val="24"/>
          <w:szCs w:val="24"/>
        </w:rPr>
      </w:pPr>
      <w:r>
        <w:rPr>
          <w:sz w:val="24"/>
          <w:szCs w:val="24"/>
        </w:rPr>
        <w:lastRenderedPageBreak/>
        <w:t>Russell supports proposals for robust control frameworks and quality assurance processes.  Such control frameworks and quality assurance processes, if well thought, are highly effective in mitigating conflicts of interest and guarding against Benchmark manipulation.</w:t>
      </w:r>
      <w:r w:rsidR="00C873E5">
        <w:rPr>
          <w:sz w:val="24"/>
          <w:szCs w:val="24"/>
        </w:rPr>
        <w:t xml:space="preserve"> </w:t>
      </w:r>
    </w:p>
    <w:p w:rsidR="00AB03C9" w:rsidRDefault="00AB03C9" w:rsidP="00C873E5">
      <w:pPr>
        <w:pStyle w:val="AONormal"/>
        <w:spacing w:before="120" w:after="120" w:line="240" w:lineRule="auto"/>
        <w:ind w:left="1440"/>
        <w:contextualSpacing/>
        <w:rPr>
          <w:sz w:val="24"/>
          <w:szCs w:val="24"/>
        </w:rPr>
      </w:pPr>
    </w:p>
    <w:p w:rsidR="00C873E5" w:rsidRDefault="00AB03C9" w:rsidP="00C873E5">
      <w:pPr>
        <w:pStyle w:val="AONormal"/>
        <w:spacing w:before="120" w:after="120" w:line="240" w:lineRule="auto"/>
        <w:ind w:left="1440"/>
        <w:contextualSpacing/>
        <w:rPr>
          <w:sz w:val="24"/>
          <w:szCs w:val="24"/>
        </w:rPr>
      </w:pPr>
      <w:r w:rsidRPr="005F61E5">
        <w:rPr>
          <w:sz w:val="24"/>
          <w:szCs w:val="24"/>
        </w:rPr>
        <w:t xml:space="preserve">Russell </w:t>
      </w:r>
      <w:r>
        <w:rPr>
          <w:sz w:val="24"/>
          <w:szCs w:val="24"/>
        </w:rPr>
        <w:t>supports regulatory authorities in their efforts to work with Contributing firms on an appropriate, fair and balanced code of conduct or similar control framework.  This code of conduct or control framework should take into account the internal controls and other quality assurance processes in effect with Contributing firms and not impose sweeping new substantive requirements due to recent experiences with “outliers”  in the recent Survey-Based Benchmark scandals.</w:t>
      </w:r>
      <w:r w:rsidR="00C873E5">
        <w:rPr>
          <w:sz w:val="24"/>
          <w:szCs w:val="24"/>
        </w:rPr>
        <w:t xml:space="preserve"> </w:t>
      </w:r>
    </w:p>
    <w:p w:rsidR="00C873E5" w:rsidRDefault="00C873E5" w:rsidP="00C873E5">
      <w:pPr>
        <w:pStyle w:val="AONormal"/>
        <w:spacing w:before="120" w:after="120" w:line="240" w:lineRule="auto"/>
        <w:ind w:left="1440"/>
        <w:contextualSpacing/>
        <w:rPr>
          <w:sz w:val="24"/>
          <w:szCs w:val="24"/>
        </w:rPr>
      </w:pPr>
    </w:p>
    <w:p w:rsidR="006E4C04" w:rsidRDefault="006E4C04" w:rsidP="00C873E5">
      <w:pPr>
        <w:pStyle w:val="AONormal"/>
        <w:spacing w:before="120" w:after="120" w:line="240" w:lineRule="auto"/>
        <w:ind w:left="1440"/>
        <w:contextualSpacing/>
        <w:rPr>
          <w:sz w:val="24"/>
          <w:szCs w:val="24"/>
        </w:rPr>
      </w:pPr>
      <w:r>
        <w:rPr>
          <w:sz w:val="24"/>
          <w:szCs w:val="24"/>
        </w:rPr>
        <w:t>In as much as Benchmark administrators do not control or have the ability to dictate the internal policies of Contributing firms Russell does not support proposals that suggest that a Benchmark administrator should impose its requirements on Contributing firms.  Rather, it is incumbent on Contributing firms to maintain their own procedural and technical safeguards when collecting and disseminating data.  Russell understands that regulatory authorities may have the ability to dictate the internal policies of Contributing firms and that some regulation of Contributing firms may be appropriate.  However, Russell urges regulatory authorities to strike a balance between burden, cost and benefit of regulation so that the submission process is not chilled to stagnation with the attendant evaporation of Benchmarks.</w:t>
      </w:r>
    </w:p>
    <w:p w:rsidR="00C873E5" w:rsidRDefault="00C873E5" w:rsidP="00C873E5">
      <w:pPr>
        <w:pStyle w:val="AONormal"/>
        <w:spacing w:before="120" w:after="120" w:line="240" w:lineRule="auto"/>
        <w:ind w:left="1440"/>
        <w:contextualSpacing/>
        <w:rPr>
          <w:sz w:val="24"/>
          <w:szCs w:val="24"/>
        </w:rPr>
      </w:pPr>
    </w:p>
    <w:p w:rsidR="006E4C04" w:rsidRDefault="006E4C04" w:rsidP="00715EAD">
      <w:pPr>
        <w:pStyle w:val="AONormal"/>
        <w:spacing w:beforeLines="120" w:afterLines="120" w:line="240" w:lineRule="auto"/>
        <w:ind w:left="1440"/>
        <w:contextualSpacing/>
        <w:rPr>
          <w:sz w:val="24"/>
          <w:szCs w:val="24"/>
        </w:rPr>
      </w:pPr>
      <w:r>
        <w:rPr>
          <w:sz w:val="24"/>
          <w:szCs w:val="24"/>
          <w:u w:val="single"/>
        </w:rPr>
        <w:t>Supervision</w:t>
      </w:r>
    </w:p>
    <w:p w:rsidR="006E4C04" w:rsidRDefault="006E4C04" w:rsidP="00715EAD">
      <w:pPr>
        <w:pStyle w:val="AONormal"/>
        <w:spacing w:beforeLines="120" w:afterLines="120" w:line="240" w:lineRule="auto"/>
        <w:ind w:left="1440"/>
        <w:contextualSpacing/>
        <w:rPr>
          <w:sz w:val="24"/>
          <w:szCs w:val="24"/>
        </w:rPr>
      </w:pPr>
    </w:p>
    <w:p w:rsidR="006E4C04" w:rsidRDefault="006E4C04" w:rsidP="00715EAD">
      <w:pPr>
        <w:pStyle w:val="AONormal"/>
        <w:spacing w:beforeLines="120" w:afterLines="120" w:line="240" w:lineRule="auto"/>
        <w:ind w:left="1440"/>
        <w:contextualSpacing/>
        <w:rPr>
          <w:sz w:val="24"/>
          <w:szCs w:val="24"/>
        </w:rPr>
      </w:pPr>
      <w:r>
        <w:rPr>
          <w:sz w:val="24"/>
          <w:szCs w:val="24"/>
        </w:rPr>
        <w:t xml:space="preserve">Russell does not think that the creation and implementation </w:t>
      </w:r>
      <w:r w:rsidR="00EA42AA">
        <w:rPr>
          <w:sz w:val="24"/>
          <w:szCs w:val="24"/>
        </w:rPr>
        <w:t xml:space="preserve">of any </w:t>
      </w:r>
      <w:r>
        <w:rPr>
          <w:sz w:val="24"/>
          <w:szCs w:val="24"/>
        </w:rPr>
        <w:t>SRO is necessary or appropriate to resolve any actual or perceived conflicts of interest in the Public Data Benchmarking processes</w:t>
      </w:r>
      <w:r w:rsidR="00A32AAF">
        <w:rPr>
          <w:sz w:val="24"/>
          <w:szCs w:val="24"/>
        </w:rPr>
        <w:t xml:space="preserve">, but thinks that </w:t>
      </w:r>
      <w:r>
        <w:rPr>
          <w:sz w:val="24"/>
          <w:szCs w:val="24"/>
        </w:rPr>
        <w:t xml:space="preserve">Contributing firms and Benchmark </w:t>
      </w:r>
      <w:r w:rsidR="00A32AAF">
        <w:rPr>
          <w:sz w:val="24"/>
          <w:szCs w:val="24"/>
        </w:rPr>
        <w:t>administrators</w:t>
      </w:r>
      <w:r>
        <w:rPr>
          <w:sz w:val="24"/>
          <w:szCs w:val="24"/>
        </w:rPr>
        <w:t xml:space="preserve"> for Survey-Based Benchmarks should be subject to substantive regulation, perhaps by </w:t>
      </w:r>
      <w:r w:rsidR="00EA42AA">
        <w:rPr>
          <w:sz w:val="24"/>
          <w:szCs w:val="24"/>
        </w:rPr>
        <w:t xml:space="preserve">an </w:t>
      </w:r>
      <w:r>
        <w:rPr>
          <w:sz w:val="24"/>
          <w:szCs w:val="24"/>
        </w:rPr>
        <w:t>SRO.</w:t>
      </w:r>
    </w:p>
    <w:p w:rsidR="006E4C04" w:rsidRDefault="006E4C04" w:rsidP="00715EAD">
      <w:pPr>
        <w:pStyle w:val="AONormal"/>
        <w:spacing w:beforeLines="120" w:afterLines="120" w:line="240" w:lineRule="auto"/>
        <w:ind w:left="1440"/>
        <w:contextualSpacing/>
        <w:rPr>
          <w:sz w:val="24"/>
          <w:szCs w:val="24"/>
        </w:rPr>
      </w:pPr>
    </w:p>
    <w:p w:rsidR="006E4C04" w:rsidRDefault="006E4C04" w:rsidP="006E4C04">
      <w:pPr>
        <w:pStyle w:val="AONormal"/>
        <w:spacing w:before="120" w:after="120" w:line="240" w:lineRule="auto"/>
        <w:ind w:left="1440"/>
        <w:contextualSpacing/>
        <w:rPr>
          <w:sz w:val="24"/>
          <w:szCs w:val="24"/>
        </w:rPr>
      </w:pPr>
      <w:r>
        <w:rPr>
          <w:sz w:val="24"/>
          <w:szCs w:val="24"/>
        </w:rPr>
        <w:t>Benchmark Administrators to a Survey-Based Benchmark akin to LIBOR should be regulated similar to the framework set forth by the UK Financial Services Authority.</w:t>
      </w:r>
      <w:r>
        <w:rPr>
          <w:rStyle w:val="FootnoteReference"/>
          <w:sz w:val="24"/>
          <w:szCs w:val="24"/>
        </w:rPr>
        <w:footnoteReference w:id="16"/>
      </w:r>
      <w:r>
        <w:rPr>
          <w:sz w:val="24"/>
          <w:szCs w:val="24"/>
        </w:rPr>
        <w:t xml:space="preserve"> </w:t>
      </w:r>
    </w:p>
    <w:p w:rsidR="009E260C" w:rsidRPr="009E260C" w:rsidRDefault="009E260C" w:rsidP="009E260C">
      <w:pPr>
        <w:pStyle w:val="Default"/>
        <w:rPr>
          <w:b/>
          <w:bCs/>
        </w:rPr>
      </w:pPr>
      <w:r w:rsidRPr="009E260C">
        <w:rPr>
          <w:b/>
          <w:bCs/>
        </w:rPr>
        <w:t xml:space="preserve">Question 4: Principles for firms involved in benchmark data submissions </w:t>
      </w:r>
    </w:p>
    <w:p w:rsidR="009E260C" w:rsidRPr="009E260C" w:rsidRDefault="009E260C" w:rsidP="009E260C">
      <w:pPr>
        <w:pStyle w:val="Default"/>
      </w:pPr>
      <w:r w:rsidRPr="009E260C">
        <w:t>Do you agree with the principles cited in this section? Would you add or change any of the principles?</w:t>
      </w:r>
    </w:p>
    <w:p w:rsidR="009E260C" w:rsidRPr="009E260C" w:rsidRDefault="009E260C" w:rsidP="009E260C">
      <w:pPr>
        <w:pStyle w:val="Default"/>
      </w:pPr>
    </w:p>
    <w:p w:rsidR="009E260C" w:rsidRPr="009E260C" w:rsidRDefault="009E260C" w:rsidP="009E260C">
      <w:pPr>
        <w:pStyle w:val="Default"/>
      </w:pPr>
      <w:r w:rsidRPr="009E260C">
        <w:rPr>
          <w:b/>
          <w:bCs/>
        </w:rPr>
        <w:t xml:space="preserve">Question 5: Principles for benchmark administrators </w:t>
      </w:r>
    </w:p>
    <w:p w:rsidR="009E260C" w:rsidRPr="009E260C" w:rsidRDefault="009E260C" w:rsidP="009E260C">
      <w:pPr>
        <w:pStyle w:val="Default"/>
      </w:pPr>
      <w:r w:rsidRPr="009E260C">
        <w:t>Do you agree with the principles cited in this section? Would you add or change any of the principles?</w:t>
      </w:r>
    </w:p>
    <w:p w:rsidR="009E260C" w:rsidRPr="009E260C" w:rsidRDefault="009E260C" w:rsidP="009E260C">
      <w:pPr>
        <w:pStyle w:val="Default"/>
      </w:pPr>
    </w:p>
    <w:p w:rsidR="009E260C" w:rsidRPr="009E260C" w:rsidRDefault="009E260C" w:rsidP="009E260C">
      <w:pPr>
        <w:pStyle w:val="Default"/>
      </w:pPr>
      <w:r w:rsidRPr="009E260C">
        <w:rPr>
          <w:b/>
          <w:bCs/>
        </w:rPr>
        <w:lastRenderedPageBreak/>
        <w:t xml:space="preserve">Question 6: Principles for benchmark calculation agents </w:t>
      </w:r>
    </w:p>
    <w:p w:rsidR="009E260C" w:rsidRPr="009E260C" w:rsidRDefault="009E260C" w:rsidP="009E260C">
      <w:pPr>
        <w:keepNext/>
        <w:autoSpaceDE w:val="0"/>
        <w:autoSpaceDN w:val="0"/>
        <w:adjustRightInd w:val="0"/>
        <w:rPr>
          <w:sz w:val="24"/>
          <w:szCs w:val="24"/>
        </w:rPr>
      </w:pPr>
      <w:r w:rsidRPr="009E260C">
        <w:rPr>
          <w:sz w:val="24"/>
          <w:szCs w:val="24"/>
        </w:rPr>
        <w:t xml:space="preserve">Do you agree with the principles cited in this section? Would you add or change any of the principles? </w:t>
      </w:r>
    </w:p>
    <w:p w:rsidR="009E260C" w:rsidRPr="009E260C" w:rsidRDefault="009E260C" w:rsidP="009E260C">
      <w:pPr>
        <w:keepNext/>
        <w:autoSpaceDE w:val="0"/>
        <w:autoSpaceDN w:val="0"/>
        <w:adjustRightInd w:val="0"/>
        <w:rPr>
          <w:sz w:val="24"/>
          <w:szCs w:val="24"/>
        </w:rPr>
      </w:pPr>
    </w:p>
    <w:p w:rsidR="009E260C" w:rsidRPr="009E260C" w:rsidRDefault="009E260C" w:rsidP="009E260C">
      <w:pPr>
        <w:pStyle w:val="Default"/>
        <w:keepNext/>
      </w:pPr>
      <w:r w:rsidRPr="009E260C">
        <w:rPr>
          <w:b/>
          <w:bCs/>
        </w:rPr>
        <w:t xml:space="preserve">Question 7: Principles for benchmark publishers </w:t>
      </w:r>
    </w:p>
    <w:p w:rsidR="009E260C" w:rsidRDefault="009E260C" w:rsidP="009E260C">
      <w:pPr>
        <w:pStyle w:val="Default"/>
      </w:pPr>
      <w:r w:rsidRPr="009E260C">
        <w:t>Do you agree with the principles cited in this section? Would you add or change any of the principles?</w:t>
      </w:r>
    </w:p>
    <w:p w:rsidR="009E260C" w:rsidRDefault="009E260C" w:rsidP="009E260C">
      <w:pPr>
        <w:pStyle w:val="Default"/>
      </w:pPr>
    </w:p>
    <w:p w:rsidR="00F5791E" w:rsidRPr="00F5791E" w:rsidRDefault="00F5791E" w:rsidP="009E260C">
      <w:pPr>
        <w:pStyle w:val="Default"/>
        <w:rPr>
          <w:u w:val="single"/>
        </w:rPr>
      </w:pPr>
      <w:r>
        <w:rPr>
          <w:u w:val="single"/>
        </w:rPr>
        <w:t>Generally</w:t>
      </w:r>
    </w:p>
    <w:p w:rsidR="00236CC5" w:rsidRDefault="00236CC5" w:rsidP="0092511C">
      <w:pPr>
        <w:pStyle w:val="AONormal"/>
        <w:spacing w:beforeLines="120" w:afterLines="120" w:line="240" w:lineRule="auto"/>
        <w:ind w:left="720"/>
        <w:contextualSpacing/>
        <w:rPr>
          <w:sz w:val="24"/>
          <w:szCs w:val="24"/>
        </w:rPr>
      </w:pPr>
      <w:r>
        <w:rPr>
          <w:sz w:val="24"/>
          <w:szCs w:val="24"/>
        </w:rPr>
        <w:t>Please see Russell’</w:t>
      </w:r>
      <w:r w:rsidR="00433AEF">
        <w:rPr>
          <w:sz w:val="24"/>
          <w:szCs w:val="24"/>
        </w:rPr>
        <w:t>s response to Questions 2 and 3</w:t>
      </w:r>
      <w:r w:rsidR="00F5791E">
        <w:rPr>
          <w:sz w:val="24"/>
          <w:szCs w:val="24"/>
        </w:rPr>
        <w:t>, above.</w:t>
      </w:r>
      <w:r>
        <w:rPr>
          <w:sz w:val="24"/>
          <w:szCs w:val="24"/>
        </w:rPr>
        <w:t xml:space="preserve"> </w:t>
      </w:r>
    </w:p>
    <w:p w:rsidR="00236CC5" w:rsidRDefault="00236CC5" w:rsidP="00715EAD">
      <w:pPr>
        <w:pStyle w:val="AONormal"/>
        <w:spacing w:beforeLines="120" w:afterLines="120" w:line="240" w:lineRule="auto"/>
        <w:ind w:left="720"/>
        <w:contextualSpacing/>
        <w:rPr>
          <w:sz w:val="24"/>
          <w:szCs w:val="24"/>
        </w:rPr>
      </w:pPr>
    </w:p>
    <w:p w:rsidR="00EC46CB" w:rsidRDefault="009E260C" w:rsidP="00715EAD">
      <w:pPr>
        <w:pStyle w:val="AONormal"/>
        <w:spacing w:beforeLines="120" w:afterLines="120" w:line="240" w:lineRule="auto"/>
        <w:ind w:left="720"/>
        <w:contextualSpacing/>
        <w:rPr>
          <w:sz w:val="24"/>
          <w:szCs w:val="24"/>
        </w:rPr>
      </w:pPr>
      <w:r>
        <w:rPr>
          <w:sz w:val="24"/>
          <w:szCs w:val="24"/>
        </w:rPr>
        <w:t xml:space="preserve">Russell agrees in concept that any </w:t>
      </w:r>
      <w:r w:rsidR="00F5791E">
        <w:rPr>
          <w:sz w:val="24"/>
          <w:szCs w:val="24"/>
        </w:rPr>
        <w:t>principles envisaged in Questions 3-7</w:t>
      </w:r>
      <w:r>
        <w:rPr>
          <w:sz w:val="24"/>
          <w:szCs w:val="24"/>
        </w:rPr>
        <w:t xml:space="preserve"> must first and foremost draw distinctions between Public Data Benchmarks and Survey-Based Benchmarks, lightly </w:t>
      </w:r>
      <w:r w:rsidR="00F5791E">
        <w:rPr>
          <w:sz w:val="24"/>
          <w:szCs w:val="24"/>
        </w:rPr>
        <w:t xml:space="preserve">governing </w:t>
      </w:r>
      <w:r>
        <w:rPr>
          <w:sz w:val="24"/>
          <w:szCs w:val="24"/>
        </w:rPr>
        <w:t xml:space="preserve">the former and substantively </w:t>
      </w:r>
      <w:r w:rsidR="00F5791E">
        <w:rPr>
          <w:sz w:val="24"/>
          <w:szCs w:val="24"/>
        </w:rPr>
        <w:t>governing</w:t>
      </w:r>
      <w:r>
        <w:rPr>
          <w:sz w:val="24"/>
          <w:szCs w:val="24"/>
        </w:rPr>
        <w:t xml:space="preserve"> the latter.  </w:t>
      </w:r>
      <w:r w:rsidR="00EA42AA">
        <w:rPr>
          <w:sz w:val="24"/>
          <w:szCs w:val="24"/>
        </w:rPr>
        <w:t>Taking into account</w:t>
      </w:r>
      <w:r w:rsidR="00F5791E">
        <w:rPr>
          <w:sz w:val="24"/>
          <w:szCs w:val="24"/>
        </w:rPr>
        <w:t xml:space="preserve"> the differences </w:t>
      </w:r>
      <w:r>
        <w:rPr>
          <w:sz w:val="24"/>
          <w:szCs w:val="24"/>
        </w:rPr>
        <w:t xml:space="preserve">between Public Data Benchmarks and Survey-Based Benchmarks </w:t>
      </w:r>
      <w:r w:rsidR="00F5791E">
        <w:rPr>
          <w:sz w:val="24"/>
          <w:szCs w:val="24"/>
        </w:rPr>
        <w:t>well crafted principles should consider</w:t>
      </w:r>
      <w:r>
        <w:rPr>
          <w:sz w:val="24"/>
          <w:szCs w:val="24"/>
        </w:rPr>
        <w:t xml:space="preserve">: (i) </w:t>
      </w:r>
      <w:r w:rsidR="00F5791E">
        <w:rPr>
          <w:sz w:val="24"/>
          <w:szCs w:val="24"/>
        </w:rPr>
        <w:t xml:space="preserve">whether </w:t>
      </w:r>
      <w:r>
        <w:rPr>
          <w:sz w:val="24"/>
          <w:szCs w:val="24"/>
        </w:rPr>
        <w:t xml:space="preserve">material incentives and opportunity for manipulation exist with respect to the input data to, and administration of, Survey-Based Benchmarks in a given set of facts and circumstances; (ii) </w:t>
      </w:r>
      <w:r w:rsidR="00F5791E">
        <w:rPr>
          <w:sz w:val="24"/>
          <w:szCs w:val="24"/>
        </w:rPr>
        <w:t xml:space="preserve">the facts and circumstances surrounding </w:t>
      </w:r>
      <w:r>
        <w:rPr>
          <w:sz w:val="24"/>
          <w:szCs w:val="24"/>
        </w:rPr>
        <w:t>Contributing firms</w:t>
      </w:r>
      <w:r w:rsidR="00F5791E">
        <w:rPr>
          <w:sz w:val="24"/>
          <w:szCs w:val="24"/>
        </w:rPr>
        <w:t xml:space="preserve"> to, and </w:t>
      </w:r>
      <w:r>
        <w:rPr>
          <w:sz w:val="24"/>
          <w:szCs w:val="24"/>
        </w:rPr>
        <w:t>Administrators of</w:t>
      </w:r>
      <w:r w:rsidR="00F5791E">
        <w:rPr>
          <w:sz w:val="24"/>
          <w:szCs w:val="24"/>
        </w:rPr>
        <w:t>,</w:t>
      </w:r>
      <w:r>
        <w:rPr>
          <w:sz w:val="24"/>
          <w:szCs w:val="24"/>
        </w:rPr>
        <w:t xml:space="preserve"> Survey-Based Benchmarks, and (iii) </w:t>
      </w:r>
      <w:r w:rsidR="00F5791E">
        <w:rPr>
          <w:sz w:val="24"/>
          <w:szCs w:val="24"/>
        </w:rPr>
        <w:t xml:space="preserve">whether </w:t>
      </w:r>
      <w:r>
        <w:rPr>
          <w:sz w:val="24"/>
          <w:szCs w:val="24"/>
        </w:rPr>
        <w:t xml:space="preserve">Contributing firms and Benchmark </w:t>
      </w:r>
      <w:r w:rsidR="00F5791E">
        <w:rPr>
          <w:sz w:val="24"/>
          <w:szCs w:val="24"/>
        </w:rPr>
        <w:t>a</w:t>
      </w:r>
      <w:r>
        <w:rPr>
          <w:sz w:val="24"/>
          <w:szCs w:val="24"/>
        </w:rPr>
        <w:t xml:space="preserve">dministrators are already subject to regulation which could accomplish any </w:t>
      </w:r>
      <w:r w:rsidR="00F5791E">
        <w:rPr>
          <w:sz w:val="24"/>
          <w:szCs w:val="24"/>
        </w:rPr>
        <w:t>principles-based</w:t>
      </w:r>
      <w:r>
        <w:rPr>
          <w:sz w:val="24"/>
          <w:szCs w:val="24"/>
        </w:rPr>
        <w:t xml:space="preserve"> goals.</w:t>
      </w:r>
    </w:p>
    <w:p w:rsidR="009E260C" w:rsidRDefault="009E260C" w:rsidP="00715EAD">
      <w:pPr>
        <w:pStyle w:val="AONormal"/>
        <w:spacing w:beforeLines="120" w:afterLines="120" w:line="240" w:lineRule="auto"/>
        <w:contextualSpacing/>
        <w:rPr>
          <w:sz w:val="24"/>
          <w:szCs w:val="24"/>
        </w:rPr>
      </w:pPr>
    </w:p>
    <w:p w:rsidR="009E260C" w:rsidRDefault="009E260C" w:rsidP="00F5791E">
      <w:pPr>
        <w:pStyle w:val="AONormal"/>
        <w:spacing w:before="120" w:after="120" w:line="240" w:lineRule="auto"/>
        <w:ind w:left="720"/>
        <w:contextualSpacing/>
        <w:rPr>
          <w:sz w:val="24"/>
          <w:szCs w:val="24"/>
        </w:rPr>
      </w:pPr>
      <w:r>
        <w:rPr>
          <w:sz w:val="24"/>
          <w:szCs w:val="24"/>
        </w:rPr>
        <w:t xml:space="preserve">Russell does not think that any distinctions should be made between Benchmarks created by independent Benchmark providers and index providers who are, or who are owned or controlled by, regulated exchanges.  In fact, Benchmarks created by regulated exchanges or banks, and more importantly the exchanges or banks themselves, should be viewed similar to Survey-Based Benchmarks and receive </w:t>
      </w:r>
      <w:r w:rsidR="00F5791E">
        <w:rPr>
          <w:sz w:val="24"/>
          <w:szCs w:val="24"/>
        </w:rPr>
        <w:t>appropriate</w:t>
      </w:r>
      <w:r>
        <w:rPr>
          <w:sz w:val="24"/>
          <w:szCs w:val="24"/>
        </w:rPr>
        <w:t xml:space="preserve"> scrutiny </w:t>
      </w:r>
      <w:r w:rsidR="00F5791E">
        <w:rPr>
          <w:sz w:val="24"/>
          <w:szCs w:val="24"/>
        </w:rPr>
        <w:t>for</w:t>
      </w:r>
      <w:r>
        <w:rPr>
          <w:sz w:val="24"/>
          <w:szCs w:val="24"/>
        </w:rPr>
        <w:t xml:space="preserve"> the heightened potential for abusive practices such as insider trading, improper favouritism of exchange or bank clients over other clients as well as conflicts of interest with the exchanges’ or banks’ other lines of business such as brokerage, research, mergers and acquisitions, etc.</w:t>
      </w:r>
      <w:r>
        <w:rPr>
          <w:rStyle w:val="FootnoteReference"/>
          <w:sz w:val="24"/>
          <w:szCs w:val="24"/>
        </w:rPr>
        <w:footnoteReference w:id="17"/>
      </w:r>
      <w:r>
        <w:rPr>
          <w:sz w:val="24"/>
          <w:szCs w:val="24"/>
        </w:rPr>
        <w:t xml:space="preserve">  In addition, conflicts of interest may arise with respect to membership in a Benchmark where certain Benchmark constituents are also key clients of the exchange/bank.</w:t>
      </w:r>
      <w:r>
        <w:rPr>
          <w:rStyle w:val="FootnoteReference"/>
          <w:sz w:val="24"/>
          <w:szCs w:val="24"/>
        </w:rPr>
        <w:footnoteReference w:id="18"/>
      </w:r>
      <w:r>
        <w:rPr>
          <w:sz w:val="24"/>
          <w:szCs w:val="24"/>
        </w:rPr>
        <w:t xml:space="preserve">    </w:t>
      </w:r>
    </w:p>
    <w:p w:rsidR="009E260C" w:rsidRDefault="009E260C" w:rsidP="00715EAD">
      <w:pPr>
        <w:pStyle w:val="AONormal"/>
        <w:spacing w:beforeLines="120" w:afterLines="120"/>
        <w:contextualSpacing/>
        <w:rPr>
          <w:sz w:val="24"/>
          <w:szCs w:val="24"/>
        </w:rPr>
      </w:pPr>
    </w:p>
    <w:p w:rsidR="00F5791E" w:rsidRDefault="00F5791E" w:rsidP="00715EAD">
      <w:pPr>
        <w:pStyle w:val="AONormal"/>
        <w:spacing w:beforeLines="120" w:afterLines="120"/>
        <w:contextualSpacing/>
        <w:rPr>
          <w:sz w:val="24"/>
          <w:szCs w:val="24"/>
        </w:rPr>
      </w:pPr>
      <w:r>
        <w:rPr>
          <w:sz w:val="24"/>
          <w:szCs w:val="24"/>
        </w:rPr>
        <w:tab/>
      </w:r>
      <w:r>
        <w:rPr>
          <w:sz w:val="24"/>
          <w:szCs w:val="24"/>
          <w:u w:val="single"/>
        </w:rPr>
        <w:t>Contributing firms</w:t>
      </w:r>
    </w:p>
    <w:p w:rsidR="00F5791E" w:rsidRDefault="00F5791E" w:rsidP="00715EAD">
      <w:pPr>
        <w:pStyle w:val="AONormal"/>
        <w:spacing w:beforeLines="120" w:afterLines="120"/>
        <w:contextualSpacing/>
        <w:rPr>
          <w:sz w:val="24"/>
          <w:szCs w:val="24"/>
        </w:rPr>
      </w:pPr>
    </w:p>
    <w:p w:rsidR="0081347C" w:rsidRDefault="0081347C" w:rsidP="00715EAD">
      <w:pPr>
        <w:pStyle w:val="AONormal"/>
        <w:spacing w:beforeLines="120" w:afterLines="120"/>
        <w:ind w:left="720"/>
        <w:contextualSpacing/>
        <w:rPr>
          <w:sz w:val="24"/>
          <w:szCs w:val="24"/>
        </w:rPr>
      </w:pPr>
      <w:r>
        <w:rPr>
          <w:sz w:val="24"/>
          <w:szCs w:val="24"/>
        </w:rPr>
        <w:t xml:space="preserve">Please see Russell’s response to Questions 2 and 3, above. </w:t>
      </w:r>
    </w:p>
    <w:p w:rsidR="0081347C" w:rsidRDefault="0081347C" w:rsidP="00715EAD">
      <w:pPr>
        <w:pStyle w:val="AONormal"/>
        <w:spacing w:beforeLines="120" w:afterLines="120"/>
        <w:ind w:left="720"/>
        <w:contextualSpacing/>
        <w:rPr>
          <w:sz w:val="24"/>
          <w:szCs w:val="24"/>
        </w:rPr>
      </w:pPr>
    </w:p>
    <w:p w:rsidR="00F5791E" w:rsidRDefault="00F5791E" w:rsidP="00715EAD">
      <w:pPr>
        <w:pStyle w:val="AONormal"/>
        <w:spacing w:beforeLines="120" w:afterLines="120"/>
        <w:ind w:left="720"/>
        <w:contextualSpacing/>
        <w:rPr>
          <w:sz w:val="24"/>
          <w:szCs w:val="24"/>
        </w:rPr>
      </w:pPr>
      <w:r>
        <w:rPr>
          <w:sz w:val="24"/>
          <w:szCs w:val="24"/>
        </w:rPr>
        <w:t>Russell believes that Contributing firms should implement appropriate control frameworks.</w:t>
      </w:r>
      <w:r>
        <w:rPr>
          <w:rStyle w:val="FootnoteReference"/>
          <w:sz w:val="24"/>
          <w:szCs w:val="24"/>
        </w:rPr>
        <w:footnoteReference w:id="19"/>
      </w:r>
      <w:r>
        <w:rPr>
          <w:sz w:val="24"/>
          <w:szCs w:val="24"/>
        </w:rPr>
        <w:t xml:space="preserve">  This requirement flows as a matter of basic corporate compliance and ethics in addition to any regulatory obligations imposed on Contributing firms.</w:t>
      </w:r>
      <w:r w:rsidR="006D0D4E">
        <w:rPr>
          <w:sz w:val="24"/>
          <w:szCs w:val="24"/>
        </w:rPr>
        <w:t xml:space="preserve">  </w:t>
      </w:r>
      <w:r w:rsidR="006D0D4E" w:rsidRPr="00A4603B">
        <w:rPr>
          <w:sz w:val="24"/>
          <w:szCs w:val="24"/>
        </w:rPr>
        <w:t xml:space="preserve">Russell </w:t>
      </w:r>
      <w:r w:rsidR="006D0D4E">
        <w:rPr>
          <w:sz w:val="24"/>
          <w:szCs w:val="24"/>
        </w:rPr>
        <w:lastRenderedPageBreak/>
        <w:t>agrees that Contributing firms and administrators, as appropriate to their respective responsibilities, should preserve relevant records and cooperate with regulatory authorities.  Contributing firms’ external auditors should review their submissions and apply procedures to ensure that the submissions reasonably represent what they purported to represent.</w:t>
      </w:r>
      <w:r w:rsidR="006D0D4E">
        <w:rPr>
          <w:rStyle w:val="FootnoteReference"/>
          <w:sz w:val="24"/>
          <w:szCs w:val="24"/>
        </w:rPr>
        <w:footnoteReference w:id="20"/>
      </w:r>
      <w:r w:rsidR="006D0D4E">
        <w:rPr>
          <w:sz w:val="24"/>
          <w:szCs w:val="24"/>
        </w:rPr>
        <w:t xml:space="preserve">  For example, if a Contributing firm submitted their daily cost of capital as an input to a bank lending rate, those submissions should be reviewed by their auditors to ensure that the submissions were reasonable given the facts and circumstances prevailing as of the time of submission.</w:t>
      </w:r>
      <w:r w:rsidR="006D0D4E" w:rsidRPr="006D0D4E">
        <w:rPr>
          <w:sz w:val="24"/>
          <w:szCs w:val="24"/>
        </w:rPr>
        <w:t xml:space="preserve"> </w:t>
      </w:r>
      <w:r w:rsidR="006D0D4E">
        <w:rPr>
          <w:sz w:val="24"/>
          <w:szCs w:val="24"/>
        </w:rPr>
        <w:t>As a result of such reviews some form of assurance (e.g., an Agreed Upon Procedures Report) should be sent in confidence to the Administrator.  Any required audits should be performed by independent accountants such as Certified Public Accountants or Charted Accountants.</w:t>
      </w:r>
    </w:p>
    <w:p w:rsidR="00F5791E" w:rsidRDefault="00F5791E" w:rsidP="00715EAD">
      <w:pPr>
        <w:pStyle w:val="AONormal"/>
        <w:spacing w:beforeLines="120" w:afterLines="120"/>
        <w:contextualSpacing/>
        <w:rPr>
          <w:sz w:val="24"/>
          <w:szCs w:val="24"/>
        </w:rPr>
      </w:pPr>
      <w:r>
        <w:rPr>
          <w:sz w:val="24"/>
          <w:szCs w:val="24"/>
        </w:rPr>
        <w:tab/>
      </w:r>
    </w:p>
    <w:p w:rsidR="0081347C" w:rsidRDefault="0081347C" w:rsidP="00715EAD">
      <w:pPr>
        <w:pStyle w:val="AONormal"/>
        <w:spacing w:beforeLines="120" w:afterLines="120"/>
        <w:contextualSpacing/>
        <w:rPr>
          <w:sz w:val="24"/>
          <w:szCs w:val="24"/>
        </w:rPr>
      </w:pPr>
      <w:r>
        <w:rPr>
          <w:sz w:val="24"/>
          <w:szCs w:val="24"/>
        </w:rPr>
        <w:tab/>
      </w:r>
      <w:r>
        <w:rPr>
          <w:sz w:val="24"/>
          <w:szCs w:val="24"/>
          <w:u w:val="single"/>
        </w:rPr>
        <w:t>Benchmark administrators</w:t>
      </w:r>
    </w:p>
    <w:p w:rsidR="0081347C" w:rsidRDefault="0081347C" w:rsidP="00715EAD">
      <w:pPr>
        <w:pStyle w:val="AONormal"/>
        <w:spacing w:beforeLines="120" w:afterLines="120"/>
        <w:contextualSpacing/>
        <w:rPr>
          <w:sz w:val="24"/>
          <w:szCs w:val="24"/>
        </w:rPr>
      </w:pPr>
    </w:p>
    <w:p w:rsidR="0081347C" w:rsidRDefault="0081347C" w:rsidP="00715EAD">
      <w:pPr>
        <w:pStyle w:val="AONormal"/>
        <w:spacing w:beforeLines="120" w:afterLines="120"/>
        <w:ind w:left="720"/>
        <w:contextualSpacing/>
        <w:rPr>
          <w:sz w:val="24"/>
          <w:szCs w:val="24"/>
        </w:rPr>
      </w:pPr>
      <w:r>
        <w:rPr>
          <w:sz w:val="24"/>
          <w:szCs w:val="24"/>
        </w:rPr>
        <w:t>Please see Russell’s response to Questions 2 and 3, above.</w:t>
      </w:r>
      <w:r w:rsidR="003A65FB">
        <w:rPr>
          <w:sz w:val="24"/>
          <w:szCs w:val="24"/>
        </w:rPr>
        <w:t xml:space="preserve"> Russell can appreciate that prudent standards for Benchmark </w:t>
      </w:r>
      <w:r w:rsidR="002A49F9">
        <w:rPr>
          <w:sz w:val="24"/>
          <w:szCs w:val="24"/>
        </w:rPr>
        <w:t>a</w:t>
      </w:r>
      <w:r w:rsidR="003A65FB">
        <w:rPr>
          <w:sz w:val="24"/>
          <w:szCs w:val="24"/>
        </w:rPr>
        <w:t>dministration, if crafted intelligently, would benefit investors, markets and the Benchmark industry.  To that end, Russell thinks that an industry committee of recognized Benchmarking, performance measurement and legal professionals is best positioned to craft such standards which would be approved akin to the FSA confirmed industry guidance process as outlined in the FSA Paper.</w:t>
      </w:r>
      <w:r w:rsidR="003A65FB">
        <w:rPr>
          <w:rStyle w:val="FootnoteReference"/>
          <w:sz w:val="24"/>
          <w:szCs w:val="24"/>
        </w:rPr>
        <w:footnoteReference w:id="21"/>
      </w:r>
    </w:p>
    <w:p w:rsidR="0081347C" w:rsidRDefault="0081347C" w:rsidP="00715EAD">
      <w:pPr>
        <w:pStyle w:val="AONormal"/>
        <w:spacing w:beforeLines="120" w:afterLines="120"/>
        <w:contextualSpacing/>
        <w:rPr>
          <w:sz w:val="24"/>
          <w:szCs w:val="24"/>
        </w:rPr>
      </w:pPr>
    </w:p>
    <w:p w:rsidR="0081347C" w:rsidRDefault="003A65FB" w:rsidP="00715EAD">
      <w:pPr>
        <w:pStyle w:val="AONormal"/>
        <w:spacing w:beforeLines="120" w:afterLines="120"/>
        <w:ind w:left="720"/>
        <w:contextualSpacing/>
        <w:rPr>
          <w:sz w:val="24"/>
          <w:szCs w:val="24"/>
        </w:rPr>
      </w:pPr>
      <w:r>
        <w:rPr>
          <w:sz w:val="24"/>
          <w:szCs w:val="24"/>
        </w:rPr>
        <w:t>Russell generally agrees with the proposed principles for Benchmark administrators, but suggests that several elements of those principles will not enhance an administrators’ control framework and could have deleterious effects on Benchmark administration.  Russell agrees that any compliance functions must be reasonably independent of the administrators’ business operations, but does not agree that inserting independent or “non-contrib</w:t>
      </w:r>
      <w:r w:rsidR="002A49F9">
        <w:rPr>
          <w:sz w:val="24"/>
          <w:szCs w:val="24"/>
        </w:rPr>
        <w:t>uting” personnel throughout the</w:t>
      </w:r>
      <w:r>
        <w:rPr>
          <w:sz w:val="24"/>
          <w:szCs w:val="24"/>
        </w:rPr>
        <w:t xml:space="preserve"> administrators’ operations will accomplish the goals of such principles.</w:t>
      </w:r>
      <w:r w:rsidR="002A49F9">
        <w:rPr>
          <w:sz w:val="24"/>
          <w:szCs w:val="24"/>
        </w:rPr>
        <w:t xml:space="preserve">  Where governance or compliance committees take minutes, the minutes should be preserved, but not posted in order to avoid any chilling effect on frank dialogue at those committee meetings.</w:t>
      </w:r>
    </w:p>
    <w:p w:rsidR="00187C5F" w:rsidRPr="00187C5F" w:rsidRDefault="00187C5F" w:rsidP="00187C5F">
      <w:pPr>
        <w:pStyle w:val="Default"/>
        <w:rPr>
          <w:b/>
          <w:bCs/>
        </w:rPr>
      </w:pPr>
      <w:r w:rsidRPr="00187C5F">
        <w:rPr>
          <w:b/>
          <w:bCs/>
        </w:rPr>
        <w:t xml:space="preserve">Question 8: Principles for users of benchmarks </w:t>
      </w:r>
    </w:p>
    <w:p w:rsidR="00187C5F" w:rsidRDefault="00187C5F" w:rsidP="00187C5F">
      <w:pPr>
        <w:pStyle w:val="Default"/>
      </w:pPr>
      <w:r w:rsidRPr="00187C5F">
        <w:t>Do you agree with the principles cited in this section? Would you add or change any of the principles?</w:t>
      </w:r>
    </w:p>
    <w:p w:rsidR="00187C5F" w:rsidRDefault="00187C5F" w:rsidP="00187C5F">
      <w:pPr>
        <w:pStyle w:val="Default"/>
      </w:pPr>
    </w:p>
    <w:p w:rsidR="00187C5F" w:rsidRDefault="007370CB" w:rsidP="007370CB">
      <w:pPr>
        <w:pStyle w:val="Default"/>
        <w:ind w:left="720"/>
      </w:pPr>
      <w:r>
        <w:t xml:space="preserve">Although Russell applauds the intention behind this question it does not think that Benchmark users (whether or not they are regulated) should have an official role in with respect to the operation or regulation of Benchmark providers, however Russell does believe that Benchmark users can play a critical role in the Benchmark creation process.  Matters related to the regulation of Benchmarks must be reconciled between Benchmark providers and regulatory authorities.  However, Benchmark users are critical to the Benchmarking process.  Russell consults client advisory boards to survey client preferences and ideas with respect to its Benchmarks.  In addition, Russell consults with </w:t>
      </w:r>
      <w:r>
        <w:lastRenderedPageBreak/>
        <w:t>exchange traded product sponsors in the creation of Benchmarks used in those products.  In these consultations, Benchmark users have ample and effective ability to help Russell enhance the effectiveness of its Benchmarks.  To that extent, Russell agrees that Benchmark users have a role to play in enhancing Benchmark quality.  That said, Russell believes that Benchmark providers must retain absolute control and authority over the design, creation, calculation and maintenance of their Benchmarks and maintain effective control frameworks for their operations.</w:t>
      </w:r>
    </w:p>
    <w:p w:rsidR="007370CB" w:rsidRDefault="007370CB" w:rsidP="007370CB">
      <w:pPr>
        <w:pStyle w:val="Default"/>
        <w:ind w:left="720"/>
      </w:pPr>
    </w:p>
    <w:p w:rsidR="007370CB" w:rsidRDefault="007370CB" w:rsidP="007370CB">
      <w:pPr>
        <w:pStyle w:val="Default"/>
        <w:ind w:left="720"/>
      </w:pPr>
      <w:r>
        <w:t xml:space="preserve">It is incumbent on Benchmark providers to produce analytically sound Benchmarks and for the user of the Benchmark (whether the intended user or a user who discovers innovative uses for Benchmarks), to demonstrate an analytical causal relationship between a Benchmark and its purported usage.  Any principles for Benchmark users should be designed, and limited to, </w:t>
      </w:r>
      <w:r w:rsidR="00503D9B">
        <w:t xml:space="preserve">promoting </w:t>
      </w:r>
      <w:r>
        <w:t>intelligent and suitable usage of Benchmarks</w:t>
      </w:r>
      <w:r w:rsidR="00503D9B">
        <w:t>.</w:t>
      </w:r>
    </w:p>
    <w:p w:rsidR="00503D9B" w:rsidRDefault="00503D9B" w:rsidP="00503D9B">
      <w:pPr>
        <w:pStyle w:val="Default"/>
      </w:pPr>
    </w:p>
    <w:p w:rsidR="00503D9B" w:rsidRPr="00503D9B" w:rsidRDefault="00503D9B" w:rsidP="00503D9B">
      <w:pPr>
        <w:pStyle w:val="Default"/>
      </w:pPr>
      <w:r w:rsidRPr="00503D9B">
        <w:rPr>
          <w:b/>
          <w:bCs/>
        </w:rPr>
        <w:t xml:space="preserve">Question 9: Practical application of the principles </w:t>
      </w:r>
    </w:p>
    <w:p w:rsidR="00503D9B" w:rsidRDefault="00503D9B" w:rsidP="00503D9B">
      <w:pPr>
        <w:pStyle w:val="Default"/>
      </w:pPr>
      <w:r w:rsidRPr="00503D9B">
        <w:t>Are there any areas of benchmarks for which the above principles would be inadequate? If so, please provide details on the relevant benchmarks and the reasons of inadequacy.</w:t>
      </w:r>
    </w:p>
    <w:p w:rsidR="00503D9B" w:rsidRDefault="00503D9B" w:rsidP="00503D9B">
      <w:pPr>
        <w:pStyle w:val="Default"/>
      </w:pPr>
    </w:p>
    <w:p w:rsidR="00503D9B" w:rsidRDefault="00503D9B" w:rsidP="00503D9B">
      <w:pPr>
        <w:pStyle w:val="AONormal"/>
        <w:spacing w:before="120" w:after="120" w:line="240" w:lineRule="auto"/>
        <w:ind w:left="720"/>
        <w:contextualSpacing/>
      </w:pPr>
      <w:r>
        <w:t>Please see Russell’s responses to Questions 4-7, above.</w:t>
      </w:r>
      <w:r w:rsidR="00404430" w:rsidRPr="00404430">
        <w:rPr>
          <w:sz w:val="24"/>
          <w:szCs w:val="24"/>
        </w:rPr>
        <w:t xml:space="preserve"> </w:t>
      </w:r>
      <w:r w:rsidR="00404430">
        <w:rPr>
          <w:sz w:val="24"/>
          <w:szCs w:val="24"/>
        </w:rPr>
        <w:t xml:space="preserve"> Russell urges regulatory authorities to work collaboratively with Benchmark administrators, calculation agents, publishers and Contributing firms to create effective regulatory solutions that do not unduly burden the foregoing constituencies making use of existing regulatory structures where possible.  Any principles or regulations for the foregoing constituencies should be risk-based, proportional and administrable.</w:t>
      </w:r>
    </w:p>
    <w:p w:rsidR="00503D9B" w:rsidRDefault="00503D9B" w:rsidP="00503D9B">
      <w:pPr>
        <w:pStyle w:val="AONormal"/>
        <w:spacing w:before="120" w:after="120" w:line="240" w:lineRule="auto"/>
        <w:ind w:left="720"/>
        <w:contextualSpacing/>
      </w:pPr>
    </w:p>
    <w:p w:rsidR="00503D9B" w:rsidRDefault="00503D9B" w:rsidP="00503D9B">
      <w:pPr>
        <w:pStyle w:val="AONormal"/>
        <w:spacing w:before="120" w:after="120" w:line="240" w:lineRule="auto"/>
        <w:ind w:left="720"/>
        <w:contextualSpacing/>
        <w:rPr>
          <w:sz w:val="24"/>
          <w:szCs w:val="24"/>
        </w:rPr>
      </w:pPr>
      <w:r>
        <w:t>I</w:t>
      </w:r>
      <w:r>
        <w:rPr>
          <w:sz w:val="24"/>
          <w:szCs w:val="24"/>
        </w:rPr>
        <w:t xml:space="preserve">mposing governance </w:t>
      </w:r>
      <w:r w:rsidRPr="001F5A22">
        <w:rPr>
          <w:sz w:val="24"/>
          <w:szCs w:val="24"/>
        </w:rPr>
        <w:t>regulation</w:t>
      </w:r>
      <w:r>
        <w:rPr>
          <w:sz w:val="24"/>
          <w:szCs w:val="24"/>
        </w:rPr>
        <w:t>s, whether principles based or substantive regulation</w:t>
      </w:r>
      <w:r w:rsidRPr="001F5A22">
        <w:rPr>
          <w:sz w:val="24"/>
          <w:szCs w:val="24"/>
        </w:rPr>
        <w:t xml:space="preserve"> or self-regulation</w:t>
      </w:r>
      <w:r>
        <w:rPr>
          <w:sz w:val="24"/>
          <w:szCs w:val="24"/>
        </w:rPr>
        <w:t xml:space="preserve"> on Benchmarks requires careful consideration.  Successful Benchmarks that:  (i) underlie prudent investment products; (ii) are appropriate for performance attribution and (iii) are useful for financial research and development, are a fusion of innovation and analytics.  Regulation inevitably leads to a rigid structure that stifles creativity and innovation.  In addition, regulation is a static rather than dynamic product.  Investors and their fiduciaries pay the price for the rigidity of regulation and the inability of regulation to dynamically evolve with best practices in the form of fewer and less useful index products and performance measurement tools with which to achieve investment returns, reduce portfolio risk and benchmark investment outcomes and alternatives.  Russell can appreciate that prudent standards for Benchmark Administration, if crafted intelligently, would benefit investors, markets and the Benchmark industry.  </w:t>
      </w:r>
    </w:p>
    <w:p w:rsidR="00503D9B" w:rsidRDefault="00503D9B" w:rsidP="00404430">
      <w:pPr>
        <w:pStyle w:val="AONormal"/>
        <w:spacing w:before="120" w:after="120" w:line="240" w:lineRule="auto"/>
        <w:contextualSpacing/>
        <w:rPr>
          <w:sz w:val="24"/>
          <w:szCs w:val="24"/>
        </w:rPr>
      </w:pPr>
    </w:p>
    <w:p w:rsidR="00404430" w:rsidRPr="00404430" w:rsidRDefault="00404430" w:rsidP="00404430">
      <w:pPr>
        <w:pStyle w:val="Default"/>
      </w:pPr>
      <w:r w:rsidRPr="00404430">
        <w:rPr>
          <w:b/>
          <w:bCs/>
        </w:rPr>
        <w:t xml:space="preserve">Question 10: Continuity of benchmarks </w:t>
      </w:r>
    </w:p>
    <w:p w:rsidR="00404430" w:rsidRPr="00404430" w:rsidRDefault="00404430" w:rsidP="00404430">
      <w:pPr>
        <w:pStyle w:val="AONormal"/>
        <w:spacing w:before="120" w:after="120" w:line="240" w:lineRule="auto"/>
        <w:contextualSpacing/>
        <w:rPr>
          <w:sz w:val="24"/>
          <w:szCs w:val="24"/>
        </w:rPr>
      </w:pPr>
      <w:r w:rsidRPr="00404430">
        <w:rPr>
          <w:sz w:val="24"/>
          <w:szCs w:val="24"/>
        </w:rPr>
        <w:t>Which principles/criteria would you consider necessary to be established for the continuity of benchmarks in case of a change to the framework?</w:t>
      </w:r>
    </w:p>
    <w:p w:rsidR="00404430" w:rsidRPr="00404430" w:rsidRDefault="00404430" w:rsidP="00503D9B">
      <w:pPr>
        <w:pStyle w:val="AONormal"/>
        <w:spacing w:before="120" w:after="120" w:line="240" w:lineRule="auto"/>
        <w:ind w:left="720"/>
        <w:contextualSpacing/>
        <w:rPr>
          <w:sz w:val="24"/>
          <w:szCs w:val="24"/>
        </w:rPr>
      </w:pPr>
    </w:p>
    <w:p w:rsidR="00404430" w:rsidRDefault="00404430" w:rsidP="00404430">
      <w:pPr>
        <w:pStyle w:val="AONormal"/>
        <w:spacing w:before="120" w:after="120" w:line="240" w:lineRule="auto"/>
        <w:ind w:left="720"/>
        <w:contextualSpacing/>
        <w:rPr>
          <w:sz w:val="24"/>
          <w:szCs w:val="24"/>
        </w:rPr>
      </w:pPr>
      <w:r>
        <w:rPr>
          <w:sz w:val="24"/>
          <w:szCs w:val="24"/>
        </w:rPr>
        <w:lastRenderedPageBreak/>
        <w:t>Russell believes that transparent, fulsome methodologies are the best aid for Benchmark resiliency during periods of market stress</w:t>
      </w:r>
      <w:r w:rsidR="003E580C">
        <w:rPr>
          <w:sz w:val="24"/>
          <w:szCs w:val="24"/>
        </w:rPr>
        <w:t xml:space="preserve"> and mitigate the risk of Benchmark transitions and discontinuity</w:t>
      </w:r>
      <w:r>
        <w:rPr>
          <w:sz w:val="24"/>
          <w:szCs w:val="24"/>
        </w:rPr>
        <w:t xml:space="preserve">.  </w:t>
      </w:r>
      <w:r w:rsidR="003E580C">
        <w:rPr>
          <w:sz w:val="24"/>
          <w:szCs w:val="24"/>
        </w:rPr>
        <w:t>T</w:t>
      </w:r>
      <w:r>
        <w:rPr>
          <w:sz w:val="24"/>
          <w:szCs w:val="24"/>
        </w:rPr>
        <w:t xml:space="preserve">his is a reason why brand matters and premier Benchmark providers like Russell are superior to unbranded or captive Benchmark providers with little market presence and experience.  In short, markets, intermediaries and investors know and trust the expertise and integrity of a top brand Benchmark provider like Russell and this comforts them in times of market stress potentially eliminating the need for market transition.  </w:t>
      </w:r>
    </w:p>
    <w:p w:rsidR="00404430" w:rsidRDefault="00404430" w:rsidP="00404430">
      <w:pPr>
        <w:pStyle w:val="AONormal"/>
        <w:spacing w:before="120" w:after="120" w:line="240" w:lineRule="auto"/>
        <w:ind w:left="1440"/>
        <w:contextualSpacing/>
        <w:rPr>
          <w:sz w:val="24"/>
          <w:szCs w:val="24"/>
        </w:rPr>
      </w:pPr>
    </w:p>
    <w:p w:rsidR="00503D9B" w:rsidRDefault="00404430" w:rsidP="00404430">
      <w:pPr>
        <w:pStyle w:val="AONormal"/>
        <w:spacing w:before="120" w:after="120" w:line="240" w:lineRule="auto"/>
        <w:ind w:left="720"/>
        <w:contextualSpacing/>
        <w:rPr>
          <w:sz w:val="24"/>
          <w:szCs w:val="24"/>
        </w:rPr>
      </w:pPr>
      <w:r>
        <w:rPr>
          <w:sz w:val="24"/>
          <w:szCs w:val="24"/>
        </w:rPr>
        <w:t xml:space="preserve">Operationally, world class Benchmark providers like Russell maintain systemic measures that aid Benchmark resiliency during periods of market stress.  Such systems include </w:t>
      </w:r>
      <w:r w:rsidR="00EA42AA">
        <w:rPr>
          <w:sz w:val="24"/>
          <w:szCs w:val="24"/>
        </w:rPr>
        <w:t xml:space="preserve">regulatorily required </w:t>
      </w:r>
      <w:r>
        <w:rPr>
          <w:sz w:val="24"/>
          <w:szCs w:val="24"/>
        </w:rPr>
        <w:t>business continuity plans as well as fully redundant Benchmark platforms to mitigate physical systems failures.</w:t>
      </w:r>
    </w:p>
    <w:p w:rsidR="003E580C" w:rsidRDefault="003E580C" w:rsidP="00404430">
      <w:pPr>
        <w:pStyle w:val="AONormal"/>
        <w:spacing w:before="120" w:after="120" w:line="240" w:lineRule="auto"/>
        <w:ind w:left="720"/>
        <w:contextualSpacing/>
        <w:rPr>
          <w:sz w:val="24"/>
          <w:szCs w:val="24"/>
        </w:rPr>
      </w:pPr>
    </w:p>
    <w:p w:rsidR="003E580C" w:rsidRDefault="003E580C" w:rsidP="003E580C">
      <w:pPr>
        <w:pStyle w:val="AONormal"/>
        <w:spacing w:before="120" w:after="120" w:line="240" w:lineRule="auto"/>
        <w:ind w:left="720"/>
        <w:contextualSpacing/>
        <w:rPr>
          <w:sz w:val="24"/>
          <w:szCs w:val="24"/>
        </w:rPr>
      </w:pPr>
      <w:r>
        <w:rPr>
          <w:sz w:val="24"/>
          <w:szCs w:val="24"/>
        </w:rPr>
        <w:t xml:space="preserve">Russell thinks that two points of view should be considered in this question, that of the Benchmark provider and that of the issuer of products based on a Benchmark.  Benchmark providers typically have substantial business interests based on the Benchmark data licensing for performance attribution and data licensing for use of that data in exchange traded or structured products.  In the event that the Benchmark provider can no longer provide a particular Benchmark because, for example, key input data is no longer available or because the methodology no longer adequately measures a market, that benchmark provider will revise its methodology or redesign the Benchmark often in consultation with key licensees of that Benchmark to ensure acceptance and continuity of the Benchmark in question.  In the unlikely case where a Benchmark provider must totally cease production of a Benchmark that decision will be discussed with key licensees and the Benchmark provider will provide reasonable notice of the Benchmark’s termination date and possibly assist Benchmark licensees in their transition plans where requested or practicable.  </w:t>
      </w:r>
    </w:p>
    <w:p w:rsidR="003E580C" w:rsidRDefault="003E580C" w:rsidP="003E580C">
      <w:pPr>
        <w:pStyle w:val="AONormal"/>
        <w:spacing w:before="120" w:after="120" w:line="240" w:lineRule="auto"/>
        <w:ind w:left="1440"/>
        <w:contextualSpacing/>
        <w:rPr>
          <w:sz w:val="24"/>
          <w:szCs w:val="24"/>
        </w:rPr>
      </w:pPr>
    </w:p>
    <w:p w:rsidR="003E580C" w:rsidRDefault="003E580C" w:rsidP="003E580C">
      <w:pPr>
        <w:pStyle w:val="AONormal"/>
        <w:spacing w:before="120" w:after="120" w:line="240" w:lineRule="auto"/>
        <w:ind w:left="720"/>
        <w:contextualSpacing/>
        <w:rPr>
          <w:sz w:val="24"/>
          <w:szCs w:val="24"/>
        </w:rPr>
      </w:pPr>
      <w:r>
        <w:rPr>
          <w:sz w:val="24"/>
          <w:szCs w:val="24"/>
        </w:rPr>
        <w:t>Issuers of product based on Benchmarks may have greater or lesser concerns and needs in connection with a Benchmark replacement.  On one end of the spectrum, licensees of a Benchmark used in an exchange traded product may substitute one Benchmark for another.  In extreme situations licensees of a Benchmark used in an exchange traded product can delist and liquidate the product in the event that a Benchmark ceases to be available or the product is no longer viable.  Similarly, issuers of listed derivatives and OTC derivates can easily accommodate Benchmark substitutions and Benchmark eliminations with varying degrees of administrative complexity.</w:t>
      </w:r>
      <w:r>
        <w:rPr>
          <w:rStyle w:val="FootnoteReference"/>
          <w:sz w:val="24"/>
          <w:szCs w:val="24"/>
        </w:rPr>
        <w:footnoteReference w:id="22"/>
      </w:r>
      <w:r>
        <w:rPr>
          <w:sz w:val="24"/>
          <w:szCs w:val="24"/>
        </w:rPr>
        <w:t xml:space="preserve">  In addition to the communications between Benchmark providers and their licensees, the licensees will typically consult with others internally, with the directors or trustees of exchange traded products, exchanges and shareholders in case of liquidated products, the purchasers of affected structured products, etc.  These are the appropriate consultations to have and Russell sees no useful purpose in expanding the scope of consultations.</w:t>
      </w:r>
    </w:p>
    <w:p w:rsidR="002E01A8" w:rsidRDefault="002E01A8" w:rsidP="003E580C">
      <w:pPr>
        <w:pStyle w:val="AONormal"/>
        <w:spacing w:before="120" w:after="120" w:line="240" w:lineRule="auto"/>
        <w:ind w:left="720"/>
        <w:contextualSpacing/>
        <w:rPr>
          <w:sz w:val="24"/>
          <w:szCs w:val="24"/>
        </w:rPr>
      </w:pPr>
    </w:p>
    <w:p w:rsidR="003E580C" w:rsidRPr="00503D9B" w:rsidRDefault="003E580C" w:rsidP="003E580C">
      <w:pPr>
        <w:pStyle w:val="AONormal"/>
        <w:spacing w:before="120" w:after="120" w:line="240" w:lineRule="auto"/>
        <w:ind w:left="720"/>
        <w:contextualSpacing/>
        <w:rPr>
          <w:sz w:val="24"/>
          <w:szCs w:val="24"/>
        </w:rPr>
      </w:pPr>
      <w:r>
        <w:rPr>
          <w:sz w:val="24"/>
          <w:szCs w:val="24"/>
        </w:rPr>
        <w:lastRenderedPageBreak/>
        <w:t>Russell does not think that measures such as a “living will” are appropriate to Public Data Benchmark Administrators since, as noted above, Benchmark replacement is not a calamitous issue for Benchmark administrators, their licensees or markets which would require a “living will.”  Regulatory authorities should, however, ensure that organizations like the International Swap Dealer Association, clearing counterparties, and the issuers of financial contracts (e.g., mortgages, consumer loans, etc.) based on Benchmarks have provisions to ease the substitutions of underlying Benchmarks.</w:t>
      </w:r>
      <w:r>
        <w:rPr>
          <w:rStyle w:val="FootnoteReference"/>
          <w:sz w:val="24"/>
          <w:szCs w:val="24"/>
        </w:rPr>
        <w:footnoteReference w:id="23"/>
      </w:r>
    </w:p>
    <w:p w:rsidR="009E260C" w:rsidRDefault="009E260C" w:rsidP="00715EAD">
      <w:pPr>
        <w:pStyle w:val="AONormal"/>
        <w:spacing w:beforeLines="120" w:afterLines="120" w:line="240" w:lineRule="auto"/>
        <w:ind w:left="1440"/>
        <w:contextualSpacing/>
        <w:rPr>
          <w:sz w:val="24"/>
          <w:szCs w:val="24"/>
        </w:rPr>
      </w:pPr>
    </w:p>
    <w:p w:rsidR="00164C0A" w:rsidRDefault="00164C0A" w:rsidP="002E01A8">
      <w:pPr>
        <w:pStyle w:val="AONormal"/>
        <w:widowControl w:val="0"/>
        <w:spacing w:before="120" w:after="120" w:line="240" w:lineRule="auto"/>
        <w:contextualSpacing/>
        <w:rPr>
          <w:bCs/>
          <w:iCs/>
          <w:sz w:val="24"/>
          <w:szCs w:val="24"/>
        </w:rPr>
      </w:pPr>
      <w:r>
        <w:rPr>
          <w:bCs/>
          <w:iCs/>
          <w:sz w:val="24"/>
          <w:szCs w:val="24"/>
        </w:rPr>
        <w:t xml:space="preserve">   </w:t>
      </w:r>
    </w:p>
    <w:p w:rsidR="00164C0A" w:rsidRDefault="00164C0A" w:rsidP="000E15E8">
      <w:pPr>
        <w:pStyle w:val="AONormal"/>
        <w:widowControl w:val="0"/>
        <w:spacing w:before="120" w:after="120" w:line="240" w:lineRule="auto"/>
        <w:ind w:left="1440"/>
        <w:contextualSpacing/>
        <w:rPr>
          <w:bCs/>
          <w:iCs/>
          <w:sz w:val="24"/>
          <w:szCs w:val="24"/>
        </w:rPr>
      </w:pPr>
    </w:p>
    <w:p w:rsidR="00164C0A" w:rsidRDefault="00164C0A" w:rsidP="000E15E8">
      <w:pPr>
        <w:pStyle w:val="AONormal"/>
        <w:widowControl w:val="0"/>
        <w:spacing w:before="120" w:after="120" w:line="240" w:lineRule="auto"/>
        <w:ind w:left="1440"/>
        <w:contextualSpacing/>
        <w:rPr>
          <w:bCs/>
          <w:iCs/>
          <w:sz w:val="24"/>
          <w:szCs w:val="24"/>
        </w:rPr>
      </w:pPr>
    </w:p>
    <w:p w:rsidR="00164C0A" w:rsidRDefault="00164C0A" w:rsidP="000E15E8">
      <w:pPr>
        <w:pStyle w:val="AONormal"/>
        <w:widowControl w:val="0"/>
        <w:spacing w:before="120" w:after="120" w:line="240" w:lineRule="auto"/>
        <w:ind w:left="1440"/>
        <w:contextualSpacing/>
        <w:rPr>
          <w:bCs/>
          <w:iCs/>
          <w:sz w:val="24"/>
          <w:szCs w:val="24"/>
        </w:rPr>
      </w:pPr>
    </w:p>
    <w:p w:rsidR="00164C0A" w:rsidRDefault="00164C0A" w:rsidP="000E15E8">
      <w:pPr>
        <w:pStyle w:val="AONormal"/>
        <w:widowControl w:val="0"/>
        <w:spacing w:before="120" w:after="120" w:line="240" w:lineRule="auto"/>
        <w:contextualSpacing/>
        <w:rPr>
          <w:sz w:val="24"/>
          <w:szCs w:val="24"/>
          <w:lang w:eastAsia="zh-CN"/>
        </w:rPr>
      </w:pPr>
      <w:r>
        <w:rPr>
          <w:sz w:val="24"/>
          <w:szCs w:val="24"/>
          <w:lang w:eastAsia="zh-CN"/>
        </w:rPr>
        <w:t>Sincerely,</w:t>
      </w:r>
    </w:p>
    <w:p w:rsidR="00164C0A" w:rsidRDefault="00164C0A" w:rsidP="000E15E8">
      <w:pPr>
        <w:pStyle w:val="AONormal"/>
        <w:widowControl w:val="0"/>
        <w:spacing w:before="120" w:after="120" w:line="240" w:lineRule="auto"/>
        <w:contextualSpacing/>
        <w:rPr>
          <w:sz w:val="24"/>
          <w:szCs w:val="24"/>
          <w:lang w:eastAsia="zh-CN"/>
        </w:rPr>
      </w:pPr>
    </w:p>
    <w:p w:rsidR="00164C0A" w:rsidRDefault="00164C0A" w:rsidP="000E15E8">
      <w:pPr>
        <w:pStyle w:val="AONormal"/>
        <w:widowControl w:val="0"/>
        <w:spacing w:before="120" w:after="120" w:line="240" w:lineRule="auto"/>
        <w:contextualSpacing/>
        <w:rPr>
          <w:sz w:val="24"/>
          <w:szCs w:val="24"/>
          <w:lang w:eastAsia="zh-CN"/>
        </w:rPr>
      </w:pPr>
      <w:r>
        <w:rPr>
          <w:sz w:val="24"/>
          <w:szCs w:val="24"/>
          <w:lang w:eastAsia="zh-CN"/>
        </w:rPr>
        <w:t>/s/ Elliot S. Cohen</w:t>
      </w:r>
    </w:p>
    <w:p w:rsidR="00164C0A" w:rsidRDefault="00164C0A" w:rsidP="000E15E8">
      <w:pPr>
        <w:pStyle w:val="AONormal"/>
        <w:widowControl w:val="0"/>
        <w:spacing w:before="120" w:after="120" w:line="240" w:lineRule="auto"/>
        <w:contextualSpacing/>
        <w:rPr>
          <w:sz w:val="24"/>
          <w:szCs w:val="24"/>
          <w:lang w:eastAsia="zh-CN"/>
        </w:rPr>
      </w:pPr>
    </w:p>
    <w:p w:rsidR="00164C0A" w:rsidRDefault="00164C0A" w:rsidP="000E15E8">
      <w:pPr>
        <w:pStyle w:val="AONormal"/>
        <w:widowControl w:val="0"/>
        <w:spacing w:before="120" w:after="120" w:line="240" w:lineRule="auto"/>
        <w:contextualSpacing/>
        <w:rPr>
          <w:sz w:val="24"/>
          <w:szCs w:val="24"/>
          <w:lang w:eastAsia="zh-CN"/>
        </w:rPr>
      </w:pPr>
      <w:r>
        <w:rPr>
          <w:sz w:val="24"/>
          <w:szCs w:val="24"/>
          <w:lang w:eastAsia="zh-CN"/>
        </w:rPr>
        <w:t>Elliot S. Cohen</w:t>
      </w:r>
    </w:p>
    <w:p w:rsidR="00164C0A" w:rsidRDefault="00164C0A" w:rsidP="000E15E8">
      <w:pPr>
        <w:pStyle w:val="AONormal"/>
        <w:widowControl w:val="0"/>
        <w:spacing w:before="120" w:after="120" w:line="240" w:lineRule="auto"/>
        <w:contextualSpacing/>
        <w:rPr>
          <w:sz w:val="24"/>
          <w:szCs w:val="24"/>
          <w:lang w:eastAsia="zh-CN"/>
        </w:rPr>
      </w:pPr>
      <w:r>
        <w:rPr>
          <w:sz w:val="24"/>
          <w:szCs w:val="24"/>
          <w:lang w:eastAsia="zh-CN"/>
        </w:rPr>
        <w:t>Associate General Counsel</w:t>
      </w:r>
    </w:p>
    <w:p w:rsidR="00164C0A" w:rsidRDefault="00164C0A" w:rsidP="000E15E8">
      <w:pPr>
        <w:pStyle w:val="AONormal"/>
        <w:widowControl w:val="0"/>
        <w:spacing w:before="120" w:after="120" w:line="240" w:lineRule="auto"/>
        <w:contextualSpacing/>
        <w:rPr>
          <w:sz w:val="24"/>
          <w:szCs w:val="24"/>
          <w:lang w:eastAsia="zh-CN"/>
        </w:rPr>
      </w:pPr>
      <w:r>
        <w:rPr>
          <w:sz w:val="24"/>
          <w:szCs w:val="24"/>
          <w:lang w:eastAsia="zh-CN"/>
        </w:rPr>
        <w:t>Frank Russell Company</w:t>
      </w:r>
    </w:p>
    <w:p w:rsidR="00164C0A" w:rsidRDefault="00164C0A" w:rsidP="000E15E8">
      <w:pPr>
        <w:pStyle w:val="AONormal"/>
        <w:widowControl w:val="0"/>
        <w:spacing w:before="120" w:after="120" w:line="240" w:lineRule="auto"/>
        <w:contextualSpacing/>
        <w:rPr>
          <w:sz w:val="24"/>
          <w:szCs w:val="24"/>
          <w:lang w:eastAsia="zh-CN"/>
        </w:rPr>
      </w:pPr>
      <w:r>
        <w:rPr>
          <w:sz w:val="24"/>
          <w:szCs w:val="24"/>
          <w:lang w:eastAsia="zh-CN"/>
        </w:rPr>
        <w:t>1-206-505-4516</w:t>
      </w:r>
    </w:p>
    <w:p w:rsidR="00164C0A" w:rsidRDefault="00962308" w:rsidP="000E15E8">
      <w:pPr>
        <w:pStyle w:val="AONormal"/>
        <w:widowControl w:val="0"/>
        <w:spacing w:before="120" w:after="120" w:line="240" w:lineRule="auto"/>
        <w:contextualSpacing/>
        <w:rPr>
          <w:sz w:val="24"/>
          <w:szCs w:val="24"/>
          <w:lang w:eastAsia="zh-CN"/>
        </w:rPr>
      </w:pPr>
      <w:hyperlink r:id="rId13" w:history="1">
        <w:r w:rsidR="00164C0A" w:rsidRPr="00AD7855">
          <w:rPr>
            <w:rStyle w:val="Hyperlink"/>
            <w:sz w:val="24"/>
            <w:szCs w:val="24"/>
            <w:lang w:eastAsia="zh-CN"/>
          </w:rPr>
          <w:t>ecohen@Russell.com</w:t>
        </w:r>
      </w:hyperlink>
      <w:r w:rsidR="00164C0A">
        <w:rPr>
          <w:sz w:val="24"/>
          <w:szCs w:val="24"/>
          <w:lang w:eastAsia="zh-CN"/>
        </w:rPr>
        <w:t xml:space="preserve"> </w:t>
      </w:r>
    </w:p>
    <w:p w:rsidR="00CD32FA" w:rsidRDefault="00CD32FA" w:rsidP="000E15E8">
      <w:pPr>
        <w:spacing w:before="120" w:after="120"/>
        <w:contextualSpacing/>
      </w:pPr>
    </w:p>
    <w:p w:rsidR="00164C0A" w:rsidRDefault="00164C0A" w:rsidP="00CD32FA">
      <w:pPr>
        <w:sectPr w:rsidR="00164C0A" w:rsidSect="0029491A">
          <w:footerReference w:type="default" r:id="rId14"/>
          <w:headerReference w:type="first" r:id="rId15"/>
          <w:pgSz w:w="12240" w:h="15840" w:code="1"/>
          <w:pgMar w:top="1440" w:right="1440" w:bottom="1440" w:left="1440" w:header="720" w:footer="720" w:gutter="0"/>
          <w:cols w:space="720"/>
          <w:titlePg/>
          <w:docGrid w:linePitch="360"/>
        </w:sectPr>
      </w:pPr>
    </w:p>
    <w:p w:rsidR="00CD32FA" w:rsidRDefault="00CD32FA" w:rsidP="00CD32FA"/>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164C0A">
      <w:pPr>
        <w:pStyle w:val="AONormal"/>
        <w:rPr>
          <w:lang w:val="en-US"/>
        </w:rPr>
      </w:pPr>
    </w:p>
    <w:p w:rsidR="00164C0A" w:rsidRDefault="00164C0A" w:rsidP="0092511C">
      <w:pPr>
        <w:pStyle w:val="AONormal"/>
        <w:widowControl w:val="0"/>
        <w:spacing w:beforeLines="120" w:afterLines="120"/>
        <w:contextualSpacing/>
        <w:jc w:val="center"/>
        <w:rPr>
          <w:b/>
          <w:sz w:val="24"/>
          <w:szCs w:val="24"/>
          <w:lang w:eastAsia="zh-CN"/>
        </w:rPr>
      </w:pPr>
    </w:p>
    <w:p w:rsidR="00164C0A" w:rsidRDefault="00164C0A" w:rsidP="00715EAD">
      <w:pPr>
        <w:pStyle w:val="AONormal"/>
        <w:widowControl w:val="0"/>
        <w:spacing w:beforeLines="120" w:afterLines="120"/>
        <w:contextualSpacing/>
        <w:jc w:val="center"/>
        <w:rPr>
          <w:b/>
          <w:sz w:val="24"/>
          <w:szCs w:val="24"/>
          <w:lang w:eastAsia="zh-CN"/>
        </w:rPr>
      </w:pPr>
    </w:p>
    <w:p w:rsidR="00164C0A" w:rsidRPr="00CF1DC6" w:rsidRDefault="00164C0A" w:rsidP="00715EAD">
      <w:pPr>
        <w:pStyle w:val="AONormal"/>
        <w:widowControl w:val="0"/>
        <w:spacing w:beforeLines="120" w:afterLines="120"/>
        <w:contextualSpacing/>
        <w:jc w:val="center"/>
        <w:rPr>
          <w:b/>
          <w:sz w:val="24"/>
          <w:szCs w:val="24"/>
          <w:lang w:eastAsia="zh-CN"/>
        </w:rPr>
      </w:pPr>
      <w:r w:rsidRPr="00CF1DC6">
        <w:rPr>
          <w:b/>
          <w:sz w:val="24"/>
          <w:szCs w:val="24"/>
          <w:lang w:eastAsia="zh-CN"/>
        </w:rPr>
        <w:t>Appendix A</w:t>
      </w:r>
    </w:p>
    <w:p w:rsidR="00164C0A" w:rsidRPr="00CF1DC6" w:rsidRDefault="00164C0A" w:rsidP="00715EAD">
      <w:pPr>
        <w:pStyle w:val="AONormal"/>
        <w:widowControl w:val="0"/>
        <w:spacing w:beforeLines="120" w:afterLines="120"/>
        <w:contextualSpacing/>
        <w:jc w:val="center"/>
        <w:rPr>
          <w:b/>
          <w:sz w:val="24"/>
          <w:szCs w:val="24"/>
          <w:lang w:eastAsia="zh-CN"/>
        </w:rPr>
      </w:pPr>
    </w:p>
    <w:p w:rsidR="00164C0A" w:rsidRPr="00CF1DC6" w:rsidRDefault="00164C0A" w:rsidP="00715EAD">
      <w:pPr>
        <w:pStyle w:val="AONormal"/>
        <w:widowControl w:val="0"/>
        <w:spacing w:beforeLines="120" w:afterLines="120"/>
        <w:contextualSpacing/>
        <w:jc w:val="center"/>
        <w:rPr>
          <w:b/>
          <w:sz w:val="24"/>
          <w:szCs w:val="24"/>
          <w:lang w:eastAsia="zh-CN"/>
        </w:rPr>
      </w:pPr>
      <w:r w:rsidRPr="00CF1DC6">
        <w:rPr>
          <w:rFonts w:eastAsia="Arial"/>
          <w:b/>
          <w:color w:val="000000"/>
          <w:sz w:val="24"/>
          <w:szCs w:val="24"/>
          <w:lang w:val="en-US"/>
        </w:rPr>
        <w:t>Russell’s Global Indexes Construction and Methodology</w:t>
      </w:r>
    </w:p>
    <w:p w:rsidR="00164C0A" w:rsidRDefault="00164C0A" w:rsidP="00715EAD">
      <w:pPr>
        <w:pStyle w:val="AONormal"/>
        <w:widowControl w:val="0"/>
        <w:spacing w:beforeLines="120" w:afterLines="120"/>
        <w:contextualSpacing/>
        <w:rPr>
          <w:sz w:val="24"/>
          <w:szCs w:val="24"/>
          <w:lang w:eastAsia="zh-CN"/>
        </w:rPr>
      </w:pPr>
    </w:p>
    <w:p w:rsidR="0006297A" w:rsidRDefault="0006297A" w:rsidP="00164C0A">
      <w:pPr>
        <w:pStyle w:val="AONormal"/>
        <w:rPr>
          <w:lang w:val="en-US"/>
        </w:rPr>
        <w:sectPr w:rsidR="0006297A" w:rsidSect="0029491A">
          <w:headerReference w:type="first" r:id="rId16"/>
          <w:pgSz w:w="12240" w:h="15840" w:code="1"/>
          <w:pgMar w:top="1440" w:right="1440" w:bottom="1440" w:left="1440" w:header="720" w:footer="720" w:gutter="0"/>
          <w:cols w:space="720"/>
          <w:titlePg/>
          <w:docGrid w:linePitch="360"/>
        </w:sectPr>
      </w:pPr>
    </w:p>
    <w:p w:rsidR="0006297A" w:rsidRPr="00D32180" w:rsidRDefault="0006297A" w:rsidP="0006297A">
      <w:pPr>
        <w:pStyle w:val="RI01-Heading0greyrule"/>
      </w:pPr>
      <w:r>
        <w:lastRenderedPageBreak/>
        <w:t>december 2012</w:t>
      </w:r>
    </w:p>
    <w:p w:rsidR="0006297A" w:rsidRPr="00D32180" w:rsidRDefault="0006297A" w:rsidP="0006297A">
      <w:pPr>
        <w:pStyle w:val="RI02-DocumentTitle"/>
      </w:pPr>
      <w:r w:rsidRPr="00D32180">
        <w:t xml:space="preserve">Russell Global Indexes </w:t>
      </w:r>
      <w:r w:rsidRPr="00D32180">
        <w:br/>
        <w:t>Construction and Methodology</w:t>
      </w:r>
    </w:p>
    <w:p w:rsidR="0006297A" w:rsidRPr="00D32180" w:rsidRDefault="0006297A" w:rsidP="0006297A">
      <w:pPr>
        <w:pStyle w:val="RI07-BodyCopy95pt"/>
      </w:pPr>
    </w:p>
    <w:p w:rsidR="0006297A" w:rsidRPr="00D32180" w:rsidRDefault="0006297A" w:rsidP="0006297A">
      <w:pPr>
        <w:pStyle w:val="RI07-BodyCopy95pt"/>
        <w:sectPr w:rsidR="0006297A" w:rsidRPr="00D32180" w:rsidSect="00676CED">
          <w:headerReference w:type="default" r:id="rId17"/>
          <w:footerReference w:type="default" r:id="rId18"/>
          <w:footerReference w:type="first" r:id="rId19"/>
          <w:pgSz w:w="12240" w:h="15840"/>
          <w:pgMar w:top="1440" w:right="1440" w:bottom="1440" w:left="1526" w:header="720" w:footer="720" w:gutter="0"/>
          <w:cols w:space="720"/>
          <w:docGrid w:linePitch="360"/>
        </w:sectPr>
      </w:pPr>
    </w:p>
    <w:p w:rsidR="0006297A" w:rsidRPr="00D32180" w:rsidRDefault="0006297A" w:rsidP="0006297A">
      <w:pPr>
        <w:pStyle w:val="RI02-DocumentTitle"/>
      </w:pPr>
      <w:r w:rsidRPr="00D32180">
        <w:lastRenderedPageBreak/>
        <w:t xml:space="preserve">Russell Global </w:t>
      </w:r>
      <w:smartTag w:uri="urn:schemas-microsoft-com:office:smarttags" w:element="PersonName">
        <w:r w:rsidRPr="00D32180">
          <w:t>Index</w:t>
        </w:r>
      </w:smartTag>
      <w:r w:rsidRPr="00D32180">
        <w:t>es</w:t>
      </w:r>
      <w:r w:rsidRPr="00D32180">
        <w:br/>
        <w:t>Construction and Methodology</w:t>
      </w:r>
    </w:p>
    <w:p w:rsidR="0006297A" w:rsidRPr="00D32180" w:rsidRDefault="0006297A" w:rsidP="0006297A">
      <w:pPr>
        <w:pStyle w:val="RI05-TOCHeading"/>
      </w:pPr>
    </w:p>
    <w:p w:rsidR="0006297A" w:rsidRDefault="0006297A" w:rsidP="0006297A">
      <w:pPr>
        <w:autoSpaceDE w:val="0"/>
        <w:autoSpaceDN w:val="0"/>
        <w:adjustRightInd w:val="0"/>
        <w:spacing w:after="100" w:afterAutospacing="1"/>
        <w:rPr>
          <w:rFonts w:ascii="Arial" w:hAnsi="Arial" w:cs="Arial"/>
          <w:b/>
          <w:bCs/>
          <w:color w:val="F38F1C"/>
          <w:szCs w:val="19"/>
        </w:rPr>
      </w:pPr>
      <w:r w:rsidRPr="000867AB">
        <w:rPr>
          <w:rFonts w:ascii="Arial" w:hAnsi="Arial" w:cs="Arial"/>
          <w:b/>
          <w:bCs/>
          <w:color w:val="F38F1C"/>
          <w:szCs w:val="19"/>
        </w:rPr>
        <w:t>Russell Indexes benefits:</w:t>
      </w:r>
    </w:p>
    <w:p w:rsidR="0006297A" w:rsidRPr="00181225" w:rsidRDefault="0006297A" w:rsidP="0006297A">
      <w:pPr>
        <w:autoSpaceDE w:val="0"/>
        <w:autoSpaceDN w:val="0"/>
        <w:adjustRightInd w:val="0"/>
        <w:spacing w:after="100" w:line="260" w:lineRule="atLeast"/>
        <w:rPr>
          <w:rFonts w:ascii="Arial" w:hAnsi="Arial"/>
          <w:color w:val="5F6062"/>
          <w:sz w:val="19"/>
          <w:szCs w:val="19"/>
        </w:rPr>
      </w:pPr>
      <w:r w:rsidRPr="0082621E">
        <w:rPr>
          <w:rFonts w:ascii="Arial" w:hAnsi="Arial"/>
          <w:b/>
          <w:bCs/>
          <w:color w:val="5F6062"/>
          <w:sz w:val="19"/>
        </w:rPr>
        <w:t>More transparent.</w:t>
      </w:r>
      <w:r w:rsidRPr="005320CE">
        <w:rPr>
          <w:rFonts w:ascii="Arial" w:hAnsi="Arial" w:cs="Arial"/>
          <w:b/>
          <w:bCs/>
          <w:sz w:val="19"/>
          <w:szCs w:val="19"/>
        </w:rPr>
        <w:t xml:space="preserve"> </w:t>
      </w:r>
      <w:r w:rsidRPr="00181225">
        <w:rPr>
          <w:rFonts w:ascii="Arial" w:hAnsi="Arial"/>
          <w:color w:val="5F6062"/>
          <w:sz w:val="19"/>
          <w:szCs w:val="19"/>
        </w:rPr>
        <w:t>Russell Indexes are constructed using an open, published, rules-based, methodology that’s designed to be easy to understand for any financial professional. And Russell sticks to those rules, making our indexes transparent and predictable.</w:t>
      </w:r>
    </w:p>
    <w:p w:rsidR="0006297A" w:rsidRPr="00181225" w:rsidRDefault="0006297A" w:rsidP="0006297A">
      <w:pPr>
        <w:autoSpaceDE w:val="0"/>
        <w:autoSpaceDN w:val="0"/>
        <w:adjustRightInd w:val="0"/>
        <w:spacing w:after="100" w:line="260" w:lineRule="atLeast"/>
        <w:rPr>
          <w:rFonts w:ascii="Arial" w:hAnsi="Arial"/>
          <w:color w:val="5F6062"/>
          <w:sz w:val="19"/>
          <w:szCs w:val="19"/>
        </w:rPr>
      </w:pPr>
      <w:r w:rsidRPr="0082621E">
        <w:rPr>
          <w:rFonts w:ascii="Arial" w:hAnsi="Arial"/>
          <w:b/>
          <w:bCs/>
          <w:color w:val="5F6062"/>
          <w:sz w:val="19"/>
        </w:rPr>
        <w:t>More representative of the market.</w:t>
      </w:r>
      <w:r>
        <w:rPr>
          <w:rFonts w:ascii="Arial" w:hAnsi="Arial" w:cs="Arial"/>
          <w:b/>
          <w:bCs/>
          <w:sz w:val="19"/>
          <w:szCs w:val="19"/>
        </w:rPr>
        <w:t xml:space="preserve"> </w:t>
      </w:r>
      <w:r w:rsidRPr="00181225">
        <w:rPr>
          <w:rFonts w:ascii="Arial" w:hAnsi="Arial"/>
          <w:color w:val="5F6062"/>
          <w:sz w:val="19"/>
          <w:szCs w:val="19"/>
        </w:rPr>
        <w:t xml:space="preserve">Russell Indexes are modular in design and constructed to be objective and comprehensive with full coverage of the underlying market segment without gaps or overlaps. There is no sampling. So our indexes are a more complete picture of the whole market and the opportunity set available to investors. </w:t>
      </w:r>
    </w:p>
    <w:p w:rsidR="0006297A" w:rsidRPr="00181225" w:rsidRDefault="0006297A" w:rsidP="0006297A">
      <w:pPr>
        <w:autoSpaceDE w:val="0"/>
        <w:autoSpaceDN w:val="0"/>
        <w:adjustRightInd w:val="0"/>
        <w:spacing w:after="100" w:line="260" w:lineRule="atLeast"/>
        <w:rPr>
          <w:rFonts w:ascii="Arial" w:hAnsi="Arial"/>
          <w:color w:val="5F6062"/>
          <w:sz w:val="19"/>
          <w:szCs w:val="19"/>
        </w:rPr>
      </w:pPr>
      <w:r w:rsidRPr="0082621E">
        <w:rPr>
          <w:rFonts w:ascii="Arial" w:hAnsi="Arial"/>
          <w:b/>
          <w:bCs/>
          <w:color w:val="5F6062"/>
          <w:sz w:val="19"/>
        </w:rPr>
        <w:t>Leading methodology.</w:t>
      </w:r>
      <w:r w:rsidRPr="005320CE">
        <w:rPr>
          <w:rFonts w:ascii="Arial" w:hAnsi="Arial" w:cs="Arial"/>
          <w:b/>
          <w:bCs/>
          <w:sz w:val="19"/>
          <w:szCs w:val="19"/>
        </w:rPr>
        <w:t xml:space="preserve"> </w:t>
      </w:r>
      <w:r w:rsidRPr="00181225">
        <w:rPr>
          <w:rFonts w:ascii="Arial" w:hAnsi="Arial"/>
          <w:color w:val="5F6062"/>
          <w:sz w:val="19"/>
          <w:szCs w:val="19"/>
        </w:rPr>
        <w:t>Russell Indexes have a consistent history of being one of the first to adapt as the market evolves. Our indexes have been fully float-adjusted since their inception.  Russell Indexes launched the first style indexes in 1987 and incorporated smart, small scale adjustments including the multi-factor style methodology in 1994 allowing for over fifteen years of comprehensive style and factor history. And these adjustments pioneered by Russell are now considered industry-standard. Recently we’ve designed indexes to accurately capture new alternative weighting methods including GDP weighting, equal weighting and fundamental weighting.</w:t>
      </w:r>
    </w:p>
    <w:p w:rsidR="0006297A" w:rsidRPr="00181225" w:rsidRDefault="0006297A" w:rsidP="0006297A">
      <w:pPr>
        <w:pStyle w:val="Default"/>
        <w:spacing w:after="100" w:line="260" w:lineRule="atLeast"/>
        <w:rPr>
          <w:rFonts w:ascii="Arial" w:eastAsia="Calibri" w:hAnsi="Arial"/>
          <w:color w:val="5F6062"/>
          <w:sz w:val="19"/>
          <w:szCs w:val="19"/>
        </w:rPr>
      </w:pPr>
      <w:r w:rsidRPr="0082621E">
        <w:rPr>
          <w:rFonts w:ascii="Arial" w:eastAsia="Calibri" w:hAnsi="Arial"/>
          <w:b/>
          <w:bCs/>
          <w:color w:val="5F6062"/>
          <w:sz w:val="19"/>
          <w:szCs w:val="22"/>
        </w:rPr>
        <w:t>Accurate and practical.</w:t>
      </w:r>
      <w:r w:rsidRPr="005320CE">
        <w:rPr>
          <w:rFonts w:ascii="Arial" w:hAnsi="Arial" w:cs="Arial"/>
          <w:b/>
          <w:bCs/>
          <w:sz w:val="19"/>
          <w:szCs w:val="19"/>
        </w:rPr>
        <w:t xml:space="preserve"> </w:t>
      </w:r>
      <w:r w:rsidRPr="00181225">
        <w:rPr>
          <w:rFonts w:ascii="Arial" w:eastAsia="Calibri" w:hAnsi="Arial"/>
          <w:color w:val="5F6062"/>
          <w:sz w:val="19"/>
          <w:szCs w:val="19"/>
        </w:rPr>
        <w:t xml:space="preserve">To ensure that market segments are accurately represented, Russell Global Indexes are rigorously maintained.  Daily corporate actions, monthly share adjustments, quarterly IPO inclusions and annual total reconstitution ensure that the indexes accurately represent the true global opportunity set. </w:t>
      </w:r>
    </w:p>
    <w:p w:rsidR="0006297A" w:rsidRDefault="0006297A" w:rsidP="0006297A">
      <w:pPr>
        <w:pStyle w:val="RI06-BodyCopy11pt"/>
      </w:pPr>
    </w:p>
    <w:p w:rsidR="0006297A" w:rsidRDefault="0006297A" w:rsidP="0006297A">
      <w:pPr>
        <w:pStyle w:val="RI06-BodyCopy11pt"/>
      </w:pPr>
    </w:p>
    <w:p w:rsidR="0006297A" w:rsidRDefault="0006297A" w:rsidP="0006297A">
      <w:pPr>
        <w:pStyle w:val="RI06-BodyCopy11pt"/>
      </w:pPr>
    </w:p>
    <w:p w:rsidR="0006297A" w:rsidRDefault="0006297A" w:rsidP="0006297A">
      <w:pPr>
        <w:pStyle w:val="RI06-BodyCopy11pt"/>
      </w:pPr>
    </w:p>
    <w:p w:rsidR="0006297A" w:rsidRPr="00D32180" w:rsidRDefault="0006297A" w:rsidP="0006297A">
      <w:pPr>
        <w:pStyle w:val="RI06-BodyCopy11pt"/>
      </w:pPr>
    </w:p>
    <w:p w:rsidR="0006297A" w:rsidRPr="00D32180" w:rsidRDefault="0006297A" w:rsidP="0006297A">
      <w:pPr>
        <w:pStyle w:val="RI06-BodyCopy11pt"/>
      </w:pPr>
    </w:p>
    <w:p w:rsidR="0006297A" w:rsidRPr="00D32180" w:rsidRDefault="0006297A" w:rsidP="0006297A">
      <w:pPr>
        <w:pStyle w:val="RI06-BodyCopy11pt"/>
        <w:rPr>
          <w:b/>
          <w:bCs/>
        </w:rPr>
      </w:pPr>
      <w:r w:rsidRPr="00D32180">
        <w:rPr>
          <w:b/>
          <w:bCs/>
        </w:rPr>
        <w:t xml:space="preserve">Contact </w:t>
      </w:r>
      <w:r>
        <w:rPr>
          <w:b/>
          <w:bCs/>
        </w:rPr>
        <w:t>u</w:t>
      </w:r>
      <w:r w:rsidRPr="00D32180">
        <w:rPr>
          <w:b/>
          <w:bCs/>
        </w:rPr>
        <w:t>s</w:t>
      </w:r>
    </w:p>
    <w:p w:rsidR="0006297A" w:rsidRPr="00D32180" w:rsidRDefault="0006297A" w:rsidP="0006297A">
      <w:pPr>
        <w:pStyle w:val="RI06-BodyCopy11pt"/>
      </w:pPr>
      <w:r w:rsidRPr="00D32180">
        <w:rPr>
          <w:b/>
          <w:bCs/>
        </w:rPr>
        <w:t>Email:</w:t>
      </w:r>
      <w:r w:rsidRPr="00D32180">
        <w:t xml:space="preserve"> index@russell.com</w:t>
      </w:r>
    </w:p>
    <w:p w:rsidR="0006297A" w:rsidRPr="00D32180" w:rsidRDefault="0006297A" w:rsidP="0006297A">
      <w:pPr>
        <w:pStyle w:val="RI06-BodyCopy11pt"/>
      </w:pPr>
      <w:smartTag w:uri="urn:schemas-microsoft-com:office:smarttags" w:element="country-region">
        <w:smartTag w:uri="urn:schemas-microsoft-com:office:smarttags" w:element="place">
          <w:r w:rsidRPr="00D32180">
            <w:rPr>
              <w:b/>
              <w:bCs/>
            </w:rPr>
            <w:t>Americas</w:t>
          </w:r>
        </w:smartTag>
      </w:smartTag>
      <w:r w:rsidRPr="00D32180">
        <w:rPr>
          <w:b/>
          <w:bCs/>
        </w:rPr>
        <w:t>:</w:t>
      </w:r>
      <w:r w:rsidRPr="00D32180">
        <w:t xml:space="preserve"> +1-877-503-6437</w:t>
      </w:r>
    </w:p>
    <w:p w:rsidR="0006297A" w:rsidRPr="00D32180" w:rsidRDefault="0006297A" w:rsidP="0006297A">
      <w:pPr>
        <w:pStyle w:val="RI06-BodyCopy11pt"/>
      </w:pPr>
      <w:r w:rsidRPr="00D32180">
        <w:rPr>
          <w:b/>
        </w:rPr>
        <w:t>A</w:t>
      </w:r>
      <w:r>
        <w:rPr>
          <w:b/>
        </w:rPr>
        <w:t>PAC</w:t>
      </w:r>
      <w:r w:rsidRPr="00D32180">
        <w:rPr>
          <w:b/>
        </w:rPr>
        <w:t>:</w:t>
      </w:r>
      <w:r w:rsidRPr="00D32180">
        <w:t xml:space="preserve"> +</w:t>
      </w:r>
      <w:r>
        <w:t>65-6880-5003</w:t>
      </w:r>
    </w:p>
    <w:p w:rsidR="0006297A" w:rsidRPr="00D32180" w:rsidRDefault="0006297A" w:rsidP="0006297A">
      <w:pPr>
        <w:pStyle w:val="RI06-BodyCopy11pt"/>
      </w:pPr>
      <w:r w:rsidRPr="00D32180">
        <w:rPr>
          <w:b/>
        </w:rPr>
        <w:t>EMEA:</w:t>
      </w:r>
      <w:r w:rsidRPr="00D32180">
        <w:t xml:space="preserve"> +44-0-20-7024-6600</w:t>
      </w:r>
    </w:p>
    <w:p w:rsidR="0006297A" w:rsidRPr="00D32180" w:rsidRDefault="0006297A" w:rsidP="0006297A">
      <w:pPr>
        <w:pStyle w:val="RI06-BodyCopy11pt"/>
        <w:sectPr w:rsidR="0006297A" w:rsidRPr="00D32180" w:rsidSect="00676CED">
          <w:headerReference w:type="default" r:id="rId20"/>
          <w:footerReference w:type="default" r:id="rId21"/>
          <w:pgSz w:w="12240" w:h="15840"/>
          <w:pgMar w:top="1440" w:right="1440" w:bottom="1440" w:left="1526" w:header="720" w:footer="1267" w:gutter="0"/>
          <w:pgNumType w:fmt="lowerRoman" w:start="1"/>
          <w:cols w:space="720"/>
          <w:docGrid w:linePitch="360"/>
        </w:sectPr>
      </w:pPr>
      <w:r w:rsidRPr="00D32180">
        <w:rPr>
          <w:b/>
          <w:bCs/>
        </w:rPr>
        <w:t>Web:</w:t>
      </w:r>
      <w:r w:rsidRPr="00D32180">
        <w:t xml:space="preserve"> www.russell.com/indexes</w:t>
      </w:r>
    </w:p>
    <w:p w:rsidR="0006297A" w:rsidRPr="00D32180" w:rsidRDefault="0006297A" w:rsidP="0006297A">
      <w:pPr>
        <w:pStyle w:val="RI07-BodyCopy95pt"/>
        <w:rPr>
          <w:color w:val="F38F1D"/>
          <w:sz w:val="49"/>
          <w:szCs w:val="49"/>
        </w:rPr>
      </w:pPr>
      <w:r w:rsidRPr="00D32180">
        <w:rPr>
          <w:color w:val="F38F1D"/>
          <w:sz w:val="49"/>
          <w:szCs w:val="49"/>
        </w:rPr>
        <w:lastRenderedPageBreak/>
        <w:t>Update</w:t>
      </w:r>
      <w:r>
        <w:rPr>
          <w:color w:val="F38F1D"/>
          <w:sz w:val="49"/>
          <w:szCs w:val="49"/>
        </w:rPr>
        <w:t>d sections</w:t>
      </w:r>
    </w:p>
    <w:p w:rsidR="0006297A" w:rsidRPr="00D32180" w:rsidRDefault="0006297A" w:rsidP="0006297A">
      <w:pPr>
        <w:pStyle w:val="RI07-BodyCopy95pt"/>
      </w:pPr>
      <w:r w:rsidRPr="00D32180">
        <w:t xml:space="preserve">This document has been updated since the </w:t>
      </w:r>
      <w:r>
        <w:t>previously</w:t>
      </w:r>
      <w:r w:rsidRPr="00D32180">
        <w:t xml:space="preserve"> published version</w:t>
      </w:r>
      <w:r>
        <w:t>, in the following</w:t>
      </w:r>
      <w:r w:rsidRPr="00D32180">
        <w:t xml:space="preserve"> section</w:t>
      </w:r>
      <w:r>
        <w:t>s:</w:t>
      </w:r>
    </w:p>
    <w:p w:rsidR="0006297A" w:rsidRDefault="0006297A" w:rsidP="0006297A">
      <w:pPr>
        <w:pStyle w:val="RI07-BodyCopy95pt"/>
      </w:pPr>
    </w:p>
    <w:p w:rsidR="0006297A" w:rsidRDefault="0006297A" w:rsidP="0006297A">
      <w:pPr>
        <w:pStyle w:val="RI07-BodyCopy95pt"/>
      </w:pPr>
      <w:r>
        <w:t>Section 7: Update to reconstitution timing.</w:t>
      </w:r>
    </w:p>
    <w:p w:rsidR="0006297A" w:rsidRDefault="0006297A" w:rsidP="0006297A">
      <w:pPr>
        <w:pStyle w:val="RI07-BodyCopy95pt"/>
      </w:pPr>
      <w:r>
        <w:t xml:space="preserve">Section 8: Change in the handling of dividends effective January 1, 2013. </w:t>
      </w:r>
    </w:p>
    <w:p w:rsidR="0006297A" w:rsidRDefault="0006297A" w:rsidP="0006297A">
      <w:pPr>
        <w:pStyle w:val="RI07-BodyCopy95pt"/>
      </w:pPr>
      <w:r>
        <w:t>Addition of Appendix J: Predictive Index Data</w:t>
      </w:r>
    </w:p>
    <w:p w:rsidR="0006297A"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1-Heading0greyrule"/>
        <w:sectPr w:rsidR="0006297A" w:rsidRPr="00D32180" w:rsidSect="00676CED">
          <w:pgSz w:w="12240" w:h="15840"/>
          <w:pgMar w:top="1440" w:right="1440" w:bottom="1440" w:left="1526" w:header="720" w:footer="1267" w:gutter="0"/>
          <w:pgNumType w:fmt="lowerRoman"/>
          <w:cols w:space="720"/>
          <w:docGrid w:linePitch="360"/>
        </w:sectPr>
      </w:pPr>
    </w:p>
    <w:p w:rsidR="0006297A" w:rsidRPr="00D32180" w:rsidRDefault="0006297A" w:rsidP="0006297A">
      <w:pPr>
        <w:pStyle w:val="RI01-Heading0greyrule"/>
      </w:pPr>
      <w:r>
        <w:lastRenderedPageBreak/>
        <w:t>december 2012</w:t>
      </w:r>
    </w:p>
    <w:p w:rsidR="0006297A" w:rsidRPr="00D32180" w:rsidRDefault="0006297A" w:rsidP="0006297A">
      <w:pPr>
        <w:pStyle w:val="RI02-DocumentTitle"/>
      </w:pPr>
      <w:r w:rsidRPr="00D32180">
        <w:t xml:space="preserve">Russell Global </w:t>
      </w:r>
      <w:smartTag w:uri="urn:schemas-microsoft-com:office:smarttags" w:element="PersonName">
        <w:r w:rsidRPr="00D32180">
          <w:t>Index</w:t>
        </w:r>
      </w:smartTag>
      <w:r w:rsidRPr="00D32180">
        <w:t>es</w:t>
      </w:r>
    </w:p>
    <w:p w:rsidR="0006297A" w:rsidRPr="00D32180" w:rsidRDefault="0006297A" w:rsidP="0006297A">
      <w:pPr>
        <w:pStyle w:val="RI02-DocumentTitle"/>
      </w:pPr>
      <w:r w:rsidRPr="00D32180">
        <w:t>Construction and Methodology</w:t>
      </w:r>
    </w:p>
    <w:p w:rsidR="0006297A" w:rsidRPr="00D32180" w:rsidRDefault="0006297A" w:rsidP="0006297A">
      <w:pPr>
        <w:pStyle w:val="RI05-TOCHeading"/>
      </w:pPr>
      <w:r w:rsidRPr="00D32180">
        <w:t>TABLE OF CONTENTS</w:t>
      </w:r>
    </w:p>
    <w:p w:rsidR="0006297A" w:rsidRDefault="00962308" w:rsidP="0006297A">
      <w:pPr>
        <w:pStyle w:val="TOC1"/>
        <w:rPr>
          <w:rFonts w:ascii="Calibri" w:hAnsi="Calibri"/>
          <w:noProof/>
        </w:rPr>
      </w:pPr>
      <w:r w:rsidRPr="00D32180">
        <w:fldChar w:fldCharType="begin"/>
      </w:r>
      <w:r w:rsidR="0006297A" w:rsidRPr="00D32180">
        <w:instrText xml:space="preserve"> TOC \o "1-2" \h \z \u </w:instrText>
      </w:r>
      <w:r w:rsidRPr="00D32180">
        <w:fldChar w:fldCharType="separate"/>
      </w:r>
      <w:hyperlink w:anchor="_Toc343682624" w:history="1">
        <w:r w:rsidR="0006297A" w:rsidRPr="00160DD7">
          <w:rPr>
            <w:rStyle w:val="Hyperlink"/>
            <w:noProof/>
          </w:rPr>
          <w:t>Introduction</w:t>
        </w:r>
        <w:r w:rsidR="0006297A">
          <w:rPr>
            <w:noProof/>
            <w:webHidden/>
          </w:rPr>
          <w:tab/>
        </w:r>
        <w:r>
          <w:rPr>
            <w:noProof/>
            <w:webHidden/>
          </w:rPr>
          <w:fldChar w:fldCharType="begin"/>
        </w:r>
        <w:r w:rsidR="0006297A">
          <w:rPr>
            <w:noProof/>
            <w:webHidden/>
          </w:rPr>
          <w:instrText xml:space="preserve"> PAGEREF _Toc343682624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25" w:history="1">
        <w:r w:rsidR="0006297A" w:rsidRPr="00160DD7">
          <w:rPr>
            <w:rStyle w:val="Hyperlink"/>
            <w:noProof/>
          </w:rPr>
          <w:t>Available indexes</w:t>
        </w:r>
        <w:r w:rsidR="0006297A">
          <w:rPr>
            <w:noProof/>
            <w:webHidden/>
          </w:rPr>
          <w:tab/>
        </w:r>
        <w:r>
          <w:rPr>
            <w:noProof/>
            <w:webHidden/>
          </w:rPr>
          <w:fldChar w:fldCharType="begin"/>
        </w:r>
        <w:r w:rsidR="0006297A">
          <w:rPr>
            <w:noProof/>
            <w:webHidden/>
          </w:rPr>
          <w:instrText xml:space="preserve"> PAGEREF _Toc343682625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26" w:history="1">
        <w:r w:rsidR="0006297A" w:rsidRPr="00160DD7">
          <w:rPr>
            <w:rStyle w:val="Hyperlink"/>
            <w:noProof/>
          </w:rPr>
          <w:t>Defining the total stock universe</w:t>
        </w:r>
        <w:r w:rsidR="0006297A">
          <w:rPr>
            <w:noProof/>
            <w:webHidden/>
          </w:rPr>
          <w:tab/>
        </w:r>
        <w:r>
          <w:rPr>
            <w:noProof/>
            <w:webHidden/>
          </w:rPr>
          <w:fldChar w:fldCharType="begin"/>
        </w:r>
        <w:r w:rsidR="0006297A">
          <w:rPr>
            <w:noProof/>
            <w:webHidden/>
          </w:rPr>
          <w:instrText xml:space="preserve"> PAGEREF _Toc343682626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27" w:history="1">
        <w:r w:rsidR="0006297A" w:rsidRPr="00160DD7">
          <w:rPr>
            <w:rStyle w:val="Hyperlink"/>
            <w:noProof/>
          </w:rPr>
          <w:t>Steps in constructing the investable equities universe and the Russell Global Index</w:t>
        </w:r>
        <w:r w:rsidR="0006297A">
          <w:rPr>
            <w:noProof/>
            <w:webHidden/>
          </w:rPr>
          <w:tab/>
        </w:r>
        <w:r>
          <w:rPr>
            <w:noProof/>
            <w:webHidden/>
          </w:rPr>
          <w:fldChar w:fldCharType="begin"/>
        </w:r>
        <w:r w:rsidR="0006297A">
          <w:rPr>
            <w:noProof/>
            <w:webHidden/>
          </w:rPr>
          <w:instrText xml:space="preserve"> PAGEREF _Toc343682627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28" w:history="1">
        <w:r w:rsidR="0006297A" w:rsidRPr="00160DD7">
          <w:rPr>
            <w:rStyle w:val="Hyperlink"/>
            <w:noProof/>
          </w:rPr>
          <w:t>Total universe securities types</w:t>
        </w:r>
        <w:r w:rsidR="0006297A">
          <w:rPr>
            <w:noProof/>
            <w:webHidden/>
          </w:rPr>
          <w:tab/>
        </w:r>
        <w:r>
          <w:rPr>
            <w:noProof/>
            <w:webHidden/>
          </w:rPr>
          <w:fldChar w:fldCharType="begin"/>
        </w:r>
        <w:r w:rsidR="0006297A">
          <w:rPr>
            <w:noProof/>
            <w:webHidden/>
          </w:rPr>
          <w:instrText xml:space="preserve"> PAGEREF _Toc343682628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29" w:history="1">
        <w:r w:rsidR="0006297A" w:rsidRPr="00160DD7">
          <w:rPr>
            <w:rStyle w:val="Hyperlink"/>
            <w:noProof/>
          </w:rPr>
          <w:t>Excluded securities</w:t>
        </w:r>
        <w:r w:rsidR="0006297A">
          <w:rPr>
            <w:noProof/>
            <w:webHidden/>
          </w:rPr>
          <w:tab/>
        </w:r>
        <w:r>
          <w:rPr>
            <w:noProof/>
            <w:webHidden/>
          </w:rPr>
          <w:fldChar w:fldCharType="begin"/>
        </w:r>
        <w:r w:rsidR="0006297A">
          <w:rPr>
            <w:noProof/>
            <w:webHidden/>
          </w:rPr>
          <w:instrText xml:space="preserve"> PAGEREF _Toc343682629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0" w:history="1">
        <w:r w:rsidR="0006297A" w:rsidRPr="00160DD7">
          <w:rPr>
            <w:rStyle w:val="Hyperlink"/>
            <w:noProof/>
          </w:rPr>
          <w:t>Depositary receipt exceptions</w:t>
        </w:r>
        <w:r w:rsidR="0006297A">
          <w:rPr>
            <w:noProof/>
            <w:webHidden/>
          </w:rPr>
          <w:tab/>
        </w:r>
        <w:r>
          <w:rPr>
            <w:noProof/>
            <w:webHidden/>
          </w:rPr>
          <w:fldChar w:fldCharType="begin"/>
        </w:r>
        <w:r w:rsidR="0006297A">
          <w:rPr>
            <w:noProof/>
            <w:webHidden/>
          </w:rPr>
          <w:instrText xml:space="preserve"> PAGEREF _Toc343682630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1" w:history="1">
        <w:r w:rsidR="0006297A" w:rsidRPr="00160DD7">
          <w:rPr>
            <w:rStyle w:val="Hyperlink"/>
            <w:noProof/>
          </w:rPr>
          <w:t>Universe minimum size requirement</w:t>
        </w:r>
        <w:r w:rsidR="0006297A">
          <w:rPr>
            <w:noProof/>
            <w:webHidden/>
          </w:rPr>
          <w:tab/>
        </w:r>
        <w:r>
          <w:rPr>
            <w:noProof/>
            <w:webHidden/>
          </w:rPr>
          <w:fldChar w:fldCharType="begin"/>
        </w:r>
        <w:r w:rsidR="0006297A">
          <w:rPr>
            <w:noProof/>
            <w:webHidden/>
          </w:rPr>
          <w:instrText xml:space="preserve"> PAGEREF _Toc343682631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2" w:history="1">
        <w:r w:rsidR="0006297A" w:rsidRPr="00160DD7">
          <w:rPr>
            <w:rStyle w:val="Hyperlink"/>
            <w:noProof/>
          </w:rPr>
          <w:t>Universe country eligibility</w:t>
        </w:r>
        <w:r w:rsidR="0006297A">
          <w:rPr>
            <w:noProof/>
            <w:webHidden/>
          </w:rPr>
          <w:tab/>
        </w:r>
        <w:r>
          <w:rPr>
            <w:noProof/>
            <w:webHidden/>
          </w:rPr>
          <w:fldChar w:fldCharType="begin"/>
        </w:r>
        <w:r w:rsidR="0006297A">
          <w:rPr>
            <w:noProof/>
            <w:webHidden/>
          </w:rPr>
          <w:instrText xml:space="preserve"> PAGEREF _Toc343682632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3" w:history="1">
        <w:r w:rsidR="0006297A" w:rsidRPr="00160DD7">
          <w:rPr>
            <w:rStyle w:val="Hyperlink"/>
            <w:noProof/>
          </w:rPr>
          <w:t>Country risk</w:t>
        </w:r>
        <w:r w:rsidR="0006297A">
          <w:rPr>
            <w:noProof/>
            <w:webHidden/>
          </w:rPr>
          <w:tab/>
        </w:r>
        <w:r>
          <w:rPr>
            <w:noProof/>
            <w:webHidden/>
          </w:rPr>
          <w:fldChar w:fldCharType="begin"/>
        </w:r>
        <w:r w:rsidR="0006297A">
          <w:rPr>
            <w:noProof/>
            <w:webHidden/>
          </w:rPr>
          <w:instrText xml:space="preserve"> PAGEREF _Toc343682633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4" w:history="1">
        <w:r w:rsidR="0006297A" w:rsidRPr="00160DD7">
          <w:rPr>
            <w:rStyle w:val="Hyperlink"/>
            <w:noProof/>
          </w:rPr>
          <w:t>Trading risks/challenges</w:t>
        </w:r>
        <w:r w:rsidR="0006297A">
          <w:rPr>
            <w:noProof/>
            <w:webHidden/>
          </w:rPr>
          <w:tab/>
        </w:r>
        <w:r>
          <w:rPr>
            <w:noProof/>
            <w:webHidden/>
          </w:rPr>
          <w:fldChar w:fldCharType="begin"/>
        </w:r>
        <w:r w:rsidR="0006297A">
          <w:rPr>
            <w:noProof/>
            <w:webHidden/>
          </w:rPr>
          <w:instrText xml:space="preserve"> PAGEREF _Toc343682634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5" w:history="1">
        <w:r w:rsidR="0006297A" w:rsidRPr="00160DD7">
          <w:rPr>
            <w:rStyle w:val="Hyperlink"/>
            <w:noProof/>
          </w:rPr>
          <w:t>No Domestic Exchange (NDE) and Benefit Driven Incorporation (BDI) countries</w:t>
        </w:r>
        <w:r w:rsidR="0006297A">
          <w:rPr>
            <w:noProof/>
            <w:webHidden/>
          </w:rPr>
          <w:tab/>
        </w:r>
        <w:r>
          <w:rPr>
            <w:noProof/>
            <w:webHidden/>
          </w:rPr>
          <w:fldChar w:fldCharType="begin"/>
        </w:r>
        <w:r w:rsidR="0006297A">
          <w:rPr>
            <w:noProof/>
            <w:webHidden/>
          </w:rPr>
          <w:instrText xml:space="preserve"> PAGEREF _Toc343682635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6" w:history="1">
        <w:r w:rsidR="0006297A" w:rsidRPr="00160DD7">
          <w:rPr>
            <w:rStyle w:val="Hyperlink"/>
            <w:noProof/>
          </w:rPr>
          <w:t>Universe liquidity screen</w:t>
        </w:r>
        <w:r w:rsidR="0006297A">
          <w:rPr>
            <w:noProof/>
            <w:webHidden/>
          </w:rPr>
          <w:tab/>
        </w:r>
        <w:r>
          <w:rPr>
            <w:noProof/>
            <w:webHidden/>
          </w:rPr>
          <w:fldChar w:fldCharType="begin"/>
        </w:r>
        <w:r w:rsidR="0006297A">
          <w:rPr>
            <w:noProof/>
            <w:webHidden/>
          </w:rPr>
          <w:instrText xml:space="preserve"> PAGEREF _Toc343682636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7" w:history="1">
        <w:r w:rsidR="0006297A" w:rsidRPr="00160DD7">
          <w:rPr>
            <w:rStyle w:val="Hyperlink"/>
            <w:noProof/>
          </w:rPr>
          <w:t>Capturing 98% of the eligible universe</w:t>
        </w:r>
        <w:r w:rsidR="0006297A">
          <w:rPr>
            <w:noProof/>
            <w:webHidden/>
          </w:rPr>
          <w:tab/>
        </w:r>
        <w:r>
          <w:rPr>
            <w:noProof/>
            <w:webHidden/>
          </w:rPr>
          <w:fldChar w:fldCharType="begin"/>
        </w:r>
        <w:r w:rsidR="0006297A">
          <w:rPr>
            <w:noProof/>
            <w:webHidden/>
          </w:rPr>
          <w:instrText xml:space="preserve"> PAGEREF _Toc343682637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38" w:history="1">
        <w:r w:rsidR="0006297A" w:rsidRPr="00160DD7">
          <w:rPr>
            <w:rStyle w:val="Hyperlink"/>
            <w:noProof/>
          </w:rPr>
          <w:t>Assigning securities to countries</w:t>
        </w:r>
        <w:r w:rsidR="0006297A">
          <w:rPr>
            <w:noProof/>
            <w:webHidden/>
          </w:rPr>
          <w:tab/>
        </w:r>
        <w:r>
          <w:rPr>
            <w:noProof/>
            <w:webHidden/>
          </w:rPr>
          <w:fldChar w:fldCharType="begin"/>
        </w:r>
        <w:r w:rsidR="0006297A">
          <w:rPr>
            <w:noProof/>
            <w:webHidden/>
          </w:rPr>
          <w:instrText xml:space="preserve"> PAGEREF _Toc343682638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39" w:history="1">
        <w:r w:rsidR="0006297A" w:rsidRPr="00160DD7">
          <w:rPr>
            <w:rStyle w:val="Hyperlink"/>
            <w:noProof/>
          </w:rPr>
          <w:t>Home country indicators (HCIs)</w:t>
        </w:r>
        <w:r w:rsidR="0006297A">
          <w:rPr>
            <w:noProof/>
            <w:webHidden/>
          </w:rPr>
          <w:tab/>
        </w:r>
        <w:r>
          <w:rPr>
            <w:noProof/>
            <w:webHidden/>
          </w:rPr>
          <w:fldChar w:fldCharType="begin"/>
        </w:r>
        <w:r w:rsidR="0006297A">
          <w:rPr>
            <w:noProof/>
            <w:webHidden/>
          </w:rPr>
          <w:instrText xml:space="preserve"> PAGEREF _Toc343682639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0" w:history="1">
        <w:r w:rsidR="0006297A" w:rsidRPr="00160DD7">
          <w:rPr>
            <w:rStyle w:val="Hyperlink"/>
            <w:noProof/>
          </w:rPr>
          <w:t>Hong Kong/Macao</w:t>
        </w:r>
        <w:r w:rsidR="0006297A">
          <w:rPr>
            <w:noProof/>
            <w:webHidden/>
          </w:rPr>
          <w:tab/>
        </w:r>
        <w:r>
          <w:rPr>
            <w:noProof/>
            <w:webHidden/>
          </w:rPr>
          <w:fldChar w:fldCharType="begin"/>
        </w:r>
        <w:r w:rsidR="0006297A">
          <w:rPr>
            <w:noProof/>
            <w:webHidden/>
          </w:rPr>
          <w:instrText xml:space="preserve"> PAGEREF _Toc343682640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1" w:history="1">
        <w:r w:rsidR="0006297A" w:rsidRPr="00160DD7">
          <w:rPr>
            <w:rStyle w:val="Hyperlink"/>
            <w:noProof/>
          </w:rPr>
          <w:t>Tax rates</w:t>
        </w:r>
        <w:r w:rsidR="0006297A">
          <w:rPr>
            <w:noProof/>
            <w:webHidden/>
          </w:rPr>
          <w:tab/>
        </w:r>
        <w:r>
          <w:rPr>
            <w:noProof/>
            <w:webHidden/>
          </w:rPr>
          <w:fldChar w:fldCharType="begin"/>
        </w:r>
        <w:r w:rsidR="0006297A">
          <w:rPr>
            <w:noProof/>
            <w:webHidden/>
          </w:rPr>
          <w:instrText xml:space="preserve"> PAGEREF _Toc343682641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42" w:history="1">
        <w:r w:rsidR="0006297A" w:rsidRPr="00160DD7">
          <w:rPr>
            <w:rStyle w:val="Hyperlink"/>
            <w:noProof/>
          </w:rPr>
          <w:t>Russell Global Index membership</w:t>
        </w:r>
        <w:r w:rsidR="0006297A">
          <w:rPr>
            <w:noProof/>
            <w:webHidden/>
          </w:rPr>
          <w:tab/>
        </w:r>
        <w:r>
          <w:rPr>
            <w:noProof/>
            <w:webHidden/>
          </w:rPr>
          <w:fldChar w:fldCharType="begin"/>
        </w:r>
        <w:r w:rsidR="0006297A">
          <w:rPr>
            <w:noProof/>
            <w:webHidden/>
          </w:rPr>
          <w:instrText xml:space="preserve"> PAGEREF _Toc343682642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3" w:history="1">
        <w:r w:rsidR="0006297A" w:rsidRPr="00160DD7">
          <w:rPr>
            <w:rStyle w:val="Hyperlink"/>
            <w:noProof/>
          </w:rPr>
          <w:t>Global large cap and small cap indexes construction</w:t>
        </w:r>
        <w:r w:rsidR="0006297A">
          <w:rPr>
            <w:noProof/>
            <w:webHidden/>
          </w:rPr>
          <w:tab/>
        </w:r>
        <w:r>
          <w:rPr>
            <w:noProof/>
            <w:webHidden/>
          </w:rPr>
          <w:fldChar w:fldCharType="begin"/>
        </w:r>
        <w:r w:rsidR="0006297A">
          <w:rPr>
            <w:noProof/>
            <w:webHidden/>
          </w:rPr>
          <w:instrText xml:space="preserve"> PAGEREF _Toc343682643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4" w:history="1">
        <w:r w:rsidR="0006297A" w:rsidRPr="00160DD7">
          <w:rPr>
            <w:rStyle w:val="Hyperlink"/>
            <w:noProof/>
          </w:rPr>
          <w:t>Research summary</w:t>
        </w:r>
        <w:r w:rsidR="0006297A">
          <w:rPr>
            <w:noProof/>
            <w:webHidden/>
          </w:rPr>
          <w:tab/>
        </w:r>
        <w:r>
          <w:rPr>
            <w:noProof/>
            <w:webHidden/>
          </w:rPr>
          <w:fldChar w:fldCharType="begin"/>
        </w:r>
        <w:r w:rsidR="0006297A">
          <w:rPr>
            <w:noProof/>
            <w:webHidden/>
          </w:rPr>
          <w:instrText xml:space="preserve"> PAGEREF _Toc343682644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5" w:history="1">
        <w:r w:rsidR="0006297A" w:rsidRPr="00160DD7">
          <w:rPr>
            <w:rStyle w:val="Hyperlink"/>
            <w:noProof/>
          </w:rPr>
          <w:t>Construction rules</w:t>
        </w:r>
        <w:r w:rsidR="0006297A">
          <w:rPr>
            <w:noProof/>
            <w:webHidden/>
          </w:rPr>
          <w:tab/>
        </w:r>
        <w:r>
          <w:rPr>
            <w:noProof/>
            <w:webHidden/>
          </w:rPr>
          <w:fldChar w:fldCharType="begin"/>
        </w:r>
        <w:r w:rsidR="0006297A">
          <w:rPr>
            <w:noProof/>
            <w:webHidden/>
          </w:rPr>
          <w:instrText xml:space="preserve"> PAGEREF _Toc343682645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6" w:history="1">
        <w:r w:rsidR="0006297A" w:rsidRPr="00160DD7">
          <w:rPr>
            <w:rStyle w:val="Hyperlink"/>
            <w:noProof/>
          </w:rPr>
          <w:t>Countries without critical mass</w:t>
        </w:r>
        <w:r w:rsidR="0006297A">
          <w:rPr>
            <w:noProof/>
            <w:webHidden/>
          </w:rPr>
          <w:tab/>
        </w:r>
        <w:r>
          <w:rPr>
            <w:noProof/>
            <w:webHidden/>
          </w:rPr>
          <w:fldChar w:fldCharType="begin"/>
        </w:r>
        <w:r w:rsidR="0006297A">
          <w:rPr>
            <w:noProof/>
            <w:webHidden/>
          </w:rPr>
          <w:instrText xml:space="preserve"> PAGEREF _Toc343682646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7" w:history="1">
        <w:r w:rsidR="0006297A" w:rsidRPr="00160DD7">
          <w:rPr>
            <w:rStyle w:val="Hyperlink"/>
            <w:noProof/>
          </w:rPr>
          <w:t>Global SMID construction</w:t>
        </w:r>
        <w:r w:rsidR="0006297A">
          <w:rPr>
            <w:noProof/>
            <w:webHidden/>
          </w:rPr>
          <w:tab/>
        </w:r>
        <w:r>
          <w:rPr>
            <w:noProof/>
            <w:webHidden/>
          </w:rPr>
          <w:fldChar w:fldCharType="begin"/>
        </w:r>
        <w:r w:rsidR="0006297A">
          <w:rPr>
            <w:noProof/>
            <w:webHidden/>
          </w:rPr>
          <w:instrText xml:space="preserve"> PAGEREF _Toc343682647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8" w:history="1">
        <w:r w:rsidR="0006297A" w:rsidRPr="00160DD7">
          <w:rPr>
            <w:rStyle w:val="Hyperlink"/>
            <w:noProof/>
          </w:rPr>
          <w:t>Historical construction rules</w:t>
        </w:r>
        <w:r w:rsidR="0006297A">
          <w:rPr>
            <w:noProof/>
            <w:webHidden/>
          </w:rPr>
          <w:tab/>
        </w:r>
        <w:r>
          <w:rPr>
            <w:noProof/>
            <w:webHidden/>
          </w:rPr>
          <w:fldChar w:fldCharType="begin"/>
        </w:r>
        <w:r w:rsidR="0006297A">
          <w:rPr>
            <w:noProof/>
            <w:webHidden/>
          </w:rPr>
          <w:instrText xml:space="preserve"> PAGEREF _Toc343682648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49" w:history="1">
        <w:r w:rsidR="0006297A" w:rsidRPr="00160DD7">
          <w:rPr>
            <w:rStyle w:val="Hyperlink"/>
            <w:noProof/>
          </w:rPr>
          <w:t>Regional and country indexes</w:t>
        </w:r>
        <w:r w:rsidR="0006297A">
          <w:rPr>
            <w:noProof/>
            <w:webHidden/>
          </w:rPr>
          <w:tab/>
        </w:r>
        <w:r>
          <w:rPr>
            <w:noProof/>
            <w:webHidden/>
          </w:rPr>
          <w:fldChar w:fldCharType="begin"/>
        </w:r>
        <w:r w:rsidR="0006297A">
          <w:rPr>
            <w:noProof/>
            <w:webHidden/>
          </w:rPr>
          <w:instrText xml:space="preserve"> PAGEREF _Toc343682649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0" w:history="1">
        <w:r w:rsidR="0006297A" w:rsidRPr="00160DD7">
          <w:rPr>
            <w:rStyle w:val="Hyperlink"/>
            <w:noProof/>
          </w:rPr>
          <w:t>Emerging and developed markets</w:t>
        </w:r>
        <w:r w:rsidR="0006297A">
          <w:rPr>
            <w:noProof/>
            <w:webHidden/>
          </w:rPr>
          <w:tab/>
        </w:r>
        <w:r>
          <w:rPr>
            <w:noProof/>
            <w:webHidden/>
          </w:rPr>
          <w:fldChar w:fldCharType="begin"/>
        </w:r>
        <w:r w:rsidR="0006297A">
          <w:rPr>
            <w:noProof/>
            <w:webHidden/>
          </w:rPr>
          <w:instrText xml:space="preserve"> PAGEREF _Toc343682650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1" w:history="1">
        <w:r w:rsidR="0006297A" w:rsidRPr="00160DD7">
          <w:rPr>
            <w:rStyle w:val="Hyperlink"/>
            <w:noProof/>
          </w:rPr>
          <w:t>Economic criteria</w:t>
        </w:r>
        <w:r w:rsidR="0006297A">
          <w:rPr>
            <w:noProof/>
            <w:webHidden/>
          </w:rPr>
          <w:tab/>
        </w:r>
        <w:r>
          <w:rPr>
            <w:noProof/>
            <w:webHidden/>
          </w:rPr>
          <w:fldChar w:fldCharType="begin"/>
        </w:r>
        <w:r w:rsidR="0006297A">
          <w:rPr>
            <w:noProof/>
            <w:webHidden/>
          </w:rPr>
          <w:instrText xml:space="preserve"> PAGEREF _Toc343682651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2" w:history="1">
        <w:r w:rsidR="0006297A" w:rsidRPr="00160DD7">
          <w:rPr>
            <w:rStyle w:val="Hyperlink"/>
            <w:noProof/>
          </w:rPr>
          <w:t>Market criteria</w:t>
        </w:r>
        <w:r w:rsidR="0006297A">
          <w:rPr>
            <w:noProof/>
            <w:webHidden/>
          </w:rPr>
          <w:tab/>
        </w:r>
        <w:r>
          <w:rPr>
            <w:noProof/>
            <w:webHidden/>
          </w:rPr>
          <w:fldChar w:fldCharType="begin"/>
        </w:r>
        <w:r w:rsidR="0006297A">
          <w:rPr>
            <w:noProof/>
            <w:webHidden/>
          </w:rPr>
          <w:instrText xml:space="preserve"> PAGEREF _Toc343682652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3" w:history="1">
        <w:r w:rsidR="0006297A" w:rsidRPr="00160DD7">
          <w:rPr>
            <w:rStyle w:val="Hyperlink"/>
            <w:noProof/>
          </w:rPr>
          <w:t>Moving between developed and emerging markets</w:t>
        </w:r>
        <w:r w:rsidR="0006297A">
          <w:rPr>
            <w:noProof/>
            <w:webHidden/>
          </w:rPr>
          <w:tab/>
        </w:r>
        <w:r>
          <w:rPr>
            <w:noProof/>
            <w:webHidden/>
          </w:rPr>
          <w:fldChar w:fldCharType="begin"/>
        </w:r>
        <w:r w:rsidR="0006297A">
          <w:rPr>
            <w:noProof/>
            <w:webHidden/>
          </w:rPr>
          <w:instrText xml:space="preserve"> PAGEREF _Toc343682653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54" w:history="1">
        <w:r w:rsidR="0006297A" w:rsidRPr="00160DD7">
          <w:rPr>
            <w:rStyle w:val="Hyperlink"/>
            <w:noProof/>
          </w:rPr>
          <w:t>Float-adjusted weighting</w:t>
        </w:r>
        <w:r w:rsidR="0006297A">
          <w:rPr>
            <w:noProof/>
            <w:webHidden/>
          </w:rPr>
          <w:tab/>
        </w:r>
        <w:r>
          <w:rPr>
            <w:noProof/>
            <w:webHidden/>
          </w:rPr>
          <w:fldChar w:fldCharType="begin"/>
        </w:r>
        <w:r w:rsidR="0006297A">
          <w:rPr>
            <w:noProof/>
            <w:webHidden/>
          </w:rPr>
          <w:instrText xml:space="preserve"> PAGEREF _Toc343682654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5" w:history="1">
        <w:r w:rsidR="0006297A" w:rsidRPr="00160DD7">
          <w:rPr>
            <w:rStyle w:val="Hyperlink"/>
            <w:noProof/>
          </w:rPr>
          <w:t>Step 1: Remove unavailable shares</w:t>
        </w:r>
        <w:r w:rsidR="0006297A">
          <w:rPr>
            <w:noProof/>
            <w:webHidden/>
          </w:rPr>
          <w:tab/>
        </w:r>
        <w:r>
          <w:rPr>
            <w:noProof/>
            <w:webHidden/>
          </w:rPr>
          <w:fldChar w:fldCharType="begin"/>
        </w:r>
        <w:r w:rsidR="0006297A">
          <w:rPr>
            <w:noProof/>
            <w:webHidden/>
          </w:rPr>
          <w:instrText xml:space="preserve"> PAGEREF _Toc343682655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6" w:history="1">
        <w:r w:rsidR="0006297A" w:rsidRPr="00160DD7">
          <w:rPr>
            <w:rStyle w:val="Hyperlink"/>
            <w:noProof/>
          </w:rPr>
          <w:t>Step 2: Apply foreign ownership limit adjustment</w:t>
        </w:r>
        <w:r w:rsidR="0006297A">
          <w:rPr>
            <w:noProof/>
            <w:webHidden/>
          </w:rPr>
          <w:tab/>
        </w:r>
        <w:r>
          <w:rPr>
            <w:noProof/>
            <w:webHidden/>
          </w:rPr>
          <w:fldChar w:fldCharType="begin"/>
        </w:r>
        <w:r w:rsidR="0006297A">
          <w:rPr>
            <w:noProof/>
            <w:webHidden/>
          </w:rPr>
          <w:instrText xml:space="preserve"> PAGEREF _Toc343682656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7" w:history="1">
        <w:r w:rsidR="0006297A" w:rsidRPr="00160DD7">
          <w:rPr>
            <w:rStyle w:val="Hyperlink"/>
            <w:noProof/>
          </w:rPr>
          <w:t>Step 3: Reflect special depositary receipts</w:t>
        </w:r>
        <w:r w:rsidR="0006297A">
          <w:rPr>
            <w:noProof/>
            <w:webHidden/>
          </w:rPr>
          <w:tab/>
        </w:r>
        <w:r>
          <w:rPr>
            <w:noProof/>
            <w:webHidden/>
          </w:rPr>
          <w:fldChar w:fldCharType="begin"/>
        </w:r>
        <w:r w:rsidR="0006297A">
          <w:rPr>
            <w:noProof/>
            <w:webHidden/>
          </w:rPr>
          <w:instrText xml:space="preserve"> PAGEREF _Toc343682657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58" w:history="1">
        <w:r w:rsidR="0006297A" w:rsidRPr="00160DD7">
          <w:rPr>
            <w:rStyle w:val="Hyperlink"/>
            <w:noProof/>
          </w:rPr>
          <w:t>Determining style</w:t>
        </w:r>
        <w:r w:rsidR="0006297A">
          <w:rPr>
            <w:noProof/>
            <w:webHidden/>
          </w:rPr>
          <w:tab/>
        </w:r>
        <w:r>
          <w:rPr>
            <w:noProof/>
            <w:webHidden/>
          </w:rPr>
          <w:fldChar w:fldCharType="begin"/>
        </w:r>
        <w:r w:rsidR="0006297A">
          <w:rPr>
            <w:noProof/>
            <w:webHidden/>
          </w:rPr>
          <w:instrText xml:space="preserve"> PAGEREF _Toc343682658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59" w:history="1">
        <w:r w:rsidR="0006297A" w:rsidRPr="00160DD7">
          <w:rPr>
            <w:rStyle w:val="Hyperlink"/>
            <w:noProof/>
          </w:rPr>
          <w:t>Russell Growth and Value Indexes</w:t>
        </w:r>
        <w:r w:rsidR="0006297A">
          <w:rPr>
            <w:noProof/>
            <w:webHidden/>
          </w:rPr>
          <w:tab/>
        </w:r>
        <w:r>
          <w:rPr>
            <w:noProof/>
            <w:webHidden/>
          </w:rPr>
          <w:fldChar w:fldCharType="begin"/>
        </w:r>
        <w:r w:rsidR="0006297A">
          <w:rPr>
            <w:noProof/>
            <w:webHidden/>
          </w:rPr>
          <w:instrText xml:space="preserve"> PAGEREF _Toc343682659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0" w:history="1">
        <w:r w:rsidR="0006297A" w:rsidRPr="00160DD7">
          <w:rPr>
            <w:rStyle w:val="Hyperlink"/>
            <w:noProof/>
          </w:rPr>
          <w:t>Russell Defensive and Dynamic Indexes</w:t>
        </w:r>
        <w:r w:rsidR="0006297A">
          <w:rPr>
            <w:noProof/>
            <w:webHidden/>
          </w:rPr>
          <w:tab/>
        </w:r>
        <w:r>
          <w:rPr>
            <w:noProof/>
            <w:webHidden/>
          </w:rPr>
          <w:fldChar w:fldCharType="begin"/>
        </w:r>
        <w:r w:rsidR="0006297A">
          <w:rPr>
            <w:noProof/>
            <w:webHidden/>
          </w:rPr>
          <w:instrText xml:space="preserve"> PAGEREF _Toc343682660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1" w:history="1">
        <w:r w:rsidR="0006297A" w:rsidRPr="00160DD7">
          <w:rPr>
            <w:rStyle w:val="Hyperlink"/>
            <w:noProof/>
          </w:rPr>
          <w:t>Quality score (comprises 50% of the overall stability probability)</w:t>
        </w:r>
        <w:r w:rsidR="0006297A">
          <w:rPr>
            <w:noProof/>
            <w:webHidden/>
          </w:rPr>
          <w:tab/>
        </w:r>
        <w:r>
          <w:rPr>
            <w:noProof/>
            <w:webHidden/>
          </w:rPr>
          <w:fldChar w:fldCharType="begin"/>
        </w:r>
        <w:r w:rsidR="0006297A">
          <w:rPr>
            <w:noProof/>
            <w:webHidden/>
          </w:rPr>
          <w:instrText xml:space="preserve"> PAGEREF _Toc343682661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2" w:history="1">
        <w:r w:rsidR="0006297A" w:rsidRPr="00160DD7">
          <w:rPr>
            <w:rStyle w:val="Hyperlink"/>
            <w:noProof/>
          </w:rPr>
          <w:t>Volatility score (comprises 50% of the overall stability probability)</w:t>
        </w:r>
        <w:r w:rsidR="0006297A">
          <w:rPr>
            <w:noProof/>
            <w:webHidden/>
          </w:rPr>
          <w:tab/>
        </w:r>
        <w:r>
          <w:rPr>
            <w:noProof/>
            <w:webHidden/>
          </w:rPr>
          <w:fldChar w:fldCharType="begin"/>
        </w:r>
        <w:r w:rsidR="0006297A">
          <w:rPr>
            <w:noProof/>
            <w:webHidden/>
          </w:rPr>
          <w:instrText xml:space="preserve"> PAGEREF _Toc343682662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3" w:history="1">
        <w:r w:rsidR="0006297A" w:rsidRPr="00160DD7">
          <w:rPr>
            <w:rStyle w:val="Hyperlink"/>
            <w:noProof/>
          </w:rPr>
          <w:t>Description of non-linear probability algorithm</w:t>
        </w:r>
        <w:r w:rsidR="0006297A">
          <w:rPr>
            <w:noProof/>
            <w:webHidden/>
          </w:rPr>
          <w:tab/>
        </w:r>
        <w:r>
          <w:rPr>
            <w:noProof/>
            <w:webHidden/>
          </w:rPr>
          <w:fldChar w:fldCharType="begin"/>
        </w:r>
        <w:r w:rsidR="0006297A">
          <w:rPr>
            <w:noProof/>
            <w:webHidden/>
          </w:rPr>
          <w:instrText xml:space="preserve"> PAGEREF _Toc343682663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4" w:history="1">
        <w:r w:rsidR="0006297A" w:rsidRPr="00160DD7">
          <w:rPr>
            <w:rStyle w:val="Hyperlink"/>
            <w:noProof/>
          </w:rPr>
          <w:t>5% rule</w:t>
        </w:r>
        <w:r w:rsidR="0006297A">
          <w:rPr>
            <w:noProof/>
            <w:webHidden/>
          </w:rPr>
          <w:tab/>
        </w:r>
        <w:r>
          <w:rPr>
            <w:noProof/>
            <w:webHidden/>
          </w:rPr>
          <w:fldChar w:fldCharType="begin"/>
        </w:r>
        <w:r w:rsidR="0006297A">
          <w:rPr>
            <w:noProof/>
            <w:webHidden/>
          </w:rPr>
          <w:instrText xml:space="preserve"> PAGEREF _Toc343682664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5" w:history="1">
        <w:r w:rsidR="0006297A" w:rsidRPr="00160DD7">
          <w:rPr>
            <w:rStyle w:val="Hyperlink"/>
            <w:noProof/>
          </w:rPr>
          <w:t>Banding rule</w:t>
        </w:r>
        <w:r w:rsidR="0006297A">
          <w:rPr>
            <w:noProof/>
            <w:webHidden/>
          </w:rPr>
          <w:tab/>
        </w:r>
        <w:r>
          <w:rPr>
            <w:noProof/>
            <w:webHidden/>
          </w:rPr>
          <w:fldChar w:fldCharType="begin"/>
        </w:r>
        <w:r w:rsidR="0006297A">
          <w:rPr>
            <w:noProof/>
            <w:webHidden/>
          </w:rPr>
          <w:instrText xml:space="preserve"> PAGEREF _Toc343682665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6" w:history="1">
        <w:r w:rsidR="0006297A" w:rsidRPr="00160DD7">
          <w:rPr>
            <w:rStyle w:val="Hyperlink"/>
            <w:noProof/>
          </w:rPr>
          <w:t>Market capitalization of growth/value and defensive/dynamic indexes</w:t>
        </w:r>
        <w:r w:rsidR="0006297A">
          <w:rPr>
            <w:noProof/>
            <w:webHidden/>
          </w:rPr>
          <w:tab/>
        </w:r>
        <w:r>
          <w:rPr>
            <w:noProof/>
            <w:webHidden/>
          </w:rPr>
          <w:fldChar w:fldCharType="begin"/>
        </w:r>
        <w:r w:rsidR="0006297A">
          <w:rPr>
            <w:noProof/>
            <w:webHidden/>
          </w:rPr>
          <w:instrText xml:space="preserve"> PAGEREF _Toc343682666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7" w:history="1">
        <w:r w:rsidR="0006297A" w:rsidRPr="00160DD7">
          <w:rPr>
            <w:rStyle w:val="Hyperlink"/>
            <w:noProof/>
          </w:rPr>
          <w:t>Missing values, negative values, or low coverage</w:t>
        </w:r>
        <w:r w:rsidR="0006297A">
          <w:rPr>
            <w:noProof/>
            <w:webHidden/>
          </w:rPr>
          <w:tab/>
        </w:r>
        <w:r>
          <w:rPr>
            <w:noProof/>
            <w:webHidden/>
          </w:rPr>
          <w:fldChar w:fldCharType="begin"/>
        </w:r>
        <w:r w:rsidR="0006297A">
          <w:rPr>
            <w:noProof/>
            <w:webHidden/>
          </w:rPr>
          <w:instrText xml:space="preserve"> PAGEREF _Toc343682667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8" w:history="1">
        <w:r w:rsidR="0006297A" w:rsidRPr="00160DD7">
          <w:rPr>
            <w:rStyle w:val="Hyperlink"/>
            <w:noProof/>
          </w:rPr>
          <w:t>Book value adjustments</w:t>
        </w:r>
        <w:r w:rsidR="0006297A">
          <w:rPr>
            <w:noProof/>
            <w:webHidden/>
          </w:rPr>
          <w:tab/>
        </w:r>
        <w:r>
          <w:rPr>
            <w:noProof/>
            <w:webHidden/>
          </w:rPr>
          <w:fldChar w:fldCharType="begin"/>
        </w:r>
        <w:r w:rsidR="0006297A">
          <w:rPr>
            <w:noProof/>
            <w:webHidden/>
          </w:rPr>
          <w:instrText xml:space="preserve"> PAGEREF _Toc343682668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69" w:history="1">
        <w:r w:rsidR="0006297A" w:rsidRPr="00160DD7">
          <w:rPr>
            <w:rStyle w:val="Hyperlink"/>
            <w:noProof/>
          </w:rPr>
          <w:t>Russell non-linear probability algorithm</w:t>
        </w:r>
        <w:r w:rsidR="0006297A">
          <w:rPr>
            <w:noProof/>
            <w:webHidden/>
          </w:rPr>
          <w:tab/>
        </w:r>
        <w:r>
          <w:rPr>
            <w:noProof/>
            <w:webHidden/>
          </w:rPr>
          <w:fldChar w:fldCharType="begin"/>
        </w:r>
        <w:r w:rsidR="0006297A">
          <w:rPr>
            <w:noProof/>
            <w:webHidden/>
          </w:rPr>
          <w:instrText xml:space="preserve"> PAGEREF _Toc343682669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70" w:history="1">
        <w:r w:rsidR="0006297A" w:rsidRPr="00160DD7">
          <w:rPr>
            <w:rStyle w:val="Hyperlink"/>
            <w:noProof/>
          </w:rPr>
          <w:t>Index maintenance</w:t>
        </w:r>
        <w:r w:rsidR="0006297A">
          <w:rPr>
            <w:noProof/>
            <w:webHidden/>
          </w:rPr>
          <w:tab/>
        </w:r>
        <w:r>
          <w:rPr>
            <w:noProof/>
            <w:webHidden/>
          </w:rPr>
          <w:fldChar w:fldCharType="begin"/>
        </w:r>
        <w:r w:rsidR="0006297A">
          <w:rPr>
            <w:noProof/>
            <w:webHidden/>
          </w:rPr>
          <w:instrText xml:space="preserve"> PAGEREF _Toc343682670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1" w:history="1">
        <w:r w:rsidR="0006297A" w:rsidRPr="00160DD7">
          <w:rPr>
            <w:rStyle w:val="Hyperlink"/>
            <w:noProof/>
          </w:rPr>
          <w:t>Daily changes</w:t>
        </w:r>
        <w:r w:rsidR="0006297A">
          <w:rPr>
            <w:noProof/>
            <w:webHidden/>
          </w:rPr>
          <w:tab/>
        </w:r>
        <w:r>
          <w:rPr>
            <w:noProof/>
            <w:webHidden/>
          </w:rPr>
          <w:fldChar w:fldCharType="begin"/>
        </w:r>
        <w:r w:rsidR="0006297A">
          <w:rPr>
            <w:noProof/>
            <w:webHidden/>
          </w:rPr>
          <w:instrText xml:space="preserve"> PAGEREF _Toc343682671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2" w:history="1">
        <w:r w:rsidR="0006297A" w:rsidRPr="00160DD7">
          <w:rPr>
            <w:rStyle w:val="Hyperlink"/>
            <w:noProof/>
          </w:rPr>
          <w:t>Changes to shares outstanding</w:t>
        </w:r>
        <w:r w:rsidR="0006297A">
          <w:rPr>
            <w:noProof/>
            <w:webHidden/>
          </w:rPr>
          <w:tab/>
        </w:r>
        <w:r>
          <w:rPr>
            <w:noProof/>
            <w:webHidden/>
          </w:rPr>
          <w:fldChar w:fldCharType="begin"/>
        </w:r>
        <w:r w:rsidR="0006297A">
          <w:rPr>
            <w:noProof/>
            <w:webHidden/>
          </w:rPr>
          <w:instrText xml:space="preserve"> PAGEREF _Toc343682672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3" w:history="1">
        <w:r w:rsidR="0006297A" w:rsidRPr="00160DD7">
          <w:rPr>
            <w:rStyle w:val="Hyperlink"/>
            <w:noProof/>
          </w:rPr>
          <w:t>Quarterly initial public offerings (IPOs)</w:t>
        </w:r>
        <w:r w:rsidR="0006297A">
          <w:rPr>
            <w:noProof/>
            <w:webHidden/>
          </w:rPr>
          <w:tab/>
        </w:r>
        <w:r>
          <w:rPr>
            <w:noProof/>
            <w:webHidden/>
          </w:rPr>
          <w:fldChar w:fldCharType="begin"/>
        </w:r>
        <w:r w:rsidR="0006297A">
          <w:rPr>
            <w:noProof/>
            <w:webHidden/>
          </w:rPr>
          <w:instrText xml:space="preserve"> PAGEREF _Toc343682673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4" w:history="1">
        <w:r w:rsidR="0006297A" w:rsidRPr="00160DD7">
          <w:rPr>
            <w:rStyle w:val="Hyperlink"/>
            <w:noProof/>
          </w:rPr>
          <w:t>Annual reconstitution</w:t>
        </w:r>
        <w:r w:rsidR="0006297A">
          <w:rPr>
            <w:noProof/>
            <w:webHidden/>
          </w:rPr>
          <w:tab/>
        </w:r>
        <w:r>
          <w:rPr>
            <w:noProof/>
            <w:webHidden/>
          </w:rPr>
          <w:fldChar w:fldCharType="begin"/>
        </w:r>
        <w:r w:rsidR="0006297A">
          <w:rPr>
            <w:noProof/>
            <w:webHidden/>
          </w:rPr>
          <w:instrText xml:space="preserve"> PAGEREF _Toc343682674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75" w:history="1">
        <w:r w:rsidR="0006297A" w:rsidRPr="00160DD7">
          <w:rPr>
            <w:rStyle w:val="Hyperlink"/>
            <w:noProof/>
          </w:rPr>
          <w:t>Corporate action-driven changes</w:t>
        </w:r>
        <w:r w:rsidR="0006297A">
          <w:rPr>
            <w:noProof/>
            <w:webHidden/>
          </w:rPr>
          <w:tab/>
        </w:r>
        <w:r>
          <w:rPr>
            <w:noProof/>
            <w:webHidden/>
          </w:rPr>
          <w:fldChar w:fldCharType="begin"/>
        </w:r>
        <w:r w:rsidR="0006297A">
          <w:rPr>
            <w:noProof/>
            <w:webHidden/>
          </w:rPr>
          <w:instrText xml:space="preserve"> PAGEREF _Toc343682675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6" w:history="1">
        <w:r w:rsidR="0006297A" w:rsidRPr="00160DD7">
          <w:rPr>
            <w:rStyle w:val="Hyperlink"/>
            <w:noProof/>
          </w:rPr>
          <w:t>Timing and treatment of corporate actions</w:t>
        </w:r>
        <w:r w:rsidR="0006297A">
          <w:rPr>
            <w:noProof/>
            <w:webHidden/>
          </w:rPr>
          <w:tab/>
        </w:r>
        <w:r>
          <w:rPr>
            <w:noProof/>
            <w:webHidden/>
          </w:rPr>
          <w:fldChar w:fldCharType="begin"/>
        </w:r>
        <w:r w:rsidR="0006297A">
          <w:rPr>
            <w:noProof/>
            <w:webHidden/>
          </w:rPr>
          <w:instrText xml:space="preserve"> PAGEREF _Toc343682676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7" w:history="1">
        <w:r w:rsidR="0006297A" w:rsidRPr="00160DD7">
          <w:rPr>
            <w:rStyle w:val="Hyperlink"/>
            <w:noProof/>
          </w:rPr>
          <w:t>Mergers and acquisitions</w:t>
        </w:r>
        <w:r w:rsidR="0006297A">
          <w:rPr>
            <w:noProof/>
            <w:webHidden/>
          </w:rPr>
          <w:tab/>
        </w:r>
        <w:r>
          <w:rPr>
            <w:noProof/>
            <w:webHidden/>
          </w:rPr>
          <w:fldChar w:fldCharType="begin"/>
        </w:r>
        <w:r w:rsidR="0006297A">
          <w:rPr>
            <w:noProof/>
            <w:webHidden/>
          </w:rPr>
          <w:instrText xml:space="preserve"> PAGEREF _Toc343682677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8" w:history="1">
        <w:r w:rsidR="0006297A" w:rsidRPr="00160DD7">
          <w:rPr>
            <w:rStyle w:val="Hyperlink"/>
            <w:noProof/>
          </w:rPr>
          <w:t>Tender offers</w:t>
        </w:r>
        <w:r w:rsidR="0006297A">
          <w:rPr>
            <w:noProof/>
            <w:webHidden/>
          </w:rPr>
          <w:tab/>
        </w:r>
        <w:r>
          <w:rPr>
            <w:noProof/>
            <w:webHidden/>
          </w:rPr>
          <w:fldChar w:fldCharType="begin"/>
        </w:r>
        <w:r w:rsidR="0006297A">
          <w:rPr>
            <w:noProof/>
            <w:webHidden/>
          </w:rPr>
          <w:instrText xml:space="preserve"> PAGEREF _Toc343682678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79" w:history="1">
        <w:r w:rsidR="0006297A" w:rsidRPr="00160DD7">
          <w:rPr>
            <w:rStyle w:val="Hyperlink"/>
            <w:noProof/>
          </w:rPr>
          <w:t>Reverse mergers</w:t>
        </w:r>
        <w:r w:rsidR="0006297A">
          <w:rPr>
            <w:noProof/>
            <w:webHidden/>
          </w:rPr>
          <w:tab/>
        </w:r>
        <w:r>
          <w:rPr>
            <w:noProof/>
            <w:webHidden/>
          </w:rPr>
          <w:fldChar w:fldCharType="begin"/>
        </w:r>
        <w:r w:rsidR="0006297A">
          <w:rPr>
            <w:noProof/>
            <w:webHidden/>
          </w:rPr>
          <w:instrText xml:space="preserve"> PAGEREF _Toc343682679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0" w:history="1">
        <w:r w:rsidR="0006297A" w:rsidRPr="00160DD7">
          <w:rPr>
            <w:rStyle w:val="Hyperlink"/>
            <w:noProof/>
          </w:rPr>
          <w:t>Spin-offs</w:t>
        </w:r>
        <w:r w:rsidR="0006297A">
          <w:rPr>
            <w:noProof/>
            <w:webHidden/>
          </w:rPr>
          <w:tab/>
        </w:r>
        <w:r>
          <w:rPr>
            <w:noProof/>
            <w:webHidden/>
          </w:rPr>
          <w:fldChar w:fldCharType="begin"/>
        </w:r>
        <w:r w:rsidR="0006297A">
          <w:rPr>
            <w:noProof/>
            <w:webHidden/>
          </w:rPr>
          <w:instrText xml:space="preserve"> PAGEREF _Toc343682680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1" w:history="1">
        <w:r w:rsidR="0006297A" w:rsidRPr="00160DD7">
          <w:rPr>
            <w:rStyle w:val="Hyperlink"/>
            <w:noProof/>
          </w:rPr>
          <w:t>Halted securities</w:t>
        </w:r>
        <w:r w:rsidR="0006297A">
          <w:rPr>
            <w:noProof/>
            <w:webHidden/>
          </w:rPr>
          <w:tab/>
        </w:r>
        <w:r>
          <w:rPr>
            <w:noProof/>
            <w:webHidden/>
          </w:rPr>
          <w:fldChar w:fldCharType="begin"/>
        </w:r>
        <w:r w:rsidR="0006297A">
          <w:rPr>
            <w:noProof/>
            <w:webHidden/>
          </w:rPr>
          <w:instrText xml:space="preserve"> PAGEREF _Toc343682681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2" w:history="1">
        <w:r w:rsidR="0006297A" w:rsidRPr="00160DD7">
          <w:rPr>
            <w:rStyle w:val="Hyperlink"/>
            <w:noProof/>
          </w:rPr>
          <w:t>Delistings</w:t>
        </w:r>
        <w:r w:rsidR="0006297A">
          <w:rPr>
            <w:noProof/>
            <w:webHidden/>
          </w:rPr>
          <w:tab/>
        </w:r>
        <w:r>
          <w:rPr>
            <w:noProof/>
            <w:webHidden/>
          </w:rPr>
          <w:fldChar w:fldCharType="begin"/>
        </w:r>
        <w:r w:rsidR="0006297A">
          <w:rPr>
            <w:noProof/>
            <w:webHidden/>
          </w:rPr>
          <w:instrText xml:space="preserve"> PAGEREF _Toc343682682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3" w:history="1">
        <w:r w:rsidR="0006297A" w:rsidRPr="00160DD7">
          <w:rPr>
            <w:rStyle w:val="Hyperlink"/>
            <w:noProof/>
          </w:rPr>
          <w:t>Stock splits, reverse splits and consolidations</w:t>
        </w:r>
        <w:r w:rsidR="0006297A">
          <w:rPr>
            <w:noProof/>
            <w:webHidden/>
          </w:rPr>
          <w:tab/>
        </w:r>
        <w:r>
          <w:rPr>
            <w:noProof/>
            <w:webHidden/>
          </w:rPr>
          <w:fldChar w:fldCharType="begin"/>
        </w:r>
        <w:r w:rsidR="0006297A">
          <w:rPr>
            <w:noProof/>
            <w:webHidden/>
          </w:rPr>
          <w:instrText xml:space="preserve"> PAGEREF _Toc343682683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4" w:history="1">
        <w:r w:rsidR="0006297A" w:rsidRPr="00160DD7">
          <w:rPr>
            <w:rStyle w:val="Hyperlink"/>
            <w:noProof/>
          </w:rPr>
          <w:t>Dividends</w:t>
        </w:r>
        <w:r w:rsidR="0006297A">
          <w:rPr>
            <w:noProof/>
            <w:webHidden/>
          </w:rPr>
          <w:tab/>
        </w:r>
        <w:r>
          <w:rPr>
            <w:noProof/>
            <w:webHidden/>
          </w:rPr>
          <w:fldChar w:fldCharType="begin"/>
        </w:r>
        <w:r w:rsidR="0006297A">
          <w:rPr>
            <w:noProof/>
            <w:webHidden/>
          </w:rPr>
          <w:instrText xml:space="preserve"> PAGEREF _Toc343682684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5" w:history="1">
        <w:r w:rsidR="0006297A" w:rsidRPr="00160DD7">
          <w:rPr>
            <w:rStyle w:val="Hyperlink"/>
            <w:noProof/>
          </w:rPr>
          <w:t>Reclassification of share classes</w:t>
        </w:r>
        <w:r w:rsidR="0006297A">
          <w:rPr>
            <w:noProof/>
            <w:webHidden/>
          </w:rPr>
          <w:tab/>
        </w:r>
        <w:r>
          <w:rPr>
            <w:noProof/>
            <w:webHidden/>
          </w:rPr>
          <w:fldChar w:fldCharType="begin"/>
        </w:r>
        <w:r w:rsidR="0006297A">
          <w:rPr>
            <w:noProof/>
            <w:webHidden/>
          </w:rPr>
          <w:instrText xml:space="preserve"> PAGEREF _Toc343682685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6" w:history="1">
        <w:r w:rsidR="0006297A" w:rsidRPr="00160DD7">
          <w:rPr>
            <w:rStyle w:val="Hyperlink"/>
            <w:noProof/>
          </w:rPr>
          <w:t>Rights offerings, RAPIDS, and stock warrants</w:t>
        </w:r>
        <w:r w:rsidR="0006297A">
          <w:rPr>
            <w:noProof/>
            <w:webHidden/>
          </w:rPr>
          <w:tab/>
        </w:r>
        <w:r>
          <w:rPr>
            <w:noProof/>
            <w:webHidden/>
          </w:rPr>
          <w:fldChar w:fldCharType="begin"/>
        </w:r>
        <w:r w:rsidR="0006297A">
          <w:rPr>
            <w:noProof/>
            <w:webHidden/>
          </w:rPr>
          <w:instrText xml:space="preserve"> PAGEREF _Toc343682686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7" w:history="1">
        <w:r w:rsidR="0006297A" w:rsidRPr="00160DD7">
          <w:rPr>
            <w:rStyle w:val="Hyperlink"/>
            <w:noProof/>
          </w:rPr>
          <w:t>Convertibles and contingent convertibles</w:t>
        </w:r>
        <w:r w:rsidR="0006297A">
          <w:rPr>
            <w:noProof/>
            <w:webHidden/>
          </w:rPr>
          <w:tab/>
        </w:r>
        <w:r>
          <w:rPr>
            <w:noProof/>
            <w:webHidden/>
          </w:rPr>
          <w:fldChar w:fldCharType="begin"/>
        </w:r>
        <w:r w:rsidR="0006297A">
          <w:rPr>
            <w:noProof/>
            <w:webHidden/>
          </w:rPr>
          <w:instrText xml:space="preserve"> PAGEREF _Toc343682687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8" w:history="1">
        <w:r w:rsidR="0006297A" w:rsidRPr="00160DD7">
          <w:rPr>
            <w:rStyle w:val="Hyperlink"/>
            <w:noProof/>
          </w:rPr>
          <w:t>Other corporate events</w:t>
        </w:r>
        <w:r w:rsidR="0006297A">
          <w:rPr>
            <w:noProof/>
            <w:webHidden/>
          </w:rPr>
          <w:tab/>
        </w:r>
        <w:r>
          <w:rPr>
            <w:noProof/>
            <w:webHidden/>
          </w:rPr>
          <w:fldChar w:fldCharType="begin"/>
        </w:r>
        <w:r w:rsidR="0006297A">
          <w:rPr>
            <w:noProof/>
            <w:webHidden/>
          </w:rPr>
          <w:instrText xml:space="preserve"> PAGEREF _Toc343682688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89" w:history="1">
        <w:r w:rsidR="0006297A" w:rsidRPr="00160DD7">
          <w:rPr>
            <w:rStyle w:val="Hyperlink"/>
            <w:noProof/>
          </w:rPr>
          <w:t>Bankruptcy and voluntary liquidations</w:t>
        </w:r>
        <w:r w:rsidR="0006297A">
          <w:rPr>
            <w:noProof/>
            <w:webHidden/>
          </w:rPr>
          <w:tab/>
        </w:r>
        <w:r>
          <w:rPr>
            <w:noProof/>
            <w:webHidden/>
          </w:rPr>
          <w:fldChar w:fldCharType="begin"/>
        </w:r>
        <w:r w:rsidR="0006297A">
          <w:rPr>
            <w:noProof/>
            <w:webHidden/>
          </w:rPr>
          <w:instrText xml:space="preserve"> PAGEREF _Toc343682689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690" w:history="1">
        <w:r w:rsidR="0006297A" w:rsidRPr="00160DD7">
          <w:rPr>
            <w:rStyle w:val="Hyperlink"/>
            <w:noProof/>
          </w:rPr>
          <w:t>Russell Frontier</w:t>
        </w:r>
        <w:r w:rsidR="0006297A" w:rsidRPr="00160DD7">
          <w:rPr>
            <w:rStyle w:val="Hyperlink"/>
            <w:rFonts w:cs="Arial"/>
            <w:noProof/>
            <w:vertAlign w:val="superscript"/>
          </w:rPr>
          <w:t>®</w:t>
        </w:r>
        <w:r w:rsidR="0006297A" w:rsidRPr="00160DD7">
          <w:rPr>
            <w:rStyle w:val="Hyperlink"/>
            <w:noProof/>
          </w:rPr>
          <w:t xml:space="preserve"> Index</w:t>
        </w:r>
        <w:r w:rsidR="0006297A">
          <w:rPr>
            <w:noProof/>
            <w:webHidden/>
          </w:rPr>
          <w:tab/>
        </w:r>
        <w:r>
          <w:rPr>
            <w:noProof/>
            <w:webHidden/>
          </w:rPr>
          <w:fldChar w:fldCharType="begin"/>
        </w:r>
        <w:r w:rsidR="0006297A">
          <w:rPr>
            <w:noProof/>
            <w:webHidden/>
          </w:rPr>
          <w:instrText xml:space="preserve"> PAGEREF _Toc343682690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1" w:history="1">
        <w:r w:rsidR="0006297A" w:rsidRPr="00160DD7">
          <w:rPr>
            <w:rStyle w:val="Hyperlink"/>
            <w:noProof/>
          </w:rPr>
          <w:t>Determining frontier countries</w:t>
        </w:r>
        <w:r w:rsidR="0006297A">
          <w:rPr>
            <w:noProof/>
            <w:webHidden/>
          </w:rPr>
          <w:tab/>
        </w:r>
        <w:r>
          <w:rPr>
            <w:noProof/>
            <w:webHidden/>
          </w:rPr>
          <w:fldChar w:fldCharType="begin"/>
        </w:r>
        <w:r w:rsidR="0006297A">
          <w:rPr>
            <w:noProof/>
            <w:webHidden/>
          </w:rPr>
          <w:instrText xml:space="preserve"> PAGEREF _Toc343682691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2" w:history="1">
        <w:r w:rsidR="0006297A" w:rsidRPr="00160DD7">
          <w:rPr>
            <w:rStyle w:val="Hyperlink"/>
            <w:noProof/>
          </w:rPr>
          <w:t>Country risk</w:t>
        </w:r>
        <w:r w:rsidR="0006297A">
          <w:rPr>
            <w:noProof/>
            <w:webHidden/>
          </w:rPr>
          <w:tab/>
        </w:r>
        <w:r>
          <w:rPr>
            <w:noProof/>
            <w:webHidden/>
          </w:rPr>
          <w:fldChar w:fldCharType="begin"/>
        </w:r>
        <w:r w:rsidR="0006297A">
          <w:rPr>
            <w:noProof/>
            <w:webHidden/>
          </w:rPr>
          <w:instrText xml:space="preserve"> PAGEREF _Toc343682692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3" w:history="1">
        <w:r w:rsidR="0006297A" w:rsidRPr="00160DD7">
          <w:rPr>
            <w:rStyle w:val="Hyperlink"/>
            <w:noProof/>
          </w:rPr>
          <w:t>Trading risks / challenges</w:t>
        </w:r>
        <w:r w:rsidR="0006297A">
          <w:rPr>
            <w:noProof/>
            <w:webHidden/>
          </w:rPr>
          <w:tab/>
        </w:r>
        <w:r>
          <w:rPr>
            <w:noProof/>
            <w:webHidden/>
          </w:rPr>
          <w:fldChar w:fldCharType="begin"/>
        </w:r>
        <w:r w:rsidR="0006297A">
          <w:rPr>
            <w:noProof/>
            <w:webHidden/>
          </w:rPr>
          <w:instrText xml:space="preserve"> PAGEREF _Toc343682693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4" w:history="1">
        <w:r w:rsidR="0006297A" w:rsidRPr="00160DD7">
          <w:rPr>
            <w:rStyle w:val="Hyperlink"/>
            <w:noProof/>
          </w:rPr>
          <w:t>Frontier securities types</w:t>
        </w:r>
        <w:r w:rsidR="0006297A">
          <w:rPr>
            <w:noProof/>
            <w:webHidden/>
          </w:rPr>
          <w:tab/>
        </w:r>
        <w:r>
          <w:rPr>
            <w:noProof/>
            <w:webHidden/>
          </w:rPr>
          <w:fldChar w:fldCharType="begin"/>
        </w:r>
        <w:r w:rsidR="0006297A">
          <w:rPr>
            <w:noProof/>
            <w:webHidden/>
          </w:rPr>
          <w:instrText xml:space="preserve"> PAGEREF _Toc343682694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5" w:history="1">
        <w:r w:rsidR="0006297A" w:rsidRPr="00160DD7">
          <w:rPr>
            <w:rStyle w:val="Hyperlink"/>
            <w:noProof/>
          </w:rPr>
          <w:t>Universe minimum size requirement</w:t>
        </w:r>
        <w:r w:rsidR="0006297A">
          <w:rPr>
            <w:noProof/>
            <w:webHidden/>
          </w:rPr>
          <w:tab/>
        </w:r>
        <w:r>
          <w:rPr>
            <w:noProof/>
            <w:webHidden/>
          </w:rPr>
          <w:fldChar w:fldCharType="begin"/>
        </w:r>
        <w:r w:rsidR="0006297A">
          <w:rPr>
            <w:noProof/>
            <w:webHidden/>
          </w:rPr>
          <w:instrText xml:space="preserve"> PAGEREF _Toc343682695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6" w:history="1">
        <w:r w:rsidR="0006297A" w:rsidRPr="00160DD7">
          <w:rPr>
            <w:rStyle w:val="Hyperlink"/>
            <w:noProof/>
          </w:rPr>
          <w:t>Universe liquidity screen</w:t>
        </w:r>
        <w:r w:rsidR="0006297A">
          <w:rPr>
            <w:noProof/>
            <w:webHidden/>
          </w:rPr>
          <w:tab/>
        </w:r>
        <w:r>
          <w:rPr>
            <w:noProof/>
            <w:webHidden/>
          </w:rPr>
          <w:fldChar w:fldCharType="begin"/>
        </w:r>
        <w:r w:rsidR="0006297A">
          <w:rPr>
            <w:noProof/>
            <w:webHidden/>
          </w:rPr>
          <w:instrText xml:space="preserve"> PAGEREF _Toc343682696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7" w:history="1">
        <w:r w:rsidR="0006297A" w:rsidRPr="00160DD7">
          <w:rPr>
            <w:rStyle w:val="Hyperlink"/>
            <w:noProof/>
          </w:rPr>
          <w:t>Capturing 98% of the eligible frontier universe</w:t>
        </w:r>
        <w:r w:rsidR="0006297A">
          <w:rPr>
            <w:noProof/>
            <w:webHidden/>
          </w:rPr>
          <w:tab/>
        </w:r>
        <w:r>
          <w:rPr>
            <w:noProof/>
            <w:webHidden/>
          </w:rPr>
          <w:fldChar w:fldCharType="begin"/>
        </w:r>
        <w:r w:rsidR="0006297A">
          <w:rPr>
            <w:noProof/>
            <w:webHidden/>
          </w:rPr>
          <w:instrText xml:space="preserve"> PAGEREF _Toc343682697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8" w:history="1">
        <w:r w:rsidR="0006297A" w:rsidRPr="00160DD7">
          <w:rPr>
            <w:rStyle w:val="Hyperlink"/>
            <w:noProof/>
          </w:rPr>
          <w:t>Ineligible exchanges</w:t>
        </w:r>
        <w:r w:rsidR="0006297A">
          <w:rPr>
            <w:noProof/>
            <w:webHidden/>
          </w:rPr>
          <w:tab/>
        </w:r>
        <w:r>
          <w:rPr>
            <w:noProof/>
            <w:webHidden/>
          </w:rPr>
          <w:fldChar w:fldCharType="begin"/>
        </w:r>
        <w:r w:rsidR="0006297A">
          <w:rPr>
            <w:noProof/>
            <w:webHidden/>
          </w:rPr>
          <w:instrText xml:space="preserve"> PAGEREF _Toc343682698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699" w:history="1">
        <w:r w:rsidR="0006297A" w:rsidRPr="00160DD7">
          <w:rPr>
            <w:rStyle w:val="Hyperlink"/>
            <w:noProof/>
          </w:rPr>
          <w:t>Float adjustments</w:t>
        </w:r>
        <w:r w:rsidR="0006297A">
          <w:rPr>
            <w:noProof/>
            <w:webHidden/>
          </w:rPr>
          <w:tab/>
        </w:r>
        <w:r>
          <w:rPr>
            <w:noProof/>
            <w:webHidden/>
          </w:rPr>
          <w:fldChar w:fldCharType="begin"/>
        </w:r>
        <w:r w:rsidR="0006297A">
          <w:rPr>
            <w:noProof/>
            <w:webHidden/>
          </w:rPr>
          <w:instrText xml:space="preserve"> PAGEREF _Toc343682699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0" w:history="1">
        <w:r w:rsidR="0006297A" w:rsidRPr="00160DD7">
          <w:rPr>
            <w:rStyle w:val="Hyperlink"/>
            <w:noProof/>
          </w:rPr>
          <w:t>Country weights</w:t>
        </w:r>
        <w:r w:rsidR="0006297A">
          <w:rPr>
            <w:noProof/>
            <w:webHidden/>
          </w:rPr>
          <w:tab/>
        </w:r>
        <w:r>
          <w:rPr>
            <w:noProof/>
            <w:webHidden/>
          </w:rPr>
          <w:fldChar w:fldCharType="begin"/>
        </w:r>
        <w:r w:rsidR="0006297A">
          <w:rPr>
            <w:noProof/>
            <w:webHidden/>
          </w:rPr>
          <w:instrText xml:space="preserve"> PAGEREF _Toc343682700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1" w:history="1">
        <w:r w:rsidR="0006297A" w:rsidRPr="00160DD7">
          <w:rPr>
            <w:rStyle w:val="Hyperlink"/>
            <w:noProof/>
          </w:rPr>
          <w:t>Frontier large cap and small cap index construction</w:t>
        </w:r>
        <w:r w:rsidR="0006297A">
          <w:rPr>
            <w:noProof/>
            <w:webHidden/>
          </w:rPr>
          <w:tab/>
        </w:r>
        <w:r>
          <w:rPr>
            <w:noProof/>
            <w:webHidden/>
          </w:rPr>
          <w:fldChar w:fldCharType="begin"/>
        </w:r>
        <w:r w:rsidR="0006297A">
          <w:rPr>
            <w:noProof/>
            <w:webHidden/>
          </w:rPr>
          <w:instrText xml:space="preserve"> PAGEREF _Toc343682701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2" w:history="1">
        <w:r w:rsidR="0006297A" w:rsidRPr="00160DD7">
          <w:rPr>
            <w:rStyle w:val="Hyperlink"/>
            <w:noProof/>
          </w:rPr>
          <w:t>Countries / exchanges</w:t>
        </w:r>
        <w:r w:rsidR="0006297A">
          <w:rPr>
            <w:noProof/>
            <w:webHidden/>
          </w:rPr>
          <w:tab/>
        </w:r>
        <w:r>
          <w:rPr>
            <w:noProof/>
            <w:webHidden/>
          </w:rPr>
          <w:fldChar w:fldCharType="begin"/>
        </w:r>
        <w:r w:rsidR="0006297A">
          <w:rPr>
            <w:noProof/>
            <w:webHidden/>
          </w:rPr>
          <w:instrText xml:space="preserve"> PAGEREF _Toc343682702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03" w:history="1">
        <w:r w:rsidR="0006297A" w:rsidRPr="00160DD7">
          <w:rPr>
            <w:rStyle w:val="Hyperlink"/>
            <w:noProof/>
          </w:rPr>
          <w:t>Gross Domestic Product (GDP) weighted indexes</w:t>
        </w:r>
        <w:r w:rsidR="0006297A">
          <w:rPr>
            <w:noProof/>
            <w:webHidden/>
          </w:rPr>
          <w:tab/>
        </w:r>
        <w:r>
          <w:rPr>
            <w:noProof/>
            <w:webHidden/>
          </w:rPr>
          <w:fldChar w:fldCharType="begin"/>
        </w:r>
        <w:r w:rsidR="0006297A">
          <w:rPr>
            <w:noProof/>
            <w:webHidden/>
          </w:rPr>
          <w:instrText xml:space="preserve"> PAGEREF _Toc343682703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04" w:history="1">
        <w:r w:rsidR="0006297A" w:rsidRPr="00160DD7">
          <w:rPr>
            <w:rStyle w:val="Hyperlink"/>
            <w:noProof/>
          </w:rPr>
          <w:t>Russell Dividend Achievers Indexes</w:t>
        </w:r>
        <w:r w:rsidR="0006297A">
          <w:rPr>
            <w:noProof/>
            <w:webHidden/>
          </w:rPr>
          <w:tab/>
        </w:r>
        <w:r>
          <w:rPr>
            <w:noProof/>
            <w:webHidden/>
          </w:rPr>
          <w:fldChar w:fldCharType="begin"/>
        </w:r>
        <w:r w:rsidR="0006297A">
          <w:rPr>
            <w:noProof/>
            <w:webHidden/>
          </w:rPr>
          <w:instrText xml:space="preserve"> PAGEREF _Toc343682704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5" w:history="1">
        <w:r w:rsidR="0006297A" w:rsidRPr="00160DD7">
          <w:rPr>
            <w:rStyle w:val="Hyperlink"/>
            <w:noProof/>
          </w:rPr>
          <w:t>Available indexes</w:t>
        </w:r>
        <w:r w:rsidR="0006297A">
          <w:rPr>
            <w:noProof/>
            <w:webHidden/>
          </w:rPr>
          <w:tab/>
        </w:r>
        <w:r>
          <w:rPr>
            <w:noProof/>
            <w:webHidden/>
          </w:rPr>
          <w:fldChar w:fldCharType="begin"/>
        </w:r>
        <w:r w:rsidR="0006297A">
          <w:rPr>
            <w:noProof/>
            <w:webHidden/>
          </w:rPr>
          <w:instrText xml:space="preserve"> PAGEREF _Toc343682705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6" w:history="1">
        <w:r w:rsidR="0006297A" w:rsidRPr="00160DD7">
          <w:rPr>
            <w:rStyle w:val="Hyperlink"/>
            <w:noProof/>
          </w:rPr>
          <w:t>Eligible securities</w:t>
        </w:r>
        <w:r w:rsidR="0006297A">
          <w:rPr>
            <w:noProof/>
            <w:webHidden/>
          </w:rPr>
          <w:tab/>
        </w:r>
        <w:r>
          <w:rPr>
            <w:noProof/>
            <w:webHidden/>
          </w:rPr>
          <w:fldChar w:fldCharType="begin"/>
        </w:r>
        <w:r w:rsidR="0006297A">
          <w:rPr>
            <w:noProof/>
            <w:webHidden/>
          </w:rPr>
          <w:instrText xml:space="preserve"> PAGEREF _Toc343682706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7" w:history="1">
        <w:r w:rsidR="0006297A" w:rsidRPr="00160DD7">
          <w:rPr>
            <w:rStyle w:val="Hyperlink"/>
            <w:noProof/>
          </w:rPr>
          <w:t>Index maintenance / corporate action-driven changes</w:t>
        </w:r>
        <w:r w:rsidR="0006297A">
          <w:rPr>
            <w:noProof/>
            <w:webHidden/>
          </w:rPr>
          <w:tab/>
        </w:r>
        <w:r>
          <w:rPr>
            <w:noProof/>
            <w:webHidden/>
          </w:rPr>
          <w:fldChar w:fldCharType="begin"/>
        </w:r>
        <w:r w:rsidR="0006297A">
          <w:rPr>
            <w:noProof/>
            <w:webHidden/>
          </w:rPr>
          <w:instrText xml:space="preserve"> PAGEREF _Toc343682707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8" w:history="1">
        <w:r w:rsidR="0006297A" w:rsidRPr="00160DD7">
          <w:rPr>
            <w:rStyle w:val="Hyperlink"/>
            <w:noProof/>
          </w:rPr>
          <w:t>Mergers and acquisitions</w:t>
        </w:r>
        <w:r w:rsidR="0006297A">
          <w:rPr>
            <w:noProof/>
            <w:webHidden/>
          </w:rPr>
          <w:tab/>
        </w:r>
        <w:r>
          <w:rPr>
            <w:noProof/>
            <w:webHidden/>
          </w:rPr>
          <w:fldChar w:fldCharType="begin"/>
        </w:r>
        <w:r w:rsidR="0006297A">
          <w:rPr>
            <w:noProof/>
            <w:webHidden/>
          </w:rPr>
          <w:instrText xml:space="preserve"> PAGEREF _Toc343682708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09" w:history="1">
        <w:r w:rsidR="0006297A" w:rsidRPr="00160DD7">
          <w:rPr>
            <w:rStyle w:val="Hyperlink"/>
            <w:noProof/>
          </w:rPr>
          <w:t>Spin-offs</w:t>
        </w:r>
        <w:r w:rsidR="0006297A">
          <w:rPr>
            <w:noProof/>
            <w:webHidden/>
          </w:rPr>
          <w:tab/>
        </w:r>
        <w:r>
          <w:rPr>
            <w:noProof/>
            <w:webHidden/>
          </w:rPr>
          <w:fldChar w:fldCharType="begin"/>
        </w:r>
        <w:r w:rsidR="0006297A">
          <w:rPr>
            <w:noProof/>
            <w:webHidden/>
          </w:rPr>
          <w:instrText xml:space="preserve"> PAGEREF _Toc343682709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10" w:history="1">
        <w:r w:rsidR="0006297A" w:rsidRPr="00160DD7">
          <w:rPr>
            <w:rStyle w:val="Hyperlink"/>
            <w:noProof/>
          </w:rPr>
          <w:t>Russell-IdealRatings Islamic Index</w:t>
        </w:r>
        <w:r w:rsidR="0006297A">
          <w:rPr>
            <w:noProof/>
            <w:webHidden/>
          </w:rPr>
          <w:tab/>
        </w:r>
        <w:r>
          <w:rPr>
            <w:noProof/>
            <w:webHidden/>
          </w:rPr>
          <w:fldChar w:fldCharType="begin"/>
        </w:r>
        <w:r w:rsidR="0006297A">
          <w:rPr>
            <w:noProof/>
            <w:webHidden/>
          </w:rPr>
          <w:instrText xml:space="preserve"> PAGEREF _Toc343682710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1" w:history="1">
        <w:r w:rsidR="0006297A" w:rsidRPr="00160DD7">
          <w:rPr>
            <w:rStyle w:val="Hyperlink"/>
            <w:noProof/>
          </w:rPr>
          <w:t>Purpose of the Russell-IdealRatings Islamic Index</w:t>
        </w:r>
        <w:r w:rsidR="0006297A">
          <w:rPr>
            <w:noProof/>
            <w:webHidden/>
          </w:rPr>
          <w:tab/>
        </w:r>
        <w:r>
          <w:rPr>
            <w:noProof/>
            <w:webHidden/>
          </w:rPr>
          <w:fldChar w:fldCharType="begin"/>
        </w:r>
        <w:r w:rsidR="0006297A">
          <w:rPr>
            <w:noProof/>
            <w:webHidden/>
          </w:rPr>
          <w:instrText xml:space="preserve"> PAGEREF _Toc343682711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2" w:history="1">
        <w:r w:rsidR="0006297A" w:rsidRPr="00160DD7">
          <w:rPr>
            <w:rStyle w:val="Hyperlink"/>
            <w:noProof/>
          </w:rPr>
          <w:t>Available indexes</w:t>
        </w:r>
        <w:r w:rsidR="0006297A">
          <w:rPr>
            <w:noProof/>
            <w:webHidden/>
          </w:rPr>
          <w:tab/>
        </w:r>
        <w:r>
          <w:rPr>
            <w:noProof/>
            <w:webHidden/>
          </w:rPr>
          <w:fldChar w:fldCharType="begin"/>
        </w:r>
        <w:r w:rsidR="0006297A">
          <w:rPr>
            <w:noProof/>
            <w:webHidden/>
          </w:rPr>
          <w:instrText xml:space="preserve"> PAGEREF _Toc343682712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3" w:history="1">
        <w:r w:rsidR="0006297A" w:rsidRPr="00160DD7">
          <w:rPr>
            <w:rStyle w:val="Hyperlink"/>
            <w:noProof/>
          </w:rPr>
          <w:t>Selection of Shariah compliant securities for index membership</w:t>
        </w:r>
        <w:r w:rsidR="0006297A">
          <w:rPr>
            <w:noProof/>
            <w:webHidden/>
          </w:rPr>
          <w:tab/>
        </w:r>
        <w:r>
          <w:rPr>
            <w:noProof/>
            <w:webHidden/>
          </w:rPr>
          <w:fldChar w:fldCharType="begin"/>
        </w:r>
        <w:r w:rsidR="0006297A">
          <w:rPr>
            <w:noProof/>
            <w:webHidden/>
          </w:rPr>
          <w:instrText xml:space="preserve"> PAGEREF _Toc343682713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4" w:history="1">
        <w:r w:rsidR="0006297A" w:rsidRPr="00160DD7">
          <w:rPr>
            <w:rStyle w:val="Hyperlink"/>
            <w:noProof/>
          </w:rPr>
          <w:t>Financial-based screens</w:t>
        </w:r>
        <w:r w:rsidR="0006297A">
          <w:rPr>
            <w:noProof/>
            <w:webHidden/>
          </w:rPr>
          <w:tab/>
        </w:r>
        <w:r>
          <w:rPr>
            <w:noProof/>
            <w:webHidden/>
          </w:rPr>
          <w:fldChar w:fldCharType="begin"/>
        </w:r>
        <w:r w:rsidR="0006297A">
          <w:rPr>
            <w:noProof/>
            <w:webHidden/>
          </w:rPr>
          <w:instrText xml:space="preserve"> PAGEREF _Toc343682714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5" w:history="1">
        <w:r w:rsidR="0006297A" w:rsidRPr="00160DD7">
          <w:rPr>
            <w:rStyle w:val="Hyperlink"/>
            <w:noProof/>
          </w:rPr>
          <w:t>Sector-based, prohibited income screens</w:t>
        </w:r>
        <w:r w:rsidR="0006297A">
          <w:rPr>
            <w:noProof/>
            <w:webHidden/>
          </w:rPr>
          <w:tab/>
        </w:r>
        <w:r>
          <w:rPr>
            <w:noProof/>
            <w:webHidden/>
          </w:rPr>
          <w:fldChar w:fldCharType="begin"/>
        </w:r>
        <w:r w:rsidR="0006297A">
          <w:rPr>
            <w:noProof/>
            <w:webHidden/>
          </w:rPr>
          <w:instrText xml:space="preserve"> PAGEREF _Toc343682715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6" w:history="1">
        <w:r w:rsidR="0006297A" w:rsidRPr="00160DD7">
          <w:rPr>
            <w:rStyle w:val="Hyperlink"/>
            <w:noProof/>
          </w:rPr>
          <w:t>Additional screens</w:t>
        </w:r>
        <w:r w:rsidR="0006297A">
          <w:rPr>
            <w:noProof/>
            <w:webHidden/>
          </w:rPr>
          <w:tab/>
        </w:r>
        <w:r>
          <w:rPr>
            <w:noProof/>
            <w:webHidden/>
          </w:rPr>
          <w:fldChar w:fldCharType="begin"/>
        </w:r>
        <w:r w:rsidR="0006297A">
          <w:rPr>
            <w:noProof/>
            <w:webHidden/>
          </w:rPr>
          <w:instrText xml:space="preserve"> PAGEREF _Toc343682716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7" w:history="1">
        <w:r w:rsidR="0006297A" w:rsidRPr="00160DD7">
          <w:rPr>
            <w:rStyle w:val="Hyperlink"/>
            <w:noProof/>
          </w:rPr>
          <w:t>Maintenance</w:t>
        </w:r>
        <w:r w:rsidR="0006297A">
          <w:rPr>
            <w:noProof/>
            <w:webHidden/>
          </w:rPr>
          <w:tab/>
        </w:r>
        <w:r>
          <w:rPr>
            <w:noProof/>
            <w:webHidden/>
          </w:rPr>
          <w:fldChar w:fldCharType="begin"/>
        </w:r>
        <w:r w:rsidR="0006297A">
          <w:rPr>
            <w:noProof/>
            <w:webHidden/>
          </w:rPr>
          <w:instrText xml:space="preserve"> PAGEREF _Toc343682717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8" w:history="1">
        <w:r w:rsidR="0006297A" w:rsidRPr="00160DD7">
          <w:rPr>
            <w:rStyle w:val="Hyperlink"/>
            <w:noProof/>
          </w:rPr>
          <w:t>Compliance monitoring</w:t>
        </w:r>
        <w:r w:rsidR="0006297A">
          <w:rPr>
            <w:noProof/>
            <w:webHidden/>
          </w:rPr>
          <w:tab/>
        </w:r>
        <w:r>
          <w:rPr>
            <w:noProof/>
            <w:webHidden/>
          </w:rPr>
          <w:fldChar w:fldCharType="begin"/>
        </w:r>
        <w:r w:rsidR="0006297A">
          <w:rPr>
            <w:noProof/>
            <w:webHidden/>
          </w:rPr>
          <w:instrText xml:space="preserve"> PAGEREF _Toc343682718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19" w:history="1">
        <w:r w:rsidR="0006297A" w:rsidRPr="00160DD7">
          <w:rPr>
            <w:rStyle w:val="Hyperlink"/>
            <w:noProof/>
          </w:rPr>
          <w:t>Purification</w:t>
        </w:r>
        <w:r w:rsidR="0006297A">
          <w:rPr>
            <w:noProof/>
            <w:webHidden/>
          </w:rPr>
          <w:tab/>
        </w:r>
        <w:r>
          <w:rPr>
            <w:noProof/>
            <w:webHidden/>
          </w:rPr>
          <w:fldChar w:fldCharType="begin"/>
        </w:r>
        <w:r w:rsidR="0006297A">
          <w:rPr>
            <w:noProof/>
            <w:webHidden/>
          </w:rPr>
          <w:instrText xml:space="preserve"> PAGEREF _Toc343682719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0" w:history="1">
        <w:r w:rsidR="0006297A" w:rsidRPr="00160DD7">
          <w:rPr>
            <w:rStyle w:val="Hyperlink"/>
            <w:noProof/>
          </w:rPr>
          <w:t>Eligibility and calculation of the purification amount</w:t>
        </w:r>
        <w:r w:rsidR="0006297A">
          <w:rPr>
            <w:noProof/>
            <w:webHidden/>
          </w:rPr>
          <w:tab/>
        </w:r>
        <w:r>
          <w:rPr>
            <w:noProof/>
            <w:webHidden/>
          </w:rPr>
          <w:fldChar w:fldCharType="begin"/>
        </w:r>
        <w:r w:rsidR="0006297A">
          <w:rPr>
            <w:noProof/>
            <w:webHidden/>
          </w:rPr>
          <w:instrText xml:space="preserve"> PAGEREF _Toc343682720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1" w:history="1">
        <w:r w:rsidR="0006297A" w:rsidRPr="00160DD7">
          <w:rPr>
            <w:rStyle w:val="Hyperlink"/>
            <w:noProof/>
          </w:rPr>
          <w:t>Purification process</w:t>
        </w:r>
        <w:r w:rsidR="0006297A">
          <w:rPr>
            <w:noProof/>
            <w:webHidden/>
          </w:rPr>
          <w:tab/>
        </w:r>
        <w:r>
          <w:rPr>
            <w:noProof/>
            <w:webHidden/>
          </w:rPr>
          <w:fldChar w:fldCharType="begin"/>
        </w:r>
        <w:r w:rsidR="0006297A">
          <w:rPr>
            <w:noProof/>
            <w:webHidden/>
          </w:rPr>
          <w:instrText xml:space="preserve"> PAGEREF _Toc343682721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22" w:history="1">
        <w:r w:rsidR="0006297A" w:rsidRPr="00160DD7">
          <w:rPr>
            <w:rStyle w:val="Hyperlink"/>
            <w:noProof/>
          </w:rPr>
          <w:t>Russell Equal Weight Indexes</w:t>
        </w:r>
        <w:r w:rsidR="0006297A">
          <w:rPr>
            <w:noProof/>
            <w:webHidden/>
          </w:rPr>
          <w:tab/>
        </w:r>
        <w:r>
          <w:rPr>
            <w:noProof/>
            <w:webHidden/>
          </w:rPr>
          <w:fldChar w:fldCharType="begin"/>
        </w:r>
        <w:r w:rsidR="0006297A">
          <w:rPr>
            <w:noProof/>
            <w:webHidden/>
          </w:rPr>
          <w:instrText xml:space="preserve"> PAGEREF _Toc343682722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3" w:history="1">
        <w:r w:rsidR="0006297A" w:rsidRPr="00160DD7">
          <w:rPr>
            <w:rStyle w:val="Hyperlink"/>
            <w:noProof/>
          </w:rPr>
          <w:t>Quarterly index re-weighting and annual reconstitution</w:t>
        </w:r>
        <w:r w:rsidR="0006297A">
          <w:rPr>
            <w:noProof/>
            <w:webHidden/>
          </w:rPr>
          <w:tab/>
        </w:r>
        <w:r>
          <w:rPr>
            <w:noProof/>
            <w:webHidden/>
          </w:rPr>
          <w:fldChar w:fldCharType="begin"/>
        </w:r>
        <w:r w:rsidR="0006297A">
          <w:rPr>
            <w:noProof/>
            <w:webHidden/>
          </w:rPr>
          <w:instrText xml:space="preserve"> PAGEREF _Toc343682723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4" w:history="1">
        <w:r w:rsidR="0006297A" w:rsidRPr="00160DD7">
          <w:rPr>
            <w:rStyle w:val="Hyperlink"/>
            <w:noProof/>
          </w:rPr>
          <w:t>Corporate action–driven changes</w:t>
        </w:r>
        <w:r w:rsidR="0006297A">
          <w:rPr>
            <w:noProof/>
            <w:webHidden/>
          </w:rPr>
          <w:tab/>
        </w:r>
        <w:r>
          <w:rPr>
            <w:noProof/>
            <w:webHidden/>
          </w:rPr>
          <w:fldChar w:fldCharType="begin"/>
        </w:r>
        <w:r w:rsidR="0006297A">
          <w:rPr>
            <w:noProof/>
            <w:webHidden/>
          </w:rPr>
          <w:instrText xml:space="preserve"> PAGEREF _Toc343682724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5" w:history="1">
        <w:r w:rsidR="0006297A" w:rsidRPr="00160DD7">
          <w:rPr>
            <w:rStyle w:val="Hyperlink"/>
            <w:noProof/>
          </w:rPr>
          <w:t>How the capacity screen is applied</w:t>
        </w:r>
        <w:r w:rsidR="0006297A">
          <w:rPr>
            <w:noProof/>
            <w:webHidden/>
          </w:rPr>
          <w:tab/>
        </w:r>
        <w:r>
          <w:rPr>
            <w:noProof/>
            <w:webHidden/>
          </w:rPr>
          <w:fldChar w:fldCharType="begin"/>
        </w:r>
        <w:r w:rsidR="0006297A">
          <w:rPr>
            <w:noProof/>
            <w:webHidden/>
          </w:rPr>
          <w:instrText xml:space="preserve"> PAGEREF _Toc343682725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26" w:history="1">
        <w:r w:rsidR="0006297A" w:rsidRPr="00160DD7">
          <w:rPr>
            <w:rStyle w:val="Hyperlink"/>
            <w:noProof/>
          </w:rPr>
          <w:t>Russell Australia High Dividend Index</w:t>
        </w:r>
        <w:r w:rsidR="0006297A">
          <w:rPr>
            <w:noProof/>
            <w:webHidden/>
          </w:rPr>
          <w:tab/>
        </w:r>
        <w:r>
          <w:rPr>
            <w:noProof/>
            <w:webHidden/>
          </w:rPr>
          <w:fldChar w:fldCharType="begin"/>
        </w:r>
        <w:r w:rsidR="0006297A">
          <w:rPr>
            <w:noProof/>
            <w:webHidden/>
          </w:rPr>
          <w:instrText xml:space="preserve"> PAGEREF _Toc343682726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7" w:history="1">
        <w:r w:rsidR="0006297A" w:rsidRPr="00160DD7">
          <w:rPr>
            <w:rStyle w:val="Hyperlink"/>
            <w:noProof/>
          </w:rPr>
          <w:t>Definition</w:t>
        </w:r>
        <w:r w:rsidR="0006297A">
          <w:rPr>
            <w:noProof/>
            <w:webHidden/>
          </w:rPr>
          <w:tab/>
        </w:r>
        <w:r>
          <w:rPr>
            <w:noProof/>
            <w:webHidden/>
          </w:rPr>
          <w:fldChar w:fldCharType="begin"/>
        </w:r>
        <w:r w:rsidR="0006297A">
          <w:rPr>
            <w:noProof/>
            <w:webHidden/>
          </w:rPr>
          <w:instrText xml:space="preserve"> PAGEREF _Toc343682727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8" w:history="1">
        <w:r w:rsidR="0006297A" w:rsidRPr="00160DD7">
          <w:rPr>
            <w:rStyle w:val="Hyperlink"/>
            <w:noProof/>
          </w:rPr>
          <w:t>Eligible securities</w:t>
        </w:r>
        <w:r w:rsidR="0006297A">
          <w:rPr>
            <w:noProof/>
            <w:webHidden/>
          </w:rPr>
          <w:tab/>
        </w:r>
        <w:r>
          <w:rPr>
            <w:noProof/>
            <w:webHidden/>
          </w:rPr>
          <w:fldChar w:fldCharType="begin"/>
        </w:r>
        <w:r w:rsidR="0006297A">
          <w:rPr>
            <w:noProof/>
            <w:webHidden/>
          </w:rPr>
          <w:instrText xml:space="preserve"> PAGEREF _Toc343682728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29" w:history="1">
        <w:r w:rsidR="0006297A" w:rsidRPr="00160DD7">
          <w:rPr>
            <w:rStyle w:val="Hyperlink"/>
            <w:noProof/>
          </w:rPr>
          <w:t>Dividend criteria</w:t>
        </w:r>
        <w:r w:rsidR="0006297A">
          <w:rPr>
            <w:noProof/>
            <w:webHidden/>
          </w:rPr>
          <w:tab/>
        </w:r>
        <w:r>
          <w:rPr>
            <w:noProof/>
            <w:webHidden/>
          </w:rPr>
          <w:fldChar w:fldCharType="begin"/>
        </w:r>
        <w:r w:rsidR="0006297A">
          <w:rPr>
            <w:noProof/>
            <w:webHidden/>
          </w:rPr>
          <w:instrText xml:space="preserve"> PAGEREF _Toc343682729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0" w:history="1">
        <w:r w:rsidR="0006297A" w:rsidRPr="00160DD7">
          <w:rPr>
            <w:rStyle w:val="Hyperlink"/>
            <w:noProof/>
          </w:rPr>
          <w:t>Franking credits</w:t>
        </w:r>
        <w:r w:rsidR="0006297A">
          <w:rPr>
            <w:noProof/>
            <w:webHidden/>
          </w:rPr>
          <w:tab/>
        </w:r>
        <w:r>
          <w:rPr>
            <w:noProof/>
            <w:webHidden/>
          </w:rPr>
          <w:fldChar w:fldCharType="begin"/>
        </w:r>
        <w:r w:rsidR="0006297A">
          <w:rPr>
            <w:noProof/>
            <w:webHidden/>
          </w:rPr>
          <w:instrText xml:space="preserve"> PAGEREF _Toc343682730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1" w:history="1">
        <w:r w:rsidR="0006297A" w:rsidRPr="00160DD7">
          <w:rPr>
            <w:rStyle w:val="Hyperlink"/>
            <w:noProof/>
          </w:rPr>
          <w:t>Grossed up dividend calculation</w:t>
        </w:r>
        <w:r w:rsidR="0006297A">
          <w:rPr>
            <w:noProof/>
            <w:webHidden/>
          </w:rPr>
          <w:tab/>
        </w:r>
        <w:r>
          <w:rPr>
            <w:noProof/>
            <w:webHidden/>
          </w:rPr>
          <w:fldChar w:fldCharType="begin"/>
        </w:r>
        <w:r w:rsidR="0006297A">
          <w:rPr>
            <w:noProof/>
            <w:webHidden/>
          </w:rPr>
          <w:instrText xml:space="preserve"> PAGEREF _Toc343682731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2" w:history="1">
        <w:r w:rsidR="0006297A" w:rsidRPr="00160DD7">
          <w:rPr>
            <w:rStyle w:val="Hyperlink"/>
            <w:noProof/>
          </w:rPr>
          <w:t>Franking credits at different tax rates</w:t>
        </w:r>
        <w:r w:rsidR="0006297A">
          <w:rPr>
            <w:noProof/>
            <w:webHidden/>
          </w:rPr>
          <w:tab/>
        </w:r>
        <w:r>
          <w:rPr>
            <w:noProof/>
            <w:webHidden/>
          </w:rPr>
          <w:fldChar w:fldCharType="begin"/>
        </w:r>
        <w:r w:rsidR="0006297A">
          <w:rPr>
            <w:noProof/>
            <w:webHidden/>
          </w:rPr>
          <w:instrText xml:space="preserve"> PAGEREF _Toc343682732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3" w:history="1">
        <w:r w:rsidR="0006297A" w:rsidRPr="00160DD7">
          <w:rPr>
            <w:rStyle w:val="Hyperlink"/>
            <w:noProof/>
          </w:rPr>
          <w:t>The 45-day rule</w:t>
        </w:r>
        <w:r w:rsidR="0006297A">
          <w:rPr>
            <w:noProof/>
            <w:webHidden/>
          </w:rPr>
          <w:tab/>
        </w:r>
        <w:r>
          <w:rPr>
            <w:noProof/>
            <w:webHidden/>
          </w:rPr>
          <w:fldChar w:fldCharType="begin"/>
        </w:r>
        <w:r w:rsidR="0006297A">
          <w:rPr>
            <w:noProof/>
            <w:webHidden/>
          </w:rPr>
          <w:instrText xml:space="preserve"> PAGEREF _Toc343682733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4" w:history="1">
        <w:r w:rsidR="0006297A" w:rsidRPr="00160DD7">
          <w:rPr>
            <w:rStyle w:val="Hyperlink"/>
            <w:noProof/>
          </w:rPr>
          <w:t>Index treatment of franking credits</w:t>
        </w:r>
        <w:r w:rsidR="0006297A">
          <w:rPr>
            <w:noProof/>
            <w:webHidden/>
          </w:rPr>
          <w:tab/>
        </w:r>
        <w:r>
          <w:rPr>
            <w:noProof/>
            <w:webHidden/>
          </w:rPr>
          <w:fldChar w:fldCharType="begin"/>
        </w:r>
        <w:r w:rsidR="0006297A">
          <w:rPr>
            <w:noProof/>
            <w:webHidden/>
          </w:rPr>
          <w:instrText xml:space="preserve"> PAGEREF _Toc343682734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5" w:history="1">
        <w:r w:rsidR="0006297A" w:rsidRPr="00160DD7">
          <w:rPr>
            <w:rStyle w:val="Hyperlink"/>
            <w:noProof/>
          </w:rPr>
          <w:t>Composite yield score</w:t>
        </w:r>
        <w:r w:rsidR="0006297A">
          <w:rPr>
            <w:noProof/>
            <w:webHidden/>
          </w:rPr>
          <w:tab/>
        </w:r>
        <w:r>
          <w:rPr>
            <w:noProof/>
            <w:webHidden/>
          </w:rPr>
          <w:fldChar w:fldCharType="begin"/>
        </w:r>
        <w:r w:rsidR="0006297A">
          <w:rPr>
            <w:noProof/>
            <w:webHidden/>
          </w:rPr>
          <w:instrText xml:space="preserve"> PAGEREF _Toc343682735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6" w:history="1">
        <w:r w:rsidR="0006297A" w:rsidRPr="00160DD7">
          <w:rPr>
            <w:rStyle w:val="Hyperlink"/>
            <w:noProof/>
          </w:rPr>
          <w:t>3 year average forecast dividend</w:t>
        </w:r>
        <w:r w:rsidR="0006297A">
          <w:rPr>
            <w:noProof/>
            <w:webHidden/>
          </w:rPr>
          <w:tab/>
        </w:r>
        <w:r>
          <w:rPr>
            <w:noProof/>
            <w:webHidden/>
          </w:rPr>
          <w:fldChar w:fldCharType="begin"/>
        </w:r>
        <w:r w:rsidR="0006297A">
          <w:rPr>
            <w:noProof/>
            <w:webHidden/>
          </w:rPr>
          <w:instrText xml:space="preserve"> PAGEREF _Toc343682736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7" w:history="1">
        <w:r w:rsidR="0006297A" w:rsidRPr="00160DD7">
          <w:rPr>
            <w:rStyle w:val="Hyperlink"/>
            <w:noProof/>
          </w:rPr>
          <w:t>5 year average trailing dividend</w:t>
        </w:r>
        <w:r w:rsidR="0006297A">
          <w:rPr>
            <w:noProof/>
            <w:webHidden/>
          </w:rPr>
          <w:tab/>
        </w:r>
        <w:r>
          <w:rPr>
            <w:noProof/>
            <w:webHidden/>
          </w:rPr>
          <w:fldChar w:fldCharType="begin"/>
        </w:r>
        <w:r w:rsidR="0006297A">
          <w:rPr>
            <w:noProof/>
            <w:webHidden/>
          </w:rPr>
          <w:instrText xml:space="preserve"> PAGEREF _Toc343682737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8" w:history="1">
        <w:r w:rsidR="0006297A" w:rsidRPr="00160DD7">
          <w:rPr>
            <w:rStyle w:val="Hyperlink"/>
            <w:noProof/>
          </w:rPr>
          <w:t>3 year forecast dividend growth</w:t>
        </w:r>
        <w:r w:rsidR="0006297A">
          <w:rPr>
            <w:noProof/>
            <w:webHidden/>
          </w:rPr>
          <w:tab/>
        </w:r>
        <w:r>
          <w:rPr>
            <w:noProof/>
            <w:webHidden/>
          </w:rPr>
          <w:fldChar w:fldCharType="begin"/>
        </w:r>
        <w:r w:rsidR="0006297A">
          <w:rPr>
            <w:noProof/>
            <w:webHidden/>
          </w:rPr>
          <w:instrText xml:space="preserve"> PAGEREF _Toc343682738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39" w:history="1">
        <w:r w:rsidR="0006297A" w:rsidRPr="00160DD7">
          <w:rPr>
            <w:rStyle w:val="Hyperlink"/>
            <w:noProof/>
          </w:rPr>
          <w:t>3 year trailing dividend growth</w:t>
        </w:r>
        <w:r w:rsidR="0006297A">
          <w:rPr>
            <w:noProof/>
            <w:webHidden/>
          </w:rPr>
          <w:tab/>
        </w:r>
        <w:r>
          <w:rPr>
            <w:noProof/>
            <w:webHidden/>
          </w:rPr>
          <w:fldChar w:fldCharType="begin"/>
        </w:r>
        <w:r w:rsidR="0006297A">
          <w:rPr>
            <w:noProof/>
            <w:webHidden/>
          </w:rPr>
          <w:instrText xml:space="preserve"> PAGEREF _Toc343682739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0" w:history="1">
        <w:r w:rsidR="0006297A" w:rsidRPr="00160DD7">
          <w:rPr>
            <w:rStyle w:val="Hyperlink"/>
            <w:noProof/>
          </w:rPr>
          <w:t>5 year standard deviation of annual EPS</w:t>
        </w:r>
        <w:r w:rsidR="0006297A">
          <w:rPr>
            <w:noProof/>
            <w:webHidden/>
          </w:rPr>
          <w:tab/>
        </w:r>
        <w:r>
          <w:rPr>
            <w:noProof/>
            <w:webHidden/>
          </w:rPr>
          <w:fldChar w:fldCharType="begin"/>
        </w:r>
        <w:r w:rsidR="0006297A">
          <w:rPr>
            <w:noProof/>
            <w:webHidden/>
          </w:rPr>
          <w:instrText xml:space="preserve"> PAGEREF _Toc343682740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1" w:history="1">
        <w:r w:rsidR="0006297A" w:rsidRPr="00160DD7">
          <w:rPr>
            <w:rStyle w:val="Hyperlink"/>
            <w:noProof/>
          </w:rPr>
          <w:t>Factor scoring</w:t>
        </w:r>
        <w:r w:rsidR="0006297A">
          <w:rPr>
            <w:noProof/>
            <w:webHidden/>
          </w:rPr>
          <w:tab/>
        </w:r>
        <w:r>
          <w:rPr>
            <w:noProof/>
            <w:webHidden/>
          </w:rPr>
          <w:fldChar w:fldCharType="begin"/>
        </w:r>
        <w:r w:rsidR="0006297A">
          <w:rPr>
            <w:noProof/>
            <w:webHidden/>
          </w:rPr>
          <w:instrText xml:space="preserve"> PAGEREF _Toc343682741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2" w:history="1">
        <w:r w:rsidR="0006297A" w:rsidRPr="00160DD7">
          <w:rPr>
            <w:rStyle w:val="Hyperlink"/>
            <w:noProof/>
          </w:rPr>
          <w:t>Forecasted dividend yield standardized score</w:t>
        </w:r>
        <w:r w:rsidR="0006297A">
          <w:rPr>
            <w:noProof/>
            <w:webHidden/>
          </w:rPr>
          <w:tab/>
        </w:r>
        <w:r>
          <w:rPr>
            <w:noProof/>
            <w:webHidden/>
          </w:rPr>
          <w:fldChar w:fldCharType="begin"/>
        </w:r>
        <w:r w:rsidR="0006297A">
          <w:rPr>
            <w:noProof/>
            <w:webHidden/>
          </w:rPr>
          <w:instrText xml:space="preserve"> PAGEREF _Toc343682742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3" w:history="1">
        <w:r w:rsidR="0006297A" w:rsidRPr="00160DD7">
          <w:rPr>
            <w:rStyle w:val="Hyperlink"/>
            <w:noProof/>
          </w:rPr>
          <w:t>Calculating the universe mean and standard deviation</w:t>
        </w:r>
        <w:r w:rsidR="0006297A">
          <w:rPr>
            <w:noProof/>
            <w:webHidden/>
          </w:rPr>
          <w:tab/>
        </w:r>
        <w:r>
          <w:rPr>
            <w:noProof/>
            <w:webHidden/>
          </w:rPr>
          <w:fldChar w:fldCharType="begin"/>
        </w:r>
        <w:r w:rsidR="0006297A">
          <w:rPr>
            <w:noProof/>
            <w:webHidden/>
          </w:rPr>
          <w:instrText xml:space="preserve"> PAGEREF _Toc343682743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4" w:history="1">
        <w:r w:rsidR="0006297A" w:rsidRPr="00160DD7">
          <w:rPr>
            <w:rStyle w:val="Hyperlink"/>
            <w:noProof/>
          </w:rPr>
          <w:t>Extreme values</w:t>
        </w:r>
        <w:r w:rsidR="0006297A">
          <w:rPr>
            <w:noProof/>
            <w:webHidden/>
          </w:rPr>
          <w:tab/>
        </w:r>
        <w:r>
          <w:rPr>
            <w:noProof/>
            <w:webHidden/>
          </w:rPr>
          <w:fldChar w:fldCharType="begin"/>
        </w:r>
        <w:r w:rsidR="0006297A">
          <w:rPr>
            <w:noProof/>
            <w:webHidden/>
          </w:rPr>
          <w:instrText xml:space="preserve"> PAGEREF _Toc343682744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5" w:history="1">
        <w:r w:rsidR="0006297A" w:rsidRPr="00160DD7">
          <w:rPr>
            <w:rStyle w:val="Hyperlink"/>
            <w:noProof/>
          </w:rPr>
          <w:t>Determining index membership</w:t>
        </w:r>
        <w:r w:rsidR="0006297A">
          <w:rPr>
            <w:noProof/>
            <w:webHidden/>
          </w:rPr>
          <w:tab/>
        </w:r>
        <w:r>
          <w:rPr>
            <w:noProof/>
            <w:webHidden/>
          </w:rPr>
          <w:fldChar w:fldCharType="begin"/>
        </w:r>
        <w:r w:rsidR="0006297A">
          <w:rPr>
            <w:noProof/>
            <w:webHidden/>
          </w:rPr>
          <w:instrText xml:space="preserve"> PAGEREF _Toc343682745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6" w:history="1">
        <w:r w:rsidR="0006297A" w:rsidRPr="00160DD7">
          <w:rPr>
            <w:rStyle w:val="Hyperlink"/>
            <w:noProof/>
          </w:rPr>
          <w:t>Semi-annual reconstitution</w:t>
        </w:r>
        <w:r w:rsidR="0006297A">
          <w:rPr>
            <w:noProof/>
            <w:webHidden/>
          </w:rPr>
          <w:tab/>
        </w:r>
        <w:r>
          <w:rPr>
            <w:noProof/>
            <w:webHidden/>
          </w:rPr>
          <w:fldChar w:fldCharType="begin"/>
        </w:r>
        <w:r w:rsidR="0006297A">
          <w:rPr>
            <w:noProof/>
            <w:webHidden/>
          </w:rPr>
          <w:instrText xml:space="preserve"> PAGEREF _Toc343682746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7" w:history="1">
        <w:r w:rsidR="0006297A" w:rsidRPr="00160DD7">
          <w:rPr>
            <w:rStyle w:val="Hyperlink"/>
            <w:noProof/>
          </w:rPr>
          <w:t>Index maintenance / Corporate action-driven changes</w:t>
        </w:r>
        <w:r w:rsidR="0006297A">
          <w:rPr>
            <w:noProof/>
            <w:webHidden/>
          </w:rPr>
          <w:tab/>
        </w:r>
        <w:r>
          <w:rPr>
            <w:noProof/>
            <w:webHidden/>
          </w:rPr>
          <w:fldChar w:fldCharType="begin"/>
        </w:r>
        <w:r w:rsidR="0006297A">
          <w:rPr>
            <w:noProof/>
            <w:webHidden/>
          </w:rPr>
          <w:instrText xml:space="preserve"> PAGEREF _Toc343682747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48" w:history="1">
        <w:r w:rsidR="0006297A" w:rsidRPr="00160DD7">
          <w:rPr>
            <w:rStyle w:val="Hyperlink"/>
            <w:noProof/>
          </w:rPr>
          <w:t>Russell Australia High Value Index Methodology</w:t>
        </w:r>
        <w:r w:rsidR="0006297A">
          <w:rPr>
            <w:noProof/>
            <w:webHidden/>
          </w:rPr>
          <w:tab/>
        </w:r>
        <w:r>
          <w:rPr>
            <w:noProof/>
            <w:webHidden/>
          </w:rPr>
          <w:fldChar w:fldCharType="begin"/>
        </w:r>
        <w:r w:rsidR="0006297A">
          <w:rPr>
            <w:noProof/>
            <w:webHidden/>
          </w:rPr>
          <w:instrText xml:space="preserve"> PAGEREF _Toc343682748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49" w:history="1">
        <w:r w:rsidR="0006297A" w:rsidRPr="00160DD7">
          <w:rPr>
            <w:rStyle w:val="Hyperlink"/>
            <w:noProof/>
          </w:rPr>
          <w:t>Definition</w:t>
        </w:r>
        <w:r w:rsidR="0006297A">
          <w:rPr>
            <w:noProof/>
            <w:webHidden/>
          </w:rPr>
          <w:tab/>
        </w:r>
        <w:r>
          <w:rPr>
            <w:noProof/>
            <w:webHidden/>
          </w:rPr>
          <w:fldChar w:fldCharType="begin"/>
        </w:r>
        <w:r w:rsidR="0006297A">
          <w:rPr>
            <w:noProof/>
            <w:webHidden/>
          </w:rPr>
          <w:instrText xml:space="preserve"> PAGEREF _Toc343682749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0" w:history="1">
        <w:r w:rsidR="0006297A" w:rsidRPr="00160DD7">
          <w:rPr>
            <w:rStyle w:val="Hyperlink"/>
            <w:noProof/>
          </w:rPr>
          <w:t>Eligible securities</w:t>
        </w:r>
        <w:r w:rsidR="0006297A">
          <w:rPr>
            <w:noProof/>
            <w:webHidden/>
          </w:rPr>
          <w:tab/>
        </w:r>
        <w:r>
          <w:rPr>
            <w:noProof/>
            <w:webHidden/>
          </w:rPr>
          <w:fldChar w:fldCharType="begin"/>
        </w:r>
        <w:r w:rsidR="0006297A">
          <w:rPr>
            <w:noProof/>
            <w:webHidden/>
          </w:rPr>
          <w:instrText xml:space="preserve"> PAGEREF _Toc343682750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1" w:history="1">
        <w:r w:rsidR="0006297A" w:rsidRPr="00160DD7">
          <w:rPr>
            <w:rStyle w:val="Hyperlink"/>
            <w:noProof/>
          </w:rPr>
          <w:t>Style criteria</w:t>
        </w:r>
        <w:r w:rsidR="0006297A">
          <w:rPr>
            <w:noProof/>
            <w:webHidden/>
          </w:rPr>
          <w:tab/>
        </w:r>
        <w:r>
          <w:rPr>
            <w:noProof/>
            <w:webHidden/>
          </w:rPr>
          <w:fldChar w:fldCharType="begin"/>
        </w:r>
        <w:r w:rsidR="0006297A">
          <w:rPr>
            <w:noProof/>
            <w:webHidden/>
          </w:rPr>
          <w:instrText xml:space="preserve"> PAGEREF _Toc343682751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2" w:history="1">
        <w:r w:rsidR="0006297A" w:rsidRPr="00160DD7">
          <w:rPr>
            <w:rStyle w:val="Hyperlink"/>
            <w:noProof/>
          </w:rPr>
          <w:t>Semi-annual reconstitution</w:t>
        </w:r>
        <w:r w:rsidR="0006297A">
          <w:rPr>
            <w:noProof/>
            <w:webHidden/>
          </w:rPr>
          <w:tab/>
        </w:r>
        <w:r>
          <w:rPr>
            <w:noProof/>
            <w:webHidden/>
          </w:rPr>
          <w:fldChar w:fldCharType="begin"/>
        </w:r>
        <w:r w:rsidR="0006297A">
          <w:rPr>
            <w:noProof/>
            <w:webHidden/>
          </w:rPr>
          <w:instrText xml:space="preserve"> PAGEREF _Toc343682752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3" w:history="1">
        <w:r w:rsidR="0006297A" w:rsidRPr="00160DD7">
          <w:rPr>
            <w:rStyle w:val="Hyperlink"/>
            <w:noProof/>
          </w:rPr>
          <w:t>Index maintenance / Corporate action-driven changes</w:t>
        </w:r>
        <w:r w:rsidR="0006297A">
          <w:rPr>
            <w:noProof/>
            <w:webHidden/>
          </w:rPr>
          <w:tab/>
        </w:r>
        <w:r>
          <w:rPr>
            <w:noProof/>
            <w:webHidden/>
          </w:rPr>
          <w:fldChar w:fldCharType="begin"/>
        </w:r>
        <w:r w:rsidR="0006297A">
          <w:rPr>
            <w:noProof/>
            <w:webHidden/>
          </w:rPr>
          <w:instrText xml:space="preserve"> PAGEREF _Toc343682753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54" w:history="1">
        <w:r w:rsidR="0006297A" w:rsidRPr="00160DD7">
          <w:rPr>
            <w:rStyle w:val="Hyperlink"/>
            <w:noProof/>
          </w:rPr>
          <w:t>Russell Global 1000, 2000, 3000 Indexes</w:t>
        </w:r>
        <w:r w:rsidR="0006297A">
          <w:rPr>
            <w:noProof/>
            <w:webHidden/>
          </w:rPr>
          <w:tab/>
        </w:r>
        <w:r>
          <w:rPr>
            <w:noProof/>
            <w:webHidden/>
          </w:rPr>
          <w:fldChar w:fldCharType="begin"/>
        </w:r>
        <w:r w:rsidR="0006297A">
          <w:rPr>
            <w:noProof/>
            <w:webHidden/>
          </w:rPr>
          <w:instrText xml:space="preserve"> PAGEREF _Toc343682754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5" w:history="1">
        <w:r w:rsidR="0006297A" w:rsidRPr="00160DD7">
          <w:rPr>
            <w:rStyle w:val="Hyperlink"/>
            <w:noProof/>
          </w:rPr>
          <w:t>Starting universe</w:t>
        </w:r>
        <w:r w:rsidR="0006297A">
          <w:rPr>
            <w:noProof/>
            <w:webHidden/>
          </w:rPr>
          <w:tab/>
        </w:r>
        <w:r>
          <w:rPr>
            <w:noProof/>
            <w:webHidden/>
          </w:rPr>
          <w:fldChar w:fldCharType="begin"/>
        </w:r>
        <w:r w:rsidR="0006297A">
          <w:rPr>
            <w:noProof/>
            <w:webHidden/>
          </w:rPr>
          <w:instrText xml:space="preserve"> PAGEREF _Toc343682755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6" w:history="1">
        <w:r w:rsidR="0006297A" w:rsidRPr="00160DD7">
          <w:rPr>
            <w:rStyle w:val="Hyperlink"/>
            <w:noProof/>
          </w:rPr>
          <w:t>Country screening</w:t>
        </w:r>
        <w:r w:rsidR="0006297A">
          <w:rPr>
            <w:noProof/>
            <w:webHidden/>
          </w:rPr>
          <w:tab/>
        </w:r>
        <w:r>
          <w:rPr>
            <w:noProof/>
            <w:webHidden/>
          </w:rPr>
          <w:fldChar w:fldCharType="begin"/>
        </w:r>
        <w:r w:rsidR="0006297A">
          <w:rPr>
            <w:noProof/>
            <w:webHidden/>
          </w:rPr>
          <w:instrText xml:space="preserve"> PAGEREF _Toc343682756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7" w:history="1">
        <w:r w:rsidR="0006297A" w:rsidRPr="00160DD7">
          <w:rPr>
            <w:rStyle w:val="Hyperlink"/>
            <w:noProof/>
          </w:rPr>
          <w:t>Liquidity screening</w:t>
        </w:r>
        <w:r w:rsidR="0006297A">
          <w:rPr>
            <w:noProof/>
            <w:webHidden/>
          </w:rPr>
          <w:tab/>
        </w:r>
        <w:r>
          <w:rPr>
            <w:noProof/>
            <w:webHidden/>
          </w:rPr>
          <w:fldChar w:fldCharType="begin"/>
        </w:r>
        <w:r w:rsidR="0006297A">
          <w:rPr>
            <w:noProof/>
            <w:webHidden/>
          </w:rPr>
          <w:instrText xml:space="preserve"> PAGEREF _Toc343682757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8" w:history="1">
        <w:r w:rsidR="0006297A" w:rsidRPr="00160DD7">
          <w:rPr>
            <w:rStyle w:val="Hyperlink"/>
            <w:noProof/>
          </w:rPr>
          <w:t>Membership</w:t>
        </w:r>
        <w:r w:rsidR="0006297A">
          <w:rPr>
            <w:noProof/>
            <w:webHidden/>
          </w:rPr>
          <w:tab/>
        </w:r>
        <w:r>
          <w:rPr>
            <w:noProof/>
            <w:webHidden/>
          </w:rPr>
          <w:fldChar w:fldCharType="begin"/>
        </w:r>
        <w:r w:rsidR="0006297A">
          <w:rPr>
            <w:noProof/>
            <w:webHidden/>
          </w:rPr>
          <w:instrText xml:space="preserve"> PAGEREF _Toc343682758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59" w:history="1">
        <w:r w:rsidR="0006297A" w:rsidRPr="00160DD7">
          <w:rPr>
            <w:rStyle w:val="Hyperlink"/>
            <w:noProof/>
          </w:rPr>
          <w:t>Float-adjustments</w:t>
        </w:r>
        <w:r w:rsidR="0006297A">
          <w:rPr>
            <w:noProof/>
            <w:webHidden/>
          </w:rPr>
          <w:tab/>
        </w:r>
        <w:r>
          <w:rPr>
            <w:noProof/>
            <w:webHidden/>
          </w:rPr>
          <w:fldChar w:fldCharType="begin"/>
        </w:r>
        <w:r w:rsidR="0006297A">
          <w:rPr>
            <w:noProof/>
            <w:webHidden/>
          </w:rPr>
          <w:instrText xml:space="preserve"> PAGEREF _Toc343682759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60" w:history="1">
        <w:r w:rsidR="0006297A" w:rsidRPr="00160DD7">
          <w:rPr>
            <w:rStyle w:val="Hyperlink"/>
            <w:noProof/>
          </w:rPr>
          <w:t>Reconstitution</w:t>
        </w:r>
        <w:r w:rsidR="0006297A">
          <w:rPr>
            <w:noProof/>
            <w:webHidden/>
          </w:rPr>
          <w:tab/>
        </w:r>
        <w:r>
          <w:rPr>
            <w:noProof/>
            <w:webHidden/>
          </w:rPr>
          <w:fldChar w:fldCharType="begin"/>
        </w:r>
        <w:r w:rsidR="0006297A">
          <w:rPr>
            <w:noProof/>
            <w:webHidden/>
          </w:rPr>
          <w:instrText xml:space="preserve"> PAGEREF _Toc343682760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61" w:history="1">
        <w:r w:rsidR="0006297A" w:rsidRPr="00160DD7">
          <w:rPr>
            <w:rStyle w:val="Hyperlink"/>
            <w:noProof/>
          </w:rPr>
          <w:t>Banding at reconstitution</w:t>
        </w:r>
        <w:r w:rsidR="0006297A">
          <w:rPr>
            <w:noProof/>
            <w:webHidden/>
          </w:rPr>
          <w:tab/>
        </w:r>
        <w:r>
          <w:rPr>
            <w:noProof/>
            <w:webHidden/>
          </w:rPr>
          <w:fldChar w:fldCharType="begin"/>
        </w:r>
        <w:r w:rsidR="0006297A">
          <w:rPr>
            <w:noProof/>
            <w:webHidden/>
          </w:rPr>
          <w:instrText xml:space="preserve"> PAGEREF _Toc343682761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62" w:history="1">
        <w:r w:rsidR="0006297A" w:rsidRPr="00160DD7">
          <w:rPr>
            <w:rStyle w:val="Hyperlink"/>
            <w:noProof/>
          </w:rPr>
          <w:t>Index maintenance</w:t>
        </w:r>
        <w:r w:rsidR="0006297A">
          <w:rPr>
            <w:noProof/>
            <w:webHidden/>
          </w:rPr>
          <w:tab/>
        </w:r>
        <w:r>
          <w:rPr>
            <w:noProof/>
            <w:webHidden/>
          </w:rPr>
          <w:fldChar w:fldCharType="begin"/>
        </w:r>
        <w:r w:rsidR="0006297A">
          <w:rPr>
            <w:noProof/>
            <w:webHidden/>
          </w:rPr>
          <w:instrText xml:space="preserve"> PAGEREF _Toc343682762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63" w:history="1">
        <w:r w:rsidR="0006297A" w:rsidRPr="00160DD7">
          <w:rPr>
            <w:rStyle w:val="Hyperlink"/>
            <w:noProof/>
          </w:rPr>
          <w:t>Russell Global Indexes: Core indexes</w:t>
        </w:r>
        <w:r w:rsidR="0006297A">
          <w:rPr>
            <w:noProof/>
            <w:webHidden/>
          </w:rPr>
          <w:tab/>
        </w:r>
        <w:r>
          <w:rPr>
            <w:noProof/>
            <w:webHidden/>
          </w:rPr>
          <w:fldChar w:fldCharType="begin"/>
        </w:r>
        <w:r w:rsidR="0006297A">
          <w:rPr>
            <w:noProof/>
            <w:webHidden/>
          </w:rPr>
          <w:instrText xml:space="preserve"> PAGEREF _Toc343682763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64" w:history="1">
        <w:r w:rsidR="0006297A" w:rsidRPr="00160DD7">
          <w:rPr>
            <w:rStyle w:val="Hyperlink"/>
            <w:noProof/>
          </w:rPr>
          <w:t>Country List</w:t>
        </w:r>
        <w:r w:rsidR="0006297A">
          <w:rPr>
            <w:noProof/>
            <w:webHidden/>
          </w:rPr>
          <w:tab/>
        </w:r>
        <w:r>
          <w:rPr>
            <w:noProof/>
            <w:webHidden/>
          </w:rPr>
          <w:fldChar w:fldCharType="begin"/>
        </w:r>
        <w:r w:rsidR="0006297A">
          <w:rPr>
            <w:noProof/>
            <w:webHidden/>
          </w:rPr>
          <w:instrText xml:space="preserve"> PAGEREF _Toc343682764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65" w:history="1">
        <w:r w:rsidR="0006297A" w:rsidRPr="00160DD7">
          <w:rPr>
            <w:rStyle w:val="Hyperlink"/>
            <w:noProof/>
          </w:rPr>
          <w:t>Eligible share classes by country</w:t>
        </w:r>
        <w:r w:rsidR="0006297A">
          <w:rPr>
            <w:noProof/>
            <w:webHidden/>
          </w:rPr>
          <w:tab/>
        </w:r>
        <w:r>
          <w:rPr>
            <w:noProof/>
            <w:webHidden/>
          </w:rPr>
          <w:fldChar w:fldCharType="begin"/>
        </w:r>
        <w:r w:rsidR="0006297A">
          <w:rPr>
            <w:noProof/>
            <w:webHidden/>
          </w:rPr>
          <w:instrText xml:space="preserve"> PAGEREF _Toc343682765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66" w:history="1">
        <w:r w:rsidR="0006297A" w:rsidRPr="00160DD7">
          <w:rPr>
            <w:rStyle w:val="Hyperlink"/>
            <w:noProof/>
          </w:rPr>
          <w:t>Eligible stock exchanges and bourse codes</w:t>
        </w:r>
        <w:r w:rsidR="0006297A">
          <w:rPr>
            <w:noProof/>
            <w:webHidden/>
          </w:rPr>
          <w:tab/>
        </w:r>
        <w:r>
          <w:rPr>
            <w:noProof/>
            <w:webHidden/>
          </w:rPr>
          <w:fldChar w:fldCharType="begin"/>
        </w:r>
        <w:r w:rsidR="0006297A">
          <w:rPr>
            <w:noProof/>
            <w:webHidden/>
          </w:rPr>
          <w:instrText xml:space="preserve"> PAGEREF _Toc343682766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67" w:history="1">
        <w:r w:rsidR="0006297A" w:rsidRPr="00160DD7">
          <w:rPr>
            <w:rStyle w:val="Hyperlink"/>
            <w:noProof/>
          </w:rPr>
          <w:t>Calculation of free float</w:t>
        </w:r>
        <w:r w:rsidR="0006297A">
          <w:rPr>
            <w:noProof/>
            <w:webHidden/>
          </w:rPr>
          <w:tab/>
        </w:r>
        <w:r>
          <w:rPr>
            <w:noProof/>
            <w:webHidden/>
          </w:rPr>
          <w:fldChar w:fldCharType="begin"/>
        </w:r>
        <w:r w:rsidR="0006297A">
          <w:rPr>
            <w:noProof/>
            <w:webHidden/>
          </w:rPr>
          <w:instrText xml:space="preserve"> PAGEREF _Toc343682767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68" w:history="1">
        <w:r w:rsidR="0006297A" w:rsidRPr="00160DD7">
          <w:rPr>
            <w:rStyle w:val="Hyperlink"/>
            <w:noProof/>
          </w:rPr>
          <w:t>Example of free float calculation with depositary receipts</w:t>
        </w:r>
        <w:r w:rsidR="0006297A">
          <w:rPr>
            <w:noProof/>
            <w:webHidden/>
          </w:rPr>
          <w:tab/>
        </w:r>
        <w:r>
          <w:rPr>
            <w:noProof/>
            <w:webHidden/>
          </w:rPr>
          <w:fldChar w:fldCharType="begin"/>
        </w:r>
        <w:r w:rsidR="0006297A">
          <w:rPr>
            <w:noProof/>
            <w:webHidden/>
          </w:rPr>
          <w:instrText xml:space="preserve"> PAGEREF _Toc343682768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2"/>
        <w:rPr>
          <w:rFonts w:ascii="Calibri" w:hAnsi="Calibri"/>
          <w:noProof/>
        </w:rPr>
      </w:pPr>
      <w:hyperlink w:anchor="_Toc343682769" w:history="1">
        <w:r w:rsidR="0006297A" w:rsidRPr="00160DD7">
          <w:rPr>
            <w:rStyle w:val="Hyperlink"/>
            <w:noProof/>
          </w:rPr>
          <w:t>XYZ Company example</w:t>
        </w:r>
        <w:r w:rsidR="0006297A">
          <w:rPr>
            <w:noProof/>
            <w:webHidden/>
          </w:rPr>
          <w:tab/>
        </w:r>
        <w:r>
          <w:rPr>
            <w:noProof/>
            <w:webHidden/>
          </w:rPr>
          <w:fldChar w:fldCharType="begin"/>
        </w:r>
        <w:r w:rsidR="0006297A">
          <w:rPr>
            <w:noProof/>
            <w:webHidden/>
          </w:rPr>
          <w:instrText xml:space="preserve"> PAGEREF _Toc343682769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70" w:history="1">
        <w:r w:rsidR="0006297A" w:rsidRPr="00160DD7">
          <w:rPr>
            <w:rStyle w:val="Hyperlink"/>
            <w:noProof/>
          </w:rPr>
          <w:t>Assigning a primary exchange to a security</w:t>
        </w:r>
        <w:r w:rsidR="0006297A">
          <w:rPr>
            <w:noProof/>
            <w:webHidden/>
          </w:rPr>
          <w:tab/>
        </w:r>
        <w:r>
          <w:rPr>
            <w:noProof/>
            <w:webHidden/>
          </w:rPr>
          <w:fldChar w:fldCharType="begin"/>
        </w:r>
        <w:r w:rsidR="0006297A">
          <w:rPr>
            <w:noProof/>
            <w:webHidden/>
          </w:rPr>
          <w:instrText xml:space="preserve"> PAGEREF _Toc343682770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71" w:history="1">
        <w:r w:rsidR="0006297A" w:rsidRPr="00160DD7">
          <w:rPr>
            <w:rStyle w:val="Hyperlink"/>
            <w:noProof/>
          </w:rPr>
          <w:t>Benefit Driven Incorporation countries (BDI), No Domestic Exchange countries (NDE), and U.S. territories</w:t>
        </w:r>
        <w:r w:rsidR="0006297A">
          <w:rPr>
            <w:noProof/>
            <w:webHidden/>
          </w:rPr>
          <w:tab/>
        </w:r>
        <w:r>
          <w:rPr>
            <w:noProof/>
            <w:webHidden/>
          </w:rPr>
          <w:fldChar w:fldCharType="begin"/>
        </w:r>
        <w:r w:rsidR="0006297A">
          <w:rPr>
            <w:noProof/>
            <w:webHidden/>
          </w:rPr>
          <w:instrText xml:space="preserve"> PAGEREF _Toc343682771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72" w:history="1">
        <w:r w:rsidR="0006297A" w:rsidRPr="00160DD7">
          <w:rPr>
            <w:rStyle w:val="Hyperlink"/>
            <w:rFonts w:cs="Arial"/>
            <w:noProof/>
          </w:rPr>
          <w:t>Country assignment methodology details</w:t>
        </w:r>
        <w:r w:rsidR="0006297A">
          <w:rPr>
            <w:noProof/>
            <w:webHidden/>
          </w:rPr>
          <w:tab/>
        </w:r>
        <w:r>
          <w:rPr>
            <w:noProof/>
            <w:webHidden/>
          </w:rPr>
          <w:fldChar w:fldCharType="begin"/>
        </w:r>
        <w:r w:rsidR="0006297A">
          <w:rPr>
            <w:noProof/>
            <w:webHidden/>
          </w:rPr>
          <w:instrText xml:space="preserve"> PAGEREF _Toc343682772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73" w:history="1">
        <w:r w:rsidR="0006297A" w:rsidRPr="00160DD7">
          <w:rPr>
            <w:rStyle w:val="Hyperlink"/>
            <w:noProof/>
          </w:rPr>
          <w:t>Average daily dollar trading volume median</w:t>
        </w:r>
        <w:r w:rsidR="0006297A">
          <w:rPr>
            <w:noProof/>
            <w:webHidden/>
          </w:rPr>
          <w:tab/>
        </w:r>
        <w:r>
          <w:rPr>
            <w:noProof/>
            <w:webHidden/>
          </w:rPr>
          <w:fldChar w:fldCharType="begin"/>
        </w:r>
        <w:r w:rsidR="0006297A">
          <w:rPr>
            <w:noProof/>
            <w:webHidden/>
          </w:rPr>
          <w:instrText xml:space="preserve"> PAGEREF _Toc343682773 \h </w:instrText>
        </w:r>
        <w:r>
          <w:rPr>
            <w:noProof/>
            <w:webHidden/>
          </w:rPr>
        </w:r>
        <w:r>
          <w:rPr>
            <w:noProof/>
            <w:webHidden/>
          </w:rPr>
          <w:fldChar w:fldCharType="separate"/>
        </w:r>
        <w:r w:rsidR="00883711">
          <w:rPr>
            <w:noProof/>
            <w:webHidden/>
          </w:rPr>
          <w:t>2</w:t>
        </w:r>
        <w:r>
          <w:rPr>
            <w:noProof/>
            <w:webHidden/>
          </w:rPr>
          <w:fldChar w:fldCharType="end"/>
        </w:r>
      </w:hyperlink>
    </w:p>
    <w:p w:rsidR="0006297A" w:rsidRDefault="00962308" w:rsidP="0006297A">
      <w:pPr>
        <w:pStyle w:val="TOC1"/>
        <w:rPr>
          <w:rFonts w:ascii="Calibri" w:hAnsi="Calibri"/>
          <w:noProof/>
        </w:rPr>
      </w:pPr>
      <w:hyperlink w:anchor="_Toc343682774" w:history="1">
        <w:r w:rsidR="0006297A" w:rsidRPr="00160DD7">
          <w:rPr>
            <w:rStyle w:val="Hyperlink"/>
            <w:noProof/>
          </w:rPr>
          <w:t>Predictive Index Data</w:t>
        </w:r>
        <w:r w:rsidR="0006297A">
          <w:rPr>
            <w:noProof/>
            <w:webHidden/>
          </w:rPr>
          <w:tab/>
        </w:r>
        <w:r>
          <w:rPr>
            <w:noProof/>
            <w:webHidden/>
          </w:rPr>
          <w:fldChar w:fldCharType="begin"/>
        </w:r>
        <w:r w:rsidR="0006297A">
          <w:rPr>
            <w:noProof/>
            <w:webHidden/>
          </w:rPr>
          <w:instrText xml:space="preserve"> PAGEREF _Toc343682774 \h </w:instrText>
        </w:r>
        <w:r>
          <w:rPr>
            <w:noProof/>
            <w:webHidden/>
          </w:rPr>
        </w:r>
        <w:r>
          <w:rPr>
            <w:noProof/>
            <w:webHidden/>
          </w:rPr>
          <w:fldChar w:fldCharType="separate"/>
        </w:r>
        <w:r w:rsidR="00883711">
          <w:rPr>
            <w:noProof/>
            <w:webHidden/>
          </w:rPr>
          <w:t>2</w:t>
        </w:r>
        <w:r>
          <w:rPr>
            <w:noProof/>
            <w:webHidden/>
          </w:rPr>
          <w:fldChar w:fldCharType="end"/>
        </w:r>
      </w:hyperlink>
    </w:p>
    <w:p w:rsidR="0006297A" w:rsidRPr="00D32180" w:rsidRDefault="00962308" w:rsidP="0006297A">
      <w:pPr>
        <w:pStyle w:val="TOC1"/>
      </w:pPr>
      <w:r w:rsidRPr="00D32180">
        <w:fldChar w:fldCharType="end"/>
      </w:r>
    </w:p>
    <w:p w:rsidR="0006297A" w:rsidRPr="00D32180" w:rsidRDefault="0006297A" w:rsidP="0006297A">
      <w:pPr>
        <w:pStyle w:val="RI07-BodyCopy95pt"/>
        <w:sectPr w:rsidR="0006297A" w:rsidRPr="00D32180" w:rsidSect="00676CED">
          <w:headerReference w:type="default" r:id="rId22"/>
          <w:pgSz w:w="12240" w:h="15840"/>
          <w:pgMar w:top="1440" w:right="1440" w:bottom="1440" w:left="1526" w:header="720" w:footer="1267" w:gutter="0"/>
          <w:pgNumType w:fmt="lowerRoman"/>
          <w:cols w:space="720"/>
          <w:docGrid w:linePitch="360"/>
        </w:sectPr>
      </w:pPr>
    </w:p>
    <w:p w:rsidR="0006297A" w:rsidRPr="00D32180" w:rsidRDefault="0006297A" w:rsidP="0006297A">
      <w:pPr>
        <w:pStyle w:val="RI01-Heading0"/>
      </w:pPr>
      <w:r w:rsidRPr="00D32180">
        <w:lastRenderedPageBreak/>
        <w:t>section 1</w:t>
      </w:r>
    </w:p>
    <w:p w:rsidR="0006297A" w:rsidRPr="00D32180" w:rsidRDefault="0006297A" w:rsidP="0006297A">
      <w:pPr>
        <w:pStyle w:val="Heading1"/>
      </w:pPr>
      <w:bookmarkStart w:id="0" w:name="_Toc217446133"/>
      <w:bookmarkStart w:id="1" w:name="_Toc220919361"/>
      <w:bookmarkStart w:id="2" w:name="_Toc303342483"/>
      <w:bookmarkStart w:id="3" w:name="_Toc343682624"/>
      <w:r w:rsidRPr="00D32180">
        <w:t>Introduction</w:t>
      </w:r>
      <w:bookmarkEnd w:id="0"/>
      <w:bookmarkEnd w:id="1"/>
      <w:bookmarkEnd w:id="2"/>
      <w:bookmarkEnd w:id="3"/>
    </w:p>
    <w:p w:rsidR="0006297A" w:rsidRPr="00181225" w:rsidRDefault="0006297A" w:rsidP="0006297A">
      <w:pPr>
        <w:pStyle w:val="RI07-BodyCopy95pt"/>
        <w:rPr>
          <w:szCs w:val="19"/>
        </w:rPr>
      </w:pPr>
      <w:r w:rsidRPr="00181225">
        <w:rPr>
          <w:szCs w:val="19"/>
        </w:rPr>
        <w:t xml:space="preserve">Russell Investments provides </w:t>
      </w:r>
      <w:bookmarkStart w:id="4" w:name="top"/>
      <w:r w:rsidRPr="00181225">
        <w:rPr>
          <w:szCs w:val="19"/>
        </w:rPr>
        <w:t>float-adjusted, market capitalization–weighted indexes for a precise picture of the overall market. Today, $3.9 trillion in assets are benchmarked to the Russell Indexes and more institutional funds track them than all other U.S. equity indexes combined</w:t>
      </w:r>
      <w:r w:rsidRPr="00181225">
        <w:rPr>
          <w:szCs w:val="19"/>
        </w:rPr>
        <w:footnoteReference w:id="24"/>
      </w:r>
      <w:r w:rsidRPr="00181225">
        <w:rPr>
          <w:szCs w:val="19"/>
        </w:rPr>
        <w:t xml:space="preserve">. In 2007, Russell applied its practical, industry-leading U.S. Index methodology to the world’s equity markets and launched its family of global indexes. </w:t>
      </w:r>
      <w:bookmarkStart w:id="5" w:name="_GoBack"/>
      <w:bookmarkEnd w:id="5"/>
      <w:r w:rsidRPr="00181225">
        <w:rPr>
          <w:szCs w:val="19"/>
        </w:rPr>
        <w:t>Covering 83 markets worldwide, we provide comprehensive benchmarks covering 98% of investable global equity, making them more representative of the market.</w:t>
      </w:r>
      <w:bookmarkEnd w:id="4"/>
    </w:p>
    <w:p w:rsidR="0006297A" w:rsidRPr="00D32180" w:rsidRDefault="0006297A" w:rsidP="0006297A">
      <w:pPr>
        <w:pStyle w:val="Heading2"/>
      </w:pPr>
      <w:bookmarkStart w:id="6" w:name="_Toc217446135"/>
      <w:bookmarkStart w:id="7" w:name="_Toc220919363"/>
      <w:bookmarkStart w:id="8" w:name="_Toc303342485"/>
      <w:bookmarkStart w:id="9" w:name="_Toc343682625"/>
      <w:r w:rsidRPr="00D32180">
        <w:t>Available indexes</w:t>
      </w:r>
      <w:bookmarkEnd w:id="6"/>
      <w:bookmarkEnd w:id="7"/>
      <w:bookmarkEnd w:id="8"/>
      <w:bookmarkEnd w:id="9"/>
    </w:p>
    <w:p w:rsidR="0006297A" w:rsidRPr="00D32180" w:rsidRDefault="0006297A" w:rsidP="0006297A">
      <w:pPr>
        <w:pStyle w:val="RI07-BodyCopy95pt"/>
      </w:pPr>
      <w:r w:rsidRPr="00374A49">
        <w:t xml:space="preserve">The Russell Global Index is modular and can be divided into thousands of components by capitalization size, region, sector, industry, styles, etc. </w:t>
      </w:r>
      <w:r>
        <w:t>See</w:t>
      </w:r>
      <w:r w:rsidRPr="00374A49">
        <w:t xml:space="preserve"> </w:t>
      </w:r>
      <w:hyperlink w:anchor="_Russell_Global_Indexes:" w:history="1">
        <w:r w:rsidRPr="000E59D6">
          <w:rPr>
            <w:rStyle w:val="Hyperlink"/>
            <w:color w:val="7F7F7F"/>
          </w:rPr>
          <w:t>Appendix A</w:t>
        </w:r>
      </w:hyperlink>
      <w:r>
        <w:t xml:space="preserve"> for a list.</w:t>
      </w:r>
    </w:p>
    <w:p w:rsidR="0006297A" w:rsidRPr="00D32180" w:rsidRDefault="0006297A" w:rsidP="0006297A">
      <w:pPr>
        <w:pStyle w:val="RI07-BodyCopy95pt"/>
      </w:pPr>
    </w:p>
    <w:p w:rsidR="0006297A" w:rsidRPr="00D32180" w:rsidRDefault="0006297A" w:rsidP="0006297A">
      <w:pPr>
        <w:pStyle w:val="RI07-BodyCopy95pt"/>
        <w:sectPr w:rsidR="0006297A" w:rsidRPr="00D32180" w:rsidSect="00676CED">
          <w:headerReference w:type="default" r:id="rId23"/>
          <w:footerReference w:type="default" r:id="rId24"/>
          <w:headerReference w:type="first" r:id="rId25"/>
          <w:footerReference w:type="first" r:id="rId26"/>
          <w:pgSz w:w="12240" w:h="15840"/>
          <w:pgMar w:top="1440" w:right="1440" w:bottom="1440" w:left="1526" w:header="720" w:footer="1267" w:gutter="0"/>
          <w:pgNumType w:start="1"/>
          <w:cols w:space="720"/>
          <w:titlePg/>
          <w:docGrid w:linePitch="360"/>
        </w:sectPr>
      </w:pPr>
    </w:p>
    <w:p w:rsidR="0006297A" w:rsidRPr="00D32180" w:rsidRDefault="0006297A" w:rsidP="0006297A">
      <w:pPr>
        <w:pStyle w:val="RI01-Heading0"/>
      </w:pPr>
      <w:r w:rsidRPr="00D32180">
        <w:lastRenderedPageBreak/>
        <w:t>Section 2</w:t>
      </w:r>
    </w:p>
    <w:p w:rsidR="0006297A" w:rsidRPr="00D32180" w:rsidRDefault="0006297A" w:rsidP="0006297A">
      <w:pPr>
        <w:pStyle w:val="Heading1"/>
      </w:pPr>
      <w:bookmarkStart w:id="10" w:name="_Toc217446138"/>
      <w:bookmarkStart w:id="11" w:name="_Toc220919366"/>
      <w:bookmarkStart w:id="12" w:name="_Toc303342486"/>
      <w:bookmarkStart w:id="13" w:name="_Toc343682626"/>
      <w:r w:rsidRPr="00D32180">
        <w:t xml:space="preserve">Defining the </w:t>
      </w:r>
      <w:r>
        <w:t>t</w:t>
      </w:r>
      <w:r w:rsidRPr="00D32180">
        <w:t xml:space="preserve">otal </w:t>
      </w:r>
      <w:r>
        <w:t>s</w:t>
      </w:r>
      <w:r w:rsidRPr="00D32180">
        <w:t xml:space="preserve">tock </w:t>
      </w:r>
      <w:r>
        <w:t>u</w:t>
      </w:r>
      <w:r w:rsidRPr="00D32180">
        <w:t>niverse</w:t>
      </w:r>
      <w:bookmarkEnd w:id="10"/>
      <w:bookmarkEnd w:id="11"/>
      <w:bookmarkEnd w:id="12"/>
      <w:bookmarkEnd w:id="13"/>
      <w:r w:rsidRPr="00D32180">
        <w:t xml:space="preserve"> </w:t>
      </w:r>
    </w:p>
    <w:p w:rsidR="0006297A" w:rsidRPr="00D32180" w:rsidRDefault="0006297A" w:rsidP="0006297A">
      <w:pPr>
        <w:pStyle w:val="RI07-BodyCopy95pt"/>
      </w:pPr>
      <w:r w:rsidRPr="00D32180">
        <w:t xml:space="preserve">Many indexes </w:t>
      </w:r>
      <w:r>
        <w:t>purport</w:t>
      </w:r>
      <w:r w:rsidRPr="00D32180">
        <w:t xml:space="preserve"> to capture a certain percentage of </w:t>
      </w:r>
      <w:r>
        <w:t>an</w:t>
      </w:r>
      <w:r w:rsidRPr="00D32180">
        <w:t xml:space="preserve"> equity market, and it is often difficult to evaluate and compare index families on the basis of their claimed coverage percentage. A key step in creating market indexes is defining the total stock universe on which they are based. Russell has always promoted transparency in index construction. Accordingly, the methodology used to generate our 98% capture of the global equity universe is described below. </w:t>
      </w:r>
    </w:p>
    <w:p w:rsidR="0006297A" w:rsidRPr="00D32180" w:rsidRDefault="0006297A" w:rsidP="0006297A">
      <w:pPr>
        <w:pStyle w:val="RI07-BodyCopy95pt"/>
      </w:pPr>
      <w:r w:rsidRPr="00D32180">
        <w:t xml:space="preserve">The Russell Global Index is fundamentally constructed from a company-level perspective. Every publicly traded company around the world that meets minimum size and investability standards is included in the stock universe. Russell uses seven steps to refine the exchange-traded </w:t>
      </w:r>
      <w:r>
        <w:t>securities</w:t>
      </w:r>
      <w:r w:rsidRPr="00D32180">
        <w:t xml:space="preserve"> universe and capture the total institutional universe of securities on which the Russell Global Index is based. </w:t>
      </w:r>
    </w:p>
    <w:p w:rsidR="0006297A" w:rsidRPr="00D32180" w:rsidRDefault="0006297A" w:rsidP="0006297A">
      <w:pPr>
        <w:pStyle w:val="Heading2"/>
      </w:pPr>
      <w:bookmarkStart w:id="14" w:name="_Toc217446139"/>
      <w:bookmarkStart w:id="15" w:name="_Toc220919367"/>
      <w:bookmarkStart w:id="16" w:name="_Toc303342487"/>
      <w:bookmarkStart w:id="17" w:name="_Toc343682627"/>
      <w:r w:rsidRPr="00D32180">
        <w:t xml:space="preserve">Steps in constructing the </w:t>
      </w:r>
      <w:r>
        <w:t>i</w:t>
      </w:r>
      <w:r w:rsidRPr="00D32180">
        <w:t xml:space="preserve">nvestable </w:t>
      </w:r>
      <w:r>
        <w:t>equities</w:t>
      </w:r>
      <w:r w:rsidRPr="00D32180">
        <w:t xml:space="preserve"> </w:t>
      </w:r>
      <w:r>
        <w:t>u</w:t>
      </w:r>
      <w:r w:rsidRPr="00D32180">
        <w:t>niverse and the Russell Global Index</w:t>
      </w:r>
      <w:bookmarkEnd w:id="14"/>
      <w:bookmarkEnd w:id="15"/>
      <w:bookmarkEnd w:id="16"/>
      <w:bookmarkEnd w:id="17"/>
    </w:p>
    <w:p w:rsidR="0006297A" w:rsidRPr="00D32180" w:rsidRDefault="0006297A" w:rsidP="00676CED">
      <w:pPr>
        <w:pStyle w:val="RI08-95ptBullet1"/>
        <w:numPr>
          <w:ilvl w:val="0"/>
          <w:numId w:val="26"/>
        </w:numPr>
      </w:pPr>
      <w:r w:rsidRPr="00D32180">
        <w:t xml:space="preserve">Evaluate security types and distinguish equity securities from all other securities </w:t>
      </w:r>
    </w:p>
    <w:p w:rsidR="0006297A" w:rsidRPr="00D32180" w:rsidRDefault="0006297A" w:rsidP="00676CED">
      <w:pPr>
        <w:pStyle w:val="RI08-95ptBullet1"/>
        <w:numPr>
          <w:ilvl w:val="0"/>
          <w:numId w:val="26"/>
        </w:numPr>
      </w:pPr>
      <w:r w:rsidRPr="00D32180">
        <w:t xml:space="preserve">Assign companies to countries </w:t>
      </w:r>
    </w:p>
    <w:p w:rsidR="0006297A" w:rsidRPr="00D32180" w:rsidRDefault="0006297A" w:rsidP="00676CED">
      <w:pPr>
        <w:pStyle w:val="RI08-95ptBullet1"/>
        <w:numPr>
          <w:ilvl w:val="0"/>
          <w:numId w:val="26"/>
        </w:numPr>
      </w:pPr>
      <w:r w:rsidRPr="00D32180">
        <w:t>Evaluate securities by country to remove ineligible types</w:t>
      </w:r>
    </w:p>
    <w:p w:rsidR="0006297A" w:rsidRPr="00D32180" w:rsidRDefault="0006297A" w:rsidP="00676CED">
      <w:pPr>
        <w:pStyle w:val="RI08-95ptBullet1"/>
        <w:numPr>
          <w:ilvl w:val="0"/>
          <w:numId w:val="26"/>
        </w:numPr>
      </w:pPr>
      <w:r w:rsidRPr="00D32180">
        <w:t xml:space="preserve">Evaluate minimum capitalization size requirements </w:t>
      </w:r>
    </w:p>
    <w:p w:rsidR="0006297A" w:rsidRPr="00D32180" w:rsidRDefault="0006297A" w:rsidP="00676CED">
      <w:pPr>
        <w:pStyle w:val="RI08-95ptBullet1"/>
        <w:numPr>
          <w:ilvl w:val="0"/>
          <w:numId w:val="26"/>
        </w:numPr>
      </w:pPr>
      <w:r w:rsidRPr="00D32180">
        <w:t xml:space="preserve">Evaluate country eligibility based </w:t>
      </w:r>
      <w:r>
        <w:t xml:space="preserve">on </w:t>
      </w:r>
      <w:r w:rsidRPr="00D32180">
        <w:t xml:space="preserve">economic and practical investment environments </w:t>
      </w:r>
    </w:p>
    <w:p w:rsidR="0006297A" w:rsidRPr="00D32180" w:rsidRDefault="0006297A" w:rsidP="00676CED">
      <w:pPr>
        <w:pStyle w:val="RI08-95ptBullet1"/>
        <w:numPr>
          <w:ilvl w:val="0"/>
          <w:numId w:val="26"/>
        </w:numPr>
      </w:pPr>
      <w:r w:rsidRPr="00D32180">
        <w:t>Evaluate minimum stock liquidity by using the average daily dollar trading volume (ADDTV), and active trading ratio (ATR)</w:t>
      </w:r>
    </w:p>
    <w:p w:rsidR="0006297A" w:rsidRPr="00D32180" w:rsidRDefault="0006297A" w:rsidP="00676CED">
      <w:pPr>
        <w:pStyle w:val="RI08-95ptBullet1"/>
        <w:numPr>
          <w:ilvl w:val="0"/>
          <w:numId w:val="26"/>
        </w:numPr>
      </w:pPr>
      <w:r w:rsidRPr="00D32180">
        <w:t>Capture 98% of the institutionally investable universe</w:t>
      </w:r>
    </w:p>
    <w:p w:rsidR="0006297A" w:rsidRPr="00D32180" w:rsidRDefault="0006297A" w:rsidP="0006297A">
      <w:pPr>
        <w:pStyle w:val="Heading2"/>
      </w:pPr>
      <w:bookmarkStart w:id="18" w:name="_Toc217446140"/>
      <w:bookmarkStart w:id="19" w:name="_Toc220919368"/>
      <w:bookmarkStart w:id="20" w:name="_Toc303342488"/>
      <w:bookmarkStart w:id="21" w:name="_Toc343682628"/>
      <w:r w:rsidRPr="00D32180">
        <w:t xml:space="preserve">Total universe </w:t>
      </w:r>
      <w:r>
        <w:t>securities</w:t>
      </w:r>
      <w:r w:rsidRPr="00D32180">
        <w:t xml:space="preserve"> type</w:t>
      </w:r>
      <w:bookmarkEnd w:id="18"/>
      <w:bookmarkEnd w:id="19"/>
      <w:bookmarkEnd w:id="20"/>
      <w:r>
        <w:t>s</w:t>
      </w:r>
      <w:bookmarkEnd w:id="21"/>
    </w:p>
    <w:p w:rsidR="0006297A" w:rsidRPr="00D32180" w:rsidRDefault="0006297A" w:rsidP="0006297A">
      <w:pPr>
        <w:pStyle w:val="RI07-BodyCopy95pt"/>
      </w:pPr>
      <w:r w:rsidRPr="00D32180">
        <w:t>Russell’s first step in determining index membership is to capture and evaluate all exchange-traded securities in the global marketplace and build the total stock universe. Equity and equity-like securities are included in the Russell global equity universe, with some country-specific nuances. Equity-like securities are those that represent ownership of a company without an obligat</w:t>
      </w:r>
      <w:r>
        <w:t xml:space="preserve">ion </w:t>
      </w:r>
      <w:r w:rsidRPr="00D32180">
        <w:t>for the company to repay invested capital in the form of coupon payments or lump-sum payments throughout the life of the investment. A full list of eligible share classes by country is provided in Appendix C.</w:t>
      </w:r>
      <w:r>
        <w:t xml:space="preserve"> T</w:t>
      </w:r>
      <w:r w:rsidRPr="00D32180">
        <w:t xml:space="preserve">he following </w:t>
      </w:r>
      <w:r>
        <w:t>securities</w:t>
      </w:r>
      <w:r w:rsidRPr="00D32180">
        <w:t xml:space="preserve"> types are not eligible for inclusion in</w:t>
      </w:r>
      <w:r>
        <w:t xml:space="preserve"> the Russell Global Index series</w:t>
      </w:r>
      <w:r w:rsidRPr="00D32180">
        <w:t xml:space="preserve"> and are </w:t>
      </w:r>
      <w:r>
        <w:t xml:space="preserve">therefore </w:t>
      </w:r>
      <w:r w:rsidRPr="00D32180">
        <w:t xml:space="preserve">excluded from the total stock universe. </w:t>
      </w:r>
    </w:p>
    <w:p w:rsidR="0006297A" w:rsidRPr="00D32180" w:rsidRDefault="0006297A" w:rsidP="0006297A">
      <w:pPr>
        <w:pStyle w:val="Heading2"/>
      </w:pPr>
      <w:bookmarkStart w:id="22" w:name="_Toc217446141"/>
      <w:bookmarkStart w:id="23" w:name="_Toc220919369"/>
      <w:bookmarkStart w:id="24" w:name="_Toc303342489"/>
      <w:bookmarkStart w:id="25" w:name="_Toc343682629"/>
      <w:r w:rsidRPr="00D32180">
        <w:t>Excluded securities</w:t>
      </w:r>
      <w:bookmarkEnd w:id="22"/>
      <w:bookmarkEnd w:id="23"/>
      <w:bookmarkEnd w:id="24"/>
      <w:bookmarkEnd w:id="25"/>
    </w:p>
    <w:p w:rsidR="0006297A" w:rsidRPr="00D32180" w:rsidRDefault="0006297A" w:rsidP="0006297A">
      <w:pPr>
        <w:pStyle w:val="RI08-95ptBullet1"/>
        <w:tabs>
          <w:tab w:val="num" w:pos="720"/>
        </w:tabs>
        <w:ind w:left="720" w:hanging="360"/>
      </w:pPr>
      <w:r w:rsidRPr="00D32180">
        <w:t>Blank check companies</w:t>
      </w:r>
    </w:p>
    <w:p w:rsidR="0006297A" w:rsidRPr="00D32180" w:rsidRDefault="0006297A" w:rsidP="0006297A">
      <w:pPr>
        <w:pStyle w:val="RI08-95ptBullet1"/>
        <w:tabs>
          <w:tab w:val="num" w:pos="720"/>
        </w:tabs>
        <w:ind w:left="720" w:hanging="360"/>
      </w:pPr>
      <w:r w:rsidRPr="00D32180">
        <w:t>Bulletin board and pink sheet stocks (with some global exceptions)</w:t>
      </w:r>
    </w:p>
    <w:p w:rsidR="0006297A" w:rsidRPr="00D32180" w:rsidRDefault="0006297A" w:rsidP="0006297A">
      <w:pPr>
        <w:pStyle w:val="RI08-95ptBullet1"/>
        <w:tabs>
          <w:tab w:val="num" w:pos="720"/>
        </w:tabs>
        <w:ind w:left="720" w:hanging="360"/>
      </w:pPr>
      <w:r w:rsidRPr="00D32180">
        <w:t>Closed-end investment companies</w:t>
      </w:r>
    </w:p>
    <w:p w:rsidR="0006297A" w:rsidRPr="00D32180" w:rsidRDefault="0006297A" w:rsidP="0006297A">
      <w:pPr>
        <w:pStyle w:val="RI08-95ptBullet1"/>
        <w:tabs>
          <w:tab w:val="num" w:pos="720"/>
        </w:tabs>
        <w:ind w:left="720" w:hanging="360"/>
      </w:pPr>
      <w:r>
        <w:t>Depositary</w:t>
      </w:r>
      <w:r w:rsidRPr="00D32180">
        <w:t xml:space="preserve"> receipts (some exceptions apply when primary issue fails liquidity threshold)</w:t>
      </w:r>
    </w:p>
    <w:p w:rsidR="0006297A" w:rsidRPr="00D32180" w:rsidRDefault="0006297A" w:rsidP="0006297A">
      <w:pPr>
        <w:pStyle w:val="RI08-95ptBullet1"/>
        <w:tabs>
          <w:tab w:val="num" w:pos="720"/>
        </w:tabs>
        <w:ind w:left="720" w:hanging="360"/>
      </w:pPr>
      <w:r w:rsidRPr="00D32180">
        <w:lastRenderedPageBreak/>
        <w:t>Exchange Traded Funds (ETFs) and mutual funds</w:t>
      </w:r>
    </w:p>
    <w:p w:rsidR="0006297A" w:rsidRPr="00D32180" w:rsidRDefault="0006297A" w:rsidP="0006297A">
      <w:pPr>
        <w:pStyle w:val="RI08-95ptBullet1"/>
        <w:tabs>
          <w:tab w:val="num" w:pos="720"/>
        </w:tabs>
        <w:ind w:left="720" w:hanging="360"/>
      </w:pPr>
      <w:r w:rsidRPr="00D32180">
        <w:t>Limited</w:t>
      </w:r>
      <w:r>
        <w:t>-</w:t>
      </w:r>
      <w:r w:rsidRPr="00D32180">
        <w:t>liability companies</w:t>
      </w:r>
      <w:r>
        <w:t xml:space="preserve"> </w:t>
      </w:r>
      <w:r w:rsidRPr="00D32180">
        <w:t xml:space="preserve">(with some </w:t>
      </w:r>
      <w:r>
        <w:t>country</w:t>
      </w:r>
      <w:r w:rsidRPr="00D32180">
        <w:t xml:space="preserve"> exceptions</w:t>
      </w:r>
      <w:r>
        <w:t>, such as Netherlands</w:t>
      </w:r>
      <w:r w:rsidRPr="00D32180">
        <w:t>)</w:t>
      </w:r>
    </w:p>
    <w:p w:rsidR="0006297A" w:rsidRPr="00D32180" w:rsidRDefault="0006297A" w:rsidP="0006297A">
      <w:pPr>
        <w:pStyle w:val="RI08-95ptBullet1"/>
        <w:tabs>
          <w:tab w:val="num" w:pos="720"/>
        </w:tabs>
        <w:ind w:left="720" w:hanging="360"/>
      </w:pPr>
      <w:r w:rsidRPr="00D32180">
        <w:t>Limited partnerships</w:t>
      </w:r>
    </w:p>
    <w:p w:rsidR="0006297A" w:rsidRPr="00D32180" w:rsidRDefault="0006297A" w:rsidP="0006297A">
      <w:pPr>
        <w:pStyle w:val="RI08-95ptBullet1"/>
        <w:tabs>
          <w:tab w:val="num" w:pos="720"/>
        </w:tabs>
        <w:ind w:left="720" w:hanging="360"/>
      </w:pPr>
      <w:r w:rsidRPr="00D32180">
        <w:t>Trust receipts and royalty trusts</w:t>
      </w:r>
    </w:p>
    <w:p w:rsidR="0006297A" w:rsidRPr="00D32180" w:rsidRDefault="0006297A" w:rsidP="0006297A">
      <w:pPr>
        <w:pStyle w:val="RI08-95ptBullet1"/>
        <w:tabs>
          <w:tab w:val="num" w:pos="720"/>
        </w:tabs>
        <w:ind w:left="720" w:hanging="360"/>
      </w:pPr>
      <w:r w:rsidRPr="00D32180">
        <w:t>Warrants and rights</w:t>
      </w:r>
    </w:p>
    <w:p w:rsidR="0006297A" w:rsidRPr="00D32180" w:rsidRDefault="0006297A" w:rsidP="0006297A">
      <w:pPr>
        <w:pStyle w:val="Heading2"/>
      </w:pPr>
      <w:bookmarkStart w:id="26" w:name="_Toc343682630"/>
      <w:bookmarkStart w:id="27" w:name="_Toc217446142"/>
      <w:bookmarkStart w:id="28" w:name="_Toc220919370"/>
      <w:r>
        <w:t>Depositary receipt exceptions</w:t>
      </w:r>
      <w:bookmarkEnd w:id="26"/>
    </w:p>
    <w:p w:rsidR="0006297A" w:rsidRPr="00244260" w:rsidRDefault="0006297A" w:rsidP="0006297A">
      <w:pPr>
        <w:pStyle w:val="RI08-95ptBullet1"/>
      </w:pPr>
      <w:r w:rsidRPr="00244260">
        <w:t>Deposit</w:t>
      </w:r>
      <w:r>
        <w:t>a</w:t>
      </w:r>
      <w:r w:rsidRPr="00244260">
        <w:t xml:space="preserve">ry receipts </w:t>
      </w:r>
      <w:r>
        <w:t>may be</w:t>
      </w:r>
      <w:r w:rsidRPr="00244260">
        <w:t xml:space="preserve"> </w:t>
      </w:r>
      <w:r>
        <w:t>viewed as eligible for index inclusion in those countries where foreign ownership of local shares is restricted and where access by non local investors is commonly via an ADR. These countries include but are not limited to:</w:t>
      </w:r>
      <w:r w:rsidRPr="00244260">
        <w:t xml:space="preserve"> Philippines, Thailand, and Russia</w:t>
      </w:r>
      <w:r>
        <w:t xml:space="preserve"> due </w:t>
      </w:r>
      <w:r w:rsidRPr="00244260">
        <w:t>to their restrictions on foreign ownership in local shares.</w:t>
      </w:r>
      <w:r>
        <w:t xml:space="preserve"> See Appendix C for details of countries where ADR’s are viewed as eligible share classes.</w:t>
      </w:r>
      <w:r w:rsidRPr="00244260">
        <w:t xml:space="preserve"> </w:t>
      </w:r>
    </w:p>
    <w:p w:rsidR="0006297A" w:rsidRDefault="0006297A" w:rsidP="0006297A">
      <w:pPr>
        <w:pStyle w:val="RI07-BodyCopy95pt"/>
      </w:pPr>
      <w:r>
        <w:t>Depositary receipts may be used if the following criteria apply:</w:t>
      </w:r>
    </w:p>
    <w:p w:rsidR="0006297A" w:rsidRPr="00547656" w:rsidRDefault="0006297A" w:rsidP="00676CED">
      <w:pPr>
        <w:numPr>
          <w:ilvl w:val="0"/>
          <w:numId w:val="35"/>
        </w:numPr>
        <w:spacing w:after="100" w:line="260" w:lineRule="atLeast"/>
        <w:rPr>
          <w:rFonts w:ascii="Arial" w:hAnsi="Arial"/>
          <w:color w:val="5F6062"/>
          <w:sz w:val="19"/>
        </w:rPr>
      </w:pPr>
      <w:r>
        <w:rPr>
          <w:rFonts w:ascii="Arial" w:hAnsi="Arial"/>
          <w:color w:val="5F6062"/>
          <w:sz w:val="19"/>
        </w:rPr>
        <w:t xml:space="preserve">The only vehicle available for trade is in the form of an ADR (no alternative security trading); or </w:t>
      </w:r>
    </w:p>
    <w:p w:rsidR="0006297A" w:rsidRPr="00547656" w:rsidRDefault="0006297A" w:rsidP="00676CED">
      <w:pPr>
        <w:numPr>
          <w:ilvl w:val="0"/>
          <w:numId w:val="35"/>
        </w:numPr>
        <w:spacing w:after="100" w:line="260" w:lineRule="atLeast"/>
        <w:rPr>
          <w:rFonts w:ascii="Arial" w:hAnsi="Arial"/>
          <w:color w:val="5F6062"/>
          <w:sz w:val="19"/>
        </w:rPr>
      </w:pPr>
      <w:r>
        <w:rPr>
          <w:rFonts w:ascii="Arial" w:hAnsi="Arial"/>
          <w:color w:val="5F6062"/>
          <w:sz w:val="19"/>
        </w:rPr>
        <w:t>The eligible equity security fails the liquidity test, however an ADR form exists for the company and it does pass liquidity; or</w:t>
      </w:r>
    </w:p>
    <w:p w:rsidR="0006297A" w:rsidRPr="00547656" w:rsidRDefault="0006297A" w:rsidP="00676CED">
      <w:pPr>
        <w:numPr>
          <w:ilvl w:val="0"/>
          <w:numId w:val="35"/>
        </w:numPr>
        <w:spacing w:after="100" w:line="260" w:lineRule="atLeast"/>
        <w:rPr>
          <w:rFonts w:ascii="Arial" w:hAnsi="Arial"/>
          <w:color w:val="5F6062"/>
          <w:sz w:val="19"/>
        </w:rPr>
      </w:pPr>
      <w:r>
        <w:rPr>
          <w:rFonts w:ascii="Arial" w:hAnsi="Arial"/>
          <w:color w:val="5F6062"/>
          <w:sz w:val="19"/>
        </w:rPr>
        <w:t>Fewer than three eligible companies are available in a particular country and qualifying ADR vehicles exist. In this instance, eligible ADR’s will be added to country opportunity to complete the critical mass requirement for individual country inclusion.</w:t>
      </w:r>
    </w:p>
    <w:p w:rsidR="0006297A" w:rsidRDefault="0006297A" w:rsidP="0006297A">
      <w:pPr>
        <w:pStyle w:val="RI08-95ptBullet1"/>
      </w:pPr>
      <w:r>
        <w:t>As with any member, each of the above vehicles must pass all other eligibility requirements including liquidity minimum.</w:t>
      </w:r>
    </w:p>
    <w:p w:rsidR="0006297A" w:rsidRPr="00547656" w:rsidRDefault="0006297A" w:rsidP="0006297A">
      <w:pPr>
        <w:pStyle w:val="RI08-95ptBullet1"/>
      </w:pPr>
      <w:r>
        <w:t>T</w:t>
      </w:r>
      <w:r w:rsidRPr="00547656">
        <w:t xml:space="preserve">hese </w:t>
      </w:r>
      <w:r>
        <w:t>situations</w:t>
      </w:r>
      <w:r w:rsidRPr="00547656">
        <w:t xml:space="preserve"> are applied regardless of country</w:t>
      </w:r>
      <w:r>
        <w:t xml:space="preserve"> (excluding the U.S.)</w:t>
      </w:r>
      <w:r w:rsidRPr="00547656">
        <w:t>.</w:t>
      </w:r>
      <w:r>
        <w:t xml:space="preserve"> </w:t>
      </w:r>
    </w:p>
    <w:p w:rsidR="0006297A" w:rsidRPr="00D32180" w:rsidRDefault="0006297A" w:rsidP="0006297A">
      <w:pPr>
        <w:pStyle w:val="Heading2"/>
      </w:pPr>
      <w:bookmarkStart w:id="29" w:name="_Toc303342490"/>
      <w:bookmarkStart w:id="30" w:name="_Toc343682631"/>
      <w:r w:rsidRPr="00D32180">
        <w:t>Universe minimum size requirement</w:t>
      </w:r>
      <w:bookmarkEnd w:id="27"/>
      <w:bookmarkEnd w:id="28"/>
      <w:bookmarkEnd w:id="29"/>
      <w:bookmarkEnd w:id="30"/>
      <w:r w:rsidRPr="00D32180">
        <w:t xml:space="preserve"> </w:t>
      </w:r>
    </w:p>
    <w:p w:rsidR="0006297A" w:rsidRPr="00D32180" w:rsidRDefault="0006297A" w:rsidP="0006297A">
      <w:pPr>
        <w:pStyle w:val="RI07-BodyCopy95pt"/>
      </w:pPr>
      <w:r w:rsidRPr="00D32180">
        <w:t>Russell further refines the investable universe by eliminating extremely small equity securities that are inaccessible by institutional investors. The minimum total market capitalization requirement for inclusion in the Russell stock universe is $1,000,000 USD. Note, this $1M threshold applies to the universe of stocks, from which then 98% makes up the index. Historically, the market capitalization</w:t>
      </w:r>
      <w:r>
        <w:t xml:space="preserve"> of</w:t>
      </w:r>
      <w:r w:rsidRPr="00D32180">
        <w:t xml:space="preserve"> the smallest security in the Russell Global </w:t>
      </w:r>
      <w:r>
        <w:t>I</w:t>
      </w:r>
      <w:r w:rsidRPr="00D32180">
        <w:t xml:space="preserve">ndex </w:t>
      </w:r>
      <w:r>
        <w:t>has been</w:t>
      </w:r>
      <w:r w:rsidRPr="00D32180">
        <w:t xml:space="preserve"> approximately $160 million USD. Total market capitalization is determined by multiplying outstanding shares by market price as of the last trading day in May. </w:t>
      </w:r>
    </w:p>
    <w:p w:rsidR="0006297A" w:rsidRDefault="0006297A" w:rsidP="0006297A">
      <w:pPr>
        <w:pStyle w:val="Heading2"/>
      </w:pPr>
      <w:bookmarkStart w:id="31" w:name="_Toc217446143"/>
      <w:bookmarkStart w:id="32" w:name="_Toc220919371"/>
      <w:bookmarkStart w:id="33" w:name="_Toc303342491"/>
      <w:bookmarkStart w:id="34" w:name="_Toc343682632"/>
      <w:r w:rsidRPr="00D32180">
        <w:t>Universe country eligibility</w:t>
      </w:r>
      <w:bookmarkEnd w:id="31"/>
      <w:bookmarkEnd w:id="32"/>
      <w:bookmarkEnd w:id="33"/>
      <w:bookmarkEnd w:id="34"/>
    </w:p>
    <w:p w:rsidR="0006297A" w:rsidRDefault="0006297A" w:rsidP="0006297A">
      <w:pPr>
        <w:pStyle w:val="RI07-BodyCopy95pt"/>
      </w:pPr>
      <w:r w:rsidRPr="00D32180">
        <w:t>Some countries with sizable stocks do not provide a stable environment for institutional invest</w:t>
      </w:r>
      <w:r>
        <w:t xml:space="preserve">ing </w:t>
      </w:r>
      <w:r w:rsidRPr="00D32180">
        <w:t xml:space="preserve">and thus are ineligible for inclusion in the Russell global indexes universe. </w:t>
      </w:r>
      <w:r>
        <w:t>Specifically, those designated as frontier countries are ineligible for the Russell Global Developed or Emerging Index components. Russell does, however, cover frontier countries in the Russell Frontier</w:t>
      </w:r>
      <w:r w:rsidRPr="00ED70B9">
        <w:rPr>
          <w:rFonts w:cs="Arial"/>
          <w:color w:val="1F497D"/>
          <w:sz w:val="20"/>
          <w:szCs w:val="20"/>
          <w:vertAlign w:val="superscript"/>
        </w:rPr>
        <w:t>®</w:t>
      </w:r>
      <w:r>
        <w:t xml:space="preserve"> In</w:t>
      </w:r>
      <w:r w:rsidRPr="005E3BED">
        <w:t xml:space="preserve">dex (see </w:t>
      </w:r>
      <w:hyperlink w:anchor="_Russell_Frontier™_Index" w:history="1">
        <w:r w:rsidRPr="00F42BC4">
          <w:t>Section</w:t>
        </w:r>
      </w:hyperlink>
      <w:r>
        <w:t xml:space="preserve"> 9</w:t>
      </w:r>
      <w:r w:rsidRPr="005E3BED">
        <w:t>)</w:t>
      </w:r>
      <w:r>
        <w:t xml:space="preserve">. </w:t>
      </w:r>
      <w:r w:rsidRPr="005E3BED">
        <w:t>Russ</w:t>
      </w:r>
      <w:r w:rsidRPr="00D32180">
        <w:t>ell assesses the adequacy of investability conditions in a country</w:t>
      </w:r>
      <w:r>
        <w:t xml:space="preserve"> by</w:t>
      </w:r>
      <w:r w:rsidRPr="00D32180">
        <w:t xml:space="preserve"> </w:t>
      </w:r>
      <w:r>
        <w:t xml:space="preserve">using </w:t>
      </w:r>
      <w:r w:rsidRPr="00D32180">
        <w:t xml:space="preserve">a group of </w:t>
      </w:r>
      <w:r>
        <w:t xml:space="preserve">country risk and trading risk/challenge </w:t>
      </w:r>
      <w:r w:rsidRPr="00D32180">
        <w:t>factors and references</w:t>
      </w:r>
      <w:r>
        <w:t xml:space="preserve">, described below. </w:t>
      </w:r>
    </w:p>
    <w:p w:rsidR="0006297A" w:rsidRDefault="0006297A" w:rsidP="0006297A">
      <w:pPr>
        <w:pStyle w:val="Heading2"/>
      </w:pPr>
      <w:bookmarkStart w:id="35" w:name="_Toc303342492"/>
      <w:bookmarkStart w:id="36" w:name="_Toc343682633"/>
      <w:r>
        <w:lastRenderedPageBreak/>
        <w:t>Country risk</w:t>
      </w:r>
      <w:bookmarkEnd w:id="35"/>
      <w:bookmarkEnd w:id="36"/>
    </w:p>
    <w:p w:rsidR="0006297A" w:rsidRPr="00D32180" w:rsidRDefault="0006297A" w:rsidP="0006297A">
      <w:pPr>
        <w:pStyle w:val="RI07-BodyCopy95pt"/>
        <w:keepNext/>
      </w:pPr>
      <w:r>
        <w:t>The following criteria are used to determine country eligibility for the Russell Global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2340"/>
        <w:gridCol w:w="2340"/>
        <w:gridCol w:w="2340"/>
      </w:tblGrid>
      <w:tr w:rsidR="0006297A" w:rsidRPr="00645AD0" w:rsidTr="00676CED">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keepNext/>
              <w:spacing w:before="20" w:after="20" w:line="240" w:lineRule="auto"/>
              <w:rPr>
                <w:b/>
                <w:bCs/>
                <w:color w:val="66AADD"/>
                <w:sz w:val="18"/>
                <w:szCs w:val="18"/>
              </w:rPr>
            </w:pPr>
            <w:r w:rsidRPr="00645AD0">
              <w:rPr>
                <w:b/>
                <w:bCs/>
                <w:color w:val="66AADD"/>
                <w:sz w:val="18"/>
                <w:szCs w:val="18"/>
              </w:rPr>
              <w:t>Criteria</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keepNext/>
              <w:spacing w:before="20" w:after="20" w:line="240" w:lineRule="auto"/>
              <w:rPr>
                <w:b/>
                <w:bCs/>
                <w:color w:val="66AADD"/>
                <w:sz w:val="18"/>
                <w:szCs w:val="18"/>
              </w:rPr>
            </w:pPr>
            <w:r w:rsidRPr="00645AD0">
              <w:rPr>
                <w:b/>
                <w:bCs/>
                <w:color w:val="66AADD"/>
                <w:sz w:val="18"/>
                <w:szCs w:val="18"/>
              </w:rPr>
              <w:t>Measure</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keepNext/>
              <w:spacing w:before="20" w:after="20" w:line="240" w:lineRule="auto"/>
              <w:rPr>
                <w:b/>
                <w:bCs/>
                <w:color w:val="66AADD"/>
                <w:sz w:val="18"/>
                <w:szCs w:val="18"/>
              </w:rPr>
            </w:pPr>
            <w:r w:rsidRPr="00645AD0">
              <w:rPr>
                <w:b/>
                <w:bCs/>
                <w:color w:val="66AADD"/>
                <w:sz w:val="18"/>
                <w:szCs w:val="18"/>
              </w:rPr>
              <w:t>Eligible</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keepNext/>
              <w:spacing w:before="20" w:after="20" w:line="240" w:lineRule="auto"/>
              <w:rPr>
                <w:b/>
                <w:bCs/>
                <w:color w:val="66AADD"/>
                <w:sz w:val="18"/>
                <w:szCs w:val="18"/>
              </w:rPr>
            </w:pPr>
            <w:r w:rsidRPr="00645AD0">
              <w:rPr>
                <w:b/>
                <w:bCs/>
                <w:color w:val="66AADD"/>
                <w:sz w:val="18"/>
                <w:szCs w:val="18"/>
              </w:rPr>
              <w:t xml:space="preserve">Ineligible </w:t>
            </w:r>
          </w:p>
        </w:tc>
      </w:tr>
      <w:tr w:rsidR="0006297A" w:rsidRPr="00645AD0" w:rsidTr="00676CED">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Relative income</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World Bank Income Category</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“Lower Middle Income” or higher</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“Low Income”</w:t>
            </w:r>
          </w:p>
        </w:tc>
      </w:tr>
      <w:tr w:rsidR="0006297A" w:rsidRPr="00645AD0" w:rsidTr="00676CED">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 xml:space="preserve">Country risk </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Economist Intelligence Unit Score</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Score less than 55</w:t>
            </w:r>
          </w:p>
        </w:tc>
        <w:tc>
          <w:tcPr>
            <w:tcW w:w="1250" w:type="pct"/>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sidRPr="00645AD0">
              <w:rPr>
                <w:sz w:val="18"/>
                <w:szCs w:val="18"/>
              </w:rPr>
              <w:t>Score greater than or equal to 55</w:t>
            </w:r>
          </w:p>
        </w:tc>
      </w:tr>
    </w:tbl>
    <w:p w:rsidR="0006297A" w:rsidRDefault="0006297A" w:rsidP="0006297A">
      <w:pPr>
        <w:pStyle w:val="RI07-BodyCopy95pt"/>
        <w:rPr>
          <w:sz w:val="16"/>
          <w:szCs w:val="16"/>
        </w:rPr>
      </w:pPr>
      <w:r w:rsidRPr="00D32180">
        <w:rPr>
          <w:sz w:val="16"/>
          <w:szCs w:val="16"/>
        </w:rPr>
        <w:t>Sources: World Bank and Economist Intelligence Unit</w:t>
      </w:r>
    </w:p>
    <w:p w:rsidR="0006297A" w:rsidRPr="009B13B8" w:rsidRDefault="0006297A" w:rsidP="0006297A">
      <w:pPr>
        <w:pStyle w:val="CommentText"/>
        <w:ind w:right="400"/>
        <w:jc w:val="both"/>
        <w:rPr>
          <w:rFonts w:ascii="Arial" w:hAnsi="Arial"/>
          <w:color w:val="5F6062"/>
          <w:sz w:val="19"/>
          <w:szCs w:val="22"/>
        </w:rPr>
      </w:pPr>
      <w:r w:rsidRPr="009B13B8">
        <w:rPr>
          <w:rFonts w:ascii="Arial" w:hAnsi="Arial"/>
          <w:color w:val="5F6062"/>
          <w:sz w:val="19"/>
          <w:szCs w:val="22"/>
        </w:rPr>
        <w:t>A score of 55 or higher for an existing RGI member will be accompanied by full research evaluation but should not be viewed as confirmation of removal.  Specific country and investment considerations must be factored and appropriate communication details must be shared.</w:t>
      </w:r>
    </w:p>
    <w:p w:rsidR="0006297A" w:rsidRPr="00F42D66" w:rsidRDefault="0006297A" w:rsidP="0006297A">
      <w:pPr>
        <w:pStyle w:val="RI07-BodyCopy95pt"/>
      </w:pPr>
    </w:p>
    <w:p w:rsidR="0006297A" w:rsidRPr="00D32180" w:rsidRDefault="0006297A" w:rsidP="0006297A">
      <w:pPr>
        <w:pStyle w:val="Heading2"/>
      </w:pPr>
      <w:bookmarkStart w:id="37" w:name="_Toc303342493"/>
      <w:bookmarkStart w:id="38" w:name="_Toc343682634"/>
      <w:r>
        <w:t xml:space="preserve">Trading </w:t>
      </w:r>
      <w:bookmarkEnd w:id="37"/>
      <w:r>
        <w:t>risks/challenges</w:t>
      </w:r>
      <w:bookmarkEnd w:id="38"/>
    </w:p>
    <w:p w:rsidR="0006297A" w:rsidRPr="00D32180" w:rsidRDefault="0006297A" w:rsidP="0006297A">
      <w:pPr>
        <w:pStyle w:val="RI07-BodyCopy95pt"/>
      </w:pPr>
      <w:r>
        <w:t>The following factors are considered to determine country eligibility for the Russell Global Index.</w:t>
      </w: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163"/>
        <w:gridCol w:w="3163"/>
        <w:gridCol w:w="3164"/>
      </w:tblGrid>
      <w:tr w:rsidR="0006297A" w:rsidRPr="00645AD0" w:rsidTr="00676CED">
        <w:trPr>
          <w:tblHeader/>
        </w:trPr>
        <w:tc>
          <w:tcPr>
            <w:tcW w:w="1666" w:type="pct"/>
          </w:tcPr>
          <w:p w:rsidR="0006297A" w:rsidRPr="00645AD0" w:rsidRDefault="0006297A" w:rsidP="00676CED">
            <w:pPr>
              <w:pStyle w:val="RI07-BodyCopy95pt"/>
              <w:spacing w:before="20" w:after="20" w:line="240" w:lineRule="auto"/>
              <w:rPr>
                <w:b/>
                <w:bCs/>
                <w:color w:val="66AADD"/>
                <w:sz w:val="18"/>
                <w:szCs w:val="18"/>
              </w:rPr>
            </w:pPr>
            <w:r w:rsidRPr="00645AD0">
              <w:rPr>
                <w:b/>
                <w:bCs/>
                <w:color w:val="66AADD"/>
                <w:sz w:val="18"/>
                <w:szCs w:val="18"/>
              </w:rPr>
              <w:t>Criteria</w:t>
            </w:r>
          </w:p>
        </w:tc>
        <w:tc>
          <w:tcPr>
            <w:tcW w:w="1666" w:type="pct"/>
          </w:tcPr>
          <w:p w:rsidR="0006297A" w:rsidRPr="00645AD0" w:rsidRDefault="0006297A" w:rsidP="00676CED">
            <w:pPr>
              <w:pStyle w:val="RI07-BodyCopy95pt"/>
              <w:spacing w:before="20" w:after="20" w:line="240" w:lineRule="auto"/>
              <w:rPr>
                <w:b/>
                <w:bCs/>
                <w:color w:val="66AADD"/>
                <w:sz w:val="18"/>
                <w:szCs w:val="18"/>
              </w:rPr>
            </w:pPr>
            <w:r w:rsidRPr="00645AD0">
              <w:rPr>
                <w:b/>
                <w:bCs/>
                <w:color w:val="66AADD"/>
                <w:sz w:val="18"/>
                <w:szCs w:val="18"/>
              </w:rPr>
              <w:t>Eligible</w:t>
            </w:r>
          </w:p>
        </w:tc>
        <w:tc>
          <w:tcPr>
            <w:tcW w:w="1667" w:type="pct"/>
          </w:tcPr>
          <w:p w:rsidR="0006297A" w:rsidRPr="00645AD0" w:rsidRDefault="0006297A" w:rsidP="00676CED">
            <w:pPr>
              <w:pStyle w:val="RI07-BodyCopy95pt"/>
              <w:spacing w:before="20" w:after="20" w:line="240" w:lineRule="auto"/>
              <w:rPr>
                <w:b/>
                <w:bCs/>
                <w:color w:val="66AADD"/>
                <w:sz w:val="18"/>
                <w:szCs w:val="18"/>
              </w:rPr>
            </w:pPr>
            <w:r w:rsidRPr="00645AD0">
              <w:rPr>
                <w:b/>
                <w:bCs/>
                <w:color w:val="66AADD"/>
                <w:sz w:val="18"/>
                <w:szCs w:val="18"/>
              </w:rPr>
              <w:t xml:space="preserve">Ineligible </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Regulatory Infrastructure</w:t>
            </w:r>
          </w:p>
        </w:tc>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Relatively mature</w:t>
            </w:r>
          </w:p>
        </w:tc>
        <w:tc>
          <w:tcPr>
            <w:tcW w:w="1667" w:type="pct"/>
          </w:tcPr>
          <w:p w:rsidR="0006297A" w:rsidRPr="00645AD0" w:rsidRDefault="0006297A" w:rsidP="00676CED">
            <w:pPr>
              <w:pStyle w:val="RI07-BodyCopy95pt"/>
              <w:spacing w:before="20" w:after="20" w:line="240" w:lineRule="auto"/>
              <w:rPr>
                <w:sz w:val="18"/>
                <w:szCs w:val="18"/>
              </w:rPr>
            </w:pPr>
            <w:r w:rsidRPr="00645AD0">
              <w:rPr>
                <w:sz w:val="18"/>
                <w:szCs w:val="18"/>
              </w:rPr>
              <w:t>Incomplete</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Trading and Custody accounts</w:t>
            </w:r>
          </w:p>
        </w:tc>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Segregated</w:t>
            </w:r>
          </w:p>
        </w:tc>
        <w:tc>
          <w:tcPr>
            <w:tcW w:w="1667" w:type="pct"/>
          </w:tcPr>
          <w:p w:rsidR="0006297A" w:rsidRPr="00645AD0" w:rsidRDefault="0006297A" w:rsidP="00676CED">
            <w:pPr>
              <w:pStyle w:val="RI07-BodyCopy95pt"/>
              <w:spacing w:before="20" w:after="20" w:line="240" w:lineRule="auto"/>
              <w:rPr>
                <w:sz w:val="18"/>
                <w:szCs w:val="18"/>
              </w:rPr>
            </w:pPr>
            <w:r w:rsidRPr="00645AD0">
              <w:rPr>
                <w:sz w:val="18"/>
                <w:szCs w:val="18"/>
              </w:rPr>
              <w:t>No Segregation</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 xml:space="preserve"> Foreign Ownership Limits </w:t>
            </w:r>
          </w:p>
        </w:tc>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 xml:space="preserve">Limits on specific market segments </w:t>
            </w:r>
          </w:p>
        </w:tc>
        <w:tc>
          <w:tcPr>
            <w:tcW w:w="1667" w:type="pct"/>
          </w:tcPr>
          <w:p w:rsidR="0006297A" w:rsidRPr="00645AD0" w:rsidRDefault="0006297A" w:rsidP="00676CED">
            <w:pPr>
              <w:pStyle w:val="RI07-BodyCopy95pt"/>
              <w:spacing w:before="20" w:after="20" w:line="240" w:lineRule="auto"/>
              <w:rPr>
                <w:sz w:val="18"/>
                <w:szCs w:val="18"/>
              </w:rPr>
            </w:pPr>
            <w:r w:rsidRPr="00645AD0">
              <w:rPr>
                <w:sz w:val="18"/>
                <w:szCs w:val="18"/>
              </w:rPr>
              <w:t>Broader restrictions</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Trade Confidentiality</w:t>
            </w:r>
          </w:p>
        </w:tc>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Yes</w:t>
            </w:r>
          </w:p>
        </w:tc>
        <w:tc>
          <w:tcPr>
            <w:tcW w:w="1667" w:type="pct"/>
          </w:tcPr>
          <w:p w:rsidR="0006297A" w:rsidRPr="00645AD0" w:rsidRDefault="0006297A" w:rsidP="00676CED">
            <w:pPr>
              <w:pStyle w:val="RI07-BodyCopy95pt"/>
              <w:spacing w:before="20" w:after="20" w:line="240" w:lineRule="auto"/>
              <w:rPr>
                <w:sz w:val="18"/>
                <w:szCs w:val="18"/>
              </w:rPr>
            </w:pPr>
            <w:r w:rsidRPr="00645AD0">
              <w:rPr>
                <w:sz w:val="18"/>
                <w:szCs w:val="18"/>
              </w:rPr>
              <w:t>No</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Settlement Periods</w:t>
            </w:r>
          </w:p>
        </w:tc>
        <w:tc>
          <w:tcPr>
            <w:tcW w:w="1666" w:type="pct"/>
          </w:tcPr>
          <w:p w:rsidR="0006297A" w:rsidRPr="00645AD0" w:rsidRDefault="0006297A" w:rsidP="00676CED">
            <w:pPr>
              <w:pStyle w:val="RI07-BodyCopy95pt"/>
              <w:spacing w:before="20" w:after="20" w:line="240" w:lineRule="auto"/>
              <w:rPr>
                <w:sz w:val="18"/>
                <w:szCs w:val="18"/>
              </w:rPr>
            </w:pPr>
            <w:r>
              <w:rPr>
                <w:sz w:val="18"/>
                <w:szCs w:val="18"/>
              </w:rPr>
              <w:t>t+3 or less</w:t>
            </w:r>
          </w:p>
        </w:tc>
        <w:tc>
          <w:tcPr>
            <w:tcW w:w="1667" w:type="pct"/>
          </w:tcPr>
          <w:p w:rsidR="0006297A" w:rsidRPr="00645AD0" w:rsidRDefault="0006297A" w:rsidP="00676CED">
            <w:pPr>
              <w:pStyle w:val="RI07-BodyCopy95pt"/>
              <w:spacing w:before="20" w:after="20" w:line="240" w:lineRule="auto"/>
              <w:rPr>
                <w:sz w:val="18"/>
                <w:szCs w:val="18"/>
              </w:rPr>
            </w:pPr>
            <w:r>
              <w:rPr>
                <w:sz w:val="18"/>
                <w:szCs w:val="18"/>
              </w:rPr>
              <w:t>Greater</w:t>
            </w:r>
            <w:r w:rsidRPr="00645AD0">
              <w:rPr>
                <w:sz w:val="18"/>
                <w:szCs w:val="18"/>
              </w:rPr>
              <w:t xml:space="preserve"> than t+3</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Market Liquidity</w:t>
            </w:r>
          </w:p>
        </w:tc>
        <w:tc>
          <w:tcPr>
            <w:tcW w:w="1666" w:type="pct"/>
          </w:tcPr>
          <w:p w:rsidR="0006297A" w:rsidRPr="00645AD0" w:rsidRDefault="0006297A" w:rsidP="00676CED">
            <w:pPr>
              <w:pStyle w:val="RI07-BodyCopy95pt"/>
              <w:spacing w:before="20" w:after="20" w:line="240" w:lineRule="auto"/>
              <w:rPr>
                <w:sz w:val="18"/>
                <w:szCs w:val="18"/>
              </w:rPr>
            </w:pPr>
            <w:r>
              <w:rPr>
                <w:sz w:val="18"/>
                <w:szCs w:val="18"/>
              </w:rPr>
              <w:t>75th percentile or better</w:t>
            </w:r>
          </w:p>
        </w:tc>
        <w:tc>
          <w:tcPr>
            <w:tcW w:w="1667" w:type="pct"/>
          </w:tcPr>
          <w:p w:rsidR="0006297A" w:rsidRPr="00645AD0" w:rsidRDefault="0006297A" w:rsidP="00676CED">
            <w:pPr>
              <w:pStyle w:val="RI07-BodyCopy95pt"/>
              <w:spacing w:before="20" w:after="20" w:line="240" w:lineRule="auto"/>
              <w:rPr>
                <w:sz w:val="18"/>
                <w:szCs w:val="18"/>
              </w:rPr>
            </w:pPr>
            <w:r>
              <w:rPr>
                <w:sz w:val="18"/>
                <w:szCs w:val="18"/>
              </w:rPr>
              <w:t>Beneath 25</w:t>
            </w:r>
            <w:r w:rsidRPr="00703774">
              <w:rPr>
                <w:sz w:val="18"/>
                <w:szCs w:val="18"/>
                <w:vertAlign w:val="superscript"/>
              </w:rPr>
              <w:t>th</w:t>
            </w:r>
            <w:r>
              <w:rPr>
                <w:sz w:val="18"/>
                <w:szCs w:val="18"/>
              </w:rPr>
              <w:t xml:space="preserve"> percentile</w:t>
            </w:r>
          </w:p>
        </w:tc>
      </w:tr>
      <w:tr w:rsidR="0006297A" w:rsidRPr="00645AD0" w:rsidTr="00676CED">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Pre-Deposit of shares required</w:t>
            </w:r>
          </w:p>
        </w:tc>
        <w:tc>
          <w:tcPr>
            <w:tcW w:w="1666" w:type="pct"/>
          </w:tcPr>
          <w:p w:rsidR="0006297A" w:rsidRPr="00645AD0" w:rsidRDefault="0006297A" w:rsidP="00676CED">
            <w:pPr>
              <w:pStyle w:val="RI07-BodyCopy95pt"/>
              <w:spacing w:before="20" w:after="20" w:line="240" w:lineRule="auto"/>
              <w:rPr>
                <w:sz w:val="18"/>
                <w:szCs w:val="18"/>
              </w:rPr>
            </w:pPr>
            <w:r w:rsidRPr="00645AD0">
              <w:rPr>
                <w:sz w:val="18"/>
                <w:szCs w:val="18"/>
              </w:rPr>
              <w:t>No</w:t>
            </w:r>
          </w:p>
        </w:tc>
        <w:tc>
          <w:tcPr>
            <w:tcW w:w="1667" w:type="pct"/>
          </w:tcPr>
          <w:p w:rsidR="0006297A" w:rsidRPr="00645AD0" w:rsidRDefault="0006297A" w:rsidP="00676CED">
            <w:pPr>
              <w:pStyle w:val="RI07-BodyCopy95pt"/>
              <w:spacing w:before="20" w:after="20" w:line="240" w:lineRule="auto"/>
              <w:rPr>
                <w:sz w:val="18"/>
                <w:szCs w:val="18"/>
              </w:rPr>
            </w:pPr>
            <w:r w:rsidRPr="00645AD0">
              <w:rPr>
                <w:sz w:val="18"/>
                <w:szCs w:val="18"/>
              </w:rPr>
              <w:t>Yes</w:t>
            </w:r>
          </w:p>
        </w:tc>
      </w:tr>
    </w:tbl>
    <w:p w:rsidR="0006297A" w:rsidRPr="00940B02" w:rsidRDefault="0006297A" w:rsidP="0006297A">
      <w:pPr>
        <w:pStyle w:val="RI07-BodyCopy95pt"/>
        <w:rPr>
          <w:sz w:val="16"/>
          <w:szCs w:val="16"/>
        </w:rPr>
      </w:pPr>
      <w:r w:rsidRPr="00E8520A">
        <w:rPr>
          <w:sz w:val="16"/>
          <w:szCs w:val="16"/>
        </w:rPr>
        <w:t>Sources: Custodian data and Fact</w:t>
      </w:r>
      <w:r>
        <w:rPr>
          <w:sz w:val="16"/>
          <w:szCs w:val="16"/>
        </w:rPr>
        <w:t>S</w:t>
      </w:r>
      <w:r w:rsidRPr="00E8520A">
        <w:rPr>
          <w:sz w:val="16"/>
          <w:szCs w:val="16"/>
        </w:rPr>
        <w:t>et</w:t>
      </w:r>
    </w:p>
    <w:p w:rsidR="0006297A" w:rsidRDefault="0006297A" w:rsidP="0006297A">
      <w:pPr>
        <w:pStyle w:val="RI07-BodyCopy95pt"/>
      </w:pPr>
    </w:p>
    <w:p w:rsidR="0006297A" w:rsidRDefault="0006297A" w:rsidP="0006297A">
      <w:pPr>
        <w:pStyle w:val="RI07-BodyCopy95pt"/>
      </w:pPr>
      <w:r w:rsidRPr="00D32180">
        <w:t>A complete list of investable countries with corresponding eligible share types can be found in the appendixes. Russell will monitor these countries and publicly pre-announce changes</w:t>
      </w:r>
      <w:r>
        <w:t xml:space="preserve"> to</w:t>
      </w:r>
      <w:r w:rsidRPr="00D32180">
        <w:t xml:space="preserve"> their eligibility. </w:t>
      </w:r>
    </w:p>
    <w:p w:rsidR="0006297A" w:rsidRDefault="0006297A" w:rsidP="0006297A">
      <w:pPr>
        <w:pStyle w:val="Heading2"/>
      </w:pPr>
      <w:bookmarkStart w:id="39" w:name="_Toc303342494"/>
      <w:bookmarkStart w:id="40" w:name="_Toc343682635"/>
      <w:r w:rsidRPr="005B4D2E">
        <w:t>No Domestic Exchange (NDE)</w:t>
      </w:r>
      <w:r>
        <w:t xml:space="preserve"> and Benefit Driven Incorporation (BDI)</w:t>
      </w:r>
      <w:r w:rsidRPr="005B4D2E">
        <w:t xml:space="preserve"> countries</w:t>
      </w:r>
      <w:bookmarkEnd w:id="39"/>
      <w:bookmarkEnd w:id="40"/>
    </w:p>
    <w:p w:rsidR="0006297A" w:rsidRDefault="0006297A" w:rsidP="0006297A">
      <w:pPr>
        <w:pStyle w:val="RI07-BodyCopy95pt"/>
      </w:pPr>
      <w:r>
        <w:t>NDE and BDI countries, as described below, are not eligible at a country level, however, securities within those countries are eligible, and if applicable, are assigned to the appropriate country.</w:t>
      </w:r>
    </w:p>
    <w:p w:rsidR="0006297A" w:rsidRPr="007766D0" w:rsidRDefault="0006297A" w:rsidP="0006297A">
      <w:pPr>
        <w:pStyle w:val="RI07-BodyCopy95pt"/>
      </w:pPr>
      <w:r w:rsidRPr="000B219D">
        <w:rPr>
          <w:b/>
        </w:rPr>
        <w:t>NDE countries:</w:t>
      </w:r>
      <w:r>
        <w:t xml:space="preserve"> </w:t>
      </w:r>
      <w:r w:rsidRPr="005B4D2E">
        <w:t xml:space="preserve">Russell recognizes that some investable companies may be incorporated in countries that do not have domestic stock exchanges or exchanges </w:t>
      </w:r>
      <w:r>
        <w:t>that</w:t>
      </w:r>
      <w:r w:rsidRPr="005B4D2E">
        <w:t xml:space="preserve"> Russell recognizes as valid.</w:t>
      </w:r>
      <w:r>
        <w:t xml:space="preserve"> </w:t>
      </w:r>
      <w:r w:rsidRPr="005B4D2E">
        <w:t>Russell assigns these companies to the countries in which their primary equity issues are traded. NDE</w:t>
      </w:r>
      <w:r>
        <w:t xml:space="preserve"> </w:t>
      </w:r>
      <w:r w:rsidRPr="005B4D2E">
        <w:t xml:space="preserve">equities are subject to all </w:t>
      </w:r>
      <w:r>
        <w:t xml:space="preserve">of </w:t>
      </w:r>
      <w:r w:rsidRPr="005B4D2E">
        <w:t>Russell</w:t>
      </w:r>
      <w:r>
        <w:t>’s</w:t>
      </w:r>
      <w:r w:rsidRPr="005B4D2E">
        <w:t xml:space="preserve"> </w:t>
      </w:r>
      <w:r>
        <w:t>i</w:t>
      </w:r>
      <w:r w:rsidRPr="005B4D2E">
        <w:t>ndex eligibility criteria.</w:t>
      </w:r>
      <w:r>
        <w:t xml:space="preserve"> </w:t>
      </w:r>
      <w:r w:rsidRPr="005B4D2E">
        <w:t xml:space="preserve">A complete list of NDE countries can be found in Appendix </w:t>
      </w:r>
      <w:r>
        <w:t>G</w:t>
      </w:r>
      <w:r w:rsidRPr="005B4D2E">
        <w:t>.</w:t>
      </w:r>
    </w:p>
    <w:p w:rsidR="0006297A" w:rsidRPr="00950216" w:rsidRDefault="0006297A" w:rsidP="0006297A">
      <w:pPr>
        <w:pStyle w:val="RI07-BodyCopy95pt"/>
      </w:pPr>
      <w:r w:rsidRPr="000B219D">
        <w:rPr>
          <w:b/>
        </w:rPr>
        <w:t>BDI countries:</w:t>
      </w:r>
      <w:r w:rsidRPr="007766D0">
        <w:t xml:space="preserve"> Incorporating in certain countries offers companies operational, tax, and </w:t>
      </w:r>
      <w:r w:rsidRPr="005B4D2E">
        <w:t>political benefits.</w:t>
      </w:r>
      <w:r>
        <w:t xml:space="preserve"> </w:t>
      </w:r>
      <w:r w:rsidRPr="005B4D2E">
        <w:t xml:space="preserve">Russell identifies these </w:t>
      </w:r>
      <w:r>
        <w:t xml:space="preserve">as </w:t>
      </w:r>
      <w:r w:rsidRPr="005B4D2E">
        <w:t>BDI countries. Companies choosing to incorporate in BDI countries are typically equity securities from other regions such as the U.S. and China that have elected to seek the tax and jurisdiction advantages available outside of their domiciles. BDI equit</w:t>
      </w:r>
      <w:r>
        <w:t>ies are subject to all of Russell’s i</w:t>
      </w:r>
      <w:r w:rsidRPr="005B4D2E">
        <w:t>ndex eligibility criteria.</w:t>
      </w:r>
      <w:r>
        <w:t xml:space="preserve"> </w:t>
      </w:r>
      <w:r w:rsidRPr="005B4D2E">
        <w:t xml:space="preserve">A complete list of BDI countries can be found in the Appendix </w:t>
      </w:r>
      <w:r>
        <w:t>G</w:t>
      </w:r>
      <w:r w:rsidRPr="005B4D2E">
        <w:t>.</w:t>
      </w:r>
      <w:r>
        <w:t xml:space="preserve"> </w:t>
      </w:r>
    </w:p>
    <w:p w:rsidR="0006297A" w:rsidRPr="00D32180" w:rsidRDefault="0006297A" w:rsidP="0006297A">
      <w:pPr>
        <w:pStyle w:val="Heading2"/>
      </w:pPr>
      <w:bookmarkStart w:id="41" w:name="_Toc217446144"/>
      <w:bookmarkStart w:id="42" w:name="_Toc220919372"/>
      <w:bookmarkStart w:id="43" w:name="_Toc303342495"/>
      <w:bookmarkStart w:id="44" w:name="_Toc343682636"/>
      <w:r w:rsidRPr="00D32180">
        <w:lastRenderedPageBreak/>
        <w:t>Universe liquidity screen</w:t>
      </w:r>
      <w:bookmarkEnd w:id="41"/>
      <w:bookmarkEnd w:id="42"/>
      <w:bookmarkEnd w:id="43"/>
      <w:bookmarkEnd w:id="44"/>
    </w:p>
    <w:p w:rsidR="0006297A" w:rsidRPr="00D32180" w:rsidRDefault="0006297A" w:rsidP="0006297A">
      <w:pPr>
        <w:pStyle w:val="RI07-BodyCopy95pt"/>
        <w:keepNext/>
        <w:keepLines/>
      </w:pPr>
      <w:r w:rsidRPr="00D32180">
        <w:t>Prior to capturing 98% of the market, Russell refines the universe of stocks to ensure investability. To be eligible for membership in the Russell Global Index (ex</w:t>
      </w:r>
      <w:r>
        <w:t>-</w:t>
      </w:r>
      <w:r w:rsidRPr="00D32180">
        <w:t xml:space="preserve">U.S.), stocks must meet minimum size and liquidity requirements. Russell removes securities with inadequate liquidity by evaluating the average daily dollar trading volume (ADDTV) and the active trading ratio (ATR). ADDTV smoothes abnormal trading volumes over short time periods and measures the actual transactions taking place in the market. ATR evaluation provides further refinement, due to the possibility that a few transactions across the year could distort the ADDTV for individual stocks. This two-step liquidity screen provides </w:t>
      </w:r>
      <w:r>
        <w:t>an</w:t>
      </w:r>
      <w:r w:rsidRPr="00D32180">
        <w:t xml:space="preserve"> accurate representation of the market and its liquidity. </w:t>
      </w:r>
    </w:p>
    <w:p w:rsidR="0006297A" w:rsidRPr="00D32180" w:rsidRDefault="0006297A" w:rsidP="0006297A">
      <w:pPr>
        <w:pStyle w:val="RI07-BodyCopy95pt"/>
        <w:rPr>
          <w:b/>
          <w:bCs/>
        </w:rPr>
      </w:pPr>
      <w:r w:rsidRPr="00D32180">
        <w:rPr>
          <w:b/>
          <w:bCs/>
        </w:rPr>
        <w:t xml:space="preserve">The formulas for calculating ADDTV and ATR are: </w:t>
      </w:r>
    </w:p>
    <w:p w:rsidR="0006297A" w:rsidRPr="00D32180" w:rsidRDefault="00962308" w:rsidP="0006297A">
      <w:pPr>
        <w:pStyle w:val="RI07-BodyCopy95pt"/>
        <w:ind w:left="720"/>
      </w:pPr>
      <w:r>
        <w:rPr>
          <w:noProof/>
        </w:rPr>
        <w:pict>
          <v:line id="_x0000_s1059" style="position:absolute;left:0;text-align:left;z-index:251653120" from="70.7pt,15.55pt" to="314.2pt,15.55pt" strokecolor="#5f6062">
            <w10:wrap side="left"/>
          </v:line>
        </w:pict>
      </w:r>
      <w:r w:rsidR="0006297A" w:rsidRPr="00D32180">
        <w:t xml:space="preserve">ADDTV = </w:t>
      </w:r>
      <w:r w:rsidR="0006297A" w:rsidRPr="00D32180">
        <w:tab/>
        <w:t>Annual accumulated trading volume in USD</w:t>
      </w:r>
    </w:p>
    <w:p w:rsidR="0006297A" w:rsidRPr="00D32180" w:rsidRDefault="0006297A" w:rsidP="0006297A">
      <w:pPr>
        <w:pStyle w:val="RI07-BodyCopy95pt"/>
        <w:ind w:left="1440" w:firstLine="720"/>
      </w:pPr>
      <w:r w:rsidRPr="00D32180">
        <w:t>Number of available trading days (open for trading)</w:t>
      </w:r>
    </w:p>
    <w:p w:rsidR="0006297A" w:rsidRPr="00D32180" w:rsidRDefault="0006297A" w:rsidP="0006297A">
      <w:pPr>
        <w:pStyle w:val="RI07-BodyCopy95pt"/>
        <w:ind w:left="1440" w:firstLine="720"/>
      </w:pPr>
    </w:p>
    <w:p w:rsidR="0006297A" w:rsidRPr="00D32180" w:rsidRDefault="00962308" w:rsidP="0006297A">
      <w:pPr>
        <w:pStyle w:val="RI07-BodyCopy95pt"/>
        <w:ind w:left="720"/>
      </w:pPr>
      <w:r>
        <w:rPr>
          <w:noProof/>
        </w:rPr>
        <w:pict>
          <v:line id="_x0000_s1060" style="position:absolute;left:0;text-align:left;z-index:251654144" from="70.7pt,15.55pt" to="316.45pt,15.55pt" strokecolor="#5f6062">
            <w10:wrap side="left"/>
          </v:line>
        </w:pict>
      </w:r>
      <w:r w:rsidR="0006297A" w:rsidRPr="00D32180">
        <w:t xml:space="preserve">ATR = </w:t>
      </w:r>
      <w:r w:rsidR="0006297A" w:rsidRPr="00D32180">
        <w:tab/>
      </w:r>
      <w:r w:rsidR="0006297A" w:rsidRPr="00D32180">
        <w:tab/>
        <w:t>Number of active trading days (minimum 1 share traded)</w:t>
      </w:r>
    </w:p>
    <w:p w:rsidR="0006297A" w:rsidRPr="00D32180" w:rsidRDefault="0006297A" w:rsidP="0006297A">
      <w:pPr>
        <w:pStyle w:val="RI07-BodyCopy95pt"/>
        <w:ind w:left="1440" w:firstLine="720"/>
      </w:pPr>
      <w:r w:rsidRPr="00D32180">
        <w:t>Number of available trading days (open for trading)</w:t>
      </w:r>
    </w:p>
    <w:p w:rsidR="0006297A" w:rsidRPr="00D32180" w:rsidRDefault="0006297A" w:rsidP="0006297A">
      <w:pPr>
        <w:pStyle w:val="RI07-BodyCopy95pt"/>
      </w:pPr>
      <w:r w:rsidRPr="00A347B2">
        <w:t>All securities in investable countries with eligible share types are ranked by ADDTV. At reconstitution, securities with an above-median ADDTV and greater than 90% ATR are eligible for inclusion in the index.</w:t>
      </w:r>
      <w:r>
        <w:t xml:space="preserve"> </w:t>
      </w:r>
      <w:r w:rsidRPr="00D32180">
        <w:t>This threshold generally corresponds to the bottom 5% cumulative total market capitalization</w:t>
      </w:r>
      <w:r>
        <w:t xml:space="preserve"> of the initial security universe</w:t>
      </w:r>
      <w:r w:rsidRPr="00D32180">
        <w:t>, in descending order of ADDTV.</w:t>
      </w:r>
      <w:r w:rsidRPr="00A347B2">
        <w:t xml:space="preserve"> U.S. securities are not subject to this liquidity screen.</w:t>
      </w:r>
      <w:r>
        <w:t xml:space="preserve"> See Appendix I for historical median ADDTV. </w:t>
      </w:r>
    </w:p>
    <w:p w:rsidR="0006297A" w:rsidRPr="00D32180" w:rsidRDefault="0006297A" w:rsidP="0006297A">
      <w:pPr>
        <w:pStyle w:val="Heading2"/>
      </w:pPr>
      <w:bookmarkStart w:id="45" w:name="_Toc217446145"/>
      <w:bookmarkStart w:id="46" w:name="_Toc220919373"/>
      <w:bookmarkStart w:id="47" w:name="_Toc303342496"/>
      <w:bookmarkStart w:id="48" w:name="_Toc343682637"/>
      <w:r w:rsidRPr="00D32180">
        <w:t>Capturing 98% of the eligible universe</w:t>
      </w:r>
      <w:bookmarkEnd w:id="45"/>
      <w:bookmarkEnd w:id="46"/>
      <w:bookmarkEnd w:id="47"/>
      <w:bookmarkEnd w:id="48"/>
    </w:p>
    <w:p w:rsidR="0006297A" w:rsidRPr="00D32180" w:rsidRDefault="0006297A" w:rsidP="0006297A">
      <w:pPr>
        <w:pStyle w:val="RI07-BodyCopy95pt"/>
      </w:pPr>
      <w:r w:rsidRPr="00D32180">
        <w:t xml:space="preserve">Following completion of the minimal universe refinements listed above, Russell assigns stocks to individual countries according to a process described in Section 3, “Assigning </w:t>
      </w:r>
      <w:r>
        <w:t>s</w:t>
      </w:r>
      <w:r w:rsidRPr="00D32180">
        <w:t xml:space="preserve">ecurities to </w:t>
      </w:r>
      <w:r>
        <w:t>c</w:t>
      </w:r>
      <w:r w:rsidRPr="00D32180">
        <w:t>ountries.” The Russell Global Index is composed of</w:t>
      </w:r>
      <w:r w:rsidRPr="00024BDF">
        <w:t xml:space="preserve"> the Russell 3000 Index, which captures 98% of the U.S. equity universe</w:t>
      </w:r>
      <w:r>
        <w:t xml:space="preserve">, </w:t>
      </w:r>
      <w:r w:rsidRPr="00024BDF">
        <w:t>and the largest 98% of the re</w:t>
      </w:r>
      <w:r>
        <w:t>st of the global</w:t>
      </w:r>
      <w:r w:rsidRPr="00D32180">
        <w:t xml:space="preserve"> equity universe. </w:t>
      </w:r>
    </w:p>
    <w:p w:rsidR="0006297A" w:rsidRPr="007132EF" w:rsidRDefault="0006297A" w:rsidP="0006297A">
      <w:pPr>
        <w:pStyle w:val="RI07-BodyCopy95pt"/>
      </w:pPr>
      <w:r w:rsidRPr="00D32180">
        <w:t>Additionally, a number of investable countries are eligible for the Russell Global Index</w:t>
      </w:r>
      <w:r>
        <w:t xml:space="preserve"> but are not included in the index because either the </w:t>
      </w:r>
      <w:r w:rsidRPr="00D32180">
        <w:t xml:space="preserve">securities in those markets </w:t>
      </w:r>
      <w:r>
        <w:t>are</w:t>
      </w:r>
      <w:r w:rsidRPr="00D32180">
        <w:t xml:space="preserve"> too small </w:t>
      </w:r>
      <w:r>
        <w:t xml:space="preserve">or too illiquid </w:t>
      </w:r>
      <w:r w:rsidRPr="00D32180">
        <w:t>to be included in the index</w:t>
      </w:r>
      <w:r>
        <w:t>, or the countries do not reach critical mass (see “Countries without critical mass” in Section 4: “Russell Global Index membership”)</w:t>
      </w:r>
      <w:r w:rsidRPr="00D32180">
        <w:t xml:space="preserve">. </w:t>
      </w:r>
    </w:p>
    <w:p w:rsidR="0006297A" w:rsidRPr="00D32180" w:rsidRDefault="0006297A" w:rsidP="0006297A">
      <w:pPr>
        <w:pStyle w:val="RI07-BodyCopy95pt"/>
      </w:pPr>
      <w:r w:rsidRPr="007132EF">
        <w:t xml:space="preserve">Russell evaluates more than 150 countries at reconstitution each year for potential index eligibility. Index maintenance applies </w:t>
      </w:r>
      <w:r>
        <w:t xml:space="preserve">only </w:t>
      </w:r>
      <w:r w:rsidRPr="007132EF">
        <w:t>to countries covered by the Russell Global Index as of the most recent reconstitution.</w:t>
      </w:r>
    </w:p>
    <w:p w:rsidR="0006297A" w:rsidRPr="00D32180" w:rsidRDefault="0006297A" w:rsidP="0006297A">
      <w:pPr>
        <w:pStyle w:val="RI07-BodyCopy95pt"/>
      </w:pPr>
    </w:p>
    <w:p w:rsidR="0006297A" w:rsidRPr="00D32180" w:rsidRDefault="0006297A" w:rsidP="0006297A">
      <w:pPr>
        <w:pStyle w:val="RI07-BodyCopy95pt"/>
        <w:sectPr w:rsidR="0006297A" w:rsidRPr="00D32180" w:rsidSect="00676CED">
          <w:headerReference w:type="default" r:id="rId27"/>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lastRenderedPageBreak/>
        <w:t>Section 3</w:t>
      </w:r>
    </w:p>
    <w:p w:rsidR="0006297A" w:rsidRPr="00D32180" w:rsidRDefault="0006297A" w:rsidP="0006297A">
      <w:pPr>
        <w:pStyle w:val="Heading1"/>
      </w:pPr>
      <w:bookmarkStart w:id="49" w:name="_Toc217446146"/>
      <w:bookmarkStart w:id="50" w:name="_Toc220919374"/>
      <w:bookmarkStart w:id="51" w:name="_Toc303342497"/>
      <w:bookmarkStart w:id="52" w:name="_Toc343682638"/>
      <w:r w:rsidRPr="00D32180">
        <w:t>Assigning securities to countries</w:t>
      </w:r>
      <w:bookmarkEnd w:id="49"/>
      <w:bookmarkEnd w:id="50"/>
      <w:bookmarkEnd w:id="51"/>
      <w:bookmarkEnd w:id="52"/>
    </w:p>
    <w:p w:rsidR="0006297A" w:rsidRPr="00D32180" w:rsidRDefault="0006297A" w:rsidP="0006297A">
      <w:pPr>
        <w:pStyle w:val="RI07-BodyCopy95pt"/>
        <w:ind w:right="-626"/>
      </w:pPr>
      <w:r w:rsidRPr="00D32180">
        <w:t>Country assignment within indexes is important because many investment strategies involve under</w:t>
      </w:r>
      <w:r>
        <w:t xml:space="preserve">weighting or </w:t>
      </w:r>
      <w:r w:rsidRPr="00D32180">
        <w:t>overweighting particular countries</w:t>
      </w:r>
      <w:r>
        <w:t>,</w:t>
      </w:r>
      <w:r w:rsidRPr="00D32180">
        <w:t xml:space="preserve"> or passive</w:t>
      </w:r>
      <w:r>
        <w:t>ly</w:t>
      </w:r>
      <w:r w:rsidRPr="00D32180">
        <w:t xml:space="preserve"> invest</w:t>
      </w:r>
      <w:r>
        <w:t>ing</w:t>
      </w:r>
      <w:r w:rsidRPr="00D32180">
        <w:t xml:space="preserve"> </w:t>
      </w:r>
      <w:r>
        <w:t>within the</w:t>
      </w:r>
      <w:r w:rsidRPr="00D32180">
        <w:t xml:space="preserve"> countries. Indexes provide the market weighting for the strategic weighting decision and</w:t>
      </w:r>
      <w:r>
        <w:t xml:space="preserve"> serve as </w:t>
      </w:r>
      <w:r w:rsidRPr="00D32180">
        <w:t xml:space="preserve">the performance benchmark for evaluating the results. In most cases, country assignment is straightforward. However, some differences and complexities in the global equity environment warrant specific attention and rules. </w:t>
      </w:r>
      <w:r>
        <w:t>Russell’s</w:t>
      </w:r>
      <w:r w:rsidRPr="00D32180">
        <w:t xml:space="preserve"> fundamental country-assignment rule is described below</w:t>
      </w:r>
      <w:r>
        <w:t>.</w:t>
      </w:r>
    </w:p>
    <w:p w:rsidR="0006297A" w:rsidRPr="00D32180" w:rsidRDefault="0006297A" w:rsidP="0006297A">
      <w:pPr>
        <w:pStyle w:val="Heading2"/>
      </w:pPr>
      <w:bookmarkStart w:id="53" w:name="_Toc217446147"/>
      <w:bookmarkStart w:id="54" w:name="_Toc220919375"/>
      <w:bookmarkStart w:id="55" w:name="_Toc303342498"/>
      <w:bookmarkStart w:id="56" w:name="_Toc343682639"/>
      <w:r w:rsidRPr="00D32180">
        <w:t>Home</w:t>
      </w:r>
      <w:r>
        <w:t xml:space="preserve"> </w:t>
      </w:r>
      <w:r w:rsidRPr="00D32180">
        <w:t>country indicators</w:t>
      </w:r>
      <w:bookmarkEnd w:id="53"/>
      <w:bookmarkEnd w:id="54"/>
      <w:r>
        <w:t xml:space="preserve"> (HCIs)</w:t>
      </w:r>
      <w:bookmarkEnd w:id="55"/>
      <w:bookmarkEnd w:id="56"/>
    </w:p>
    <w:p w:rsidR="0006297A" w:rsidRDefault="0006297A" w:rsidP="0006297A">
      <w:pPr>
        <w:pStyle w:val="RI07-BodyCopy95pt"/>
      </w:pPr>
      <w:r>
        <w:t xml:space="preserve">If </w:t>
      </w:r>
      <w:r w:rsidRPr="00893693">
        <w:t>a company incorporates</w:t>
      </w:r>
      <w:r>
        <w:t xml:space="preserve"> in</w:t>
      </w:r>
      <w:r w:rsidRPr="00893693">
        <w:t>,</w:t>
      </w:r>
      <w:r>
        <w:t xml:space="preserve"> has a stated</w:t>
      </w:r>
      <w:r w:rsidRPr="00893693">
        <w:t xml:space="preserve"> headquarter</w:t>
      </w:r>
      <w:r>
        <w:t xml:space="preserve">s location in, </w:t>
      </w:r>
      <w:r w:rsidRPr="00893693">
        <w:t xml:space="preserve">and also trades </w:t>
      </w:r>
      <w:r>
        <w:t>in</w:t>
      </w:r>
      <w:r w:rsidRPr="00893693">
        <w:t xml:space="preserve"> the same country</w:t>
      </w:r>
      <w:r>
        <w:t>, (ADRs and ADSs are not eligible)</w:t>
      </w:r>
      <w:r w:rsidRPr="00893693">
        <w:t>, the company is assigned to its country of incorporation</w:t>
      </w:r>
      <w:r>
        <w:t xml:space="preserve">. If any of the three criteria do not match, </w:t>
      </w:r>
      <w:r w:rsidRPr="00893693">
        <w:t xml:space="preserve">Russell </w:t>
      </w:r>
      <w:r>
        <w:t xml:space="preserve">then </w:t>
      </w:r>
      <w:r w:rsidRPr="00893693">
        <w:t>defi</w:t>
      </w:r>
      <w:r>
        <w:t xml:space="preserve">nes three home country indicators (HCIs): </w:t>
      </w:r>
    </w:p>
    <w:p w:rsidR="0006297A" w:rsidRDefault="0006297A" w:rsidP="00676CED">
      <w:pPr>
        <w:pStyle w:val="RI07-BodyCopy95pt"/>
        <w:numPr>
          <w:ilvl w:val="0"/>
          <w:numId w:val="30"/>
        </w:numPr>
        <w:ind w:right="-266"/>
      </w:pPr>
      <w:r>
        <w:t>Country of incorporation</w:t>
      </w:r>
    </w:p>
    <w:p w:rsidR="0006297A" w:rsidRDefault="0006297A" w:rsidP="00676CED">
      <w:pPr>
        <w:pStyle w:val="RI07-BodyCopy95pt"/>
        <w:numPr>
          <w:ilvl w:val="0"/>
          <w:numId w:val="30"/>
        </w:numPr>
        <w:ind w:right="-266"/>
      </w:pPr>
      <w:r>
        <w:t>Country of headquarters</w:t>
      </w:r>
    </w:p>
    <w:p w:rsidR="0006297A" w:rsidRDefault="0006297A" w:rsidP="00676CED">
      <w:pPr>
        <w:pStyle w:val="RI07-BodyCopy95pt"/>
        <w:numPr>
          <w:ilvl w:val="0"/>
          <w:numId w:val="30"/>
        </w:numPr>
        <w:ind w:right="-266"/>
      </w:pPr>
      <w:r>
        <w:t>C</w:t>
      </w:r>
      <w:r w:rsidRPr="00893693">
        <w:t xml:space="preserve">ountry of the most liquid exchange as defined by 2-year </w:t>
      </w:r>
      <w:r>
        <w:t xml:space="preserve">average daily dollar trading volume (ADDTV) </w:t>
      </w:r>
    </w:p>
    <w:p w:rsidR="0006297A" w:rsidRDefault="0006297A" w:rsidP="0006297A">
      <w:pPr>
        <w:pStyle w:val="RI07-BodyCopy95pt"/>
      </w:pPr>
      <w:r w:rsidRPr="00893693">
        <w:t>R</w:t>
      </w:r>
      <w:r w:rsidRPr="00EC795D">
        <w:t xml:space="preserve">ussell cross-compares the primary location of the company’s assets with the HCIs. If the primary location of assets matches ANY of the HCIs, then the company is assigned to its primary asset location. </w:t>
      </w:r>
    </w:p>
    <w:p w:rsidR="0006297A" w:rsidRDefault="0006297A" w:rsidP="0006297A">
      <w:pPr>
        <w:pStyle w:val="RI07-BodyCopy95pt"/>
      </w:pPr>
      <w:r>
        <w:t>I</w:t>
      </w:r>
      <w:r w:rsidRPr="00EC795D">
        <w:t xml:space="preserve">f there is not enough information to </w:t>
      </w:r>
      <w:r>
        <w:t>determine</w:t>
      </w:r>
      <w:r w:rsidRPr="00EC795D">
        <w:t xml:space="preserve"> a company’s primary country of assets</w:t>
      </w:r>
      <w:r>
        <w:t xml:space="preserve"> </w:t>
      </w:r>
      <w:r w:rsidRPr="00EC795D">
        <w:t xml:space="preserve">(as illustrated in </w:t>
      </w:r>
      <w:hyperlink w:anchor="_Country_assignment_methodology" w:history="1">
        <w:r w:rsidRPr="003D1D45">
          <w:rPr>
            <w:rStyle w:val="Hyperlink"/>
            <w:color w:val="7F7F7F"/>
          </w:rPr>
          <w:t>Appendix H</w:t>
        </w:r>
      </w:hyperlink>
      <w:r w:rsidRPr="00EC795D">
        <w:t xml:space="preserve">), </w:t>
      </w:r>
      <w:r>
        <w:t xml:space="preserve">Russell </w:t>
      </w:r>
      <w:r w:rsidRPr="00EC795D">
        <w:t>use</w:t>
      </w:r>
      <w:r>
        <w:t>s</w:t>
      </w:r>
      <w:r w:rsidRPr="00EC795D">
        <w:t xml:space="preserve"> the primary location of the company’s revenue for the same cross-comparison and assign</w:t>
      </w:r>
      <w:r>
        <w:t>s</w:t>
      </w:r>
      <w:r w:rsidRPr="00EC795D">
        <w:t xml:space="preserve"> the company to its home country in a similar fashion. </w:t>
      </w:r>
      <w:r>
        <w:t xml:space="preserve">Russell uses an average of two years of assets or revenue data for analysis to reduce potential turnover. </w:t>
      </w:r>
    </w:p>
    <w:p w:rsidR="0006297A" w:rsidRDefault="0006297A" w:rsidP="0006297A">
      <w:pPr>
        <w:pStyle w:val="RI07-BodyCopy95pt"/>
      </w:pPr>
      <w:r w:rsidRPr="00893693">
        <w:t>If</w:t>
      </w:r>
      <w:r>
        <w:t xml:space="preserve"> home</w:t>
      </w:r>
      <w:r w:rsidRPr="00893693">
        <w:t xml:space="preserve"> country can</w:t>
      </w:r>
      <w:r>
        <w:t xml:space="preserve">not </w:t>
      </w:r>
      <w:r w:rsidRPr="00893693">
        <w:t xml:space="preserve">be derived </w:t>
      </w:r>
      <w:r>
        <w:t>using</w:t>
      </w:r>
      <w:r w:rsidRPr="00893693">
        <w:t xml:space="preserve"> assets or revenue, </w:t>
      </w:r>
      <w:r>
        <w:t>Russell</w:t>
      </w:r>
      <w:r w:rsidRPr="00893693">
        <w:t xml:space="preserve"> assign</w:t>
      </w:r>
      <w:r>
        <w:t>s</w:t>
      </w:r>
      <w:r w:rsidRPr="00893693">
        <w:t xml:space="preserve"> the company to the country </w:t>
      </w:r>
      <w:r>
        <w:t>in which</w:t>
      </w:r>
      <w:r w:rsidRPr="00893693">
        <w:t xml:space="preserve"> its headquarters are located unless the country is </w:t>
      </w:r>
      <w:r>
        <w:t>a Benefit Driven Incorporation (BDI) country. If this is the case,</w:t>
      </w:r>
      <w:r w:rsidRPr="00893693">
        <w:t xml:space="preserve"> the company</w:t>
      </w:r>
      <w:r>
        <w:t xml:space="preserve"> is</w:t>
      </w:r>
      <w:r w:rsidRPr="00893693">
        <w:t xml:space="preserve"> assigned to the country of its most liquid stock exchange.</w:t>
      </w:r>
      <w:r>
        <w:t xml:space="preserve"> </w:t>
      </w:r>
    </w:p>
    <w:p w:rsidR="0006297A" w:rsidRPr="00617D1C" w:rsidRDefault="0006297A" w:rsidP="0006297A">
      <w:pPr>
        <w:spacing w:after="100" w:line="260" w:lineRule="atLeast"/>
        <w:rPr>
          <w:rFonts w:ascii="Arial" w:hAnsi="Arial"/>
          <w:color w:val="5F6062"/>
          <w:sz w:val="19"/>
        </w:rPr>
      </w:pPr>
      <w:r w:rsidRPr="00617D1C">
        <w:rPr>
          <w:rFonts w:ascii="Arial" w:hAnsi="Arial"/>
          <w:color w:val="5F6062"/>
          <w:sz w:val="19"/>
        </w:rPr>
        <w:t>Russell recognizes that the manager of a country classification-specific portfolio (</w:t>
      </w:r>
      <w:r>
        <w:rPr>
          <w:rFonts w:ascii="Arial" w:hAnsi="Arial"/>
          <w:color w:val="5F6062"/>
          <w:sz w:val="19"/>
        </w:rPr>
        <w:t>d</w:t>
      </w:r>
      <w:r w:rsidRPr="00617D1C">
        <w:rPr>
          <w:rFonts w:ascii="Arial" w:hAnsi="Arial"/>
          <w:color w:val="5F6062"/>
          <w:sz w:val="19"/>
        </w:rPr>
        <w:t xml:space="preserve">eveloped only or </w:t>
      </w:r>
      <w:r>
        <w:rPr>
          <w:rFonts w:ascii="Arial" w:hAnsi="Arial"/>
          <w:color w:val="5F6062"/>
          <w:sz w:val="19"/>
        </w:rPr>
        <w:t>e</w:t>
      </w:r>
      <w:r w:rsidRPr="00617D1C">
        <w:rPr>
          <w:rFonts w:ascii="Arial" w:hAnsi="Arial"/>
          <w:color w:val="5F6062"/>
          <w:sz w:val="19"/>
        </w:rPr>
        <w:t>merging only) is typically limited to trading on exchanges, and dealing in currencies, that satisfy the fund's minimum country and currency risk requirements.</w:t>
      </w:r>
      <w:r>
        <w:rPr>
          <w:rFonts w:ascii="Arial" w:hAnsi="Arial"/>
          <w:color w:val="5F6062"/>
          <w:sz w:val="19"/>
        </w:rPr>
        <w:t xml:space="preserve"> </w:t>
      </w:r>
      <w:r w:rsidRPr="00617D1C">
        <w:rPr>
          <w:rFonts w:ascii="Arial" w:hAnsi="Arial"/>
          <w:color w:val="5F6062"/>
          <w:sz w:val="19"/>
        </w:rPr>
        <w:t>Therefore, in order for a non-local listing to be eligible it must trade on an exchange in a country having an equivalent or more advanced country classification.</w:t>
      </w:r>
      <w:r>
        <w:rPr>
          <w:rFonts w:ascii="Arial" w:hAnsi="Arial"/>
          <w:color w:val="5F6062"/>
          <w:sz w:val="19"/>
        </w:rPr>
        <w:t xml:space="preserve"> </w:t>
      </w:r>
      <w:r w:rsidRPr="008E7C5E">
        <w:rPr>
          <w:rFonts w:ascii="Arial" w:hAnsi="Arial"/>
          <w:color w:val="5F6062"/>
          <w:sz w:val="19"/>
        </w:rPr>
        <w:t>In the event the primary exchange is located in a less developed market, country classification will be assigned to the country of primary exchange.</w:t>
      </w:r>
      <w:r>
        <w:rPr>
          <w:rFonts w:ascii="Arial" w:hAnsi="Arial"/>
          <w:color w:val="5F6062"/>
          <w:sz w:val="19"/>
        </w:rPr>
        <w:t xml:space="preserve"> </w:t>
      </w:r>
      <w:r w:rsidRPr="00617D1C">
        <w:rPr>
          <w:rFonts w:ascii="Arial" w:hAnsi="Arial"/>
          <w:color w:val="5F6062"/>
          <w:sz w:val="19"/>
        </w:rPr>
        <w:t xml:space="preserve">Minimum liquidity requirements apply for any security, regardless of exchange, </w:t>
      </w:r>
      <w:r>
        <w:rPr>
          <w:rFonts w:ascii="Arial" w:hAnsi="Arial"/>
          <w:color w:val="5F6062"/>
          <w:sz w:val="19"/>
        </w:rPr>
        <w:t xml:space="preserve">that is </w:t>
      </w:r>
      <w:r w:rsidRPr="00617D1C">
        <w:rPr>
          <w:rFonts w:ascii="Arial" w:hAnsi="Arial"/>
          <w:color w:val="5F6062"/>
          <w:sz w:val="19"/>
        </w:rPr>
        <w:t>under review for inclusion in the Russell Global Index.</w:t>
      </w:r>
      <w:r>
        <w:rPr>
          <w:rFonts w:ascii="Arial" w:hAnsi="Arial"/>
          <w:color w:val="5F6062"/>
          <w:sz w:val="19"/>
        </w:rPr>
        <w:t xml:space="preserve"> </w:t>
      </w:r>
    </w:p>
    <w:p w:rsidR="0006297A" w:rsidRPr="00DF2CEC" w:rsidRDefault="0006297A" w:rsidP="0006297A">
      <w:pPr>
        <w:pStyle w:val="RI07-BodyCopy95pt"/>
        <w:pageBreakBefore/>
        <w:rPr>
          <w:b/>
          <w:bCs/>
        </w:rPr>
      </w:pPr>
      <w:r w:rsidRPr="00DF2CEC">
        <w:rPr>
          <w:b/>
          <w:bCs/>
        </w:rPr>
        <w:lastRenderedPageBreak/>
        <w:t>Steps to country classification:</w:t>
      </w:r>
    </w:p>
    <w:tbl>
      <w:tblPr>
        <w:tblW w:w="5084"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658"/>
        <w:gridCol w:w="3510"/>
        <w:gridCol w:w="3696"/>
        <w:gridCol w:w="1705"/>
      </w:tblGrid>
      <w:tr w:rsidR="0006297A" w:rsidRPr="00645AD0" w:rsidTr="00676CED">
        <w:tc>
          <w:tcPr>
            <w:tcW w:w="344" w:type="pct"/>
            <w:tcMar>
              <w:left w:w="29" w:type="dxa"/>
              <w:right w:w="29" w:type="dxa"/>
            </w:tcMar>
          </w:tcPr>
          <w:p w:rsidR="0006297A" w:rsidRPr="00645AD0" w:rsidRDefault="0006297A" w:rsidP="00676CED">
            <w:pPr>
              <w:pStyle w:val="RI07-BodyCopy95pt"/>
              <w:spacing w:before="20" w:after="20" w:line="240" w:lineRule="auto"/>
              <w:jc w:val="right"/>
              <w:rPr>
                <w:b/>
                <w:bCs/>
                <w:color w:val="66AADD"/>
                <w:sz w:val="18"/>
                <w:szCs w:val="18"/>
              </w:rPr>
            </w:pPr>
            <w:r w:rsidRPr="00645AD0">
              <w:rPr>
                <w:b/>
                <w:bCs/>
                <w:color w:val="66AADD"/>
                <w:sz w:val="18"/>
                <w:szCs w:val="18"/>
              </w:rPr>
              <w:t>Step 1</w:t>
            </w:r>
          </w:p>
        </w:tc>
        <w:tc>
          <w:tcPr>
            <w:tcW w:w="1834" w:type="pct"/>
          </w:tcPr>
          <w:p w:rsidR="0006297A" w:rsidRPr="00645AD0" w:rsidRDefault="0006297A" w:rsidP="00676CED">
            <w:pPr>
              <w:pStyle w:val="RI07-BodyCopy95pt"/>
              <w:spacing w:before="20" w:after="20" w:line="240" w:lineRule="auto"/>
              <w:rPr>
                <w:b/>
                <w:bCs/>
                <w:sz w:val="18"/>
                <w:szCs w:val="18"/>
              </w:rPr>
            </w:pPr>
            <w:r w:rsidRPr="00645AD0">
              <w:rPr>
                <w:sz w:val="18"/>
                <w:szCs w:val="18"/>
              </w:rPr>
              <w:t>Is the company incorporated, traded, and headquartered in one unique country?</w:t>
            </w:r>
            <w:r w:rsidRPr="00645AD0">
              <w:rPr>
                <w:b/>
                <w:bCs/>
                <w:sz w:val="18"/>
                <w:szCs w:val="18"/>
              </w:rPr>
              <w:t xml:space="preserve"> </w:t>
            </w:r>
          </w:p>
        </w:tc>
        <w:tc>
          <w:tcPr>
            <w:tcW w:w="1931" w:type="pct"/>
          </w:tcPr>
          <w:p w:rsidR="0006297A" w:rsidRPr="00645AD0" w:rsidRDefault="0006297A" w:rsidP="00676CED">
            <w:pPr>
              <w:pStyle w:val="RI07-BodyCopy95pt"/>
              <w:spacing w:before="20" w:after="20" w:line="240" w:lineRule="auto"/>
              <w:rPr>
                <w:b/>
                <w:bCs/>
                <w:sz w:val="18"/>
                <w:szCs w:val="18"/>
              </w:rPr>
            </w:pPr>
            <w:r w:rsidRPr="00645AD0">
              <w:rPr>
                <w:b/>
                <w:bCs/>
                <w:sz w:val="18"/>
                <w:szCs w:val="18"/>
              </w:rPr>
              <w:t xml:space="preserve">YES – </w:t>
            </w:r>
          </w:p>
          <w:p w:rsidR="0006297A" w:rsidRPr="00645AD0" w:rsidRDefault="0006297A" w:rsidP="00676CED">
            <w:pPr>
              <w:pStyle w:val="RI07-BodyCopy95pt"/>
              <w:spacing w:before="20" w:after="20" w:line="240" w:lineRule="auto"/>
              <w:rPr>
                <w:b/>
                <w:bCs/>
                <w:sz w:val="18"/>
                <w:szCs w:val="18"/>
              </w:rPr>
            </w:pPr>
            <w:r w:rsidRPr="00645AD0">
              <w:rPr>
                <w:sz w:val="18"/>
                <w:szCs w:val="18"/>
              </w:rPr>
              <w:t>Classified in the unique country</w:t>
            </w:r>
          </w:p>
        </w:tc>
        <w:tc>
          <w:tcPr>
            <w:tcW w:w="891" w:type="pct"/>
          </w:tcPr>
          <w:p w:rsidR="0006297A" w:rsidRPr="00645AD0" w:rsidRDefault="0006297A" w:rsidP="00676CED">
            <w:pPr>
              <w:pStyle w:val="RI07-BodyCopy95pt"/>
              <w:spacing w:before="20" w:after="20" w:line="240" w:lineRule="auto"/>
              <w:rPr>
                <w:b/>
                <w:bCs/>
                <w:sz w:val="18"/>
                <w:szCs w:val="18"/>
              </w:rPr>
            </w:pPr>
            <w:r w:rsidRPr="00645AD0">
              <w:rPr>
                <w:b/>
                <w:bCs/>
                <w:sz w:val="18"/>
                <w:szCs w:val="18"/>
              </w:rPr>
              <w:t>NO –</w:t>
            </w:r>
          </w:p>
          <w:p w:rsidR="0006297A" w:rsidRPr="00645AD0" w:rsidRDefault="0006297A" w:rsidP="00676CED">
            <w:pPr>
              <w:pStyle w:val="RI07-BodyCopy95pt"/>
              <w:spacing w:before="20" w:after="20" w:line="240" w:lineRule="auto"/>
              <w:rPr>
                <w:b/>
                <w:bCs/>
                <w:sz w:val="18"/>
                <w:szCs w:val="18"/>
              </w:rPr>
            </w:pPr>
            <w:r w:rsidRPr="00645AD0">
              <w:rPr>
                <w:sz w:val="18"/>
                <w:szCs w:val="18"/>
              </w:rPr>
              <w:t xml:space="preserve">Move to </w:t>
            </w:r>
            <w:r>
              <w:rPr>
                <w:sz w:val="18"/>
                <w:szCs w:val="18"/>
              </w:rPr>
              <w:t>S</w:t>
            </w:r>
            <w:r w:rsidRPr="00645AD0">
              <w:rPr>
                <w:sz w:val="18"/>
                <w:szCs w:val="18"/>
              </w:rPr>
              <w:t>tep 2</w:t>
            </w:r>
          </w:p>
        </w:tc>
      </w:tr>
      <w:tr w:rsidR="0006297A" w:rsidRPr="00645AD0" w:rsidTr="00676CED">
        <w:tc>
          <w:tcPr>
            <w:tcW w:w="344" w:type="pct"/>
            <w:tcMar>
              <w:left w:w="29" w:type="dxa"/>
              <w:right w:w="29" w:type="dxa"/>
            </w:tcMar>
          </w:tcPr>
          <w:p w:rsidR="0006297A" w:rsidRPr="00645AD0" w:rsidRDefault="0006297A" w:rsidP="00676CED">
            <w:pPr>
              <w:pStyle w:val="RI07-BodyCopy95pt"/>
              <w:spacing w:before="20" w:after="20" w:line="240" w:lineRule="auto"/>
              <w:jc w:val="right"/>
              <w:rPr>
                <w:b/>
                <w:bCs/>
                <w:color w:val="66AADD"/>
                <w:sz w:val="18"/>
                <w:szCs w:val="18"/>
              </w:rPr>
            </w:pPr>
            <w:r w:rsidRPr="00645AD0">
              <w:rPr>
                <w:b/>
                <w:bCs/>
                <w:color w:val="66AADD"/>
                <w:sz w:val="18"/>
                <w:szCs w:val="18"/>
              </w:rPr>
              <w:t>Step 2</w:t>
            </w:r>
          </w:p>
        </w:tc>
        <w:tc>
          <w:tcPr>
            <w:tcW w:w="1834" w:type="pct"/>
          </w:tcPr>
          <w:p w:rsidR="0006297A" w:rsidRPr="00645AD0" w:rsidRDefault="0006297A" w:rsidP="00676CED">
            <w:pPr>
              <w:pStyle w:val="RI07-BodyCopy95pt"/>
              <w:spacing w:before="20" w:after="20" w:line="240" w:lineRule="auto"/>
              <w:rPr>
                <w:sz w:val="18"/>
                <w:szCs w:val="18"/>
              </w:rPr>
            </w:pPr>
            <w:r w:rsidRPr="00645AD0">
              <w:rPr>
                <w:sz w:val="18"/>
                <w:szCs w:val="18"/>
              </w:rPr>
              <w:t xml:space="preserve">Are the company’s reported assets primarily located in one of the HCIs? </w:t>
            </w:r>
          </w:p>
        </w:tc>
        <w:tc>
          <w:tcPr>
            <w:tcW w:w="1931" w:type="pct"/>
          </w:tcPr>
          <w:p w:rsidR="0006297A" w:rsidRPr="00645AD0" w:rsidRDefault="0006297A" w:rsidP="00676CED">
            <w:pPr>
              <w:pStyle w:val="RI07-BodyCopy95pt"/>
              <w:spacing w:before="20" w:after="20" w:line="240" w:lineRule="auto"/>
              <w:rPr>
                <w:sz w:val="18"/>
                <w:szCs w:val="18"/>
              </w:rPr>
            </w:pPr>
            <w:r w:rsidRPr="00645AD0">
              <w:rPr>
                <w:b/>
                <w:bCs/>
                <w:sz w:val="18"/>
                <w:szCs w:val="18"/>
              </w:rPr>
              <w:t>YES</w:t>
            </w:r>
            <w:r w:rsidRPr="00645AD0">
              <w:rPr>
                <w:sz w:val="18"/>
                <w:szCs w:val="18"/>
              </w:rPr>
              <w:t xml:space="preserve"> – </w:t>
            </w:r>
          </w:p>
          <w:p w:rsidR="0006297A" w:rsidRPr="00645AD0" w:rsidRDefault="0006297A" w:rsidP="00676CED">
            <w:pPr>
              <w:pStyle w:val="RI07-BodyCopy95pt"/>
              <w:spacing w:before="20" w:after="20" w:line="240" w:lineRule="auto"/>
              <w:rPr>
                <w:sz w:val="18"/>
                <w:szCs w:val="18"/>
              </w:rPr>
            </w:pPr>
            <w:r w:rsidRPr="00645AD0">
              <w:rPr>
                <w:sz w:val="18"/>
                <w:szCs w:val="18"/>
              </w:rPr>
              <w:t>Classified in the country of primary assets</w:t>
            </w:r>
          </w:p>
        </w:tc>
        <w:tc>
          <w:tcPr>
            <w:tcW w:w="891" w:type="pct"/>
          </w:tcPr>
          <w:p w:rsidR="0006297A" w:rsidRPr="00645AD0" w:rsidRDefault="0006297A" w:rsidP="00676CED">
            <w:pPr>
              <w:pStyle w:val="RI07-BodyCopy95pt"/>
              <w:spacing w:before="20" w:after="20" w:line="240" w:lineRule="auto"/>
              <w:rPr>
                <w:sz w:val="18"/>
                <w:szCs w:val="18"/>
              </w:rPr>
            </w:pPr>
            <w:r w:rsidRPr="00645AD0">
              <w:rPr>
                <w:b/>
                <w:bCs/>
                <w:sz w:val="18"/>
                <w:szCs w:val="18"/>
              </w:rPr>
              <w:t>NO</w:t>
            </w:r>
            <w:r w:rsidRPr="00645AD0">
              <w:rPr>
                <w:sz w:val="18"/>
                <w:szCs w:val="18"/>
              </w:rPr>
              <w:t xml:space="preserve"> –</w:t>
            </w:r>
          </w:p>
          <w:p w:rsidR="0006297A" w:rsidRPr="00645AD0" w:rsidRDefault="0006297A" w:rsidP="00676CED">
            <w:pPr>
              <w:pStyle w:val="RI07-BodyCopy95pt"/>
              <w:spacing w:before="20" w:after="20" w:line="240" w:lineRule="auto"/>
              <w:rPr>
                <w:sz w:val="18"/>
                <w:szCs w:val="18"/>
              </w:rPr>
            </w:pPr>
            <w:r w:rsidRPr="00645AD0">
              <w:rPr>
                <w:sz w:val="18"/>
                <w:szCs w:val="18"/>
              </w:rPr>
              <w:t xml:space="preserve">Move to </w:t>
            </w:r>
            <w:r>
              <w:rPr>
                <w:sz w:val="18"/>
                <w:szCs w:val="18"/>
              </w:rPr>
              <w:t>S</w:t>
            </w:r>
            <w:r w:rsidRPr="00645AD0">
              <w:rPr>
                <w:sz w:val="18"/>
                <w:szCs w:val="18"/>
              </w:rPr>
              <w:t>tep 3</w:t>
            </w:r>
          </w:p>
        </w:tc>
      </w:tr>
      <w:tr w:rsidR="0006297A" w:rsidRPr="00645AD0" w:rsidTr="00676CED">
        <w:tc>
          <w:tcPr>
            <w:tcW w:w="344" w:type="pct"/>
            <w:tcMar>
              <w:left w:w="29" w:type="dxa"/>
              <w:right w:w="29" w:type="dxa"/>
            </w:tcMar>
          </w:tcPr>
          <w:p w:rsidR="0006297A" w:rsidRPr="00645AD0" w:rsidRDefault="0006297A" w:rsidP="00676CED">
            <w:pPr>
              <w:pStyle w:val="RI07-BodyCopy95pt"/>
              <w:spacing w:before="20" w:after="20" w:line="240" w:lineRule="auto"/>
              <w:jc w:val="right"/>
              <w:rPr>
                <w:b/>
                <w:bCs/>
                <w:color w:val="66AADD"/>
                <w:sz w:val="18"/>
                <w:szCs w:val="18"/>
              </w:rPr>
            </w:pPr>
            <w:r w:rsidRPr="00645AD0">
              <w:rPr>
                <w:b/>
                <w:bCs/>
                <w:color w:val="66AADD"/>
                <w:sz w:val="18"/>
                <w:szCs w:val="18"/>
              </w:rPr>
              <w:t>Step 3</w:t>
            </w:r>
          </w:p>
        </w:tc>
        <w:tc>
          <w:tcPr>
            <w:tcW w:w="1834" w:type="pct"/>
          </w:tcPr>
          <w:p w:rsidR="0006297A" w:rsidRPr="00645AD0" w:rsidRDefault="0006297A" w:rsidP="00676CED">
            <w:pPr>
              <w:pStyle w:val="RI07-BodyCopy95pt"/>
              <w:spacing w:before="20" w:after="20" w:line="240" w:lineRule="auto"/>
              <w:rPr>
                <w:sz w:val="18"/>
                <w:szCs w:val="18"/>
              </w:rPr>
            </w:pPr>
            <w:r w:rsidRPr="00645AD0">
              <w:rPr>
                <w:sz w:val="18"/>
                <w:szCs w:val="18"/>
              </w:rPr>
              <w:t xml:space="preserve">Are the company’s reported revenues primarily located in one of the HCIs? </w:t>
            </w:r>
          </w:p>
        </w:tc>
        <w:tc>
          <w:tcPr>
            <w:tcW w:w="1931" w:type="pct"/>
          </w:tcPr>
          <w:p w:rsidR="0006297A" w:rsidRPr="00645AD0" w:rsidRDefault="0006297A" w:rsidP="00676CED">
            <w:pPr>
              <w:pStyle w:val="RI07-BodyCopy95pt"/>
              <w:spacing w:before="20" w:after="20" w:line="240" w:lineRule="auto"/>
              <w:rPr>
                <w:sz w:val="18"/>
                <w:szCs w:val="18"/>
              </w:rPr>
            </w:pPr>
            <w:r w:rsidRPr="00645AD0">
              <w:rPr>
                <w:b/>
                <w:bCs/>
                <w:sz w:val="18"/>
                <w:szCs w:val="18"/>
              </w:rPr>
              <w:t>YES</w:t>
            </w:r>
            <w:r w:rsidRPr="00645AD0">
              <w:rPr>
                <w:sz w:val="18"/>
                <w:szCs w:val="18"/>
              </w:rPr>
              <w:t xml:space="preserve"> – </w:t>
            </w:r>
          </w:p>
          <w:p w:rsidR="0006297A" w:rsidRPr="00645AD0" w:rsidRDefault="0006297A" w:rsidP="00676CED">
            <w:pPr>
              <w:pStyle w:val="RI07-BodyCopy95pt"/>
              <w:spacing w:before="20" w:after="20" w:line="240" w:lineRule="auto"/>
              <w:rPr>
                <w:sz w:val="18"/>
                <w:szCs w:val="18"/>
              </w:rPr>
            </w:pPr>
            <w:r w:rsidRPr="00645AD0">
              <w:rPr>
                <w:sz w:val="18"/>
                <w:szCs w:val="18"/>
              </w:rPr>
              <w:t>Classified in the country of primary revenue</w:t>
            </w:r>
          </w:p>
        </w:tc>
        <w:tc>
          <w:tcPr>
            <w:tcW w:w="891" w:type="pct"/>
          </w:tcPr>
          <w:p w:rsidR="0006297A" w:rsidRPr="00645AD0" w:rsidRDefault="0006297A" w:rsidP="00676CED">
            <w:pPr>
              <w:pStyle w:val="RI07-BodyCopy95pt"/>
              <w:spacing w:before="20" w:after="20" w:line="240" w:lineRule="auto"/>
              <w:rPr>
                <w:sz w:val="18"/>
                <w:szCs w:val="18"/>
              </w:rPr>
            </w:pPr>
            <w:r w:rsidRPr="00645AD0">
              <w:rPr>
                <w:b/>
                <w:bCs/>
                <w:sz w:val="18"/>
                <w:szCs w:val="18"/>
              </w:rPr>
              <w:t>NO</w:t>
            </w:r>
            <w:r w:rsidRPr="00645AD0">
              <w:rPr>
                <w:sz w:val="18"/>
                <w:szCs w:val="18"/>
              </w:rPr>
              <w:t xml:space="preserve"> –</w:t>
            </w:r>
          </w:p>
          <w:p w:rsidR="0006297A" w:rsidRPr="00645AD0" w:rsidRDefault="0006297A" w:rsidP="00676CED">
            <w:pPr>
              <w:pStyle w:val="RI07-BodyCopy95pt"/>
              <w:spacing w:before="20" w:after="20" w:line="240" w:lineRule="auto"/>
              <w:rPr>
                <w:sz w:val="18"/>
                <w:szCs w:val="18"/>
              </w:rPr>
            </w:pPr>
            <w:r w:rsidRPr="00645AD0">
              <w:rPr>
                <w:sz w:val="18"/>
                <w:szCs w:val="18"/>
              </w:rPr>
              <w:t>Move to Step 4</w:t>
            </w:r>
          </w:p>
        </w:tc>
      </w:tr>
      <w:tr w:rsidR="0006297A" w:rsidRPr="00645AD0" w:rsidTr="00676CED">
        <w:tc>
          <w:tcPr>
            <w:tcW w:w="344" w:type="pct"/>
            <w:tcMar>
              <w:left w:w="29" w:type="dxa"/>
              <w:right w:w="29" w:type="dxa"/>
            </w:tcMar>
          </w:tcPr>
          <w:p w:rsidR="0006297A" w:rsidRPr="00645AD0" w:rsidRDefault="0006297A" w:rsidP="00676CED">
            <w:pPr>
              <w:pStyle w:val="RI07-BodyCopy95pt"/>
              <w:spacing w:before="20" w:after="20" w:line="240" w:lineRule="auto"/>
              <w:jc w:val="right"/>
              <w:rPr>
                <w:b/>
                <w:bCs/>
                <w:color w:val="66AADD"/>
                <w:sz w:val="18"/>
                <w:szCs w:val="18"/>
              </w:rPr>
            </w:pPr>
            <w:r w:rsidRPr="00645AD0">
              <w:rPr>
                <w:b/>
                <w:bCs/>
                <w:color w:val="66AADD"/>
                <w:sz w:val="18"/>
                <w:szCs w:val="18"/>
              </w:rPr>
              <w:t>Step 4</w:t>
            </w:r>
          </w:p>
        </w:tc>
        <w:tc>
          <w:tcPr>
            <w:tcW w:w="1834" w:type="pct"/>
          </w:tcPr>
          <w:p w:rsidR="0006297A" w:rsidRPr="00645AD0" w:rsidRDefault="0006297A" w:rsidP="00676CED">
            <w:pPr>
              <w:pStyle w:val="RI07-BodyCopy95pt"/>
              <w:spacing w:before="20" w:after="20" w:line="240" w:lineRule="auto"/>
              <w:rPr>
                <w:sz w:val="18"/>
                <w:szCs w:val="18"/>
              </w:rPr>
            </w:pPr>
            <w:r w:rsidRPr="00645AD0">
              <w:rPr>
                <w:sz w:val="18"/>
                <w:szCs w:val="18"/>
              </w:rPr>
              <w:t>Is the company’s headquarters located in a non-BDI country?</w:t>
            </w:r>
          </w:p>
        </w:tc>
        <w:tc>
          <w:tcPr>
            <w:tcW w:w="1931" w:type="pct"/>
          </w:tcPr>
          <w:p w:rsidR="0006297A" w:rsidRPr="00645AD0" w:rsidRDefault="0006297A" w:rsidP="00676CED">
            <w:pPr>
              <w:pStyle w:val="RI07-BodyCopy95pt"/>
              <w:spacing w:before="20" w:after="20" w:line="240" w:lineRule="auto"/>
              <w:rPr>
                <w:sz w:val="18"/>
                <w:szCs w:val="18"/>
              </w:rPr>
            </w:pPr>
            <w:r w:rsidRPr="00645AD0">
              <w:rPr>
                <w:b/>
                <w:bCs/>
                <w:sz w:val="18"/>
                <w:szCs w:val="18"/>
              </w:rPr>
              <w:t>YES</w:t>
            </w:r>
            <w:r w:rsidRPr="00645AD0">
              <w:rPr>
                <w:sz w:val="18"/>
                <w:szCs w:val="18"/>
              </w:rPr>
              <w:t xml:space="preserve"> – </w:t>
            </w:r>
          </w:p>
          <w:p w:rsidR="0006297A" w:rsidRPr="00645AD0" w:rsidRDefault="0006297A" w:rsidP="00676CED">
            <w:pPr>
              <w:pStyle w:val="RI07-BodyCopy95pt"/>
              <w:spacing w:before="20" w:after="20" w:line="240" w:lineRule="auto"/>
              <w:rPr>
                <w:sz w:val="18"/>
                <w:szCs w:val="18"/>
              </w:rPr>
            </w:pPr>
            <w:r w:rsidRPr="00645AD0">
              <w:rPr>
                <w:sz w:val="18"/>
                <w:szCs w:val="18"/>
              </w:rPr>
              <w:t>Classified in the country of headquarters</w:t>
            </w:r>
          </w:p>
        </w:tc>
        <w:tc>
          <w:tcPr>
            <w:tcW w:w="891" w:type="pct"/>
          </w:tcPr>
          <w:p w:rsidR="0006297A" w:rsidRPr="00645AD0" w:rsidRDefault="0006297A" w:rsidP="00676CED">
            <w:pPr>
              <w:pStyle w:val="RI07-BodyCopy95pt"/>
              <w:spacing w:before="20" w:after="20" w:line="240" w:lineRule="auto"/>
              <w:rPr>
                <w:sz w:val="18"/>
                <w:szCs w:val="18"/>
              </w:rPr>
            </w:pPr>
            <w:r w:rsidRPr="00645AD0">
              <w:rPr>
                <w:b/>
                <w:bCs/>
                <w:sz w:val="18"/>
                <w:szCs w:val="18"/>
              </w:rPr>
              <w:t>NO</w:t>
            </w:r>
            <w:r w:rsidRPr="00645AD0">
              <w:rPr>
                <w:sz w:val="18"/>
                <w:szCs w:val="18"/>
              </w:rPr>
              <w:t xml:space="preserve"> –</w:t>
            </w:r>
          </w:p>
          <w:p w:rsidR="0006297A" w:rsidRPr="00645AD0" w:rsidRDefault="0006297A" w:rsidP="00676CED">
            <w:pPr>
              <w:pStyle w:val="RI07-BodyCopy95pt"/>
              <w:spacing w:before="20" w:after="20" w:line="240" w:lineRule="auto"/>
              <w:rPr>
                <w:sz w:val="18"/>
                <w:szCs w:val="18"/>
              </w:rPr>
            </w:pPr>
            <w:r w:rsidRPr="00645AD0">
              <w:rPr>
                <w:sz w:val="18"/>
                <w:szCs w:val="18"/>
              </w:rPr>
              <w:t>Assign to primary exchange country</w:t>
            </w:r>
          </w:p>
        </w:tc>
      </w:tr>
    </w:tbl>
    <w:p w:rsidR="0006297A" w:rsidRDefault="0006297A" w:rsidP="0006297A">
      <w:pPr>
        <w:pStyle w:val="RI07-BodyCopy95pt"/>
      </w:pPr>
    </w:p>
    <w:p w:rsidR="0006297A" w:rsidRDefault="0006297A" w:rsidP="0006297A">
      <w:pPr>
        <w:pStyle w:val="RI07-BodyCopy95pt"/>
      </w:pPr>
      <w:r>
        <w:t xml:space="preserve">In addition, due to legacy, there </w:t>
      </w:r>
      <w:r w:rsidRPr="00D32180">
        <w:t>are some individual security exceptions to this rule</w:t>
      </w:r>
      <w:r>
        <w:t>.</w:t>
      </w:r>
      <w:r w:rsidRPr="00D32180">
        <w:t xml:space="preserve"> </w:t>
      </w:r>
    </w:p>
    <w:p w:rsidR="0006297A" w:rsidRPr="000819BD" w:rsidRDefault="0006297A" w:rsidP="0006297A">
      <w:pPr>
        <w:pStyle w:val="RI07-BodyCopy95pt"/>
      </w:pPr>
      <w:r w:rsidRPr="000819BD">
        <w:rPr>
          <w:b/>
          <w:color w:val="5C5C5C"/>
        </w:rPr>
        <w:t>Chin</w:t>
      </w:r>
      <w:r>
        <w:rPr>
          <w:b/>
          <w:color w:val="5C5C5C"/>
        </w:rPr>
        <w:t>a</w:t>
      </w:r>
      <w:r w:rsidRPr="000819BD">
        <w:rPr>
          <w:b/>
          <w:color w:val="5C5C5C"/>
        </w:rPr>
        <w:t xml:space="preserve">/Hong Kong </w:t>
      </w:r>
      <w:r>
        <w:rPr>
          <w:b/>
          <w:color w:val="5C5C5C"/>
        </w:rPr>
        <w:t>h</w:t>
      </w:r>
      <w:r w:rsidRPr="000819BD">
        <w:rPr>
          <w:b/>
          <w:color w:val="5C5C5C"/>
        </w:rPr>
        <w:t xml:space="preserve">ome </w:t>
      </w:r>
      <w:r>
        <w:rPr>
          <w:b/>
          <w:color w:val="5C5C5C"/>
        </w:rPr>
        <w:t>c</w:t>
      </w:r>
      <w:r w:rsidRPr="000819BD">
        <w:rPr>
          <w:b/>
          <w:color w:val="5C5C5C"/>
        </w:rPr>
        <w:t xml:space="preserve">ountry </w:t>
      </w:r>
      <w:r>
        <w:rPr>
          <w:b/>
          <w:color w:val="5C5C5C"/>
        </w:rPr>
        <w:t>i</w:t>
      </w:r>
      <w:r w:rsidRPr="000819BD">
        <w:rPr>
          <w:b/>
          <w:color w:val="5C5C5C"/>
        </w:rPr>
        <w:t>ndicators</w:t>
      </w:r>
      <w:r w:rsidRPr="000819BD">
        <w:rPr>
          <w:color w:val="5C5C5C"/>
        </w:rPr>
        <w:t xml:space="preserve">: </w:t>
      </w:r>
      <w:r w:rsidRPr="000819BD">
        <w:t xml:space="preserve">If a company is assigned to China or </w:t>
      </w:r>
      <w:r>
        <w:t xml:space="preserve">to the </w:t>
      </w:r>
      <w:r w:rsidRPr="000819BD">
        <w:t xml:space="preserve">Hong Kong Special Administrative Region (S.A.R.) based on its HCIs, it is further analyzed to determine to which country it should be assigned. For the purpose of index creation, Russell recognizes China and the Hong Kong S.A.R as two distinct investment universes. All </w:t>
      </w:r>
      <w:r>
        <w:t>”red chip”</w:t>
      </w:r>
      <w:r w:rsidRPr="000819BD">
        <w:t xml:space="preserve"> companies (as identified by the Hong Kong Stock Exchange) will be classified to China. For example, China Mobile Ltd., a state-owned red-chip company and the largest mobile phone provider in China, is a member of </w:t>
      </w:r>
      <w:r>
        <w:t xml:space="preserve">the </w:t>
      </w:r>
      <w:r w:rsidRPr="000819BD">
        <w:t>Russell China Index, despite the fact that it is incorporated and traded in Hong Kong. In addition, if one of the HCIs of a company is a BDI country, the company will be re-evaluated and assigned to its primary asset</w:t>
      </w:r>
      <w:r>
        <w:t>s</w:t>
      </w:r>
      <w:r w:rsidRPr="000819BD">
        <w:t>/revenue location. In absence of asset</w:t>
      </w:r>
      <w:r>
        <w:t>s</w:t>
      </w:r>
      <w:r w:rsidRPr="000819BD">
        <w:t xml:space="preserve">/revenue information, the company will be assigned to its headquarter location, unless the country is a BDI. In that case, the company will be assigned to its most liquid stock exchange. </w:t>
      </w:r>
      <w:bookmarkStart w:id="57" w:name="_Toc217446150"/>
      <w:bookmarkStart w:id="58" w:name="_Toc220919378"/>
    </w:p>
    <w:p w:rsidR="0006297A" w:rsidRPr="000819BD" w:rsidRDefault="0006297A" w:rsidP="0006297A">
      <w:pPr>
        <w:pStyle w:val="Heading2"/>
      </w:pPr>
      <w:bookmarkStart w:id="59" w:name="_Toc303342499"/>
      <w:bookmarkStart w:id="60" w:name="_Toc343682640"/>
      <w:r w:rsidRPr="000819BD">
        <w:t>Hong Kong</w:t>
      </w:r>
      <w:bookmarkEnd w:id="57"/>
      <w:bookmarkEnd w:id="58"/>
      <w:r w:rsidRPr="000819BD">
        <w:t>/</w:t>
      </w:r>
      <w:bookmarkStart w:id="61" w:name="_Toc217446151"/>
      <w:bookmarkStart w:id="62" w:name="_Toc220919379"/>
      <w:r w:rsidRPr="000819BD">
        <w:t>Macao</w:t>
      </w:r>
      <w:bookmarkEnd w:id="59"/>
      <w:bookmarkEnd w:id="60"/>
      <w:bookmarkEnd w:id="61"/>
      <w:bookmarkEnd w:id="62"/>
    </w:p>
    <w:p w:rsidR="0006297A" w:rsidRDefault="0006297A" w:rsidP="0006297A">
      <w:pPr>
        <w:pStyle w:val="RI07-BodyCopy95pt"/>
      </w:pPr>
      <w:r w:rsidRPr="00D32180">
        <w:t>For purpose</w:t>
      </w:r>
      <w:r>
        <w:t>s</w:t>
      </w:r>
      <w:r w:rsidRPr="00D32180">
        <w:t xml:space="preserve"> of index creation, companies </w:t>
      </w:r>
      <w:r>
        <w:t xml:space="preserve">assigned to </w:t>
      </w:r>
      <w:r w:rsidRPr="00D32180">
        <w:t xml:space="preserve">Macao are </w:t>
      </w:r>
      <w:r>
        <w:t>re-</w:t>
      </w:r>
      <w:r w:rsidRPr="00D32180">
        <w:t>assigned to Hong Kong.</w:t>
      </w:r>
    </w:p>
    <w:p w:rsidR="0006297A" w:rsidRPr="00893EF8" w:rsidRDefault="0006297A" w:rsidP="0006297A">
      <w:pPr>
        <w:pStyle w:val="Heading2"/>
      </w:pPr>
      <w:bookmarkStart w:id="63" w:name="_Toc209941596"/>
      <w:bookmarkStart w:id="64" w:name="_Toc303342500"/>
      <w:bookmarkStart w:id="65" w:name="_Toc343682641"/>
      <w:r>
        <w:t>Tax r</w:t>
      </w:r>
      <w:r w:rsidRPr="00893EF8">
        <w:t>ates</w:t>
      </w:r>
      <w:bookmarkEnd w:id="63"/>
      <w:bookmarkEnd w:id="64"/>
      <w:bookmarkEnd w:id="65"/>
    </w:p>
    <w:p w:rsidR="0006297A" w:rsidRPr="00D32180" w:rsidRDefault="0006297A" w:rsidP="0006297A">
      <w:pPr>
        <w:pStyle w:val="RI07-BodyCopy95pt"/>
      </w:pPr>
      <w:r w:rsidRPr="00893EF8">
        <w:t xml:space="preserve">Taxes are applied to dividend payments and vary according to </w:t>
      </w:r>
      <w:r>
        <w:t xml:space="preserve">a </w:t>
      </w:r>
      <w:r w:rsidRPr="00893EF8">
        <w:t>compan</w:t>
      </w:r>
      <w:r>
        <w:t>y</w:t>
      </w:r>
      <w:r w:rsidRPr="00893EF8">
        <w:t>’</w:t>
      </w:r>
      <w:r>
        <w:t>s</w:t>
      </w:r>
      <w:r w:rsidRPr="00893EF8">
        <w:t xml:space="preserve"> country </w:t>
      </w:r>
      <w:r>
        <w:t>of incorporation</w:t>
      </w:r>
      <w:r w:rsidRPr="00893EF8">
        <w:t xml:space="preserve"> within the index. The tax rate applied is the rate</w:t>
      </w:r>
      <w:r>
        <w:t xml:space="preserve"> applied</w:t>
      </w:r>
      <w:r w:rsidRPr="00893EF8">
        <w:t xml:space="preserve"> to nonresident institutions that do not benefit from taxation treaties. Tax rates are reviewed and updated quarterly.</w:t>
      </w:r>
      <w:r>
        <w:t xml:space="preserve"> Russell uses </w:t>
      </w:r>
      <w:r w:rsidRPr="009C7457">
        <w:t xml:space="preserve">Exchange Data International (Globe Tax) to determine country tax rates. </w:t>
      </w:r>
    </w:p>
    <w:p w:rsidR="0006297A" w:rsidRPr="00D32180" w:rsidRDefault="0006297A" w:rsidP="0006297A">
      <w:pPr>
        <w:pStyle w:val="RI08-95ptBullet1"/>
      </w:pPr>
    </w:p>
    <w:p w:rsidR="0006297A" w:rsidRPr="00D32180" w:rsidRDefault="0006297A" w:rsidP="0006297A">
      <w:pPr>
        <w:pStyle w:val="RI08-95ptBullet1"/>
      </w:pPr>
    </w:p>
    <w:p w:rsidR="0006297A" w:rsidRPr="00D32180" w:rsidRDefault="0006297A" w:rsidP="0006297A">
      <w:pPr>
        <w:pStyle w:val="RI08-95ptBullet1"/>
        <w:tabs>
          <w:tab w:val="num" w:pos="720"/>
        </w:tabs>
        <w:ind w:left="720" w:hanging="360"/>
        <w:sectPr w:rsidR="0006297A" w:rsidRPr="00D32180"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lastRenderedPageBreak/>
        <w:t>Section 4</w:t>
      </w:r>
    </w:p>
    <w:p w:rsidR="0006297A" w:rsidRPr="00D32180" w:rsidRDefault="0006297A" w:rsidP="0006297A">
      <w:pPr>
        <w:pStyle w:val="Heading1"/>
      </w:pPr>
      <w:bookmarkStart w:id="66" w:name="_Toc217446156"/>
      <w:bookmarkStart w:id="67" w:name="_Toc220919384"/>
      <w:bookmarkStart w:id="68" w:name="_Toc303342501"/>
      <w:bookmarkStart w:id="69" w:name="_Toc343682642"/>
      <w:r w:rsidRPr="00D32180">
        <w:t>Russell Global Index membership</w:t>
      </w:r>
      <w:bookmarkEnd w:id="66"/>
      <w:bookmarkEnd w:id="67"/>
      <w:bookmarkEnd w:id="68"/>
      <w:bookmarkEnd w:id="69"/>
    </w:p>
    <w:p w:rsidR="0006297A" w:rsidRPr="00D32180" w:rsidRDefault="0006297A" w:rsidP="0006297A">
      <w:pPr>
        <w:pStyle w:val="RI07-BodyCopy95pt"/>
      </w:pPr>
      <w:r w:rsidRPr="00D32180">
        <w:t>When the total universe has been screened as described in Section 2, and after securities have been allocated to their home countries as described in Section 3, Russell determines index membership. Russell includes the top 98% of U.S. market capitalization, the Russell 3000</w:t>
      </w:r>
      <w:r>
        <w:t>,</w:t>
      </w:r>
      <w:r w:rsidRPr="00D32180">
        <w:t xml:space="preserve"> and the top 98% of the rest of the world’s market capitalization. This index design preserves global equity market integrity and effectively relieves the overrepresentation of </w:t>
      </w:r>
      <w:r>
        <w:t xml:space="preserve">the </w:t>
      </w:r>
      <w:r w:rsidRPr="00D32180">
        <w:t xml:space="preserve">U.S. from the global perspective. Additionally, this design assures consistency between the Russell Global Index and its U.S. sub-indexes as components. </w:t>
      </w:r>
    </w:p>
    <w:p w:rsidR="0006297A" w:rsidRPr="00D32180" w:rsidRDefault="0006297A" w:rsidP="0006297A">
      <w:pPr>
        <w:pStyle w:val="RI07-BodyCopy95pt"/>
      </w:pPr>
      <w:r w:rsidRPr="00D32180">
        <w:t>The broad building blocks capturing 98%</w:t>
      </w:r>
      <w:r>
        <w:t xml:space="preserve"> or more</w:t>
      </w:r>
      <w:r w:rsidRPr="00D32180">
        <w:t xml:space="preserve"> of the investable market enable thousands of modular sub-indexes, including country, region, sector, market capitalization and style segments. Each division of the parent index provides a set of sub-indexes with no gaps and no overlaps. Additionally, each sub-index, as a stand-alone index, provides comprehensive representation of a particular subgroup of the global investment opportunity set. </w:t>
      </w:r>
    </w:p>
    <w:p w:rsidR="0006297A" w:rsidRPr="00D32180" w:rsidRDefault="0006297A" w:rsidP="0006297A">
      <w:pPr>
        <w:pStyle w:val="RI07-BodyCopy95pt"/>
        <w:ind w:left="2160"/>
        <w:rPr>
          <w:b/>
          <w:bCs/>
        </w:rPr>
      </w:pPr>
      <w:r w:rsidRPr="00D32180">
        <w:rPr>
          <w:b/>
          <w:bCs/>
        </w:rPr>
        <w:t>Global equity index design</w:t>
      </w:r>
    </w:p>
    <w:tbl>
      <w:tblPr>
        <w:tblW w:w="0" w:type="auto"/>
        <w:tblInd w:w="226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tblPr>
      <w:tblGrid>
        <w:gridCol w:w="4620"/>
        <w:gridCol w:w="510"/>
      </w:tblGrid>
      <w:tr w:rsidR="0006297A" w:rsidRPr="00D32180" w:rsidTr="00676CED">
        <w:trPr>
          <w:trHeight w:val="512"/>
        </w:trPr>
        <w:tc>
          <w:tcPr>
            <w:tcW w:w="5130" w:type="dxa"/>
            <w:gridSpan w:val="2"/>
            <w:shd w:val="clear" w:color="auto" w:fill="C6DFF2"/>
            <w:vAlign w:val="center"/>
          </w:tcPr>
          <w:p w:rsidR="0006297A" w:rsidRPr="00BF3202" w:rsidRDefault="0006297A" w:rsidP="00676CED">
            <w:pPr>
              <w:pStyle w:val="RI07-BodyCopy95pt"/>
              <w:spacing w:before="100"/>
              <w:jc w:val="center"/>
              <w:rPr>
                <w:b/>
                <w:bCs/>
                <w:sz w:val="32"/>
                <w:szCs w:val="32"/>
              </w:rPr>
            </w:pPr>
            <w:r w:rsidRPr="00BF3202">
              <w:rPr>
                <w:b/>
                <w:bCs/>
                <w:sz w:val="32"/>
                <w:szCs w:val="32"/>
              </w:rPr>
              <w:t>G L O B A L</w:t>
            </w:r>
          </w:p>
        </w:tc>
      </w:tr>
      <w:tr w:rsidR="0006297A" w:rsidRPr="00D32180" w:rsidTr="00676CED">
        <w:trPr>
          <w:gridAfter w:val="1"/>
          <w:wAfter w:w="250" w:type="dxa"/>
          <w:trHeight w:val="660"/>
        </w:trPr>
        <w:tc>
          <w:tcPr>
            <w:tcW w:w="4620" w:type="dxa"/>
            <w:shd w:val="clear" w:color="auto" w:fill="C6DFF2"/>
            <w:vAlign w:val="center"/>
          </w:tcPr>
          <w:p w:rsidR="0006297A" w:rsidRPr="00BF3202" w:rsidRDefault="0006297A" w:rsidP="00676CED">
            <w:pPr>
              <w:pStyle w:val="RI07-BodyCopy95pt"/>
              <w:jc w:val="center"/>
              <w:rPr>
                <w:b/>
                <w:bCs/>
                <w:sz w:val="20"/>
                <w:szCs w:val="20"/>
              </w:rPr>
            </w:pPr>
            <w:r w:rsidRPr="00BF3202">
              <w:rPr>
                <w:b/>
                <w:bCs/>
                <w:sz w:val="20"/>
                <w:szCs w:val="20"/>
              </w:rPr>
              <w:t>Russell 3000</w:t>
            </w:r>
          </w:p>
          <w:p w:rsidR="0006297A" w:rsidRPr="00D32180" w:rsidRDefault="0006297A" w:rsidP="00676CED">
            <w:pPr>
              <w:pStyle w:val="RI07-BodyCopy95pt"/>
              <w:jc w:val="center"/>
            </w:pPr>
            <w:r w:rsidRPr="00D32180">
              <w:t xml:space="preserve">98% of the U.S. </w:t>
            </w:r>
            <w:r>
              <w:t>m</w:t>
            </w:r>
            <w:r w:rsidRPr="00D32180">
              <w:t>arket</w:t>
            </w:r>
          </w:p>
        </w:tc>
      </w:tr>
      <w:tr w:rsidR="0006297A" w:rsidRPr="00D32180" w:rsidTr="00676CED">
        <w:trPr>
          <w:gridAfter w:val="1"/>
          <w:wAfter w:w="250" w:type="dxa"/>
          <w:trHeight w:val="777"/>
        </w:trPr>
        <w:tc>
          <w:tcPr>
            <w:tcW w:w="4620" w:type="dxa"/>
            <w:shd w:val="clear" w:color="auto" w:fill="C6DFF2"/>
            <w:vAlign w:val="center"/>
          </w:tcPr>
          <w:p w:rsidR="0006297A" w:rsidRPr="00BF3202" w:rsidRDefault="0006297A" w:rsidP="00676CED">
            <w:pPr>
              <w:pStyle w:val="RI07-BodyCopy95pt"/>
              <w:jc w:val="center"/>
              <w:rPr>
                <w:b/>
                <w:bCs/>
                <w:sz w:val="20"/>
                <w:szCs w:val="20"/>
              </w:rPr>
            </w:pPr>
            <w:r w:rsidRPr="00BF3202">
              <w:rPr>
                <w:b/>
                <w:bCs/>
                <w:sz w:val="20"/>
                <w:szCs w:val="20"/>
              </w:rPr>
              <w:t>98% of the rest of the world</w:t>
            </w:r>
          </w:p>
        </w:tc>
      </w:tr>
    </w:tbl>
    <w:p w:rsidR="0006297A" w:rsidRPr="00D32180" w:rsidRDefault="0006297A" w:rsidP="0006297A">
      <w:pPr>
        <w:pStyle w:val="RI07-BodyCopy95pt"/>
      </w:pPr>
    </w:p>
    <w:p w:rsidR="0006297A" w:rsidRPr="00D32180" w:rsidRDefault="0006297A" w:rsidP="0006297A">
      <w:pPr>
        <w:pStyle w:val="Heading2"/>
      </w:pPr>
      <w:bookmarkStart w:id="70" w:name="_Toc217446157"/>
      <w:bookmarkStart w:id="71" w:name="_Toc220919385"/>
      <w:bookmarkStart w:id="72" w:name="_Toc303342502"/>
      <w:bookmarkStart w:id="73" w:name="_Toc343682643"/>
      <w:r w:rsidRPr="00D32180">
        <w:t>Global large cap and small cap index</w:t>
      </w:r>
      <w:r>
        <w:t>es</w:t>
      </w:r>
      <w:r w:rsidRPr="00D32180">
        <w:t xml:space="preserve"> construction</w:t>
      </w:r>
      <w:bookmarkEnd w:id="70"/>
      <w:bookmarkEnd w:id="71"/>
      <w:bookmarkEnd w:id="72"/>
      <w:bookmarkEnd w:id="73"/>
    </w:p>
    <w:p w:rsidR="0006297A" w:rsidRDefault="0006297A" w:rsidP="0006297A">
      <w:pPr>
        <w:pStyle w:val="Heading2"/>
      </w:pPr>
      <w:bookmarkStart w:id="74" w:name="_Toc217446158"/>
      <w:bookmarkStart w:id="75" w:name="_Toc220919386"/>
      <w:bookmarkStart w:id="76" w:name="_Toc303342503"/>
      <w:bookmarkStart w:id="77" w:name="_Toc343682644"/>
      <w:r>
        <w:t>Research summary</w:t>
      </w:r>
      <w:bookmarkEnd w:id="74"/>
      <w:bookmarkEnd w:id="75"/>
      <w:bookmarkEnd w:id="76"/>
      <w:bookmarkEnd w:id="77"/>
    </w:p>
    <w:p w:rsidR="0006297A" w:rsidRPr="00D32180" w:rsidRDefault="0006297A" w:rsidP="0006297A">
      <w:pPr>
        <w:pStyle w:val="RI07-BodyCopy95pt"/>
      </w:pPr>
      <w:r w:rsidRPr="00D32180">
        <w:t>The need for cap-size indexes is based on a well-documented phenomenon known as the “cap-size effect.” Stated simply, it means that large stocks tend to behave like other large stocks, and small stocks tend to behave like other small stocks. Russell observed this effect in the U.S. more than 20 years ago, and the effect has been seen to prevail in global markets as well. Much research has been focused on determining an appropriate dividing point between large and small stocks, but Russell’s research has demonstrated that there is</w:t>
      </w:r>
      <w:r>
        <w:t xml:space="preserve"> no hard line between large and small.</w:t>
      </w:r>
      <w:r w:rsidRPr="00D32180">
        <w:t xml:space="preserve"> Instead, the division between large and small stocks should be established as a range</w:t>
      </w:r>
      <w:r>
        <w:t>,</w:t>
      </w:r>
      <w:r w:rsidRPr="00D32180">
        <w:t xml:space="preserve"> or “band</w:t>
      </w:r>
      <w:r>
        <w:t>.</w:t>
      </w:r>
      <w:r w:rsidRPr="00D32180">
        <w:t xml:space="preserve">” around which representative large cap and small cap indexes can be created. </w:t>
      </w:r>
    </w:p>
    <w:p w:rsidR="0006297A" w:rsidRPr="00D32180" w:rsidRDefault="0006297A" w:rsidP="0006297A">
      <w:pPr>
        <w:pStyle w:val="RI07-BodyCopy95pt"/>
      </w:pPr>
      <w:r w:rsidRPr="00D32180">
        <w:t xml:space="preserve">In addition, Russell research has demonstrated that the cap-size effect exists across regional boundaries; that is, companies of similar size tend to behave similarly regardless of </w:t>
      </w:r>
      <w:r>
        <w:t xml:space="preserve">their </w:t>
      </w:r>
      <w:r w:rsidRPr="00D32180">
        <w:t>geographic location</w:t>
      </w:r>
      <w:r>
        <w:t>s</w:t>
      </w:r>
      <w:r w:rsidRPr="00D32180">
        <w:t>. While this relationship is not equally strong across all regions (</w:t>
      </w:r>
      <w:r>
        <w:t xml:space="preserve">varying </w:t>
      </w:r>
      <w:r w:rsidRPr="00D32180">
        <w:t>particularly in emerging markets), it does appear to be increas</w:t>
      </w:r>
      <w:r>
        <w:t xml:space="preserve">ingly apparent </w:t>
      </w:r>
      <w:r w:rsidRPr="00D32180">
        <w:t xml:space="preserve">as markets continue to globalize. </w:t>
      </w:r>
    </w:p>
    <w:p w:rsidR="0006297A" w:rsidRDefault="0006297A" w:rsidP="0006297A">
      <w:pPr>
        <w:pStyle w:val="RI07-BodyCopy95pt"/>
      </w:pPr>
      <w:r w:rsidRPr="00D32180">
        <w:lastRenderedPageBreak/>
        <w:t xml:space="preserve">As a result of its research into the global cap-size effect, Russell implemented a global-relative methodology with banding when constructing </w:t>
      </w:r>
      <w:r>
        <w:t>its</w:t>
      </w:r>
      <w:r w:rsidRPr="00D32180">
        <w:t xml:space="preserve"> Global Large Cap, Globa</w:t>
      </w:r>
      <w:r>
        <w:t>l Midcap and Global Small Cap i</w:t>
      </w:r>
      <w:r w:rsidRPr="00D32180">
        <w:t>ndexes, beginning with the June 2007 reconstitution. This approach differs fundamentally from the current industry practice of determining cap size on a country-by-country basis, where companies with very different market capitalizations may be classified in the same cap-size index, or, alternatively, where companies with similar market capitalizations may be classified in different cap-size indexes simply because they are</w:t>
      </w:r>
      <w:r>
        <w:t xml:space="preserve"> located</w:t>
      </w:r>
      <w:r w:rsidRPr="00D32180">
        <w:t xml:space="preserve"> in different countries or regions. Cap-size indexes constructed by use of country-relative distinctions (whether banded or not) can generate substantial overlap when combined into broader indexes,</w:t>
      </w:r>
      <w:r>
        <w:t xml:space="preserve"> </w:t>
      </w:r>
      <w:r w:rsidRPr="00D32180">
        <w:t>reduc</w:t>
      </w:r>
      <w:r>
        <w:t>ing their ability to</w:t>
      </w:r>
      <w:r w:rsidRPr="00D32180">
        <w:t xml:space="preserve"> accurately represent</w:t>
      </w:r>
      <w:r>
        <w:t xml:space="preserve"> </w:t>
      </w:r>
      <w:r w:rsidRPr="00D32180">
        <w:t xml:space="preserve">what </w:t>
      </w:r>
      <w:r>
        <w:t xml:space="preserve">they originally </w:t>
      </w:r>
      <w:r w:rsidRPr="00D32180">
        <w:t>intended to measure.</w:t>
      </w:r>
    </w:p>
    <w:p w:rsidR="0006297A" w:rsidRPr="00D32180" w:rsidRDefault="0006297A" w:rsidP="0006297A">
      <w:pPr>
        <w:pStyle w:val="Heading2"/>
      </w:pPr>
      <w:bookmarkStart w:id="78" w:name="_Toc217446159"/>
      <w:bookmarkStart w:id="79" w:name="_Toc220919387"/>
      <w:bookmarkStart w:id="80" w:name="_Toc303342504"/>
      <w:bookmarkStart w:id="81" w:name="_Toc343682645"/>
      <w:r w:rsidRPr="00D32180">
        <w:t>Construction rules</w:t>
      </w:r>
      <w:bookmarkEnd w:id="78"/>
      <w:bookmarkEnd w:id="79"/>
      <w:bookmarkEnd w:id="80"/>
      <w:bookmarkEnd w:id="81"/>
    </w:p>
    <w:p w:rsidR="0006297A" w:rsidRPr="00D32180" w:rsidRDefault="0006297A" w:rsidP="0006297A">
      <w:pPr>
        <w:pStyle w:val="RI07-BodyCopy95pt"/>
      </w:pPr>
      <w:r w:rsidRPr="00D32180">
        <w:t xml:space="preserve">At reconstitution, all companies in the </w:t>
      </w:r>
      <w:r>
        <w:t xml:space="preserve">Russell </w:t>
      </w:r>
      <w:r w:rsidRPr="00D32180">
        <w:t>Global Index</w:t>
      </w:r>
      <w:r>
        <w:t xml:space="preserve"> (ex-U.</w:t>
      </w:r>
      <w:r w:rsidRPr="00D32180">
        <w:t>S</w:t>
      </w:r>
      <w:r>
        <w:t>.</w:t>
      </w:r>
      <w:r w:rsidRPr="00D32180">
        <w:t xml:space="preserve">) are ranked by their total market capitalization in descending order, and the cumulative total market capitalization percentile for each company </w:t>
      </w:r>
      <w:r>
        <w:t>is</w:t>
      </w:r>
      <w:r w:rsidRPr="00D32180">
        <w:t xml:space="preserve"> calculated.</w:t>
      </w:r>
    </w:p>
    <w:p w:rsidR="0006297A" w:rsidRPr="00D32180" w:rsidRDefault="0006297A" w:rsidP="0006297A">
      <w:pPr>
        <w:pStyle w:val="RI07-BodyCopy95pt"/>
      </w:pPr>
      <w:r w:rsidRPr="00D32180">
        <w:t>To determine the Russell Global Large Ca</w:t>
      </w:r>
      <w:r>
        <w:t>p and Russell Global Small Cap I</w:t>
      </w:r>
      <w:r w:rsidRPr="00D32180">
        <w:t xml:space="preserve">ndexes, all companies that rank below the 90th percentile </w:t>
      </w:r>
      <w:r>
        <w:t>of the capitalization band are</w:t>
      </w:r>
      <w:r w:rsidRPr="00D32180">
        <w:t xml:space="preserve"> classified as small cap, and all companies that rank above the 85th percentile </w:t>
      </w:r>
      <w:r>
        <w:t>are</w:t>
      </w:r>
      <w:r w:rsidRPr="00D32180">
        <w:t xml:space="preserve"> classified as large cap. </w:t>
      </w:r>
      <w:r>
        <w:t>Current members of the index that</w:t>
      </w:r>
      <w:r w:rsidRPr="00D32180">
        <w:t xml:space="preserve"> rank between the 85th and 90th percentiles retain their existing classificatio</w:t>
      </w:r>
      <w:r>
        <w:t>n. For example, i</w:t>
      </w:r>
      <w:r w:rsidRPr="00D32180">
        <w:t>f a member of the existing Russell Global Small Cap Index</w:t>
      </w:r>
      <w:r>
        <w:t xml:space="preserve"> falls</w:t>
      </w:r>
      <w:r w:rsidRPr="00D32180">
        <w:t xml:space="preserve"> within the 85th-90th percentile band at reconstitution, it remain</w:t>
      </w:r>
      <w:r>
        <w:t>s</w:t>
      </w:r>
      <w:r w:rsidRPr="00D32180">
        <w:t xml:space="preserve"> classified as small cap. New companies being added to the Russell Global Index </w:t>
      </w:r>
      <w:r>
        <w:t xml:space="preserve">are </w:t>
      </w:r>
      <w:r w:rsidRPr="00D32180">
        <w:t>classified relative to the midpoint of the range</w:t>
      </w:r>
      <w:r>
        <w:t>. In other words, n</w:t>
      </w:r>
      <w:r w:rsidRPr="00D32180">
        <w:t xml:space="preserve">ew companies ranking above 87.5 </w:t>
      </w:r>
      <w:r>
        <w:t>are</w:t>
      </w:r>
      <w:r w:rsidRPr="00D32180">
        <w:t xml:space="preserve"> classified as large cap, and new companies ranking below 87.5 </w:t>
      </w:r>
      <w:r>
        <w:t>are</w:t>
      </w:r>
      <w:r w:rsidRPr="00D32180">
        <w:t xml:space="preserve"> classified as small cap.</w:t>
      </w:r>
    </w:p>
    <w:p w:rsidR="0006297A" w:rsidRPr="00D32180" w:rsidRDefault="0006297A" w:rsidP="0006297A">
      <w:pPr>
        <w:pStyle w:val="RI07-BodyCopy95pt"/>
      </w:pPr>
      <w:r w:rsidRPr="00D32180">
        <w:t xml:space="preserve">To determine the </w:t>
      </w:r>
      <w:r>
        <w:t xml:space="preserve">Russell </w:t>
      </w:r>
      <w:r w:rsidRPr="00D32180">
        <w:t xml:space="preserve">Global </w:t>
      </w:r>
      <w:r>
        <w:t>Midcap</w:t>
      </w:r>
      <w:r w:rsidRPr="00D32180">
        <w:t xml:space="preserve"> </w:t>
      </w:r>
      <w:r>
        <w:t>and Global Mega Cap I</w:t>
      </w:r>
      <w:r w:rsidRPr="00D32180">
        <w:t>ndex</w:t>
      </w:r>
      <w:r>
        <w:t>es</w:t>
      </w:r>
      <w:r w:rsidRPr="00D32180">
        <w:t xml:space="preserve">, which </w:t>
      </w:r>
      <w:r>
        <w:t>are</w:t>
      </w:r>
      <w:r w:rsidRPr="00D32180">
        <w:t xml:space="preserve"> sub-component</w:t>
      </w:r>
      <w:r>
        <w:t>s</w:t>
      </w:r>
      <w:r w:rsidRPr="00D32180">
        <w:t xml:space="preserve"> of </w:t>
      </w:r>
      <w:r>
        <w:t xml:space="preserve">the Russell </w:t>
      </w:r>
      <w:r w:rsidRPr="00D32180">
        <w:t>Global Large Cap</w:t>
      </w:r>
      <w:r>
        <w:t xml:space="preserve"> Index</w:t>
      </w:r>
      <w:r w:rsidRPr="00D32180">
        <w:t xml:space="preserve">, all companies that rank below the 60th percentile </w:t>
      </w:r>
      <w:r>
        <w:t>of the capitalization band are</w:t>
      </w:r>
      <w:r w:rsidRPr="00D32180">
        <w:t xml:space="preserve"> classified as midcap, and all companies that rank above the 55th percentile </w:t>
      </w:r>
      <w:r>
        <w:t>are</w:t>
      </w:r>
      <w:r w:rsidRPr="00D32180">
        <w:t xml:space="preserve"> classified as mega cap. </w:t>
      </w:r>
      <w:r>
        <w:t xml:space="preserve">Current index members that </w:t>
      </w:r>
      <w:r w:rsidRPr="00D32180">
        <w:t>rank within the 55th and 60th percentiles retain their existing classification</w:t>
      </w:r>
      <w:r>
        <w:t xml:space="preserve">. For example, </w:t>
      </w:r>
      <w:r w:rsidRPr="00D32180">
        <w:t xml:space="preserve">if a member of the existing Global </w:t>
      </w:r>
      <w:r>
        <w:t>Midcap</w:t>
      </w:r>
      <w:r w:rsidRPr="00D32180">
        <w:t xml:space="preserve"> Index </w:t>
      </w:r>
      <w:r>
        <w:t>falls</w:t>
      </w:r>
      <w:r w:rsidRPr="00D32180">
        <w:t xml:space="preserve"> within the 55th-60th percentile band at reconstitution, it remain</w:t>
      </w:r>
      <w:r>
        <w:t>s</w:t>
      </w:r>
      <w:r w:rsidRPr="00D32180">
        <w:t xml:space="preserve"> classified as midcap. New companies being added to the Global Index </w:t>
      </w:r>
      <w:r>
        <w:t xml:space="preserve">are </w:t>
      </w:r>
      <w:r w:rsidRPr="00D32180">
        <w:t>classified relative to the midpoint of the range</w:t>
      </w:r>
      <w:r>
        <w:t>. In other words</w:t>
      </w:r>
      <w:r w:rsidRPr="00D32180">
        <w:t xml:space="preserve">, new companies ranking above 57.5 </w:t>
      </w:r>
      <w:r>
        <w:t>are</w:t>
      </w:r>
      <w:r w:rsidRPr="00D32180">
        <w:t xml:space="preserve"> classified as mega cap, and new companies ranking below 57.5 </w:t>
      </w:r>
      <w:r>
        <w:t>are</w:t>
      </w:r>
      <w:r w:rsidRPr="00D32180">
        <w:t xml:space="preserve"> classified as midcap</w:t>
      </w:r>
      <w:r>
        <w:t>.</w:t>
      </w:r>
    </w:p>
    <w:p w:rsidR="0006297A" w:rsidRDefault="0006297A" w:rsidP="0006297A">
      <w:pPr>
        <w:pStyle w:val="RI07-BodyCopy95pt"/>
      </w:pPr>
      <w:r w:rsidRPr="00D32180">
        <w:t xml:space="preserve">Using a global-relative 5% band has been shown to create </w:t>
      </w:r>
      <w:r>
        <w:t>indexes</w:t>
      </w:r>
      <w:r w:rsidRPr="00D32180">
        <w:t xml:space="preserve"> that are robust representations of large and small stock behavior and </w:t>
      </w:r>
      <w:r>
        <w:t xml:space="preserve">that </w:t>
      </w:r>
      <w:r w:rsidRPr="00D32180">
        <w:t xml:space="preserve">provide consistently better tracking results when tested against </w:t>
      </w:r>
      <w:r>
        <w:t xml:space="preserve">the results of </w:t>
      </w:r>
      <w:r w:rsidRPr="00D32180">
        <w:t xml:space="preserve">global and non-U.S. cap-tier mandated managers. Use of the banding approach also has the associated benefit of dramatically reducing turnover at reconstitution. Russell’s research shows that a 5% band provides an optimal balance between representing asset-class return behavior and reducing turnover, which ultimately benefits investors who are using the indexes as passive vehicles or active portfolio benchmarks. </w:t>
      </w:r>
    </w:p>
    <w:p w:rsidR="0006297A" w:rsidRPr="00315061" w:rsidRDefault="0006297A" w:rsidP="0006297A">
      <w:pPr>
        <w:pStyle w:val="RI07-BodyCopy95pt"/>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163"/>
        <w:gridCol w:w="3163"/>
        <w:gridCol w:w="3164"/>
      </w:tblGrid>
      <w:tr w:rsidR="0006297A" w:rsidRPr="00BF3202" w:rsidTr="00676CED">
        <w:tc>
          <w:tcPr>
            <w:tcW w:w="1666"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br w:type="page"/>
              <w:t>Index name</w:t>
            </w:r>
          </w:p>
        </w:tc>
        <w:tc>
          <w:tcPr>
            <w:tcW w:w="1666"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Upper range (percentiles)</w:t>
            </w:r>
          </w:p>
        </w:tc>
        <w:tc>
          <w:tcPr>
            <w:tcW w:w="1667"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Lower range (percentiles)</w:t>
            </w:r>
          </w:p>
        </w:tc>
      </w:tr>
      <w:tr w:rsidR="0006297A" w:rsidRPr="00BF3202" w:rsidTr="00676CED">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Russell Global Mega Cap</w:t>
            </w:r>
          </w:p>
        </w:tc>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NA</w:t>
            </w:r>
          </w:p>
        </w:tc>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55%–60%</w:t>
            </w:r>
          </w:p>
        </w:tc>
      </w:tr>
      <w:tr w:rsidR="0006297A" w:rsidRPr="00BF3202" w:rsidTr="00676CED">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Russell Global Mid</w:t>
            </w:r>
            <w:r>
              <w:rPr>
                <w:sz w:val="18"/>
                <w:szCs w:val="18"/>
              </w:rPr>
              <w:t>c</w:t>
            </w:r>
            <w:r w:rsidRPr="00BF3202">
              <w:rPr>
                <w:sz w:val="18"/>
                <w:szCs w:val="18"/>
              </w:rPr>
              <w:t>ap</w:t>
            </w:r>
          </w:p>
        </w:tc>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55%–60%</w:t>
            </w:r>
          </w:p>
        </w:tc>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85%–90%</w:t>
            </w:r>
          </w:p>
        </w:tc>
      </w:tr>
      <w:tr w:rsidR="0006297A" w:rsidRPr="00BF3202" w:rsidTr="00676CED">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Russell Global Small Cap</w:t>
            </w:r>
          </w:p>
        </w:tc>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85%–90%</w:t>
            </w:r>
          </w:p>
        </w:tc>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NA</w:t>
            </w:r>
          </w:p>
        </w:tc>
      </w:tr>
    </w:tbl>
    <w:p w:rsidR="0006297A" w:rsidRPr="00D32180" w:rsidRDefault="0006297A" w:rsidP="0006297A">
      <w:pPr>
        <w:pStyle w:val="RI07-BodyCopy95pt"/>
        <w:rPr>
          <w:sz w:val="16"/>
          <w:szCs w:val="16"/>
        </w:rPr>
      </w:pPr>
      <w:r w:rsidRPr="00D32180">
        <w:rPr>
          <w:sz w:val="16"/>
          <w:szCs w:val="16"/>
        </w:rPr>
        <w:t xml:space="preserve">Percentiles are based on descending total market capitalization. Large Cap = Mega Cap + </w:t>
      </w:r>
      <w:r>
        <w:rPr>
          <w:sz w:val="16"/>
          <w:szCs w:val="16"/>
        </w:rPr>
        <w:t>Midcap</w:t>
      </w:r>
      <w:r w:rsidRPr="00D32180">
        <w:rPr>
          <w:sz w:val="16"/>
          <w:szCs w:val="16"/>
        </w:rPr>
        <w:t>.</w:t>
      </w:r>
    </w:p>
    <w:p w:rsidR="0006297A" w:rsidRPr="0057594A" w:rsidRDefault="0006297A" w:rsidP="0006297A">
      <w:pPr>
        <w:pStyle w:val="Heading2"/>
      </w:pPr>
      <w:bookmarkStart w:id="82" w:name="_Toc303342505"/>
      <w:bookmarkStart w:id="83" w:name="_Toc343682646"/>
      <w:bookmarkStart w:id="84" w:name="_Toc217446160"/>
      <w:bookmarkStart w:id="85" w:name="_Toc220919388"/>
      <w:r w:rsidRPr="0057594A">
        <w:lastRenderedPageBreak/>
        <w:t>Countries without critical mass</w:t>
      </w:r>
      <w:bookmarkEnd w:id="82"/>
      <w:bookmarkEnd w:id="83"/>
      <w:r>
        <w:t xml:space="preserve"> </w:t>
      </w:r>
    </w:p>
    <w:p w:rsidR="0006297A" w:rsidRPr="0057594A" w:rsidRDefault="0006297A" w:rsidP="0006297A">
      <w:pPr>
        <w:pStyle w:val="RI07-BodyCopy95pt"/>
      </w:pPr>
      <w:r w:rsidRPr="0057594A">
        <w:t>Russell's global</w:t>
      </w:r>
      <w:r>
        <w:t>-</w:t>
      </w:r>
      <w:r w:rsidRPr="0057594A">
        <w:t>relative approach focuses less on country coverage and more on the true global opportunity set.</w:t>
      </w:r>
      <w:r>
        <w:t xml:space="preserve"> </w:t>
      </w:r>
      <w:r w:rsidRPr="0057594A">
        <w:t>A country coverage focus can result in the inclusion of countries with few securities available to trade. From a manager’s perspective, this is not an ideal situation</w:t>
      </w:r>
      <w:r>
        <w:t>,</w:t>
      </w:r>
      <w:r w:rsidRPr="0057594A">
        <w:t xml:space="preserve"> due to the relative costs of setting up a trading account with those countries compared to the number of tradable securities. </w:t>
      </w:r>
    </w:p>
    <w:p w:rsidR="0006297A" w:rsidRPr="0057594A" w:rsidRDefault="0006297A" w:rsidP="0006297A">
      <w:pPr>
        <w:pStyle w:val="RI07-BodyCopy95pt"/>
      </w:pPr>
      <w:r w:rsidRPr="0057594A">
        <w:t>In an effort to reduce those trading implications while remaining global relative, Russell use</w:t>
      </w:r>
      <w:r>
        <w:t>s</w:t>
      </w:r>
      <w:r w:rsidRPr="0057594A">
        <w:t xml:space="preserve"> the most liquid exchange OUTSIDE of </w:t>
      </w:r>
      <w:r>
        <w:t>a</w:t>
      </w:r>
      <w:r w:rsidRPr="0057594A">
        <w:t xml:space="preserve"> security’s home country if </w:t>
      </w:r>
      <w:r>
        <w:t>a</w:t>
      </w:r>
      <w:r w:rsidRPr="0057594A">
        <w:t xml:space="preserve"> security's home country has fewer than three securities. However, the most liquid exchange must be in a</w:t>
      </w:r>
      <w:r>
        <w:t xml:space="preserve"> country </w:t>
      </w:r>
      <w:r w:rsidRPr="0057594A">
        <w:t>eligible</w:t>
      </w:r>
      <w:r>
        <w:t xml:space="preserve"> for the</w:t>
      </w:r>
      <w:r w:rsidRPr="0057594A">
        <w:t xml:space="preserve"> Russell Global Index </w:t>
      </w:r>
      <w:r>
        <w:t>that contains</w:t>
      </w:r>
      <w:r w:rsidRPr="0057594A">
        <w:t xml:space="preserve"> three or more</w:t>
      </w:r>
      <w:r>
        <w:t xml:space="preserve"> </w:t>
      </w:r>
      <w:r w:rsidRPr="0057594A">
        <w:t>securities. If the most liquid exchange outside of the home country is in a country that does not meet this criteria</w:t>
      </w:r>
      <w:r>
        <w:t>,</w:t>
      </w:r>
      <w:r w:rsidRPr="0057594A">
        <w:t xml:space="preserve"> then</w:t>
      </w:r>
      <w:r>
        <w:t xml:space="preserve"> Russell</w:t>
      </w:r>
      <w:r w:rsidRPr="0057594A">
        <w:t xml:space="preserve"> look</w:t>
      </w:r>
      <w:r>
        <w:t>s</w:t>
      </w:r>
      <w:r w:rsidRPr="0057594A">
        <w:t xml:space="preserve"> to the next most liquid exchange. If the security does not trade on an exchange in an eligible country, or only trades locally and does not trade on any other exchange outside of its home country, the security is i</w:t>
      </w:r>
      <w:r>
        <w:t xml:space="preserve">neligible for index inclusion. </w:t>
      </w:r>
    </w:p>
    <w:p w:rsidR="0006297A" w:rsidRPr="004701E2" w:rsidRDefault="0006297A" w:rsidP="0006297A">
      <w:pPr>
        <w:pStyle w:val="RI07-BodyCopy95pt"/>
      </w:pPr>
      <w:r w:rsidRPr="0057594A">
        <w:t xml:space="preserve">While this rule allows the Russell Global Index to use a listing on an exchange outside of the security’s home country, the security </w:t>
      </w:r>
      <w:r>
        <w:t>is st</w:t>
      </w:r>
      <w:r w:rsidRPr="0057594A">
        <w:t>ill</w:t>
      </w:r>
      <w:r>
        <w:t xml:space="preserve"> </w:t>
      </w:r>
      <w:r w:rsidRPr="0057594A">
        <w:t xml:space="preserve">assigned to </w:t>
      </w:r>
      <w:r>
        <w:t>its</w:t>
      </w:r>
      <w:r w:rsidRPr="0057594A">
        <w:t xml:space="preserve"> home country within the indexes. Additionally, while </w:t>
      </w:r>
      <w:r>
        <w:t>depositary</w:t>
      </w:r>
      <w:r w:rsidRPr="0057594A">
        <w:t xml:space="preserve"> receipts are generally ineligible for inclusion within the Russell Global Index, Russell include</w:t>
      </w:r>
      <w:r>
        <w:t>s</w:t>
      </w:r>
      <w:r w:rsidRPr="0057594A">
        <w:t xml:space="preserve"> </w:t>
      </w:r>
      <w:r>
        <w:t>depositary</w:t>
      </w:r>
      <w:r w:rsidRPr="0057594A">
        <w:t xml:space="preserve"> receipts for securities that fall under this rule.</w:t>
      </w:r>
    </w:p>
    <w:p w:rsidR="0006297A" w:rsidRDefault="0006297A" w:rsidP="0006297A">
      <w:pPr>
        <w:pStyle w:val="Heading2"/>
      </w:pPr>
      <w:bookmarkStart w:id="86" w:name="_Toc303342506"/>
      <w:bookmarkStart w:id="87" w:name="_Toc343682647"/>
      <w:bookmarkEnd w:id="84"/>
      <w:bookmarkEnd w:id="85"/>
      <w:r>
        <w:t>Global SMID construction</w:t>
      </w:r>
      <w:bookmarkEnd w:id="86"/>
      <w:bookmarkEnd w:id="87"/>
    </w:p>
    <w:p w:rsidR="0006297A" w:rsidRDefault="0006297A" w:rsidP="0006297A">
      <w:pPr>
        <w:pStyle w:val="RI07-BodyCopy95pt"/>
      </w:pPr>
      <w:r>
        <w:t xml:space="preserve">Russell believes that small-mid (SMID) cap is an asset class separate from the large, mid, and small capitalization market segments. While other index providers define SMID as simply an aggregation of midcap and small cap, Russell defines SMID as comprising the bottom of the midcap and the top of the small cap markets. </w:t>
      </w:r>
    </w:p>
    <w:p w:rsidR="0006297A" w:rsidRPr="00D32180" w:rsidRDefault="0006297A" w:rsidP="0006297A">
      <w:pPr>
        <w:pStyle w:val="RI07-BodyCopy95pt"/>
      </w:pPr>
      <w:r>
        <w:t xml:space="preserve">To construct the Russell Global SMID Index, all companies in the current Russell Global Index are ranked by market-capitalization in descending order, and the cumulative total market capitalization percentile for each company is calculated. Companies that rank between the 75th and 95th percentiles are classified as SMID. At reconstitution each year, 5% bands are implemented at both the bottom and the top of the SMID index, which means that an existing SMID member remains in the SMID index if it ranks between the 72.5th and 97.5th percentiles. For a security new to the Russell Global Index, the 75th percentile and 95th percentile breakpoints are used to determine SMID membership. </w:t>
      </w:r>
    </w:p>
    <w:p w:rsidR="0006297A" w:rsidRPr="00D32180" w:rsidRDefault="0006297A" w:rsidP="0006297A">
      <w:pPr>
        <w:pStyle w:val="Heading2"/>
      </w:pPr>
      <w:bookmarkStart w:id="88" w:name="_Toc343682648"/>
      <w:bookmarkStart w:id="89" w:name="_Toc217446162"/>
      <w:bookmarkStart w:id="90" w:name="_Toc220919390"/>
      <w:bookmarkStart w:id="91" w:name="_Toc260295840"/>
      <w:bookmarkStart w:id="92" w:name="_Toc303342507"/>
      <w:bookmarkStart w:id="93" w:name="_Toc217446163"/>
      <w:bookmarkStart w:id="94" w:name="_Toc220919391"/>
      <w:r w:rsidRPr="00D32180">
        <w:t>Historical construction rules</w:t>
      </w:r>
      <w:bookmarkEnd w:id="88"/>
      <w:r w:rsidRPr="00D32180">
        <w:t xml:space="preserve"> </w:t>
      </w:r>
      <w:bookmarkEnd w:id="89"/>
      <w:bookmarkEnd w:id="90"/>
      <w:bookmarkEnd w:id="91"/>
      <w:bookmarkEnd w:id="92"/>
    </w:p>
    <w:p w:rsidR="0006297A" w:rsidRPr="00D32180" w:rsidRDefault="0006297A" w:rsidP="0006297A">
      <w:pPr>
        <w:pStyle w:val="RI07-BodyCopy95pt"/>
      </w:pPr>
      <w:r w:rsidRPr="00D32180">
        <w:t>Historically, the following methodology was used to build the Russell Global cap-tier indexes.</w:t>
      </w:r>
    </w:p>
    <w:p w:rsidR="0006297A" w:rsidRPr="00D32180" w:rsidRDefault="0006297A" w:rsidP="0006297A">
      <w:pPr>
        <w:pStyle w:val="RI07-BodyCopy95pt"/>
      </w:pPr>
      <w:r w:rsidRPr="00D32180">
        <w:t>The large/small breakpoint was made by using the corresponding breakpoints for the years 19</w:t>
      </w:r>
      <w:r>
        <w:t>96 to 2006 in the Russell U.S. I</w:t>
      </w:r>
      <w:r w:rsidRPr="00D32180">
        <w:t>ndex</w:t>
      </w:r>
      <w:r>
        <w:t xml:space="preserve"> series</w:t>
      </w:r>
      <w:r w:rsidRPr="00D32180">
        <w:t>. These breakpoints generally correspond to the 90th percentile, on the basis of cumulative float-adjusted market capitalization of the global universe ranked in descending order by total market capitalization, including the U.S. Japan was calculated using the Russell/Nomura Total Market Index and their corresponding breakpoints. Russell/Nomura Total Market</w:t>
      </w:r>
      <w:r>
        <w:t>™</w:t>
      </w:r>
      <w:r w:rsidRPr="00D32180">
        <w:t xml:space="preserve"> was used as the Japan portion from </w:t>
      </w:r>
      <w:r>
        <w:br/>
        <w:t>19</w:t>
      </w:r>
      <w:r w:rsidRPr="00D32180">
        <w:t>96-</w:t>
      </w:r>
      <w:r>
        <w:t>20</w:t>
      </w:r>
      <w:r w:rsidRPr="00D32180">
        <w:t>08.</w:t>
      </w:r>
    </w:p>
    <w:p w:rsidR="0006297A" w:rsidRPr="00D32180" w:rsidRDefault="0006297A" w:rsidP="0006297A">
      <w:pPr>
        <w:pStyle w:val="RI07-BodyCopy95pt"/>
      </w:pPr>
      <w:r w:rsidRPr="00D32180">
        <w:t>The mega cap/midcap breakpoint was made by using the corresponding breakpoints for the years 19</w:t>
      </w:r>
      <w:r>
        <w:t>96 to 2006 in the Russell U.S. I</w:t>
      </w:r>
      <w:r w:rsidRPr="00D32180">
        <w:t>ndex</w:t>
      </w:r>
      <w:r>
        <w:t xml:space="preserve"> series</w:t>
      </w:r>
      <w:r w:rsidRPr="00D32180">
        <w:t>. These breakpoints generally correspond to the 60th percentile, on the basis of cumulative float-adjusted market capitalization of the global universe</w:t>
      </w:r>
      <w:r>
        <w:t>, including the U.S.,</w:t>
      </w:r>
      <w:r w:rsidRPr="00D32180">
        <w:t xml:space="preserve"> ranked in descending order by total market capitalization. </w:t>
      </w:r>
    </w:p>
    <w:p w:rsidR="0006297A" w:rsidRPr="00D32180" w:rsidRDefault="0006297A" w:rsidP="0006297A">
      <w:pPr>
        <w:pStyle w:val="RI07-BodyCopy95pt"/>
      </w:pPr>
      <w:r w:rsidRPr="00D32180">
        <w:lastRenderedPageBreak/>
        <w:t xml:space="preserve">No banding was used in the historical construction. </w:t>
      </w:r>
    </w:p>
    <w:p w:rsidR="0006297A" w:rsidRDefault="0006297A" w:rsidP="0006297A">
      <w:pPr>
        <w:pStyle w:val="RI07-BodyCopy95pt"/>
      </w:pPr>
      <w:r w:rsidRPr="00D32180">
        <w:t xml:space="preserve">The following illustration shows the Russell Global Index construction and its high-level decomposition into U.S. and non-U.S. regions and </w:t>
      </w:r>
      <w:r>
        <w:t xml:space="preserve">large cap and small cap tiers. </w:t>
      </w:r>
    </w:p>
    <w:p w:rsidR="0006297A" w:rsidRPr="00D32180" w:rsidRDefault="0006297A" w:rsidP="0006297A">
      <w:pPr>
        <w:pStyle w:val="RI07-BodyCopy95pt"/>
      </w:pPr>
    </w:p>
    <w:tbl>
      <w:tblPr>
        <w:tblW w:w="0" w:type="auto"/>
        <w:tblBorders>
          <w:top w:val="single" w:sz="4" w:space="0" w:color="EAE9D2"/>
          <w:left w:val="single" w:sz="4" w:space="0" w:color="EAE9D2"/>
          <w:bottom w:val="single" w:sz="4" w:space="0" w:color="EAE9D2"/>
          <w:right w:val="single" w:sz="4" w:space="0" w:color="EAE9D2"/>
          <w:insideH w:val="single" w:sz="4" w:space="0" w:color="EAE9D2"/>
          <w:insideV w:val="single" w:sz="4" w:space="0" w:color="EAE9D2"/>
        </w:tblBorders>
        <w:tblLook w:val="01E0"/>
      </w:tblPr>
      <w:tblGrid>
        <w:gridCol w:w="1898"/>
        <w:gridCol w:w="1898"/>
        <w:gridCol w:w="1898"/>
        <w:gridCol w:w="1898"/>
        <w:gridCol w:w="1898"/>
      </w:tblGrid>
      <w:tr w:rsidR="0006297A" w:rsidRPr="00D32180" w:rsidTr="00676CED">
        <w:trPr>
          <w:trHeight w:val="720"/>
        </w:trPr>
        <w:tc>
          <w:tcPr>
            <w:tcW w:w="3796" w:type="dxa"/>
            <w:gridSpan w:val="2"/>
            <w:tcBorders>
              <w:top w:val="single" w:sz="18" w:space="0" w:color="FFFFFF"/>
              <w:left w:val="single" w:sz="18" w:space="0" w:color="FFFFFF"/>
              <w:bottom w:val="single" w:sz="18" w:space="0" w:color="FFFFFF"/>
              <w:right w:val="single" w:sz="18" w:space="0" w:color="FFFFFF"/>
            </w:tcBorders>
            <w:shd w:val="clear" w:color="auto" w:fill="C6DFF2"/>
          </w:tcPr>
          <w:p w:rsidR="0006297A" w:rsidRPr="00BF3202" w:rsidRDefault="00962308" w:rsidP="00676CED">
            <w:pPr>
              <w:pStyle w:val="RI07-BodyCopy95pt"/>
              <w:jc w:val="center"/>
              <w:rPr>
                <w:b/>
                <w:bCs/>
              </w:rPr>
            </w:pPr>
            <w:r w:rsidRPr="00962308">
              <w:rPr>
                <w:noProof/>
              </w:rPr>
              <w:pict>
                <v:group id="_x0000_s1117" style="position:absolute;left:0;text-align:left;margin-left:69.4pt;margin-top:.1pt;width:323.25pt;height:185.95pt;z-index:251657216" coordorigin="2914,8216" coordsize="6465,371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8" type="#_x0000_t13" style="position:absolute;left:5388;top:8216;width:1540;height:740" fillcolor="#ddb" stroked="f" strokecolor="#c4c4c4"/>
                  <v:shape id="_x0000_s1119" type="#_x0000_t13" style="position:absolute;left:8519;top:9973;width:980;height:740;rotation:90" fillcolor="#ddb" stroked="f" strokecolor="#c4c4c4"/>
                  <v:shape id="_x0000_s1120" type="#_x0000_t13" style="position:absolute;left:2744;top:9543;width:1080;height:740;rotation:90;flip:y" fillcolor="#ddb" stroked="f" strokecolor="#c4c4c4"/>
                  <v:shape id="_x0000_s1121" type="#_x0000_t13" style="position:absolute;left:5369;top:11195;width:1540;height:740;flip:x" fillcolor="#ddb" stroked="f" strokecolor="#c4c4c4"/>
                </v:group>
              </w:pict>
            </w:r>
            <w:r w:rsidR="0006297A" w:rsidRPr="00BF3202">
              <w:rPr>
                <w:b/>
                <w:bCs/>
              </w:rPr>
              <w:t>Russell Global Index</w:t>
            </w:r>
          </w:p>
          <w:p w:rsidR="0006297A" w:rsidRPr="00D32180" w:rsidRDefault="0006297A" w:rsidP="00676CED">
            <w:pPr>
              <w:pStyle w:val="RI07-BodyCopy95pt"/>
              <w:jc w:val="center"/>
            </w:pPr>
            <w:r w:rsidRPr="00D32180">
              <w:t>(~10,000 securities)</w:t>
            </w:r>
          </w:p>
        </w:tc>
        <w:tc>
          <w:tcPr>
            <w:tcW w:w="1898" w:type="dxa"/>
            <w:tcBorders>
              <w:top w:val="single" w:sz="4" w:space="0" w:color="FFFFFF"/>
              <w:left w:val="single" w:sz="18" w:space="0" w:color="FFFFFF"/>
              <w:bottom w:val="single" w:sz="4" w:space="0" w:color="FFFFFF"/>
              <w:right w:val="single" w:sz="18" w:space="0" w:color="FFFFFF"/>
            </w:tcBorders>
          </w:tcPr>
          <w:p w:rsidR="0006297A" w:rsidRPr="00D32180" w:rsidRDefault="0006297A" w:rsidP="00676CED">
            <w:pPr>
              <w:pStyle w:val="RI07-BodyCopy95pt"/>
              <w:jc w:val="center"/>
            </w:pPr>
          </w:p>
        </w:tc>
        <w:tc>
          <w:tcPr>
            <w:tcW w:w="3796" w:type="dxa"/>
            <w:gridSpan w:val="2"/>
            <w:tcBorders>
              <w:top w:val="single" w:sz="18" w:space="0" w:color="FFFFFF"/>
              <w:left w:val="single" w:sz="18" w:space="0" w:color="FFFFFF"/>
              <w:bottom w:val="single" w:sz="18" w:space="0" w:color="FFFFFF"/>
              <w:right w:val="single" w:sz="18" w:space="0" w:color="FFFFFF"/>
            </w:tcBorders>
            <w:shd w:val="clear" w:color="auto" w:fill="C6DFF2"/>
          </w:tcPr>
          <w:p w:rsidR="0006297A" w:rsidRPr="00BF3202" w:rsidRDefault="0006297A" w:rsidP="00676CED">
            <w:pPr>
              <w:pStyle w:val="RI07-BodyCopy95pt"/>
              <w:jc w:val="center"/>
              <w:rPr>
                <w:b/>
                <w:bCs/>
              </w:rPr>
            </w:pPr>
            <w:r w:rsidRPr="00BF3202">
              <w:rPr>
                <w:b/>
                <w:bCs/>
              </w:rPr>
              <w:t>Russell Global Large Cap Index</w:t>
            </w:r>
          </w:p>
          <w:p w:rsidR="0006297A" w:rsidRPr="00D32180" w:rsidRDefault="0006297A" w:rsidP="00676CED">
            <w:pPr>
              <w:pStyle w:val="RI07-BodyCopy95pt"/>
              <w:jc w:val="center"/>
            </w:pPr>
            <w:r w:rsidRPr="00D32180">
              <w:t>(~3,000 securities)</w:t>
            </w:r>
          </w:p>
        </w:tc>
      </w:tr>
      <w:tr w:rsidR="0006297A" w:rsidRPr="00D32180" w:rsidTr="00676CED">
        <w:trPr>
          <w:trHeight w:val="720"/>
        </w:trPr>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4" w:space="0" w:color="FFFFFF"/>
              <w:left w:val="single" w:sz="18" w:space="0" w:color="FFFFFF"/>
              <w:bottom w:val="single" w:sz="4" w:space="0" w:color="FFFFFF"/>
              <w:right w:val="single" w:sz="18" w:space="0" w:color="FFFFFF"/>
            </w:tcBorders>
          </w:tcPr>
          <w:p w:rsidR="0006297A" w:rsidRPr="00D32180" w:rsidRDefault="0006297A" w:rsidP="00676CED">
            <w:pPr>
              <w:pStyle w:val="RI07-BodyCopy95pt"/>
              <w:jc w:val="center"/>
            </w:pPr>
          </w:p>
        </w:tc>
        <w:tc>
          <w:tcPr>
            <w:tcW w:w="3796" w:type="dxa"/>
            <w:gridSpan w:val="2"/>
            <w:tcBorders>
              <w:top w:val="single" w:sz="18" w:space="0" w:color="FFFFFF"/>
              <w:left w:val="single" w:sz="18" w:space="0" w:color="FFFFFF"/>
              <w:bottom w:val="single" w:sz="18" w:space="0" w:color="FFFFFF"/>
              <w:right w:val="single" w:sz="18" w:space="0" w:color="FFFFFF"/>
            </w:tcBorders>
            <w:shd w:val="clear" w:color="auto" w:fill="C6DFF2"/>
          </w:tcPr>
          <w:p w:rsidR="0006297A" w:rsidRPr="00BF3202" w:rsidRDefault="0006297A" w:rsidP="00676CED">
            <w:pPr>
              <w:pStyle w:val="RI07-BodyCopy95pt"/>
              <w:jc w:val="center"/>
              <w:rPr>
                <w:b/>
                <w:bCs/>
              </w:rPr>
            </w:pPr>
            <w:r w:rsidRPr="00BF3202">
              <w:rPr>
                <w:b/>
                <w:bCs/>
              </w:rPr>
              <w:t>Russell Global Small Cap Index</w:t>
            </w:r>
          </w:p>
          <w:p w:rsidR="0006297A" w:rsidRPr="00D32180" w:rsidRDefault="0006297A" w:rsidP="00676CED">
            <w:pPr>
              <w:pStyle w:val="RI07-BodyCopy95pt"/>
              <w:jc w:val="center"/>
            </w:pPr>
            <w:r w:rsidRPr="00D32180">
              <w:t>(~7,000 securities)</w:t>
            </w:r>
          </w:p>
        </w:tc>
      </w:tr>
      <w:tr w:rsidR="0006297A" w:rsidRPr="00D32180" w:rsidTr="00676CED">
        <w:trPr>
          <w:trHeight w:val="1097"/>
        </w:trPr>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4" w:space="0" w:color="FFFFFF"/>
              <w:left w:val="single" w:sz="18" w:space="0" w:color="FFFFFF"/>
              <w:bottom w:val="single" w:sz="4"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r>
      <w:tr w:rsidR="0006297A" w:rsidRPr="00D32180" w:rsidTr="00676CED">
        <w:trPr>
          <w:trHeight w:val="1350"/>
        </w:trPr>
        <w:tc>
          <w:tcPr>
            <w:tcW w:w="1898" w:type="dxa"/>
            <w:tcBorders>
              <w:top w:val="single" w:sz="18" w:space="0" w:color="FFFFFF"/>
              <w:left w:val="single" w:sz="18" w:space="0" w:color="FFFFFF"/>
              <w:bottom w:val="single" w:sz="18" w:space="0" w:color="FFFFFF"/>
              <w:right w:val="single" w:sz="18" w:space="0" w:color="FFFFFF"/>
            </w:tcBorders>
            <w:shd w:val="clear" w:color="auto" w:fill="C6DFF2"/>
            <w:vAlign w:val="center"/>
          </w:tcPr>
          <w:p w:rsidR="0006297A" w:rsidRPr="00BF3202" w:rsidRDefault="0006297A" w:rsidP="00676CED">
            <w:pPr>
              <w:pStyle w:val="RI07-BodyCopy95pt"/>
              <w:jc w:val="center"/>
              <w:rPr>
                <w:b/>
                <w:bCs/>
              </w:rPr>
            </w:pPr>
            <w:r w:rsidRPr="00BF3202">
              <w:rPr>
                <w:b/>
                <w:bCs/>
              </w:rPr>
              <w:t>Russell 3000</w:t>
            </w:r>
            <w:r w:rsidRPr="00BF3202">
              <w:rPr>
                <w:b/>
                <w:bCs/>
                <w:vertAlign w:val="superscript"/>
              </w:rPr>
              <w:t>®</w:t>
            </w:r>
            <w:r w:rsidRPr="00BF3202">
              <w:rPr>
                <w:b/>
                <w:bCs/>
              </w:rPr>
              <w:t xml:space="preserve"> Index</w:t>
            </w:r>
          </w:p>
          <w:p w:rsidR="0006297A" w:rsidRPr="00D32180" w:rsidRDefault="0006297A" w:rsidP="00676CED">
            <w:pPr>
              <w:pStyle w:val="RI07-BodyCopy95pt"/>
              <w:jc w:val="center"/>
            </w:pPr>
            <w:r w:rsidRPr="00D32180">
              <w:t>(~3,000 securities)</w:t>
            </w:r>
          </w:p>
        </w:tc>
        <w:tc>
          <w:tcPr>
            <w:tcW w:w="1898" w:type="dxa"/>
            <w:tcBorders>
              <w:top w:val="single" w:sz="18" w:space="0" w:color="FFFFFF"/>
              <w:left w:val="single" w:sz="18" w:space="0" w:color="FFFFFF"/>
              <w:bottom w:val="single" w:sz="18" w:space="0" w:color="FFFFFF"/>
              <w:right w:val="single" w:sz="18" w:space="0" w:color="FFFFFF"/>
            </w:tcBorders>
            <w:shd w:val="clear" w:color="auto" w:fill="C6DFF2"/>
            <w:vAlign w:val="center"/>
          </w:tcPr>
          <w:p w:rsidR="0006297A" w:rsidRPr="00BF3202" w:rsidRDefault="0006297A" w:rsidP="00676CED">
            <w:pPr>
              <w:pStyle w:val="RI07-BodyCopy95pt"/>
              <w:jc w:val="center"/>
              <w:rPr>
                <w:b/>
                <w:bCs/>
              </w:rPr>
            </w:pPr>
            <w:r w:rsidRPr="00BF3202">
              <w:rPr>
                <w:b/>
                <w:bCs/>
              </w:rPr>
              <w:t xml:space="preserve">Russell </w:t>
            </w:r>
            <w:r w:rsidRPr="00BF3202">
              <w:rPr>
                <w:b/>
                <w:bCs/>
              </w:rPr>
              <w:br/>
              <w:t>Non-U.S. Index</w:t>
            </w:r>
          </w:p>
          <w:p w:rsidR="0006297A" w:rsidRPr="00D32180" w:rsidRDefault="0006297A" w:rsidP="00676CED">
            <w:pPr>
              <w:pStyle w:val="RI07-BodyCopy95pt"/>
              <w:jc w:val="center"/>
            </w:pPr>
            <w:r w:rsidRPr="00D32180">
              <w:t>(~7,000 securities)</w:t>
            </w:r>
          </w:p>
        </w:tc>
        <w:tc>
          <w:tcPr>
            <w:tcW w:w="1898" w:type="dxa"/>
            <w:tcBorders>
              <w:top w:val="single" w:sz="4" w:space="0" w:color="FFFFFF"/>
              <w:left w:val="single" w:sz="18" w:space="0" w:color="FFFFFF"/>
              <w:bottom w:val="single" w:sz="4"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shd w:val="clear" w:color="auto" w:fill="C6DFF2"/>
            <w:vAlign w:val="center"/>
          </w:tcPr>
          <w:p w:rsidR="0006297A" w:rsidRPr="00BF3202" w:rsidRDefault="0006297A" w:rsidP="00676CED">
            <w:pPr>
              <w:pStyle w:val="RI07-BodyCopy95pt"/>
              <w:jc w:val="center"/>
              <w:rPr>
                <w:b/>
                <w:bCs/>
              </w:rPr>
            </w:pPr>
            <w:r w:rsidRPr="00BF3202">
              <w:rPr>
                <w:b/>
                <w:bCs/>
              </w:rPr>
              <w:t>Russell 1000</w:t>
            </w:r>
            <w:r w:rsidRPr="00BF3202">
              <w:rPr>
                <w:b/>
                <w:bCs/>
                <w:vertAlign w:val="superscript"/>
              </w:rPr>
              <w:t>®</w:t>
            </w:r>
            <w:r w:rsidRPr="00BF3202">
              <w:rPr>
                <w:b/>
                <w:bCs/>
              </w:rPr>
              <w:t xml:space="preserve"> Index</w:t>
            </w:r>
          </w:p>
          <w:p w:rsidR="0006297A" w:rsidRPr="00D32180" w:rsidRDefault="0006297A" w:rsidP="00676CED">
            <w:pPr>
              <w:pStyle w:val="RI07-BodyCopy95pt"/>
              <w:jc w:val="center"/>
            </w:pPr>
            <w:r w:rsidRPr="00D32180">
              <w:t>(~1,000 securities)</w:t>
            </w:r>
          </w:p>
        </w:tc>
        <w:tc>
          <w:tcPr>
            <w:tcW w:w="1898" w:type="dxa"/>
            <w:tcBorders>
              <w:top w:val="single" w:sz="18" w:space="0" w:color="FFFFFF"/>
              <w:left w:val="single" w:sz="18" w:space="0" w:color="FFFFFF"/>
              <w:bottom w:val="single" w:sz="18" w:space="0" w:color="FFFFFF"/>
              <w:right w:val="single" w:sz="18" w:space="0" w:color="FFFFFF"/>
            </w:tcBorders>
            <w:shd w:val="clear" w:color="auto" w:fill="C6DFF2"/>
            <w:vAlign w:val="center"/>
          </w:tcPr>
          <w:p w:rsidR="0006297A" w:rsidRPr="00BF3202" w:rsidRDefault="0006297A" w:rsidP="00676CED">
            <w:pPr>
              <w:pStyle w:val="RI07-BodyCopy95pt"/>
              <w:jc w:val="center"/>
              <w:rPr>
                <w:b/>
                <w:bCs/>
              </w:rPr>
            </w:pPr>
            <w:r w:rsidRPr="00BF3202">
              <w:rPr>
                <w:b/>
                <w:bCs/>
              </w:rPr>
              <w:t>Russell Non-U.S. Large Cap Index</w:t>
            </w:r>
          </w:p>
          <w:p w:rsidR="0006297A" w:rsidRPr="00D32180" w:rsidRDefault="0006297A" w:rsidP="00676CED">
            <w:pPr>
              <w:pStyle w:val="RI07-BodyCopy95pt"/>
              <w:jc w:val="center"/>
            </w:pPr>
            <w:r>
              <w:t>(~2,000 securities)</w:t>
            </w:r>
          </w:p>
        </w:tc>
      </w:tr>
      <w:tr w:rsidR="0006297A" w:rsidRPr="00D32180" w:rsidTr="00676CED">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tcPr>
          <w:p w:rsidR="0006297A" w:rsidRPr="00D32180" w:rsidRDefault="0006297A" w:rsidP="00676CED">
            <w:pPr>
              <w:pStyle w:val="RI07-BodyCopy95pt"/>
              <w:jc w:val="center"/>
            </w:pPr>
          </w:p>
        </w:tc>
        <w:tc>
          <w:tcPr>
            <w:tcW w:w="1898" w:type="dxa"/>
            <w:tcBorders>
              <w:top w:val="single" w:sz="4" w:space="0" w:color="FFFFFF"/>
              <w:left w:val="single" w:sz="18" w:space="0" w:color="FFFFFF"/>
              <w:bottom w:val="single" w:sz="4" w:space="0" w:color="FFFFFF"/>
              <w:right w:val="single" w:sz="18" w:space="0" w:color="FFFFFF"/>
            </w:tcBorders>
          </w:tcPr>
          <w:p w:rsidR="0006297A" w:rsidRPr="00D32180" w:rsidRDefault="0006297A" w:rsidP="00676CED">
            <w:pPr>
              <w:pStyle w:val="RI07-BodyCopy95pt"/>
              <w:jc w:val="center"/>
            </w:pPr>
          </w:p>
        </w:tc>
        <w:tc>
          <w:tcPr>
            <w:tcW w:w="1898" w:type="dxa"/>
            <w:tcBorders>
              <w:top w:val="single" w:sz="18" w:space="0" w:color="FFFFFF"/>
              <w:left w:val="single" w:sz="18" w:space="0" w:color="FFFFFF"/>
              <w:bottom w:val="single" w:sz="18" w:space="0" w:color="FFFFFF"/>
              <w:right w:val="single" w:sz="18" w:space="0" w:color="FFFFFF"/>
            </w:tcBorders>
            <w:shd w:val="clear" w:color="auto" w:fill="C6DFF2"/>
            <w:vAlign w:val="center"/>
          </w:tcPr>
          <w:p w:rsidR="0006297A" w:rsidRPr="00BF3202" w:rsidRDefault="0006297A" w:rsidP="00676CED">
            <w:pPr>
              <w:pStyle w:val="RI07-BodyCopy95pt"/>
              <w:jc w:val="center"/>
              <w:rPr>
                <w:b/>
                <w:bCs/>
              </w:rPr>
            </w:pPr>
            <w:r w:rsidRPr="00BF3202">
              <w:rPr>
                <w:b/>
                <w:bCs/>
              </w:rPr>
              <w:t>Russell 2000</w:t>
            </w:r>
            <w:r w:rsidRPr="00BF3202">
              <w:rPr>
                <w:b/>
                <w:bCs/>
                <w:vertAlign w:val="superscript"/>
              </w:rPr>
              <w:t>®</w:t>
            </w:r>
            <w:r w:rsidRPr="00BF3202">
              <w:rPr>
                <w:b/>
                <w:bCs/>
              </w:rPr>
              <w:t xml:space="preserve"> Index</w:t>
            </w:r>
          </w:p>
          <w:p w:rsidR="0006297A" w:rsidRPr="00D32180" w:rsidRDefault="0006297A" w:rsidP="00676CED">
            <w:pPr>
              <w:pStyle w:val="RI07-BodyCopy95pt"/>
              <w:jc w:val="center"/>
            </w:pPr>
            <w:r w:rsidRPr="00D32180">
              <w:t>(~2,000 securities)</w:t>
            </w:r>
          </w:p>
        </w:tc>
        <w:tc>
          <w:tcPr>
            <w:tcW w:w="1898" w:type="dxa"/>
            <w:tcBorders>
              <w:top w:val="single" w:sz="18" w:space="0" w:color="FFFFFF"/>
              <w:left w:val="single" w:sz="18" w:space="0" w:color="FFFFFF"/>
              <w:bottom w:val="single" w:sz="18" w:space="0" w:color="FFFFFF"/>
              <w:right w:val="single" w:sz="18" w:space="0" w:color="FFFFFF"/>
            </w:tcBorders>
            <w:shd w:val="clear" w:color="auto" w:fill="C6DFF2"/>
            <w:vAlign w:val="center"/>
          </w:tcPr>
          <w:p w:rsidR="0006297A" w:rsidRPr="00BF3202" w:rsidRDefault="0006297A" w:rsidP="00676CED">
            <w:pPr>
              <w:pStyle w:val="RI07-BodyCopy95pt"/>
              <w:jc w:val="center"/>
              <w:rPr>
                <w:b/>
                <w:bCs/>
              </w:rPr>
            </w:pPr>
            <w:r w:rsidRPr="00BF3202">
              <w:rPr>
                <w:b/>
                <w:bCs/>
              </w:rPr>
              <w:t>Russell Non-U.S. Small Cap Index</w:t>
            </w:r>
          </w:p>
          <w:p w:rsidR="0006297A" w:rsidRPr="00D32180" w:rsidRDefault="0006297A" w:rsidP="00676CED">
            <w:pPr>
              <w:pStyle w:val="RI07-BodyCopy95pt"/>
              <w:jc w:val="center"/>
            </w:pPr>
            <w:r w:rsidRPr="00D32180">
              <w:t>(~5,000 securities)</w:t>
            </w:r>
          </w:p>
        </w:tc>
      </w:tr>
    </w:tbl>
    <w:p w:rsidR="0006297A" w:rsidRPr="00D32180" w:rsidRDefault="0006297A" w:rsidP="0006297A">
      <w:pPr>
        <w:pStyle w:val="Heading2"/>
      </w:pPr>
      <w:bookmarkStart w:id="95" w:name="_Toc303342508"/>
      <w:bookmarkStart w:id="96" w:name="_Toc343682649"/>
      <w:r w:rsidRPr="00D32180">
        <w:t>Regional and country indexes</w:t>
      </w:r>
      <w:bookmarkEnd w:id="93"/>
      <w:bookmarkEnd w:id="94"/>
      <w:bookmarkEnd w:id="95"/>
      <w:bookmarkEnd w:id="96"/>
    </w:p>
    <w:p w:rsidR="0006297A" w:rsidRPr="00D32180" w:rsidRDefault="0006297A" w:rsidP="0006297A">
      <w:pPr>
        <w:pStyle w:val="RI07-BodyCopy95pt"/>
      </w:pPr>
      <w:r>
        <w:t>The Russell Global Index series</w:t>
      </w:r>
      <w:r w:rsidRPr="00D32180">
        <w:t xml:space="preserve"> include</w:t>
      </w:r>
      <w:r>
        <w:t>s</w:t>
      </w:r>
      <w:r w:rsidRPr="00D32180">
        <w:t xml:space="preserve"> stand-alone regional and country indexes. A complete list of regions and countries is available in </w:t>
      </w:r>
      <w:hyperlink w:anchor="_Russell_Global_Indexes:" w:history="1">
        <w:r w:rsidRPr="000E59D6">
          <w:rPr>
            <w:rStyle w:val="Hyperlink"/>
            <w:color w:val="7F7F7F"/>
          </w:rPr>
          <w:t>Appendix A</w:t>
        </w:r>
      </w:hyperlink>
      <w:r w:rsidRPr="00D32180">
        <w:t>.</w:t>
      </w:r>
    </w:p>
    <w:p w:rsidR="0006297A" w:rsidRPr="00D32180" w:rsidRDefault="0006297A" w:rsidP="0006297A">
      <w:pPr>
        <w:pStyle w:val="Heading2"/>
      </w:pPr>
      <w:bookmarkStart w:id="97" w:name="_Toc303342509"/>
      <w:bookmarkStart w:id="98" w:name="_Toc343682650"/>
      <w:bookmarkStart w:id="99" w:name="_Toc217446164"/>
      <w:bookmarkStart w:id="100" w:name="_Toc220919392"/>
      <w:r w:rsidRPr="00D32180">
        <w:t>Emerging and developed markets</w:t>
      </w:r>
      <w:bookmarkEnd w:id="97"/>
      <w:bookmarkEnd w:id="98"/>
      <w:r w:rsidRPr="00D32180">
        <w:t xml:space="preserve"> </w:t>
      </w:r>
      <w:bookmarkEnd w:id="99"/>
      <w:bookmarkEnd w:id="100"/>
    </w:p>
    <w:p w:rsidR="0006297A" w:rsidRPr="00D32180" w:rsidRDefault="0006297A" w:rsidP="0006297A">
      <w:pPr>
        <w:pStyle w:val="RI07-BodyCopy95pt"/>
      </w:pPr>
      <w:r w:rsidRPr="00D32180">
        <w:t>In consideration of the investing environments of existing emerging and developed markets, the modular structure of the Russell Global Index provide</w:t>
      </w:r>
      <w:r>
        <w:t>s</w:t>
      </w:r>
      <w:r w:rsidRPr="00D32180">
        <w:t xml:space="preserve"> developed and emerging markets regional index options. Given the purpose of the Russell Global Index—to offer investors </w:t>
      </w:r>
      <w:r>
        <w:t>the best</w:t>
      </w:r>
      <w:r w:rsidRPr="00D32180">
        <w:t xml:space="preserve"> and mo</w:t>
      </w:r>
      <w:r>
        <w:t xml:space="preserve">st </w:t>
      </w:r>
      <w:r w:rsidRPr="00D32180">
        <w:t xml:space="preserve">accurate </w:t>
      </w:r>
      <w:r>
        <w:t xml:space="preserve">proxy of the investable </w:t>
      </w:r>
      <w:r w:rsidRPr="00D32180">
        <w:t xml:space="preserve">global </w:t>
      </w:r>
      <w:r>
        <w:t>equity asset class</w:t>
      </w:r>
      <w:r w:rsidRPr="00D32180">
        <w:t>—Russell uses a combination of macroeconomic and market</w:t>
      </w:r>
      <w:r>
        <w:t>-based</w:t>
      </w:r>
      <w:r w:rsidRPr="00D32180">
        <w:t xml:space="preserve"> criteria to distinguish developed from emerging</w:t>
      </w:r>
      <w:r>
        <w:t xml:space="preserve"> and frontier</w:t>
      </w:r>
      <w:r w:rsidRPr="00D32180">
        <w:t xml:space="preserve"> markets. Russell use</w:t>
      </w:r>
      <w:r>
        <w:t>s</w:t>
      </w:r>
      <w:r w:rsidRPr="00D32180">
        <w:t xml:space="preserve"> a transparent </w:t>
      </w:r>
      <w:r>
        <w:t>set of indicators</w:t>
      </w:r>
      <w:r w:rsidRPr="00D32180">
        <w:t xml:space="preserve"> for recognizing countries that </w:t>
      </w:r>
      <w:r>
        <w:t>have reached the most advanced</w:t>
      </w:r>
      <w:r w:rsidRPr="00D32180">
        <w:t xml:space="preserve"> developed</w:t>
      </w:r>
      <w:r>
        <w:t xml:space="preserve"> market status</w:t>
      </w:r>
      <w:r w:rsidRPr="00D32180">
        <w:t xml:space="preserve">, or that, conversely, </w:t>
      </w:r>
      <w:r>
        <w:t>may be higher risk and generally less</w:t>
      </w:r>
      <w:r w:rsidRPr="00D32180">
        <w:t xml:space="preserve"> accessible to investors. </w:t>
      </w:r>
    </w:p>
    <w:p w:rsidR="0006297A" w:rsidRPr="00D32180" w:rsidRDefault="0006297A" w:rsidP="0006297A">
      <w:pPr>
        <w:pStyle w:val="Heading2"/>
      </w:pPr>
      <w:bookmarkStart w:id="101" w:name="_Toc217446165"/>
      <w:bookmarkStart w:id="102" w:name="_Toc220919393"/>
      <w:bookmarkStart w:id="103" w:name="_Toc303342510"/>
      <w:bookmarkStart w:id="104" w:name="_Toc343682651"/>
      <w:r w:rsidRPr="00D32180">
        <w:t>Economic criteria</w:t>
      </w:r>
      <w:bookmarkEnd w:id="101"/>
      <w:bookmarkEnd w:id="102"/>
      <w:bookmarkEnd w:id="103"/>
      <w:bookmarkEnd w:id="104"/>
    </w:p>
    <w:p w:rsidR="0006297A" w:rsidRPr="00D32180" w:rsidRDefault="0006297A" w:rsidP="0006297A">
      <w:pPr>
        <w:pStyle w:val="RI07-BodyCopy95pt"/>
      </w:pPr>
      <w:r w:rsidRPr="00D32180">
        <w:t xml:space="preserve">Russell uses economic criteria as </w:t>
      </w:r>
      <w:r>
        <w:t>the</w:t>
      </w:r>
      <w:r w:rsidRPr="00D32180">
        <w:t xml:space="preserve"> first step in categorizing countries into developed and emerging market indexes, because doing so provides a measurement</w:t>
      </w:r>
      <w:r>
        <w:t xml:space="preserve"> of the relative stability and</w:t>
      </w:r>
      <w:r w:rsidRPr="00D32180">
        <w:t xml:space="preserve"> development</w:t>
      </w:r>
      <w:r>
        <w:t xml:space="preserve"> of the macro-economy</w:t>
      </w:r>
      <w:r w:rsidRPr="00D32180">
        <w:t xml:space="preserve">. </w:t>
      </w:r>
      <w:r>
        <w:t xml:space="preserve">  </w:t>
      </w:r>
      <w:r w:rsidRPr="00D32180">
        <w:t xml:space="preserve">Countries must meet the minimum economic criteria for developed markets in order to be considered for inclusion in the Russell Developed Markets Index or any of its sub-indexes. In order for a </w:t>
      </w:r>
      <w:r w:rsidRPr="00D32180">
        <w:lastRenderedPageBreak/>
        <w:t>country to be considered a developed market, it must meet and sustain</w:t>
      </w:r>
      <w:r>
        <w:t xml:space="preserve"> a</w:t>
      </w:r>
      <w:r w:rsidRPr="00D32180">
        <w:t xml:space="preserve"> </w:t>
      </w:r>
      <w:r>
        <w:t>top quartile composite score based on the</w:t>
      </w:r>
      <w:r w:rsidRPr="00D32180">
        <w:t xml:space="preserve"> </w:t>
      </w:r>
      <w:r>
        <w:t>below set</w:t>
      </w:r>
      <w:r w:rsidRPr="00D32180">
        <w:t xml:space="preserve"> </w:t>
      </w:r>
      <w:r>
        <w:t xml:space="preserve">of economic </w:t>
      </w:r>
      <w:r w:rsidRPr="00D32180">
        <w:t>criteria</w:t>
      </w:r>
      <w:r>
        <w:t>.  In order for an existing emerging market country to move to developed market status it should have a developed-relative economic score for at least three consecutive years</w:t>
      </w:r>
      <w:r w:rsidRPr="00D32180">
        <w:t xml:space="preserve">. </w:t>
      </w:r>
      <w:r>
        <w:t>After two consecutive years of a change in signal, Russell will conduct an additional market review taking into consideration investor sentiment on the specific market under evaluation to determine economic stability of the country and the merits of a change in development status.</w:t>
      </w:r>
    </w:p>
    <w:tbl>
      <w:tblPr>
        <w:tblW w:w="0" w:type="auto"/>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1728"/>
        <w:gridCol w:w="2880"/>
        <w:gridCol w:w="73"/>
        <w:gridCol w:w="2340"/>
        <w:gridCol w:w="287"/>
        <w:gridCol w:w="2053"/>
        <w:gridCol w:w="129"/>
      </w:tblGrid>
      <w:tr w:rsidR="0006297A" w:rsidRPr="00BF3202" w:rsidTr="00676CED">
        <w:tc>
          <w:tcPr>
            <w:tcW w:w="1728" w:type="dxa"/>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Criteria</w:t>
            </w:r>
          </w:p>
        </w:tc>
        <w:tc>
          <w:tcPr>
            <w:tcW w:w="2880" w:type="dxa"/>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Measure</w:t>
            </w:r>
          </w:p>
        </w:tc>
        <w:tc>
          <w:tcPr>
            <w:tcW w:w="2700" w:type="dxa"/>
            <w:gridSpan w:val="3"/>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Developed</w:t>
            </w:r>
          </w:p>
        </w:tc>
        <w:tc>
          <w:tcPr>
            <w:tcW w:w="2182" w:type="dxa"/>
            <w:gridSpan w:val="2"/>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Emerging</w:t>
            </w:r>
          </w:p>
        </w:tc>
      </w:tr>
      <w:tr w:rsidR="0006297A" w:rsidRPr="00BF3202" w:rsidTr="00676CED">
        <w:tc>
          <w:tcPr>
            <w:tcW w:w="1728" w:type="dxa"/>
          </w:tcPr>
          <w:p w:rsidR="0006297A" w:rsidRPr="00BF3202" w:rsidRDefault="0006297A" w:rsidP="00676CED">
            <w:pPr>
              <w:pStyle w:val="RI07-BodyCopy95pt"/>
              <w:spacing w:before="20" w:after="20" w:line="240" w:lineRule="auto"/>
              <w:rPr>
                <w:sz w:val="18"/>
                <w:szCs w:val="18"/>
              </w:rPr>
            </w:pPr>
            <w:r w:rsidRPr="00BF3202">
              <w:rPr>
                <w:sz w:val="18"/>
                <w:szCs w:val="18"/>
              </w:rPr>
              <w:t>Relative income</w:t>
            </w:r>
          </w:p>
        </w:tc>
        <w:tc>
          <w:tcPr>
            <w:tcW w:w="2880" w:type="dxa"/>
          </w:tcPr>
          <w:p w:rsidR="0006297A" w:rsidRPr="00BF3202" w:rsidRDefault="0006297A" w:rsidP="00676CED">
            <w:pPr>
              <w:pStyle w:val="RI07-BodyCopy95pt"/>
              <w:spacing w:before="20" w:after="20" w:line="240" w:lineRule="auto"/>
              <w:rPr>
                <w:sz w:val="18"/>
                <w:szCs w:val="18"/>
              </w:rPr>
            </w:pPr>
            <w:r w:rsidRPr="00BF3202">
              <w:rPr>
                <w:sz w:val="18"/>
                <w:szCs w:val="18"/>
              </w:rPr>
              <w:t>World Bank Income Category</w:t>
            </w:r>
          </w:p>
        </w:tc>
        <w:tc>
          <w:tcPr>
            <w:tcW w:w="2700" w:type="dxa"/>
            <w:gridSpan w:val="3"/>
          </w:tcPr>
          <w:p w:rsidR="0006297A" w:rsidRPr="00BF3202" w:rsidRDefault="0006297A" w:rsidP="00676CED">
            <w:pPr>
              <w:pStyle w:val="RI07-BodyCopy95pt"/>
              <w:spacing w:before="20" w:after="20" w:line="240" w:lineRule="auto"/>
              <w:rPr>
                <w:sz w:val="18"/>
                <w:szCs w:val="18"/>
              </w:rPr>
            </w:pPr>
            <w:r>
              <w:rPr>
                <w:sz w:val="18"/>
                <w:szCs w:val="18"/>
              </w:rPr>
              <w:t>“</w:t>
            </w:r>
            <w:r w:rsidRPr="00BF3202">
              <w:rPr>
                <w:sz w:val="18"/>
                <w:szCs w:val="18"/>
              </w:rPr>
              <w:t>High</w:t>
            </w:r>
            <w:r>
              <w:rPr>
                <w:sz w:val="18"/>
                <w:szCs w:val="18"/>
              </w:rPr>
              <w:t xml:space="preserve"> Income”</w:t>
            </w:r>
          </w:p>
        </w:tc>
        <w:tc>
          <w:tcPr>
            <w:tcW w:w="2182" w:type="dxa"/>
            <w:gridSpan w:val="2"/>
          </w:tcPr>
          <w:p w:rsidR="0006297A" w:rsidRPr="00BF3202" w:rsidRDefault="0006297A" w:rsidP="00676CED">
            <w:pPr>
              <w:pStyle w:val="RI07-BodyCopy95pt"/>
              <w:spacing w:before="20" w:after="20" w:line="240" w:lineRule="auto"/>
              <w:rPr>
                <w:sz w:val="18"/>
                <w:szCs w:val="18"/>
              </w:rPr>
            </w:pPr>
            <w:r>
              <w:rPr>
                <w:sz w:val="18"/>
                <w:szCs w:val="18"/>
              </w:rPr>
              <w:t>Less than</w:t>
            </w:r>
            <w:r w:rsidRPr="00BF3202">
              <w:rPr>
                <w:sz w:val="18"/>
                <w:szCs w:val="18"/>
              </w:rPr>
              <w:t xml:space="preserve"> </w:t>
            </w:r>
            <w:r>
              <w:rPr>
                <w:sz w:val="18"/>
                <w:szCs w:val="18"/>
              </w:rPr>
              <w:t>“</w:t>
            </w:r>
            <w:r w:rsidRPr="00BF3202">
              <w:rPr>
                <w:sz w:val="18"/>
                <w:szCs w:val="18"/>
              </w:rPr>
              <w:t>High</w:t>
            </w:r>
            <w:r>
              <w:rPr>
                <w:sz w:val="18"/>
                <w:szCs w:val="18"/>
              </w:rPr>
              <w:t xml:space="preserve"> Income”</w:t>
            </w:r>
          </w:p>
        </w:tc>
      </w:tr>
      <w:tr w:rsidR="0006297A" w:rsidRPr="00645AD0" w:rsidTr="00676CED">
        <w:tblPrEx>
          <w:tblBorders>
            <w:left w:val="single" w:sz="4" w:space="0" w:color="auto"/>
            <w:right w:val="single" w:sz="4" w:space="0" w:color="auto"/>
            <w:insideV w:val="single" w:sz="4" w:space="0" w:color="auto"/>
          </w:tblBorders>
        </w:tblPrEx>
        <w:trPr>
          <w:gridAfter w:val="1"/>
          <w:wAfter w:w="129" w:type="dxa"/>
        </w:trPr>
        <w:tc>
          <w:tcPr>
            <w:tcW w:w="1728" w:type="dxa"/>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Pr>
                <w:sz w:val="18"/>
                <w:szCs w:val="18"/>
              </w:rPr>
              <w:t xml:space="preserve"> Development status</w:t>
            </w:r>
          </w:p>
        </w:tc>
        <w:tc>
          <w:tcPr>
            <w:tcW w:w="2953" w:type="dxa"/>
            <w:gridSpan w:val="2"/>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Pr>
                <w:sz w:val="18"/>
                <w:szCs w:val="18"/>
              </w:rPr>
              <w:t>International Monetary Fund</w:t>
            </w:r>
          </w:p>
        </w:tc>
        <w:tc>
          <w:tcPr>
            <w:tcW w:w="2340" w:type="dxa"/>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Pr>
                <w:sz w:val="18"/>
                <w:szCs w:val="18"/>
              </w:rPr>
              <w:t xml:space="preserve">Advanced </w:t>
            </w:r>
          </w:p>
        </w:tc>
        <w:tc>
          <w:tcPr>
            <w:tcW w:w="2340" w:type="dxa"/>
            <w:gridSpan w:val="2"/>
            <w:tcBorders>
              <w:left w:val="single" w:sz="4" w:space="0" w:color="FFFFFF"/>
              <w:right w:val="single" w:sz="4" w:space="0" w:color="FFFFFF"/>
            </w:tcBorders>
            <w:tcMar>
              <w:left w:w="58" w:type="dxa"/>
              <w:right w:w="29" w:type="dxa"/>
            </w:tcMar>
          </w:tcPr>
          <w:p w:rsidR="0006297A" w:rsidRPr="00645AD0" w:rsidRDefault="0006297A" w:rsidP="00676CED">
            <w:pPr>
              <w:pStyle w:val="RI07-BodyCopy95pt"/>
              <w:spacing w:before="20" w:after="20" w:line="240" w:lineRule="auto"/>
              <w:rPr>
                <w:sz w:val="18"/>
                <w:szCs w:val="18"/>
              </w:rPr>
            </w:pPr>
            <w:r>
              <w:rPr>
                <w:sz w:val="18"/>
                <w:szCs w:val="18"/>
              </w:rPr>
              <w:t xml:space="preserve">       Advancing</w:t>
            </w:r>
          </w:p>
        </w:tc>
      </w:tr>
      <w:tr w:rsidR="0006297A" w:rsidRPr="00BF3202" w:rsidTr="00676CED">
        <w:tc>
          <w:tcPr>
            <w:tcW w:w="1728" w:type="dxa"/>
          </w:tcPr>
          <w:p w:rsidR="0006297A" w:rsidRPr="00BF3202" w:rsidRDefault="0006297A" w:rsidP="00676CED">
            <w:pPr>
              <w:pStyle w:val="RI07-BodyCopy95pt"/>
              <w:spacing w:before="20" w:after="20" w:line="240" w:lineRule="auto"/>
              <w:rPr>
                <w:sz w:val="18"/>
                <w:szCs w:val="18"/>
              </w:rPr>
            </w:pPr>
            <w:r w:rsidRPr="00BF3202">
              <w:rPr>
                <w:sz w:val="18"/>
                <w:szCs w:val="18"/>
              </w:rPr>
              <w:t xml:space="preserve">Country risk </w:t>
            </w:r>
          </w:p>
        </w:tc>
        <w:tc>
          <w:tcPr>
            <w:tcW w:w="2880" w:type="dxa"/>
          </w:tcPr>
          <w:p w:rsidR="0006297A" w:rsidRPr="00BF3202" w:rsidRDefault="0006297A" w:rsidP="00676CED">
            <w:pPr>
              <w:pStyle w:val="RI07-BodyCopy95pt"/>
              <w:spacing w:before="20" w:after="20" w:line="240" w:lineRule="auto"/>
              <w:rPr>
                <w:sz w:val="18"/>
                <w:szCs w:val="18"/>
              </w:rPr>
            </w:pPr>
            <w:r w:rsidRPr="00BF3202">
              <w:rPr>
                <w:sz w:val="18"/>
                <w:szCs w:val="18"/>
              </w:rPr>
              <w:t>Economist Intelligence Unit</w:t>
            </w:r>
            <w:r>
              <w:rPr>
                <w:sz w:val="18"/>
                <w:szCs w:val="18"/>
              </w:rPr>
              <w:t xml:space="preserve"> Score</w:t>
            </w:r>
          </w:p>
        </w:tc>
        <w:tc>
          <w:tcPr>
            <w:tcW w:w="2700" w:type="dxa"/>
            <w:gridSpan w:val="3"/>
          </w:tcPr>
          <w:p w:rsidR="0006297A" w:rsidRPr="00BF3202" w:rsidRDefault="0006297A" w:rsidP="00676CED">
            <w:pPr>
              <w:pStyle w:val="RI07-BodyCopy95pt"/>
              <w:spacing w:before="20" w:after="20" w:line="240" w:lineRule="auto"/>
              <w:rPr>
                <w:sz w:val="18"/>
                <w:szCs w:val="18"/>
              </w:rPr>
            </w:pPr>
            <w:r w:rsidRPr="00BF3202">
              <w:rPr>
                <w:sz w:val="18"/>
                <w:szCs w:val="18"/>
              </w:rPr>
              <w:t xml:space="preserve">Score </w:t>
            </w:r>
            <w:r>
              <w:rPr>
                <w:sz w:val="18"/>
                <w:szCs w:val="18"/>
              </w:rPr>
              <w:t>less than or equal to 40</w:t>
            </w:r>
          </w:p>
        </w:tc>
        <w:tc>
          <w:tcPr>
            <w:tcW w:w="2182" w:type="dxa"/>
            <w:gridSpan w:val="2"/>
          </w:tcPr>
          <w:p w:rsidR="0006297A" w:rsidRPr="00BF3202" w:rsidRDefault="0006297A" w:rsidP="00676CED">
            <w:pPr>
              <w:pStyle w:val="RI07-BodyCopy95pt"/>
              <w:spacing w:before="20" w:after="20" w:line="240" w:lineRule="auto"/>
              <w:rPr>
                <w:sz w:val="18"/>
                <w:szCs w:val="18"/>
              </w:rPr>
            </w:pPr>
            <w:r>
              <w:rPr>
                <w:rFonts w:cs="Arial"/>
                <w:sz w:val="18"/>
                <w:szCs w:val="18"/>
              </w:rPr>
              <w:t xml:space="preserve">Score greater than </w:t>
            </w:r>
            <w:r>
              <w:rPr>
                <w:sz w:val="18"/>
                <w:szCs w:val="18"/>
              </w:rPr>
              <w:t>40</w:t>
            </w:r>
          </w:p>
        </w:tc>
      </w:tr>
    </w:tbl>
    <w:p w:rsidR="0006297A" w:rsidRDefault="0006297A" w:rsidP="0006297A">
      <w:pPr>
        <w:pStyle w:val="RI07-BodyCopy95pt"/>
        <w:rPr>
          <w:sz w:val="16"/>
          <w:szCs w:val="16"/>
        </w:rPr>
      </w:pPr>
      <w:r w:rsidRPr="00D32180">
        <w:rPr>
          <w:sz w:val="16"/>
          <w:szCs w:val="16"/>
        </w:rPr>
        <w:t>Sources: World Bank and Economist Intelligence Unit</w:t>
      </w:r>
      <w:r>
        <w:rPr>
          <w:sz w:val="16"/>
          <w:szCs w:val="16"/>
        </w:rPr>
        <w:t>, and IMF</w:t>
      </w:r>
      <w:r w:rsidRPr="00D32180">
        <w:rPr>
          <w:sz w:val="16"/>
          <w:szCs w:val="16"/>
        </w:rPr>
        <w:t>.</w:t>
      </w:r>
    </w:p>
    <w:p w:rsidR="0006297A" w:rsidRPr="00D32180" w:rsidRDefault="0006297A" w:rsidP="0006297A">
      <w:pPr>
        <w:pStyle w:val="RI07-BodyCopy95pt"/>
        <w:rPr>
          <w:sz w:val="16"/>
          <w:szCs w:val="16"/>
        </w:rPr>
      </w:pPr>
      <w:r>
        <w:rPr>
          <w:sz w:val="16"/>
          <w:szCs w:val="16"/>
        </w:rPr>
        <w:t xml:space="preserve">Note: In </w:t>
      </w:r>
      <w:r w:rsidRPr="00D3185C">
        <w:rPr>
          <w:sz w:val="16"/>
          <w:szCs w:val="16"/>
        </w:rPr>
        <w:t>2009, the</w:t>
      </w:r>
      <w:r>
        <w:rPr>
          <w:sz w:val="16"/>
          <w:szCs w:val="16"/>
        </w:rPr>
        <w:t xml:space="preserve"> EIU changed their scoring system from letter rankings (A-D), to numbers. Historical classifications were not changed to reflect this change. The scores were applied going forward only. </w:t>
      </w:r>
    </w:p>
    <w:p w:rsidR="0006297A" w:rsidRPr="00D32180" w:rsidRDefault="0006297A" w:rsidP="0006297A">
      <w:pPr>
        <w:pStyle w:val="Heading2"/>
      </w:pPr>
      <w:bookmarkStart w:id="105" w:name="_Toc217446166"/>
      <w:bookmarkStart w:id="106" w:name="_Toc220919394"/>
      <w:bookmarkStart w:id="107" w:name="_Toc303342511"/>
      <w:bookmarkStart w:id="108" w:name="_Toc343682652"/>
      <w:r w:rsidRPr="00D32180">
        <w:t>Market criteria</w:t>
      </w:r>
      <w:bookmarkEnd w:id="105"/>
      <w:bookmarkEnd w:id="106"/>
      <w:bookmarkEnd w:id="107"/>
      <w:bookmarkEnd w:id="108"/>
    </w:p>
    <w:p w:rsidR="0006297A" w:rsidRDefault="0006297A" w:rsidP="0006297A">
      <w:pPr>
        <w:pStyle w:val="RI07-BodyCopy95pt"/>
      </w:pPr>
      <w:r>
        <w:t>The second portion of Russell’s market review process is to</w:t>
      </w:r>
      <w:r w:rsidRPr="00D32180">
        <w:t xml:space="preserve"> evaluate its investing environment. Economic criteria</w:t>
      </w:r>
      <w:r>
        <w:t xml:space="preserve"> alone</w:t>
      </w:r>
      <w:r w:rsidRPr="00D32180">
        <w:t xml:space="preserve"> are insufficient for categorizing </w:t>
      </w:r>
      <w:r>
        <w:t xml:space="preserve">a </w:t>
      </w:r>
      <w:r w:rsidRPr="00D32180">
        <w:t>countr</w:t>
      </w:r>
      <w:r>
        <w:t>y</w:t>
      </w:r>
      <w:r w:rsidRPr="00D32180">
        <w:t xml:space="preserve"> </w:t>
      </w:r>
      <w:r>
        <w:t>as a</w:t>
      </w:r>
      <w:r w:rsidRPr="00D32180">
        <w:t xml:space="preserve"> developed</w:t>
      </w:r>
      <w:r>
        <w:t xml:space="preserve">, </w:t>
      </w:r>
      <w:r w:rsidRPr="00D32180">
        <w:t>emerging</w:t>
      </w:r>
      <w:r>
        <w:t>, or frontier market</w:t>
      </w:r>
      <w:r w:rsidRPr="00D32180">
        <w:t xml:space="preserve"> because they do not </w:t>
      </w:r>
      <w:r>
        <w:t xml:space="preserve">necessarily </w:t>
      </w:r>
      <w:r w:rsidRPr="00D32180">
        <w:t xml:space="preserve">reflect </w:t>
      </w:r>
      <w:r>
        <w:t xml:space="preserve">the conditions of the trading environment. </w:t>
      </w:r>
      <w:r w:rsidRPr="00D32180">
        <w:t xml:space="preserve">Market criteria provide an objective filter by use of </w:t>
      </w:r>
      <w:r>
        <w:t xml:space="preserve">the </w:t>
      </w:r>
      <w:r w:rsidRPr="00D32180">
        <w:t xml:space="preserve">practical investment considerations </w:t>
      </w:r>
      <w:r>
        <w:t>set forth in the below table.</w:t>
      </w:r>
      <w:r w:rsidRPr="00D32180">
        <w:t xml:space="preserve"> All market factors are </w:t>
      </w:r>
      <w:r>
        <w:t xml:space="preserve">assigned </w:t>
      </w:r>
      <w:r w:rsidRPr="00D32180">
        <w:t>equa</w:t>
      </w:r>
      <w:r>
        <w:t>lly</w:t>
      </w:r>
      <w:r w:rsidRPr="00D32180">
        <w:t xml:space="preserve">-weighted </w:t>
      </w:r>
      <w:r>
        <w:t>values which are used to form a market criteria composite score</w:t>
      </w:r>
      <w:r w:rsidRPr="00D32180">
        <w:t>. For a country to be considered a developed market, i</w:t>
      </w:r>
      <w:r>
        <w:t xml:space="preserve">n addition to satisfying the economic criteria above, it also must sustain a top quartile composite score based on </w:t>
      </w:r>
      <w:r w:rsidRPr="00D32180">
        <w:t xml:space="preserve">the </w:t>
      </w:r>
      <w:r>
        <w:t>m</w:t>
      </w:r>
      <w:r w:rsidRPr="00D32180">
        <w:t>arket criteria</w:t>
      </w:r>
      <w:r>
        <w:t xml:space="preserve"> listed below</w:t>
      </w:r>
      <w:r w:rsidRPr="00D32180">
        <w:t>:</w:t>
      </w:r>
      <w:r>
        <w:t xml:space="preserve">  In the event of a signal change, or a change to a specific element of the market criteria that may impact the signal, Russell will also conduct an additional market review taking into consideration the feedback from market participants regarding the investing environment of the country and the merits of a change in development status.</w:t>
      </w:r>
    </w:p>
    <w:p w:rsidR="0006297A" w:rsidRPr="00D32180" w:rsidRDefault="0006297A" w:rsidP="0006297A">
      <w:pPr>
        <w:pStyle w:val="RI07-BodyCopy95pt"/>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887"/>
        <w:gridCol w:w="4231"/>
        <w:gridCol w:w="1372"/>
      </w:tblGrid>
      <w:tr w:rsidR="0006297A" w:rsidRPr="00C818EF" w:rsidTr="00676CED">
        <w:tc>
          <w:tcPr>
            <w:tcW w:w="2048" w:type="pct"/>
          </w:tcPr>
          <w:p w:rsidR="0006297A" w:rsidRPr="00C818EF" w:rsidRDefault="0006297A" w:rsidP="00676CED">
            <w:pPr>
              <w:pStyle w:val="RI07-BodyCopy95pt"/>
              <w:spacing w:before="20" w:after="20" w:line="240" w:lineRule="auto"/>
              <w:rPr>
                <w:b/>
                <w:bCs/>
                <w:color w:val="66AADD"/>
                <w:sz w:val="18"/>
                <w:szCs w:val="18"/>
              </w:rPr>
            </w:pPr>
            <w:r w:rsidRPr="00C818EF">
              <w:rPr>
                <w:b/>
                <w:bCs/>
                <w:color w:val="66AADD"/>
                <w:sz w:val="18"/>
                <w:szCs w:val="18"/>
              </w:rPr>
              <w:t>Criteria</w:t>
            </w:r>
          </w:p>
        </w:tc>
        <w:tc>
          <w:tcPr>
            <w:tcW w:w="2229" w:type="pct"/>
          </w:tcPr>
          <w:p w:rsidR="0006297A" w:rsidRPr="00C818EF" w:rsidRDefault="0006297A" w:rsidP="00676CED">
            <w:pPr>
              <w:pStyle w:val="RI07-BodyCopy95pt"/>
              <w:spacing w:before="20" w:after="20" w:line="240" w:lineRule="auto"/>
              <w:rPr>
                <w:b/>
                <w:bCs/>
                <w:color w:val="66AADD"/>
                <w:sz w:val="18"/>
                <w:szCs w:val="18"/>
              </w:rPr>
            </w:pPr>
            <w:r w:rsidRPr="00C818EF">
              <w:rPr>
                <w:b/>
                <w:bCs/>
                <w:color w:val="66AADD"/>
                <w:sz w:val="18"/>
                <w:szCs w:val="18"/>
              </w:rPr>
              <w:t>Developed</w:t>
            </w:r>
          </w:p>
        </w:tc>
        <w:tc>
          <w:tcPr>
            <w:tcW w:w="723" w:type="pct"/>
          </w:tcPr>
          <w:p w:rsidR="0006297A" w:rsidRPr="00C818EF" w:rsidRDefault="0006297A" w:rsidP="00676CED">
            <w:pPr>
              <w:pStyle w:val="RI07-BodyCopy95pt"/>
              <w:spacing w:before="20" w:after="20" w:line="240" w:lineRule="auto"/>
              <w:rPr>
                <w:b/>
                <w:bCs/>
                <w:color w:val="66AADD"/>
                <w:sz w:val="18"/>
                <w:szCs w:val="18"/>
              </w:rPr>
            </w:pPr>
            <w:r w:rsidRPr="00C818EF">
              <w:rPr>
                <w:b/>
                <w:bCs/>
                <w:color w:val="66AADD"/>
                <w:sz w:val="18"/>
                <w:szCs w:val="18"/>
              </w:rPr>
              <w:t>Emerging</w:t>
            </w:r>
          </w:p>
        </w:tc>
      </w:tr>
      <w:tr w:rsidR="0006297A" w:rsidRPr="00C818EF" w:rsidTr="00676CED">
        <w:tc>
          <w:tcPr>
            <w:tcW w:w="2048" w:type="pct"/>
          </w:tcPr>
          <w:p w:rsidR="0006297A" w:rsidRPr="00C818EF" w:rsidRDefault="0006297A" w:rsidP="00676CED">
            <w:pPr>
              <w:pStyle w:val="RI07-BodyCopy95pt"/>
              <w:spacing w:before="20" w:after="20" w:line="240" w:lineRule="auto"/>
              <w:rPr>
                <w:sz w:val="18"/>
                <w:szCs w:val="18"/>
              </w:rPr>
            </w:pPr>
            <w:r w:rsidRPr="00C818EF">
              <w:rPr>
                <w:sz w:val="18"/>
                <w:szCs w:val="18"/>
              </w:rPr>
              <w:t>FX restrictions</w:t>
            </w:r>
          </w:p>
        </w:tc>
        <w:tc>
          <w:tcPr>
            <w:tcW w:w="2229" w:type="pct"/>
          </w:tcPr>
          <w:p w:rsidR="0006297A" w:rsidRPr="00C818EF" w:rsidRDefault="0006297A" w:rsidP="00676CED">
            <w:pPr>
              <w:pStyle w:val="RI07-BodyCopy95pt"/>
              <w:spacing w:before="20" w:after="20" w:line="240" w:lineRule="auto"/>
              <w:rPr>
                <w:sz w:val="18"/>
                <w:szCs w:val="18"/>
              </w:rPr>
            </w:pPr>
            <w:r w:rsidRPr="00C818EF">
              <w:rPr>
                <w:sz w:val="18"/>
                <w:szCs w:val="18"/>
              </w:rPr>
              <w:t>No</w:t>
            </w:r>
          </w:p>
        </w:tc>
        <w:tc>
          <w:tcPr>
            <w:tcW w:w="723" w:type="pct"/>
          </w:tcPr>
          <w:p w:rsidR="0006297A" w:rsidRPr="00C818EF" w:rsidRDefault="0006297A" w:rsidP="00676CED">
            <w:pPr>
              <w:pStyle w:val="RI07-BodyCopy95pt"/>
              <w:spacing w:before="20" w:after="20" w:line="240" w:lineRule="auto"/>
              <w:rPr>
                <w:sz w:val="18"/>
                <w:szCs w:val="18"/>
              </w:rPr>
            </w:pPr>
            <w:r w:rsidRPr="00C818EF">
              <w:rPr>
                <w:sz w:val="18"/>
                <w:szCs w:val="18"/>
              </w:rPr>
              <w:t>Yes</w:t>
            </w:r>
          </w:p>
        </w:tc>
      </w:tr>
      <w:tr w:rsidR="0006297A" w:rsidRPr="00C818EF" w:rsidTr="00676CED">
        <w:tc>
          <w:tcPr>
            <w:tcW w:w="2048" w:type="pct"/>
          </w:tcPr>
          <w:p w:rsidR="0006297A" w:rsidRPr="00C818EF" w:rsidRDefault="0006297A" w:rsidP="00676CED">
            <w:pPr>
              <w:pStyle w:val="RI07-BodyCopy95pt"/>
              <w:spacing w:before="20" w:after="20" w:line="240" w:lineRule="auto"/>
              <w:rPr>
                <w:sz w:val="18"/>
                <w:szCs w:val="18"/>
              </w:rPr>
            </w:pPr>
            <w:r w:rsidRPr="00C818EF">
              <w:rPr>
                <w:sz w:val="18"/>
                <w:szCs w:val="18"/>
              </w:rPr>
              <w:t>Repatriation restrictions</w:t>
            </w:r>
          </w:p>
        </w:tc>
        <w:tc>
          <w:tcPr>
            <w:tcW w:w="2229" w:type="pct"/>
          </w:tcPr>
          <w:p w:rsidR="0006297A" w:rsidRPr="00C818EF" w:rsidRDefault="0006297A" w:rsidP="00676CED">
            <w:pPr>
              <w:pStyle w:val="RI07-BodyCopy95pt"/>
              <w:spacing w:before="20" w:after="20" w:line="240" w:lineRule="auto"/>
              <w:rPr>
                <w:sz w:val="18"/>
                <w:szCs w:val="18"/>
              </w:rPr>
            </w:pPr>
            <w:r w:rsidRPr="00C818EF">
              <w:rPr>
                <w:sz w:val="18"/>
                <w:szCs w:val="18"/>
              </w:rPr>
              <w:t>No</w:t>
            </w:r>
          </w:p>
        </w:tc>
        <w:tc>
          <w:tcPr>
            <w:tcW w:w="723" w:type="pct"/>
          </w:tcPr>
          <w:p w:rsidR="0006297A" w:rsidRPr="00C818EF" w:rsidRDefault="0006297A" w:rsidP="00676CED">
            <w:pPr>
              <w:pStyle w:val="RI07-BodyCopy95pt"/>
              <w:spacing w:before="20" w:after="20" w:line="240" w:lineRule="auto"/>
              <w:rPr>
                <w:sz w:val="18"/>
                <w:szCs w:val="18"/>
              </w:rPr>
            </w:pPr>
            <w:r w:rsidRPr="00C818EF">
              <w:rPr>
                <w:sz w:val="18"/>
                <w:szCs w:val="18"/>
              </w:rPr>
              <w:t>Yes</w:t>
            </w:r>
          </w:p>
        </w:tc>
      </w:tr>
      <w:tr w:rsidR="0006297A" w:rsidRPr="00C818EF" w:rsidTr="00676CED">
        <w:tc>
          <w:tcPr>
            <w:tcW w:w="2048" w:type="pct"/>
          </w:tcPr>
          <w:p w:rsidR="0006297A" w:rsidRPr="00C818EF" w:rsidRDefault="0006297A" w:rsidP="00676CED">
            <w:pPr>
              <w:pStyle w:val="RI07-BodyCopy95pt"/>
              <w:spacing w:before="20" w:after="20" w:line="240" w:lineRule="auto"/>
              <w:rPr>
                <w:sz w:val="18"/>
                <w:szCs w:val="18"/>
              </w:rPr>
            </w:pPr>
            <w:r w:rsidRPr="00C818EF">
              <w:rPr>
                <w:sz w:val="18"/>
                <w:szCs w:val="18"/>
              </w:rPr>
              <w:t>Stock transfer restrictions within fund complex</w:t>
            </w:r>
          </w:p>
        </w:tc>
        <w:tc>
          <w:tcPr>
            <w:tcW w:w="2229" w:type="pct"/>
          </w:tcPr>
          <w:p w:rsidR="0006297A" w:rsidRPr="00C818EF" w:rsidRDefault="0006297A" w:rsidP="00676CED">
            <w:pPr>
              <w:pStyle w:val="RI07-BodyCopy95pt"/>
              <w:spacing w:before="20" w:after="20" w:line="240" w:lineRule="auto"/>
              <w:rPr>
                <w:sz w:val="18"/>
                <w:szCs w:val="18"/>
              </w:rPr>
            </w:pPr>
            <w:r w:rsidRPr="00C818EF">
              <w:rPr>
                <w:sz w:val="18"/>
                <w:szCs w:val="18"/>
              </w:rPr>
              <w:t>Allowed, not requiring sell or repurchase in market</w:t>
            </w:r>
          </w:p>
        </w:tc>
        <w:tc>
          <w:tcPr>
            <w:tcW w:w="723" w:type="pct"/>
          </w:tcPr>
          <w:p w:rsidR="0006297A" w:rsidRPr="00C818EF" w:rsidRDefault="0006297A" w:rsidP="00676CED">
            <w:pPr>
              <w:pStyle w:val="RI07-BodyCopy95pt"/>
              <w:spacing w:before="20" w:after="20" w:line="240" w:lineRule="auto"/>
              <w:rPr>
                <w:sz w:val="18"/>
                <w:szCs w:val="18"/>
              </w:rPr>
            </w:pPr>
            <w:r w:rsidRPr="00C818EF">
              <w:rPr>
                <w:sz w:val="18"/>
                <w:szCs w:val="18"/>
              </w:rPr>
              <w:t>Not allowed</w:t>
            </w:r>
          </w:p>
        </w:tc>
      </w:tr>
      <w:tr w:rsidR="0006297A" w:rsidRPr="00C818EF" w:rsidTr="00676CED">
        <w:tc>
          <w:tcPr>
            <w:tcW w:w="2048" w:type="pct"/>
          </w:tcPr>
          <w:p w:rsidR="0006297A" w:rsidRPr="00C818EF" w:rsidRDefault="0006297A" w:rsidP="00676CED">
            <w:pPr>
              <w:pStyle w:val="RI07-BodyCopy95pt"/>
              <w:spacing w:before="20" w:after="20" w:line="240" w:lineRule="auto"/>
              <w:rPr>
                <w:sz w:val="18"/>
                <w:szCs w:val="18"/>
              </w:rPr>
            </w:pPr>
            <w:r w:rsidRPr="00C818EF">
              <w:rPr>
                <w:sz w:val="18"/>
                <w:szCs w:val="18"/>
              </w:rPr>
              <w:t>Relative liquidity</w:t>
            </w:r>
          </w:p>
        </w:tc>
        <w:tc>
          <w:tcPr>
            <w:tcW w:w="2229" w:type="pct"/>
          </w:tcPr>
          <w:p w:rsidR="0006297A" w:rsidRPr="00C818EF" w:rsidRDefault="0006297A" w:rsidP="00676CED">
            <w:pPr>
              <w:pStyle w:val="RI07-BodyCopy95pt"/>
              <w:spacing w:before="20" w:after="20" w:line="240" w:lineRule="auto"/>
              <w:rPr>
                <w:sz w:val="18"/>
                <w:szCs w:val="18"/>
              </w:rPr>
            </w:pPr>
            <w:r w:rsidRPr="00C818EF">
              <w:rPr>
                <w:sz w:val="18"/>
                <w:szCs w:val="18"/>
              </w:rPr>
              <w:t>Above median</w:t>
            </w:r>
          </w:p>
        </w:tc>
        <w:tc>
          <w:tcPr>
            <w:tcW w:w="723" w:type="pct"/>
          </w:tcPr>
          <w:p w:rsidR="0006297A" w:rsidRPr="00C818EF" w:rsidRDefault="0006297A" w:rsidP="00676CED">
            <w:pPr>
              <w:pStyle w:val="RI07-BodyCopy95pt"/>
              <w:spacing w:before="20" w:after="20" w:line="240" w:lineRule="auto"/>
              <w:rPr>
                <w:sz w:val="18"/>
                <w:szCs w:val="18"/>
              </w:rPr>
            </w:pPr>
            <w:r w:rsidRPr="00C818EF">
              <w:rPr>
                <w:sz w:val="18"/>
                <w:szCs w:val="18"/>
              </w:rPr>
              <w:t xml:space="preserve">Below median </w:t>
            </w:r>
          </w:p>
        </w:tc>
      </w:tr>
    </w:tbl>
    <w:p w:rsidR="0006297A" w:rsidRPr="00D32180" w:rsidRDefault="0006297A" w:rsidP="0006297A">
      <w:pPr>
        <w:pStyle w:val="RI07-BodyCopy95pt"/>
        <w:rPr>
          <w:sz w:val="16"/>
          <w:szCs w:val="16"/>
        </w:rPr>
      </w:pPr>
      <w:r w:rsidRPr="00D32180">
        <w:rPr>
          <w:sz w:val="16"/>
          <w:szCs w:val="16"/>
        </w:rPr>
        <w:t xml:space="preserve">Sources: </w:t>
      </w:r>
      <w:r>
        <w:rPr>
          <w:sz w:val="16"/>
          <w:szCs w:val="16"/>
        </w:rPr>
        <w:t xml:space="preserve">Russell Indexes, </w:t>
      </w:r>
      <w:r w:rsidRPr="00D32180">
        <w:rPr>
          <w:sz w:val="16"/>
          <w:szCs w:val="16"/>
        </w:rPr>
        <w:t>Custodian</w:t>
      </w:r>
      <w:r>
        <w:rPr>
          <w:sz w:val="16"/>
          <w:szCs w:val="16"/>
        </w:rPr>
        <w:t xml:space="preserve"> data,</w:t>
      </w:r>
      <w:r w:rsidRPr="00D32180">
        <w:rPr>
          <w:sz w:val="16"/>
          <w:szCs w:val="16"/>
        </w:rPr>
        <w:t xml:space="preserve"> and FactSet.</w:t>
      </w:r>
    </w:p>
    <w:p w:rsidR="0006297A" w:rsidRPr="00D32180" w:rsidRDefault="0006297A" w:rsidP="0006297A">
      <w:pPr>
        <w:pStyle w:val="Heading2"/>
      </w:pPr>
      <w:bookmarkStart w:id="109" w:name="_Toc217446167"/>
      <w:bookmarkStart w:id="110" w:name="_Toc220919395"/>
      <w:bookmarkStart w:id="111" w:name="_Toc303342512"/>
      <w:bookmarkStart w:id="112" w:name="_Toc343682653"/>
      <w:r w:rsidRPr="00D32180">
        <w:t>Moving between developed and emerging markets</w:t>
      </w:r>
      <w:bookmarkEnd w:id="109"/>
      <w:bookmarkEnd w:id="110"/>
      <w:bookmarkEnd w:id="111"/>
      <w:bookmarkEnd w:id="112"/>
    </w:p>
    <w:p w:rsidR="0006297A" w:rsidRDefault="0006297A" w:rsidP="0006297A">
      <w:pPr>
        <w:pStyle w:val="RI07-BodyCopy95pt"/>
      </w:pPr>
      <w:r>
        <w:t>Prior to</w:t>
      </w:r>
      <w:r w:rsidRPr="00D32180">
        <w:t xml:space="preserve"> each reconstitution, Russell </w:t>
      </w:r>
      <w:r>
        <w:t>conducts its market reviews by evaluating</w:t>
      </w:r>
      <w:r w:rsidRPr="00D32180">
        <w:t xml:space="preserve"> the economic and market criteria for each country in the Russell Global Index. Only countries with a</w:t>
      </w:r>
      <w:r>
        <w:t>t least a</w:t>
      </w:r>
      <w:r w:rsidRPr="00D32180">
        <w:t xml:space="preserve"> </w:t>
      </w:r>
      <w:r>
        <w:t>three</w:t>
      </w:r>
      <w:r w:rsidRPr="00D32180">
        <w:t xml:space="preserve">-year sustained change </w:t>
      </w:r>
      <w:r>
        <w:t>in economic criteria may</w:t>
      </w:r>
      <w:r w:rsidRPr="00D32180">
        <w:t xml:space="preserve"> </w:t>
      </w:r>
      <w:r>
        <w:t xml:space="preserve">then </w:t>
      </w:r>
      <w:r w:rsidRPr="00D32180">
        <w:t>be eli</w:t>
      </w:r>
      <w:r>
        <w:t xml:space="preserve">gible to move between developed, </w:t>
      </w:r>
      <w:r w:rsidRPr="00D32180">
        <w:t>emerging</w:t>
      </w:r>
      <w:r>
        <w:t>, or frontier</w:t>
      </w:r>
      <w:r w:rsidRPr="00D32180">
        <w:t xml:space="preserve"> market classification</w:t>
      </w:r>
      <w:r>
        <w:t>s in the third year if indicators remain constant</w:t>
      </w:r>
      <w:r>
        <w:rPr>
          <w:rStyle w:val="FootnoteReference"/>
        </w:rPr>
        <w:footnoteReference w:id="25"/>
      </w:r>
      <w:r>
        <w:t xml:space="preserve">.  Russell also looks for a sustained change in the </w:t>
      </w:r>
      <w:r>
        <w:lastRenderedPageBreak/>
        <w:t>market-based criteria but the accessibility of a market can change with greater speed (than the economic criteria) based on regulatory and/or technology infrastructure upgrades. Russell Indexes will announce any final change to developed, emerging or frontier status</w:t>
      </w:r>
      <w:r w:rsidRPr="00D32180">
        <w:t xml:space="preserve"> </w:t>
      </w:r>
      <w:r>
        <w:t>in conjunction with the release of the Russell Indexes Country Guidebook in the first quarter of each year – typically March 1</w:t>
      </w:r>
      <w:r w:rsidRPr="00FC45F9">
        <w:rPr>
          <w:vertAlign w:val="superscript"/>
        </w:rPr>
        <w:t>st</w:t>
      </w:r>
      <w:r>
        <w:t>.</w:t>
      </w:r>
    </w:p>
    <w:p w:rsidR="0006297A" w:rsidRDefault="0006297A" w:rsidP="0006297A">
      <w:pPr>
        <w:pStyle w:val="RI07-BodyCopy95pt"/>
      </w:pPr>
      <w:r w:rsidRPr="009F16E6">
        <w:t>A complete listing of Russell developed and emerging market countries is available in Appendix B.</w:t>
      </w:r>
      <w:r>
        <w:t xml:space="preserve"> </w:t>
      </w:r>
    </w:p>
    <w:p w:rsidR="0006297A" w:rsidRDefault="0006297A" w:rsidP="0006297A">
      <w:pPr>
        <w:pStyle w:val="RI07-BodyCopy95pt"/>
      </w:pPr>
      <w:r w:rsidRPr="00D32180">
        <w:t xml:space="preserve">Russell defines frontier markets </w:t>
      </w:r>
      <w:r>
        <w:t xml:space="preserve">separately through the Russell Frontier Index methodology. See </w:t>
      </w:r>
      <w:hyperlink w:anchor="_Russell_Frontier™_Index" w:history="1">
        <w:r w:rsidRPr="000E59D6">
          <w:rPr>
            <w:rStyle w:val="Hyperlink"/>
            <w:color w:val="7F7F7F"/>
          </w:rPr>
          <w:t>Section 9</w:t>
        </w:r>
      </w:hyperlink>
      <w:r>
        <w:t xml:space="preserve"> </w:t>
      </w:r>
      <w:r w:rsidRPr="000F05D5">
        <w:t>fo</w:t>
      </w:r>
      <w:r>
        <w:t xml:space="preserve">r more information. </w:t>
      </w:r>
    </w:p>
    <w:p w:rsidR="0006297A" w:rsidRDefault="0006297A" w:rsidP="0006297A">
      <w:pPr>
        <w:pStyle w:val="RI07-BodyCopy95pt"/>
      </w:pPr>
    </w:p>
    <w:p w:rsidR="0006297A" w:rsidRPr="00D32180" w:rsidRDefault="0006297A" w:rsidP="0006297A">
      <w:pPr>
        <w:pStyle w:val="RI07-BodyCopy95pt"/>
        <w:rPr>
          <w:sz w:val="16"/>
          <w:szCs w:val="16"/>
        </w:rPr>
        <w:sectPr w:rsidR="0006297A" w:rsidRPr="00D32180"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lastRenderedPageBreak/>
        <w:t>Section 5</w:t>
      </w:r>
    </w:p>
    <w:p w:rsidR="0006297A" w:rsidRPr="00D32180" w:rsidRDefault="0006297A" w:rsidP="0006297A">
      <w:pPr>
        <w:pStyle w:val="Heading1"/>
      </w:pPr>
      <w:bookmarkStart w:id="113" w:name="_Toc217446168"/>
      <w:bookmarkStart w:id="114" w:name="_Toc220919396"/>
      <w:bookmarkStart w:id="115" w:name="_Toc303342514"/>
      <w:bookmarkStart w:id="116" w:name="_Toc343682654"/>
      <w:r w:rsidRPr="00D32180">
        <w:t>Float-adjusted weighting</w:t>
      </w:r>
      <w:bookmarkEnd w:id="113"/>
      <w:bookmarkEnd w:id="114"/>
      <w:bookmarkEnd w:id="115"/>
      <w:bookmarkEnd w:id="116"/>
      <w:r w:rsidRPr="00D32180">
        <w:t xml:space="preserve"> </w:t>
      </w:r>
    </w:p>
    <w:p w:rsidR="0006297A" w:rsidRPr="00D32180" w:rsidRDefault="0006297A" w:rsidP="0006297A">
      <w:pPr>
        <w:pStyle w:val="RI07-BodyCopy95pt"/>
        <w:ind w:right="-356"/>
      </w:pPr>
      <w:r w:rsidRPr="00D32180">
        <w:t>Russell pioneered float-adjusted index weightings with its U.S. indexes launched in 1984, and then extended its industry-leading methodology globally, where float may be even more important. After index membership has been determined by total market capitalization, each security’s shares are adjusted to include only those available for public investment—shares called “free float.” The purpose of float adjustment is to exclude from index weights the capitalization that is not available for purchase and that is not part of the global investing opportunity set. Float-adjusted market capitalization is calculated by multiplying the primary closing price by the number of investable shares. A detailed description of Russell’s free-float-calculation algorithm is available in Appendix E, along with security</w:t>
      </w:r>
      <w:r>
        <w:t>-</w:t>
      </w:r>
      <w:r w:rsidRPr="00D32180">
        <w:t xml:space="preserve">level examples. </w:t>
      </w:r>
    </w:p>
    <w:p w:rsidR="0006297A" w:rsidRPr="00D32180" w:rsidRDefault="0006297A" w:rsidP="0006297A">
      <w:pPr>
        <w:pStyle w:val="Heading2"/>
        <w:ind w:right="-356"/>
      </w:pPr>
      <w:bookmarkStart w:id="117" w:name="_Toc217446169"/>
      <w:bookmarkStart w:id="118" w:name="_Toc220919397"/>
      <w:bookmarkStart w:id="119" w:name="_Toc303342515"/>
      <w:bookmarkStart w:id="120" w:name="_Toc343682655"/>
      <w:r w:rsidRPr="00D32180">
        <w:t>Step 1: Remove unavailable shares</w:t>
      </w:r>
      <w:bookmarkEnd w:id="117"/>
      <w:bookmarkEnd w:id="118"/>
      <w:bookmarkEnd w:id="119"/>
      <w:bookmarkEnd w:id="120"/>
    </w:p>
    <w:p w:rsidR="0006297A" w:rsidRPr="00D32180" w:rsidRDefault="0006297A" w:rsidP="0006297A">
      <w:pPr>
        <w:pStyle w:val="RI07-BodyCopy95pt"/>
        <w:ind w:right="-356"/>
      </w:pPr>
      <w:r w:rsidRPr="00D32180">
        <w:t xml:space="preserve">Generally, shares that are owned by strategic investors or that are restricted from trading are considered unavailable. These shares are subtracted from total shares outstanding to derive available shares, or free float, </w:t>
      </w:r>
      <w:r>
        <w:t>and are</w:t>
      </w:r>
      <w:r w:rsidRPr="00D32180">
        <w:t xml:space="preserve"> used to weight each security in the Russell Global Index.</w:t>
      </w:r>
    </w:p>
    <w:p w:rsidR="0006297A" w:rsidRPr="00D32180" w:rsidRDefault="0006297A" w:rsidP="0006297A">
      <w:pPr>
        <w:pStyle w:val="RI07-BodyCopy95pt"/>
        <w:ind w:right="-356"/>
      </w:pPr>
      <w:r>
        <w:t>Russell removes the following t</w:t>
      </w:r>
      <w:r w:rsidRPr="00D32180">
        <w:t>ypes of shares from index company weights:</w:t>
      </w:r>
    </w:p>
    <w:p w:rsidR="0006297A" w:rsidRPr="00D32180" w:rsidRDefault="0006297A" w:rsidP="0006297A">
      <w:pPr>
        <w:pStyle w:val="RI08-95ptBullet1"/>
        <w:ind w:left="360" w:right="-356"/>
      </w:pPr>
      <w:r w:rsidRPr="00D32180">
        <w:rPr>
          <w:b/>
          <w:bCs/>
        </w:rPr>
        <w:t>Material employee stock ownership plans:</w:t>
      </w:r>
      <w:r w:rsidRPr="00D32180">
        <w:t xml:space="preserve"> Shares held in employee stock ownership plans comprising 10% or more of the shares outstanding are removed from index weights.</w:t>
      </w:r>
    </w:p>
    <w:p w:rsidR="0006297A" w:rsidRPr="00D32180" w:rsidRDefault="0006297A" w:rsidP="0006297A">
      <w:pPr>
        <w:pStyle w:val="RI08-95ptBullet1"/>
        <w:ind w:left="360" w:right="-356"/>
      </w:pPr>
      <w:r w:rsidRPr="00D32180">
        <w:rPr>
          <w:b/>
          <w:bCs/>
        </w:rPr>
        <w:t>Large private holders:</w:t>
      </w:r>
      <w:r w:rsidRPr="00D32180">
        <w:t xml:space="preserve"> Material private holdings in excess of 10% are removed from index weights.</w:t>
      </w:r>
    </w:p>
    <w:p w:rsidR="0006297A" w:rsidRPr="00D32180" w:rsidRDefault="0006297A" w:rsidP="0006297A">
      <w:pPr>
        <w:spacing w:after="100" w:line="260" w:lineRule="atLeast"/>
        <w:ind w:left="360" w:right="-360"/>
        <w:rPr>
          <w:rFonts w:ascii="Arial" w:hAnsi="Arial"/>
          <w:b/>
          <w:bCs/>
          <w:color w:val="5F6062"/>
          <w:sz w:val="19"/>
        </w:rPr>
      </w:pPr>
      <w:r w:rsidRPr="00D32180">
        <w:rPr>
          <w:rFonts w:ascii="Arial" w:hAnsi="Arial"/>
          <w:b/>
          <w:bCs/>
          <w:color w:val="5F6062"/>
          <w:sz w:val="19"/>
        </w:rPr>
        <w:t xml:space="preserve">Government holdings: </w:t>
      </w:r>
    </w:p>
    <w:p w:rsidR="0006297A" w:rsidRPr="00D32180" w:rsidRDefault="0006297A" w:rsidP="00676CED">
      <w:pPr>
        <w:pStyle w:val="RI08-95ptBullet1"/>
        <w:numPr>
          <w:ilvl w:val="1"/>
          <w:numId w:val="27"/>
        </w:numPr>
        <w:ind w:right="-360"/>
      </w:pPr>
      <w:r w:rsidRPr="00D32180">
        <w:rPr>
          <w:b/>
        </w:rPr>
        <w:t>Direct government holders:</w:t>
      </w:r>
      <w:r w:rsidRPr="00D32180">
        <w:t xml:space="preserve"> Those holdings listed as “government of” are considered unavailable and will be removed</w:t>
      </w:r>
      <w:r>
        <w:t xml:space="preserve"> entirely from available shares</w:t>
      </w:r>
    </w:p>
    <w:p w:rsidR="0006297A" w:rsidRPr="00D32180" w:rsidRDefault="0006297A" w:rsidP="00676CED">
      <w:pPr>
        <w:pStyle w:val="RI08-95ptBullet1"/>
        <w:numPr>
          <w:ilvl w:val="1"/>
          <w:numId w:val="27"/>
        </w:numPr>
        <w:ind w:right="-360"/>
        <w:rPr>
          <w:b/>
        </w:rPr>
      </w:pPr>
      <w:r w:rsidRPr="00D32180">
        <w:rPr>
          <w:b/>
        </w:rPr>
        <w:t xml:space="preserve">Indirect government holders: </w:t>
      </w:r>
      <w:r w:rsidRPr="00D32180">
        <w:rPr>
          <w:bCs/>
        </w:rPr>
        <w:t>Shares held by government investment boards and/or investment arms will be treated similar</w:t>
      </w:r>
      <w:r>
        <w:rPr>
          <w:bCs/>
        </w:rPr>
        <w:t>ly</w:t>
      </w:r>
      <w:r w:rsidRPr="00D32180">
        <w:rPr>
          <w:bCs/>
        </w:rPr>
        <w:t xml:space="preserve"> to large private holdings and removed if great</w:t>
      </w:r>
      <w:r>
        <w:rPr>
          <w:bCs/>
        </w:rPr>
        <w:t>er than 10%</w:t>
      </w:r>
    </w:p>
    <w:p w:rsidR="0006297A" w:rsidRPr="00D32180" w:rsidRDefault="0006297A" w:rsidP="00676CED">
      <w:pPr>
        <w:pStyle w:val="RI08-95ptBullet1"/>
        <w:numPr>
          <w:ilvl w:val="1"/>
          <w:numId w:val="27"/>
        </w:numPr>
        <w:ind w:right="-360"/>
        <w:rPr>
          <w:b/>
        </w:rPr>
      </w:pPr>
      <w:r w:rsidRPr="00D32180">
        <w:rPr>
          <w:b/>
        </w:rPr>
        <w:t xml:space="preserve">Government pensions: </w:t>
      </w:r>
      <w:r w:rsidRPr="00D32180">
        <w:rPr>
          <w:bCs/>
        </w:rPr>
        <w:t>Any holding</w:t>
      </w:r>
      <w:r>
        <w:rPr>
          <w:bCs/>
        </w:rPr>
        <w:t>s</w:t>
      </w:r>
      <w:r w:rsidRPr="00D32180">
        <w:rPr>
          <w:bCs/>
        </w:rPr>
        <w:t xml:space="preserve"> by a government pension plan</w:t>
      </w:r>
      <w:r>
        <w:rPr>
          <w:bCs/>
        </w:rPr>
        <w:t xml:space="preserve"> are </w:t>
      </w:r>
      <w:r w:rsidRPr="00D32180">
        <w:rPr>
          <w:bCs/>
        </w:rPr>
        <w:t>considered institutional holdings and will not b</w:t>
      </w:r>
      <w:r>
        <w:rPr>
          <w:bCs/>
        </w:rPr>
        <w:t>e removed from available shares</w:t>
      </w:r>
    </w:p>
    <w:p w:rsidR="0006297A" w:rsidRPr="00D32180" w:rsidRDefault="0006297A" w:rsidP="0006297A">
      <w:pPr>
        <w:pStyle w:val="RI08-95ptBullet1"/>
        <w:ind w:left="360" w:right="-360"/>
      </w:pPr>
      <w:r w:rsidRPr="00D32180">
        <w:rPr>
          <w:b/>
          <w:bCs/>
        </w:rPr>
        <w:t>Corporate cross-owned shares:</w:t>
      </w:r>
      <w:r w:rsidRPr="00D32180">
        <w:t xml:space="preserve"> There are two types of adjustments for shares held by other corporations. All shares owned by another company in the Russell Global Index </w:t>
      </w:r>
      <w:r>
        <w:t>series</w:t>
      </w:r>
      <w:r w:rsidRPr="00D32180">
        <w:t xml:space="preserve"> are removed</w:t>
      </w:r>
      <w:r>
        <w:t xml:space="preserve">. </w:t>
      </w:r>
      <w:r w:rsidRPr="00D32180">
        <w:t xml:space="preserve">Material shares held by companies outside the Russell Global Index </w:t>
      </w:r>
      <w:r>
        <w:t>series</w:t>
      </w:r>
      <w:r w:rsidRPr="00D32180">
        <w:t xml:space="preserve"> are also removed from index weights, because they are likely held for strategic reasons. If the index member</w:t>
      </w:r>
      <w:r>
        <w:t>’s</w:t>
      </w:r>
      <w:r w:rsidRPr="00D32180">
        <w:t xml:space="preserve"> shares are held by:</w:t>
      </w:r>
    </w:p>
    <w:p w:rsidR="0006297A" w:rsidRPr="00D32180" w:rsidRDefault="0006297A" w:rsidP="00676CED">
      <w:pPr>
        <w:pStyle w:val="RI08-95ptBullet1"/>
        <w:numPr>
          <w:ilvl w:val="1"/>
          <w:numId w:val="27"/>
        </w:numPr>
        <w:ind w:right="-360"/>
        <w:rPr>
          <w:b/>
        </w:rPr>
      </w:pPr>
      <w:r w:rsidRPr="00D32180">
        <w:rPr>
          <w:b/>
        </w:rPr>
        <w:t xml:space="preserve">Russell 3000E or Russell Global Index member companies: </w:t>
      </w:r>
      <w:r w:rsidRPr="00D32180">
        <w:rPr>
          <w:bCs/>
        </w:rPr>
        <w:t>100% of the cross-owned shares are considered unavailable and</w:t>
      </w:r>
      <w:r>
        <w:rPr>
          <w:bCs/>
        </w:rPr>
        <w:t xml:space="preserve"> are removed from index weights</w:t>
      </w:r>
    </w:p>
    <w:p w:rsidR="0006297A" w:rsidRPr="00D32180" w:rsidRDefault="0006297A" w:rsidP="00676CED">
      <w:pPr>
        <w:pStyle w:val="RI08-95ptBullet1"/>
        <w:numPr>
          <w:ilvl w:val="1"/>
          <w:numId w:val="27"/>
        </w:numPr>
        <w:ind w:right="-360"/>
        <w:rPr>
          <w:b/>
        </w:rPr>
      </w:pPr>
      <w:r w:rsidRPr="00D32180">
        <w:rPr>
          <w:b/>
        </w:rPr>
        <w:t xml:space="preserve">A non-index member company owning more than 10% of total shares outstanding: </w:t>
      </w:r>
      <w:r w:rsidRPr="00D32180">
        <w:rPr>
          <w:bCs/>
        </w:rPr>
        <w:t>The cross-owned shares are considered unavailable and</w:t>
      </w:r>
      <w:r>
        <w:rPr>
          <w:bCs/>
        </w:rPr>
        <w:t xml:space="preserve"> are removed from index weights</w:t>
      </w:r>
      <w:r w:rsidRPr="00D32180">
        <w:rPr>
          <w:bCs/>
        </w:rPr>
        <w:t xml:space="preserve"> </w:t>
      </w:r>
    </w:p>
    <w:p w:rsidR="0006297A" w:rsidRPr="00D32180" w:rsidRDefault="0006297A" w:rsidP="0006297A">
      <w:pPr>
        <w:pStyle w:val="RI08-95ptBullet1"/>
        <w:ind w:left="360" w:right="-356"/>
      </w:pPr>
      <w:r w:rsidRPr="00D32180">
        <w:rPr>
          <w:b/>
          <w:bCs/>
        </w:rPr>
        <w:t>IPO lock-ups:</w:t>
      </w:r>
      <w:r w:rsidRPr="00D32180">
        <w:t xml:space="preserve"> Shares locked up during an initial public offering (IPO) are not available for purchase </w:t>
      </w:r>
      <w:r>
        <w:t>by</w:t>
      </w:r>
      <w:r w:rsidRPr="00D32180">
        <w:t xml:space="preserve"> general investors and are removed from index weights. </w:t>
      </w:r>
    </w:p>
    <w:p w:rsidR="0006297A" w:rsidRPr="00D32180" w:rsidRDefault="0006297A" w:rsidP="0006297A">
      <w:pPr>
        <w:pStyle w:val="RI08-95ptBullet1"/>
        <w:ind w:left="360" w:right="-446"/>
      </w:pPr>
      <w:r w:rsidRPr="00D32180">
        <w:rPr>
          <w:b/>
          <w:bCs/>
        </w:rPr>
        <w:lastRenderedPageBreak/>
        <w:t xml:space="preserve">American </w:t>
      </w:r>
      <w:r>
        <w:rPr>
          <w:b/>
          <w:bCs/>
        </w:rPr>
        <w:t>d</w:t>
      </w:r>
      <w:r w:rsidRPr="00D32180">
        <w:rPr>
          <w:b/>
          <w:bCs/>
        </w:rPr>
        <w:t xml:space="preserve">epositary </w:t>
      </w:r>
      <w:r>
        <w:rPr>
          <w:b/>
          <w:bCs/>
        </w:rPr>
        <w:t>r</w:t>
      </w:r>
      <w:r w:rsidRPr="00D32180">
        <w:rPr>
          <w:b/>
          <w:bCs/>
        </w:rPr>
        <w:t xml:space="preserve">eceipts (ADR) and </w:t>
      </w:r>
      <w:r>
        <w:rPr>
          <w:b/>
          <w:bCs/>
        </w:rPr>
        <w:t>g</w:t>
      </w:r>
      <w:r w:rsidRPr="00D32180">
        <w:rPr>
          <w:b/>
          <w:bCs/>
        </w:rPr>
        <w:t xml:space="preserve">lobal </w:t>
      </w:r>
      <w:r>
        <w:rPr>
          <w:b/>
          <w:bCs/>
        </w:rPr>
        <w:t>d</w:t>
      </w:r>
      <w:r w:rsidRPr="00D32180">
        <w:rPr>
          <w:b/>
          <w:bCs/>
        </w:rPr>
        <w:t xml:space="preserve">epositary </w:t>
      </w:r>
      <w:r>
        <w:rPr>
          <w:b/>
          <w:bCs/>
        </w:rPr>
        <w:t>r</w:t>
      </w:r>
      <w:r w:rsidRPr="00D32180">
        <w:rPr>
          <w:b/>
          <w:bCs/>
        </w:rPr>
        <w:t>eceipts (GDR):</w:t>
      </w:r>
      <w:r w:rsidRPr="00D32180">
        <w:t xml:space="preserve"> Generally, ADRs and GDRs are removed from index weights to avoid potential double counting of share volume. There are exceptions (i.e., the Philippines, Thailand, Russia, Israel, Argentina) in which shares are added back to the float-adjusted capitalization following the foreign ownership limit adjustment. </w:t>
      </w:r>
    </w:p>
    <w:p w:rsidR="0006297A" w:rsidRPr="00D32180" w:rsidRDefault="0006297A" w:rsidP="0006297A">
      <w:pPr>
        <w:pStyle w:val="RI08-95ptBullet1"/>
        <w:ind w:left="360" w:right="-446"/>
      </w:pPr>
      <w:r w:rsidRPr="00D32180">
        <w:rPr>
          <w:b/>
          <w:bCs/>
        </w:rPr>
        <w:t>Treasury shares:</w:t>
      </w:r>
      <w:r w:rsidRPr="00D32180">
        <w:t xml:space="preserve"> Treasury shares are company-owned shares, either by share re-purchase programs or by donations. These shares are considered strategic and are removed from index weights. </w:t>
      </w:r>
    </w:p>
    <w:p w:rsidR="0006297A" w:rsidRPr="00D32180" w:rsidRDefault="0006297A" w:rsidP="0006297A">
      <w:pPr>
        <w:pStyle w:val="RI08-95ptBullet1"/>
        <w:ind w:left="360" w:right="-446"/>
      </w:pPr>
      <w:r w:rsidRPr="00D32180">
        <w:rPr>
          <w:b/>
        </w:rPr>
        <w:t xml:space="preserve">Minimum available shares/float requirement: </w:t>
      </w:r>
      <w:r w:rsidRPr="00D32180">
        <w:t>Companies with only a small portion of their shares available in the marketplace are not eligible for the Russell Global Index</w:t>
      </w:r>
      <w:r>
        <w:t xml:space="preserve"> series</w:t>
      </w:r>
      <w:r w:rsidRPr="00D32180">
        <w:t xml:space="preserve">. </w:t>
      </w:r>
      <w:r>
        <w:t>C</w:t>
      </w:r>
      <w:r w:rsidRPr="00D32180">
        <w:t xml:space="preserve">ompanies with 5% or less will be removed from eligibility. </w:t>
      </w:r>
    </w:p>
    <w:p w:rsidR="0006297A" w:rsidRPr="00D32180" w:rsidRDefault="0006297A" w:rsidP="0006297A">
      <w:pPr>
        <w:pStyle w:val="Heading2"/>
        <w:ind w:right="-446"/>
      </w:pPr>
      <w:bookmarkStart w:id="121" w:name="_Toc217446170"/>
      <w:bookmarkStart w:id="122" w:name="_Toc220919398"/>
      <w:bookmarkStart w:id="123" w:name="_Toc303342516"/>
      <w:bookmarkStart w:id="124" w:name="_Toc343682656"/>
      <w:r w:rsidRPr="00D32180">
        <w:t>Step 2: Apply foreign ownership limit adjustment</w:t>
      </w:r>
      <w:bookmarkEnd w:id="121"/>
      <w:bookmarkEnd w:id="122"/>
      <w:bookmarkEnd w:id="123"/>
      <w:bookmarkEnd w:id="124"/>
    </w:p>
    <w:p w:rsidR="0006297A" w:rsidRPr="00D32180" w:rsidRDefault="0006297A" w:rsidP="0006297A">
      <w:pPr>
        <w:pStyle w:val="RI07-BodyCopy95pt"/>
        <w:ind w:right="-446"/>
      </w:pPr>
      <w:r w:rsidRPr="00D32180">
        <w:t xml:space="preserve">Foreign equity ownership limits are common, especially in emerging markets. These ownership limits are imposed either by local governments or by </w:t>
      </w:r>
      <w:r>
        <w:t>regulatory</w:t>
      </w:r>
      <w:r w:rsidRPr="00D32180">
        <w:t xml:space="preserve"> bureaus for political and economic reasons. Foreign invest</w:t>
      </w:r>
      <w:r>
        <w:t xml:space="preserve">ment </w:t>
      </w:r>
      <w:r w:rsidRPr="00D32180">
        <w:t xml:space="preserve">is often restricted in business sectors considered by a country to be sensitive, such as automobiles or telecommunications. However, some of these heavily regulated sectors present substantial investment opportunities. Russell adjusts securities with foreign ownership limits (FOLs) and removes them from index weights as described below. </w:t>
      </w:r>
    </w:p>
    <w:p w:rsidR="0006297A" w:rsidRPr="00D32180" w:rsidRDefault="0006297A" w:rsidP="0006297A">
      <w:pPr>
        <w:pStyle w:val="RI08-95ptBullet1"/>
        <w:ind w:left="360" w:right="-446"/>
      </w:pPr>
      <w:r w:rsidRPr="00D32180">
        <w:rPr>
          <w:b/>
          <w:bCs/>
        </w:rPr>
        <w:t>Restricted and unrestricted share classes:</w:t>
      </w:r>
      <w:r w:rsidRPr="00D32180">
        <w:t xml:space="preserve"> In countries such as Thailand, companies issue restricted stocks (foreign shares) as well as unrestricted stocks (local shares). Unrestricted stocks can be owned by both domestic and foreign investors, while restricted stocks can be owned only by domestic investors. For index construction, Russell recognizes only unrestricted stocks as available shares. All restricted stocks are removed from index weights. </w:t>
      </w:r>
    </w:p>
    <w:p w:rsidR="0006297A" w:rsidRPr="00D32180" w:rsidRDefault="0006297A" w:rsidP="0006297A">
      <w:pPr>
        <w:pStyle w:val="RI08-95ptBullet1"/>
        <w:ind w:left="360" w:right="-446"/>
      </w:pPr>
      <w:r w:rsidRPr="00D32180">
        <w:rPr>
          <w:b/>
          <w:bCs/>
        </w:rPr>
        <w:t>Foreign ownership limits by industry or sector:</w:t>
      </w:r>
      <w:r w:rsidRPr="00D32180">
        <w:t xml:space="preserve"> In many countries, foreign ownership limits are imposed within particular industries. Though local foreign investment law</w:t>
      </w:r>
      <w:r>
        <w:t>s vary</w:t>
      </w:r>
      <w:r w:rsidRPr="00D32180">
        <w:t xml:space="preserve">, energy, banking and real estate are among the most heavily regulated sectors across countries. For index construction, Russell calculates foreign ownership limits according to the local industry classification, which may differ from Russell Global Index industry sector classifications. </w:t>
      </w:r>
    </w:p>
    <w:p w:rsidR="0006297A" w:rsidRPr="00D32180" w:rsidRDefault="0006297A" w:rsidP="0006297A">
      <w:pPr>
        <w:pStyle w:val="RI08-95ptBullet1"/>
        <w:ind w:left="360" w:right="-446"/>
      </w:pPr>
      <w:r w:rsidRPr="00D32180">
        <w:rPr>
          <w:b/>
          <w:bCs/>
        </w:rPr>
        <w:t>Segregated market via share classes:</w:t>
      </w:r>
      <w:r w:rsidRPr="00D32180">
        <w:t xml:space="preserve"> In China, the stock market is segregated via share classes for domestic and foreign investors. There are four share classes, of which only three can be owned by foreign investors, who have limited or no voting rights. For index construction, Russell recognizes investable shares as B shares, H shares and N shares. All A shares are subtracted from free-float calculation.</w:t>
      </w:r>
      <w:r>
        <w:t xml:space="preserve"> </w:t>
      </w:r>
      <w:r w:rsidRPr="00D32180">
        <w:t>The foreign ownership limit adjustment is applied after the unavailable shares adjustment described</w:t>
      </w:r>
      <w:r>
        <w:t xml:space="preserve"> in Step 1</w:t>
      </w:r>
      <w:r w:rsidRPr="00D32180">
        <w:t xml:space="preserve"> above. The detailed calculations for float weighting can be found in Appendix E.</w:t>
      </w:r>
    </w:p>
    <w:p w:rsidR="0006297A" w:rsidRPr="00D32180" w:rsidRDefault="0006297A" w:rsidP="0006297A">
      <w:pPr>
        <w:pStyle w:val="Heading2"/>
        <w:ind w:right="-446"/>
      </w:pPr>
      <w:bookmarkStart w:id="125" w:name="_Toc217446171"/>
      <w:bookmarkStart w:id="126" w:name="_Toc220919399"/>
      <w:bookmarkStart w:id="127" w:name="_Toc303342517"/>
      <w:bookmarkStart w:id="128" w:name="_Toc343682657"/>
      <w:r w:rsidRPr="00D32180">
        <w:t>Step 3: Reflect special depositary receipts</w:t>
      </w:r>
      <w:bookmarkEnd w:id="125"/>
      <w:bookmarkEnd w:id="126"/>
      <w:bookmarkEnd w:id="127"/>
      <w:bookmarkEnd w:id="128"/>
    </w:p>
    <w:p w:rsidR="0006297A" w:rsidRPr="00D32180" w:rsidRDefault="0006297A" w:rsidP="0006297A">
      <w:pPr>
        <w:pStyle w:val="RI07-BodyCopy95pt"/>
        <w:ind w:right="-446"/>
      </w:pPr>
      <w:r w:rsidRPr="00D32180">
        <w:t xml:space="preserve">In countries such as Russia and Israel, sensitive sectors, such as telecommunications, oil, energy, media and real estate, are heavily </w:t>
      </w:r>
      <w:r>
        <w:t>government-</w:t>
      </w:r>
      <w:r w:rsidRPr="00D32180">
        <w:t xml:space="preserve">regulated. As a result, the majority of shares in these sectors are restricted to domestic investors. However, to raise capital for local companies while still retaining domestic control, the countries allow a large portion of the restricted shares to be deposited in custodian banks and traded overseas in the form of ADRs and GDRs. Depositary receipts are the only realistic way for global investors to invest in the underlying companies. Russell recognizes the shares represented by ADRs/GDRs from some countries as investable and adds these underlying shares back to index weights after the foreign ownership limit adjustment has been applied. </w:t>
      </w:r>
    </w:p>
    <w:p w:rsidR="0006297A" w:rsidRPr="00D32180" w:rsidRDefault="0006297A" w:rsidP="0006297A">
      <w:pPr>
        <w:pStyle w:val="RI07-BodyCopy95pt"/>
        <w:ind w:right="-446"/>
        <w:sectPr w:rsidR="0006297A" w:rsidRPr="00D32180"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lastRenderedPageBreak/>
        <w:t>Section 6</w:t>
      </w:r>
    </w:p>
    <w:p w:rsidR="0006297A" w:rsidRPr="00D32180" w:rsidRDefault="0006297A" w:rsidP="0006297A">
      <w:pPr>
        <w:pStyle w:val="Heading1"/>
      </w:pPr>
      <w:bookmarkStart w:id="129" w:name="_Toc191954969"/>
      <w:bookmarkStart w:id="130" w:name="_Toc217446172"/>
      <w:bookmarkStart w:id="131" w:name="_Toc220919400"/>
      <w:bookmarkStart w:id="132" w:name="_Toc303342518"/>
      <w:bookmarkStart w:id="133" w:name="_Toc343682658"/>
      <w:r w:rsidRPr="00D32180">
        <w:t>Determining style</w:t>
      </w:r>
      <w:bookmarkEnd w:id="129"/>
      <w:bookmarkEnd w:id="130"/>
      <w:bookmarkEnd w:id="131"/>
      <w:bookmarkEnd w:id="132"/>
      <w:bookmarkEnd w:id="133"/>
    </w:p>
    <w:p w:rsidR="0006297A" w:rsidRPr="00395334" w:rsidRDefault="0006297A" w:rsidP="0006297A">
      <w:pPr>
        <w:pStyle w:val="RI07-BodyCopy95pt"/>
      </w:pPr>
      <w:r w:rsidRPr="00395334">
        <w:t xml:space="preserve">Russell Investments uses a “non-linear probability” method to assign stocks to the growth and value style valuation indexes and to assign stocks to the defensive and dynamic Russell Stability Indexes™. </w:t>
      </w:r>
    </w:p>
    <w:p w:rsidR="0006297A" w:rsidRDefault="0006297A" w:rsidP="0006297A">
      <w:pPr>
        <w:pStyle w:val="Heading2"/>
      </w:pPr>
      <w:bookmarkStart w:id="134" w:name="_Toc295217195"/>
      <w:bookmarkStart w:id="135" w:name="_Toc343682659"/>
      <w:r w:rsidRPr="00610B9A">
        <w:t>Russell Growth and Value Indexes</w:t>
      </w:r>
      <w:bookmarkEnd w:id="134"/>
      <w:bookmarkEnd w:id="135"/>
    </w:p>
    <w:p w:rsidR="0006297A" w:rsidRPr="006F222F" w:rsidRDefault="0006297A" w:rsidP="0006297A">
      <w:pPr>
        <w:pStyle w:val="RI07-BodyCopy95pt"/>
      </w:pPr>
      <w:r w:rsidRPr="006F222F">
        <w:t xml:space="preserve">Beginning with reconstitution 2011, Russell </w:t>
      </w:r>
      <w:r>
        <w:t>began using</w:t>
      </w:r>
      <w:r w:rsidRPr="006F222F">
        <w:t xml:space="preserve"> three variables in the determination of growth and value.</w:t>
      </w:r>
      <w:r>
        <w:t xml:space="preserve"> </w:t>
      </w:r>
      <w:r w:rsidRPr="006F222F">
        <w:t xml:space="preserve">For value, book-to-price (B/P) ratio </w:t>
      </w:r>
      <w:r>
        <w:t>is</w:t>
      </w:r>
      <w:r w:rsidRPr="006F222F">
        <w:t xml:space="preserve"> used, while for growth, the I/B/E/S long-term growth variable, which was used historically, </w:t>
      </w:r>
      <w:r>
        <w:t>was</w:t>
      </w:r>
      <w:r w:rsidRPr="006F222F">
        <w:t xml:space="preserve"> replaced by two variables—I/B/E/S forecast medium-term growth (2</w:t>
      </w:r>
      <w:r>
        <w:t>-</w:t>
      </w:r>
      <w:r w:rsidRPr="006F222F">
        <w:t>y</w:t>
      </w:r>
      <w:r>
        <w:t>ea</w:t>
      </w:r>
      <w:r w:rsidRPr="006F222F">
        <w:t>r) and sales per share historical growth (5</w:t>
      </w:r>
      <w:r>
        <w:t>-</w:t>
      </w:r>
      <w:r w:rsidRPr="006F222F">
        <w:t>y</w:t>
      </w:r>
      <w:r>
        <w:t>ea</w:t>
      </w:r>
      <w:r w:rsidRPr="006F222F">
        <w:t>r).</w:t>
      </w:r>
      <w:r>
        <w:t xml:space="preserve"> </w:t>
      </w:r>
    </w:p>
    <w:p w:rsidR="0006297A" w:rsidRPr="00D32180" w:rsidRDefault="0006297A" w:rsidP="0006297A">
      <w:pPr>
        <w:pStyle w:val="RI07-BodyCopy95pt"/>
        <w:ind w:right="-176"/>
      </w:pPr>
      <w:r w:rsidRPr="006F222F">
        <w:t>The term “probability” is used to indicate the degree of certainty that a stock is value or growth, based on its relative B/P ratio; I/B/E/S for</w:t>
      </w:r>
      <w:r>
        <w:t>ecast medium-term growth (2-year)</w:t>
      </w:r>
      <w:r w:rsidRPr="006F222F">
        <w:t>, and sales per share historical growth (5</w:t>
      </w:r>
      <w:r>
        <w:t>-</w:t>
      </w:r>
      <w:r w:rsidRPr="006F222F">
        <w:t>y</w:t>
      </w:r>
      <w:r>
        <w:t>ea</w:t>
      </w:r>
      <w:r w:rsidRPr="006F222F">
        <w:t>r). This method allows stocks to be represented as having both growth and value characteristics, while preserving the additive nature of the indexes</w:t>
      </w:r>
      <w:r>
        <w:t xml:space="preserve">. </w:t>
      </w:r>
      <w:r w:rsidRPr="00D32180">
        <w:t>The process for assigning growth and value weights is applied separately to the</w:t>
      </w:r>
      <w:r>
        <w:t xml:space="preserve"> large cap and small cap</w:t>
      </w:r>
      <w:r w:rsidRPr="00D32180">
        <w:t xml:space="preserve"> stocks in the Russell Global </w:t>
      </w:r>
      <w:r>
        <w:t>ex-U.S. Index.</w:t>
      </w:r>
      <w:r w:rsidRPr="00D32180">
        <w:t xml:space="preserve"> Research indicates that on average, valuations of small stocks differ from those of large stocks. Treating the large cap and small stocks separately prevents the possible distortion to relative valuations that may occur if the global index is used as the base index.</w:t>
      </w:r>
    </w:p>
    <w:p w:rsidR="0006297A" w:rsidRPr="00D32180" w:rsidRDefault="0006297A" w:rsidP="0006297A">
      <w:pPr>
        <w:pStyle w:val="RI07-BodyCopy95pt"/>
      </w:pPr>
      <w:r w:rsidRPr="006F222F">
        <w:t>For each base index, stocks are ranked by their adjusted B/P ratio; their I/B/E/S forecast medium-term growth (2</w:t>
      </w:r>
      <w:r>
        <w:t>-</w:t>
      </w:r>
      <w:r w:rsidRPr="006F222F">
        <w:t>y</w:t>
      </w:r>
      <w:r>
        <w:t>ea</w:t>
      </w:r>
      <w:r w:rsidRPr="006F222F">
        <w:t>r), and their sales per share historical growth (5</w:t>
      </w:r>
      <w:r>
        <w:t>-</w:t>
      </w:r>
      <w:r w:rsidRPr="006F222F">
        <w:t>y</w:t>
      </w:r>
      <w:r>
        <w:t>ea</w:t>
      </w:r>
      <w:r w:rsidRPr="006F222F">
        <w:t xml:space="preserve">r). </w:t>
      </w:r>
      <w:r w:rsidRPr="00D32180">
        <w:t>These rankings are converted to standardized units and combined to produce a composite value score (CVS). Stocks are then ranked by CVS, and a probability algorithm is applied to the CVS distribution to assign growth and value weights to each stock. In general, a stock with a lower CVS is considered growth, a stock with a higher CVS is considered value, and a stock with a CVS in the middle range is considered to have both growth and value characteristics and is weighted proportionately in the growth and value index</w:t>
      </w:r>
      <w:r>
        <w:t>es</w:t>
      </w:r>
      <w:r w:rsidRPr="00D32180">
        <w:t xml:space="preserve">. Stocks are always fully represented by the combination of their growth and value weights; e.g., a stock that is given a 20% weight in a Russell Global </w:t>
      </w:r>
      <w:r>
        <w:t>V</w:t>
      </w:r>
      <w:r w:rsidRPr="00D32180">
        <w:t xml:space="preserve">alue </w:t>
      </w:r>
      <w:r>
        <w:t>I</w:t>
      </w:r>
      <w:r w:rsidRPr="00D32180">
        <w:t xml:space="preserve">ndex will have an 80% weight in the same </w:t>
      </w:r>
      <w:r>
        <w:t>corresponding</w:t>
      </w:r>
      <w:r w:rsidRPr="00D32180">
        <w:t xml:space="preserve"> Russell Global </w:t>
      </w:r>
      <w:r>
        <w:t>G</w:t>
      </w:r>
      <w:r w:rsidRPr="00D32180">
        <w:t xml:space="preserve">rowth </w:t>
      </w:r>
      <w:r>
        <w:t>I</w:t>
      </w:r>
      <w:r w:rsidRPr="00D32180">
        <w:t xml:space="preserve">ndex. </w:t>
      </w:r>
    </w:p>
    <w:p w:rsidR="0006297A" w:rsidRDefault="0006297A" w:rsidP="0006297A">
      <w:pPr>
        <w:pStyle w:val="Heading2"/>
      </w:pPr>
      <w:bookmarkStart w:id="136" w:name="_Toc343682660"/>
      <w:bookmarkStart w:id="137" w:name="_Toc191954970"/>
      <w:bookmarkStart w:id="138" w:name="_Toc217446173"/>
      <w:bookmarkStart w:id="139" w:name="_Toc220919401"/>
      <w:r w:rsidRPr="004234E2">
        <w:t>Russell Defensive and Dynamic Indexes</w:t>
      </w:r>
      <w:bookmarkEnd w:id="136"/>
    </w:p>
    <w:p w:rsidR="0006297A" w:rsidRDefault="0006297A" w:rsidP="0006297A">
      <w:pPr>
        <w:pStyle w:val="RI07-BodyCopy95pt"/>
      </w:pPr>
      <w:r>
        <w:t xml:space="preserve">The Russell </w:t>
      </w:r>
      <w:r w:rsidRPr="004234E2">
        <w:t>Stability Indexes</w:t>
      </w:r>
      <w:r>
        <w:t xml:space="preserve"> are designed to be comprehensive representations of the investable global defensive and dynamic equity markets. Defensive and Dynamic Indexes </w:t>
      </w:r>
      <w:r w:rsidRPr="004234E2">
        <w:t xml:space="preserve">are created </w:t>
      </w:r>
      <w:r>
        <w:t>by</w:t>
      </w:r>
      <w:r w:rsidRPr="004234E2">
        <w:t xml:space="preserve"> splitting an existing applicable Russell </w:t>
      </w:r>
      <w:r>
        <w:t>i</w:t>
      </w:r>
      <w:r w:rsidRPr="004234E2">
        <w:t>ndex in half based on the combinat</w:t>
      </w:r>
      <w:r>
        <w:t>ion of the stability indicators; t</w:t>
      </w:r>
      <w:r w:rsidRPr="004234E2">
        <w:t xml:space="preserve">he more stable half of the </w:t>
      </w:r>
      <w:r>
        <w:t>market</w:t>
      </w:r>
      <w:r w:rsidRPr="004234E2">
        <w:t xml:space="preserve"> is called “Defensive,” and the less stable half is called “Dynamic.”</w:t>
      </w:r>
      <w:r>
        <w:t xml:space="preserve"> </w:t>
      </w:r>
    </w:p>
    <w:p w:rsidR="0006297A" w:rsidRPr="004234E2" w:rsidRDefault="0006297A" w:rsidP="0006297A">
      <w:pPr>
        <w:pStyle w:val="RI07-BodyCopy95pt"/>
      </w:pPr>
      <w:r w:rsidRPr="004234E2">
        <w:t xml:space="preserve">The Russell Defensive Indexes™ measure the performance of companies that have relatively stable business conditions which are less sensitive to economic cycles, credit cycles and market volatility based on their stability indicators. The Russell Dynamic Indexes™ measure the performance of companies that have </w:t>
      </w:r>
      <w:r w:rsidRPr="00C16A73">
        <w:t>relatively less stable business conditions and are more sens</w:t>
      </w:r>
      <w:r>
        <w:t>itive to those market cycles. Russell’s defensive and dynamic indexes complement the existing Russell style framework – size (small/large) and valuation (growth/value)</w:t>
      </w:r>
      <w:r w:rsidRPr="00750B8E">
        <w:t xml:space="preserve"> </w:t>
      </w:r>
      <w:r>
        <w:t>– expanding the style box into the style cube with the addition of Stability, the Third D</w:t>
      </w:r>
      <w:r w:rsidRPr="00D3119B">
        <w:t xml:space="preserve">imension </w:t>
      </w:r>
      <w:r>
        <w:t xml:space="preserve">of Style™. </w:t>
      </w:r>
    </w:p>
    <w:p w:rsidR="0006297A" w:rsidRDefault="0006297A" w:rsidP="0006297A">
      <w:pPr>
        <w:pStyle w:val="RI07-BodyCopy95pt"/>
      </w:pPr>
      <w:r>
        <w:lastRenderedPageBreak/>
        <w:t>For each base index (for U.S. companies the Russell 1000</w:t>
      </w:r>
      <w:r w:rsidRPr="0089497F">
        <w:rPr>
          <w:rFonts w:cs="Arial"/>
          <w:vertAlign w:val="superscript"/>
        </w:rPr>
        <w:t>®</w:t>
      </w:r>
      <w:r>
        <w:t xml:space="preserve"> and Russell 2000</w:t>
      </w:r>
      <w:r w:rsidRPr="0089497F">
        <w:rPr>
          <w:rFonts w:cs="Arial"/>
          <w:vertAlign w:val="superscript"/>
        </w:rPr>
        <w:t>®</w:t>
      </w:r>
      <w:r>
        <w:t xml:space="preserve"> indexes, and for global ex-U.S. companies the Russell Global ex-U.S. Large Cap and Russell Global ex-U.S. Small Cap indexes), there are </w:t>
      </w:r>
      <w:r w:rsidRPr="00712474">
        <w:t xml:space="preserve">five specific </w:t>
      </w:r>
      <w:r>
        <w:t>variables</w:t>
      </w:r>
      <w:r w:rsidRPr="00712474">
        <w:t xml:space="preserve"> used to determine the probability of being defensive or dynamic: </w:t>
      </w:r>
      <w:r>
        <w:t>d</w:t>
      </w:r>
      <w:r w:rsidRPr="00712474">
        <w:t>ebt/</w:t>
      </w:r>
      <w:r>
        <w:t>e</w:t>
      </w:r>
      <w:r w:rsidRPr="00712474">
        <w:t xml:space="preserve">quity, </w:t>
      </w:r>
      <w:r>
        <w:t>return on assets (ROA), earnings v</w:t>
      </w:r>
      <w:r w:rsidRPr="00712474">
        <w:t>ariability</w:t>
      </w:r>
      <w:r>
        <w:t xml:space="preserve"> and total return volatility (52-week and 60-month frequencies</w:t>
      </w:r>
      <w:r w:rsidRPr="00712474">
        <w:t>).</w:t>
      </w:r>
      <w:r>
        <w:t xml:space="preserve"> </w:t>
      </w:r>
    </w:p>
    <w:p w:rsidR="0006297A" w:rsidRDefault="0006297A" w:rsidP="0006297A">
      <w:pPr>
        <w:pStyle w:val="RI07-BodyCopy95pt"/>
      </w:pPr>
      <w:r w:rsidRPr="00712474">
        <w:t xml:space="preserve">Among other </w:t>
      </w:r>
      <w:r>
        <w:t>risks</w:t>
      </w:r>
      <w:r w:rsidRPr="00712474">
        <w:t xml:space="preserve">, a company has risks related to balance sheet leverage, economic cycles and industry/product cycles, and </w:t>
      </w:r>
      <w:r>
        <w:t xml:space="preserve">to </w:t>
      </w:r>
      <w:r w:rsidRPr="00712474">
        <w:t>weaknesses in its business model. Russell uses debt/equity ratio as a proxy for risks related to balance sheet leverage. E</w:t>
      </w:r>
      <w:r>
        <w:t>arnings</w:t>
      </w:r>
      <w:r w:rsidRPr="00712474">
        <w:t xml:space="preserve"> variability is used as a proxy for risks related to economic cycles and industry/product cycles.</w:t>
      </w:r>
      <w:r>
        <w:t xml:space="preserve"> ROA</w:t>
      </w:r>
      <w:r w:rsidRPr="00712474">
        <w:t xml:space="preserve"> is used as a proxy for risks related to the strength of a company’s business model. The final component used as an indicator of a company’s risk is the volatility of its stock’s returns. Total return volatility reflects </w:t>
      </w:r>
      <w:r>
        <w:t xml:space="preserve">those </w:t>
      </w:r>
      <w:r w:rsidRPr="00712474">
        <w:t xml:space="preserve">aspects of a company’s stability or risk not captured by the other three inputs to a company’s stability probability. </w:t>
      </w:r>
    </w:p>
    <w:p w:rsidR="0006297A" w:rsidRPr="00C16A73" w:rsidRDefault="0006297A" w:rsidP="0006297A">
      <w:pPr>
        <w:pStyle w:val="RI07-BodyCopy95pt"/>
      </w:pPr>
      <w:r w:rsidRPr="00C16A73">
        <w:t>Using the Russell non-linear style algorithm, companies with high stability probabilities are included in the Russell Defensi</w:t>
      </w:r>
      <w:r>
        <w:t>ve Indexes. Companies with low s</w:t>
      </w:r>
      <w:r w:rsidRPr="00C16A73">
        <w:t xml:space="preserve">tability probabilities are included in the Russell Dynamic Indexes. </w:t>
      </w:r>
    </w:p>
    <w:p w:rsidR="0006297A" w:rsidRPr="00C16A73" w:rsidRDefault="0006297A" w:rsidP="0006297A">
      <w:pPr>
        <w:pStyle w:val="RI07-BodyCopy95pt"/>
      </w:pPr>
      <w:r w:rsidRPr="00C16A73">
        <w:t>Russell has assigned the label “Quality” to the score resulting from an equal weight of the three accounting-based indicators (</w:t>
      </w:r>
      <w:r>
        <w:t>earnings</w:t>
      </w:r>
      <w:r w:rsidRPr="00C16A73">
        <w:t xml:space="preserve"> variability, debt/equity ratios, and ROA). Together, these three </w:t>
      </w:r>
      <w:r>
        <w:t xml:space="preserve">variables </w:t>
      </w:r>
      <w:r w:rsidRPr="00C16A73">
        <w:t>comprise 50% of the stability probability. The “Volatility” score makes up the other half of the stability probability, and is based on an equal weight of</w:t>
      </w:r>
      <w:r>
        <w:t xml:space="preserve"> the stock’s past year’s </w:t>
      </w:r>
      <w:r w:rsidRPr="00C16A73">
        <w:t xml:space="preserve">weekly </w:t>
      </w:r>
      <w:r>
        <w:t xml:space="preserve">total return </w:t>
      </w:r>
      <w:r w:rsidRPr="00C16A73">
        <w:t xml:space="preserve">volatility and the past </w:t>
      </w:r>
      <w:r>
        <w:t>five years’</w:t>
      </w:r>
      <w:r w:rsidRPr="00C16A73">
        <w:t xml:space="preserve"> monthly </w:t>
      </w:r>
      <w:r>
        <w:t xml:space="preserve">total return </w:t>
      </w:r>
      <w:r w:rsidRPr="00C16A73">
        <w:t xml:space="preserve">volatility. </w:t>
      </w:r>
    </w:p>
    <w:p w:rsidR="0006297A" w:rsidRDefault="0006297A" w:rsidP="0006297A">
      <w:pPr>
        <w:pStyle w:val="RI07-BodyCopy95pt"/>
      </w:pPr>
      <w:r w:rsidRPr="00C16A73">
        <w:t xml:space="preserve">A company may be included in both the defensive and dynamic indexes based on its stability probability. However, the number of shares for each index will be divided based on its stability probability. The total shares will be the same as </w:t>
      </w:r>
      <w:r>
        <w:t xml:space="preserve">in </w:t>
      </w:r>
      <w:r w:rsidRPr="00C16A73">
        <w:t>the parent index.</w:t>
      </w:r>
    </w:p>
    <w:p w:rsidR="0006297A" w:rsidRDefault="0006297A" w:rsidP="0006297A">
      <w:pPr>
        <w:pStyle w:val="RI07-BodyCopy95pt"/>
      </w:pPr>
      <w:r w:rsidRPr="004C4CCC">
        <w:t>The stability of a company, also referred to as the stability probability</w:t>
      </w:r>
      <w:r>
        <w:t>,</w:t>
      </w:r>
      <w:r w:rsidRPr="004C4CCC">
        <w:t xml:space="preserve"> is determined by combining the quality variables with </w:t>
      </w:r>
      <w:r>
        <w:t>total return</w:t>
      </w:r>
      <w:r w:rsidRPr="004C4CCC">
        <w:t xml:space="preserve"> volatility.</w:t>
      </w:r>
      <w:r>
        <w:t xml:space="preserve"> </w:t>
      </w:r>
      <w:r w:rsidRPr="004C4CCC">
        <w:t>The quality score (</w:t>
      </w:r>
      <w:r>
        <w:t>derived</w:t>
      </w:r>
      <w:r w:rsidRPr="004C4CCC">
        <w:t xml:space="preserve"> by</w:t>
      </w:r>
      <w:r>
        <w:t xml:space="preserve"> combining</w:t>
      </w:r>
      <w:r w:rsidRPr="004C4CCC">
        <w:t xml:space="preserve"> </w:t>
      </w:r>
      <w:r>
        <w:t xml:space="preserve">the three </w:t>
      </w:r>
      <w:r w:rsidRPr="004C4CCC">
        <w:t>quality variables) represents 50% of the stability score</w:t>
      </w:r>
      <w:r>
        <w:t>,</w:t>
      </w:r>
      <w:r w:rsidRPr="004C4CCC">
        <w:t xml:space="preserve"> </w:t>
      </w:r>
      <w:r>
        <w:t>and the</w:t>
      </w:r>
      <w:r w:rsidRPr="004C4CCC">
        <w:t xml:space="preserve"> </w:t>
      </w:r>
      <w:r>
        <w:t>volatility score (derived by total return</w:t>
      </w:r>
      <w:r w:rsidRPr="004C4CCC">
        <w:t xml:space="preserve"> volatility</w:t>
      </w:r>
      <w:r>
        <w:t>)</w:t>
      </w:r>
      <w:r w:rsidRPr="004C4CCC">
        <w:t xml:space="preserve"> represents the other 50%.</w:t>
      </w:r>
    </w:p>
    <w:p w:rsidR="0006297A" w:rsidRPr="004C4CCC" w:rsidRDefault="0006297A" w:rsidP="0006297A">
      <w:pPr>
        <w:pStyle w:val="RI07-BodyCopy95pt"/>
      </w:pPr>
    </w:p>
    <w:p w:rsidR="0006297A" w:rsidRPr="00157C4B" w:rsidRDefault="00962308" w:rsidP="0006297A">
      <w:pPr>
        <w:pStyle w:val="RI07-BodyCopy95pt"/>
      </w:pPr>
      <w:r w:rsidRPr="00962308">
        <w:rPr>
          <w:color w:val="FFFFFF"/>
        </w:rPr>
      </w:r>
      <w:r w:rsidRPr="00962308">
        <w:rPr>
          <w:color w:val="FFFFFF"/>
        </w:rPr>
        <w:pict>
          <v:group id="_x0000_s1026" editas="canvas" style="width:541.2pt;height:251.4pt;mso-position-horizontal-relative:char;mso-position-vertical-relative:line" coordorigin="1526,6049" coordsize="10824,50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26;top:6049;width:10824;height:5028" o:preferrelative="f">
              <v:fill o:detectmouseclick="t"/>
              <v:path o:extrusionok="t" o:connecttype="none"/>
              <o:lock v:ext="edit" text="t"/>
            </v:shape>
            <v:line id="_x0000_s1028" style="position:absolute" from="10139,7576" to="10139,7787" strokeweight="2pt">
              <v:shadow color="#969696"/>
            </v:line>
            <v:line id="_x0000_s1029" style="position:absolute" from="8551,7565" to="8551,7775" strokeweight="2pt">
              <v:shadow color="#969696"/>
            </v:line>
            <v:line id="_x0000_s1030" style="position:absolute" from="5375,7571" to="5375,7782" strokeweight="2pt">
              <v:shadow color="#969696"/>
            </v:line>
            <v:line id="_x0000_s1031" style="position:absolute" from="3775,7576" to="3775,8300" strokeweight="2pt">
              <v:shadow color="#969696"/>
            </v:line>
            <v:line id="_x0000_s1032" style="position:absolute" from="2188,7565" to="2188,7775" strokeweight="2pt">
              <v:shadow color="#969696"/>
            </v:line>
            <v:shapetype id="_x0000_t109" coordsize="21600,21600" o:spt="109" path="m,l,21600r21600,l21600,xe">
              <v:stroke joinstyle="miter"/>
              <v:path gradientshapeok="t" o:connecttype="rect"/>
            </v:shapetype>
            <v:shape id="_x0000_s1033" type="#_x0000_t109" style="position:absolute;left:1526;top:6049;width:1285;height:1059;mso-wrap-style:none;v-text-anchor:middle" fillcolor="#6ad" stroked="f" strokeweight="1.5pt">
              <v:shadow color="#969696"/>
              <v:textbox style="mso-next-textbox:#_x0000_s1033" inset="1.87961mm,.93981mm,1.87961mm,.93981mm">
                <w:txbxContent>
                  <w:p w:rsidR="00C64951" w:rsidRPr="00997F5D" w:rsidRDefault="00C64951" w:rsidP="0006297A">
                    <w:pPr>
                      <w:autoSpaceDE w:val="0"/>
                      <w:autoSpaceDN w:val="0"/>
                      <w:adjustRightInd w:val="0"/>
                      <w:jc w:val="center"/>
                      <w:rPr>
                        <w:rFonts w:ascii="Arial" w:hAnsi="Arial" w:cs="Arial"/>
                        <w:b/>
                        <w:bCs/>
                        <w:color w:val="FFFFFF"/>
                        <w:sz w:val="8"/>
                        <w:szCs w:val="8"/>
                      </w:rPr>
                    </w:pP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ascii="Arial" w:hAnsi="Arial" w:cs="Arial"/>
                        <w:b/>
                        <w:bCs/>
                        <w:color w:val="FFFFFF"/>
                        <w:sz w:val="18"/>
                      </w:rPr>
                      <w:t xml:space="preserve">Earnings </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ascii="Arial" w:hAnsi="Arial" w:cs="Arial"/>
                        <w:b/>
                        <w:bCs/>
                        <w:color w:val="FFFFFF"/>
                        <w:sz w:val="18"/>
                      </w:rPr>
                      <w:t xml:space="preserve">Variability </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ascii="Arial" w:hAnsi="Arial" w:cs="Arial"/>
                        <w:b/>
                        <w:bCs/>
                        <w:color w:val="FFFFFF"/>
                        <w:sz w:val="18"/>
                      </w:rPr>
                      <w:t>Weight: 33%</w:t>
                    </w:r>
                  </w:p>
                </w:txbxContent>
              </v:textbox>
            </v:shape>
            <v:shape id="_x0000_s1034" type="#_x0000_t109" style="position:absolute;left:3119;top:6049;width:1239;height:1059;mso-wrap-style:none;v-text-anchor:middle" fillcolor="#6ad" stroked="f" strokeweight="1.5pt">
              <v:shadow color="#969696"/>
              <v:textbox style="mso-next-textbox:#_x0000_s1034" inset="1.87961mm,.93981mm,1.87961mm,.93981mm">
                <w:txbxContent>
                  <w:p w:rsidR="00C64951" w:rsidRPr="00997F5D" w:rsidRDefault="00C64951" w:rsidP="0006297A">
                    <w:pPr>
                      <w:autoSpaceDE w:val="0"/>
                      <w:autoSpaceDN w:val="0"/>
                      <w:adjustRightInd w:val="0"/>
                      <w:jc w:val="center"/>
                      <w:rPr>
                        <w:rFonts w:ascii="Arial" w:hAnsi="Arial" w:cs="Arial"/>
                        <w:b/>
                        <w:bCs/>
                        <w:color w:val="FFFFFF"/>
                        <w:sz w:val="18"/>
                      </w:rPr>
                    </w:pP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Leverage</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Weight: 33%</w:t>
                    </w:r>
                  </w:p>
                </w:txbxContent>
              </v:textbox>
            </v:shape>
            <v:shape id="_x0000_s1035" type="#_x0000_t109" style="position:absolute;left:4701;top:6049;width:1285;height:1059;mso-wrap-style:none;v-text-anchor:middle" fillcolor="#6ad" stroked="f" strokeweight="1.5pt">
              <v:shadow color="#969696"/>
              <v:textbox style="mso-next-textbox:#_x0000_s1035" inset="1.87961mm,.93981mm,1.87961mm,.93981mm">
                <w:txbxContent>
                  <w:p w:rsidR="00C64951" w:rsidRPr="00997F5D" w:rsidRDefault="00C64951" w:rsidP="0006297A">
                    <w:pPr>
                      <w:autoSpaceDE w:val="0"/>
                      <w:autoSpaceDN w:val="0"/>
                      <w:adjustRightInd w:val="0"/>
                      <w:ind w:left="720"/>
                      <w:jc w:val="center"/>
                      <w:rPr>
                        <w:rFonts w:ascii="Arial" w:hAnsi="Arial" w:cs="Arial"/>
                        <w:b/>
                        <w:bCs/>
                        <w:color w:val="FFFFFF"/>
                        <w:sz w:val="8"/>
                        <w:szCs w:val="8"/>
                      </w:rPr>
                    </w:pP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ascii="Arial" w:hAnsi="Arial" w:cs="Arial"/>
                        <w:b/>
                        <w:bCs/>
                        <w:color w:val="FFFFFF"/>
                        <w:sz w:val="18"/>
                      </w:rPr>
                      <w:t>Return on</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ascii="Arial" w:hAnsi="Arial" w:cs="Arial"/>
                        <w:b/>
                        <w:bCs/>
                        <w:color w:val="FFFFFF"/>
                        <w:sz w:val="18"/>
                      </w:rPr>
                      <w:t>Assets</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ascii="Arial" w:hAnsi="Arial" w:cs="Arial"/>
                        <w:b/>
                        <w:bCs/>
                        <w:color w:val="FFFFFF"/>
                        <w:sz w:val="18"/>
                      </w:rPr>
                      <w:t>Weight: 33%</w:t>
                    </w:r>
                  </w:p>
                </w:txbxContent>
              </v:textbox>
            </v:shape>
            <v:shape id="_x0000_s1036" type="#_x0000_t109" style="position:absolute;left:7884;top:6049;width:1239;height:1059;mso-wrap-style:none;v-text-anchor:middle" fillcolor="#6ad" stroked="f" strokeweight="1.5pt">
              <v:shadow color="#969696"/>
              <v:textbox style="mso-next-textbox:#_x0000_s1036" inset="1.87961mm,.93981mm,1.87961mm,.93981mm">
                <w:txbxContent>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 xml:space="preserve">52 Week </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Total Return</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Volatility</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Weight: 50%</w:t>
                    </w:r>
                  </w:p>
                </w:txbxContent>
              </v:textbox>
            </v:shape>
            <v:shape id="_x0000_s1037" type="#_x0000_t109" style="position:absolute;left:9476;top:6049;width:1239;height:1059;mso-wrap-style:none;v-text-anchor:middle" fillcolor="#6ad" stroked="f" strokeweight="1.5pt">
              <v:shadow color="#969696"/>
              <v:textbox style="mso-next-textbox:#_x0000_s1037" inset="1.87961mm,.93981mm,1.87961mm,.93981mm">
                <w:txbxContent>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 xml:space="preserve">60 Month </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Total Return</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Volatility</w:t>
                    </w:r>
                  </w:p>
                  <w:p w:rsidR="00C64951" w:rsidRPr="00997F5D" w:rsidRDefault="00C64951" w:rsidP="0006297A">
                    <w:pPr>
                      <w:autoSpaceDE w:val="0"/>
                      <w:autoSpaceDN w:val="0"/>
                      <w:adjustRightInd w:val="0"/>
                      <w:jc w:val="center"/>
                      <w:rPr>
                        <w:rFonts w:ascii="Arial" w:hAnsi="Arial" w:cs="Arial"/>
                        <w:b/>
                        <w:bCs/>
                        <w:color w:val="FFFFFF"/>
                        <w:sz w:val="18"/>
                      </w:rPr>
                    </w:pPr>
                    <w:r w:rsidRPr="00997F5D">
                      <w:rPr>
                        <w:rFonts w:cs="Arial"/>
                        <w:b/>
                        <w:bCs/>
                        <w:color w:val="FFFFFF"/>
                        <w:sz w:val="18"/>
                      </w:rPr>
                      <w:t>Weight: 50%</w:t>
                    </w:r>
                  </w:p>
                </w:txbxContent>
              </v:textbox>
            </v:shape>
            <v:shape id="_x0000_s1038" type="#_x0000_t109" style="position:absolute;left:1730;top:7240;width:845;height:422;mso-wrap-style:none;v-text-anchor:middle" strokecolor="#333" strokeweight="2pt">
              <v:shadow color="#969696"/>
              <v:textbox style="mso-next-textbox:#_x0000_s1038" inset="1.87961mm,.93981mm,1.87961mm,.93981mm">
                <w:txbxContent>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cs="Arial"/>
                        <w:b/>
                        <w:bCs/>
                        <w:color w:val="000000"/>
                        <w:sz w:val="18"/>
                      </w:rPr>
                      <w:t>Scoring</w:t>
                    </w:r>
                  </w:p>
                </w:txbxContent>
              </v:textbox>
            </v:shape>
            <v:shape id="_x0000_s1039" type="#_x0000_t109" style="position:absolute;left:3318;top:7240;width:845;height:422;mso-wrap-style:none;v-text-anchor:middle" strokecolor="#333" strokeweight="2pt">
              <v:shadow color="#969696"/>
              <v:textbox style="mso-next-textbox:#_x0000_s1039" inset="1.87961mm,.93981mm,1.87961mm,.93981mm">
                <w:txbxContent>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cs="Arial"/>
                        <w:b/>
                        <w:bCs/>
                        <w:color w:val="000000"/>
                        <w:sz w:val="18"/>
                      </w:rPr>
                      <w:t>Scoring</w:t>
                    </w:r>
                  </w:p>
                </w:txbxContent>
              </v:textbox>
            </v:shape>
            <v:shape id="_x0000_s1040" type="#_x0000_t109" style="position:absolute;left:4907;top:7240;width:845;height:422;mso-wrap-style:none;v-text-anchor:middle" strokecolor="#333" strokeweight="2pt">
              <v:shadow color="#969696"/>
              <v:textbox style="mso-next-textbox:#_x0000_s1040" inset="1.87961mm,.93981mm,1.87961mm,.93981mm">
                <w:txbxContent>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cs="Arial"/>
                        <w:b/>
                        <w:bCs/>
                        <w:color w:val="000000"/>
                        <w:sz w:val="18"/>
                      </w:rPr>
                      <w:t>Scoring</w:t>
                    </w:r>
                  </w:p>
                </w:txbxContent>
              </v:textbox>
            </v:shape>
            <v:shape id="_x0000_s1041" type="#_x0000_t109" style="position:absolute;left:8082;top:7240;width:845;height:422;mso-wrap-style:none;v-text-anchor:middle" strokecolor="#333" strokeweight="2pt">
              <v:shadow color="#969696"/>
              <v:textbox style="mso-next-textbox:#_x0000_s1041" inset="1.87961mm,.93981mm,1.87961mm,.93981mm">
                <w:txbxContent>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cs="Arial"/>
                        <w:b/>
                        <w:bCs/>
                        <w:color w:val="000000"/>
                        <w:sz w:val="18"/>
                      </w:rPr>
                      <w:t>Scoring</w:t>
                    </w:r>
                  </w:p>
                </w:txbxContent>
              </v:textbox>
            </v:shape>
            <v:shape id="_x0000_s1042" type="#_x0000_t109" style="position:absolute;left:9670;top:7240;width:845;height:422;mso-wrap-style:none;v-text-anchor:middle" strokecolor="#333" strokeweight="2pt">
              <v:shadow color="#969696"/>
              <v:textbox style="mso-next-textbox:#_x0000_s1042" inset="1.87961mm,.93981mm,1.87961mm,.93981mm">
                <w:txbxContent>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cs="Arial"/>
                        <w:b/>
                        <w:bCs/>
                        <w:color w:val="000000"/>
                        <w:sz w:val="18"/>
                      </w:rPr>
                      <w:t>Scoring</w:t>
                    </w:r>
                  </w:p>
                </w:txbxContent>
              </v:textbox>
            </v:shape>
            <v:shape id="_x0000_s1043" type="#_x0000_t109" style="position:absolute;left:3076;top:8298;width:1375;height:1059;mso-wrap-style:none;v-text-anchor:middle" fillcolor="silver" stroked="f" strokeweight="1.5pt">
              <v:shadow color="#969696"/>
              <v:textbox style="mso-next-textbox:#_x0000_s1043" inset="1.87961mm,.93981mm,1.87961mm,.93981mm">
                <w:txbxContent>
                  <w:p w:rsidR="00C64951" w:rsidRPr="004E7EA2" w:rsidRDefault="00C64951" w:rsidP="0006297A">
                    <w:pPr>
                      <w:autoSpaceDE w:val="0"/>
                      <w:autoSpaceDN w:val="0"/>
                      <w:adjustRightInd w:val="0"/>
                      <w:jc w:val="center"/>
                      <w:rPr>
                        <w:rFonts w:ascii="Arial" w:hAnsi="Arial" w:cs="Arial"/>
                        <w:b/>
                        <w:bCs/>
                        <w:color w:val="000000"/>
                        <w:sz w:val="8"/>
                        <w:szCs w:val="8"/>
                      </w:rPr>
                    </w:pPr>
                  </w:p>
                  <w:p w:rsidR="00C64951" w:rsidRPr="00C84F37" w:rsidRDefault="00C64951" w:rsidP="0006297A">
                    <w:pPr>
                      <w:autoSpaceDE w:val="0"/>
                      <w:autoSpaceDN w:val="0"/>
                      <w:adjustRightInd w:val="0"/>
                      <w:jc w:val="center"/>
                      <w:rPr>
                        <w:rFonts w:ascii="Arial" w:hAnsi="Arial" w:cs="Arial"/>
                        <w:b/>
                        <w:bCs/>
                        <w:color w:val="000000"/>
                        <w:sz w:val="18"/>
                      </w:rPr>
                    </w:pPr>
                    <w:r>
                      <w:rPr>
                        <w:vanish/>
                      </w:rPr>
                      <w:t xml:space="preserve">:hodology:ny stability or risk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t xml:space="preserve">:hodology:ny stability or risk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Pr="00C84F37">
                      <w:rPr>
                        <w:rFonts w:ascii="Arial" w:hAnsi="Arial" w:cs="Arial"/>
                        <w:b/>
                        <w:bCs/>
                        <w:color w:val="000000"/>
                        <w:sz w:val="18"/>
                      </w:rPr>
                      <w:t>Quality Score</w:t>
                    </w:r>
                  </w:p>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ascii="Arial" w:hAnsi="Arial" w:cs="Arial"/>
                        <w:b/>
                        <w:bCs/>
                        <w:color w:val="000000"/>
                        <w:sz w:val="18"/>
                      </w:rPr>
                      <w:t>Weight: 50%</w:t>
                    </w:r>
                  </w:p>
                </w:txbxContent>
              </v:textbox>
            </v:shape>
            <v:shape id="_x0000_s1044" type="#_x0000_t109" style="position:absolute;left:8539;top:8287;width:1515;height:1059;mso-wrap-style:none;v-text-anchor:middle" fillcolor="silver" stroked="f" strokeweight="1.5pt">
              <v:shadow color="#969696"/>
              <v:textbox style="mso-next-textbox:#_x0000_s1044" inset="1.87961mm,.93981mm,1.87961mm,.93981mm">
                <w:txbxContent>
                  <w:p w:rsidR="00C64951" w:rsidRDefault="00C64951" w:rsidP="0006297A">
                    <w:pPr>
                      <w:autoSpaceDE w:val="0"/>
                      <w:autoSpaceDN w:val="0"/>
                      <w:adjustRightInd w:val="0"/>
                      <w:jc w:val="center"/>
                      <w:rPr>
                        <w:rFonts w:ascii="Arial" w:hAnsi="Arial" w:cs="Arial"/>
                        <w:b/>
                        <w:bCs/>
                        <w:color w:val="000000"/>
                        <w:sz w:val="18"/>
                      </w:rPr>
                    </w:pPr>
                    <w:r>
                      <w:rPr>
                        <w:rFonts w:cs="Arial"/>
                        <w:b/>
                        <w:bCs/>
                        <w:color w:val="000000"/>
                        <w:sz w:val="18"/>
                      </w:rPr>
                      <w:t>Total Return</w:t>
                    </w:r>
                  </w:p>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ascii="Arial" w:hAnsi="Arial" w:cs="Arial"/>
                        <w:b/>
                        <w:bCs/>
                        <w:color w:val="000000"/>
                        <w:sz w:val="18"/>
                      </w:rPr>
                      <w:t>Volatility Score</w:t>
                    </w:r>
                  </w:p>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ascii="Arial" w:hAnsi="Arial" w:cs="Arial"/>
                        <w:b/>
                        <w:bCs/>
                        <w:color w:val="000000"/>
                        <w:sz w:val="18"/>
                      </w:rPr>
                      <w:t>Weight: 50%</w:t>
                    </w:r>
                  </w:p>
                </w:txbxContent>
              </v:textbox>
            </v:shape>
            <v:shape id="_x0000_s1045" type="#_x0000_t109" style="position:absolute;left:5555;top:10018;width:1895;height:1059;mso-wrap-style:none;v-text-anchor:middle" fillcolor="#f90" stroked="f" strokeweight="1.5pt">
              <v:shadow color="#969696"/>
              <v:textbox style="mso-next-textbox:#_x0000_s1045" inset="1.87961mm,.93981mm,1.87961mm,.93981mm">
                <w:txbxContent>
                  <w:p w:rsidR="00C64951" w:rsidRDefault="00C64951" w:rsidP="0006297A">
                    <w:pPr>
                      <w:autoSpaceDE w:val="0"/>
                      <w:autoSpaceDN w:val="0"/>
                      <w:adjustRightInd w:val="0"/>
                      <w:jc w:val="center"/>
                      <w:rPr>
                        <w:rFonts w:ascii="Arial" w:hAnsi="Arial" w:cs="Arial"/>
                        <w:b/>
                        <w:bCs/>
                        <w:color w:val="000000"/>
                        <w:sz w:val="18"/>
                      </w:rPr>
                    </w:pPr>
                  </w:p>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ascii="Arial" w:hAnsi="Arial" w:cs="Arial"/>
                        <w:b/>
                        <w:bCs/>
                        <w:color w:val="000000"/>
                        <w:sz w:val="18"/>
                      </w:rPr>
                      <w:t xml:space="preserve">Stability </w:t>
                    </w:r>
                    <w:r>
                      <w:rPr>
                        <w:rFonts w:ascii="Arial" w:hAnsi="Arial" w:cs="Arial"/>
                        <w:b/>
                        <w:bCs/>
                        <w:color w:val="000000"/>
                        <w:sz w:val="18"/>
                      </w:rPr>
                      <w:t>Probability</w:t>
                    </w:r>
                  </w:p>
                  <w:p w:rsidR="00C64951" w:rsidRPr="00C84F37" w:rsidRDefault="00C64951" w:rsidP="0006297A">
                    <w:pPr>
                      <w:autoSpaceDE w:val="0"/>
                      <w:autoSpaceDN w:val="0"/>
                      <w:adjustRightInd w:val="0"/>
                      <w:jc w:val="center"/>
                      <w:rPr>
                        <w:rFonts w:ascii="Arial" w:hAnsi="Arial" w:cs="Arial"/>
                        <w:b/>
                        <w:bCs/>
                        <w:color w:val="000000"/>
                        <w:sz w:val="18"/>
                      </w:rPr>
                    </w:pPr>
                    <w:r w:rsidRPr="00C84F37">
                      <w:rPr>
                        <w:rFonts w:ascii="Arial" w:hAnsi="Arial" w:cs="Arial"/>
                        <w:b/>
                        <w:bCs/>
                        <w:color w:val="000000"/>
                        <w:sz w:val="18"/>
                      </w:rPr>
                      <w:t>(0-</w:t>
                    </w:r>
                    <w:r>
                      <w:rPr>
                        <w:rFonts w:ascii="Arial" w:hAnsi="Arial" w:cs="Arial"/>
                        <w:b/>
                        <w:bCs/>
                        <w:color w:val="000000"/>
                        <w:sz w:val="18"/>
                      </w:rPr>
                      <w:t>1</w:t>
                    </w:r>
                    <w:r w:rsidRPr="00C84F37">
                      <w:rPr>
                        <w:rFonts w:ascii="Arial" w:hAnsi="Arial" w:cs="Arial"/>
                        <w:b/>
                        <w:bCs/>
                        <w:color w:val="000000"/>
                        <w:sz w:val="18"/>
                      </w:rPr>
                      <w:t>)</w:t>
                    </w:r>
                  </w:p>
                </w:txbxContent>
              </v:textbox>
            </v:shape>
            <v:line id="_x0000_s1046" style="position:absolute" from="2188,7108" to="2188,7240" strokeweight="2pt">
              <v:shadow color="#969696"/>
            </v:line>
            <v:line id="_x0000_s1047" style="position:absolute" from="3775,7124" to="3775,7251" strokeweight="2pt">
              <v:shadow color="#969696"/>
            </v:line>
            <v:line id="_x0000_s1048" style="position:absolute" from="5363,7113" to="5363,7245" strokeweight="2pt">
              <v:shadow color="#969696"/>
            </v:line>
            <v:line id="_x0000_s1049" style="position:absolute" from="8551,7113" to="8551,7245" strokeweight="2pt">
              <v:shadow color="#969696"/>
            </v:line>
            <v:line id="_x0000_s1050" style="position:absolute" from="10127,7113" to="10127,7245" strokeweight="2pt">
              <v:shadow color="#969696"/>
            </v:line>
            <v:line id="_x0000_s1051" style="position:absolute" from="8539,7769" to="10148,7769" strokeweight="2pt">
              <v:shadow color="#969696"/>
            </v:line>
            <v:line id="_x0000_s1052" style="position:absolute" from="2177,7769" to="3785,7769" strokeweight="2pt">
              <v:shadow color="#969696"/>
            </v:line>
            <v:line id="_x0000_s1053" style="position:absolute" from="3781,7769" to="5389,7769" strokeweight="2pt">
              <v:shadow color="#969696"/>
            </v:line>
            <v:line id="_x0000_s1054" style="position:absolute" from="9339,7780" to="9339,8287" strokeweight="2pt">
              <v:shadow color="#969696"/>
            </v:line>
            <v:line id="_x0000_s1055" style="position:absolute" from="3788,9362" to="3788,9572" strokeweight="2pt">
              <v:shadow color="#969696"/>
            </v:line>
            <v:line id="_x0000_s1056" style="position:absolute" from="9324,9342" to="9325,9575" strokeweight="2pt">
              <v:shadow color="#969696"/>
            </v:line>
            <v:line id="_x0000_s1057" style="position:absolute;flip:y" from="3775,9566" to="9348,9566" strokeweight="2pt">
              <v:shadow color="#969696"/>
            </v:line>
            <v:line id="_x0000_s1058" style="position:absolute" from="6509,9577" to="6510,10022" strokeweight="2pt">
              <v:shadow color="#969696"/>
            </v:line>
            <w10:wrap type="none"/>
            <w10:anchorlock/>
          </v:group>
        </w:pict>
      </w:r>
    </w:p>
    <w:p w:rsidR="0006297A" w:rsidRPr="00157C4B" w:rsidRDefault="0006297A" w:rsidP="0006297A">
      <w:pPr>
        <w:pStyle w:val="RI07-BodyCopy95pt"/>
      </w:pPr>
    </w:p>
    <w:p w:rsidR="0006297A" w:rsidRPr="000F5F66" w:rsidRDefault="0006297A" w:rsidP="0006297A">
      <w:pPr>
        <w:pStyle w:val="Heading2"/>
      </w:pPr>
      <w:bookmarkStart w:id="140" w:name="_Toc303342519"/>
      <w:bookmarkStart w:id="141" w:name="_Toc343682661"/>
      <w:r w:rsidRPr="00A8048D">
        <w:t xml:space="preserve">Quality </w:t>
      </w:r>
      <w:r>
        <w:t>s</w:t>
      </w:r>
      <w:r w:rsidRPr="00A8048D">
        <w:t xml:space="preserve">core </w:t>
      </w:r>
      <w:r w:rsidRPr="000F5F66">
        <w:t>(comprises 50% of the overall stability probability)</w:t>
      </w:r>
      <w:bookmarkEnd w:id="140"/>
      <w:bookmarkEnd w:id="141"/>
    </w:p>
    <w:p w:rsidR="0006297A" w:rsidRDefault="0006297A" w:rsidP="0006297A">
      <w:pPr>
        <w:pStyle w:val="RI07-BodyCopy95pt"/>
      </w:pPr>
      <w:r>
        <w:t xml:space="preserve">Three stability indicators comprise the quality score: debt/equity, pre-tax ROA, and earnings variability. Each indicator </w:t>
      </w:r>
      <w:r w:rsidRPr="00E953C5">
        <w:t xml:space="preserve">comprises one third of the </w:t>
      </w:r>
      <w:r>
        <w:t>q</w:t>
      </w:r>
      <w:r w:rsidRPr="00E953C5">
        <w:t>uality score</w:t>
      </w:r>
      <w:r>
        <w:t>. Annual attribute data is used for global ex-U.S. companies to create the global-relative defensive and dynamic indexes. Quarterly attribute data is used to create the U.S. defensive and dynamic indexes.</w:t>
      </w:r>
    </w:p>
    <w:p w:rsidR="0006297A" w:rsidRPr="00A8048D" w:rsidRDefault="0006297A" w:rsidP="0006297A">
      <w:pPr>
        <w:pStyle w:val="RI07-BodyCopy95pt"/>
      </w:pPr>
      <w:r w:rsidRPr="009F3E37">
        <w:rPr>
          <w:b/>
        </w:rPr>
        <w:t>Debt/</w:t>
      </w:r>
      <w:r>
        <w:rPr>
          <w:b/>
        </w:rPr>
        <w:t>e</w:t>
      </w:r>
      <w:r w:rsidRPr="009F3E37">
        <w:rPr>
          <w:b/>
        </w:rPr>
        <w:t>quity:</w:t>
      </w:r>
      <w:r>
        <w:rPr>
          <w:b/>
        </w:rPr>
        <w:t xml:space="preserve"> </w:t>
      </w:r>
      <w:r>
        <w:t xml:space="preserve">The debt/equity ratio for global ex-U.S. companies is based on most recent annual reports. The debt/equity ratio for U.S. companies is based on the most recent quarterly SEC filings. Negative </w:t>
      </w:r>
      <w:r w:rsidRPr="00B107F9">
        <w:t xml:space="preserve">numbers </w:t>
      </w:r>
      <w:r>
        <w:t xml:space="preserve">for a company </w:t>
      </w:r>
      <w:r w:rsidRPr="00B107F9">
        <w:t xml:space="preserve">will not be used to calculate </w:t>
      </w:r>
      <w:r>
        <w:t>debt/equity</w:t>
      </w:r>
      <w:r w:rsidRPr="00B107F9">
        <w:t>.</w:t>
      </w:r>
      <w:r>
        <w:t xml:space="preserve"> </w:t>
      </w:r>
      <w:r w:rsidRPr="00B107F9">
        <w:t xml:space="preserve">Rather, </w:t>
      </w:r>
      <w:r>
        <w:t xml:space="preserve">negative debt/equity </w:t>
      </w:r>
      <w:r w:rsidRPr="00B107F9">
        <w:t xml:space="preserve">is </w:t>
      </w:r>
      <w:r>
        <w:t xml:space="preserve">excluded in the analysis and the indicator for this company will be set to zero/dynamic. </w:t>
      </w:r>
    </w:p>
    <w:p w:rsidR="0006297A" w:rsidRDefault="0006297A" w:rsidP="0006297A">
      <w:pPr>
        <w:pStyle w:val="RI07-BodyCopy95pt"/>
      </w:pPr>
      <w:r w:rsidRPr="009F3E37">
        <w:rPr>
          <w:b/>
        </w:rPr>
        <w:t>Pre-</w:t>
      </w:r>
      <w:r>
        <w:rPr>
          <w:b/>
        </w:rPr>
        <w:t>t</w:t>
      </w:r>
      <w:r w:rsidRPr="009F3E37">
        <w:rPr>
          <w:b/>
        </w:rPr>
        <w:t>ax ROA:</w:t>
      </w:r>
      <w:r>
        <w:t xml:space="preserve"> The</w:t>
      </w:r>
      <w:r w:rsidRPr="004B2847">
        <w:t xml:space="preserve"> pre-tax ROA </w:t>
      </w:r>
      <w:r>
        <w:t xml:space="preserve">for global ex-U.S. companies </w:t>
      </w:r>
      <w:r w:rsidRPr="004B2847">
        <w:t>is based on the annual year-end pre-tax income divided by the average of the latest year</w:t>
      </w:r>
      <w:r>
        <w:t xml:space="preserve"> </w:t>
      </w:r>
      <w:r w:rsidRPr="004B2847">
        <w:t xml:space="preserve">end and </w:t>
      </w:r>
      <w:r>
        <w:t xml:space="preserve">the </w:t>
      </w:r>
      <w:r w:rsidRPr="004B2847">
        <w:t>previous year-end assets (latest year-end assets + previous year-end assets)</w:t>
      </w:r>
      <w:r>
        <w:t xml:space="preserve"> </w:t>
      </w:r>
      <w:r w:rsidRPr="004B2847">
        <w:t>/</w:t>
      </w:r>
      <w:r>
        <w:t xml:space="preserve"> </w:t>
      </w:r>
      <w:r w:rsidRPr="004B2847">
        <w:t>2).</w:t>
      </w:r>
      <w:r>
        <w:t xml:space="preserve"> T</w:t>
      </w:r>
      <w:r w:rsidRPr="00B92F72">
        <w:t>he pr</w:t>
      </w:r>
      <w:r>
        <w:t>e-tax ROA for U.S. companies is based on the last 12 months</w:t>
      </w:r>
      <w:r w:rsidRPr="00B92F72">
        <w:t>’ pre-tax income divided by the average of the assets for the previous year</w:t>
      </w:r>
      <w:r>
        <w:t>, or</w:t>
      </w:r>
      <w:r w:rsidRPr="00B92F72">
        <w:t xml:space="preserve"> (current assets + same quarter one year prior)</w:t>
      </w:r>
      <w:r>
        <w:t xml:space="preserve"> </w:t>
      </w:r>
      <w:r w:rsidRPr="00B92F72">
        <w:t>/</w:t>
      </w:r>
      <w:r>
        <w:t xml:space="preserve"> </w:t>
      </w:r>
      <w:r w:rsidRPr="00B92F72">
        <w:t>2</w:t>
      </w:r>
      <w:r>
        <w:t xml:space="preserve">). </w:t>
      </w:r>
    </w:p>
    <w:p w:rsidR="0006297A" w:rsidRDefault="0006297A" w:rsidP="0006297A">
      <w:pPr>
        <w:pStyle w:val="RI07-BodyCopy95pt"/>
      </w:pPr>
      <w:r w:rsidRPr="009F3E37">
        <w:rPr>
          <w:b/>
        </w:rPr>
        <w:t xml:space="preserve">Earnings </w:t>
      </w:r>
      <w:r>
        <w:rPr>
          <w:b/>
        </w:rPr>
        <w:t>v</w:t>
      </w:r>
      <w:r w:rsidRPr="009F3E37">
        <w:rPr>
          <w:b/>
        </w:rPr>
        <w:t>ariability:</w:t>
      </w:r>
      <w:r>
        <w:t xml:space="preserve"> The earnings variability for global ex-U.S. companies is computed by dividing the standard deviation of the company’s earnings-per-share (EPS) by the company’s median earnings for the previous five years</w:t>
      </w:r>
      <w:r w:rsidRPr="00A219D2">
        <w:t>.</w:t>
      </w:r>
      <w:r>
        <w:t xml:space="preserve"> </w:t>
      </w:r>
      <w:r w:rsidRPr="00A219D2">
        <w:t xml:space="preserve">This scaling normalizes the information to make each company directly comparable </w:t>
      </w:r>
      <w:r w:rsidRPr="00D911FD">
        <w:t>to other companies regardless of the relative level of EPS.</w:t>
      </w:r>
      <w:r>
        <w:t xml:space="preserve"> </w:t>
      </w:r>
      <w:r w:rsidRPr="00B107F9">
        <w:t xml:space="preserve">If there are less than </w:t>
      </w:r>
      <w:r>
        <w:t>five</w:t>
      </w:r>
      <w:r w:rsidRPr="00B107F9">
        <w:t xml:space="preserve"> </w:t>
      </w:r>
      <w:r>
        <w:t xml:space="preserve">annual EPS </w:t>
      </w:r>
      <w:r w:rsidRPr="00B107F9">
        <w:t xml:space="preserve">observations, </w:t>
      </w:r>
      <w:r>
        <w:t>earnings variability</w:t>
      </w:r>
      <w:r w:rsidRPr="00B107F9">
        <w:t xml:space="preserve"> is considered NULL and standard </w:t>
      </w:r>
      <w:r>
        <w:t>deviation</w:t>
      </w:r>
      <w:r w:rsidRPr="00B107F9">
        <w:t xml:space="preserve"> will not be calculated (see </w:t>
      </w:r>
      <w:r>
        <w:t>“Missing values”</w:t>
      </w:r>
      <w:r w:rsidRPr="00B107F9">
        <w:t xml:space="preserve"> below)</w:t>
      </w:r>
      <w:r>
        <w:t>.</w:t>
      </w:r>
    </w:p>
    <w:p w:rsidR="0006297A" w:rsidRDefault="0006297A" w:rsidP="0006297A">
      <w:pPr>
        <w:pStyle w:val="RI07-BodyCopy95pt"/>
      </w:pPr>
      <w:r>
        <w:lastRenderedPageBreak/>
        <w:t xml:space="preserve">Note: U.S. companies require 20 quarters of data for calculation of earnings variability, which </w:t>
      </w:r>
      <w:r w:rsidRPr="00A219D2">
        <w:t>is based on the standard error of the linear</w:t>
      </w:r>
      <w:r>
        <w:t xml:space="preserve"> EPS</w:t>
      </w:r>
      <w:r w:rsidRPr="00A219D2">
        <w:t xml:space="preserve"> trend regression.</w:t>
      </w:r>
      <w:r>
        <w:t xml:space="preserve"> I</w:t>
      </w:r>
      <w:r w:rsidRPr="00B107F9">
        <w:t xml:space="preserve">f there are less than 20 </w:t>
      </w:r>
      <w:r>
        <w:t xml:space="preserve">EPS </w:t>
      </w:r>
      <w:r w:rsidRPr="00B107F9">
        <w:t xml:space="preserve">observations </w:t>
      </w:r>
      <w:r>
        <w:t>(or standard error is equal to zero), earnings variability</w:t>
      </w:r>
      <w:r w:rsidRPr="00B107F9">
        <w:t xml:space="preserve"> is considered NULL and standard error will not be calculate</w:t>
      </w:r>
      <w:r>
        <w:t xml:space="preserve">d (see “Missing values” below). </w:t>
      </w:r>
      <w:r w:rsidRPr="00A219D2">
        <w:t>The rationale for using the standard error is that if there is a trend in the EPS over time, then the trend itself should not contribute to EPS variability.</w:t>
      </w:r>
      <w:r>
        <w:t xml:space="preserve"> </w:t>
      </w:r>
      <w:r w:rsidRPr="00A219D2">
        <w:t>Th</w:t>
      </w:r>
      <w:r>
        <w:t>e standard error is then divide</w:t>
      </w:r>
      <w:r w:rsidRPr="00A219D2">
        <w:t>d by the median EPS (of the 20 observations).</w:t>
      </w:r>
      <w:r>
        <w:t xml:space="preserve"> </w:t>
      </w:r>
    </w:p>
    <w:p w:rsidR="0006297A" w:rsidRPr="00B107F9" w:rsidRDefault="0006297A" w:rsidP="0006297A">
      <w:pPr>
        <w:pStyle w:val="RI07-BodyCopy95pt"/>
      </w:pPr>
      <w:r w:rsidRPr="00B107F9">
        <w:t xml:space="preserve">Negative (or zero) EPS numbers are included in the standard </w:t>
      </w:r>
      <w:r>
        <w:t xml:space="preserve">deviation or standard </w:t>
      </w:r>
      <w:r w:rsidRPr="00B107F9">
        <w:t>error</w:t>
      </w:r>
      <w:r>
        <w:t xml:space="preserve"> calculation</w:t>
      </w:r>
      <w:r w:rsidRPr="00B107F9">
        <w:t>, however, a negative or zero median EPS value</w:t>
      </w:r>
      <w:r>
        <w:t xml:space="preserve"> </w:t>
      </w:r>
      <w:r w:rsidRPr="00B107F9">
        <w:t>will not be used to calcu</w:t>
      </w:r>
      <w:r>
        <w:t>late earnings</w:t>
      </w:r>
      <w:r w:rsidRPr="00B107F9">
        <w:t xml:space="preserve"> variability.</w:t>
      </w:r>
      <w:r>
        <w:t xml:space="preserve"> </w:t>
      </w:r>
      <w:r w:rsidRPr="00B107F9">
        <w:t xml:space="preserve">Rather, </w:t>
      </w:r>
      <w:r>
        <w:t>when the median EPS is negative or zero, earnings</w:t>
      </w:r>
      <w:r w:rsidRPr="00B107F9">
        <w:t xml:space="preserve"> variability is </w:t>
      </w:r>
      <w:r>
        <w:t xml:space="preserve">excluded from the analysis and set to zero/dynamic. </w:t>
      </w:r>
      <w:r w:rsidRPr="00B107F9">
        <w:t xml:space="preserve">Assigning this </w:t>
      </w:r>
      <w:r>
        <w:t>value</w:t>
      </w:r>
      <w:r w:rsidRPr="00B107F9">
        <w:t xml:space="preserve"> is equivalent to characterizing the company as having very high earnings variability.</w:t>
      </w:r>
    </w:p>
    <w:p w:rsidR="0006297A" w:rsidRPr="00A8048D" w:rsidRDefault="0006297A" w:rsidP="0006297A">
      <w:pPr>
        <w:pStyle w:val="Heading2"/>
      </w:pPr>
      <w:bookmarkStart w:id="142" w:name="_Toc303342520"/>
      <w:bookmarkStart w:id="143" w:name="_Toc343682662"/>
      <w:r w:rsidRPr="00A8048D">
        <w:t xml:space="preserve">Volatility </w:t>
      </w:r>
      <w:r>
        <w:t>s</w:t>
      </w:r>
      <w:r w:rsidRPr="00A8048D">
        <w:t xml:space="preserve">core </w:t>
      </w:r>
      <w:r w:rsidRPr="0044163D">
        <w:rPr>
          <w:rStyle w:val="RI07-BodyCopy95ptChar"/>
          <w:color w:val="F38F1D"/>
        </w:rPr>
        <w:t>(comprises 50% of the overall stability probability)</w:t>
      </w:r>
      <w:bookmarkEnd w:id="142"/>
      <w:bookmarkEnd w:id="143"/>
    </w:p>
    <w:p w:rsidR="0006297A" w:rsidRDefault="0006297A" w:rsidP="0006297A">
      <w:pPr>
        <w:pStyle w:val="RI07-BodyCopy95pt"/>
      </w:pPr>
      <w:r w:rsidRPr="00E953C5">
        <w:t xml:space="preserve">Total return volatility (standard deviation) is measured over two horizons, over the </w:t>
      </w:r>
      <w:r>
        <w:t>previous</w:t>
      </w:r>
      <w:r w:rsidRPr="00E953C5">
        <w:t xml:space="preserve"> year and over the </w:t>
      </w:r>
      <w:r>
        <w:t>previous</w:t>
      </w:r>
      <w:r w:rsidRPr="00E953C5">
        <w:t xml:space="preserve"> five years.</w:t>
      </w:r>
      <w:r>
        <w:t xml:space="preserve"> Each indicator represents one half of the volatility score.</w:t>
      </w:r>
    </w:p>
    <w:p w:rsidR="0006297A" w:rsidRDefault="0006297A" w:rsidP="0006297A">
      <w:pPr>
        <w:pStyle w:val="RI07-BodyCopy95pt"/>
      </w:pPr>
      <w:r>
        <w:rPr>
          <w:b/>
        </w:rPr>
        <w:t>52-</w:t>
      </w:r>
      <w:r w:rsidRPr="009F3E37">
        <w:rPr>
          <w:b/>
        </w:rPr>
        <w:t>week price volatility (1</w:t>
      </w:r>
      <w:r>
        <w:rPr>
          <w:b/>
        </w:rPr>
        <w:t>-</w:t>
      </w:r>
      <w:r w:rsidRPr="009F3E37">
        <w:rPr>
          <w:b/>
        </w:rPr>
        <w:t>year):</w:t>
      </w:r>
      <w:r>
        <w:t xml:space="preserve"> T</w:t>
      </w:r>
      <w:r w:rsidRPr="00E953C5">
        <w:t>he one</w:t>
      </w:r>
      <w:r>
        <w:t>-</w:t>
      </w:r>
      <w:r w:rsidRPr="00E953C5">
        <w:t>year</w:t>
      </w:r>
      <w:r>
        <w:t xml:space="preserve"> </w:t>
      </w:r>
      <w:r w:rsidRPr="00E953C5">
        <w:t>volatility is</w:t>
      </w:r>
      <w:r>
        <w:t xml:space="preserve"> the standard deviation</w:t>
      </w:r>
      <w:r w:rsidRPr="00E953C5">
        <w:t xml:space="preserve"> based on the</w:t>
      </w:r>
      <w:r>
        <w:t xml:space="preserve"> </w:t>
      </w:r>
      <w:r w:rsidRPr="00E953C5">
        <w:t>52 weekly returns that end on the last Friday on or before May 31</w:t>
      </w:r>
      <w:r>
        <w:t xml:space="preserve">. A stock must have 52 weeks of data points in order to populate, otherwise, the indicator will be set to NULL (see “Missing values” below). </w:t>
      </w:r>
    </w:p>
    <w:p w:rsidR="0006297A" w:rsidRDefault="0006297A" w:rsidP="0006297A">
      <w:pPr>
        <w:pStyle w:val="RI07-BodyCopy95pt"/>
      </w:pPr>
      <w:r>
        <w:rPr>
          <w:b/>
        </w:rPr>
        <w:t>60-</w:t>
      </w:r>
      <w:r w:rsidRPr="009F3E37">
        <w:rPr>
          <w:b/>
        </w:rPr>
        <w:t>month price volatility (5</w:t>
      </w:r>
      <w:r>
        <w:rPr>
          <w:b/>
        </w:rPr>
        <w:t>-</w:t>
      </w:r>
      <w:r w:rsidRPr="009F3E37">
        <w:rPr>
          <w:b/>
        </w:rPr>
        <w:t>year):</w:t>
      </w:r>
      <w:r>
        <w:t xml:space="preserve"> </w:t>
      </w:r>
      <w:r w:rsidRPr="00E953C5">
        <w:t>Trailing five-year volatility is</w:t>
      </w:r>
      <w:r>
        <w:t xml:space="preserve"> the standard deviation</w:t>
      </w:r>
      <w:r w:rsidRPr="00E953C5">
        <w:t xml:space="preserve"> based on monthly returns. Thus</w:t>
      </w:r>
      <w:r>
        <w:t>,</w:t>
      </w:r>
      <w:r w:rsidRPr="00E953C5">
        <w:t xml:space="preserve"> for a score based on May 31, 2010 data, the five-year volatility is based on the 60 monthly returns for the period that starts on May 31, 2005 and ends on May 31, 2010</w:t>
      </w:r>
      <w:r>
        <w:t xml:space="preserve">. A stock must have 60 months of data points in order to populate, otherwise, the indicator will be set to NULL (see “Missing values” below). </w:t>
      </w:r>
    </w:p>
    <w:p w:rsidR="0006297A" w:rsidRPr="00D32180" w:rsidRDefault="0006297A" w:rsidP="0006297A">
      <w:pPr>
        <w:pStyle w:val="Heading2"/>
      </w:pPr>
      <w:bookmarkStart w:id="144" w:name="_Toc303342521"/>
      <w:bookmarkStart w:id="145" w:name="_Toc343682663"/>
      <w:r w:rsidRPr="00D32180">
        <w:t>Description of non-linear probability algorithm</w:t>
      </w:r>
      <w:bookmarkEnd w:id="137"/>
      <w:bookmarkEnd w:id="138"/>
      <w:bookmarkEnd w:id="139"/>
      <w:bookmarkEnd w:id="144"/>
      <w:bookmarkEnd w:id="145"/>
    </w:p>
    <w:p w:rsidR="0006297A" w:rsidRDefault="0006297A" w:rsidP="0006297A">
      <w:pPr>
        <w:pStyle w:val="RI07-BodyCopy95pt"/>
      </w:pPr>
      <w:r w:rsidRPr="00D32180">
        <w:t>Stock A, in Figure 1, is a security with 20% of its available shares assigned to the value index and the remaining 80% assigned to the growth index. The growth and value</w:t>
      </w:r>
      <w:r>
        <w:t xml:space="preserve"> (or defensive and dynamic)</w:t>
      </w:r>
      <w:r w:rsidRPr="00D32180">
        <w:t xml:space="preserve"> probabilities will always sum to 100%. Hence, the sum of a stock’s market capitalization in the growth and value index</w:t>
      </w:r>
      <w:r>
        <w:t>es</w:t>
      </w:r>
      <w:r w:rsidRPr="00D32180">
        <w:t xml:space="preserve"> will always equal its market capitalization in the Russell Global Large Cap or Russell Global Small Cap</w:t>
      </w:r>
      <w:r>
        <w:t xml:space="preserve"> indexes</w:t>
      </w:r>
      <w:r w:rsidRPr="00D32180">
        <w:t>.</w:t>
      </w:r>
    </w:p>
    <w:p w:rsidR="0006297A" w:rsidRPr="00D32180" w:rsidRDefault="0006297A" w:rsidP="0006297A">
      <w:pPr>
        <w:pStyle w:val="RI07-BodyCopy95pt"/>
      </w:pPr>
    </w:p>
    <w:p w:rsidR="0006297A" w:rsidRPr="00D32180" w:rsidRDefault="00962308" w:rsidP="0006297A">
      <w:pPr>
        <w:pStyle w:val="RI07-BodyCopy95pt"/>
      </w:pPr>
      <w:r>
        <w:rPr>
          <w:noProof/>
        </w:rPr>
        <w:pict>
          <v:group id="_x0000_s1088" style="position:absolute;margin-left:2.65pt;margin-top:2.55pt;width:455.6pt;height:156.2pt;z-index:251656192" coordorigin="1579,9880" coordsize="9112,3124">
            <v:line id="_x0000_s1089" style="position:absolute" from="4021,10323" to="4022,12238" strokecolor="#5c5c5c" strokeweight="2pt">
              <v:stroke startarrowwidth="narrow" startarrowlength="short" endarrowwidth="narrow" endarrowlength="short"/>
            </v:line>
            <v:line id="_x0000_s1090" style="position:absolute" from="8203,10325" to="8203,12240" strokecolor="#5c5c5c" strokeweight="2pt">
              <v:stroke startarrowwidth="narrow" startarrowlength="short" endarrowwidth="narrow" endarrowlength="short"/>
            </v:line>
            <v:line id="_x0000_s1091" style="position:absolute" from="5060,10331" to="5061,12226" strokecolor="#5c5c5c" strokeweight="2pt">
              <v:stroke dashstyle="1 1" startarrowwidth="narrow" startarrowlength="short" endarrowwidth="narrow" endarrowlength="short"/>
            </v:line>
            <v:line id="_x0000_s1092" style="position:absolute" from="7260,10345" to="7260,12240" strokecolor="#5c5c5c" strokeweight="2pt">
              <v:stroke dashstyle="1 1" startarrowwidth="narrow" startarrowlength="short" endarrowwidth="narrow" endarrowlength="short"/>
            </v:line>
            <v:rect id="_x0000_s1093" style="position:absolute;left:3171;top:12335;width:5861;height:479" stroked="f" strokeweight="2pt">
              <v:textbox style="mso-next-textbox:#_x0000_s1093" inset="1pt,1pt,1pt,1pt">
                <w:txbxContent>
                  <w:p w:rsidR="00C64951" w:rsidRDefault="00C64951" w:rsidP="0006297A">
                    <w:pPr>
                      <w:jc w:val="center"/>
                      <w:rPr>
                        <w:rFonts w:ascii="Arial" w:hAnsi="Arial"/>
                        <w:b/>
                        <w:color w:val="5F6062"/>
                        <w:sz w:val="16"/>
                      </w:rPr>
                    </w:pPr>
                    <w:r w:rsidRPr="0044163D">
                      <w:rPr>
                        <w:b/>
                        <w:sz w:val="16"/>
                      </w:rPr>
                      <w:t>Low CVS</w:t>
                    </w:r>
                    <w:r>
                      <w:rPr>
                        <w:rFonts w:ascii="Arial" w:hAnsi="Arial"/>
                        <w:b/>
                        <w:color w:val="5F6062"/>
                        <w:sz w:val="16"/>
                      </w:rPr>
                      <w:t xml:space="preserve"> 1st Quartile </w:t>
                    </w:r>
                    <w:r w:rsidRPr="00C6247F">
                      <w:rPr>
                        <w:rFonts w:ascii="Arial" w:hAnsi="Arial"/>
                        <w:b/>
                        <w:color w:val="5F6062"/>
                        <w:sz w:val="16"/>
                      </w:rPr>
                      <w:t>Media</w:t>
                    </w:r>
                    <w:r>
                      <w:rPr>
                        <w:rFonts w:ascii="Arial" w:hAnsi="Arial"/>
                        <w:b/>
                        <w:color w:val="5F6062"/>
                        <w:sz w:val="16"/>
                      </w:rPr>
                      <w:t xml:space="preserve">n </w:t>
                    </w:r>
                    <w:r w:rsidRPr="00C6247F">
                      <w:rPr>
                        <w:rFonts w:ascii="Arial" w:hAnsi="Arial"/>
                        <w:b/>
                        <w:color w:val="5F6062"/>
                        <w:sz w:val="16"/>
                      </w:rPr>
                      <w:t>3rd Quartile</w:t>
                    </w:r>
                    <w:r>
                      <w:rPr>
                        <w:rFonts w:ascii="Arial" w:hAnsi="Arial"/>
                        <w:b/>
                        <w:color w:val="5F6062"/>
                        <w:sz w:val="16"/>
                      </w:rPr>
                      <w:t xml:space="preserve"> </w:t>
                    </w:r>
                    <w:r w:rsidRPr="00C6247F">
                      <w:rPr>
                        <w:rFonts w:ascii="Arial" w:hAnsi="Arial"/>
                        <w:b/>
                        <w:color w:val="5F6062"/>
                        <w:sz w:val="16"/>
                      </w:rPr>
                      <w:t>High CVS</w:t>
                    </w:r>
                  </w:p>
                  <w:p w:rsidR="00C64951" w:rsidRPr="00C6247F" w:rsidRDefault="00C64951" w:rsidP="0006297A">
                    <w:pPr>
                      <w:jc w:val="center"/>
                      <w:rPr>
                        <w:rFonts w:ascii="Arial" w:hAnsi="Arial"/>
                        <w:b/>
                        <w:color w:val="5F6062"/>
                        <w:sz w:val="16"/>
                      </w:rPr>
                    </w:pPr>
                    <w:r>
                      <w:rPr>
                        <w:rFonts w:ascii="Arial" w:hAnsi="Arial"/>
                        <w:b/>
                        <w:color w:val="5F6062"/>
                        <w:sz w:val="16"/>
                      </w:rPr>
                      <w:t>Break Break</w:t>
                    </w:r>
                  </w:p>
                  <w:p w:rsidR="00C64951" w:rsidRPr="00C6247F" w:rsidRDefault="00C64951" w:rsidP="0006297A">
                    <w:pPr>
                      <w:jc w:val="center"/>
                      <w:rPr>
                        <w:rFonts w:ascii="Arial" w:hAnsi="Arial"/>
                        <w:b/>
                        <w:color w:val="5F6062"/>
                        <w:sz w:val="16"/>
                      </w:rPr>
                    </w:pPr>
                  </w:p>
                </w:txbxContent>
              </v:textbox>
            </v:rect>
            <v:rect id="_x0000_s1094" style="position:absolute;left:8863;top:11011;width:1828;height:267" stroked="f" strokeweight="2pt">
              <v:textbox style="mso-next-textbox:#_x0000_s1094" inset="1pt,1pt,1pt,1pt">
                <w:txbxContent>
                  <w:p w:rsidR="00C64951" w:rsidRPr="00C6247F" w:rsidRDefault="00C64951" w:rsidP="0006297A">
                    <w:pPr>
                      <w:rPr>
                        <w:rFonts w:ascii="Arial" w:hAnsi="Arial"/>
                        <w:color w:val="5F6062"/>
                        <w:sz w:val="16"/>
                      </w:rPr>
                    </w:pPr>
                    <w:r w:rsidRPr="0044163D">
                      <w:rPr>
                        <w:b/>
                        <w:sz w:val="16"/>
                      </w:rPr>
                      <w:t>Weight in Value Index</w:t>
                    </w:r>
                  </w:p>
                </w:txbxContent>
              </v:textbox>
            </v:rect>
            <v:rect id="_x0000_s1095" style="position:absolute;left:1579;top:11011;width:1856;height:283" stroked="f" strokeweight="2pt">
              <v:textbox style="mso-next-textbox:#_x0000_s1095" inset="1pt,1pt,1pt,1pt">
                <w:txbxContent>
                  <w:p w:rsidR="00C64951" w:rsidRPr="00C6247F" w:rsidRDefault="00C64951" w:rsidP="0006297A">
                    <w:pPr>
                      <w:rPr>
                        <w:rFonts w:ascii="Arial" w:hAnsi="Arial"/>
                        <w:color w:val="5F6062"/>
                      </w:rPr>
                    </w:pPr>
                    <w:r w:rsidRPr="0044163D">
                      <w:rPr>
                        <w:b/>
                        <w:sz w:val="16"/>
                      </w:rPr>
                      <w:t>Weight in Growth Index</w:t>
                    </w:r>
                  </w:p>
                </w:txbxContent>
              </v:textbox>
            </v:rect>
            <v:rect id="_x0000_s1096" style="position:absolute;left:3490;top:12052;width:420;height:173" stroked="f" strokeweight="2pt">
              <v:textbox style="mso-next-textbox:#_x0000_s1096" inset="1pt,1pt,1pt,1pt">
                <w:txbxContent>
                  <w:p w:rsidR="00C64951" w:rsidRDefault="00C64951" w:rsidP="0006297A">
                    <w:pPr>
                      <w:rPr>
                        <w:rFonts w:ascii="Arial" w:hAnsi="Arial"/>
                        <w:sz w:val="16"/>
                      </w:rPr>
                    </w:pPr>
                    <w:r w:rsidRPr="0044163D">
                      <w:rPr>
                        <w:sz w:val="16"/>
                      </w:rPr>
                      <w:t xml:space="preserve"> 0.0%</w:t>
                    </w:r>
                  </w:p>
                </w:txbxContent>
              </v:textbox>
            </v:rect>
            <v:rect id="_x0000_s1097" style="position:absolute;left:8308;top:12052;width:518;height:245" stroked="f" strokeweight="2pt">
              <v:textbox style="mso-next-textbox:#_x0000_s1097" inset="1pt,1pt,1pt,1pt">
                <w:txbxContent>
                  <w:p w:rsidR="00C64951" w:rsidRPr="00C6247F" w:rsidRDefault="00C64951" w:rsidP="0006297A">
                    <w:pPr>
                      <w:rPr>
                        <w:rFonts w:ascii="Arial" w:hAnsi="Arial"/>
                        <w:color w:val="5F6062"/>
                      </w:rPr>
                    </w:pPr>
                    <w:r w:rsidRPr="0044163D">
                      <w:rPr>
                        <w:sz w:val="16"/>
                      </w:rPr>
                      <w:t>0%</w:t>
                    </w:r>
                  </w:p>
                </w:txbxContent>
              </v:textbox>
            </v:rect>
            <v:rect id="_x0000_s1098" style="position:absolute;left:3401;top:10244;width:518;height:332" stroked="f" strokeweight="2pt">
              <v:textbox style="mso-next-textbox:#_x0000_s1098" inset="1pt,1pt,1pt,1pt">
                <w:txbxContent>
                  <w:p w:rsidR="00C64951" w:rsidRPr="00C6247F" w:rsidRDefault="00C64951" w:rsidP="0006297A">
                    <w:pPr>
                      <w:rPr>
                        <w:rFonts w:ascii="Arial" w:hAnsi="Arial"/>
                        <w:color w:val="5F6062"/>
                      </w:rPr>
                    </w:pPr>
                    <w:r w:rsidRPr="0044163D">
                      <w:rPr>
                        <w:sz w:val="16"/>
                      </w:rPr>
                      <w:t>100%</w:t>
                    </w:r>
                  </w:p>
                </w:txbxContent>
              </v:textbox>
            </v:rect>
            <v:rect id="_x0000_s1099" style="position:absolute;left:8308;top:10244;width:518;height:269" stroked="f" strokeweight="2pt">
              <v:textbox style="mso-next-textbox:#_x0000_s1099" inset="1pt,1pt,1pt,1pt">
                <w:txbxContent>
                  <w:p w:rsidR="00C64951" w:rsidRPr="00C6247F" w:rsidRDefault="00C64951" w:rsidP="0006297A">
                    <w:pPr>
                      <w:rPr>
                        <w:rFonts w:ascii="Arial" w:hAnsi="Arial"/>
                        <w:color w:val="5F6062"/>
                      </w:rPr>
                    </w:pPr>
                    <w:r w:rsidRPr="0044163D">
                      <w:rPr>
                        <w:sz w:val="16"/>
                      </w:rPr>
                      <w:t>100%</w:t>
                    </w:r>
                  </w:p>
                </w:txbxContent>
              </v:textbox>
            </v:rect>
            <v:line id="_x0000_s1100" style="position:absolute" from="4013,10331" to="5061,10332" strokecolor="#5c5c5c" strokeweight="1pt">
              <v:stroke startarrowwidth="narrow" startarrowlength="short" endarrowwidth="narrow" endarrowlength="short"/>
            </v:line>
            <v:line id="_x0000_s1101" style="position:absolute" from="7260,10331" to="8203,10332" strokecolor="#5c5c5c" strokeweight="1pt">
              <v:stroke dashstyle="3 1"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2" type="#_x0000_t19" style="position:absolute;left:5060;top:10331;width:1049;height:1034" filled="t" strokecolor="#5c5c5c" strokeweight="1pt"/>
            <v:shape id="_x0000_s1103" type="#_x0000_t19" style="position:absolute;left:6108;top:10331;width:1152;height:1034;flip:x" filled="t" strokecolor="#5c5c5c" strokeweight="1pt">
              <v:stroke dashstyle="3 1"/>
            </v:shape>
            <v:shape id="_x0000_s1104" type="#_x0000_t19" style="position:absolute;left:5060;top:11192;width:1049;height:1034;flip:y" filled="t" strokecolor="#5c5c5c" strokeweight="1pt">
              <v:stroke dashstyle="3 1"/>
            </v:shape>
            <v:shape id="_x0000_s1105" type="#_x0000_t19" style="position:absolute;left:6088;top:11117;width:1153;height:1091;flip:x y" filled="t" strokecolor="#5c5c5c" strokeweight="1pt"/>
            <v:rect id="_x0000_s1106" style="position:absolute;left:3401;top:11118;width:518;height:232" stroked="f" strokeweight="2pt">
              <v:textbox style="mso-next-textbox:#_x0000_s1106" inset="1pt,1pt,1pt,1pt">
                <w:txbxContent>
                  <w:p w:rsidR="00C64951" w:rsidRPr="00C6247F" w:rsidRDefault="00C64951" w:rsidP="0006297A">
                    <w:pPr>
                      <w:rPr>
                        <w:rFonts w:ascii="Arial" w:hAnsi="Arial"/>
                        <w:color w:val="5F6062"/>
                      </w:rPr>
                    </w:pPr>
                    <w:r w:rsidRPr="0044163D">
                      <w:rPr>
                        <w:sz w:val="16"/>
                      </w:rPr>
                      <w:t>50%</w:t>
                    </w:r>
                  </w:p>
                </w:txbxContent>
              </v:textbox>
            </v:rect>
            <v:rect id="_x0000_s1107" style="position:absolute;left:8308;top:11106;width:518;height:343" stroked="f" strokeweight="2pt">
              <v:textbox style="mso-next-textbox:#_x0000_s1107" inset="1pt,1pt,1pt,1pt">
                <w:txbxContent>
                  <w:p w:rsidR="00C64951" w:rsidRPr="00C6247F" w:rsidRDefault="00C64951" w:rsidP="0006297A">
                    <w:pPr>
                      <w:rPr>
                        <w:rFonts w:ascii="Arial" w:hAnsi="Arial"/>
                        <w:color w:val="5F6062"/>
                      </w:rPr>
                    </w:pPr>
                    <w:r w:rsidRPr="0044163D">
                      <w:rPr>
                        <w:sz w:val="16"/>
                      </w:rPr>
                      <w:t>50%</w:t>
                    </w:r>
                  </w:p>
                </w:txbxContent>
              </v:textbox>
            </v:rect>
            <v:rect id="_x0000_s1108" style="position:absolute;left:2893;top:9880;width:6375;height:259" stroked="f" strokeweight="1pt">
              <v:textbox style="mso-next-textbox:#_x0000_s1108" inset="1pt,1pt,1pt,1pt">
                <w:txbxContent>
                  <w:p w:rsidR="00C64951" w:rsidRPr="00093FC8" w:rsidRDefault="00C64951" w:rsidP="0006297A">
                    <w:pPr>
                      <w:jc w:val="center"/>
                      <w:rPr>
                        <w:rFonts w:ascii="Arial" w:hAnsi="Arial"/>
                        <w:b/>
                        <w:color w:val="5F6062"/>
                        <w:sz w:val="18"/>
                        <w:szCs w:val="18"/>
                      </w:rPr>
                    </w:pPr>
                    <w:r w:rsidRPr="0044163D">
                      <w:rPr>
                        <w:b/>
                        <w:sz w:val="18"/>
                      </w:rPr>
                      <w:t>Figure 1: Non-linear probability function for index position w</w:t>
                    </w:r>
                    <w:r w:rsidRPr="00093FC8">
                      <w:rPr>
                        <w:rFonts w:ascii="Arial" w:hAnsi="Arial"/>
                        <w:b/>
                        <w:color w:val="5F6062"/>
                        <w:sz w:val="18"/>
                        <w:szCs w:val="18"/>
                      </w:rPr>
                      <w:t>eights</w:t>
                    </w:r>
                  </w:p>
                </w:txbxContent>
              </v:textbox>
            </v:rect>
            <v:line id="_x0000_s1109" style="position:absolute;mso-position-horizontal-relative:page" from="4047,10701" to="5879,10702" strokecolor="#5c5c5c">
              <v:stroke dashstyle="1 1" startarrowwidth="narrow" startarrowlength="short" endarrow="block" endarrowwidth="narrow" endarrowlength="short"/>
            </v:line>
            <v:line id="_x0000_s1110" style="position:absolute;mso-position-horizontal-relative:page" from="5868,10720" to="5869,12212" strokecolor="#5c5c5c">
              <v:stroke dashstyle="1 1" startarrowwidth="narrow" startarrowlength="short" endarrow="block" endarrowwidth="narrow" endarrowlength="short"/>
            </v:line>
            <v:line id="_x0000_s1111" style="position:absolute;mso-position-horizontal-relative:page" from="5887,11907" to="8187,11907" strokecolor="#5c5c5c">
              <v:stroke dashstyle="1 1" startarrow="block" startarrowwidth="narrow" startarrowlength="short" endarrowwidth="narrow" endarrowlength="short"/>
            </v:line>
            <v:rect id="_x0000_s1112" style="position:absolute;left:5590;top:12697;width:994;height:307;mso-position-horizontal-relative:page" stroked="f">
              <v:textbox style="mso-next-textbox:#_x0000_s1112" inset="1pt,1pt,1pt,1pt">
                <w:txbxContent>
                  <w:p w:rsidR="00C64951" w:rsidRPr="00C6247F" w:rsidRDefault="00C64951" w:rsidP="0006297A">
                    <w:pPr>
                      <w:rPr>
                        <w:rFonts w:ascii="Arial" w:hAnsi="Arial"/>
                        <w:color w:val="5F6062"/>
                      </w:rPr>
                    </w:pPr>
                    <w:r w:rsidRPr="0044163D">
                      <w:rPr>
                        <w:sz w:val="16"/>
                      </w:rPr>
                      <w:t>Stock A CVS</w:t>
                    </w:r>
                  </w:p>
                </w:txbxContent>
              </v:textbox>
            </v:rect>
            <v:rect id="_x0000_s1113" style="position:absolute;left:3401;top:10615;width:518;height:281;mso-position-horizontal-relative:page" stroked="f">
              <v:textbox style="mso-next-textbox:#_x0000_s1113" inset="1pt,1pt,1pt,1pt">
                <w:txbxContent>
                  <w:p w:rsidR="00C64951" w:rsidRPr="00C6247F" w:rsidRDefault="00C64951" w:rsidP="0006297A">
                    <w:pPr>
                      <w:rPr>
                        <w:rFonts w:ascii="Arial" w:hAnsi="Arial"/>
                        <w:color w:val="5F6062"/>
                      </w:rPr>
                    </w:pPr>
                    <w:r w:rsidRPr="0044163D">
                      <w:rPr>
                        <w:sz w:val="16"/>
                      </w:rPr>
                      <w:t>80%</w:t>
                    </w:r>
                  </w:p>
                </w:txbxContent>
              </v:textbox>
            </v:rect>
            <v:rect id="_x0000_s1114" style="position:absolute;left:8301;top:11807;width:525;height:244;mso-position-horizontal-relative:page" stroked="f">
              <v:textbox style="mso-next-textbox:#_x0000_s1114" inset="1pt,1pt,1pt,1pt">
                <w:txbxContent>
                  <w:p w:rsidR="00C64951" w:rsidRPr="00C6247F" w:rsidRDefault="00C64951" w:rsidP="0006297A">
                    <w:pPr>
                      <w:rPr>
                        <w:rFonts w:ascii="Arial" w:hAnsi="Arial"/>
                        <w:color w:val="5F6062"/>
                      </w:rPr>
                    </w:pPr>
                    <w:r w:rsidRPr="0044163D">
                      <w:rPr>
                        <w:sz w:val="16"/>
                      </w:rPr>
                      <w:t>20%</w:t>
                    </w:r>
                    <w:r>
                      <w:rPr>
                        <w:rFonts w:ascii="Arial" w:hAnsi="Arial"/>
                        <w:color w:val="5F6062"/>
                        <w:sz w:val="16"/>
                      </w:rPr>
                      <w:t xml:space="preserve"> </w:t>
                    </w:r>
                  </w:p>
                </w:txbxContent>
              </v:textbox>
            </v:rect>
            <v:line id="_x0000_s1115" style="position:absolute" from="6108,10331" to="6109,12226" strokecolor="#5c5c5c" strokeweight="2pt">
              <v:stroke startarrowwidth="narrow" startarrowlength="short" endarrowwidth="narrow" endarrowlength="short"/>
            </v:line>
            <v:line id="_x0000_s1116" style="position:absolute" from="4013,12217" to="8203,12218" strokecolor="#5c5c5c" strokeweight="2pt">
              <v:stroke startarrowwidth="narrow" startarrowlength="short" endarrowwidth="narrow" endarrowlength="short"/>
            </v:line>
          </v:group>
        </w:pict>
      </w:r>
    </w:p>
    <w:p w:rsidR="0006297A" w:rsidRPr="00D32180"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Pr="00D32180" w:rsidRDefault="0006297A" w:rsidP="0006297A">
      <w:pPr>
        <w:pStyle w:val="RI07-BodyCopy95pt"/>
      </w:pPr>
      <w:r w:rsidRPr="00D32180">
        <w:t>In Figure 1, the quartile breaks are calculated such that approximately 25% of the available market capitalization lies in each quartile. Stocks at the median are divided 50% in each style index. Stocks below the first quartile are 100% in the growth index. Stocks above the third quartile are 100% in the value index. Stocks falling between the first</w:t>
      </w:r>
      <w:r>
        <w:t>-</w:t>
      </w:r>
      <w:r w:rsidRPr="00D32180">
        <w:t xml:space="preserve"> and third</w:t>
      </w:r>
      <w:r>
        <w:t>-</w:t>
      </w:r>
      <w:r w:rsidRPr="00D32180">
        <w:t xml:space="preserve">quartile breaks are in both indexes to varying degrees; depending on how far they are above or below the median and </w:t>
      </w:r>
      <w:r>
        <w:t xml:space="preserve">on </w:t>
      </w:r>
      <w:r w:rsidRPr="00D32180">
        <w:t>how close they are to the first or third quartile breaks.</w:t>
      </w:r>
    </w:p>
    <w:p w:rsidR="0006297A" w:rsidRPr="00D32180" w:rsidRDefault="0006297A" w:rsidP="0006297A">
      <w:pPr>
        <w:pStyle w:val="Heading2"/>
      </w:pPr>
      <w:bookmarkStart w:id="146" w:name="_Toc191954971"/>
      <w:bookmarkStart w:id="147" w:name="_Toc217446174"/>
      <w:bookmarkStart w:id="148" w:name="_Toc220919402"/>
      <w:bookmarkStart w:id="149" w:name="_Toc303342522"/>
      <w:bookmarkStart w:id="150" w:name="_Toc343682664"/>
      <w:r w:rsidRPr="00D32180">
        <w:t>5% rule</w:t>
      </w:r>
      <w:bookmarkEnd w:id="146"/>
      <w:bookmarkEnd w:id="147"/>
      <w:bookmarkEnd w:id="148"/>
      <w:bookmarkEnd w:id="149"/>
      <w:bookmarkEnd w:id="150"/>
    </w:p>
    <w:p w:rsidR="0006297A" w:rsidRPr="00D32180" w:rsidRDefault="0006297A" w:rsidP="0006297A">
      <w:pPr>
        <w:pStyle w:val="RI07-BodyCopy95pt"/>
      </w:pPr>
      <w:r w:rsidRPr="00D32180">
        <w:t>Roughly 70% of the available market capitalization is classified as all-growth or all-value</w:t>
      </w:r>
      <w:r>
        <w:t xml:space="preserve"> (or all-defensive or all-dynamic)</w:t>
      </w:r>
      <w:r w:rsidRPr="00D32180">
        <w:t>. The remaining 30% of stocks have some portion of their market value in either the value or</w:t>
      </w:r>
      <w:r>
        <w:t xml:space="preserve"> the</w:t>
      </w:r>
      <w:r w:rsidRPr="00D32180">
        <w:t xml:space="preserve"> growth index, depending on their relative distance from the median value score. The observer may note that since the percentage of capitalization between the first quartile and the third quartile is 50%, we would expect that 50% of the capitalization would be found in both indexes. What happened to the 20% (i.e., 50% to 30%)? The source for the disappearance of the 20% is </w:t>
      </w:r>
      <w:r>
        <w:t>Russell’s</w:t>
      </w:r>
      <w:r w:rsidRPr="00D32180">
        <w:t xml:space="preserve"> decision to institute a small-position cutoff rule. If a stock’s weight is more than 95% in one style index, we increase its weight to 100% in that index. This rule eliminates many small types of weighting and makes passive management easier.</w:t>
      </w:r>
    </w:p>
    <w:p w:rsidR="0006297A" w:rsidRPr="002A77DF" w:rsidRDefault="0006297A" w:rsidP="0006297A">
      <w:pPr>
        <w:pStyle w:val="Heading2"/>
      </w:pPr>
      <w:bookmarkStart w:id="151" w:name="_Toc303342523"/>
      <w:bookmarkStart w:id="152" w:name="_Toc343682665"/>
      <w:bookmarkStart w:id="153" w:name="_Toc191954972"/>
      <w:bookmarkStart w:id="154" w:name="_Toc217446175"/>
      <w:bookmarkStart w:id="155" w:name="_Toc220919403"/>
      <w:r w:rsidRPr="002A77DF">
        <w:t xml:space="preserve">Banding </w:t>
      </w:r>
      <w:bookmarkEnd w:id="151"/>
      <w:r>
        <w:t>r</w:t>
      </w:r>
      <w:r w:rsidRPr="002A77DF">
        <w:t>ule</w:t>
      </w:r>
      <w:bookmarkEnd w:id="152"/>
    </w:p>
    <w:p w:rsidR="0006297A" w:rsidRPr="002A77DF" w:rsidRDefault="0006297A" w:rsidP="0006297A">
      <w:pPr>
        <w:pStyle w:val="RI07-BodyCopy95pt"/>
        <w:ind w:right="-176"/>
      </w:pPr>
      <w:r w:rsidRPr="002A77DF">
        <w:t xml:space="preserve">In an effort to mitigate unnecessary turnover, Russell implements a banding methodology at the Composite </w:t>
      </w:r>
      <w:r>
        <w:t>v</w:t>
      </w:r>
      <w:r w:rsidRPr="002A77DF">
        <w:t xml:space="preserve">alue </w:t>
      </w:r>
      <w:r>
        <w:t>s</w:t>
      </w:r>
      <w:r w:rsidRPr="002A77DF">
        <w:t xml:space="preserve">core (CVS) level of the </w:t>
      </w:r>
      <w:r>
        <w:t xml:space="preserve">growth and value </w:t>
      </w:r>
      <w:r w:rsidRPr="002A77DF">
        <w:t xml:space="preserve">style algorithm. If a company’s CVS change from the previous year is </w:t>
      </w:r>
      <w:r w:rsidRPr="002A77DF">
        <w:rPr>
          <w:rFonts w:cs="Arial"/>
        </w:rPr>
        <w:t>≤</w:t>
      </w:r>
      <w:r>
        <w:t xml:space="preserve"> to +/- .</w:t>
      </w:r>
      <w:r w:rsidRPr="002A77DF">
        <w:t>1</w:t>
      </w:r>
      <w:r>
        <w:t>0</w:t>
      </w:r>
      <w:r w:rsidRPr="002A77DF">
        <w:t xml:space="preserve"> AND the company remains in the same core index, then the CVS remains unchanged during the next reconstitution process. Keeping the CVS static for these companies does not mean </w:t>
      </w:r>
      <w:r>
        <w:t xml:space="preserve">that </w:t>
      </w:r>
      <w:r w:rsidRPr="002A77DF">
        <w:t>the probability (growth/value) will remain unchanged in all cases due to the relation of that CVS score to the overall index. However, this banding methodology has proven to reduce turnover caused by smaller, less meaningful movements while continuing to allow the larger, more meaningful changes to occur, signaling a true change in a company’s relation to the market.</w:t>
      </w:r>
    </w:p>
    <w:p w:rsidR="0006297A" w:rsidRPr="00D32180" w:rsidRDefault="0006297A" w:rsidP="0006297A">
      <w:pPr>
        <w:pStyle w:val="Heading2"/>
      </w:pPr>
      <w:bookmarkStart w:id="156" w:name="_Toc303342524"/>
      <w:bookmarkStart w:id="157" w:name="_Toc343682666"/>
      <w:r w:rsidRPr="00D32180">
        <w:t>Market capitalization of growth</w:t>
      </w:r>
      <w:r>
        <w:t>/</w:t>
      </w:r>
      <w:r w:rsidRPr="00D32180">
        <w:t>value</w:t>
      </w:r>
      <w:r>
        <w:t xml:space="preserve"> and defensive/dynamic</w:t>
      </w:r>
      <w:r w:rsidRPr="00D32180">
        <w:t xml:space="preserve"> indexes</w:t>
      </w:r>
      <w:bookmarkEnd w:id="153"/>
      <w:bookmarkEnd w:id="154"/>
      <w:bookmarkEnd w:id="155"/>
      <w:bookmarkEnd w:id="156"/>
      <w:bookmarkEnd w:id="157"/>
    </w:p>
    <w:p w:rsidR="0006297A" w:rsidRPr="002A77DF" w:rsidRDefault="0006297A" w:rsidP="0006297A">
      <w:pPr>
        <w:pStyle w:val="RI07-BodyCopy95pt"/>
      </w:pPr>
      <w:r w:rsidRPr="002A77DF">
        <w:t xml:space="preserve">The market capitalization of the growth and value style indexes, as well as that of the defensive and dynamic stability indexes, may not each equal 50% of their base index. At first glance, this seems counterintuitive, since the methodology uses capitalization-weighted medians and quartiles, which in turn implies that 50% of the capitalization is above and </w:t>
      </w:r>
      <w:r>
        <w:t xml:space="preserve">50% is </w:t>
      </w:r>
      <w:r w:rsidRPr="002A77DF">
        <w:t>below the median. However, asymmetry in the capitalization distributions within the second and third quartiles results in a skewed distribution of CVS. When CVS is normally distributed, 50% will be in each index.</w:t>
      </w:r>
    </w:p>
    <w:p w:rsidR="0006297A" w:rsidRDefault="0006297A" w:rsidP="0006297A">
      <w:pPr>
        <w:pStyle w:val="Heading2"/>
      </w:pPr>
      <w:bookmarkStart w:id="158" w:name="_Toc303342525"/>
      <w:bookmarkStart w:id="159" w:name="_Toc343682667"/>
      <w:r w:rsidRPr="00D32180">
        <w:t>Missing</w:t>
      </w:r>
      <w:r>
        <w:t xml:space="preserve"> values,</w:t>
      </w:r>
      <w:r w:rsidRPr="00D32180">
        <w:t xml:space="preserve"> negative values</w:t>
      </w:r>
      <w:r>
        <w:t>, or low coverage</w:t>
      </w:r>
      <w:bookmarkEnd w:id="158"/>
      <w:bookmarkEnd w:id="159"/>
      <w:r>
        <w:t xml:space="preserve"> </w:t>
      </w:r>
    </w:p>
    <w:p w:rsidR="0006297A" w:rsidRDefault="0006297A" w:rsidP="0006297A">
      <w:pPr>
        <w:pStyle w:val="RI07-BodyCopy95pt"/>
        <w:ind w:right="-176"/>
      </w:pPr>
      <w:r>
        <w:t>For valuation styles (growth and value), s</w:t>
      </w:r>
      <w:r w:rsidRPr="006F222F">
        <w:t>tocks with missing or negative values for B/P, missing values for</w:t>
      </w:r>
      <w:r>
        <w:t xml:space="preserve"> </w:t>
      </w:r>
      <w:r w:rsidRPr="006F222F">
        <w:t>I/B/E/S forecast medium-term growth (2</w:t>
      </w:r>
      <w:r>
        <w:t>-</w:t>
      </w:r>
      <w:r w:rsidRPr="006F222F">
        <w:t>y</w:t>
      </w:r>
      <w:r>
        <w:t>ea</w:t>
      </w:r>
      <w:r w:rsidRPr="006F222F">
        <w:t>r)</w:t>
      </w:r>
      <w:r>
        <w:t xml:space="preserve"> </w:t>
      </w:r>
      <w:r w:rsidRPr="006F222F">
        <w:t>(negative I/B/E/S medium-term growth is valid), or missing sales per share historical growth</w:t>
      </w:r>
      <w:r>
        <w:t xml:space="preserve"> </w:t>
      </w:r>
      <w:r w:rsidRPr="006F222F">
        <w:t>(5</w:t>
      </w:r>
      <w:r>
        <w:t>-</w:t>
      </w:r>
      <w:r w:rsidRPr="006F222F">
        <w:t>y</w:t>
      </w:r>
      <w:r>
        <w:t>ea</w:t>
      </w:r>
      <w:r w:rsidRPr="006F222F">
        <w:t>r) (</w:t>
      </w:r>
      <w:r>
        <w:t>six</w:t>
      </w:r>
      <w:r w:rsidRPr="006F222F">
        <w:t xml:space="preserve"> years of quarterly numbers are required)</w:t>
      </w:r>
      <w:r w:rsidRPr="00D32180">
        <w:t xml:space="preserve"> are allocated by using the mean value score of the base index (Russell Global Large Cap, Russell Global Small Cap) industry, sub-sector or sector group into which the company falls. Each missing (or negative B/P) variable is substituted with the industry, sub-sector or sector group independently. An industry must </w:t>
      </w:r>
      <w:r>
        <w:t>consist of</w:t>
      </w:r>
      <w:r w:rsidRPr="00D32180">
        <w:t xml:space="preserve"> five members</w:t>
      </w:r>
      <w:r>
        <w:t>,</w:t>
      </w:r>
      <w:r w:rsidRPr="00D32180">
        <w:t xml:space="preserve"> or the substitution reverts to the next level (sub-sector or sector). This method was found to produce the fewest distortions, and it </w:t>
      </w:r>
      <w:r w:rsidRPr="00D32180">
        <w:lastRenderedPageBreak/>
        <w:t>has the added advantage of being very simple.</w:t>
      </w:r>
      <w:r w:rsidRPr="00264C56">
        <w:t xml:space="preserve"> </w:t>
      </w:r>
      <w:r>
        <w:t>In addition, a weighted value score is calculated for securities with low analyst coverage for I/B/E/S medium-term growth. For securities with a single analyst covering the security, 2/3 of the industry, subsector, or sector group value score is weighted with 1/3 the security’s independent value score. For those securities with coverage by analysts, 2/3 of the independent security’s value score is used and only 1/3 of the industry, subsector, or sector group value score is weighted. For those securities with at least three analysts contributing to the I/B/E/S/ medium-term growth, 100% of the independent security’s value score is used.</w:t>
      </w:r>
    </w:p>
    <w:p w:rsidR="0006297A" w:rsidRDefault="0006297A" w:rsidP="0006297A">
      <w:pPr>
        <w:pStyle w:val="RI07-BodyCopy95pt"/>
      </w:pPr>
      <w:r w:rsidRPr="002A77DF">
        <w:t xml:space="preserve">For stability indexes (defensive and dynamic), if the quality or volatility indicator is not available, the company receives a stability score for that indicator of 0.25. Since zero is the worst possible score and </w:t>
      </w:r>
      <w:r>
        <w:t>1</w:t>
      </w:r>
      <w:r w:rsidRPr="002A77DF">
        <w:t xml:space="preserve"> is the best, this conservative assumption mandates that missing data will result in a lower than average stability probability. </w:t>
      </w:r>
    </w:p>
    <w:p w:rsidR="0006297A" w:rsidRDefault="0006297A" w:rsidP="0006297A">
      <w:pPr>
        <w:pStyle w:val="Heading2"/>
      </w:pPr>
      <w:bookmarkStart w:id="160" w:name="_Toc295217204"/>
      <w:bookmarkStart w:id="161" w:name="_Toc303342526"/>
      <w:bookmarkStart w:id="162" w:name="_Toc343682668"/>
      <w:r w:rsidRPr="00C54DCF">
        <w:t>Book value adjustments</w:t>
      </w:r>
      <w:bookmarkEnd w:id="160"/>
      <w:bookmarkEnd w:id="161"/>
      <w:bookmarkEnd w:id="162"/>
    </w:p>
    <w:p w:rsidR="0006297A" w:rsidRPr="00F43174" w:rsidRDefault="0006297A" w:rsidP="0006297A">
      <w:pPr>
        <w:pStyle w:val="RI07-BodyCopy95pt"/>
      </w:pPr>
      <w:r w:rsidRPr="00F43174">
        <w:t>Correct book value is critical in determining book-to-price measure. Therefore, the following method is used to estimate the proper adjustments to B/P and book value.</w:t>
      </w:r>
    </w:p>
    <w:p w:rsidR="0006297A" w:rsidRPr="00F43174" w:rsidRDefault="0006297A" w:rsidP="0006297A">
      <w:pPr>
        <w:pStyle w:val="RI07-BodyCopy95pt"/>
      </w:pPr>
      <w:r w:rsidRPr="00F43174">
        <w:t xml:space="preserve">A company’s reported book value is adjusted to reflect write-offs stemming from the Financial Accounting Standards Board (FASB)–issued Statement of Financial Accounting Standards numbers 106 and 109 (FAS 106 </w:t>
      </w:r>
      <w:r>
        <w:t>and</w:t>
      </w:r>
      <w:r w:rsidRPr="00F43174">
        <w:t xml:space="preserve"> 109) since June 30, 1993. Assuming that each company amortized the FAS 106 </w:t>
      </w:r>
      <w:r>
        <w:t>and</w:t>
      </w:r>
      <w:r w:rsidRPr="00F43174">
        <w:t xml:space="preserve"> 109 transition obligations over a 20-year period beginning with year of adoption, the unamortized portion of the write-off is added back to the reported book value. During reconstitution 2007, Russell also made an adjustment to book value for FASB 158. The date companies were required to be compliant left </w:t>
      </w:r>
      <w:r>
        <w:t>non-comparable</w:t>
      </w:r>
      <w:r w:rsidRPr="00F43174">
        <w:t xml:space="preserve"> book values across companies for reconstitution in June. However, in 2008, all companies </w:t>
      </w:r>
      <w:r>
        <w:t>were</w:t>
      </w:r>
      <w:r w:rsidRPr="00F43174">
        <w:t xml:space="preserve"> required to comply with the standard</w:t>
      </w:r>
      <w:r>
        <w:t>,</w:t>
      </w:r>
      <w:r w:rsidRPr="00F43174">
        <w:t xml:space="preserve"> making companies evenly compared and the adjustment unnecessary. </w:t>
      </w:r>
    </w:p>
    <w:p w:rsidR="0006297A" w:rsidRDefault="0006297A" w:rsidP="0006297A">
      <w:pPr>
        <w:pStyle w:val="RI07-BodyCopy95pt"/>
      </w:pPr>
      <w:r w:rsidRPr="00F43174">
        <w:t>The adjusted book-to-price ratio is calculated by use of this adjusted book value; the adjusted ratio is used in place of reported book-to-price when ranking companies for style.</w:t>
      </w:r>
      <w:bookmarkStart w:id="163" w:name="_Toc191954975"/>
      <w:bookmarkStart w:id="164" w:name="_Toc217446177"/>
      <w:bookmarkStart w:id="165" w:name="_Toc220919405"/>
    </w:p>
    <w:p w:rsidR="0006297A" w:rsidRPr="00D32180" w:rsidRDefault="0006297A" w:rsidP="0006297A">
      <w:pPr>
        <w:pStyle w:val="Heading2"/>
      </w:pPr>
      <w:bookmarkStart w:id="166" w:name="_Toc303342527"/>
      <w:bookmarkStart w:id="167" w:name="_Toc343682669"/>
      <w:r w:rsidRPr="00DC5A9E">
        <w:t>Russell non-linear probability algorithm</w:t>
      </w:r>
      <w:bookmarkEnd w:id="163"/>
      <w:bookmarkEnd w:id="164"/>
      <w:bookmarkEnd w:id="165"/>
      <w:bookmarkEnd w:id="166"/>
      <w:bookmarkEnd w:id="167"/>
    </w:p>
    <w:p w:rsidR="0006297A" w:rsidRPr="00D32180" w:rsidRDefault="00962308" w:rsidP="0006297A">
      <w:pPr>
        <w:pStyle w:val="RI07-BodyCopy95pt"/>
      </w:pPr>
      <w:r>
        <w:rPr>
          <w:noProof/>
        </w:rPr>
        <w:pict>
          <v:group id="_x0000_s1061" style="position:absolute;margin-left:40.6pt;margin-top:9pt;width:375pt;height:148.6pt;z-index:251655168" coordorigin="2338,4569" coordsize="7500,2972">
            <v:line id="_x0000_s1062" style="position:absolute" from="2763,6833" to="9696,6833" strokecolor="#9e9e9e"/>
            <v:line id="_x0000_s1063" style="position:absolute;flip:y" from="3470,4569" to="3470,6833">
              <v:stroke dashstyle="1 1"/>
            </v:line>
            <v:line id="_x0000_s1064" style="position:absolute;flip:y" from="6159,4569" to="6159,6833">
              <v:stroke dashstyle="1 1"/>
            </v:line>
            <v:line id="_x0000_s1065" style="position:absolute;flip:y" from="8989,4569" to="8989,6833">
              <v:stroke dashstyle="1 1"/>
            </v:line>
            <v:shapetype id="_x0000_t202" coordsize="21600,21600" o:spt="202" path="m,l,21600r21600,l21600,xe">
              <v:stroke joinstyle="miter"/>
              <v:path gradientshapeok="t" o:connecttype="rect"/>
            </v:shapetype>
            <v:shape id="_x0000_s1066" type="#_x0000_t202" style="position:absolute;left:3187;top:6975;width:731;height:566" filled="f" stroked="f">
              <v:textbox style="mso-next-textbox:#_x0000_s1066">
                <w:txbxContent>
                  <w:p w:rsidR="00C64951" w:rsidRPr="0057021F" w:rsidRDefault="00C64951" w:rsidP="0006297A">
                    <w:pPr>
                      <w:rPr>
                        <w:rFonts w:ascii="Arial" w:hAnsi="Arial"/>
                        <w:b/>
                        <w:color w:val="5F6062"/>
                        <w:sz w:val="28"/>
                        <w:szCs w:val="28"/>
                      </w:rPr>
                    </w:pPr>
                    <w:r w:rsidRPr="0044163D">
                      <w:rPr>
                        <w:b/>
                        <w:sz w:val="28"/>
                      </w:rPr>
                      <w:t>X</w:t>
                    </w:r>
                    <w:r w:rsidRPr="0057021F">
                      <w:rPr>
                        <w:rFonts w:ascii="Arial" w:hAnsi="Arial"/>
                        <w:b/>
                        <w:color w:val="5F6062"/>
                        <w:sz w:val="28"/>
                        <w:szCs w:val="28"/>
                        <w:vertAlign w:val="subscript"/>
                      </w:rPr>
                      <w:t>L</w:t>
                    </w:r>
                  </w:p>
                </w:txbxContent>
              </v:textbox>
            </v:shape>
            <v:shape id="_x0000_s1067" type="#_x0000_t202" style="position:absolute;left:5876;top:6975;width:707;height:566" filled="f" stroked="f">
              <v:textbox style="mso-next-textbox:#_x0000_s1067">
                <w:txbxContent>
                  <w:p w:rsidR="00C64951" w:rsidRPr="0057021F" w:rsidRDefault="00C64951" w:rsidP="0006297A">
                    <w:pPr>
                      <w:rPr>
                        <w:rFonts w:ascii="Arial" w:hAnsi="Arial"/>
                        <w:b/>
                        <w:color w:val="5F6062"/>
                        <w:sz w:val="28"/>
                        <w:szCs w:val="28"/>
                      </w:rPr>
                    </w:pPr>
                    <w:r w:rsidRPr="0044163D">
                      <w:rPr>
                        <w:b/>
                        <w:sz w:val="28"/>
                      </w:rPr>
                      <w:t>X</w:t>
                    </w:r>
                    <w:r w:rsidRPr="0057021F">
                      <w:rPr>
                        <w:rFonts w:ascii="Arial" w:hAnsi="Arial"/>
                        <w:b/>
                        <w:color w:val="5F6062"/>
                        <w:sz w:val="28"/>
                        <w:szCs w:val="28"/>
                        <w:vertAlign w:val="subscript"/>
                      </w:rPr>
                      <w:t>M</w:t>
                    </w:r>
                  </w:p>
                </w:txbxContent>
              </v:textbox>
            </v:shape>
            <v:shape id="_x0000_s1068" type="#_x0000_t202" style="position:absolute;left:8706;top:6975;width:791;height:566" filled="f" stroked="f">
              <v:textbox style="mso-next-textbox:#_x0000_s1068">
                <w:txbxContent>
                  <w:p w:rsidR="00C64951" w:rsidRPr="0057021F" w:rsidRDefault="00C64951" w:rsidP="0006297A">
                    <w:pPr>
                      <w:pStyle w:val="Heading7"/>
                      <w:numPr>
                        <w:ilvl w:val="6"/>
                        <w:numId w:val="0"/>
                      </w:numPr>
                      <w:rPr>
                        <w:rFonts w:ascii="Arial" w:hAnsi="Arial"/>
                        <w:b/>
                        <w:color w:val="5F6062"/>
                        <w:sz w:val="28"/>
                        <w:szCs w:val="28"/>
                      </w:rPr>
                    </w:pPr>
                    <w:r w:rsidRPr="0057021F">
                      <w:rPr>
                        <w:rFonts w:ascii="Arial" w:hAnsi="Arial"/>
                        <w:b/>
                        <w:color w:val="5F6062"/>
                        <w:sz w:val="28"/>
                        <w:szCs w:val="28"/>
                      </w:rPr>
                      <w:t>X</w:t>
                    </w:r>
                    <w:r w:rsidRPr="0057021F">
                      <w:rPr>
                        <w:rFonts w:ascii="Arial" w:hAnsi="Arial"/>
                        <w:b/>
                        <w:color w:val="5F6062"/>
                        <w:sz w:val="28"/>
                        <w:szCs w:val="28"/>
                        <w:vertAlign w:val="subscript"/>
                      </w:rPr>
                      <w:t>U</w:t>
                    </w:r>
                  </w:p>
                  <w:p w:rsidR="00C64951" w:rsidRPr="0057021F" w:rsidRDefault="00C64951" w:rsidP="0006297A">
                    <w:pPr>
                      <w:rPr>
                        <w:b/>
                        <w:color w:val="5F6062"/>
                        <w:sz w:val="28"/>
                        <w:szCs w:val="28"/>
                      </w:rPr>
                    </w:pPr>
                  </w:p>
                </w:txbxContent>
              </v:textbox>
            </v:shape>
            <v:shape id="_x0000_s1069" type="#_x0000_t202" style="position:absolute;left:2338;top:5277;width:991;height:566" stroked="f">
              <v:textbox style="mso-next-textbox:#_x0000_s1069">
                <w:txbxContent>
                  <w:p w:rsidR="00C64951" w:rsidRPr="0057021F" w:rsidRDefault="00C64951" w:rsidP="0006297A">
                    <w:pPr>
                      <w:rPr>
                        <w:rFonts w:ascii="Arial" w:hAnsi="Arial"/>
                        <w:b/>
                        <w:color w:val="5F6062"/>
                        <w:sz w:val="28"/>
                        <w:szCs w:val="28"/>
                      </w:rPr>
                    </w:pPr>
                    <w:r w:rsidRPr="0044163D">
                      <w:rPr>
                        <w:b/>
                        <w:sz w:val="28"/>
                      </w:rPr>
                      <w:t>Y = 0</w:t>
                    </w:r>
                  </w:p>
                </w:txbxContent>
              </v:textbox>
            </v:shape>
            <v:shape id="_x0000_s1070" type="#_x0000_t202" style="position:absolute;left:5656;top:5307;width:849;height:424" filled="f" stroked="f">
              <v:textbox style="mso-next-textbox:#_x0000_s1070">
                <w:txbxContent>
                  <w:p w:rsidR="00C64951" w:rsidRPr="0057021F" w:rsidRDefault="00C64951" w:rsidP="0006297A">
                    <w:pPr>
                      <w:rPr>
                        <w:rFonts w:ascii="Arial" w:hAnsi="Arial"/>
                        <w:b/>
                        <w:color w:val="5F6062"/>
                        <w:sz w:val="28"/>
                        <w:szCs w:val="28"/>
                      </w:rPr>
                    </w:pPr>
                    <w:r w:rsidRPr="0044163D">
                      <w:rPr>
                        <w:b/>
                        <w:sz w:val="28"/>
                      </w:rPr>
                      <w:t>0.5</w:t>
                    </w:r>
                  </w:p>
                </w:txbxContent>
              </v:textbox>
            </v:shape>
            <v:shape id="_x0000_s1071" type="#_x0000_t202" style="position:absolute;left:9272;top:5277;width:566;height:424" filled="f" stroked="f">
              <v:textbox style="mso-next-textbox:#_x0000_s1071">
                <w:txbxContent>
                  <w:p w:rsidR="00C64951" w:rsidRPr="0057021F" w:rsidRDefault="00C64951" w:rsidP="0006297A">
                    <w:pPr>
                      <w:rPr>
                        <w:rFonts w:ascii="Arial" w:hAnsi="Arial"/>
                        <w:b/>
                        <w:color w:val="5F6062"/>
                        <w:sz w:val="28"/>
                        <w:szCs w:val="28"/>
                      </w:rPr>
                    </w:pPr>
                    <w:r w:rsidRPr="0044163D">
                      <w:rPr>
                        <w:b/>
                        <w:sz w:val="28"/>
                      </w:rPr>
                      <w:t>1</w:t>
                    </w:r>
                  </w:p>
                </w:txbxContent>
              </v:textbox>
            </v:shape>
            <v:line id="_x0000_s1072" style="position:absolute" from="2763,6692" to="3470,6692" strokecolor="#9e9e9e"/>
            <v:line id="_x0000_s1073" style="position:absolute" from="8989,4711" to="9696,4711" strokecolor="#9e9e9e"/>
            <v:shape id="_x0000_s1074" type="#_x0000_t19" style="position:absolute;left:3470;top:4852;width:2689;height:1840;flip:y" coordsize="19041,21600" adj=",-1846313" path="wr-21600,,21600,43200,,,19041,11402nfewr-21600,,21600,43200,,,19041,11402l,21600nsxe" strokecolor="#9e9e9e">
              <v:path o:connectlocs="0,0;19041,11402;0,21600"/>
            </v:shape>
            <v:shape id="_x0000_s1075" type="#_x0000_t19" style="position:absolute;left:6158;top:4711;width:2831;height:1839;rotation:-180;flip:y" coordsize="20051,21600" adj="-6073796,-1846313,1010" path="wr-20590,,22610,43200,,24,20051,11402nfewr-20590,,22610,43200,,24,20051,11402l1010,21600nsxe" strokecolor="#9e9e9e">
              <v:path o:connectlocs="0,24;20051,11402;1010,21600"/>
            </v:shape>
            <v:group id="_x0000_s1076" style="position:absolute;left:3423;top:5084;width:2365;height:1430" coordorigin="2183,1599" coordsize="2365,143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7" type="#_x0000_t185" style="position:absolute;left:3118;top:2060;width:849;height:424"/>
              <v:shape id="_x0000_s1078" type="#_x0000_t202" style="position:absolute;left:2567;top:1599;width:1981;height:1430" filled="f" stroked="f">
                <v:textbox style="mso-next-textbox:#_x0000_s1078">
                  <w:txbxContent>
                    <w:p w:rsidR="00C64951" w:rsidRPr="0057021F" w:rsidRDefault="00C64951" w:rsidP="0006297A">
                      <w:pPr>
                        <w:pStyle w:val="author"/>
                        <w:spacing w:before="60" w:after="60" w:line="240" w:lineRule="auto"/>
                        <w:rPr>
                          <w:rFonts w:ascii="Arial" w:hAnsi="Arial"/>
                          <w:color w:val="5F6062"/>
                          <w:sz w:val="20"/>
                        </w:rPr>
                      </w:pPr>
                      <w:r w:rsidRPr="0057021F">
                        <w:rPr>
                          <w:rFonts w:ascii="Arial" w:hAnsi="Arial"/>
                          <w:color w:val="5F6062"/>
                          <w:sz w:val="20"/>
                        </w:rPr>
                        <w:t>1</w:t>
                      </w:r>
                    </w:p>
                    <w:p w:rsidR="00C64951" w:rsidRPr="0057021F" w:rsidRDefault="00C64951" w:rsidP="0006297A">
                      <w:pPr>
                        <w:spacing w:after="60"/>
                        <w:jc w:val="center"/>
                        <w:rPr>
                          <w:rFonts w:ascii="Arial" w:hAnsi="Arial"/>
                          <w:color w:val="5F6062"/>
                          <w:sz w:val="20"/>
                        </w:rPr>
                      </w:pPr>
                      <w:r w:rsidRPr="0057021F">
                        <w:rPr>
                          <w:rFonts w:ascii="Arial" w:hAnsi="Arial"/>
                          <w:color w:val="5F6062"/>
                          <w:sz w:val="20"/>
                        </w:rPr>
                        <w:t>5(X</w:t>
                      </w:r>
                      <w:r w:rsidRPr="0057021F">
                        <w:rPr>
                          <w:rFonts w:ascii="Arial" w:hAnsi="Arial"/>
                          <w:color w:val="5F6062"/>
                          <w:sz w:val="20"/>
                          <w:vertAlign w:val="subscript"/>
                        </w:rPr>
                        <w:t>M</w:t>
                      </w:r>
                      <w:r w:rsidRPr="0057021F">
                        <w:rPr>
                          <w:rFonts w:ascii="Arial" w:hAnsi="Arial"/>
                          <w:color w:val="5F6062"/>
                          <w:sz w:val="20"/>
                        </w:rPr>
                        <w:t>-X)</w:t>
                      </w:r>
                    </w:p>
                    <w:p w:rsidR="00C64951" w:rsidRPr="0057021F" w:rsidRDefault="00C64951" w:rsidP="0006297A">
                      <w:pPr>
                        <w:pStyle w:val="author"/>
                        <w:spacing w:before="60" w:after="60" w:line="240" w:lineRule="auto"/>
                        <w:rPr>
                          <w:rFonts w:ascii="Arial" w:hAnsi="Arial"/>
                          <w:color w:val="5F6062"/>
                          <w:sz w:val="20"/>
                        </w:rPr>
                      </w:pPr>
                      <w:r w:rsidRPr="0057021F">
                        <w:rPr>
                          <w:rFonts w:ascii="Arial" w:hAnsi="Arial"/>
                          <w:color w:val="5F6062"/>
                          <w:sz w:val="20"/>
                        </w:rPr>
                        <w:t>X</w:t>
                      </w:r>
                      <w:r w:rsidRPr="0057021F">
                        <w:rPr>
                          <w:rFonts w:ascii="Arial" w:hAnsi="Arial"/>
                          <w:color w:val="5F6062"/>
                          <w:sz w:val="20"/>
                          <w:vertAlign w:val="subscript"/>
                        </w:rPr>
                        <w:t>M</w:t>
                      </w:r>
                      <w:r w:rsidRPr="0057021F">
                        <w:rPr>
                          <w:rFonts w:ascii="Arial" w:hAnsi="Arial"/>
                          <w:color w:val="5F6062"/>
                          <w:sz w:val="20"/>
                        </w:rPr>
                        <w:t>-X</w:t>
                      </w:r>
                      <w:r w:rsidRPr="0057021F">
                        <w:rPr>
                          <w:rFonts w:ascii="Arial" w:hAnsi="Arial"/>
                          <w:color w:val="5F6062"/>
                          <w:sz w:val="20"/>
                          <w:vertAlign w:val="subscript"/>
                        </w:rPr>
                        <w:t>L</w:t>
                      </w:r>
                    </w:p>
                  </w:txbxContent>
                </v:textbox>
              </v:shape>
              <v:line id="_x0000_s1079" style="position:absolute" from="2297,1957" to="4137,1957" strokecolor="#9e9e9e"/>
              <v:line id="_x0000_s1080" style="position:absolute;flip:y" from="3260,2299" to="3826,2299"/>
              <v:shape id="_x0000_s1081" type="#_x0000_t202" style="position:absolute;left:2183;top:2060;width:1055;height:424" filled="f" stroked="f">
                <v:textbox style="mso-next-textbox:#_x0000_s1081">
                  <w:txbxContent>
                    <w:p w:rsidR="00C64951" w:rsidRPr="0057021F" w:rsidRDefault="00C64951" w:rsidP="0006297A">
                      <w:pPr>
                        <w:pStyle w:val="BodyText3"/>
                        <w:rPr>
                          <w:color w:val="5F6062"/>
                          <w:sz w:val="20"/>
                        </w:rPr>
                      </w:pPr>
                      <w:r w:rsidRPr="0057021F">
                        <w:rPr>
                          <w:color w:val="5F6062"/>
                          <w:sz w:val="20"/>
                        </w:rPr>
                        <w:t>1 + exp</w:t>
                      </w:r>
                    </w:p>
                  </w:txbxContent>
                </v:textbox>
              </v:shape>
            </v:group>
            <v:group id="_x0000_s1082" style="position:absolute;left:6708;top:5084;width:2365;height:1430" coordorigin="2183,1599" coordsize="2365,1430">
              <v:shape id="_x0000_s1083" type="#_x0000_t185" style="position:absolute;left:3118;top:2060;width:849;height:424"/>
              <v:shape id="_x0000_s1084" type="#_x0000_t202" style="position:absolute;left:2567;top:1599;width:1981;height:1430" filled="f" stroked="f">
                <v:textbox style="mso-next-textbox:#_x0000_s1084">
                  <w:txbxContent>
                    <w:p w:rsidR="00C64951" w:rsidRPr="0057021F" w:rsidRDefault="00C64951" w:rsidP="0006297A">
                      <w:pPr>
                        <w:pStyle w:val="author"/>
                        <w:spacing w:before="60" w:after="60" w:line="240" w:lineRule="auto"/>
                        <w:rPr>
                          <w:rFonts w:ascii="Arial" w:hAnsi="Arial"/>
                          <w:color w:val="5F6062"/>
                          <w:sz w:val="20"/>
                        </w:rPr>
                      </w:pPr>
                      <w:r w:rsidRPr="0057021F">
                        <w:rPr>
                          <w:rFonts w:ascii="Arial" w:hAnsi="Arial"/>
                          <w:color w:val="5F6062"/>
                          <w:sz w:val="20"/>
                        </w:rPr>
                        <w:t>1</w:t>
                      </w:r>
                    </w:p>
                    <w:p w:rsidR="00C64951" w:rsidRPr="0057021F" w:rsidRDefault="00C64951" w:rsidP="0006297A">
                      <w:pPr>
                        <w:spacing w:after="60"/>
                        <w:jc w:val="center"/>
                        <w:rPr>
                          <w:rFonts w:ascii="Arial" w:hAnsi="Arial"/>
                          <w:color w:val="5F6062"/>
                          <w:sz w:val="20"/>
                        </w:rPr>
                      </w:pPr>
                      <w:r w:rsidRPr="0057021F">
                        <w:rPr>
                          <w:rFonts w:ascii="Arial" w:hAnsi="Arial"/>
                          <w:color w:val="5F6062"/>
                          <w:sz w:val="20"/>
                        </w:rPr>
                        <w:t>5(X</w:t>
                      </w:r>
                      <w:r w:rsidRPr="0057021F">
                        <w:rPr>
                          <w:rFonts w:ascii="Arial" w:hAnsi="Arial"/>
                          <w:color w:val="5F6062"/>
                          <w:sz w:val="20"/>
                          <w:vertAlign w:val="subscript"/>
                        </w:rPr>
                        <w:t>M</w:t>
                      </w:r>
                      <w:r w:rsidRPr="0057021F">
                        <w:rPr>
                          <w:rFonts w:ascii="Arial" w:hAnsi="Arial"/>
                          <w:color w:val="5F6062"/>
                          <w:sz w:val="20"/>
                        </w:rPr>
                        <w:t>-X)</w:t>
                      </w:r>
                    </w:p>
                    <w:p w:rsidR="00C64951" w:rsidRPr="0057021F" w:rsidRDefault="00C64951" w:rsidP="0006297A">
                      <w:pPr>
                        <w:pStyle w:val="author"/>
                        <w:spacing w:before="60" w:after="60" w:line="240" w:lineRule="auto"/>
                        <w:rPr>
                          <w:rFonts w:ascii="Arial" w:hAnsi="Arial"/>
                          <w:color w:val="5F6062"/>
                          <w:sz w:val="20"/>
                        </w:rPr>
                      </w:pPr>
                      <w:r w:rsidRPr="0057021F">
                        <w:rPr>
                          <w:rFonts w:ascii="Arial" w:hAnsi="Arial"/>
                          <w:color w:val="5F6062"/>
                          <w:sz w:val="20"/>
                        </w:rPr>
                        <w:t>X</w:t>
                      </w:r>
                      <w:r>
                        <w:rPr>
                          <w:rFonts w:ascii="Arial" w:hAnsi="Arial"/>
                          <w:color w:val="5F6062"/>
                          <w:sz w:val="20"/>
                          <w:vertAlign w:val="subscript"/>
                        </w:rPr>
                        <w:t>U</w:t>
                      </w:r>
                      <w:r w:rsidRPr="0057021F">
                        <w:rPr>
                          <w:rFonts w:ascii="Arial" w:hAnsi="Arial"/>
                          <w:color w:val="5F6062"/>
                          <w:sz w:val="20"/>
                        </w:rPr>
                        <w:t>-X</w:t>
                      </w:r>
                      <w:r>
                        <w:rPr>
                          <w:rFonts w:ascii="Arial" w:hAnsi="Arial"/>
                          <w:color w:val="5F6062"/>
                          <w:sz w:val="20"/>
                          <w:vertAlign w:val="subscript"/>
                        </w:rPr>
                        <w:t>M</w:t>
                      </w:r>
                    </w:p>
                  </w:txbxContent>
                </v:textbox>
              </v:shape>
              <v:line id="_x0000_s1085" style="position:absolute" from="2297,1957" to="4137,1957" strokecolor="#9e9e9e"/>
              <v:line id="_x0000_s1086" style="position:absolute;flip:y" from="3260,2299" to="3826,2299"/>
              <v:shape id="_x0000_s1087" type="#_x0000_t202" style="position:absolute;left:2183;top:2060;width:1055;height:424" filled="f" stroked="f">
                <v:textbox style="mso-next-textbox:#_x0000_s1087">
                  <w:txbxContent>
                    <w:p w:rsidR="00C64951" w:rsidRPr="0057021F" w:rsidRDefault="00C64951" w:rsidP="0006297A">
                      <w:pPr>
                        <w:pStyle w:val="BodyText3"/>
                        <w:rPr>
                          <w:color w:val="5F6062"/>
                          <w:sz w:val="20"/>
                        </w:rPr>
                      </w:pPr>
                      <w:r w:rsidRPr="0057021F">
                        <w:rPr>
                          <w:color w:val="5F6062"/>
                          <w:sz w:val="20"/>
                        </w:rPr>
                        <w:t>1 + exp</w:t>
                      </w:r>
                    </w:p>
                  </w:txbxContent>
                </v:textbox>
              </v:shape>
            </v:group>
            <w10:wrap type="square"/>
          </v:group>
        </w:pict>
      </w:r>
    </w:p>
    <w:p w:rsidR="0006297A" w:rsidRPr="00D32180" w:rsidRDefault="0006297A" w:rsidP="0006297A">
      <w:pPr>
        <w:pStyle w:val="RI07-BodyCopy95pt"/>
      </w:pPr>
    </w:p>
    <w:p w:rsidR="0006297A" w:rsidRPr="00D32180" w:rsidRDefault="0006297A" w:rsidP="0006297A">
      <w:pPr>
        <w:pStyle w:val="RI01-Heading0"/>
      </w:pPr>
    </w:p>
    <w:p w:rsidR="0006297A" w:rsidRPr="00D32180" w:rsidRDefault="0006297A" w:rsidP="0006297A">
      <w:pPr>
        <w:pStyle w:val="RI01-Heading0"/>
      </w:pPr>
    </w:p>
    <w:p w:rsidR="0006297A" w:rsidRPr="00D32180" w:rsidRDefault="0006297A" w:rsidP="0006297A">
      <w:pPr>
        <w:pStyle w:val="RI01-Heading0"/>
      </w:pPr>
    </w:p>
    <w:p w:rsidR="0006297A" w:rsidRPr="00D32180" w:rsidRDefault="0006297A" w:rsidP="0006297A">
      <w:pPr>
        <w:pStyle w:val="RI01-Heading0"/>
      </w:pPr>
    </w:p>
    <w:p w:rsidR="0006297A" w:rsidRPr="00D32180" w:rsidRDefault="0006297A" w:rsidP="0006297A">
      <w:pPr>
        <w:pStyle w:val="RI01-Heading0"/>
      </w:pPr>
    </w:p>
    <w:p w:rsidR="0006297A" w:rsidRPr="00D32180"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Default="0006297A" w:rsidP="0006297A">
      <w:pPr>
        <w:pStyle w:val="RI07-BodyCopy95pt"/>
        <w:jc w:val="center"/>
      </w:pPr>
      <w:r>
        <w:t>XL – Lower Breakpoint XM – Median XU – Upper Breakpoint</w:t>
      </w:r>
    </w:p>
    <w:p w:rsidR="0006297A" w:rsidRDefault="0006297A" w:rsidP="0006297A">
      <w:pPr>
        <w:pStyle w:val="RI07-BodyCopy95pt"/>
      </w:pPr>
    </w:p>
    <w:p w:rsidR="0006297A" w:rsidRDefault="0006297A" w:rsidP="0006297A">
      <w:pPr>
        <w:pStyle w:val="RI07-BodyCopy95pt"/>
      </w:pPr>
    </w:p>
    <w:p w:rsidR="0006297A" w:rsidRPr="00D32180" w:rsidRDefault="0006297A" w:rsidP="0006297A">
      <w:pPr>
        <w:pStyle w:val="RI07-BodyCopy95pt"/>
        <w:sectPr w:rsidR="0006297A" w:rsidRPr="00D32180"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lastRenderedPageBreak/>
        <w:t>Section 7</w:t>
      </w:r>
    </w:p>
    <w:p w:rsidR="0006297A" w:rsidRPr="00D32180" w:rsidRDefault="0006297A" w:rsidP="0006297A">
      <w:pPr>
        <w:pStyle w:val="Heading1"/>
      </w:pPr>
      <w:bookmarkStart w:id="168" w:name="_Toc217446178"/>
      <w:bookmarkStart w:id="169" w:name="_Toc220919406"/>
      <w:bookmarkStart w:id="170" w:name="_Toc303342528"/>
      <w:bookmarkStart w:id="171" w:name="_Toc343682670"/>
      <w:r w:rsidRPr="00D32180">
        <w:t>Index maintenance</w:t>
      </w:r>
      <w:bookmarkEnd w:id="168"/>
      <w:bookmarkEnd w:id="169"/>
      <w:bookmarkEnd w:id="170"/>
      <w:bookmarkEnd w:id="171"/>
    </w:p>
    <w:p w:rsidR="0006297A" w:rsidRPr="00D32180" w:rsidRDefault="0006297A" w:rsidP="0006297A">
      <w:pPr>
        <w:pStyle w:val="RI07-BodyCopy95pt"/>
      </w:pPr>
      <w:r w:rsidRPr="00D32180">
        <w:t xml:space="preserve">The Russell Global Index and its </w:t>
      </w:r>
      <w:r>
        <w:t>sub-indexes</w:t>
      </w:r>
      <w:r w:rsidRPr="00D32180">
        <w:t xml:space="preserve"> are proactively maintained</w:t>
      </w:r>
      <w:r>
        <w:t>,</w:t>
      </w:r>
      <w:r w:rsidRPr="00D32180">
        <w:t xml:space="preserve"> and </w:t>
      </w:r>
      <w:r>
        <w:t>they</w:t>
      </w:r>
      <w:r w:rsidRPr="00D32180">
        <w:t xml:space="preserve"> maintained to</w:t>
      </w:r>
      <w:r>
        <w:t xml:space="preserve"> </w:t>
      </w:r>
      <w:r w:rsidRPr="00D32180">
        <w:t xml:space="preserve">reflect daily changes in the global </w:t>
      </w:r>
      <w:r>
        <w:t>equities</w:t>
      </w:r>
      <w:r w:rsidRPr="00D32180">
        <w:t xml:space="preserve"> market. </w:t>
      </w:r>
      <w:r>
        <w:t xml:space="preserve">The Russell Global indexes are calculated Monday through Friday including all holidays. For exchanges that are closed during Russell events such as reconstitution and IPO additions, trades are made on the prior open trading day. </w:t>
      </w:r>
    </w:p>
    <w:p w:rsidR="0006297A" w:rsidRPr="00D32180" w:rsidRDefault="0006297A" w:rsidP="0006297A">
      <w:pPr>
        <w:pStyle w:val="Heading2"/>
      </w:pPr>
      <w:bookmarkStart w:id="172" w:name="_Toc217446179"/>
      <w:bookmarkStart w:id="173" w:name="_Toc220919407"/>
      <w:bookmarkStart w:id="174" w:name="_Toc303342529"/>
      <w:bookmarkStart w:id="175" w:name="_Toc343682671"/>
      <w:r w:rsidRPr="00D32180">
        <w:t>Daily changes</w:t>
      </w:r>
      <w:bookmarkEnd w:id="172"/>
      <w:bookmarkEnd w:id="173"/>
      <w:bookmarkEnd w:id="174"/>
      <w:bookmarkEnd w:id="175"/>
    </w:p>
    <w:p w:rsidR="0006297A" w:rsidRPr="00D32180" w:rsidRDefault="0006297A" w:rsidP="0006297A">
      <w:pPr>
        <w:pStyle w:val="RI07-BodyCopy95pt"/>
      </w:pPr>
      <w:r w:rsidRPr="00D32180">
        <w:t>The Russell Global Index and its sub-indexes are regularly maintained to reflect the impact of corporate actions on the underlying index constituents. These adjustments include:</w:t>
      </w:r>
    </w:p>
    <w:p w:rsidR="0006297A" w:rsidRPr="00D32180" w:rsidRDefault="0006297A" w:rsidP="0006297A">
      <w:pPr>
        <w:pStyle w:val="RI08-95ptBullet1"/>
        <w:tabs>
          <w:tab w:val="num" w:pos="720"/>
        </w:tabs>
        <w:ind w:left="720" w:hanging="360"/>
      </w:pPr>
      <w:r w:rsidRPr="00D32180">
        <w:t>Daily additions of sizable spin-offs</w:t>
      </w:r>
    </w:p>
    <w:p w:rsidR="0006297A" w:rsidRPr="00D32180" w:rsidRDefault="0006297A" w:rsidP="0006297A">
      <w:pPr>
        <w:pStyle w:val="RI08-95ptBullet1"/>
        <w:tabs>
          <w:tab w:val="num" w:pos="720"/>
        </w:tabs>
        <w:ind w:left="720" w:hanging="360"/>
      </w:pPr>
      <w:r w:rsidRPr="00D32180">
        <w:t xml:space="preserve">Daily adjustment of stock splits </w:t>
      </w:r>
    </w:p>
    <w:p w:rsidR="0006297A" w:rsidRPr="00D32180" w:rsidRDefault="0006297A" w:rsidP="0006297A">
      <w:pPr>
        <w:pStyle w:val="RI08-95ptBullet1"/>
        <w:tabs>
          <w:tab w:val="num" w:pos="720"/>
        </w:tabs>
        <w:ind w:left="720" w:hanging="360"/>
      </w:pPr>
      <w:r w:rsidRPr="00D32180">
        <w:t xml:space="preserve">Daily dividends and stock market delistings </w:t>
      </w:r>
    </w:p>
    <w:p w:rsidR="0006297A" w:rsidRPr="00D32180" w:rsidRDefault="0006297A" w:rsidP="0006297A">
      <w:pPr>
        <w:pStyle w:val="RI08-95ptBullet1"/>
        <w:tabs>
          <w:tab w:val="num" w:pos="720"/>
        </w:tabs>
        <w:ind w:left="720" w:hanging="360"/>
      </w:pPr>
      <w:r w:rsidRPr="00D32180">
        <w:t>Daily reflection of mergers and acquisitions</w:t>
      </w:r>
    </w:p>
    <w:p w:rsidR="0006297A" w:rsidRPr="00D32180" w:rsidRDefault="0006297A" w:rsidP="0006297A">
      <w:pPr>
        <w:pStyle w:val="RI08-95ptBullet1"/>
        <w:tabs>
          <w:tab w:val="num" w:pos="720"/>
        </w:tabs>
        <w:ind w:left="720" w:hanging="360"/>
      </w:pPr>
      <w:r w:rsidRPr="00D32180">
        <w:t xml:space="preserve">Monthly share capital adjustments to reflect material (more than 5%) changes in total shares outstanding, due to stock buybacks and equity offerings </w:t>
      </w:r>
    </w:p>
    <w:p w:rsidR="0006297A" w:rsidRPr="00D32180" w:rsidRDefault="0006297A" w:rsidP="0006297A">
      <w:pPr>
        <w:pStyle w:val="RI07-BodyCopy95pt"/>
      </w:pPr>
      <w:r w:rsidRPr="00D32180">
        <w:t>More detailed information on how company corporate actions are applied is provided in the appendixes.</w:t>
      </w:r>
    </w:p>
    <w:p w:rsidR="0006297A" w:rsidRPr="00D32180" w:rsidRDefault="0006297A" w:rsidP="0006297A">
      <w:pPr>
        <w:pStyle w:val="Heading2"/>
      </w:pPr>
      <w:bookmarkStart w:id="176" w:name="_Toc185816138"/>
      <w:bookmarkStart w:id="177" w:name="_Toc217446180"/>
      <w:bookmarkStart w:id="178" w:name="_Toc220919408"/>
      <w:bookmarkStart w:id="179" w:name="_Toc303342530"/>
      <w:bookmarkStart w:id="180" w:name="_Toc343682672"/>
      <w:r w:rsidRPr="00D32180">
        <w:t>Changes to shares outstanding</w:t>
      </w:r>
      <w:bookmarkEnd w:id="176"/>
      <w:bookmarkEnd w:id="177"/>
      <w:bookmarkEnd w:id="178"/>
      <w:bookmarkEnd w:id="179"/>
      <w:bookmarkEnd w:id="180"/>
    </w:p>
    <w:p w:rsidR="0006297A" w:rsidRDefault="0006297A" w:rsidP="0006297A">
      <w:pPr>
        <w:pStyle w:val="RI07-BodyCopy95pt"/>
      </w:pPr>
      <w:r w:rsidRPr="00D32180">
        <w:t>Changes to shares outstanding due to buybacks, secondary offerings, merger activity with non-index member</w:t>
      </w:r>
      <w:r>
        <w:t>s,</w:t>
      </w:r>
      <w:r w:rsidRPr="00D32180">
        <w:t xml:space="preserve"> </w:t>
      </w:r>
      <w:r>
        <w:t>etc.</w:t>
      </w:r>
      <w:r w:rsidRPr="00D32180">
        <w:t xml:space="preserve"> are updated at the end of the month in which change</w:t>
      </w:r>
      <w:r>
        <w:t>s</w:t>
      </w:r>
      <w:r w:rsidRPr="00D32180">
        <w:t xml:space="preserve"> </w:t>
      </w:r>
      <w:r>
        <w:t>are</w:t>
      </w:r>
      <w:r w:rsidRPr="00D32180">
        <w:t xml:space="preserve"> reflected in vendor-supplied updates and verified by Russell. For a change in shares to occur, the cumulative change to </w:t>
      </w:r>
      <w:r>
        <w:t>outstanding</w:t>
      </w:r>
      <w:r w:rsidRPr="00D32180">
        <w:t xml:space="preserve"> shares must be greater than 5%. The float factor determined at reconstitution is applied to the new shares issued or bought back. If any new shares issued are unavailable</w:t>
      </w:r>
      <w:r>
        <w:t>,</w:t>
      </w:r>
      <w:r w:rsidRPr="00D32180">
        <w:t xml:space="preserve"> that portion will not be added to the index.</w:t>
      </w:r>
    </w:p>
    <w:p w:rsidR="0006297A" w:rsidRPr="006308ED" w:rsidRDefault="0006297A" w:rsidP="0006297A">
      <w:pPr>
        <w:pStyle w:val="NormalWeb"/>
        <w:spacing w:before="0" w:beforeAutospacing="0" w:afterAutospacing="0" w:line="260" w:lineRule="atLeast"/>
        <w:rPr>
          <w:rFonts w:ascii="Arial" w:hAnsi="Arial"/>
          <w:color w:val="5F6062"/>
          <w:sz w:val="19"/>
          <w:szCs w:val="22"/>
        </w:rPr>
      </w:pPr>
      <w:r w:rsidRPr="006308ED">
        <w:rPr>
          <w:rFonts w:ascii="Arial" w:hAnsi="Arial"/>
          <w:color w:val="5F6062"/>
          <w:sz w:val="19"/>
          <w:szCs w:val="22"/>
        </w:rPr>
        <w:t xml:space="preserve">November and December month-end share </w:t>
      </w:r>
      <w:r>
        <w:rPr>
          <w:rFonts w:ascii="Arial" w:hAnsi="Arial"/>
          <w:color w:val="5F6062"/>
          <w:sz w:val="19"/>
          <w:szCs w:val="22"/>
        </w:rPr>
        <w:t>changes</w:t>
      </w:r>
      <w:r w:rsidRPr="006308ED">
        <w:rPr>
          <w:rFonts w:ascii="Arial" w:hAnsi="Arial"/>
          <w:color w:val="5F6062"/>
          <w:sz w:val="19"/>
          <w:szCs w:val="22"/>
        </w:rPr>
        <w:t xml:space="preserve"> as well as fourth</w:t>
      </w:r>
      <w:r>
        <w:rPr>
          <w:rFonts w:ascii="Arial" w:hAnsi="Arial"/>
          <w:color w:val="5F6062"/>
          <w:sz w:val="19"/>
          <w:szCs w:val="22"/>
        </w:rPr>
        <w:t>-</w:t>
      </w:r>
      <w:r w:rsidRPr="006308ED">
        <w:rPr>
          <w:rFonts w:ascii="Arial" w:hAnsi="Arial"/>
          <w:color w:val="5F6062"/>
          <w:sz w:val="19"/>
          <w:szCs w:val="22"/>
        </w:rPr>
        <w:t>quarter IPO additions will be processed as one event after the close on the third Friday of each December. This is a result of low liquidity in the financial markets at year end and the proximity of a separate November process.</w:t>
      </w:r>
      <w:r>
        <w:rPr>
          <w:rFonts w:ascii="Arial" w:hAnsi="Arial"/>
          <w:color w:val="5F6062"/>
          <w:sz w:val="19"/>
          <w:szCs w:val="22"/>
        </w:rPr>
        <w:t xml:space="preserve"> IPO and share changes will be announced on the Monday prior to add date. </w:t>
      </w:r>
    </w:p>
    <w:p w:rsidR="0006297A" w:rsidRPr="006308ED" w:rsidRDefault="0006297A" w:rsidP="0006297A">
      <w:pPr>
        <w:spacing w:after="100" w:line="260" w:lineRule="atLeast"/>
        <w:rPr>
          <w:rFonts w:ascii="Arial" w:hAnsi="Arial"/>
          <w:color w:val="5F6062"/>
          <w:sz w:val="19"/>
        </w:rPr>
      </w:pPr>
      <w:r w:rsidRPr="006308ED">
        <w:rPr>
          <w:rFonts w:ascii="Arial" w:hAnsi="Arial"/>
          <w:color w:val="5F6062"/>
          <w:sz w:val="19"/>
        </w:rPr>
        <w:t>June month</w:t>
      </w:r>
      <w:r>
        <w:rPr>
          <w:rFonts w:ascii="Arial" w:hAnsi="Arial"/>
          <w:color w:val="5F6062"/>
          <w:sz w:val="19"/>
        </w:rPr>
        <w:t>-</w:t>
      </w:r>
      <w:r w:rsidRPr="006308ED">
        <w:rPr>
          <w:rFonts w:ascii="Arial" w:hAnsi="Arial"/>
          <w:color w:val="5F6062"/>
          <w:sz w:val="19"/>
        </w:rPr>
        <w:t>end share changes are not processed at month end, residual share changes that are not addressed as part of the annual reconstitution process are rolled into the following July month</w:t>
      </w:r>
      <w:r>
        <w:rPr>
          <w:rFonts w:ascii="Arial" w:hAnsi="Arial"/>
          <w:color w:val="5F6062"/>
          <w:sz w:val="19"/>
        </w:rPr>
        <w:t>-</w:t>
      </w:r>
      <w:r w:rsidRPr="006308ED">
        <w:rPr>
          <w:rFonts w:ascii="Arial" w:hAnsi="Arial"/>
          <w:color w:val="5F6062"/>
          <w:sz w:val="19"/>
        </w:rPr>
        <w:t>end process.</w:t>
      </w:r>
      <w:r>
        <w:rPr>
          <w:rFonts w:ascii="Arial" w:hAnsi="Arial"/>
          <w:color w:val="5F6062"/>
          <w:sz w:val="19"/>
        </w:rPr>
        <w:t xml:space="preserve"> </w:t>
      </w:r>
    </w:p>
    <w:p w:rsidR="0006297A" w:rsidRDefault="0006297A" w:rsidP="0006297A">
      <w:pPr>
        <w:pStyle w:val="Heading2"/>
        <w:spacing w:before="120"/>
      </w:pPr>
      <w:bookmarkStart w:id="181" w:name="_Toc217446181"/>
      <w:bookmarkStart w:id="182" w:name="_Toc220919409"/>
      <w:bookmarkStart w:id="183" w:name="_Toc303342531"/>
      <w:bookmarkStart w:id="184" w:name="_Toc343682673"/>
      <w:r w:rsidRPr="00D32180">
        <w:t xml:space="preserve">Quarterly </w:t>
      </w:r>
      <w:bookmarkEnd w:id="181"/>
      <w:bookmarkEnd w:id="182"/>
      <w:r>
        <w:t>initial public offerings</w:t>
      </w:r>
      <w:bookmarkEnd w:id="183"/>
      <w:r>
        <w:t xml:space="preserve"> (IPOs)</w:t>
      </w:r>
      <w:bookmarkEnd w:id="184"/>
    </w:p>
    <w:p w:rsidR="0006297A" w:rsidRDefault="0006297A" w:rsidP="0006297A">
      <w:pPr>
        <w:pStyle w:val="RI07-BodyCopy95pt"/>
      </w:pPr>
      <w:r w:rsidRPr="00D32180">
        <w:t>Russell adds IPOs each quarter in order to quickly reflect new additions to the global investing opportunity set. Because Russell’s approach to index construction is company-based and captures 98% of the investment opportunity set, IPOs are the only stocks that need to be added between reconstitution periods</w:t>
      </w:r>
      <w:r w:rsidRPr="00F40F5C">
        <w:t>. Companies filing an initial public offering registration statement (or local equivalent)</w:t>
      </w:r>
      <w:r>
        <w:t>,</w:t>
      </w:r>
      <w:r w:rsidRPr="00F40F5C">
        <w:t xml:space="preserve"> regardless of previous trading activity are reviewed for eligibility.</w:t>
      </w:r>
      <w:r w:rsidRPr="00D32180">
        <w:t xml:space="preserve"> </w:t>
      </w:r>
    </w:p>
    <w:p w:rsidR="0006297A" w:rsidRPr="00D32180" w:rsidRDefault="0006297A" w:rsidP="0006297A">
      <w:pPr>
        <w:pStyle w:val="RI07-BodyCopy95pt"/>
      </w:pPr>
      <w:r w:rsidRPr="00D32180">
        <w:lastRenderedPageBreak/>
        <w:t>In order to be added during a quarter outside of reconstitution, IPOs must meet all eligibility requirements for index construction. Additionally, an IPO must meet the following criteria on the final trading day of the month prior to quarter end: 1) it is traded and priced; 2) it ranks larger in total market capitalization than the market-adjusted smallest company in the Russell Global Index as of the latest June reconstitution; and 3) it has met the most recent liquidity threshold for at least 10 business days. Eligible IPOs will be added to the Russell Global style indexes using their industry’s average style probability established at the latest reconstitution.</w:t>
      </w:r>
      <w:r>
        <w:t xml:space="preserve"> All IPOs are assigned as 100% dynamic for the Russell Stability Indexes.</w:t>
      </w:r>
    </w:p>
    <w:p w:rsidR="0006297A" w:rsidRDefault="0006297A" w:rsidP="0006297A">
      <w:pPr>
        <w:pStyle w:val="RI07-BodyCopy95pt"/>
      </w:pPr>
      <w:r w:rsidRPr="00D32180">
        <w:t>The schedule for IPO reviews outside reconstitution is established below:</w:t>
      </w:r>
    </w:p>
    <w:p w:rsidR="0006297A" w:rsidRPr="00D32180" w:rsidRDefault="0006297A" w:rsidP="0006297A">
      <w:pPr>
        <w:pStyle w:val="RI07-BodyCopy95pt"/>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2009"/>
        <w:gridCol w:w="2445"/>
        <w:gridCol w:w="2447"/>
        <w:gridCol w:w="2445"/>
      </w:tblGrid>
      <w:tr w:rsidR="0006297A" w:rsidRPr="00BF3202" w:rsidTr="00676CED">
        <w:tc>
          <w:tcPr>
            <w:tcW w:w="1075" w:type="pct"/>
            <w:tcMar>
              <w:left w:w="29" w:type="dxa"/>
              <w:right w:w="43" w:type="dxa"/>
            </w:tcMar>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Quarterly additions</w:t>
            </w:r>
          </w:p>
        </w:tc>
        <w:tc>
          <w:tcPr>
            <w:tcW w:w="1308" w:type="pct"/>
            <w:tcMar>
              <w:left w:w="115" w:type="dxa"/>
              <w:right w:w="43" w:type="dxa"/>
            </w:tcMar>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Third quarter additions</w:t>
            </w:r>
          </w:p>
        </w:tc>
        <w:tc>
          <w:tcPr>
            <w:tcW w:w="1309" w:type="pct"/>
            <w:tcMar>
              <w:left w:w="115" w:type="dxa"/>
              <w:right w:w="43" w:type="dxa"/>
            </w:tcMar>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Fourth quarter additions</w:t>
            </w:r>
          </w:p>
        </w:tc>
        <w:tc>
          <w:tcPr>
            <w:tcW w:w="1309" w:type="pct"/>
            <w:tcMar>
              <w:left w:w="115" w:type="dxa"/>
              <w:right w:w="43" w:type="dxa"/>
            </w:tcMar>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First quarter additions</w:t>
            </w:r>
          </w:p>
        </w:tc>
      </w:tr>
      <w:tr w:rsidR="0006297A" w:rsidRPr="00BF3202" w:rsidTr="00676CED">
        <w:tc>
          <w:tcPr>
            <w:tcW w:w="1075" w:type="pct"/>
            <w:tcMar>
              <w:left w:w="29" w:type="dxa"/>
              <w:right w:w="43" w:type="dxa"/>
            </w:tcMar>
          </w:tcPr>
          <w:p w:rsidR="0006297A" w:rsidRPr="00BF3202" w:rsidRDefault="0006297A" w:rsidP="00676CED">
            <w:pPr>
              <w:pStyle w:val="RI07-BodyCopy95pt"/>
              <w:spacing w:before="20" w:after="20" w:line="240" w:lineRule="auto"/>
              <w:rPr>
                <w:sz w:val="18"/>
                <w:szCs w:val="18"/>
              </w:rPr>
            </w:pPr>
            <w:r w:rsidRPr="00BF3202">
              <w:rPr>
                <w:sz w:val="18"/>
                <w:szCs w:val="18"/>
              </w:rPr>
              <w:t>Initial Offering Period*†</w:t>
            </w:r>
          </w:p>
        </w:tc>
        <w:tc>
          <w:tcPr>
            <w:tcW w:w="1308" w:type="pct"/>
          </w:tcPr>
          <w:p w:rsidR="0006297A" w:rsidRPr="00BF3202" w:rsidRDefault="0006297A" w:rsidP="00676CED">
            <w:pPr>
              <w:pStyle w:val="RI07-BodyCopy95pt"/>
              <w:spacing w:before="20" w:after="20" w:line="240" w:lineRule="auto"/>
              <w:rPr>
                <w:sz w:val="18"/>
                <w:szCs w:val="18"/>
              </w:rPr>
            </w:pPr>
            <w:r w:rsidRPr="00BF3202">
              <w:rPr>
                <w:sz w:val="18"/>
                <w:szCs w:val="18"/>
              </w:rPr>
              <w:t>IPOs that initially price/trade between May 16 and August 15</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IPOs that initially price/trade between </w:t>
            </w:r>
            <w:r w:rsidRPr="00BF3202">
              <w:rPr>
                <w:sz w:val="18"/>
                <w:szCs w:val="18"/>
              </w:rPr>
              <w:br/>
              <w:t xml:space="preserve">August 16 and </w:t>
            </w:r>
            <w:r w:rsidRPr="00BF3202">
              <w:rPr>
                <w:sz w:val="18"/>
                <w:szCs w:val="18"/>
              </w:rPr>
              <w:br/>
              <w:t>November 15</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IPOs that initially price/trade between November 16 and </w:t>
            </w:r>
            <w:r w:rsidRPr="00BF3202">
              <w:rPr>
                <w:sz w:val="18"/>
                <w:szCs w:val="18"/>
              </w:rPr>
              <w:br/>
              <w:t>February 15</w:t>
            </w:r>
          </w:p>
        </w:tc>
      </w:tr>
      <w:tr w:rsidR="0006297A" w:rsidRPr="00BF3202" w:rsidTr="00676CED">
        <w:tc>
          <w:tcPr>
            <w:tcW w:w="1075" w:type="pct"/>
            <w:tcMar>
              <w:left w:w="29" w:type="dxa"/>
              <w:right w:w="43" w:type="dxa"/>
            </w:tcMar>
          </w:tcPr>
          <w:p w:rsidR="0006297A" w:rsidRPr="00BF3202" w:rsidRDefault="0006297A" w:rsidP="00676CED">
            <w:pPr>
              <w:pStyle w:val="RI07-BodyCopy95pt"/>
              <w:spacing w:before="20" w:after="20" w:line="240" w:lineRule="auto"/>
              <w:rPr>
                <w:sz w:val="18"/>
                <w:szCs w:val="18"/>
              </w:rPr>
            </w:pPr>
            <w:r w:rsidRPr="00BF3202">
              <w:rPr>
                <w:sz w:val="18"/>
                <w:szCs w:val="18"/>
              </w:rPr>
              <w:t>Rank Date</w:t>
            </w:r>
          </w:p>
        </w:tc>
        <w:tc>
          <w:tcPr>
            <w:tcW w:w="1308" w:type="pct"/>
          </w:tcPr>
          <w:p w:rsidR="0006297A" w:rsidRPr="00BF3202" w:rsidRDefault="0006297A" w:rsidP="00676CED">
            <w:pPr>
              <w:pStyle w:val="RI07-BodyCopy95pt"/>
              <w:spacing w:before="20" w:after="20" w:line="240" w:lineRule="auto"/>
              <w:rPr>
                <w:sz w:val="18"/>
                <w:szCs w:val="18"/>
              </w:rPr>
            </w:pPr>
            <w:r w:rsidRPr="00BF3202">
              <w:rPr>
                <w:sz w:val="18"/>
                <w:szCs w:val="18"/>
              </w:rPr>
              <w:t>Last business day in August</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Last business day in November</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Last business day in February</w:t>
            </w:r>
          </w:p>
        </w:tc>
      </w:tr>
      <w:tr w:rsidR="0006297A" w:rsidRPr="00BF3202" w:rsidTr="00676CED">
        <w:tc>
          <w:tcPr>
            <w:tcW w:w="1075" w:type="pct"/>
            <w:tcMar>
              <w:left w:w="29" w:type="dxa"/>
              <w:right w:w="43" w:type="dxa"/>
            </w:tcMar>
          </w:tcPr>
          <w:p w:rsidR="0006297A" w:rsidRPr="00BF3202" w:rsidRDefault="0006297A" w:rsidP="00676CED">
            <w:pPr>
              <w:pStyle w:val="RI07-BodyCopy95pt"/>
              <w:spacing w:before="20" w:after="20" w:line="240" w:lineRule="auto"/>
              <w:rPr>
                <w:sz w:val="18"/>
                <w:szCs w:val="18"/>
              </w:rPr>
            </w:pPr>
            <w:r w:rsidRPr="00BF3202">
              <w:rPr>
                <w:sz w:val="18"/>
                <w:szCs w:val="18"/>
              </w:rPr>
              <w:t>Announce Date*</w:t>
            </w:r>
          </w:p>
        </w:tc>
        <w:tc>
          <w:tcPr>
            <w:tcW w:w="1308" w:type="pct"/>
          </w:tcPr>
          <w:p w:rsidR="0006297A" w:rsidRPr="00BF3202" w:rsidRDefault="0006297A" w:rsidP="00676CED">
            <w:pPr>
              <w:pStyle w:val="RI07-BodyCopy95pt"/>
              <w:spacing w:before="20" w:after="20" w:line="240" w:lineRule="auto"/>
              <w:rPr>
                <w:sz w:val="18"/>
                <w:szCs w:val="18"/>
              </w:rPr>
            </w:pPr>
            <w:r w:rsidRPr="00BF3202">
              <w:rPr>
                <w:sz w:val="18"/>
                <w:szCs w:val="18"/>
              </w:rPr>
              <w:t>September 15</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Monday prior to add date</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March 15</w:t>
            </w:r>
          </w:p>
        </w:tc>
      </w:tr>
      <w:tr w:rsidR="0006297A" w:rsidRPr="00BF3202" w:rsidTr="00676CED">
        <w:tc>
          <w:tcPr>
            <w:tcW w:w="1075" w:type="pct"/>
            <w:tcMar>
              <w:left w:w="29" w:type="dxa"/>
              <w:right w:w="43" w:type="dxa"/>
            </w:tcMar>
          </w:tcPr>
          <w:p w:rsidR="0006297A" w:rsidRPr="00BF3202" w:rsidRDefault="0006297A" w:rsidP="00676CED">
            <w:pPr>
              <w:pStyle w:val="RI07-BodyCopy95pt"/>
              <w:spacing w:before="20" w:after="20" w:line="240" w:lineRule="auto"/>
              <w:rPr>
                <w:sz w:val="18"/>
                <w:szCs w:val="18"/>
              </w:rPr>
            </w:pPr>
            <w:r>
              <w:rPr>
                <w:sz w:val="18"/>
                <w:szCs w:val="18"/>
              </w:rPr>
              <w:t>Effective</w:t>
            </w:r>
            <w:r w:rsidRPr="00BF3202">
              <w:rPr>
                <w:sz w:val="18"/>
                <w:szCs w:val="18"/>
              </w:rPr>
              <w:t xml:space="preserve"> Date</w:t>
            </w:r>
            <w:r>
              <w:rPr>
                <w:sz w:val="18"/>
                <w:szCs w:val="18"/>
              </w:rPr>
              <w:t>**</w:t>
            </w:r>
          </w:p>
        </w:tc>
        <w:tc>
          <w:tcPr>
            <w:tcW w:w="1308" w:type="pct"/>
          </w:tcPr>
          <w:p w:rsidR="0006297A" w:rsidRPr="00BF3202" w:rsidRDefault="0006297A" w:rsidP="00676CED">
            <w:pPr>
              <w:pStyle w:val="RI07-BodyCopy95pt"/>
              <w:spacing w:before="20" w:after="20" w:line="240" w:lineRule="auto"/>
              <w:rPr>
                <w:sz w:val="18"/>
                <w:szCs w:val="18"/>
              </w:rPr>
            </w:pPr>
            <w:r w:rsidRPr="00BF3202">
              <w:rPr>
                <w:sz w:val="18"/>
                <w:szCs w:val="18"/>
              </w:rPr>
              <w:t>Last business day in September</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Third Friday in December</w:t>
            </w:r>
          </w:p>
        </w:tc>
        <w:tc>
          <w:tcPr>
            <w:tcW w:w="1309" w:type="pct"/>
          </w:tcPr>
          <w:p w:rsidR="0006297A" w:rsidRPr="00BF3202" w:rsidRDefault="0006297A" w:rsidP="00676CED">
            <w:pPr>
              <w:pStyle w:val="RI07-BodyCopy95pt"/>
              <w:spacing w:before="20" w:after="20" w:line="240" w:lineRule="auto"/>
              <w:rPr>
                <w:sz w:val="18"/>
                <w:szCs w:val="18"/>
              </w:rPr>
            </w:pPr>
            <w:r w:rsidRPr="00BF3202">
              <w:rPr>
                <w:sz w:val="18"/>
                <w:szCs w:val="18"/>
              </w:rPr>
              <w:t>Last business day in March</w:t>
            </w:r>
          </w:p>
        </w:tc>
      </w:tr>
    </w:tbl>
    <w:p w:rsidR="0006297A" w:rsidRDefault="0006297A" w:rsidP="0006297A">
      <w:pPr>
        <w:pStyle w:val="RI07-BodyCopy95pt"/>
        <w:spacing w:after="0"/>
        <w:rPr>
          <w:sz w:val="16"/>
          <w:szCs w:val="16"/>
        </w:rPr>
      </w:pPr>
      <w:r w:rsidRPr="00D32180">
        <w:rPr>
          <w:sz w:val="16"/>
          <w:szCs w:val="16"/>
        </w:rPr>
        <w:t xml:space="preserve">* If the 15th of the month is a holiday, the date shown in this table is automatically adjusted to the previous business day. </w:t>
      </w:r>
    </w:p>
    <w:p w:rsidR="0006297A" w:rsidRPr="00D32180" w:rsidRDefault="0006297A" w:rsidP="0006297A">
      <w:pPr>
        <w:pStyle w:val="RI07-BodyCopy95pt"/>
        <w:spacing w:after="0"/>
        <w:rPr>
          <w:sz w:val="16"/>
          <w:szCs w:val="16"/>
        </w:rPr>
      </w:pPr>
      <w:r>
        <w:rPr>
          <w:sz w:val="16"/>
          <w:szCs w:val="16"/>
        </w:rPr>
        <w:t>**After the close.</w:t>
      </w:r>
    </w:p>
    <w:p w:rsidR="0006297A" w:rsidRPr="00D32180" w:rsidRDefault="0006297A" w:rsidP="0006297A">
      <w:pPr>
        <w:pStyle w:val="RI07-BodyCopy95pt"/>
        <w:rPr>
          <w:sz w:val="16"/>
          <w:szCs w:val="16"/>
        </w:rPr>
      </w:pPr>
      <w:r w:rsidRPr="00D32180">
        <w:rPr>
          <w:sz w:val="16"/>
          <w:szCs w:val="16"/>
        </w:rPr>
        <w:t xml:space="preserve">† Ending date of the initial offering period is different from the rank date, due to the minimal 10-day liquidity requirement. </w:t>
      </w:r>
    </w:p>
    <w:p w:rsidR="0006297A" w:rsidRDefault="0006297A" w:rsidP="0006297A">
      <w:pPr>
        <w:pStyle w:val="RI07-BodyCopy95pt"/>
      </w:pPr>
      <w:bookmarkStart w:id="185" w:name="_Toc217446182"/>
      <w:bookmarkStart w:id="186" w:name="_Toc220919410"/>
      <w:bookmarkStart w:id="187" w:name="_Toc303342532"/>
    </w:p>
    <w:p w:rsidR="0006297A" w:rsidRPr="00D32180" w:rsidRDefault="0006297A" w:rsidP="0006297A">
      <w:pPr>
        <w:pStyle w:val="Heading2"/>
      </w:pPr>
      <w:bookmarkStart w:id="188" w:name="_Toc343682674"/>
      <w:r w:rsidRPr="00D32180">
        <w:t>Annual reconstitution</w:t>
      </w:r>
      <w:bookmarkEnd w:id="185"/>
      <w:bookmarkEnd w:id="186"/>
      <w:bookmarkEnd w:id="187"/>
      <w:bookmarkEnd w:id="188"/>
    </w:p>
    <w:p w:rsidR="0006297A" w:rsidRPr="00D32180" w:rsidRDefault="0006297A" w:rsidP="0006297A">
      <w:pPr>
        <w:pStyle w:val="RI07-BodyCopy95pt"/>
      </w:pPr>
      <w:r w:rsidRPr="00D32180">
        <w:t>Annual reconstitution is th</w:t>
      </w:r>
      <w:r>
        <w:t>e process through which the Russell G</w:t>
      </w:r>
      <w:r w:rsidRPr="00D32180">
        <w:t xml:space="preserve">lobal </w:t>
      </w:r>
      <w:r>
        <w:t>Index series</w:t>
      </w:r>
      <w:r w:rsidRPr="00D32180">
        <w:t xml:space="preserve"> rebalanced and securities are moved among size-based and emerging/developed markets categories. Reconstitution is a vital part of benchmark maintenance, particularly within the sub-indexes that reflect large cap and small cap stocks. Companies may </w:t>
      </w:r>
      <w:r>
        <w:t>become</w:t>
      </w:r>
      <w:r w:rsidRPr="00D32180">
        <w:t xml:space="preserve"> bigger or smaller</w:t>
      </w:r>
      <w:r>
        <w:t xml:space="preserve"> or</w:t>
      </w:r>
      <w:r w:rsidRPr="00D32180">
        <w:t xml:space="preserve"> </w:t>
      </w:r>
      <w:r>
        <w:t xml:space="preserve">may </w:t>
      </w:r>
      <w:r w:rsidRPr="00D32180">
        <w:t>periodically undergo change</w:t>
      </w:r>
      <w:r>
        <w:t>s</w:t>
      </w:r>
      <w:r w:rsidRPr="00D32180">
        <w:t xml:space="preserve"> in their style characteristics, and foreign investment opportunities may change over time. For a benchmark to accurately represent a particular market segment and the available shares </w:t>
      </w:r>
      <w:r>
        <w:t>of</w:t>
      </w:r>
      <w:r w:rsidRPr="00D32180">
        <w:t xml:space="preserve"> each company, rules for objective and regular maintenance are necessary. </w:t>
      </w:r>
    </w:p>
    <w:p w:rsidR="0006297A" w:rsidRPr="00D32180" w:rsidRDefault="0006297A" w:rsidP="0006297A">
      <w:pPr>
        <w:pStyle w:val="RI07-BodyCopy95pt"/>
      </w:pPr>
      <w:r w:rsidRPr="00D32180">
        <w:t xml:space="preserve">On the last trading day of May each year, all globally eligible securities are ranked by total market capitalization. All companies whose stocks are listed on eligible stock exchanges in eligible countries are considered for inclusion in the Russell Global Index. The largest 98% of securities in the U.S. and in the rest of the world become the Russell Global Index. All sub-indexes are determined from that set of securities. </w:t>
      </w:r>
      <w:r>
        <w:t>S</w:t>
      </w:r>
      <w:r w:rsidRPr="00D32180">
        <w:t>ee Sections 2 through 5 for more detail.</w:t>
      </w:r>
    </w:p>
    <w:p w:rsidR="0006297A" w:rsidRDefault="0006297A" w:rsidP="0006297A">
      <w:pPr>
        <w:pStyle w:val="RI07-BodyCopy95pt"/>
      </w:pPr>
      <w:r>
        <w:t xml:space="preserve">Reconstitution occurs on the last Friday in June. However, at times this date is too proximal to exchange closures and abbreviated exchange trading schedules when market liquidity is exceptionally low. In order to ensure proper liquidity in the markets, when the last Friday in June falls on the 29th or 30th, reconstitution will occur on the preceding Friday. </w:t>
      </w:r>
      <w:r w:rsidRPr="00D32180">
        <w:t xml:space="preserve"> A full calendar for reconstitution is made available each spring.</w:t>
      </w:r>
    </w:p>
    <w:p w:rsidR="0006297A"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7-BodyCopy95pt"/>
        <w:sectPr w:rsidR="0006297A" w:rsidRPr="00D32180" w:rsidSect="00676CED">
          <w:footerReference w:type="default" r:id="rId28"/>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lastRenderedPageBreak/>
        <w:t xml:space="preserve">Section </w:t>
      </w:r>
      <w:r>
        <w:t>8</w:t>
      </w:r>
    </w:p>
    <w:p w:rsidR="0006297A" w:rsidRPr="00D32180" w:rsidRDefault="0006297A" w:rsidP="0006297A">
      <w:pPr>
        <w:pStyle w:val="Heading1"/>
      </w:pPr>
      <w:bookmarkStart w:id="189" w:name="_Toc217446194"/>
      <w:bookmarkStart w:id="190" w:name="_Toc220919422"/>
      <w:bookmarkStart w:id="191" w:name="_Toc303342533"/>
      <w:bookmarkStart w:id="192" w:name="_Toc343682675"/>
      <w:r w:rsidRPr="00D32180">
        <w:t>Corporate action-driven changes</w:t>
      </w:r>
      <w:bookmarkEnd w:id="189"/>
      <w:bookmarkEnd w:id="190"/>
      <w:bookmarkEnd w:id="191"/>
      <w:bookmarkEnd w:id="192"/>
    </w:p>
    <w:p w:rsidR="0006297A" w:rsidRPr="00D32180" w:rsidRDefault="0006297A" w:rsidP="0006297A">
      <w:pPr>
        <w:pStyle w:val="Heading2"/>
      </w:pPr>
      <w:bookmarkStart w:id="193" w:name="_Toc223339955"/>
      <w:bookmarkStart w:id="194" w:name="_Toc303342534"/>
      <w:bookmarkStart w:id="195" w:name="_Toc343682676"/>
      <w:r w:rsidRPr="00D32180">
        <w:t>Timing and treatment of corporate actions</w:t>
      </w:r>
      <w:bookmarkEnd w:id="193"/>
      <w:bookmarkEnd w:id="194"/>
      <w:bookmarkEnd w:id="195"/>
    </w:p>
    <w:p w:rsidR="0006297A" w:rsidRDefault="0006297A" w:rsidP="0006297A">
      <w:pPr>
        <w:spacing w:after="100" w:line="260" w:lineRule="atLeast"/>
      </w:pPr>
      <w:r>
        <w:rPr>
          <w:rFonts w:ascii="Arial" w:hAnsi="Arial"/>
          <w:color w:val="5F6062"/>
          <w:sz w:val="19"/>
        </w:rPr>
        <w:t xml:space="preserve">Russell applies corporate actions to the Russell Global Index on a daily basis, both to reflect the evolution of securities and to assure that the index remains highly representative of the global equity market. A company’s index membership and its weight in the index can be impacted by these corporate actions. Russell uses a variety of reliable public sources to determine when an action is final, including a company’s press releases and regulatory filings; local exchange notifications; and official updates from other data providers Russell deems trustworthy. Prior to the completion of a corporate action, Russell estimates the effective date on the basis of the same above sources. As new information becomes available, Russell </w:t>
      </w:r>
      <w:r w:rsidRPr="005A3E72">
        <w:rPr>
          <w:rFonts w:ascii="Arial" w:hAnsi="Arial"/>
          <w:color w:val="5F6062"/>
          <w:sz w:val="19"/>
        </w:rPr>
        <w:t>may revise</w:t>
      </w:r>
      <w:r>
        <w:rPr>
          <w:rFonts w:ascii="Arial" w:hAnsi="Arial"/>
          <w:color w:val="5F6062"/>
          <w:sz w:val="19"/>
        </w:rPr>
        <w:t xml:space="preserve"> the anticipated effective date and </w:t>
      </w:r>
      <w:r w:rsidRPr="005A3E72">
        <w:rPr>
          <w:rFonts w:ascii="Arial" w:hAnsi="Arial"/>
          <w:color w:val="5F6062"/>
          <w:sz w:val="19"/>
        </w:rPr>
        <w:t xml:space="preserve">the terms of the corporate action, before </w:t>
      </w:r>
      <w:r>
        <w:rPr>
          <w:rFonts w:ascii="Arial" w:hAnsi="Arial"/>
          <w:color w:val="5F6062"/>
          <w:sz w:val="19"/>
        </w:rPr>
        <w:t xml:space="preserve">ultimately </w:t>
      </w:r>
      <w:r w:rsidRPr="005A3E72">
        <w:rPr>
          <w:rFonts w:ascii="Arial" w:hAnsi="Arial"/>
          <w:color w:val="5F6062"/>
          <w:sz w:val="19"/>
        </w:rPr>
        <w:t>confirming its</w:t>
      </w:r>
      <w:r>
        <w:rPr>
          <w:rFonts w:ascii="Arial" w:hAnsi="Arial"/>
          <w:color w:val="5F6062"/>
          <w:sz w:val="19"/>
        </w:rPr>
        <w:t xml:space="preserve"> status</w:t>
      </w:r>
      <w:r w:rsidRPr="005A3E72">
        <w:rPr>
          <w:rFonts w:ascii="Arial" w:hAnsi="Arial"/>
          <w:color w:val="5F6062"/>
          <w:sz w:val="19"/>
        </w:rPr>
        <w:t xml:space="preserve">, before the </w:t>
      </w:r>
      <w:r>
        <w:rPr>
          <w:rFonts w:ascii="Arial" w:hAnsi="Arial"/>
          <w:color w:val="5F6062"/>
          <w:sz w:val="19"/>
        </w:rPr>
        <w:t xml:space="preserve">Russell </w:t>
      </w:r>
      <w:r w:rsidRPr="005A3E72">
        <w:rPr>
          <w:rFonts w:ascii="Arial" w:hAnsi="Arial"/>
          <w:color w:val="5F6062"/>
          <w:sz w:val="19"/>
        </w:rPr>
        <w:t xml:space="preserve">effective date. </w:t>
      </w:r>
    </w:p>
    <w:p w:rsidR="0006297A" w:rsidRPr="0066196E" w:rsidRDefault="0006297A" w:rsidP="0006297A">
      <w:pPr>
        <w:spacing w:after="100" w:line="260" w:lineRule="atLeast"/>
        <w:rPr>
          <w:rFonts w:ascii="Arial" w:hAnsi="Arial"/>
          <w:color w:val="5F6062"/>
          <w:sz w:val="19"/>
        </w:rPr>
      </w:pPr>
      <w:r w:rsidRPr="0066196E">
        <w:rPr>
          <w:rFonts w:ascii="Arial" w:hAnsi="Arial"/>
          <w:color w:val="5F6062"/>
          <w:sz w:val="19"/>
        </w:rPr>
        <w:t>Depending upon the time an action is determined to be final, Russell either (1) applies the action before the open on the ex-date or (2) applies the action providing appropriate notice</w:t>
      </w:r>
      <w:r w:rsidRPr="00960E24">
        <w:rPr>
          <w:rFonts w:ascii="Arial" w:hAnsi="Arial"/>
          <w:color w:val="5F6062"/>
          <w:sz w:val="19"/>
          <w:vertAlign w:val="superscript"/>
        </w:rPr>
        <w:footnoteReference w:id="26"/>
      </w:r>
      <w:r w:rsidRPr="0066196E">
        <w:rPr>
          <w:rFonts w:ascii="Arial" w:hAnsi="Arial"/>
          <w:color w:val="5F6062"/>
          <w:sz w:val="19"/>
        </w:rPr>
        <w:t>, referred to as a “delayed action” (see specific action types for details on timing and procedure). The timing of when corporate actions are applied is critical for accurate market representation, and it impacts tracking for passive managers. Russell believes this methodology strikes the best balance between the two. The impact of the action and the effective date will be communicated to clients on a regular schedule</w:t>
      </w:r>
      <w:r w:rsidRPr="005A3E72">
        <w:rPr>
          <w:rFonts w:ascii="Arial" w:hAnsi="Arial"/>
          <w:color w:val="5F6062"/>
          <w:sz w:val="19"/>
        </w:rPr>
        <w:t>, via the daily cumulative change files and the global calendar.</w:t>
      </w:r>
      <w:r>
        <w:rPr>
          <w:rFonts w:ascii="Arial" w:hAnsi="Arial"/>
          <w:color w:val="5F6062"/>
          <w:sz w:val="19"/>
        </w:rPr>
        <w:t xml:space="preserve"> </w:t>
      </w:r>
    </w:p>
    <w:p w:rsidR="0006297A" w:rsidRDefault="0006297A" w:rsidP="0006297A">
      <w:pPr>
        <w:spacing w:after="100" w:line="260" w:lineRule="atLeast"/>
      </w:pPr>
      <w:r>
        <w:rPr>
          <w:rFonts w:ascii="Arial" w:hAnsi="Arial"/>
          <w:color w:val="5F6062"/>
          <w:sz w:val="19"/>
        </w:rPr>
        <w:t>For the purposes of index calculation, Russell generally applies the most recently available market prices to the index for corporate action adjustments.</w:t>
      </w:r>
    </w:p>
    <w:p w:rsidR="0006297A" w:rsidRDefault="0006297A" w:rsidP="0006297A">
      <w:pPr>
        <w:spacing w:after="100" w:line="260" w:lineRule="atLeast"/>
        <w:rPr>
          <w:color w:val="5F5F61"/>
        </w:rPr>
      </w:pPr>
      <w:r>
        <w:rPr>
          <w:rFonts w:ascii="Arial" w:hAnsi="Arial"/>
          <w:color w:val="5F6062"/>
          <w:sz w:val="19"/>
        </w:rPr>
        <w:t xml:space="preserve">There are many types of global corporate actions, but the most common are described below, along with their treatment within the Russell </w:t>
      </w:r>
      <w:r w:rsidRPr="005A3E72">
        <w:rPr>
          <w:rFonts w:ascii="Arial" w:hAnsi="Arial"/>
          <w:color w:val="5F6062"/>
          <w:sz w:val="19"/>
        </w:rPr>
        <w:t xml:space="preserve">Global </w:t>
      </w:r>
      <w:r>
        <w:rPr>
          <w:rFonts w:ascii="Arial" w:hAnsi="Arial"/>
          <w:color w:val="5F6062"/>
          <w:sz w:val="19"/>
        </w:rPr>
        <w:t>Index series</w:t>
      </w:r>
      <w:r>
        <w:rPr>
          <w:rFonts w:ascii="Arial" w:hAnsi="Arial" w:cs="Arial"/>
          <w:color w:val="5F5F61"/>
          <w:sz w:val="19"/>
          <w:szCs w:val="19"/>
        </w:rPr>
        <w:t>.</w:t>
      </w:r>
    </w:p>
    <w:p w:rsidR="0006297A" w:rsidRPr="00D32180" w:rsidRDefault="0006297A" w:rsidP="0006297A">
      <w:pPr>
        <w:pStyle w:val="Heading2"/>
      </w:pPr>
      <w:bookmarkStart w:id="196" w:name="_Toc217446195"/>
      <w:bookmarkStart w:id="197" w:name="_Toc220919423"/>
      <w:bookmarkStart w:id="198" w:name="_Toc303342535"/>
      <w:bookmarkStart w:id="199" w:name="_Toc343682677"/>
      <w:r w:rsidRPr="00D32180">
        <w:t>Mergers and acquisitions</w:t>
      </w:r>
      <w:bookmarkEnd w:id="196"/>
      <w:bookmarkEnd w:id="197"/>
      <w:bookmarkEnd w:id="198"/>
      <w:bookmarkEnd w:id="199"/>
      <w:r w:rsidRPr="00D32180">
        <w:t xml:space="preserve"> </w:t>
      </w:r>
    </w:p>
    <w:p w:rsidR="0006297A" w:rsidRDefault="0006297A" w:rsidP="0006297A">
      <w:pPr>
        <w:spacing w:after="100" w:line="260" w:lineRule="atLeast"/>
        <w:rPr>
          <w:color w:val="5F5F61"/>
        </w:rPr>
      </w:pPr>
      <w:r w:rsidRPr="0044163D">
        <w:rPr>
          <w:rFonts w:ascii="Arial" w:hAnsi="Arial"/>
          <w:color w:val="5F5F61"/>
          <w:sz w:val="19"/>
        </w:rPr>
        <w:t>A merger is the combination of two companies to form a new company. An acquisition involves an acquiring company purchasing a target company without forming a new company. Mergers and acquisitions (M&amp;A) activity may result in changes to index membership as well as to the shares included in the Russell Global Index</w:t>
      </w:r>
      <w:r>
        <w:rPr>
          <w:rFonts w:ascii="Arial" w:hAnsi="Arial" w:cs="Arial"/>
          <w:color w:val="5F5F61"/>
          <w:sz w:val="19"/>
          <w:szCs w:val="19"/>
        </w:rPr>
        <w:t xml:space="preserve"> and a company’s style probabilities. </w:t>
      </w:r>
      <w:r w:rsidRPr="0044163D">
        <w:rPr>
          <w:rFonts w:ascii="Arial" w:hAnsi="Arial"/>
          <w:color w:val="5F5F61"/>
          <w:sz w:val="19"/>
        </w:rPr>
        <w:t>Adjustments due to mergers and acquisitions are applied to the index after the action is determined to be final</w:t>
      </w:r>
      <w:r>
        <w:rPr>
          <w:rFonts w:ascii="Arial" w:hAnsi="Arial" w:cs="Arial"/>
          <w:color w:val="5F5F61"/>
          <w:sz w:val="19"/>
          <w:szCs w:val="19"/>
        </w:rPr>
        <w:t>, with provision of appropriate notice. This principle applies to all securities in all countries</w:t>
      </w:r>
      <w:r w:rsidRPr="0044163D">
        <w:rPr>
          <w:rFonts w:ascii="Arial" w:hAnsi="Arial"/>
          <w:color w:val="5F5F61"/>
          <w:sz w:val="19"/>
        </w:rPr>
        <w:t>.</w:t>
      </w:r>
    </w:p>
    <w:p w:rsidR="0006297A" w:rsidRDefault="0006297A" w:rsidP="0006297A">
      <w:pPr>
        <w:spacing w:after="100" w:line="260" w:lineRule="atLeast"/>
        <w:rPr>
          <w:color w:val="5F5F61"/>
        </w:rPr>
      </w:pPr>
      <w:r>
        <w:rPr>
          <w:rFonts w:ascii="Arial" w:hAnsi="Arial" w:cs="Arial"/>
          <w:b/>
          <w:bCs/>
          <w:color w:val="5F5F61"/>
          <w:sz w:val="19"/>
          <w:szCs w:val="19"/>
        </w:rPr>
        <w:t xml:space="preserve">M&amp;A between index members: </w:t>
      </w:r>
      <w:r w:rsidRPr="0044163D">
        <w:rPr>
          <w:rFonts w:ascii="Arial" w:hAnsi="Arial"/>
          <w:color w:val="5F5F61"/>
          <w:sz w:val="19"/>
        </w:rPr>
        <w:t xml:space="preserve">If both the acquiring company and the target company are current Russell Global Index members, the target company is deleted from the index and the company’s market capitalization simultaneously moves to the acquiring stock, according to the M&amp;A terms. Cross-ownership and style of the surviving entity is determined by a weighted average (by market value) of the cross-ownership and style probabilities of the two </w:t>
      </w:r>
      <w:r>
        <w:rPr>
          <w:rFonts w:ascii="Arial" w:hAnsi="Arial" w:cs="Arial"/>
          <w:color w:val="5F5F61"/>
          <w:sz w:val="19"/>
          <w:szCs w:val="19"/>
        </w:rPr>
        <w:t xml:space="preserve">(or more) </w:t>
      </w:r>
      <w:r w:rsidRPr="0044163D">
        <w:rPr>
          <w:rFonts w:ascii="Arial" w:hAnsi="Arial"/>
          <w:color w:val="5F5F61"/>
          <w:sz w:val="19"/>
        </w:rPr>
        <w:t xml:space="preserve">previous companies prior to the merger. Given sufficient market hours after </w:t>
      </w:r>
      <w:r w:rsidRPr="0044163D">
        <w:rPr>
          <w:rFonts w:ascii="Arial" w:hAnsi="Arial"/>
          <w:color w:val="5F5F61"/>
          <w:sz w:val="19"/>
        </w:rPr>
        <w:lastRenderedPageBreak/>
        <w:t xml:space="preserve">the confirmation of the M&amp;A, Russell </w:t>
      </w:r>
      <w:r>
        <w:rPr>
          <w:rFonts w:ascii="Arial" w:hAnsi="Arial" w:cs="Arial"/>
          <w:color w:val="5F5F61"/>
          <w:sz w:val="19"/>
          <w:szCs w:val="19"/>
        </w:rPr>
        <w:t>effects</w:t>
      </w:r>
      <w:r w:rsidRPr="0044163D">
        <w:rPr>
          <w:rFonts w:ascii="Arial" w:hAnsi="Arial"/>
          <w:color w:val="5F5F61"/>
          <w:sz w:val="19"/>
        </w:rPr>
        <w:t xml:space="preserve"> the action after the close </w:t>
      </w:r>
      <w:r>
        <w:rPr>
          <w:rFonts w:ascii="Arial" w:hAnsi="Arial" w:cs="Arial"/>
          <w:color w:val="5F5F61"/>
          <w:sz w:val="19"/>
          <w:szCs w:val="19"/>
        </w:rPr>
        <w:t>on</w:t>
      </w:r>
      <w:r w:rsidRPr="0044163D">
        <w:rPr>
          <w:rFonts w:ascii="Arial" w:hAnsi="Arial"/>
          <w:color w:val="5F5F61"/>
          <w:sz w:val="19"/>
        </w:rPr>
        <w:t xml:space="preserve"> the </w:t>
      </w:r>
      <w:r>
        <w:rPr>
          <w:rFonts w:ascii="Arial" w:hAnsi="Arial" w:cs="Arial"/>
          <w:color w:val="5F5F61"/>
          <w:sz w:val="19"/>
          <w:szCs w:val="19"/>
        </w:rPr>
        <w:t>last</w:t>
      </w:r>
      <w:r w:rsidRPr="0044163D">
        <w:rPr>
          <w:rFonts w:ascii="Arial" w:hAnsi="Arial"/>
          <w:color w:val="5F5F61"/>
          <w:sz w:val="19"/>
        </w:rPr>
        <w:t xml:space="preserve"> day</w:t>
      </w:r>
      <w:r>
        <w:rPr>
          <w:rFonts w:ascii="Arial" w:hAnsi="Arial" w:cs="Arial"/>
          <w:color w:val="5F5F61"/>
          <w:sz w:val="19"/>
          <w:szCs w:val="19"/>
        </w:rPr>
        <w:t xml:space="preserve"> of trade of the target company. </w:t>
      </w:r>
      <w:r w:rsidRPr="0044163D">
        <w:rPr>
          <w:rFonts w:ascii="Arial" w:hAnsi="Arial"/>
          <w:color w:val="5F5F61"/>
          <w:sz w:val="19"/>
        </w:rPr>
        <w:t xml:space="preserve">In </w:t>
      </w:r>
      <w:r>
        <w:rPr>
          <w:rFonts w:ascii="Arial" w:hAnsi="Arial" w:cs="Arial"/>
          <w:color w:val="5F5F61"/>
          <w:sz w:val="19"/>
          <w:szCs w:val="19"/>
        </w:rPr>
        <w:t>the event</w:t>
      </w:r>
      <w:r w:rsidRPr="0044163D">
        <w:rPr>
          <w:rFonts w:ascii="Arial" w:hAnsi="Arial"/>
          <w:color w:val="5F5F61"/>
          <w:sz w:val="19"/>
        </w:rPr>
        <w:t xml:space="preserve"> of </w:t>
      </w:r>
      <w:r>
        <w:rPr>
          <w:rFonts w:ascii="Arial" w:hAnsi="Arial" w:cs="Arial"/>
          <w:color w:val="5F5F61"/>
          <w:sz w:val="19"/>
          <w:szCs w:val="19"/>
        </w:rPr>
        <w:t xml:space="preserve">a </w:t>
      </w:r>
      <w:r w:rsidRPr="0044163D">
        <w:rPr>
          <w:rFonts w:ascii="Arial" w:hAnsi="Arial"/>
          <w:color w:val="5F5F61"/>
          <w:sz w:val="19"/>
        </w:rPr>
        <w:t xml:space="preserve">late notification, the action will be </w:t>
      </w:r>
      <w:r>
        <w:rPr>
          <w:rFonts w:ascii="Arial" w:hAnsi="Arial" w:cs="Arial"/>
          <w:color w:val="5F5F61"/>
          <w:sz w:val="19"/>
          <w:szCs w:val="19"/>
        </w:rPr>
        <w:t>effected with provision of two full days’ notice.</w:t>
      </w:r>
    </w:p>
    <w:p w:rsidR="0006297A" w:rsidRDefault="0006297A" w:rsidP="0006297A">
      <w:pPr>
        <w:spacing w:after="100" w:line="260" w:lineRule="atLeast"/>
        <w:rPr>
          <w:color w:val="5F5F61"/>
        </w:rPr>
      </w:pPr>
      <w:r w:rsidRPr="0044163D">
        <w:rPr>
          <w:rFonts w:ascii="Arial" w:hAnsi="Arial"/>
          <w:color w:val="5F5F61"/>
          <w:sz w:val="19"/>
        </w:rPr>
        <w:t>Any member of the Russell 3000E index is considered an index member for the purpose</w:t>
      </w:r>
      <w:r>
        <w:rPr>
          <w:rFonts w:ascii="Arial" w:hAnsi="Arial"/>
          <w:color w:val="5F5F61"/>
          <w:sz w:val="19"/>
        </w:rPr>
        <w:t>s</w:t>
      </w:r>
      <w:r w:rsidRPr="0044163D">
        <w:rPr>
          <w:rFonts w:ascii="Arial" w:hAnsi="Arial"/>
          <w:color w:val="5F5F61"/>
          <w:sz w:val="19"/>
        </w:rPr>
        <w:t xml:space="preserve"> of applying this methodology.</w:t>
      </w:r>
    </w:p>
    <w:p w:rsidR="0006297A" w:rsidRDefault="0006297A" w:rsidP="0006297A">
      <w:pPr>
        <w:spacing w:after="100" w:line="260" w:lineRule="atLeast"/>
        <w:rPr>
          <w:color w:val="5F5F61"/>
        </w:rPr>
      </w:pPr>
      <w:r w:rsidRPr="0044163D">
        <w:rPr>
          <w:b/>
          <w:color w:val="5F5F61"/>
        </w:rPr>
        <w:t>M&amp;A between an index member and a non-</w:t>
      </w:r>
      <w:r>
        <w:rPr>
          <w:b/>
          <w:color w:val="5F5F61"/>
        </w:rPr>
        <w:t xml:space="preserve">index </w:t>
      </w:r>
      <w:r w:rsidRPr="0044163D">
        <w:rPr>
          <w:b/>
          <w:color w:val="5F5F61"/>
        </w:rPr>
        <w:t xml:space="preserve">member: </w:t>
      </w:r>
      <w:r w:rsidRPr="0044163D">
        <w:rPr>
          <w:color w:val="5F5F61"/>
        </w:rPr>
        <w:t>A non-</w:t>
      </w:r>
      <w:r>
        <w:rPr>
          <w:color w:val="5F5F61"/>
        </w:rPr>
        <w:t xml:space="preserve">index </w:t>
      </w:r>
      <w:r w:rsidRPr="0044163D">
        <w:rPr>
          <w:color w:val="5F5F61"/>
        </w:rPr>
        <w:t>member is defined as a company that is not a member of the Russell 3000E or the Russell Global Index. The M&amp;A between an index member and a non-member can involve either of two scenarios: 1) the acquiring company is an existing member and the target company is not, or 2) the target company is an existing member and the acquiring company is not</w:t>
      </w:r>
      <w:r>
        <w:rPr>
          <w:rFonts w:ascii="Arial" w:hAnsi="Arial" w:cs="Arial"/>
          <w:color w:val="5F5F61"/>
          <w:sz w:val="19"/>
          <w:szCs w:val="19"/>
        </w:rPr>
        <w:t>. If the</w:t>
      </w:r>
      <w:r w:rsidRPr="0044163D">
        <w:rPr>
          <w:rFonts w:ascii="Arial" w:hAnsi="Arial"/>
          <w:color w:val="5F5F61"/>
          <w:sz w:val="19"/>
        </w:rPr>
        <w:t xml:space="preserve"> target company is the index member</w:t>
      </w:r>
      <w:r>
        <w:rPr>
          <w:rFonts w:ascii="Arial" w:hAnsi="Arial" w:cs="Arial"/>
          <w:color w:val="5F5F61"/>
          <w:sz w:val="19"/>
          <w:szCs w:val="19"/>
        </w:rPr>
        <w:t>, it</w:t>
      </w:r>
      <w:r w:rsidRPr="0044163D">
        <w:rPr>
          <w:rFonts w:ascii="Arial" w:hAnsi="Arial"/>
          <w:color w:val="5F5F61"/>
          <w:sz w:val="19"/>
        </w:rPr>
        <w:t xml:space="preserve"> is deleted from the index after the action is </w:t>
      </w:r>
      <w:r>
        <w:rPr>
          <w:rFonts w:ascii="Arial" w:hAnsi="Arial" w:cs="Arial"/>
          <w:color w:val="5F5F61"/>
          <w:sz w:val="19"/>
          <w:szCs w:val="19"/>
        </w:rPr>
        <w:t xml:space="preserve">determined as </w:t>
      </w:r>
      <w:r w:rsidRPr="0044163D">
        <w:rPr>
          <w:rFonts w:ascii="Arial" w:hAnsi="Arial"/>
          <w:color w:val="5F5F61"/>
          <w:sz w:val="19"/>
        </w:rPr>
        <w:t>final</w:t>
      </w:r>
      <w:r>
        <w:rPr>
          <w:rFonts w:ascii="Arial" w:hAnsi="Arial" w:cs="Arial"/>
          <w:color w:val="5F5F61"/>
          <w:sz w:val="19"/>
          <w:szCs w:val="19"/>
        </w:rPr>
        <w:t>. Cumulative market capitalization in the country of the target company decreases. If</w:t>
      </w:r>
      <w:r w:rsidRPr="0044163D">
        <w:rPr>
          <w:rFonts w:ascii="Arial" w:hAnsi="Arial"/>
          <w:color w:val="5F5F61"/>
          <w:sz w:val="19"/>
        </w:rPr>
        <w:t xml:space="preserve"> the acquiring company is the index member</w:t>
      </w:r>
      <w:r>
        <w:rPr>
          <w:rFonts w:ascii="Arial" w:hAnsi="Arial" w:cs="Arial"/>
          <w:color w:val="5F5F61"/>
          <w:sz w:val="19"/>
          <w:szCs w:val="19"/>
        </w:rPr>
        <w:t>, its shares</w:t>
      </w:r>
      <w:r w:rsidRPr="0044163D">
        <w:rPr>
          <w:rFonts w:ascii="Arial" w:hAnsi="Arial"/>
          <w:color w:val="5F5F61"/>
          <w:sz w:val="19"/>
        </w:rPr>
        <w:t xml:space="preserve"> are adjusted by adding the target company’s market capitalization through a month-end share adjustment</w:t>
      </w:r>
      <w:r>
        <w:rPr>
          <w:rFonts w:ascii="Arial" w:hAnsi="Arial" w:cs="Arial"/>
          <w:color w:val="5F5F61"/>
          <w:sz w:val="19"/>
          <w:szCs w:val="19"/>
        </w:rPr>
        <w:t xml:space="preserve"> (if the increase in shares is greater than 5%). </w:t>
      </w:r>
    </w:p>
    <w:p w:rsidR="0006297A" w:rsidRDefault="0006297A" w:rsidP="0006297A">
      <w:pPr>
        <w:spacing w:after="100" w:line="260" w:lineRule="atLeast"/>
        <w:rPr>
          <w:color w:val="5F5F61"/>
        </w:rPr>
      </w:pPr>
      <w:r w:rsidRPr="0044163D">
        <w:rPr>
          <w:b/>
          <w:color w:val="5F5F61"/>
        </w:rPr>
        <w:t xml:space="preserve">Cross-border M&amp;A: </w:t>
      </w:r>
      <w:r w:rsidRPr="0044163D">
        <w:rPr>
          <w:color w:val="5F5F61"/>
        </w:rPr>
        <w:t xml:space="preserve">In the event of a merger or acquisition in which the acquiring company and the target company are in different countries, Russell applies the action when the M&amp;A is </w:t>
      </w:r>
      <w:r>
        <w:rPr>
          <w:rFonts w:ascii="Arial" w:hAnsi="Arial" w:cs="Arial"/>
          <w:color w:val="5F5F61"/>
          <w:sz w:val="19"/>
          <w:szCs w:val="19"/>
        </w:rPr>
        <w:t>determined as final. The</w:t>
      </w:r>
      <w:r w:rsidRPr="0044163D">
        <w:rPr>
          <w:rFonts w:ascii="Arial" w:hAnsi="Arial"/>
          <w:color w:val="5F5F61"/>
          <w:sz w:val="19"/>
        </w:rPr>
        <w:t xml:space="preserve"> target company is deleted from its local country index and the company’s market capitalization moves to the acquiring stock according to the M&amp;A terms. Cumulative market capitalization in the country of the acquiring company increases, while the cumulative market capitalization in the country of the target company decreases by the same amount.</w:t>
      </w:r>
      <w:r>
        <w:rPr>
          <w:rFonts w:ascii="Arial" w:hAnsi="Arial" w:cs="Arial"/>
          <w:color w:val="5F5F61"/>
          <w:sz w:val="19"/>
          <w:szCs w:val="19"/>
        </w:rPr>
        <w:t xml:space="preserve"> In the event of a late notification, the action will be effected providing two full days’ notice. </w:t>
      </w:r>
    </w:p>
    <w:p w:rsidR="0006297A" w:rsidRPr="002018CA" w:rsidRDefault="0006297A" w:rsidP="0006297A">
      <w:pPr>
        <w:spacing w:after="100" w:line="260" w:lineRule="atLeast"/>
        <w:rPr>
          <w:rFonts w:ascii="Arial" w:hAnsi="Arial" w:cs="Arial"/>
          <w:color w:val="5F5F61"/>
          <w:sz w:val="19"/>
          <w:szCs w:val="19"/>
          <w:bdr w:val="none" w:sz="0" w:space="0" w:color="auto" w:frame="1"/>
        </w:rPr>
      </w:pPr>
      <w:r>
        <w:rPr>
          <w:rFonts w:ascii="Arial" w:hAnsi="Arial" w:cs="Arial"/>
          <w:color w:val="5F5F61"/>
          <w:sz w:val="19"/>
          <w:szCs w:val="19"/>
          <w:bdr w:val="none" w:sz="0" w:space="0" w:color="auto" w:frame="1"/>
        </w:rPr>
        <w:t>Note: Microcap and frontier index members are not currently assigned a stability score. When a global index member is merging with a microcap or frontier index member the shares will be updated according to the terms of the merger, but the stability probability will not change.</w:t>
      </w:r>
    </w:p>
    <w:p w:rsidR="0006297A" w:rsidRPr="00D32180" w:rsidRDefault="0006297A" w:rsidP="0006297A">
      <w:pPr>
        <w:pStyle w:val="Heading2"/>
      </w:pPr>
      <w:bookmarkStart w:id="200" w:name="_Toc217446196"/>
      <w:bookmarkStart w:id="201" w:name="_Toc220919424"/>
      <w:bookmarkStart w:id="202" w:name="_Toc303342536"/>
      <w:bookmarkStart w:id="203" w:name="_Toc343682678"/>
      <w:r w:rsidRPr="00D32180">
        <w:t>Tender offers</w:t>
      </w:r>
      <w:bookmarkEnd w:id="200"/>
      <w:bookmarkEnd w:id="201"/>
      <w:bookmarkEnd w:id="202"/>
      <w:bookmarkEnd w:id="203"/>
      <w:r w:rsidRPr="00D32180">
        <w:t xml:space="preserve"> </w:t>
      </w:r>
    </w:p>
    <w:p w:rsidR="0006297A" w:rsidRDefault="0006297A" w:rsidP="0006297A">
      <w:pPr>
        <w:spacing w:after="100" w:line="260" w:lineRule="atLeast"/>
        <w:rPr>
          <w:color w:val="5F5F61"/>
        </w:rPr>
      </w:pPr>
      <w:bookmarkStart w:id="204" w:name="_Toc217446197"/>
      <w:bookmarkStart w:id="205" w:name="_Toc220919425"/>
      <w:r w:rsidRPr="0044163D">
        <w:rPr>
          <w:rFonts w:ascii="Arial" w:hAnsi="Arial"/>
          <w:color w:val="5F5F61"/>
          <w:sz w:val="19"/>
        </w:rPr>
        <w:t>A tender offer is an offer to purchase shareholders' shares in a corporation. The price offered is usually higher than the market price</w:t>
      </w:r>
      <w:r>
        <w:rPr>
          <w:rFonts w:ascii="Arial" w:hAnsi="Arial" w:cs="Arial"/>
          <w:color w:val="5F5F61"/>
          <w:sz w:val="19"/>
          <w:szCs w:val="19"/>
        </w:rPr>
        <w:t>, providing an incentive to shareholders to “tender”.</w:t>
      </w:r>
      <w:r w:rsidRPr="0044163D">
        <w:rPr>
          <w:rFonts w:ascii="Arial" w:hAnsi="Arial"/>
          <w:color w:val="5F5F61"/>
          <w:sz w:val="19"/>
        </w:rPr>
        <w:t xml:space="preserve"> The target company’s shareholders are asked to “tender” or surrender their stock holdings for a stated value, subject to agreement </w:t>
      </w:r>
      <w:r>
        <w:rPr>
          <w:rFonts w:ascii="Arial" w:hAnsi="Arial"/>
          <w:color w:val="5F5F61"/>
          <w:sz w:val="19"/>
        </w:rPr>
        <w:t>by</w:t>
      </w:r>
      <w:r w:rsidRPr="0044163D">
        <w:rPr>
          <w:rFonts w:ascii="Arial" w:hAnsi="Arial"/>
          <w:color w:val="5F5F61"/>
          <w:sz w:val="19"/>
        </w:rPr>
        <w:t xml:space="preserve"> a minimum and/or maximum number of shareholders. For instance, if a corporation's stock were trading at $1 per share, an acquirer might offer the shareholders $1.15 per share on the condition that 51% of the shareholders agree.</w:t>
      </w:r>
    </w:p>
    <w:p w:rsidR="0006297A" w:rsidRDefault="0006297A" w:rsidP="0006297A">
      <w:pPr>
        <w:spacing w:after="100" w:line="260" w:lineRule="atLeast"/>
        <w:rPr>
          <w:color w:val="5F5F61"/>
        </w:rPr>
      </w:pPr>
      <w:r w:rsidRPr="0044163D">
        <w:rPr>
          <w:rFonts w:ascii="Arial" w:hAnsi="Arial"/>
          <w:color w:val="5F5F61"/>
          <w:sz w:val="19"/>
        </w:rPr>
        <w:t>In the case of a tender offer, the target company will be removed from the index when:</w:t>
      </w:r>
    </w:p>
    <w:p w:rsidR="0006297A" w:rsidRDefault="0006297A" w:rsidP="00676CED">
      <w:pPr>
        <w:numPr>
          <w:ilvl w:val="0"/>
          <w:numId w:val="33"/>
        </w:numPr>
        <w:autoSpaceDE w:val="0"/>
        <w:autoSpaceDN w:val="0"/>
        <w:adjustRightInd w:val="0"/>
        <w:spacing w:after="100" w:line="260" w:lineRule="atLeast"/>
        <w:rPr>
          <w:color w:val="5F5F61"/>
        </w:rPr>
      </w:pPr>
      <w:r w:rsidRPr="0044163D">
        <w:rPr>
          <w:rFonts w:ascii="Arial" w:hAnsi="Arial"/>
          <w:color w:val="5F5F61"/>
          <w:sz w:val="19"/>
        </w:rPr>
        <w:t>The offer period completes (initial, extension or subsequent); and</w:t>
      </w:r>
    </w:p>
    <w:p w:rsidR="0006297A" w:rsidRDefault="0006297A" w:rsidP="00676CED">
      <w:pPr>
        <w:numPr>
          <w:ilvl w:val="0"/>
          <w:numId w:val="33"/>
        </w:numPr>
        <w:autoSpaceDE w:val="0"/>
        <w:autoSpaceDN w:val="0"/>
        <w:adjustRightInd w:val="0"/>
        <w:spacing w:after="100" w:line="260" w:lineRule="atLeast"/>
        <w:rPr>
          <w:color w:val="5F5F61"/>
        </w:rPr>
      </w:pPr>
      <w:r w:rsidRPr="0044163D">
        <w:rPr>
          <w:rFonts w:ascii="Arial" w:hAnsi="Arial"/>
          <w:color w:val="5F5F61"/>
          <w:sz w:val="19"/>
        </w:rPr>
        <w:t>Shareholders have validly tendered, not withdrawn, and the shares have been accepted for payment; and</w:t>
      </w:r>
    </w:p>
    <w:p w:rsidR="0006297A" w:rsidRDefault="0006297A" w:rsidP="00676CED">
      <w:pPr>
        <w:numPr>
          <w:ilvl w:val="0"/>
          <w:numId w:val="33"/>
        </w:numPr>
        <w:autoSpaceDE w:val="0"/>
        <w:autoSpaceDN w:val="0"/>
        <w:adjustRightInd w:val="0"/>
        <w:spacing w:after="100" w:line="260" w:lineRule="atLeast"/>
        <w:rPr>
          <w:color w:val="5F5F61"/>
        </w:rPr>
      </w:pPr>
      <w:r w:rsidRPr="0044163D">
        <w:rPr>
          <w:rFonts w:ascii="Arial" w:hAnsi="Arial"/>
          <w:color w:val="5F5F61"/>
          <w:sz w:val="19"/>
        </w:rPr>
        <w:t>All regulatory requirements have been fulfilled; and</w:t>
      </w:r>
    </w:p>
    <w:p w:rsidR="0006297A" w:rsidRDefault="0006297A" w:rsidP="00676CED">
      <w:pPr>
        <w:numPr>
          <w:ilvl w:val="0"/>
          <w:numId w:val="33"/>
        </w:numPr>
        <w:autoSpaceDE w:val="0"/>
        <w:autoSpaceDN w:val="0"/>
        <w:adjustRightInd w:val="0"/>
        <w:spacing w:after="100" w:line="260" w:lineRule="atLeast"/>
        <w:rPr>
          <w:color w:val="5F5F61"/>
        </w:rPr>
      </w:pPr>
      <w:r w:rsidRPr="0044163D">
        <w:rPr>
          <w:rFonts w:ascii="Arial" w:hAnsi="Arial"/>
          <w:color w:val="5F5F61"/>
          <w:sz w:val="19"/>
        </w:rPr>
        <w:t>The acquiring company is able to finalize the acquisition via short-form merger, top-up option or other compulsory mechanism</w:t>
      </w:r>
      <w:r w:rsidRPr="002018CA">
        <w:rPr>
          <w:rFonts w:ascii="Arial" w:hAnsi="Arial" w:cs="Arial"/>
          <w:color w:val="5F5F61"/>
          <w:sz w:val="19"/>
          <w:szCs w:val="19"/>
        </w:rPr>
        <w:t>.</w:t>
      </w:r>
    </w:p>
    <w:p w:rsidR="0006297A" w:rsidRDefault="0006297A" w:rsidP="0006297A">
      <w:pPr>
        <w:autoSpaceDE w:val="0"/>
        <w:autoSpaceDN w:val="0"/>
        <w:adjustRightInd w:val="0"/>
        <w:spacing w:after="100" w:line="260" w:lineRule="atLeast"/>
        <w:rPr>
          <w:rFonts w:ascii="Arial" w:hAnsi="Arial" w:cs="Arial"/>
          <w:color w:val="5F5F61"/>
          <w:sz w:val="19"/>
          <w:szCs w:val="19"/>
        </w:rPr>
      </w:pPr>
    </w:p>
    <w:p w:rsidR="0006297A" w:rsidRDefault="0006297A" w:rsidP="0006297A">
      <w:pPr>
        <w:spacing w:after="100" w:line="260" w:lineRule="atLeast"/>
        <w:rPr>
          <w:color w:val="5F5F61"/>
        </w:rPr>
      </w:pPr>
      <w:r w:rsidRPr="0044163D">
        <w:rPr>
          <w:rFonts w:ascii="Arial" w:hAnsi="Arial"/>
          <w:color w:val="5F5F61"/>
          <w:sz w:val="19"/>
        </w:rPr>
        <w:t xml:space="preserve">If the requirements have been fulfilled, with the exception being </w:t>
      </w:r>
      <w:r>
        <w:rPr>
          <w:rFonts w:ascii="Arial" w:hAnsi="Arial"/>
          <w:color w:val="5F5F61"/>
          <w:sz w:val="19"/>
        </w:rPr>
        <w:t xml:space="preserve">that </w:t>
      </w:r>
      <w:r w:rsidRPr="0044163D">
        <w:rPr>
          <w:rFonts w:ascii="Arial" w:hAnsi="Arial"/>
          <w:color w:val="5F5F61"/>
          <w:sz w:val="19"/>
        </w:rPr>
        <w:t>the acquirer is unable to finalize the acquisition through a compulsory mechanism, an adjustment will be applied to the target company’s float-</w:t>
      </w:r>
      <w:r w:rsidRPr="0044163D">
        <w:rPr>
          <w:rFonts w:ascii="Arial" w:hAnsi="Arial"/>
          <w:color w:val="5F5F61"/>
          <w:sz w:val="19"/>
        </w:rPr>
        <w:lastRenderedPageBreak/>
        <w:t>adjusted shares if they have decreased by 30% or more</w:t>
      </w:r>
      <w:r>
        <w:rPr>
          <w:rFonts w:ascii="Arial" w:hAnsi="Arial" w:cs="Arial"/>
          <w:color w:val="5F5F61"/>
          <w:sz w:val="19"/>
          <w:szCs w:val="19"/>
        </w:rPr>
        <w:t>, and the tender offer has fully completed and closed.</w:t>
      </w:r>
      <w:r w:rsidRPr="0044163D">
        <w:rPr>
          <w:rFonts w:ascii="Arial" w:hAnsi="Arial"/>
          <w:color w:val="5F5F61"/>
          <w:sz w:val="19"/>
        </w:rPr>
        <w:t xml:space="preserve"> The adjustment will occur on a date pre-announced by Russell.</w:t>
      </w:r>
    </w:p>
    <w:p w:rsidR="0006297A" w:rsidRPr="00D32180" w:rsidRDefault="0006297A" w:rsidP="0006297A">
      <w:pPr>
        <w:pStyle w:val="Heading2"/>
      </w:pPr>
      <w:bookmarkStart w:id="206" w:name="_Toc303342537"/>
      <w:bookmarkStart w:id="207" w:name="_Toc343682679"/>
      <w:r w:rsidRPr="00D32180">
        <w:t>Reverse mergers</w:t>
      </w:r>
      <w:bookmarkEnd w:id="206"/>
      <w:bookmarkEnd w:id="207"/>
      <w:r w:rsidRPr="00D32180">
        <w:t xml:space="preserve"> </w:t>
      </w:r>
    </w:p>
    <w:bookmarkEnd w:id="204"/>
    <w:bookmarkEnd w:id="205"/>
    <w:p w:rsidR="0006297A" w:rsidRDefault="0006297A" w:rsidP="0006297A">
      <w:pPr>
        <w:spacing w:after="100" w:line="260" w:lineRule="atLeast"/>
        <w:rPr>
          <w:color w:val="5F5F61"/>
        </w:rPr>
      </w:pPr>
      <w:r w:rsidRPr="0044163D">
        <w:rPr>
          <w:rFonts w:ascii="Arial" w:hAnsi="Arial"/>
          <w:color w:val="5F5F61"/>
          <w:sz w:val="19"/>
        </w:rPr>
        <w:t>A reverse merger occurs when an existing index member is acquired by or merged with a private, non-publicly traded company that becomes public simultaneously with the acquisition/merger. For example, Archipelago Holdings, Inc., a public company, was acquired by NYSE, a then-private company, in 2006. NYSE’s acquisition of Archipelago resulted in a new public entity, the NYSE Group.</w:t>
      </w:r>
    </w:p>
    <w:p w:rsidR="0006297A" w:rsidRDefault="0006297A" w:rsidP="0006297A">
      <w:pPr>
        <w:spacing w:after="100" w:line="260" w:lineRule="atLeast"/>
        <w:rPr>
          <w:color w:val="5F5F61"/>
        </w:rPr>
      </w:pPr>
      <w:r w:rsidRPr="0044163D">
        <w:rPr>
          <w:rFonts w:ascii="Arial" w:hAnsi="Arial"/>
          <w:color w:val="5F5F61"/>
          <w:sz w:val="19"/>
        </w:rPr>
        <w:t xml:space="preserve">Once </w:t>
      </w:r>
      <w:r>
        <w:rPr>
          <w:rFonts w:ascii="Arial" w:hAnsi="Arial" w:cs="Arial"/>
          <w:color w:val="5F5F61"/>
          <w:sz w:val="19"/>
          <w:szCs w:val="19"/>
        </w:rPr>
        <w:t>an</w:t>
      </w:r>
      <w:r w:rsidRPr="0044163D">
        <w:rPr>
          <w:rFonts w:ascii="Arial" w:hAnsi="Arial"/>
          <w:color w:val="5F5F61"/>
          <w:sz w:val="19"/>
        </w:rPr>
        <w:t xml:space="preserve"> M&amp;A is identified as a reverse merger, the newly formed entity is placed in the appropriate market capitalization and country index </w:t>
      </w:r>
      <w:r>
        <w:rPr>
          <w:rFonts w:ascii="Arial" w:hAnsi="Arial" w:cs="Arial"/>
          <w:color w:val="5F5F61"/>
          <w:sz w:val="19"/>
          <w:szCs w:val="19"/>
        </w:rPr>
        <w:t>at</w:t>
      </w:r>
      <w:r w:rsidRPr="0044163D">
        <w:rPr>
          <w:rFonts w:ascii="Arial" w:hAnsi="Arial"/>
          <w:color w:val="5F5F61"/>
          <w:sz w:val="19"/>
        </w:rPr>
        <w:t xml:space="preserve"> the close of the </w:t>
      </w:r>
      <w:r>
        <w:rPr>
          <w:rFonts w:ascii="Arial" w:hAnsi="Arial" w:cs="Arial"/>
          <w:color w:val="5F5F61"/>
          <w:sz w:val="19"/>
          <w:szCs w:val="19"/>
        </w:rPr>
        <w:t>first day’s trading of the acquiring company,</w:t>
      </w:r>
      <w:r w:rsidRPr="0044163D">
        <w:rPr>
          <w:rFonts w:ascii="Arial" w:hAnsi="Arial"/>
          <w:color w:val="5F5F61"/>
          <w:sz w:val="19"/>
        </w:rPr>
        <w:t xml:space="preserve"> following the completion of the merger.</w:t>
      </w:r>
      <w:r>
        <w:rPr>
          <w:rFonts w:ascii="Arial" w:hAnsi="Arial" w:cs="Arial"/>
          <w:color w:val="5F5F61"/>
          <w:sz w:val="19"/>
          <w:szCs w:val="19"/>
        </w:rPr>
        <w:t xml:space="preserve"> </w:t>
      </w:r>
      <w:r w:rsidRPr="0044163D">
        <w:rPr>
          <w:rFonts w:ascii="Arial" w:hAnsi="Arial"/>
          <w:color w:val="5F5F61"/>
          <w:sz w:val="19"/>
        </w:rPr>
        <w:t>Simultaneously, the target company is removed from the index. The delay is necessary in order to capture an opening price for the new entity. The growth/value style of the surviving entity is determined by the industry average. For defensive/dynamic, the surviving entity takes on the existing member</w:t>
      </w:r>
      <w:r>
        <w:rPr>
          <w:rFonts w:ascii="Arial" w:hAnsi="Arial"/>
          <w:color w:val="5F5F61"/>
          <w:sz w:val="19"/>
        </w:rPr>
        <w:t>’</w:t>
      </w:r>
      <w:r w:rsidRPr="0044163D">
        <w:rPr>
          <w:rFonts w:ascii="Arial" w:hAnsi="Arial"/>
          <w:color w:val="5F5F61"/>
          <w:sz w:val="19"/>
        </w:rPr>
        <w:t>s characteristic.</w:t>
      </w:r>
    </w:p>
    <w:p w:rsidR="0006297A" w:rsidRPr="00D32180" w:rsidRDefault="0006297A" w:rsidP="0006297A">
      <w:pPr>
        <w:pStyle w:val="Heading2"/>
      </w:pPr>
      <w:bookmarkStart w:id="208" w:name="_Toc217446198"/>
      <w:bookmarkStart w:id="209" w:name="_Toc220919426"/>
      <w:bookmarkStart w:id="210" w:name="_Toc303342538"/>
      <w:bookmarkStart w:id="211" w:name="_Toc343682680"/>
      <w:r w:rsidRPr="00D32180">
        <w:t>Spin-offs</w:t>
      </w:r>
      <w:bookmarkEnd w:id="208"/>
      <w:bookmarkEnd w:id="209"/>
      <w:bookmarkEnd w:id="210"/>
      <w:bookmarkEnd w:id="211"/>
    </w:p>
    <w:p w:rsidR="0006297A" w:rsidRDefault="0006297A" w:rsidP="0006297A">
      <w:pPr>
        <w:spacing w:after="100" w:line="260" w:lineRule="atLeast"/>
        <w:rPr>
          <w:color w:val="5F5F61"/>
        </w:rPr>
      </w:pPr>
      <w:r w:rsidRPr="0044163D">
        <w:rPr>
          <w:rFonts w:ascii="Arial" w:hAnsi="Arial"/>
          <w:color w:val="5F5F61"/>
          <w:sz w:val="19"/>
        </w:rPr>
        <w:t>A spin-off is a new entity resulting from the spinning</w:t>
      </w:r>
      <w:r>
        <w:rPr>
          <w:rFonts w:ascii="Arial" w:hAnsi="Arial" w:cs="Arial"/>
          <w:color w:val="5F5F61"/>
          <w:sz w:val="19"/>
          <w:szCs w:val="19"/>
        </w:rPr>
        <w:t xml:space="preserve"> </w:t>
      </w:r>
      <w:r w:rsidRPr="0044163D">
        <w:rPr>
          <w:rFonts w:ascii="Arial" w:hAnsi="Arial"/>
          <w:color w:val="5F5F61"/>
          <w:sz w:val="19"/>
        </w:rPr>
        <w:t xml:space="preserve">off of assets and equity from a parent company. In a pure spin-off, a parent company distributes 100% of its ownership interests in a subsidiary operation as dividends to its existing shareholders. After the spin-off, there are two </w:t>
      </w:r>
      <w:r>
        <w:rPr>
          <w:rFonts w:ascii="Arial" w:hAnsi="Arial" w:cs="Arial"/>
          <w:color w:val="5F5F61"/>
          <w:sz w:val="19"/>
          <w:szCs w:val="19"/>
        </w:rPr>
        <w:t xml:space="preserve">(or more) </w:t>
      </w:r>
      <w:r w:rsidRPr="0044163D">
        <w:rPr>
          <w:rFonts w:ascii="Arial" w:hAnsi="Arial"/>
          <w:color w:val="5F5F61"/>
          <w:sz w:val="19"/>
        </w:rPr>
        <w:t>separate, publicly held firms with exactly the same shareholder base</w:t>
      </w:r>
      <w:r>
        <w:rPr>
          <w:rFonts w:ascii="Arial" w:hAnsi="Arial" w:cs="Arial"/>
          <w:color w:val="5F5F61"/>
          <w:sz w:val="19"/>
          <w:szCs w:val="19"/>
        </w:rPr>
        <w:t xml:space="preserve">, and cumulative market capitalization as the original company. </w:t>
      </w:r>
      <w:r w:rsidRPr="0044163D">
        <w:rPr>
          <w:rFonts w:ascii="Arial" w:hAnsi="Arial"/>
          <w:color w:val="5F5F61"/>
          <w:sz w:val="19"/>
        </w:rPr>
        <w:t xml:space="preserve">The spin-off company’s style index is determined by the style index membership of the parent entity. As an exception, spin-offs entering the Russell Stability Indexes during the first two weeks of </w:t>
      </w:r>
      <w:r>
        <w:rPr>
          <w:rFonts w:ascii="Arial" w:hAnsi="Arial"/>
          <w:color w:val="5F5F61"/>
          <w:sz w:val="19"/>
        </w:rPr>
        <w:t>R</w:t>
      </w:r>
      <w:r w:rsidRPr="0044163D">
        <w:rPr>
          <w:rFonts w:ascii="Arial" w:hAnsi="Arial"/>
          <w:color w:val="5F5F61"/>
          <w:sz w:val="19"/>
        </w:rPr>
        <w:t>econ will be (ranked appropriately) defaulted to 100% dynamic.</w:t>
      </w:r>
    </w:p>
    <w:p w:rsidR="0006297A" w:rsidRDefault="0006297A" w:rsidP="0006297A">
      <w:pPr>
        <w:spacing w:after="100" w:line="260" w:lineRule="atLeast"/>
        <w:rPr>
          <w:rFonts w:ascii="Arial" w:hAnsi="Arial" w:cs="Arial"/>
          <w:color w:val="5F5F61"/>
          <w:sz w:val="19"/>
          <w:szCs w:val="19"/>
        </w:rPr>
      </w:pPr>
      <w:r w:rsidRPr="003073B5">
        <w:rPr>
          <w:rFonts w:ascii="Arial" w:hAnsi="Arial" w:cs="Arial"/>
          <w:color w:val="5F5F61"/>
          <w:sz w:val="19"/>
          <w:szCs w:val="19"/>
        </w:rPr>
        <w:t>If the when-issued price of a spun</w:t>
      </w:r>
      <w:r>
        <w:rPr>
          <w:rFonts w:ascii="Arial" w:hAnsi="Arial" w:cs="Arial"/>
          <w:color w:val="5F5F61"/>
          <w:sz w:val="19"/>
          <w:szCs w:val="19"/>
        </w:rPr>
        <w:t>-</w:t>
      </w:r>
      <w:r w:rsidRPr="003073B5">
        <w:rPr>
          <w:rFonts w:ascii="Arial" w:hAnsi="Arial" w:cs="Arial"/>
          <w:color w:val="5F5F61"/>
          <w:sz w:val="19"/>
          <w:szCs w:val="19"/>
        </w:rPr>
        <w:t>off company is not available by market close on ex-1, Russell will delay the application of the spin</w:t>
      </w:r>
      <w:r>
        <w:rPr>
          <w:rFonts w:ascii="Arial" w:hAnsi="Arial" w:cs="Arial"/>
          <w:color w:val="5F5F61"/>
          <w:sz w:val="19"/>
          <w:szCs w:val="19"/>
        </w:rPr>
        <w:t>-off by one day. After</w:t>
      </w:r>
      <w:r w:rsidRPr="003073B5">
        <w:rPr>
          <w:rFonts w:ascii="Arial" w:hAnsi="Arial" w:cs="Arial"/>
          <w:color w:val="5F5F61"/>
          <w:sz w:val="19"/>
          <w:szCs w:val="19"/>
        </w:rPr>
        <w:t xml:space="preserve"> the close of trading on ex-date, a synthetic price/performance will be calculated to account for the actual opening price of the spin-off. This price/performance is calculated to capture accurate performance of both the spin-off and parent for the day. Note, real time calculations will reflect only the estimated performance </w:t>
      </w:r>
      <w:r>
        <w:rPr>
          <w:rFonts w:ascii="Arial" w:hAnsi="Arial" w:cs="Arial"/>
          <w:color w:val="5F5F61"/>
          <w:sz w:val="19"/>
          <w:szCs w:val="19"/>
        </w:rPr>
        <w:t>of</w:t>
      </w:r>
      <w:r w:rsidRPr="003073B5">
        <w:rPr>
          <w:rFonts w:ascii="Arial" w:hAnsi="Arial" w:cs="Arial"/>
          <w:color w:val="5F5F61"/>
          <w:sz w:val="19"/>
          <w:szCs w:val="19"/>
        </w:rPr>
        <w:t xml:space="preserve"> the parent and child companies as actual performance is not captured until end of day.</w:t>
      </w:r>
    </w:p>
    <w:p w:rsidR="0006297A" w:rsidRPr="009F16E6" w:rsidRDefault="0006297A" w:rsidP="0006297A">
      <w:pPr>
        <w:autoSpaceDE w:val="0"/>
        <w:autoSpaceDN w:val="0"/>
        <w:adjustRightInd w:val="0"/>
        <w:spacing w:after="100" w:line="260" w:lineRule="atLeast"/>
        <w:rPr>
          <w:color w:val="5F5F61"/>
        </w:rPr>
      </w:pPr>
      <w:r w:rsidRPr="0044163D">
        <w:rPr>
          <w:rFonts w:ascii="Arial" w:hAnsi="Arial"/>
          <w:b/>
          <w:color w:val="5F5F61"/>
          <w:sz w:val="19"/>
        </w:rPr>
        <w:t xml:space="preserve">Domestic spin-offs: </w:t>
      </w:r>
      <w:r w:rsidRPr="0044163D">
        <w:rPr>
          <w:rFonts w:ascii="Arial" w:hAnsi="Arial"/>
          <w:color w:val="5F5F61"/>
          <w:sz w:val="19"/>
        </w:rPr>
        <w:t>Spin-off companies are added to the Russell Global Index at the time they are spun</w:t>
      </w:r>
      <w:r>
        <w:rPr>
          <w:rFonts w:ascii="Arial" w:hAnsi="Arial" w:cs="Arial"/>
          <w:color w:val="5F5F61"/>
          <w:sz w:val="19"/>
          <w:szCs w:val="19"/>
        </w:rPr>
        <w:t>-</w:t>
      </w:r>
      <w:r w:rsidRPr="0044163D">
        <w:rPr>
          <w:rFonts w:ascii="Arial" w:hAnsi="Arial"/>
          <w:color w:val="5F5F61"/>
          <w:sz w:val="19"/>
        </w:rPr>
        <w:t>off from their parent company, subject to the following rules:</w:t>
      </w:r>
    </w:p>
    <w:p w:rsidR="0006297A" w:rsidRPr="009F16E6" w:rsidRDefault="0006297A" w:rsidP="00676CED">
      <w:pPr>
        <w:numPr>
          <w:ilvl w:val="0"/>
          <w:numId w:val="34"/>
        </w:numPr>
        <w:autoSpaceDE w:val="0"/>
        <w:autoSpaceDN w:val="0"/>
        <w:adjustRightInd w:val="0"/>
        <w:spacing w:after="100" w:line="260" w:lineRule="atLeast"/>
        <w:rPr>
          <w:color w:val="5F5F61"/>
        </w:rPr>
      </w:pPr>
      <w:r>
        <w:rPr>
          <w:rFonts w:ascii="Arial" w:hAnsi="Arial"/>
          <w:color w:val="5F5F61"/>
          <w:sz w:val="19"/>
        </w:rPr>
        <w:t>A</w:t>
      </w:r>
      <w:r w:rsidRPr="0044163D">
        <w:rPr>
          <w:rFonts w:ascii="Arial" w:hAnsi="Arial"/>
          <w:color w:val="5F5F61"/>
          <w:sz w:val="19"/>
        </w:rPr>
        <w:t xml:space="preserve"> </w:t>
      </w:r>
      <w:r>
        <w:rPr>
          <w:rFonts w:ascii="Arial" w:hAnsi="Arial" w:cs="Arial"/>
          <w:color w:val="5F5F61"/>
          <w:sz w:val="19"/>
          <w:szCs w:val="19"/>
        </w:rPr>
        <w:t>spun</w:t>
      </w:r>
      <w:r w:rsidRPr="0044163D">
        <w:rPr>
          <w:rFonts w:ascii="Arial" w:hAnsi="Arial"/>
          <w:color w:val="5F5F61"/>
          <w:sz w:val="19"/>
        </w:rPr>
        <w:t>-off</w:t>
      </w:r>
      <w:r>
        <w:rPr>
          <w:rFonts w:ascii="Arial" w:hAnsi="Arial" w:cs="Arial"/>
          <w:color w:val="5F5F61"/>
          <w:sz w:val="19"/>
          <w:szCs w:val="19"/>
        </w:rPr>
        <w:t xml:space="preserve"> company</w:t>
      </w:r>
      <w:r w:rsidRPr="0044163D">
        <w:rPr>
          <w:rFonts w:ascii="Arial" w:hAnsi="Arial"/>
          <w:color w:val="5F5F61"/>
          <w:sz w:val="19"/>
        </w:rPr>
        <w:t xml:space="preserve"> meets all index eligibility requirements and its market cap is larger than the market</w:t>
      </w:r>
      <w:r>
        <w:rPr>
          <w:rFonts w:ascii="Arial" w:hAnsi="Arial" w:cs="Arial"/>
          <w:color w:val="5F5F61"/>
          <w:sz w:val="19"/>
          <w:szCs w:val="19"/>
        </w:rPr>
        <w:t xml:space="preserve"> </w:t>
      </w:r>
      <w:r w:rsidRPr="0044163D">
        <w:rPr>
          <w:rFonts w:ascii="Arial" w:hAnsi="Arial"/>
          <w:color w:val="5F5F61"/>
          <w:sz w:val="19"/>
        </w:rPr>
        <w:t>adjusted total market cap of the smallest company in the Russell Global Index at the latest reconstitution. (In the U.S., the smallest stock in the Russell 3000E will be used.)</w:t>
      </w:r>
    </w:p>
    <w:p w:rsidR="0006297A" w:rsidRPr="009F16E6" w:rsidRDefault="0006297A" w:rsidP="00676CED">
      <w:pPr>
        <w:numPr>
          <w:ilvl w:val="0"/>
          <w:numId w:val="34"/>
        </w:numPr>
        <w:autoSpaceDE w:val="0"/>
        <w:autoSpaceDN w:val="0"/>
        <w:adjustRightInd w:val="0"/>
        <w:spacing w:after="100" w:line="260" w:lineRule="atLeast"/>
        <w:rPr>
          <w:color w:val="5F5F61"/>
        </w:rPr>
      </w:pPr>
      <w:r>
        <w:rPr>
          <w:rFonts w:ascii="Arial" w:hAnsi="Arial"/>
          <w:color w:val="5F5F61"/>
          <w:sz w:val="19"/>
        </w:rPr>
        <w:t>A</w:t>
      </w:r>
      <w:r w:rsidRPr="0044163D">
        <w:rPr>
          <w:rFonts w:ascii="Arial" w:hAnsi="Arial"/>
          <w:color w:val="5F5F61"/>
          <w:sz w:val="19"/>
        </w:rPr>
        <w:t xml:space="preserve"> newly formed entity will be placed in the parent’s index on the completion date and the spun-off company’s style index is determined by the style index membership of the parent entity</w:t>
      </w:r>
      <w:r w:rsidRPr="009672BD">
        <w:rPr>
          <w:rFonts w:ascii="Arial" w:hAnsi="Arial" w:cs="Arial"/>
          <w:color w:val="5F5F61"/>
          <w:sz w:val="19"/>
          <w:szCs w:val="19"/>
        </w:rPr>
        <w:t>.</w:t>
      </w:r>
    </w:p>
    <w:p w:rsidR="0006297A" w:rsidRDefault="0006297A" w:rsidP="00676CED">
      <w:pPr>
        <w:numPr>
          <w:ilvl w:val="0"/>
          <w:numId w:val="34"/>
        </w:numPr>
        <w:autoSpaceDE w:val="0"/>
        <w:autoSpaceDN w:val="0"/>
        <w:adjustRightInd w:val="0"/>
        <w:spacing w:after="100" w:line="260" w:lineRule="atLeast"/>
        <w:rPr>
          <w:color w:val="5F5F61"/>
        </w:rPr>
      </w:pPr>
      <w:r>
        <w:rPr>
          <w:rFonts w:ascii="Arial" w:hAnsi="Arial"/>
          <w:color w:val="5F5F61"/>
          <w:sz w:val="19"/>
        </w:rPr>
        <w:t>A</w:t>
      </w:r>
      <w:r w:rsidRPr="0044163D">
        <w:rPr>
          <w:rFonts w:ascii="Arial" w:hAnsi="Arial"/>
          <w:color w:val="5F5F61"/>
          <w:sz w:val="19"/>
        </w:rPr>
        <w:t xml:space="preserve"> parent company’s market value will be reduced simultaneously on the </w:t>
      </w:r>
      <w:r>
        <w:rPr>
          <w:rFonts w:ascii="Arial" w:hAnsi="Arial" w:cs="Arial"/>
          <w:color w:val="5F5F61"/>
          <w:sz w:val="19"/>
          <w:szCs w:val="19"/>
        </w:rPr>
        <w:t>Russell effective date.</w:t>
      </w:r>
    </w:p>
    <w:p w:rsidR="0006297A" w:rsidRDefault="0006297A" w:rsidP="0006297A">
      <w:pPr>
        <w:autoSpaceDE w:val="0"/>
        <w:autoSpaceDN w:val="0"/>
        <w:adjustRightInd w:val="0"/>
        <w:spacing w:after="100" w:line="260" w:lineRule="atLeast"/>
        <w:rPr>
          <w:rFonts w:ascii="Arial" w:hAnsi="Arial" w:cs="Arial"/>
          <w:color w:val="5F5F61"/>
          <w:sz w:val="19"/>
          <w:szCs w:val="19"/>
        </w:rPr>
      </w:pPr>
    </w:p>
    <w:p w:rsidR="0006297A" w:rsidRDefault="0006297A" w:rsidP="0006297A">
      <w:pPr>
        <w:autoSpaceDE w:val="0"/>
        <w:autoSpaceDN w:val="0"/>
        <w:adjustRightInd w:val="0"/>
        <w:spacing w:after="100" w:line="260" w:lineRule="atLeast"/>
      </w:pPr>
      <w:r w:rsidRPr="0044163D">
        <w:rPr>
          <w:rFonts w:ascii="Arial" w:hAnsi="Arial"/>
          <w:b/>
          <w:color w:val="5F5F61"/>
          <w:sz w:val="19"/>
        </w:rPr>
        <w:t xml:space="preserve">Cross-border spin-offs: </w:t>
      </w:r>
      <w:r w:rsidRPr="0044163D">
        <w:rPr>
          <w:rFonts w:ascii="Arial" w:hAnsi="Arial"/>
          <w:color w:val="5F5F61"/>
          <w:sz w:val="19"/>
        </w:rPr>
        <w:t xml:space="preserve">If </w:t>
      </w:r>
      <w:r>
        <w:rPr>
          <w:rFonts w:ascii="Arial" w:hAnsi="Arial"/>
          <w:color w:val="5F5F61"/>
          <w:sz w:val="19"/>
        </w:rPr>
        <w:t>a</w:t>
      </w:r>
      <w:r w:rsidRPr="0044163D">
        <w:rPr>
          <w:rFonts w:ascii="Arial" w:hAnsi="Arial"/>
          <w:color w:val="5F5F61"/>
          <w:sz w:val="19"/>
        </w:rPr>
        <w:t xml:space="preserve"> parent company spins off an </w:t>
      </w:r>
      <w:r>
        <w:rPr>
          <w:rFonts w:ascii="Arial" w:hAnsi="Arial"/>
          <w:color w:val="5F5F61"/>
          <w:sz w:val="19"/>
        </w:rPr>
        <w:t>eligible security</w:t>
      </w:r>
      <w:r w:rsidRPr="0044163D">
        <w:rPr>
          <w:rFonts w:ascii="Arial" w:hAnsi="Arial"/>
          <w:color w:val="5F5F61"/>
          <w:sz w:val="19"/>
        </w:rPr>
        <w:t xml:space="preserve"> that is incorporated in a different country, the spun-off company will be assigned to the new country according to the country-assignment rules </w:t>
      </w:r>
      <w:r w:rsidRPr="0044163D">
        <w:rPr>
          <w:rFonts w:ascii="Arial" w:hAnsi="Arial"/>
          <w:color w:val="5F5F61"/>
          <w:sz w:val="19"/>
        </w:rPr>
        <w:lastRenderedPageBreak/>
        <w:t>discussed in Section 3</w:t>
      </w:r>
      <w:r>
        <w:rPr>
          <w:rFonts w:ascii="Arial" w:hAnsi="Arial"/>
          <w:color w:val="5F5F61"/>
          <w:sz w:val="19"/>
        </w:rPr>
        <w:t xml:space="preserve"> and may become a member of the Russell 3000E</w:t>
      </w:r>
      <w:r w:rsidRPr="0044163D">
        <w:rPr>
          <w:rFonts w:ascii="Arial" w:hAnsi="Arial"/>
          <w:color w:val="5F5F61"/>
          <w:sz w:val="19"/>
        </w:rPr>
        <w:t>. Otherwise, the same rules apply between domestic or cross-border spin-off additions.</w:t>
      </w:r>
      <w:r w:rsidRPr="00D32180">
        <w:t xml:space="preserve"> </w:t>
      </w:r>
    </w:p>
    <w:p w:rsidR="0006297A" w:rsidRPr="00D32180" w:rsidRDefault="0006297A" w:rsidP="0006297A">
      <w:pPr>
        <w:pStyle w:val="Heading2"/>
      </w:pPr>
      <w:bookmarkStart w:id="212" w:name="_Toc285721252"/>
      <w:bookmarkStart w:id="213" w:name="_Toc217446201"/>
      <w:bookmarkStart w:id="214" w:name="_Toc220919429"/>
      <w:bookmarkStart w:id="215" w:name="_Toc303342540"/>
      <w:bookmarkStart w:id="216" w:name="_Toc343682681"/>
      <w:r>
        <w:t>Halted securities</w:t>
      </w:r>
      <w:bookmarkEnd w:id="212"/>
      <w:bookmarkEnd w:id="213"/>
      <w:bookmarkEnd w:id="214"/>
      <w:bookmarkEnd w:id="215"/>
      <w:bookmarkEnd w:id="216"/>
    </w:p>
    <w:p w:rsidR="0006297A" w:rsidRPr="00C3499B" w:rsidRDefault="0006297A" w:rsidP="0006297A">
      <w:pPr>
        <w:pStyle w:val="RI07-BodyCopy95pt"/>
      </w:pPr>
      <w:r w:rsidRPr="00F40F5C">
        <w:t xml:space="preserve">When a stock’s trading has been halted, Russell holds the security at its most recent closing price until trading is resumed or is officially delisted. </w:t>
      </w:r>
      <w:r w:rsidRPr="00C3499B">
        <w:t>In addition, Russell will review stocks in two categories for removal:</w:t>
      </w:r>
      <w:r>
        <w:t xml:space="preserve"> </w:t>
      </w:r>
      <w:r w:rsidRPr="00C3499B">
        <w:t xml:space="preserve">(1) Stocks halted due to financial difficulty/debt or cash flow issues for a period longer than 40 calendar days or (2) those stocks suspended due to exchange listing rules or legal regulatory issues </w:t>
      </w:r>
      <w:r>
        <w:t>for more</w:t>
      </w:r>
      <w:r w:rsidRPr="00C3499B">
        <w:t xml:space="preserve"> than one calendar quarter. Determination for removal will be made on a case-by-case </w:t>
      </w:r>
      <w:r>
        <w:t>basis</w:t>
      </w:r>
      <w:r w:rsidRPr="00C3499B">
        <w:t xml:space="preserve"> and based upon reasonable likelihood of trade resumption and likelihood of residual value returned to equity holders.</w:t>
      </w:r>
    </w:p>
    <w:p w:rsidR="0006297A" w:rsidRPr="00C3499B" w:rsidRDefault="0006297A" w:rsidP="0006297A">
      <w:pPr>
        <w:autoSpaceDE w:val="0"/>
        <w:autoSpaceDN w:val="0"/>
        <w:spacing w:after="100" w:line="260" w:lineRule="atLeast"/>
        <w:rPr>
          <w:rFonts w:ascii="Arial" w:hAnsi="Arial"/>
          <w:color w:val="5F6062"/>
          <w:sz w:val="19"/>
        </w:rPr>
      </w:pPr>
      <w:r w:rsidRPr="00C3499B">
        <w:rPr>
          <w:rFonts w:ascii="Arial" w:hAnsi="Arial"/>
          <w:color w:val="5F6062"/>
          <w:sz w:val="19"/>
        </w:rPr>
        <w:t xml:space="preserve">Should removal be deemed appropriate, announcement will be made with monthly share changes and removed on month-end at zero value (for system purposes the actual value used is </w:t>
      </w:r>
      <w:r>
        <w:rPr>
          <w:rFonts w:ascii="Arial" w:hAnsi="Arial"/>
          <w:color w:val="5F6062"/>
          <w:sz w:val="19"/>
        </w:rPr>
        <w:t>0</w:t>
      </w:r>
      <w:r w:rsidRPr="00C3499B">
        <w:rPr>
          <w:rFonts w:ascii="Arial" w:hAnsi="Arial"/>
          <w:color w:val="5F6062"/>
          <w:sz w:val="19"/>
        </w:rPr>
        <w:t xml:space="preserve">.0001, in local currency). </w:t>
      </w:r>
    </w:p>
    <w:p w:rsidR="0006297A" w:rsidRPr="009F16E6" w:rsidRDefault="0006297A" w:rsidP="0006297A">
      <w:pPr>
        <w:spacing w:after="100" w:line="260" w:lineRule="atLeast"/>
        <w:rPr>
          <w:rFonts w:ascii="Arial" w:hAnsi="Arial"/>
          <w:color w:val="5F5F61"/>
          <w:sz w:val="19"/>
        </w:rPr>
      </w:pPr>
      <w:r w:rsidRPr="009C646B">
        <w:rPr>
          <w:rFonts w:ascii="Arial" w:hAnsi="Arial"/>
          <w:color w:val="5F5F61"/>
          <w:sz w:val="19"/>
        </w:rPr>
        <w:t>Stocks that are scheduled for removal but suspended or not trading through recon</w:t>
      </w:r>
      <w:r>
        <w:rPr>
          <w:rFonts w:ascii="Arial" w:hAnsi="Arial"/>
          <w:color w:val="5F5F61"/>
          <w:sz w:val="19"/>
        </w:rPr>
        <w:t>stitution</w:t>
      </w:r>
      <w:r w:rsidRPr="009C646B">
        <w:rPr>
          <w:rFonts w:ascii="Arial" w:hAnsi="Arial"/>
          <w:color w:val="5F5F61"/>
          <w:sz w:val="19"/>
        </w:rPr>
        <w:t xml:space="preserve"> due to low liquidity</w:t>
      </w:r>
      <w:r>
        <w:rPr>
          <w:rFonts w:ascii="Arial" w:hAnsi="Arial"/>
          <w:color w:val="5F5F61"/>
          <w:sz w:val="19"/>
        </w:rPr>
        <w:t>,</w:t>
      </w:r>
      <w:r w:rsidRPr="009C646B">
        <w:rPr>
          <w:rFonts w:ascii="Arial" w:hAnsi="Arial"/>
          <w:color w:val="5F5F61"/>
          <w:sz w:val="19"/>
        </w:rPr>
        <w:t xml:space="preserve"> or those that are suspended by the exchange or other governing body due to liquidity issues will be monitored for trade resumption.</w:t>
      </w:r>
      <w:r>
        <w:rPr>
          <w:rFonts w:ascii="Arial" w:hAnsi="Arial"/>
          <w:color w:val="5F5F61"/>
          <w:sz w:val="19"/>
        </w:rPr>
        <w:t xml:space="preserve"> </w:t>
      </w:r>
      <w:r w:rsidRPr="009C646B">
        <w:rPr>
          <w:rFonts w:ascii="Arial" w:hAnsi="Arial"/>
          <w:color w:val="5F5F61"/>
          <w:sz w:val="19"/>
        </w:rPr>
        <w:t>Once trading resumes, these securities will be removed from the index with announcement as usual.</w:t>
      </w:r>
      <w:r>
        <w:rPr>
          <w:rFonts w:ascii="Arial" w:hAnsi="Arial"/>
          <w:color w:val="5F5F61"/>
          <w:sz w:val="19"/>
        </w:rPr>
        <w:t xml:space="preserve"> </w:t>
      </w:r>
      <w:r w:rsidRPr="009C646B">
        <w:rPr>
          <w:rFonts w:ascii="Arial" w:hAnsi="Arial"/>
          <w:color w:val="5F5F61"/>
          <w:sz w:val="19"/>
        </w:rPr>
        <w:t>Securities will be removed using the primary exchange close price.</w:t>
      </w:r>
    </w:p>
    <w:p w:rsidR="0006297A" w:rsidRPr="00D32180" w:rsidRDefault="0006297A" w:rsidP="0006297A">
      <w:pPr>
        <w:pStyle w:val="Heading2"/>
      </w:pPr>
      <w:bookmarkStart w:id="217" w:name="_Toc217446202"/>
      <w:bookmarkStart w:id="218" w:name="_Toc220919430"/>
      <w:bookmarkStart w:id="219" w:name="_Toc303342541"/>
      <w:bookmarkStart w:id="220" w:name="_Toc343682682"/>
      <w:r w:rsidRPr="00D32180">
        <w:t>Delistings</w:t>
      </w:r>
      <w:bookmarkEnd w:id="217"/>
      <w:bookmarkEnd w:id="218"/>
      <w:bookmarkEnd w:id="219"/>
      <w:bookmarkEnd w:id="220"/>
    </w:p>
    <w:p w:rsidR="0006297A" w:rsidRPr="002E12F0" w:rsidRDefault="0006297A" w:rsidP="0006297A">
      <w:pPr>
        <w:pStyle w:val="RI07-BodyCopy95pt"/>
      </w:pPr>
      <w:r w:rsidRPr="002E12F0">
        <w:rPr>
          <w:b/>
          <w:bCs/>
        </w:rPr>
        <w:t>Delisting one of many issues:</w:t>
      </w:r>
      <w:r w:rsidRPr="00D32180">
        <w:t xml:space="preserve"> </w:t>
      </w:r>
      <w:r w:rsidRPr="002E12F0">
        <w:t xml:space="preserve">If a company’s stock is listed on multiple stock exchanges, Russell identifies a primary issue as the index member. If one of the company’s listed issues is delisted from a non-primary exchange, no change is made to the Russell Global Index. However, if the previously defined primary issue is delisted, a new primary issue </w:t>
      </w:r>
      <w:r>
        <w:t>is</w:t>
      </w:r>
      <w:r w:rsidRPr="002E12F0">
        <w:t xml:space="preserve"> assigned, as long as the alternate issue trades on an eligible exchange and meets all of the rules for index inclusion. Otherwise, the stock </w:t>
      </w:r>
      <w:r>
        <w:t>is</w:t>
      </w:r>
      <w:r w:rsidRPr="002E12F0">
        <w:t xml:space="preserve"> removed from the index. </w:t>
      </w:r>
    </w:p>
    <w:p w:rsidR="0006297A" w:rsidRDefault="0006297A" w:rsidP="0006297A">
      <w:pPr>
        <w:spacing w:after="100" w:line="260" w:lineRule="atLeast"/>
      </w:pPr>
      <w:r>
        <w:rPr>
          <w:rFonts w:ascii="Arial" w:hAnsi="Arial"/>
          <w:b/>
          <w:color w:val="5F6062"/>
          <w:sz w:val="19"/>
        </w:rPr>
        <w:t xml:space="preserve">Delisting the company: </w:t>
      </w:r>
      <w:r>
        <w:rPr>
          <w:rFonts w:ascii="Arial" w:hAnsi="Arial"/>
          <w:color w:val="5F6062"/>
          <w:sz w:val="19"/>
        </w:rPr>
        <w:t xml:space="preserve">A security is removed from the Russell Global Index if: (1) it is delisted from all stock exchanges, or </w:t>
      </w:r>
      <w:r w:rsidRPr="00E02907">
        <w:rPr>
          <w:rFonts w:ascii="Arial" w:hAnsi="Arial"/>
          <w:color w:val="5F6062"/>
          <w:sz w:val="19"/>
        </w:rPr>
        <w:t xml:space="preserve">(2) </w:t>
      </w:r>
      <w:r>
        <w:rPr>
          <w:rFonts w:ascii="Arial" w:hAnsi="Arial"/>
          <w:color w:val="5F6062"/>
          <w:sz w:val="19"/>
        </w:rPr>
        <w:t>it is listed only on the OTC market. If a delisting notice is received on a timely basis, Russell removes the stock from the index at its last traded price on the primary exchange. If the delisting notice is not received on a timely basis, and the security trades on the OTC market, it is removed at the last traded price on the OTC market</w:t>
      </w:r>
      <w:r w:rsidRPr="00E02907">
        <w:rPr>
          <w:rFonts w:ascii="Arial" w:hAnsi="Arial"/>
          <w:color w:val="5F6062"/>
          <w:sz w:val="19"/>
        </w:rPr>
        <w:t>, providing two days’ notice.</w:t>
      </w:r>
      <w:r>
        <w:rPr>
          <w:rFonts w:ascii="Arial" w:hAnsi="Arial"/>
          <w:color w:val="5F6062"/>
          <w:sz w:val="19"/>
        </w:rPr>
        <w:t xml:space="preserve"> Finally, if the security is halted prior to its delisting, and will not trade on the OTC market, it will be removed from the index at zero value if a residual value cannot be determined within 30 calendar days after its delisting date.</w:t>
      </w:r>
    </w:p>
    <w:p w:rsidR="0006297A" w:rsidRDefault="0006297A" w:rsidP="0006297A">
      <w:pPr>
        <w:pStyle w:val="RI07-BodyCopy95pt"/>
        <w:spacing w:before="160"/>
      </w:pPr>
      <w:bookmarkStart w:id="221" w:name="_Toc303342542"/>
      <w:r>
        <w:rPr>
          <w:b/>
          <w:color w:val="F38F1D"/>
        </w:rPr>
        <w:t>New listings of an existing security</w:t>
      </w:r>
      <w:bookmarkEnd w:id="221"/>
    </w:p>
    <w:p w:rsidR="0006297A" w:rsidRDefault="0006297A" w:rsidP="0006297A">
      <w:pPr>
        <w:pStyle w:val="RI07-BodyCopy95pt"/>
      </w:pPr>
      <w:r w:rsidRPr="006A30AA">
        <w:t>When a company decides to list its stock at another stock exchange in addition to its primary stock exchange, no change is made to the Russell Global Index.</w:t>
      </w:r>
      <w:r w:rsidRPr="00D32180">
        <w:t xml:space="preserve"> </w:t>
      </w:r>
    </w:p>
    <w:p w:rsidR="0006297A" w:rsidRPr="00EF48A8" w:rsidRDefault="0006297A" w:rsidP="0006297A">
      <w:pPr>
        <w:pStyle w:val="Heading2"/>
      </w:pPr>
      <w:bookmarkStart w:id="222" w:name="_Toc217446205"/>
      <w:bookmarkStart w:id="223" w:name="_Toc220919433"/>
      <w:bookmarkStart w:id="224" w:name="_Toc303342543"/>
      <w:bookmarkStart w:id="225" w:name="_Toc343682683"/>
      <w:r w:rsidRPr="00EF48A8">
        <w:t>Stock splits, reverse splits and consolidations</w:t>
      </w:r>
      <w:bookmarkStart w:id="226" w:name="_Toc217446206"/>
      <w:bookmarkStart w:id="227" w:name="_Toc220919434"/>
      <w:bookmarkEnd w:id="222"/>
      <w:bookmarkEnd w:id="223"/>
      <w:bookmarkEnd w:id="224"/>
      <w:bookmarkEnd w:id="225"/>
    </w:p>
    <w:p w:rsidR="0006297A" w:rsidRPr="00D32180" w:rsidRDefault="0006297A" w:rsidP="0006297A">
      <w:pPr>
        <w:pStyle w:val="RI07-BodyCopy95pt"/>
      </w:pPr>
      <w:bookmarkStart w:id="228" w:name="_Toc303342544"/>
      <w:r w:rsidRPr="0044163D">
        <w:rPr>
          <w:b/>
        </w:rPr>
        <w:t>Stock splits and stock dividends</w:t>
      </w:r>
      <w:bookmarkEnd w:id="226"/>
      <w:bookmarkEnd w:id="227"/>
      <w:bookmarkEnd w:id="228"/>
      <w:r>
        <w:rPr>
          <w:b/>
        </w:rPr>
        <w:t xml:space="preserve">: </w:t>
      </w:r>
      <w:r w:rsidRPr="009A07F4">
        <w:t>Companies often split their stock when they believe the price exceeds the amount smaller individual investors</w:t>
      </w:r>
      <w:r w:rsidRPr="00D32180">
        <w:t xml:space="preserve"> will be willing to pay. By reducing the price, companies try to make their stock more affordable to these investors.</w:t>
      </w:r>
      <w:r>
        <w:t xml:space="preserve"> </w:t>
      </w:r>
      <w:r w:rsidRPr="00D32180">
        <w:t xml:space="preserve">When a company declares a stock split, the price of the stock will decrease, but the number of shares will increase proportionately. For example, if you own 100 shares of a company that trades at $100 a share and the company declares a two-for-one stock split, you will own 200 </w:t>
      </w:r>
      <w:r w:rsidRPr="00D32180">
        <w:lastRenderedPageBreak/>
        <w:t xml:space="preserve">shares at $50 a share after the split. A stock split has no effect on the value of what shareholders own. Russell adjusts the increased number of shares and the decreased price proportionately. </w:t>
      </w:r>
    </w:p>
    <w:p w:rsidR="0006297A" w:rsidRPr="00D32180" w:rsidRDefault="0006297A" w:rsidP="0006297A">
      <w:pPr>
        <w:pStyle w:val="RI07-BodyCopy95pt"/>
      </w:pPr>
      <w:bookmarkStart w:id="229" w:name="_Toc217446207"/>
      <w:bookmarkStart w:id="230" w:name="_Toc220919435"/>
      <w:bookmarkStart w:id="231" w:name="_Toc303342545"/>
      <w:r w:rsidRPr="0044163D">
        <w:rPr>
          <w:b/>
        </w:rPr>
        <w:t>Reverse splits and stock consolidation</w:t>
      </w:r>
      <w:bookmarkEnd w:id="229"/>
      <w:bookmarkEnd w:id="230"/>
      <w:bookmarkEnd w:id="231"/>
      <w:r>
        <w:rPr>
          <w:b/>
        </w:rPr>
        <w:t xml:space="preserve">: </w:t>
      </w:r>
      <w:r w:rsidRPr="00D32180">
        <w:t xml:space="preserve">Contrary to a stock split, a reverse stock split or a stock consolidation reduces the number of shares and increases the share price proportionately. </w:t>
      </w:r>
      <w:r w:rsidRPr="0044163D">
        <w:rPr>
          <w:color w:val="5F5F61"/>
        </w:rPr>
        <w:t xml:space="preserve">Russell </w:t>
      </w:r>
      <w:r>
        <w:rPr>
          <w:rFonts w:cs="Arial"/>
          <w:color w:val="5F5F61"/>
          <w:szCs w:val="19"/>
        </w:rPr>
        <w:t>adjusts the decreased number of shares and the increased price proportionately.</w:t>
      </w:r>
    </w:p>
    <w:p w:rsidR="0006297A" w:rsidRPr="00D32180" w:rsidRDefault="0006297A" w:rsidP="0006297A">
      <w:pPr>
        <w:pStyle w:val="Heading2"/>
      </w:pPr>
      <w:bookmarkStart w:id="232" w:name="_Toc217446208"/>
      <w:bookmarkStart w:id="233" w:name="_Toc220919436"/>
      <w:bookmarkStart w:id="234" w:name="_Toc303342546"/>
      <w:bookmarkStart w:id="235" w:name="_Toc343682684"/>
      <w:r w:rsidRPr="00D32180">
        <w:t>Dividends</w:t>
      </w:r>
      <w:bookmarkEnd w:id="232"/>
      <w:bookmarkEnd w:id="233"/>
      <w:bookmarkEnd w:id="234"/>
      <w:bookmarkEnd w:id="235"/>
    </w:p>
    <w:p w:rsidR="0006297A" w:rsidRDefault="0006297A" w:rsidP="0006297A">
      <w:pPr>
        <w:pStyle w:val="PlainText"/>
        <w:spacing w:after="100" w:line="260" w:lineRule="atLeast"/>
      </w:pPr>
      <w:r>
        <w:rPr>
          <w:rFonts w:ascii="Arial" w:hAnsi="Arial" w:cs="Arial"/>
          <w:b/>
          <w:bCs/>
          <w:color w:val="5F6062"/>
          <w:sz w:val="19"/>
          <w:szCs w:val="19"/>
        </w:rPr>
        <w:t>Regular cash dividends:</w:t>
      </w:r>
      <w:r>
        <w:rPr>
          <w:rFonts w:ascii="Arial" w:hAnsi="Arial" w:cs="Arial"/>
          <w:color w:val="5F6062"/>
          <w:sz w:val="19"/>
          <w:szCs w:val="19"/>
        </w:rPr>
        <w:t xml:space="preserve"> Regular cash dividends are those paid to shareholders out of a company’s profits or reserves. Regular cash dividends impact the total return and are reinvested across the index at the close on the dividend ex-date. </w:t>
      </w:r>
      <w:r w:rsidRPr="00ED70B9">
        <w:rPr>
          <w:rFonts w:ascii="Arial" w:hAnsi="Arial" w:cs="Arial"/>
          <w:color w:val="5F6062"/>
          <w:sz w:val="19"/>
          <w:szCs w:val="19"/>
        </w:rPr>
        <w:t xml:space="preserve"> Dividends that are announced on the ex-date or thereafter, will be reinvested across the index at the close on the following business day.  A previously communicated dividend that is adjusted on the ex-date will be corrected.  Late dividend announcements and adjustments are most common in Brazil due to market rules regarding dividend announcements.</w:t>
      </w:r>
    </w:p>
    <w:p w:rsidR="0006297A" w:rsidRDefault="0006297A" w:rsidP="0006297A">
      <w:pPr>
        <w:pStyle w:val="RI07-BodyCopy95pt"/>
      </w:pPr>
      <w:r>
        <w:rPr>
          <w:b/>
          <w:bCs/>
        </w:rPr>
        <w:t>Special cash dividends:</w:t>
      </w:r>
      <w:r>
        <w:t xml:space="preserve"> In addition to paying regular dividends, a company may at times pay special cash dividends. </w:t>
      </w:r>
      <w:r>
        <w:rPr>
          <w:color w:val="5F5F61"/>
        </w:rPr>
        <w:t>These are usually paid outside a company’s regular dividend schedule and can occur for a variety of reasons, such as a major litigation win, the sale of a business or liquidation of an investment. For non-regular special cash dividends, the price of the stock is adjusted to deduct the dividend amount before the open on the ex-date.  Occasionally, special cash dividends and special dividends paid in-kind are subject to withholding taxes. In this case, a net negative dividend amount equivalent to the withholding tax is reflected in the net return in conjunction with the price adjustment and applied on ex-date.</w:t>
      </w:r>
      <w:r>
        <w:t xml:space="preserve"> </w:t>
      </w:r>
    </w:p>
    <w:p w:rsidR="0006297A" w:rsidRDefault="0006297A" w:rsidP="0006297A">
      <w:pPr>
        <w:pStyle w:val="RI07-BodyCopy95pt"/>
        <w:rPr>
          <w:color w:val="1F497D"/>
        </w:rPr>
      </w:pPr>
      <w:r>
        <w:rPr>
          <w:b/>
          <w:bCs/>
        </w:rPr>
        <w:t>Return of capital:</w:t>
      </w:r>
      <w:r>
        <w:t xml:space="preserve"> </w:t>
      </w:r>
      <w:r>
        <w:rPr>
          <w:color w:val="5F5F61"/>
        </w:rPr>
        <w:t>Includes a price adjustment before the open on the ex-date. Please note, a return of capital or a special cash dividend that falls within the regular dividend cycle in size or timing will be processed as a regular dividend.</w:t>
      </w:r>
    </w:p>
    <w:p w:rsidR="0006297A" w:rsidRDefault="0006297A" w:rsidP="0006297A">
      <w:pPr>
        <w:pStyle w:val="RI07-BodyCopy95pt"/>
        <w:rPr>
          <w:b/>
          <w:bCs/>
          <w:color w:val="FF0000"/>
          <w:u w:val="single"/>
        </w:rPr>
      </w:pPr>
      <w:r>
        <w:rPr>
          <w:b/>
          <w:bCs/>
        </w:rPr>
        <w:t xml:space="preserve">Late dividends in Japan: </w:t>
      </w:r>
      <w:r>
        <w:t xml:space="preserve">In Japan, dividends are officially declared after the ex-date has passed. To reflect the most up-to-date expectation for the dividends, </w:t>
      </w:r>
      <w:r>
        <w:rPr>
          <w:color w:val="5F5F61"/>
        </w:rPr>
        <w:t xml:space="preserve">Russell applies official estimates on the ex-date. Dividend estimates are vendor provided and sourced to Toyo Keizai, the official  provider of Japanese dividend information.  There is no correction mechanism in place if the exact dividend paid is different to the original estimate. </w:t>
      </w:r>
    </w:p>
    <w:p w:rsidR="0006297A" w:rsidRDefault="0006297A" w:rsidP="0006297A">
      <w:pPr>
        <w:pStyle w:val="RI07-BodyCopy95pt"/>
      </w:pPr>
      <w:r>
        <w:rPr>
          <w:b/>
          <w:bCs/>
        </w:rPr>
        <w:t>Late dividends in Korea and Russia:</w:t>
      </w:r>
      <w:r>
        <w:t xml:space="preserve"> In Korea and Russia, dividends are officially declared after the ex-date has passed. Russell applies these dividends on the pay date. </w:t>
      </w:r>
    </w:p>
    <w:p w:rsidR="0006297A" w:rsidRDefault="0006297A" w:rsidP="0006297A">
      <w:pPr>
        <w:pStyle w:val="RI07-BodyCopy95pt"/>
        <w:rPr>
          <w:b/>
          <w:bCs/>
          <w:color w:val="FF0000"/>
        </w:rPr>
      </w:pPr>
      <w:r>
        <w:rPr>
          <w:b/>
          <w:bCs/>
        </w:rPr>
        <w:t xml:space="preserve">Other types of dividends: </w:t>
      </w:r>
      <w:r>
        <w:t xml:space="preserve">Dividends can also take the form of properties, bonds and other types of assets. These types of dividends have no impact on the Russell Global </w:t>
      </w:r>
      <w:r>
        <w:rPr>
          <w:color w:val="5F5F61"/>
        </w:rPr>
        <w:t>Index. Russell will only process dividends that are payable in cash or stock.  In the event of an optional dividend (a holder can elect cash or stock), Russell will default to cash, with any increase in shares (if greater than 5%) picked up at month-end.</w:t>
      </w:r>
    </w:p>
    <w:p w:rsidR="0006297A" w:rsidRPr="00D32180" w:rsidRDefault="0006297A" w:rsidP="0006297A">
      <w:pPr>
        <w:pStyle w:val="Heading2"/>
      </w:pPr>
      <w:bookmarkStart w:id="236" w:name="_Toc217446212"/>
      <w:bookmarkStart w:id="237" w:name="_Toc220919440"/>
      <w:bookmarkStart w:id="238" w:name="_Toc303342547"/>
      <w:bookmarkStart w:id="239" w:name="_Toc343682685"/>
      <w:r w:rsidRPr="00D32180">
        <w:t>Reclassification of share classes</w:t>
      </w:r>
      <w:bookmarkEnd w:id="236"/>
      <w:bookmarkEnd w:id="237"/>
      <w:bookmarkEnd w:id="238"/>
      <w:bookmarkEnd w:id="239"/>
    </w:p>
    <w:p w:rsidR="0006297A" w:rsidRPr="00D32180" w:rsidRDefault="0006297A" w:rsidP="0006297A">
      <w:pPr>
        <w:pStyle w:val="RI07-BodyCopy95pt"/>
      </w:pPr>
      <w:r w:rsidRPr="00D32180">
        <w:t xml:space="preserve">When a company with multiple share classes converts an entire class of shares into another class, usually on the basis of a </w:t>
      </w:r>
      <w:r>
        <w:t>previously agreed-upon</w:t>
      </w:r>
      <w:r w:rsidRPr="00D32180">
        <w:t xml:space="preserve"> ratio, Russell changes the shares after the conversion is finalized. The old share class is deleted from the index after the close on completion day, and its market capitalization moves to the unified share class. The number of shares of the unified share class increases proportionately. The combined market capitalization of the two share classes remains unchanged for the company. </w:t>
      </w:r>
    </w:p>
    <w:p w:rsidR="0006297A" w:rsidRDefault="0006297A" w:rsidP="0006297A">
      <w:pPr>
        <w:pStyle w:val="RI07-BodyCopy95pt"/>
      </w:pPr>
      <w:r w:rsidRPr="00D32180">
        <w:lastRenderedPageBreak/>
        <w:t xml:space="preserve">Alternatively, if one share class splits into two or more share classes, Russell evaluates the new classes for eligibility and adjusts the index member class according to the agreed-upon ratio. </w:t>
      </w:r>
    </w:p>
    <w:p w:rsidR="0006297A" w:rsidRPr="00D32180" w:rsidRDefault="0006297A" w:rsidP="0006297A">
      <w:pPr>
        <w:pStyle w:val="Heading2"/>
      </w:pPr>
      <w:bookmarkStart w:id="240" w:name="_Toc217446213"/>
      <w:bookmarkStart w:id="241" w:name="_Toc220919441"/>
      <w:bookmarkStart w:id="242" w:name="_Toc303342548"/>
      <w:bookmarkStart w:id="243" w:name="_Toc343682686"/>
      <w:r w:rsidRPr="00D32180">
        <w:t xml:space="preserve">Rights </w:t>
      </w:r>
      <w:r>
        <w:t>offerings, RAPIDS,</w:t>
      </w:r>
      <w:r w:rsidRPr="00D32180">
        <w:t xml:space="preserve"> and stock warrants</w:t>
      </w:r>
      <w:bookmarkEnd w:id="240"/>
      <w:bookmarkEnd w:id="241"/>
      <w:bookmarkEnd w:id="242"/>
      <w:bookmarkEnd w:id="243"/>
      <w:r w:rsidRPr="00D32180">
        <w:t xml:space="preserve"> </w:t>
      </w:r>
    </w:p>
    <w:p w:rsidR="0006297A" w:rsidRPr="00106D23" w:rsidRDefault="0006297A" w:rsidP="0006297A">
      <w:pPr>
        <w:rPr>
          <w:rFonts w:ascii="Arial" w:hAnsi="Arial"/>
          <w:color w:val="5F6062"/>
          <w:sz w:val="19"/>
        </w:rPr>
      </w:pPr>
      <w:r w:rsidRPr="0044163D">
        <w:rPr>
          <w:b/>
          <w:color w:val="595959"/>
        </w:rPr>
        <w:t xml:space="preserve">Rights </w:t>
      </w:r>
      <w:r w:rsidRPr="002068C2">
        <w:rPr>
          <w:b/>
          <w:bCs/>
          <w:color w:val="595959"/>
          <w:szCs w:val="19"/>
        </w:rPr>
        <w:t>offers</w:t>
      </w:r>
      <w:r w:rsidRPr="0044163D">
        <w:rPr>
          <w:b/>
          <w:color w:val="595959"/>
        </w:rPr>
        <w:t xml:space="preserve">: </w:t>
      </w:r>
      <w:r w:rsidRPr="00106D23">
        <w:rPr>
          <w:rFonts w:ascii="Arial" w:hAnsi="Arial"/>
          <w:color w:val="5F6062"/>
          <w:sz w:val="19"/>
        </w:rPr>
        <w:t xml:space="preserve">A rights offering is a means of raising capital by offering </w:t>
      </w:r>
      <w:hyperlink r:id="rId29" w:history="1">
        <w:r w:rsidRPr="00106D23">
          <w:rPr>
            <w:rFonts w:ascii="Arial" w:hAnsi="Arial"/>
            <w:color w:val="5F6062"/>
            <w:sz w:val="19"/>
          </w:rPr>
          <w:t>shareholders</w:t>
        </w:r>
      </w:hyperlink>
      <w:r w:rsidRPr="00106D23">
        <w:rPr>
          <w:rFonts w:ascii="Arial" w:hAnsi="Arial"/>
          <w:color w:val="5F6062"/>
          <w:sz w:val="19"/>
        </w:rPr>
        <w:t xml:space="preserve"> the opportunity to </w:t>
      </w:r>
      <w:hyperlink r:id="rId30" w:history="1">
        <w:r w:rsidRPr="00106D23">
          <w:rPr>
            <w:rFonts w:ascii="Arial" w:hAnsi="Arial"/>
            <w:color w:val="5F6062"/>
            <w:sz w:val="19"/>
          </w:rPr>
          <w:t>purchase</w:t>
        </w:r>
      </w:hyperlink>
      <w:r w:rsidRPr="00106D23">
        <w:rPr>
          <w:rFonts w:ascii="Arial" w:hAnsi="Arial"/>
          <w:color w:val="5F6062"/>
          <w:sz w:val="19"/>
        </w:rPr>
        <w:t xml:space="preserve"> additional </w:t>
      </w:r>
      <w:hyperlink r:id="rId31" w:history="1">
        <w:r w:rsidRPr="00106D23">
          <w:rPr>
            <w:rFonts w:ascii="Arial" w:hAnsi="Arial"/>
            <w:color w:val="5F6062"/>
            <w:sz w:val="19"/>
          </w:rPr>
          <w:t>shares</w:t>
        </w:r>
      </w:hyperlink>
      <w:r w:rsidRPr="00106D23">
        <w:rPr>
          <w:rFonts w:ascii="Arial" w:hAnsi="Arial"/>
          <w:color w:val="5F6062"/>
          <w:sz w:val="19"/>
        </w:rPr>
        <w:t xml:space="preserve"> of the same </w:t>
      </w:r>
      <w:hyperlink r:id="rId32" w:history="1">
        <w:r w:rsidRPr="00106D23">
          <w:rPr>
            <w:rFonts w:ascii="Arial" w:hAnsi="Arial"/>
            <w:color w:val="5F6062"/>
            <w:sz w:val="19"/>
          </w:rPr>
          <w:t>stock</w:t>
        </w:r>
      </w:hyperlink>
      <w:r w:rsidRPr="00106D23">
        <w:rPr>
          <w:rFonts w:ascii="Arial" w:hAnsi="Arial"/>
          <w:color w:val="5F6062"/>
          <w:sz w:val="19"/>
        </w:rPr>
        <w:t xml:space="preserve"> at a price below the current market value.</w:t>
      </w:r>
    </w:p>
    <w:p w:rsidR="0006297A" w:rsidRDefault="0006297A" w:rsidP="0006297A">
      <w:pPr>
        <w:shd w:val="clear" w:color="auto" w:fill="FFFFFF"/>
        <w:spacing w:after="240"/>
        <w:rPr>
          <w:rFonts w:ascii="Arial" w:hAnsi="Arial"/>
          <w:color w:val="5F6062"/>
          <w:sz w:val="19"/>
        </w:rPr>
      </w:pPr>
      <w:r w:rsidRPr="00106D23">
        <w:rPr>
          <w:rFonts w:ascii="Arial" w:hAnsi="Arial"/>
          <w:color w:val="5F6062"/>
          <w:sz w:val="19"/>
        </w:rPr>
        <w:br/>
        <w:t xml:space="preserve">Russell will only adjust the index to account for a right if the subscription price is at a discount to the market price of the common stock.  </w:t>
      </w:r>
      <w:r>
        <w:rPr>
          <w:rFonts w:ascii="Arial" w:hAnsi="Arial"/>
          <w:color w:val="5F6062"/>
          <w:sz w:val="19"/>
        </w:rPr>
        <w:t>A</w:t>
      </w:r>
      <w:r w:rsidRPr="00106D23">
        <w:rPr>
          <w:rFonts w:ascii="Arial" w:hAnsi="Arial"/>
          <w:color w:val="5F6062"/>
          <w:sz w:val="19"/>
        </w:rPr>
        <w:t xml:space="preserve"> price adjustment will be applied before the open on ex-date, to account for the value of the rights and shares will be increased according to terms of the offer.  </w:t>
      </w:r>
    </w:p>
    <w:p w:rsidR="0006297A" w:rsidRPr="00106D23" w:rsidRDefault="0006297A" w:rsidP="0006297A">
      <w:pPr>
        <w:shd w:val="clear" w:color="auto" w:fill="FFFFFF"/>
        <w:spacing w:after="240"/>
        <w:rPr>
          <w:rFonts w:ascii="Arial" w:hAnsi="Arial"/>
          <w:color w:val="5F6062"/>
          <w:sz w:val="19"/>
        </w:rPr>
      </w:pPr>
      <w:r w:rsidRPr="00106D23">
        <w:rPr>
          <w:rFonts w:ascii="Arial" w:hAnsi="Arial"/>
          <w:color w:val="5F6062"/>
          <w:sz w:val="19"/>
        </w:rPr>
        <w:t>Russell will not apply poison pill rights</w:t>
      </w:r>
      <w:r>
        <w:rPr>
          <w:rFonts w:ascii="Arial" w:hAnsi="Arial"/>
          <w:color w:val="5F6062"/>
          <w:sz w:val="19"/>
        </w:rPr>
        <w:t>, claw-back rights,</w:t>
      </w:r>
      <w:r w:rsidRPr="00106D23">
        <w:rPr>
          <w:rFonts w:ascii="Arial" w:hAnsi="Arial"/>
          <w:color w:val="5F6062"/>
          <w:sz w:val="19"/>
        </w:rPr>
        <w:t xml:space="preserve"> or entitlements that give shareholders the right to purchase ineligible securities such as convertible debt.</w:t>
      </w:r>
    </w:p>
    <w:p w:rsidR="0006297A" w:rsidRPr="00DC611D" w:rsidRDefault="0006297A" w:rsidP="0006297A">
      <w:pPr>
        <w:pStyle w:val="RI07-BodyCopy95pt"/>
      </w:pPr>
      <w:r w:rsidRPr="00F40F5C">
        <w:rPr>
          <w:b/>
        </w:rPr>
        <w:t>RAPIDs:</w:t>
      </w:r>
      <w:r>
        <w:t xml:space="preserve"> </w:t>
      </w:r>
      <w:r w:rsidRPr="00F40F5C">
        <w:t>In certain markets, such as Australia, accelerated rights offerings (RAPID</w:t>
      </w:r>
      <w:r>
        <w:t>s</w:t>
      </w:r>
      <w:r w:rsidRPr="00F40F5C">
        <w:t xml:space="preserve">) have become more common in recent years. In a RAPID entitlement offer, the ex-date is theoretical and typically is not quoted by the exchange. On the theoretical ex-date the stock may be halted, at which time the company begins a two tranche offer to shareholders in the form of an Institutional Offer followed by a Retail </w:t>
      </w:r>
      <w:r>
        <w:t>O</w:t>
      </w:r>
      <w:r w:rsidRPr="00F40F5C">
        <w:t xml:space="preserve">ffer. </w:t>
      </w:r>
      <w:r w:rsidRPr="0044163D">
        <w:rPr>
          <w:color w:val="595959"/>
        </w:rPr>
        <w:t>Shares are increased</w:t>
      </w:r>
      <w:r w:rsidRPr="00AD72D6">
        <w:rPr>
          <w:color w:val="595959"/>
          <w:szCs w:val="19"/>
        </w:rPr>
        <w:t xml:space="preserve">, and a price adjustment </w:t>
      </w:r>
      <w:r>
        <w:rPr>
          <w:color w:val="595959"/>
          <w:szCs w:val="19"/>
        </w:rPr>
        <w:t xml:space="preserve">is </w:t>
      </w:r>
      <w:r w:rsidRPr="00AD72D6">
        <w:rPr>
          <w:color w:val="595959"/>
          <w:szCs w:val="19"/>
        </w:rPr>
        <w:t>applied</w:t>
      </w:r>
      <w:r w:rsidRPr="0044163D">
        <w:rPr>
          <w:color w:val="595959"/>
        </w:rPr>
        <w:t xml:space="preserve"> according to the terms of the offering</w:t>
      </w:r>
      <w:r>
        <w:rPr>
          <w:color w:val="595959"/>
          <w:szCs w:val="19"/>
        </w:rPr>
        <w:t>, before</w:t>
      </w:r>
      <w:r w:rsidRPr="00AD72D6">
        <w:rPr>
          <w:color w:val="595959"/>
          <w:szCs w:val="19"/>
        </w:rPr>
        <w:t xml:space="preserve"> the open on the day</w:t>
      </w:r>
      <w:r>
        <w:rPr>
          <w:color w:val="595959"/>
          <w:szCs w:val="19"/>
        </w:rPr>
        <w:t xml:space="preserve"> after</w:t>
      </w:r>
      <w:r w:rsidRPr="00AD72D6">
        <w:rPr>
          <w:color w:val="595959"/>
          <w:szCs w:val="19"/>
        </w:rPr>
        <w:t xml:space="preserve"> the security resumes trade.</w:t>
      </w:r>
      <w:r>
        <w:rPr>
          <w:color w:val="595959"/>
          <w:szCs w:val="19"/>
        </w:rPr>
        <w:t xml:space="preserve"> The close price </w:t>
      </w:r>
      <w:r w:rsidRPr="0044163D">
        <w:rPr>
          <w:color w:val="595959"/>
        </w:rPr>
        <w:t xml:space="preserve">will be </w:t>
      </w:r>
      <w:r>
        <w:rPr>
          <w:color w:val="595959"/>
          <w:szCs w:val="19"/>
        </w:rPr>
        <w:t>adjusted to delay the performance of the rights issue</w:t>
      </w:r>
      <w:r w:rsidRPr="00DC611D">
        <w:t>.</w:t>
      </w:r>
    </w:p>
    <w:p w:rsidR="0006297A" w:rsidRPr="00D32180" w:rsidRDefault="0006297A" w:rsidP="0006297A">
      <w:pPr>
        <w:pStyle w:val="RI07-BodyCopy95pt"/>
      </w:pPr>
      <w:r w:rsidRPr="00D32180">
        <w:rPr>
          <w:b/>
        </w:rPr>
        <w:t xml:space="preserve">Stock warrants: </w:t>
      </w:r>
      <w:r w:rsidRPr="00D32180">
        <w:t xml:space="preserve">A stock warrant is a security that provides the right to purchase a certain number of shares at a stated price during a specified time period. Similarly to its treatment of rights issues, </w:t>
      </w:r>
      <w:r w:rsidRPr="0044163D">
        <w:rPr>
          <w:color w:val="5F5F61"/>
        </w:rPr>
        <w:t xml:space="preserve">Russell </w:t>
      </w:r>
      <w:r>
        <w:rPr>
          <w:rFonts w:cs="Arial"/>
          <w:color w:val="5F5F61"/>
          <w:szCs w:val="19"/>
        </w:rPr>
        <w:t xml:space="preserve">only </w:t>
      </w:r>
      <w:r w:rsidRPr="0044163D">
        <w:rPr>
          <w:color w:val="5F5F61"/>
        </w:rPr>
        <w:t xml:space="preserve">adjusts the number of shares of a stock </w:t>
      </w:r>
      <w:r>
        <w:rPr>
          <w:rFonts w:cs="Arial"/>
          <w:color w:val="5F5F61"/>
          <w:szCs w:val="19"/>
        </w:rPr>
        <w:t>to account for warrants</w:t>
      </w:r>
      <w:r w:rsidRPr="0044163D">
        <w:rPr>
          <w:color w:val="5F5F61"/>
        </w:rPr>
        <w:t xml:space="preserve"> when</w:t>
      </w:r>
      <w:r>
        <w:rPr>
          <w:rFonts w:cs="Arial"/>
          <w:color w:val="5F5F61"/>
          <w:szCs w:val="19"/>
        </w:rPr>
        <w:t xml:space="preserve"> (1)</w:t>
      </w:r>
      <w:r w:rsidRPr="0044163D">
        <w:rPr>
          <w:color w:val="5F5F61"/>
        </w:rPr>
        <w:t xml:space="preserve"> the warrants are exercised at a discount to the market price</w:t>
      </w:r>
      <w:r>
        <w:rPr>
          <w:rFonts w:cs="Arial"/>
          <w:color w:val="5F5F61"/>
          <w:szCs w:val="19"/>
        </w:rPr>
        <w:t xml:space="preserve"> and (2) an appropriate implementation date can be determined</w:t>
      </w:r>
      <w:r w:rsidRPr="00D32180">
        <w:t>.</w:t>
      </w:r>
      <w:bookmarkStart w:id="244" w:name="_Toc217446214"/>
      <w:bookmarkStart w:id="245" w:name="_Toc220919442"/>
    </w:p>
    <w:p w:rsidR="0006297A" w:rsidRPr="00D32180" w:rsidRDefault="0006297A" w:rsidP="0006297A">
      <w:pPr>
        <w:pStyle w:val="Heading2"/>
      </w:pPr>
      <w:bookmarkStart w:id="246" w:name="_Toc303342549"/>
      <w:bookmarkStart w:id="247" w:name="_Toc343682687"/>
      <w:r w:rsidRPr="00D32180">
        <w:t>Convertibles and contingent convertibles</w:t>
      </w:r>
      <w:bookmarkEnd w:id="246"/>
      <w:bookmarkEnd w:id="247"/>
    </w:p>
    <w:bookmarkEnd w:id="244"/>
    <w:bookmarkEnd w:id="245"/>
    <w:p w:rsidR="0006297A" w:rsidRDefault="0006297A" w:rsidP="0006297A">
      <w:pPr>
        <w:pStyle w:val="RI07-BodyCopy95pt"/>
      </w:pPr>
      <w:r w:rsidRPr="00D32180">
        <w:rPr>
          <w:b/>
        </w:rPr>
        <w:t>Convertibles:</w:t>
      </w:r>
      <w:r w:rsidRPr="00D32180">
        <w:rPr>
          <w:b/>
          <w:bCs/>
        </w:rPr>
        <w:t xml:space="preserve"> </w:t>
      </w:r>
      <w:r w:rsidRPr="003970D3">
        <w:t>Convertibles are securities—usually bonds, corporate debts or preferred shares—that can be converted to common stocks. Shares changed due to the exercises of convertibles are applied to the index during the month-end share adjustment. The price used for the index is the market price at the time of the share adjustment.</w:t>
      </w:r>
      <w:r w:rsidRPr="0044163D">
        <w:t xml:space="preserve"> </w:t>
      </w:r>
    </w:p>
    <w:p w:rsidR="0006297A" w:rsidRDefault="0006297A" w:rsidP="0006297A">
      <w:pPr>
        <w:pStyle w:val="RI07-BodyCopy95pt"/>
      </w:pPr>
      <w:r w:rsidRPr="00D32180">
        <w:rPr>
          <w:b/>
          <w:bCs/>
        </w:rPr>
        <w:t>Contingent convertibles:</w:t>
      </w:r>
      <w:r w:rsidRPr="00D32180">
        <w:t xml:space="preserve"> Contingent convertibles differ from traditional convertibles in that there is a strike price when the bond or preferred stock converts. In other words, there is a fixed cost for the stock when the conversion happens. Additionally, in many cases, the underlying stock price has to be much higher than the strike price, to allow security holders to have the “right” to exercise the convertibles. This is known as “upside contingency.” Russell adjusts the shares only when the conversion is finalized. The price used for the index </w:t>
      </w:r>
      <w:r>
        <w:t>is</w:t>
      </w:r>
      <w:r w:rsidRPr="00D32180">
        <w:t xml:space="preserve"> the market price at the time of the month-end share adjustment.</w:t>
      </w:r>
    </w:p>
    <w:p w:rsidR="0006297A" w:rsidRPr="00D32180" w:rsidRDefault="0006297A" w:rsidP="0006297A">
      <w:pPr>
        <w:pStyle w:val="Heading2"/>
      </w:pPr>
      <w:bookmarkStart w:id="248" w:name="_Toc217446215"/>
      <w:bookmarkStart w:id="249" w:name="_Toc220919443"/>
      <w:bookmarkStart w:id="250" w:name="_Toc303342550"/>
      <w:bookmarkStart w:id="251" w:name="_Toc343682688"/>
      <w:r w:rsidRPr="00D32180">
        <w:t>Other corporate events</w:t>
      </w:r>
      <w:bookmarkEnd w:id="248"/>
      <w:bookmarkEnd w:id="249"/>
      <w:bookmarkEnd w:id="250"/>
      <w:bookmarkEnd w:id="251"/>
    </w:p>
    <w:p w:rsidR="0006297A" w:rsidRPr="00D32180" w:rsidRDefault="0006297A" w:rsidP="0006297A">
      <w:pPr>
        <w:pStyle w:val="RI07-BodyCopy95pt"/>
      </w:pPr>
      <w:r w:rsidRPr="00D32180">
        <w:t xml:space="preserve">The following corporate events are related to a company’s fundamental structure change. They potentially impact the index’s calculation, capital allocation and timing of applying corporate actions. </w:t>
      </w:r>
    </w:p>
    <w:p w:rsidR="0006297A" w:rsidRDefault="0006297A" w:rsidP="0006297A">
      <w:pPr>
        <w:pStyle w:val="Heading2"/>
      </w:pPr>
      <w:bookmarkStart w:id="252" w:name="_Toc303345558"/>
      <w:bookmarkStart w:id="253" w:name="_Toc316881846"/>
      <w:bookmarkStart w:id="254" w:name="_Toc343682689"/>
      <w:bookmarkStart w:id="255" w:name="_Toc217446216"/>
      <w:bookmarkStart w:id="256" w:name="_Toc220919444"/>
      <w:bookmarkStart w:id="257" w:name="_Toc303342551"/>
      <w:r>
        <w:lastRenderedPageBreak/>
        <w:t>Bankruptcy and voluntary liquidations</w:t>
      </w:r>
      <w:bookmarkEnd w:id="252"/>
      <w:bookmarkEnd w:id="253"/>
      <w:bookmarkEnd w:id="254"/>
    </w:p>
    <w:p w:rsidR="0006297A" w:rsidRDefault="0006297A" w:rsidP="0006297A">
      <w:pPr>
        <w:pStyle w:val="RI07-BodyCopy95pt"/>
      </w:pPr>
      <w:r>
        <w:t>Companies filing for Chapter 7 bankruptcy or filing a liquidation plan will be removed from Russell indexes at the time of filing providing two days notice. Companies filing for Chapter 11 reorganization bankruptcy will remain members of the index, unless the companies are delisted from the primary exchange. In that case, normal delisting rules will apply. If a company files for bankruptcy, and is delisted and if it can be confirmed that it will not trade OTC, Russell may remove the stock at a nominal price of $0.0001 (local currency).</w:t>
      </w:r>
    </w:p>
    <w:p w:rsidR="0006297A" w:rsidRPr="004D12B6" w:rsidRDefault="0006297A" w:rsidP="0006297A">
      <w:pPr>
        <w:pStyle w:val="RI07-BodyCopy95pt"/>
        <w:rPr>
          <w:color w:val="595959"/>
        </w:rPr>
      </w:pPr>
      <w:bookmarkStart w:id="258" w:name="_Toc303342552"/>
      <w:bookmarkStart w:id="259" w:name="_Toc217446217"/>
      <w:bookmarkStart w:id="260" w:name="_Toc220919445"/>
      <w:bookmarkEnd w:id="255"/>
      <w:bookmarkEnd w:id="256"/>
      <w:bookmarkEnd w:id="257"/>
      <w:r w:rsidRPr="00CD704C">
        <w:rPr>
          <w:b/>
          <w:bCs/>
        </w:rPr>
        <w:t>Change of incorporation/domicile</w:t>
      </w:r>
      <w:bookmarkEnd w:id="258"/>
      <w:r>
        <w:rPr>
          <w:b/>
          <w:bCs/>
        </w:rPr>
        <w:t xml:space="preserve">: </w:t>
      </w:r>
      <w:r w:rsidRPr="0044163D">
        <w:rPr>
          <w:color w:val="595959"/>
        </w:rPr>
        <w:t xml:space="preserve">A company might decide to move its incorporation or domicile from one country to another. All changes in country assignment </w:t>
      </w:r>
      <w:r w:rsidRPr="004D12B6">
        <w:rPr>
          <w:color w:val="595959"/>
          <w:szCs w:val="19"/>
        </w:rPr>
        <w:t xml:space="preserve">(domicile) </w:t>
      </w:r>
      <w:r w:rsidRPr="0044163D">
        <w:rPr>
          <w:color w:val="595959"/>
        </w:rPr>
        <w:t>are reviewed only once per year during reconstitution.</w:t>
      </w:r>
      <w:r>
        <w:rPr>
          <w:color w:val="595959"/>
          <w:szCs w:val="19"/>
        </w:rPr>
        <w:t xml:space="preserve"> </w:t>
      </w:r>
      <w:r w:rsidRPr="004D12B6">
        <w:rPr>
          <w:color w:val="595959"/>
          <w:szCs w:val="19"/>
        </w:rPr>
        <w:t>Changes of country of incorporation are made when effective.</w:t>
      </w:r>
      <w:r>
        <w:rPr>
          <w:color w:val="595959"/>
          <w:szCs w:val="19"/>
        </w:rPr>
        <w:t xml:space="preserve"> </w:t>
      </w:r>
      <w:r w:rsidRPr="004D12B6">
        <w:rPr>
          <w:color w:val="595959"/>
          <w:szCs w:val="19"/>
        </w:rPr>
        <w:t>This ensures accurate taxation of dividends.</w:t>
      </w:r>
      <w:r>
        <w:rPr>
          <w:color w:val="595959"/>
          <w:szCs w:val="19"/>
        </w:rPr>
        <w:t xml:space="preserve"> </w:t>
      </w:r>
    </w:p>
    <w:bookmarkEnd w:id="259"/>
    <w:bookmarkEnd w:id="260"/>
    <w:p w:rsidR="0006297A" w:rsidRDefault="0006297A" w:rsidP="0006297A">
      <w:pPr>
        <w:pStyle w:val="RI07-BodyCopy95pt"/>
      </w:pPr>
      <w:r w:rsidRPr="00CD704C">
        <w:rPr>
          <w:b/>
          <w:bCs/>
        </w:rPr>
        <w:t>Change of company structure</w:t>
      </w:r>
      <w:r>
        <w:rPr>
          <w:b/>
          <w:bCs/>
        </w:rPr>
        <w:t>:</w:t>
      </w:r>
      <w:r w:rsidRPr="00CD704C">
        <w:rPr>
          <w:b/>
          <w:bCs/>
        </w:rPr>
        <w:t xml:space="preserve"> Business Development Company:</w:t>
      </w:r>
      <w:r>
        <w:t xml:space="preserve"> </w:t>
      </w:r>
      <w:r w:rsidRPr="005364EB">
        <w:t>In the event a company changes its corporate designation from that of a Business Development Company (BDC),</w:t>
      </w:r>
      <w:r>
        <w:t xml:space="preserve"> </w:t>
      </w:r>
      <w:r w:rsidRPr="005364EB">
        <w:t>Russell will remove the member as ineligible for index inclusion and provide two</w:t>
      </w:r>
      <w:r>
        <w:t xml:space="preserve"> </w:t>
      </w:r>
      <w:r w:rsidRPr="005364EB">
        <w:t>days</w:t>
      </w:r>
      <w:r>
        <w:t>’</w:t>
      </w:r>
      <w:r w:rsidRPr="005364EB">
        <w:t xml:space="preserve"> notice of its removal. </w:t>
      </w:r>
    </w:p>
    <w:p w:rsidR="0006297A" w:rsidRDefault="0006297A" w:rsidP="0006297A">
      <w:pPr>
        <w:pStyle w:val="RI07-BodyCopy95pt"/>
        <w:rPr>
          <w:color w:val="5F5F61"/>
        </w:rPr>
      </w:pPr>
      <w:bookmarkStart w:id="261" w:name="_Toc303342553"/>
      <w:bookmarkStart w:id="262" w:name="_Toc217446219"/>
      <w:bookmarkStart w:id="263" w:name="_Toc220919447"/>
      <w:r w:rsidRPr="00CD704C">
        <w:rPr>
          <w:b/>
          <w:bCs/>
        </w:rPr>
        <w:t>Other corporate events</w:t>
      </w:r>
      <w:bookmarkEnd w:id="261"/>
      <w:r>
        <w:rPr>
          <w:b/>
          <w:bCs/>
        </w:rPr>
        <w:t xml:space="preserve">: </w:t>
      </w:r>
      <w:r w:rsidRPr="0044163D">
        <w:rPr>
          <w:color w:val="5F5F61"/>
        </w:rPr>
        <w:t>Other corporate events include change of fiscal year end, change of currency quotation, change of voting rights, new debt issues and corporate meetings. These corporate events usually have little impact on the index. Russell will closely monitor these activities and apply corporate actions to the index if impact is significant.</w:t>
      </w:r>
    </w:p>
    <w:p w:rsidR="0006297A" w:rsidRDefault="0006297A" w:rsidP="0006297A">
      <w:pPr>
        <w:autoSpaceDE w:val="0"/>
        <w:autoSpaceDN w:val="0"/>
        <w:adjustRightInd w:val="0"/>
        <w:spacing w:before="160"/>
        <w:rPr>
          <w:color w:val="F38F1C"/>
        </w:rPr>
      </w:pPr>
      <w:bookmarkStart w:id="264" w:name="_Toc303342554"/>
      <w:bookmarkStart w:id="265" w:name="_Toc217446220"/>
      <w:bookmarkStart w:id="266" w:name="_Toc220919448"/>
      <w:bookmarkEnd w:id="262"/>
      <w:bookmarkEnd w:id="263"/>
      <w:r w:rsidRPr="0044163D">
        <w:rPr>
          <w:rFonts w:ascii="Arial" w:hAnsi="Arial"/>
          <w:b/>
          <w:color w:val="F38F1C"/>
          <w:sz w:val="19"/>
        </w:rPr>
        <w:t>Extraordinary events</w:t>
      </w:r>
      <w:bookmarkEnd w:id="264"/>
    </w:p>
    <w:p w:rsidR="0006297A" w:rsidRDefault="0006297A" w:rsidP="0006297A">
      <w:pPr>
        <w:spacing w:after="100" w:line="260" w:lineRule="atLeast"/>
      </w:pPr>
      <w:r>
        <w:rPr>
          <w:rFonts w:ascii="Arial" w:hAnsi="Arial"/>
          <w:color w:val="5F6062"/>
          <w:sz w:val="19"/>
        </w:rPr>
        <w:t>Russell defines the following as extraordinary events due to their rarity and their potential to significantly impact the capital markets. Russell publicly announces specific changes to the indexes if any such events occur.</w:t>
      </w:r>
    </w:p>
    <w:p w:rsidR="0006297A" w:rsidRDefault="0006297A" w:rsidP="0006297A">
      <w:pPr>
        <w:spacing w:after="100" w:line="260" w:lineRule="atLeast"/>
      </w:pPr>
      <w:r w:rsidRPr="0044163D">
        <w:rPr>
          <w:rFonts w:ascii="Arial" w:hAnsi="Arial"/>
          <w:b/>
          <w:color w:val="5F5F61"/>
          <w:sz w:val="19"/>
        </w:rPr>
        <w:t xml:space="preserve">Country unification or dissolution: </w:t>
      </w:r>
      <w:r>
        <w:rPr>
          <w:rFonts w:ascii="Arial" w:hAnsi="Arial"/>
          <w:color w:val="5F6062"/>
          <w:sz w:val="19"/>
        </w:rPr>
        <w:t>If two countries decide to unite as one, such as the unification of the former German Democratic Republic and the Federal Republic of Germany, Russell will combine securities previously belonging to these two country indexes into one new country index. The new currency quotation, if any, will be implemented for index calculation.</w:t>
      </w:r>
    </w:p>
    <w:p w:rsidR="0006297A" w:rsidRDefault="0006297A" w:rsidP="0006297A">
      <w:pPr>
        <w:spacing w:after="100" w:line="260" w:lineRule="atLeast"/>
        <w:rPr>
          <w:color w:val="5F5F61"/>
        </w:rPr>
      </w:pPr>
      <w:r>
        <w:rPr>
          <w:rFonts w:ascii="Arial" w:hAnsi="Arial"/>
          <w:color w:val="5F6062"/>
          <w:sz w:val="19"/>
        </w:rPr>
        <w:t>Conversely, if one country splits into two or more new countries, the Russell Global Index will continue to hold all securities from the previous country indexes. Russell will evaluate the newly formed countries for their stability and determine future index changes accordingly.</w:t>
      </w:r>
    </w:p>
    <w:p w:rsidR="0006297A" w:rsidRDefault="0006297A" w:rsidP="0006297A">
      <w:pPr>
        <w:spacing w:after="100" w:line="260" w:lineRule="atLeast"/>
      </w:pPr>
      <w:r w:rsidRPr="0044163D">
        <w:rPr>
          <w:rFonts w:ascii="Arial" w:hAnsi="Arial"/>
          <w:b/>
          <w:color w:val="5F5F61"/>
          <w:sz w:val="19"/>
        </w:rPr>
        <w:t xml:space="preserve">Change of foreign ownership limit: </w:t>
      </w:r>
      <w:r>
        <w:rPr>
          <w:rFonts w:ascii="Arial" w:hAnsi="Arial"/>
          <w:color w:val="5F6062"/>
          <w:sz w:val="19"/>
        </w:rPr>
        <w:t>Given the increasing globalization trend in equities, it is possible that local governments may remove or lower their foreign ownership caps for certain sensitive industry sectors. If the change in a foreign ownership limit is substantial (usually more than 10%), Russell will adjust the foreign ownership percentage in the index at the end of the calendar quarter, along with any new IPO reviews.</w:t>
      </w:r>
    </w:p>
    <w:p w:rsidR="0006297A" w:rsidRDefault="0006297A" w:rsidP="0006297A">
      <w:pPr>
        <w:spacing w:after="100" w:line="260" w:lineRule="atLeast"/>
      </w:pPr>
      <w:r w:rsidRPr="0044163D">
        <w:rPr>
          <w:rFonts w:ascii="Arial" w:hAnsi="Arial"/>
          <w:b/>
          <w:color w:val="5F5F61"/>
          <w:sz w:val="19"/>
        </w:rPr>
        <w:t xml:space="preserve">Closure of exchanges: </w:t>
      </w:r>
      <w:r>
        <w:rPr>
          <w:rFonts w:ascii="Arial" w:hAnsi="Arial"/>
          <w:color w:val="5F6062"/>
          <w:sz w:val="19"/>
        </w:rPr>
        <w:t>If a stock exchange is temporarily closed on a regular business day due to a special event or an emergency, the prices for all stocks that are traded only on that particular exchange will be frozen at the last available closing price until the exchange reopens.</w:t>
      </w:r>
    </w:p>
    <w:p w:rsidR="0006297A" w:rsidRDefault="0006297A" w:rsidP="0006297A">
      <w:pPr>
        <w:spacing w:after="100" w:line="260" w:lineRule="atLeast"/>
        <w:rPr>
          <w:color w:val="5F5F61"/>
        </w:rPr>
      </w:pPr>
      <w:r w:rsidRPr="0044163D">
        <w:rPr>
          <w:rFonts w:ascii="Arial" w:hAnsi="Arial"/>
          <w:color w:val="5F5F61"/>
          <w:sz w:val="19"/>
        </w:rPr>
        <w:t>If the closure of a stock exchange is expected to be long term, due to civil war or other rare political reasons, because of the expected difficulty of asset repatriation, Russell will work with clients invested in the affected securities to determine and publish an adequate index strategy to reflect the market condition. New currency quotations, if any, will be implemented for index calculation.</w:t>
      </w:r>
    </w:p>
    <w:p w:rsidR="0006297A" w:rsidRDefault="0006297A" w:rsidP="0006297A">
      <w:pPr>
        <w:spacing w:after="100" w:line="260" w:lineRule="atLeast"/>
      </w:pPr>
      <w:r w:rsidRPr="0044163D">
        <w:rPr>
          <w:rFonts w:ascii="Arial" w:hAnsi="Arial"/>
          <w:b/>
          <w:color w:val="5F5F61"/>
          <w:sz w:val="19"/>
        </w:rPr>
        <w:lastRenderedPageBreak/>
        <w:t xml:space="preserve">Significant currency devaluation: </w:t>
      </w:r>
      <w:r>
        <w:rPr>
          <w:rFonts w:ascii="Arial" w:hAnsi="Arial"/>
          <w:color w:val="5F6062"/>
          <w:sz w:val="19"/>
        </w:rPr>
        <w:t>If the currency of a country devalues significantly over a short period of time, it could create serious liquidity problems for investors who buy or sell stocks on the local market. It could also cause complications with government currency controls and abnormal bid-ask spreads, or even potentially trigger a financial crisis. Given this situation, ADR trading prices, if available, will be used to derive the underlying FX exchange rate and will be applied for index calculations.</w:t>
      </w:r>
    </w:p>
    <w:p w:rsidR="0006297A" w:rsidRDefault="0006297A" w:rsidP="0006297A">
      <w:pPr>
        <w:spacing w:after="100" w:line="260" w:lineRule="atLeast"/>
        <w:rPr>
          <w:rFonts w:ascii="Arial" w:hAnsi="Arial"/>
          <w:color w:val="5F6062"/>
          <w:sz w:val="19"/>
        </w:rPr>
      </w:pPr>
      <w:r w:rsidRPr="0044163D">
        <w:rPr>
          <w:rFonts w:ascii="Arial" w:hAnsi="Arial"/>
          <w:b/>
          <w:color w:val="5F5F61"/>
          <w:sz w:val="19"/>
        </w:rPr>
        <w:t xml:space="preserve">Financial crisis: </w:t>
      </w:r>
      <w:r>
        <w:rPr>
          <w:rFonts w:ascii="Arial" w:hAnsi="Arial"/>
          <w:color w:val="5F6062"/>
          <w:sz w:val="19"/>
        </w:rPr>
        <w:t>Russell attempts to exclude countries with considerable financial risk from the Russell Global Index by using the country risk scores published by The Economist, but crises can erupt at any time. During a financial crisis, investors generally lose confidence in local securities and may attempt to sell off securities from the local market. Due to the expected difficulty of asset repatriation in such conditions, Russell will work with clients invested in the affected securities to determine and publish an adequate index strategy to reflect the market condition. However, Russell reserves the right to remove the whole country from the Russell Global Index and will also consider using ADRs or other non-primary issues as proxies during the crisis on a case-by-case basis.</w:t>
      </w:r>
    </w:p>
    <w:p w:rsidR="0006297A" w:rsidRDefault="0006297A" w:rsidP="0006297A">
      <w:pPr>
        <w:spacing w:after="100" w:line="260" w:lineRule="atLeast"/>
        <w:rPr>
          <w:rFonts w:ascii="Arial" w:hAnsi="Arial"/>
          <w:color w:val="5F6062"/>
          <w:sz w:val="19"/>
        </w:rPr>
      </w:pPr>
    </w:p>
    <w:p w:rsidR="0006297A" w:rsidRDefault="0006297A" w:rsidP="0006297A">
      <w:pPr>
        <w:spacing w:after="100" w:line="260" w:lineRule="atLeast"/>
        <w:sectPr w:rsidR="0006297A" w:rsidSect="00676CED">
          <w:headerReference w:type="default" r:id="rId33"/>
          <w:footerReference w:type="default" r:id="rId34"/>
          <w:headerReference w:type="first" r:id="rId35"/>
          <w:footerReference w:type="first" r:id="rId36"/>
          <w:pgSz w:w="12240" w:h="15840"/>
          <w:pgMar w:top="1440" w:right="1440" w:bottom="1440" w:left="1526" w:header="720" w:footer="1267" w:gutter="0"/>
          <w:cols w:space="720"/>
          <w:titlePg/>
          <w:docGrid w:linePitch="360"/>
        </w:sectPr>
      </w:pPr>
    </w:p>
    <w:bookmarkEnd w:id="265"/>
    <w:bookmarkEnd w:id="266"/>
    <w:p w:rsidR="0006297A" w:rsidRDefault="0006297A" w:rsidP="0006297A">
      <w:pPr>
        <w:pStyle w:val="RI01-Heading0"/>
      </w:pPr>
      <w:r>
        <w:lastRenderedPageBreak/>
        <w:t>section 9</w:t>
      </w:r>
    </w:p>
    <w:p w:rsidR="0006297A" w:rsidRDefault="0006297A" w:rsidP="0006297A">
      <w:pPr>
        <w:pStyle w:val="Heading1"/>
      </w:pPr>
      <w:bookmarkStart w:id="267" w:name="_Russell_Frontier™_Index"/>
      <w:bookmarkStart w:id="268" w:name="_Toc303342555"/>
      <w:bookmarkStart w:id="269" w:name="_Toc343682690"/>
      <w:bookmarkEnd w:id="267"/>
      <w:r>
        <w:t>Russell Frontier</w:t>
      </w:r>
      <w:r w:rsidRPr="00ED70B9">
        <w:rPr>
          <w:vertAlign w:val="superscript"/>
        </w:rPr>
        <w:t>®</w:t>
      </w:r>
      <w:r>
        <w:t xml:space="preserve"> Index</w:t>
      </w:r>
      <w:bookmarkEnd w:id="268"/>
      <w:bookmarkEnd w:id="269"/>
      <w:r>
        <w:t xml:space="preserve"> </w:t>
      </w:r>
    </w:p>
    <w:p w:rsidR="0006297A" w:rsidRPr="00E53163" w:rsidRDefault="0006297A" w:rsidP="0006297A">
      <w:pPr>
        <w:pStyle w:val="Heading2"/>
      </w:pPr>
      <w:bookmarkStart w:id="270" w:name="_Toc303342556"/>
      <w:bookmarkStart w:id="271" w:name="_Toc343682691"/>
      <w:r>
        <w:t>Determining frontier countries</w:t>
      </w:r>
      <w:bookmarkEnd w:id="270"/>
      <w:bookmarkEnd w:id="271"/>
      <w:r>
        <w:t xml:space="preserve"> </w:t>
      </w:r>
    </w:p>
    <w:p w:rsidR="0006297A" w:rsidRDefault="0006297A" w:rsidP="0006297A">
      <w:pPr>
        <w:pStyle w:val="RI07-BodyCopy95pt"/>
      </w:pPr>
      <w:r w:rsidRPr="003F5D46">
        <w:t xml:space="preserve">The first step in the construction of Russell Frontier </w:t>
      </w:r>
      <w:r>
        <w:t>Indexes</w:t>
      </w:r>
      <w:r w:rsidRPr="003F5D46">
        <w:t xml:space="preserve"> is </w:t>
      </w:r>
      <w:r>
        <w:t xml:space="preserve">to identify which countries qualify for </w:t>
      </w:r>
      <w:r w:rsidRPr="003F5D46">
        <w:t>frontier</w:t>
      </w:r>
      <w:r>
        <w:t xml:space="preserve"> membership. </w:t>
      </w:r>
      <w:r w:rsidRPr="00437E54">
        <w:t>Frontier markets are countries with investable equity markets</w:t>
      </w:r>
      <w:r>
        <w:t xml:space="preserve"> that </w:t>
      </w:r>
      <w:r w:rsidRPr="00437E54">
        <w:t>are considered highly risky,</w:t>
      </w:r>
      <w:r>
        <w:t xml:space="preserve"> and </w:t>
      </w:r>
      <w:r w:rsidRPr="00437E54">
        <w:t>difficult and expensive to trade</w:t>
      </w:r>
      <w:r>
        <w:t xml:space="preserve"> in. Countries with smaller, less liquid markets are also considered frontier markets. </w:t>
      </w:r>
      <w:r w:rsidRPr="00437E54">
        <w:t xml:space="preserve">However, as the global economy grows in complexity, investors </w:t>
      </w:r>
      <w:r>
        <w:t xml:space="preserve">are </w:t>
      </w:r>
      <w:r w:rsidRPr="00437E54">
        <w:t>seek</w:t>
      </w:r>
      <w:r>
        <w:t>ing</w:t>
      </w:r>
      <w:r w:rsidRPr="00437E54">
        <w:t xml:space="preserve"> more sophisticated tools for diversifying portfolios. Invest</w:t>
      </w:r>
      <w:r>
        <w:t>ing</w:t>
      </w:r>
      <w:r w:rsidRPr="00437E54">
        <w:t xml:space="preserve"> in frontier markets offer</w:t>
      </w:r>
      <w:r>
        <w:t>s</w:t>
      </w:r>
      <w:r w:rsidRPr="00437E54">
        <w:t xml:space="preserve"> investors </w:t>
      </w:r>
      <w:r>
        <w:t xml:space="preserve">earning </w:t>
      </w:r>
      <w:r w:rsidRPr="00437E54">
        <w:t>potential with low correlation to other markets</w:t>
      </w:r>
      <w:r>
        <w:t xml:space="preserve"> in exchange for higher risk. </w:t>
      </w:r>
    </w:p>
    <w:p w:rsidR="0006297A" w:rsidRPr="00E53163" w:rsidRDefault="0006297A" w:rsidP="0006297A">
      <w:pPr>
        <w:pStyle w:val="RI07-BodyCopy95pt"/>
      </w:pPr>
      <w:r>
        <w:t xml:space="preserve">Russell defines frontier countries as those that do not meet the </w:t>
      </w:r>
      <w:r w:rsidRPr="003F5D46">
        <w:t xml:space="preserve">established </w:t>
      </w:r>
      <w:r>
        <w:t xml:space="preserve">criteria for membership in </w:t>
      </w:r>
      <w:r w:rsidRPr="003F5D46">
        <w:t>Russell</w:t>
      </w:r>
      <w:r>
        <w:t>’s</w:t>
      </w:r>
      <w:r w:rsidRPr="003F5D46">
        <w:t xml:space="preserve"> </w:t>
      </w:r>
      <w:r>
        <w:t>E</w:t>
      </w:r>
      <w:r w:rsidRPr="003F5D46">
        <w:t xml:space="preserve">merging </w:t>
      </w:r>
      <w:r>
        <w:t>M</w:t>
      </w:r>
      <w:r w:rsidRPr="003F5D46">
        <w:t xml:space="preserve">arkets </w:t>
      </w:r>
      <w:r>
        <w:t>I</w:t>
      </w:r>
      <w:r w:rsidRPr="003F5D46">
        <w:t>ndexes</w:t>
      </w:r>
      <w:r>
        <w:t>. Countries</w:t>
      </w:r>
      <w:r w:rsidRPr="003F5D46">
        <w:t xml:space="preserve"> that are not considered emerging markets are eligible for frontier </w:t>
      </w:r>
      <w:r>
        <w:t xml:space="preserve">index </w:t>
      </w:r>
      <w:r w:rsidRPr="003F5D46">
        <w:t xml:space="preserve">membership as long as accessible market data </w:t>
      </w:r>
      <w:r>
        <w:t xml:space="preserve">are </w:t>
      </w:r>
      <w:r w:rsidRPr="003F5D46">
        <w:t xml:space="preserve">available. In an effort to control turnover, countries must meet the higher or lower requirements for two consecutive years before moving </w:t>
      </w:r>
      <w:r>
        <w:t>between frontier and</w:t>
      </w:r>
      <w:r w:rsidRPr="003F5D46">
        <w:t xml:space="preserve"> emerging markets.</w:t>
      </w:r>
    </w:p>
    <w:p w:rsidR="0006297A" w:rsidRPr="006F222F" w:rsidRDefault="0006297A" w:rsidP="0006297A">
      <w:pPr>
        <w:pStyle w:val="RI07-BodyCopy95pt"/>
      </w:pPr>
      <w:r w:rsidRPr="006F222F">
        <w:t xml:space="preserve">A country will be considered a frontier market if it is classified as </w:t>
      </w:r>
      <w:r>
        <w:t xml:space="preserve">such after Russell has reviewed economic criteria (country risk) and </w:t>
      </w:r>
      <w:r w:rsidRPr="006F222F">
        <w:t>market criteria (trading risk)</w:t>
      </w:r>
      <w:r>
        <w:t xml:space="preserve"> as described below</w:t>
      </w:r>
      <w:r w:rsidRPr="006F222F">
        <w:t xml:space="preserve">. </w:t>
      </w:r>
    </w:p>
    <w:p w:rsidR="0006297A" w:rsidRPr="00E53163" w:rsidRDefault="0006297A" w:rsidP="0006297A">
      <w:pPr>
        <w:pStyle w:val="Heading2"/>
      </w:pPr>
      <w:bookmarkStart w:id="272" w:name="_Toc303342557"/>
      <w:bookmarkStart w:id="273" w:name="_Toc343682692"/>
      <w:r w:rsidRPr="00E53163">
        <w:t xml:space="preserve">Country </w:t>
      </w:r>
      <w:r>
        <w:t>r</w:t>
      </w:r>
      <w:r w:rsidRPr="00E53163">
        <w:t>isk</w:t>
      </w:r>
      <w:bookmarkEnd w:id="272"/>
      <w:bookmarkEnd w:id="273"/>
    </w:p>
    <w:p w:rsidR="0006297A" w:rsidRPr="00260BAA" w:rsidRDefault="0006297A" w:rsidP="0006297A">
      <w:pPr>
        <w:pStyle w:val="RI07-BodyCopy95pt"/>
      </w:pPr>
      <w:r w:rsidRPr="00260BAA">
        <w:t xml:space="preserve">Russell </w:t>
      </w:r>
      <w:r>
        <w:t>takes</w:t>
      </w:r>
      <w:r w:rsidRPr="00260BAA">
        <w:t xml:space="preserve"> economic criteria </w:t>
      </w:r>
      <w:r>
        <w:t>into consideration when</w:t>
      </w:r>
      <w:r w:rsidRPr="00260BAA">
        <w:t xml:space="preserve"> categorizing countries into </w:t>
      </w:r>
      <w:r>
        <w:t xml:space="preserve">either </w:t>
      </w:r>
      <w:r w:rsidRPr="00260BAA">
        <w:t>emerging markets</w:t>
      </w:r>
      <w:r>
        <w:t xml:space="preserve"> or</w:t>
      </w:r>
      <w:r w:rsidRPr="00260BAA">
        <w:t xml:space="preserve"> frontier markets. This provides a measurement of the macro-economy and its level of development. It also provides a measurement of political, sovereign and currency risk. </w:t>
      </w:r>
      <w:r>
        <w:t xml:space="preserve">The economic criteria taken into consideration include relative income as measured by the World Bank and country risk score as measured by the Economist Intelligence Unit. </w:t>
      </w:r>
    </w:p>
    <w:p w:rsidR="0006297A" w:rsidRPr="00E53163" w:rsidRDefault="0006297A" w:rsidP="0006297A">
      <w:pPr>
        <w:pStyle w:val="Heading2"/>
      </w:pPr>
      <w:bookmarkStart w:id="274" w:name="_Toc303342558"/>
      <w:bookmarkStart w:id="275" w:name="_Toc343682693"/>
      <w:r w:rsidRPr="00E53163">
        <w:t xml:space="preserve">Trading </w:t>
      </w:r>
      <w:r>
        <w:t>r</w:t>
      </w:r>
      <w:r w:rsidRPr="00E53163">
        <w:t>isks</w:t>
      </w:r>
      <w:r>
        <w:t xml:space="preserve"> </w:t>
      </w:r>
      <w:r w:rsidRPr="00E53163">
        <w:t>/</w:t>
      </w:r>
      <w:r>
        <w:t xml:space="preserve"> challenges</w:t>
      </w:r>
      <w:bookmarkEnd w:id="274"/>
      <w:bookmarkEnd w:id="275"/>
    </w:p>
    <w:p w:rsidR="0006297A" w:rsidRDefault="0006297A" w:rsidP="0006297A">
      <w:pPr>
        <w:pStyle w:val="RI07-BodyCopy95pt"/>
      </w:pPr>
      <w:r w:rsidRPr="00C30D42">
        <w:t xml:space="preserve">To designate a country </w:t>
      </w:r>
      <w:r>
        <w:t xml:space="preserve">as developed, </w:t>
      </w:r>
      <w:r w:rsidRPr="00C30D42">
        <w:t>emerging</w:t>
      </w:r>
      <w:r>
        <w:t>, or frontier</w:t>
      </w:r>
      <w:r w:rsidRPr="00C30D42">
        <w:t xml:space="preserve">, Russell also reviews market criteria </w:t>
      </w:r>
      <w:r>
        <w:t>(</w:t>
      </w:r>
      <w:r w:rsidRPr="00C30D42">
        <w:t>trading risks</w:t>
      </w:r>
      <w:r>
        <w:t>)</w:t>
      </w:r>
      <w:r w:rsidRPr="00C30D42">
        <w:t>. For the distinction between emerging and frontier, the information is more obscure</w:t>
      </w:r>
      <w:r>
        <w:t xml:space="preserve"> than the distinction between developed and emerging. </w:t>
      </w:r>
      <w:r w:rsidRPr="00C30D42">
        <w:t>The below trading risks are reviewed to determine frontier market status:</w:t>
      </w:r>
      <w:r>
        <w:t xml:space="preserve"> </w:t>
      </w:r>
    </w:p>
    <w:p w:rsidR="0006297A" w:rsidRPr="00C30D42" w:rsidRDefault="0006297A" w:rsidP="0006297A">
      <w:pPr>
        <w:pStyle w:val="RI07-BodyCopy95pt"/>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000"/>
      </w:tblPr>
      <w:tblGrid>
        <w:gridCol w:w="6028"/>
        <w:gridCol w:w="3462"/>
      </w:tblGrid>
      <w:tr w:rsidR="0006297A" w:rsidRPr="002664EE" w:rsidTr="00676CED">
        <w:trPr>
          <w:tblHeader/>
        </w:trPr>
        <w:tc>
          <w:tcPr>
            <w:tcW w:w="3176" w:type="pct"/>
          </w:tcPr>
          <w:p w:rsidR="0006297A" w:rsidRPr="002664EE" w:rsidRDefault="0006297A" w:rsidP="00676CED">
            <w:pPr>
              <w:pStyle w:val="RI07-BodyCopy95pt"/>
              <w:spacing w:before="20" w:after="20" w:line="240" w:lineRule="auto"/>
              <w:rPr>
                <w:b/>
                <w:bCs/>
                <w:color w:val="66AADD"/>
                <w:sz w:val="18"/>
                <w:szCs w:val="18"/>
              </w:rPr>
            </w:pPr>
            <w:r w:rsidRPr="002664EE">
              <w:rPr>
                <w:b/>
                <w:bCs/>
                <w:color w:val="66AADD"/>
                <w:sz w:val="18"/>
                <w:szCs w:val="18"/>
              </w:rPr>
              <w:t>Criteria</w:t>
            </w:r>
          </w:p>
        </w:tc>
        <w:tc>
          <w:tcPr>
            <w:tcW w:w="1824" w:type="pct"/>
          </w:tcPr>
          <w:p w:rsidR="0006297A" w:rsidRPr="002664EE" w:rsidRDefault="0006297A" w:rsidP="00676CED">
            <w:pPr>
              <w:pStyle w:val="RI07-BodyCopy95pt"/>
              <w:spacing w:before="20" w:after="20" w:line="240" w:lineRule="auto"/>
              <w:rPr>
                <w:b/>
                <w:bCs/>
                <w:color w:val="66AADD"/>
                <w:sz w:val="18"/>
                <w:szCs w:val="18"/>
              </w:rPr>
            </w:pPr>
            <w:r w:rsidRPr="002664EE">
              <w:rPr>
                <w:b/>
                <w:bCs/>
                <w:color w:val="66AADD"/>
                <w:sz w:val="18"/>
                <w:szCs w:val="18"/>
              </w:rPr>
              <w:t>Frontier</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Regulatory Infrastructure</w:t>
            </w:r>
          </w:p>
        </w:tc>
        <w:tc>
          <w:tcPr>
            <w:tcW w:w="1824" w:type="pct"/>
          </w:tcPr>
          <w:p w:rsidR="0006297A" w:rsidRPr="002664EE" w:rsidRDefault="0006297A" w:rsidP="00676CED">
            <w:pPr>
              <w:pStyle w:val="RI07-BodyCopy95pt"/>
              <w:spacing w:before="20" w:after="20" w:line="240" w:lineRule="auto"/>
              <w:rPr>
                <w:sz w:val="18"/>
                <w:szCs w:val="18"/>
              </w:rPr>
            </w:pPr>
            <w:r w:rsidRPr="002664EE">
              <w:rPr>
                <w:sz w:val="18"/>
                <w:szCs w:val="18"/>
              </w:rPr>
              <w:t>Incomplete</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Trading and Custody accounts</w:t>
            </w:r>
          </w:p>
        </w:tc>
        <w:tc>
          <w:tcPr>
            <w:tcW w:w="1824" w:type="pct"/>
          </w:tcPr>
          <w:p w:rsidR="0006297A" w:rsidRPr="002664EE" w:rsidRDefault="0006297A" w:rsidP="00676CED">
            <w:pPr>
              <w:pStyle w:val="RI07-BodyCopy95pt"/>
              <w:spacing w:before="20" w:after="20" w:line="240" w:lineRule="auto"/>
              <w:rPr>
                <w:sz w:val="18"/>
                <w:szCs w:val="18"/>
              </w:rPr>
            </w:pPr>
            <w:r w:rsidRPr="002664EE">
              <w:rPr>
                <w:sz w:val="18"/>
                <w:szCs w:val="18"/>
              </w:rPr>
              <w:t>No Segregation</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 xml:space="preserve"> Foreign Ownership Limits </w:t>
            </w:r>
          </w:p>
        </w:tc>
        <w:tc>
          <w:tcPr>
            <w:tcW w:w="1824" w:type="pct"/>
          </w:tcPr>
          <w:p w:rsidR="0006297A" w:rsidRPr="002664EE" w:rsidRDefault="0006297A" w:rsidP="00676CED">
            <w:pPr>
              <w:pStyle w:val="RI07-BodyCopy95pt"/>
              <w:spacing w:before="20" w:after="20" w:line="240" w:lineRule="auto"/>
              <w:rPr>
                <w:sz w:val="18"/>
                <w:szCs w:val="18"/>
              </w:rPr>
            </w:pPr>
            <w:r>
              <w:rPr>
                <w:sz w:val="18"/>
                <w:szCs w:val="18"/>
              </w:rPr>
              <w:t xml:space="preserve"> Broader restrictions</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Trade Confidentiality</w:t>
            </w:r>
          </w:p>
        </w:tc>
        <w:tc>
          <w:tcPr>
            <w:tcW w:w="1824" w:type="pct"/>
          </w:tcPr>
          <w:p w:rsidR="0006297A" w:rsidRPr="002664EE" w:rsidRDefault="0006297A" w:rsidP="00676CED">
            <w:pPr>
              <w:pStyle w:val="RI07-BodyCopy95pt"/>
              <w:spacing w:before="20" w:after="20" w:line="240" w:lineRule="auto"/>
              <w:rPr>
                <w:sz w:val="18"/>
                <w:szCs w:val="18"/>
              </w:rPr>
            </w:pPr>
            <w:r w:rsidRPr="002664EE">
              <w:rPr>
                <w:sz w:val="18"/>
                <w:szCs w:val="18"/>
              </w:rPr>
              <w:t>No</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Settlement Periods</w:t>
            </w:r>
          </w:p>
        </w:tc>
        <w:tc>
          <w:tcPr>
            <w:tcW w:w="1824" w:type="pct"/>
          </w:tcPr>
          <w:p w:rsidR="0006297A" w:rsidRPr="002664EE" w:rsidRDefault="0006297A" w:rsidP="00676CED">
            <w:pPr>
              <w:pStyle w:val="RI07-BodyCopy95pt"/>
              <w:spacing w:before="20" w:after="20" w:line="240" w:lineRule="auto"/>
              <w:rPr>
                <w:sz w:val="18"/>
                <w:szCs w:val="18"/>
              </w:rPr>
            </w:pPr>
            <w:r w:rsidRPr="002664EE">
              <w:rPr>
                <w:sz w:val="18"/>
                <w:szCs w:val="18"/>
              </w:rPr>
              <w:t>Longer than t+3</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Market Liquidity</w:t>
            </w:r>
          </w:p>
        </w:tc>
        <w:tc>
          <w:tcPr>
            <w:tcW w:w="1824" w:type="pct"/>
          </w:tcPr>
          <w:p w:rsidR="0006297A" w:rsidRPr="002664EE" w:rsidRDefault="0006297A" w:rsidP="00676CED">
            <w:pPr>
              <w:pStyle w:val="RI07-BodyCopy95pt"/>
              <w:spacing w:before="20" w:after="20" w:line="240" w:lineRule="auto"/>
              <w:rPr>
                <w:sz w:val="18"/>
                <w:szCs w:val="18"/>
              </w:rPr>
            </w:pPr>
            <w:r w:rsidRPr="002664EE">
              <w:rPr>
                <w:sz w:val="18"/>
                <w:szCs w:val="18"/>
              </w:rPr>
              <w:t>Lower than Emerging</w:t>
            </w:r>
          </w:p>
        </w:tc>
      </w:tr>
      <w:tr w:rsidR="0006297A" w:rsidRPr="002664EE" w:rsidTr="00676CED">
        <w:tc>
          <w:tcPr>
            <w:tcW w:w="3176" w:type="pct"/>
          </w:tcPr>
          <w:p w:rsidR="0006297A" w:rsidRPr="002664EE" w:rsidRDefault="0006297A" w:rsidP="00676CED">
            <w:pPr>
              <w:pStyle w:val="RI07-BodyCopy95pt"/>
              <w:spacing w:before="20" w:after="20" w:line="240" w:lineRule="auto"/>
              <w:rPr>
                <w:sz w:val="18"/>
                <w:szCs w:val="18"/>
              </w:rPr>
            </w:pPr>
            <w:r w:rsidRPr="002664EE">
              <w:rPr>
                <w:sz w:val="18"/>
                <w:szCs w:val="18"/>
              </w:rPr>
              <w:t>Pre-Deposit of shares required</w:t>
            </w:r>
          </w:p>
        </w:tc>
        <w:tc>
          <w:tcPr>
            <w:tcW w:w="1824" w:type="pct"/>
          </w:tcPr>
          <w:p w:rsidR="0006297A" w:rsidRPr="002664EE" w:rsidRDefault="0006297A" w:rsidP="00676CED">
            <w:pPr>
              <w:pStyle w:val="RI07-BodyCopy95pt"/>
              <w:spacing w:before="20" w:after="20" w:line="240" w:lineRule="auto"/>
              <w:rPr>
                <w:sz w:val="18"/>
                <w:szCs w:val="18"/>
              </w:rPr>
            </w:pPr>
            <w:r w:rsidRPr="002664EE">
              <w:rPr>
                <w:sz w:val="18"/>
                <w:szCs w:val="18"/>
              </w:rPr>
              <w:t>Yes</w:t>
            </w:r>
          </w:p>
        </w:tc>
      </w:tr>
    </w:tbl>
    <w:p w:rsidR="0006297A" w:rsidRPr="00A0725F" w:rsidRDefault="0006297A" w:rsidP="0006297A">
      <w:pPr>
        <w:pStyle w:val="RI07-BodyCopy95pt"/>
        <w:rPr>
          <w:sz w:val="16"/>
          <w:szCs w:val="16"/>
        </w:rPr>
      </w:pPr>
      <w:r w:rsidRPr="00A0725F">
        <w:rPr>
          <w:sz w:val="16"/>
          <w:szCs w:val="16"/>
        </w:rPr>
        <w:t>Sources: Custodian data and FactSet.</w:t>
      </w:r>
    </w:p>
    <w:p w:rsidR="0006297A" w:rsidRDefault="0006297A" w:rsidP="0006297A">
      <w:pPr>
        <w:jc w:val="both"/>
        <w:rPr>
          <w:rFonts w:ascii="Arial" w:hAnsi="Arial"/>
          <w:color w:val="5F6062"/>
          <w:sz w:val="19"/>
        </w:rPr>
      </w:pPr>
    </w:p>
    <w:p w:rsidR="0006297A" w:rsidRPr="00284242" w:rsidRDefault="0006297A" w:rsidP="0006297A">
      <w:pPr>
        <w:pStyle w:val="RI07-BodyCopy95pt"/>
      </w:pPr>
      <w:r w:rsidRPr="00284242">
        <w:lastRenderedPageBreak/>
        <w:t xml:space="preserve">In addition, countries listed on the U.S. Department of Treasury </w:t>
      </w:r>
      <w:r>
        <w:t xml:space="preserve">(or OFAC) </w:t>
      </w:r>
      <w:r w:rsidRPr="00284242">
        <w:t xml:space="preserve">sanctions lists are excluded from inclusion. </w:t>
      </w:r>
      <w:r>
        <w:t xml:space="preserve">The </w:t>
      </w:r>
      <w:r w:rsidRPr="00284242">
        <w:t xml:space="preserve">following countries </w:t>
      </w:r>
      <w:r>
        <w:t>are</w:t>
      </w:r>
      <w:r w:rsidRPr="00284242">
        <w:t xml:space="preserve"> included on </w:t>
      </w:r>
      <w:r>
        <w:t>the sanctions</w:t>
      </w:r>
      <w:r w:rsidRPr="00284242">
        <w:t xml:space="preserve"> list: Belarus, Burma, </w:t>
      </w:r>
      <w:r>
        <w:t xml:space="preserve">Congo, </w:t>
      </w:r>
      <w:r w:rsidRPr="00284242">
        <w:t>Cuba</w:t>
      </w:r>
      <w:r>
        <w:t xml:space="preserve">, </w:t>
      </w:r>
      <w:r w:rsidRPr="00284242">
        <w:t>Iran, Iraq, North Korea, Somalia, Sudan, Syria, Zimbabwe</w:t>
      </w:r>
      <w:r>
        <w:t xml:space="preserve">, Cote d’Ivoire and Lebanon. </w:t>
      </w:r>
    </w:p>
    <w:p w:rsidR="0006297A" w:rsidRPr="003E5B46" w:rsidRDefault="0006297A" w:rsidP="0006297A">
      <w:pPr>
        <w:pStyle w:val="RI07-BodyCopy95pt"/>
      </w:pPr>
      <w:r w:rsidRPr="00960291">
        <w:t>A country which has been determined</w:t>
      </w:r>
      <w:r>
        <w:t xml:space="preserve"> eligible</w:t>
      </w:r>
      <w:r w:rsidRPr="00960291">
        <w:t xml:space="preserve"> to transition from Frontier to Emerging will</w:t>
      </w:r>
      <w:r>
        <w:t xml:space="preserve"> need to sustain its eligibility for a two year period before graduating to Emerging. </w:t>
      </w:r>
    </w:p>
    <w:p w:rsidR="0006297A" w:rsidRPr="00D32180" w:rsidRDefault="0006297A" w:rsidP="0006297A">
      <w:pPr>
        <w:pStyle w:val="Heading2"/>
      </w:pPr>
      <w:bookmarkStart w:id="276" w:name="_Toc303342559"/>
      <w:bookmarkStart w:id="277" w:name="_Toc343682694"/>
      <w:r>
        <w:t>Frontier securities</w:t>
      </w:r>
      <w:r w:rsidRPr="00D32180">
        <w:t xml:space="preserve"> </w:t>
      </w:r>
      <w:r>
        <w:t>t</w:t>
      </w:r>
      <w:r w:rsidRPr="00D32180">
        <w:t>ype</w:t>
      </w:r>
      <w:r>
        <w:t>s</w:t>
      </w:r>
      <w:bookmarkEnd w:id="276"/>
      <w:bookmarkEnd w:id="277"/>
    </w:p>
    <w:p w:rsidR="0006297A" w:rsidRDefault="0006297A" w:rsidP="0006297A">
      <w:pPr>
        <w:pStyle w:val="RI07-BodyCopy95pt"/>
      </w:pPr>
      <w:r w:rsidRPr="00D32180">
        <w:t xml:space="preserve">Russell’s </w:t>
      </w:r>
      <w:r>
        <w:t xml:space="preserve">second </w:t>
      </w:r>
      <w:r w:rsidRPr="00D32180">
        <w:t xml:space="preserve">step in determining </w:t>
      </w:r>
      <w:r>
        <w:t>Russell Frontier I</w:t>
      </w:r>
      <w:r w:rsidRPr="00D32180">
        <w:t xml:space="preserve">ndex membership is to capture and evaluate all exchange-traded securities in the </w:t>
      </w:r>
      <w:r>
        <w:t xml:space="preserve">frontier </w:t>
      </w:r>
      <w:r w:rsidRPr="00D32180">
        <w:t xml:space="preserve">marketplace and build the </w:t>
      </w:r>
      <w:r>
        <w:t>eligible</w:t>
      </w:r>
      <w:r w:rsidRPr="00D32180">
        <w:t xml:space="preserve"> stock universe. Equity and equity-like </w:t>
      </w:r>
      <w:r>
        <w:t xml:space="preserve">securities are included in the frontier </w:t>
      </w:r>
      <w:r w:rsidRPr="00D32180">
        <w:t>universe. Equity-like securities are those that represent ownership of a company without an obligation for the company to repay invested capital in the form of coupon payments or lump-sum payments throughout the life of the investment.</w:t>
      </w:r>
      <w:r>
        <w:t xml:space="preserve"> See Section 2, “Defining the total stock universe” for a list of included and excluded securities types. </w:t>
      </w:r>
    </w:p>
    <w:p w:rsidR="0006297A" w:rsidRPr="002A54C4" w:rsidRDefault="0006297A" w:rsidP="0006297A">
      <w:pPr>
        <w:pStyle w:val="Heading2"/>
      </w:pPr>
      <w:bookmarkStart w:id="278" w:name="_Toc303342560"/>
      <w:bookmarkStart w:id="279" w:name="_Toc343682695"/>
      <w:r w:rsidRPr="001B6FB8">
        <w:t>Universe minimum size requirement</w:t>
      </w:r>
      <w:bookmarkEnd w:id="278"/>
      <w:bookmarkEnd w:id="279"/>
    </w:p>
    <w:p w:rsidR="0006297A" w:rsidRDefault="0006297A" w:rsidP="0006297A">
      <w:pPr>
        <w:pStyle w:val="RI07-BodyCopy95pt"/>
      </w:pPr>
      <w:r>
        <w:t>Consistent with the Russell Global Index, any security under $1M market capitalization is not included in the eligible universe.</w:t>
      </w:r>
    </w:p>
    <w:p w:rsidR="0006297A" w:rsidRPr="00D32180" w:rsidRDefault="0006297A" w:rsidP="0006297A">
      <w:pPr>
        <w:pStyle w:val="Heading2"/>
      </w:pPr>
      <w:bookmarkStart w:id="280" w:name="_Toc303342561"/>
      <w:bookmarkStart w:id="281" w:name="_Toc343682696"/>
      <w:r w:rsidRPr="00940B02">
        <w:t>Universe liquidity screen</w:t>
      </w:r>
      <w:bookmarkEnd w:id="280"/>
      <w:bookmarkEnd w:id="281"/>
    </w:p>
    <w:p w:rsidR="0006297A" w:rsidRDefault="0006297A" w:rsidP="0006297A">
      <w:pPr>
        <w:pStyle w:val="RI07-BodyCopy95pt"/>
      </w:pPr>
      <w:r>
        <w:t xml:space="preserve">The third step in determining the membership of the Russell Frontier Index is to further </w:t>
      </w:r>
      <w:r w:rsidRPr="00D32180">
        <w:t xml:space="preserve">refine the universe of </w:t>
      </w:r>
      <w:r>
        <w:t xml:space="preserve">frontier </w:t>
      </w:r>
      <w:r w:rsidRPr="00D32180">
        <w:t xml:space="preserve">stocks to ensure investability. To be eligible for membership in the Russell </w:t>
      </w:r>
      <w:r>
        <w:t xml:space="preserve">Frontier </w:t>
      </w:r>
      <w:r w:rsidRPr="00D32180">
        <w:t>Index, st</w:t>
      </w:r>
      <w:r>
        <w:t xml:space="preserve">ocks must meet minimum </w:t>
      </w:r>
      <w:r w:rsidRPr="00D32180">
        <w:t xml:space="preserve">liquidity requirements. </w:t>
      </w:r>
      <w:r>
        <w:t>For the Russell Frontier Index, a single liquidity measure of average daily dollar trading volume (ADDTV) is used to determine eligibility in the universe. See Section 2, “Defining the total stock universe,” for the formula of ADDTV.</w:t>
      </w:r>
    </w:p>
    <w:p w:rsidR="0006297A" w:rsidRPr="00D32180" w:rsidRDefault="0006297A" w:rsidP="0006297A">
      <w:pPr>
        <w:pStyle w:val="RI07-BodyCopy95pt"/>
      </w:pPr>
      <w:r w:rsidRPr="00D32180">
        <w:t xml:space="preserve">At reconstitution, </w:t>
      </w:r>
      <w:r>
        <w:t xml:space="preserve">the Russell Global Index liquidity is determined by calculating the median of all securities in the global universe and including all securities above median. For the Russell Frontier Index, liquidity is determined by reducing the liquidity threshold established for the Russell Global Index by half. See Appendix I for historical median ADDTV. </w:t>
      </w:r>
    </w:p>
    <w:p w:rsidR="0006297A" w:rsidRPr="006D12A7" w:rsidRDefault="0006297A" w:rsidP="0006297A">
      <w:pPr>
        <w:pStyle w:val="Heading2"/>
      </w:pPr>
      <w:bookmarkStart w:id="282" w:name="_Toc303342562"/>
      <w:bookmarkStart w:id="283" w:name="_Toc343682697"/>
      <w:r w:rsidRPr="006D12A7">
        <w:t>Capturing 98% of the eligible frontier universe</w:t>
      </w:r>
      <w:bookmarkEnd w:id="282"/>
      <w:bookmarkEnd w:id="283"/>
    </w:p>
    <w:p w:rsidR="0006297A" w:rsidRDefault="0006297A" w:rsidP="0006297A">
      <w:pPr>
        <w:pStyle w:val="RI07-BodyCopy95pt"/>
      </w:pPr>
      <w:r w:rsidRPr="00D32180">
        <w:t>Following completion of</w:t>
      </w:r>
      <w:r>
        <w:t xml:space="preserve"> the country, security and liquidity screens, all eligible securities within the frontier countries are ranked in descending order by total market capitalization. 98% of the cumulative market capitalization becomes the Russell Frontier Index. Unlike the Russell Global Index, there is no rule for critical mass in the Russell Frontier Index. Regardless of the number of securities within a country, the country will be eligible. In frontier markets, it is not unusual for investors to enter a market to gain access to one stock.</w:t>
      </w:r>
    </w:p>
    <w:p w:rsidR="0006297A" w:rsidRPr="00550B7E" w:rsidRDefault="0006297A" w:rsidP="0006297A">
      <w:pPr>
        <w:pStyle w:val="Heading2"/>
      </w:pPr>
      <w:bookmarkStart w:id="284" w:name="_Toc303342563"/>
      <w:bookmarkStart w:id="285" w:name="_Toc343682698"/>
      <w:r w:rsidRPr="00550B7E">
        <w:t xml:space="preserve">Ineligible </w:t>
      </w:r>
      <w:r>
        <w:t>e</w:t>
      </w:r>
      <w:r w:rsidRPr="00550B7E">
        <w:t>xchanges</w:t>
      </w:r>
      <w:bookmarkEnd w:id="284"/>
      <w:bookmarkEnd w:id="285"/>
    </w:p>
    <w:p w:rsidR="0006297A" w:rsidRDefault="0006297A" w:rsidP="0006297A">
      <w:pPr>
        <w:pStyle w:val="RI07-BodyCopy95pt"/>
      </w:pPr>
      <w:r w:rsidRPr="00F562CE">
        <w:t>For some</w:t>
      </w:r>
      <w:r>
        <w:t xml:space="preserve"> frontier</w:t>
      </w:r>
      <w:r w:rsidRPr="00F562CE">
        <w:t xml:space="preserve"> countries, it is difficult or impossible to</w:t>
      </w:r>
      <w:r>
        <w:t xml:space="preserve"> receive</w:t>
      </w:r>
      <w:r w:rsidRPr="00F562CE">
        <w:t xml:space="preserve"> daily pricing from the exchanges</w:t>
      </w:r>
      <w:r>
        <w:t xml:space="preserve"> for the calculation of the index. In these circumstances, if a company a</w:t>
      </w:r>
      <w:r w:rsidRPr="00F562CE">
        <w:t xml:space="preserve">ssigned to </w:t>
      </w:r>
      <w:r>
        <w:t>this type of</w:t>
      </w:r>
      <w:r w:rsidRPr="00F562CE">
        <w:t xml:space="preserve"> country trade</w:t>
      </w:r>
      <w:r>
        <w:t>s on</w:t>
      </w:r>
      <w:r w:rsidRPr="00F562CE">
        <w:t xml:space="preserve"> another exchange </w:t>
      </w:r>
      <w:r>
        <w:t>with available daily</w:t>
      </w:r>
      <w:r w:rsidRPr="00F562CE">
        <w:t xml:space="preserve"> pricing</w:t>
      </w:r>
      <w:r>
        <w:t>,</w:t>
      </w:r>
      <w:r w:rsidRPr="00F562CE">
        <w:t xml:space="preserve"> th</w:t>
      </w:r>
      <w:r>
        <w:t>e company</w:t>
      </w:r>
      <w:r w:rsidRPr="00F562CE">
        <w:t xml:space="preserve"> remain</w:t>
      </w:r>
      <w:r>
        <w:t>s</w:t>
      </w:r>
      <w:r w:rsidRPr="00F562CE">
        <w:t xml:space="preserve"> eligible and performance</w:t>
      </w:r>
      <w:r>
        <w:t xml:space="preserve"> is</w:t>
      </w:r>
      <w:r w:rsidRPr="00F562CE">
        <w:t xml:space="preserve"> calculated </w:t>
      </w:r>
      <w:r>
        <w:t>using data from the</w:t>
      </w:r>
      <w:r w:rsidRPr="00F562CE">
        <w:t xml:space="preserve"> accessible exchange.</w:t>
      </w:r>
      <w:r>
        <w:t xml:space="preserve"> If no other exchange is available, the security becomes ineligible. </w:t>
      </w:r>
      <w:r w:rsidRPr="00F562CE">
        <w:lastRenderedPageBreak/>
        <w:t>The following countr</w:t>
      </w:r>
      <w:r>
        <w:t>ies’</w:t>
      </w:r>
      <w:r w:rsidRPr="00F562CE">
        <w:t xml:space="preserve"> local exchanges are ineligible due to </w:t>
      </w:r>
      <w:r>
        <w:t xml:space="preserve">the lack of </w:t>
      </w:r>
      <w:r w:rsidRPr="00F562CE">
        <w:t>availability of pricing data:</w:t>
      </w:r>
      <w:r>
        <w:t xml:space="preserve"> Papua New Guinea, Senegal, Togo, Gabon, Cambodia and Kyrgyzstan.</w:t>
      </w:r>
    </w:p>
    <w:p w:rsidR="0006297A" w:rsidRDefault="0006297A" w:rsidP="0006297A">
      <w:pPr>
        <w:pStyle w:val="RI07-BodyCopy95pt"/>
      </w:pPr>
    </w:p>
    <w:p w:rsidR="0006297A" w:rsidRPr="00550B7E" w:rsidRDefault="0006297A" w:rsidP="0006297A">
      <w:pPr>
        <w:pStyle w:val="Heading2"/>
      </w:pPr>
      <w:bookmarkStart w:id="286" w:name="_Toc303342564"/>
      <w:bookmarkStart w:id="287" w:name="_Toc343682699"/>
      <w:r w:rsidRPr="00550B7E">
        <w:t>Float</w:t>
      </w:r>
      <w:bookmarkEnd w:id="286"/>
      <w:r>
        <w:t xml:space="preserve"> a</w:t>
      </w:r>
      <w:r w:rsidRPr="00550B7E">
        <w:t>djustments</w:t>
      </w:r>
      <w:bookmarkEnd w:id="287"/>
    </w:p>
    <w:p w:rsidR="0006297A" w:rsidRDefault="0006297A" w:rsidP="0006297A">
      <w:pPr>
        <w:pStyle w:val="RI07-BodyCopy95pt"/>
      </w:pPr>
      <w:r>
        <w:t xml:space="preserve">Just as with all Russell indexes, securities within the Russell Frontier Index are adjusted for float. See Section 5, “Float-adjusted weighting,” for details. In addition, in the Russell Frontier Index, </w:t>
      </w:r>
      <w:r w:rsidRPr="00FB1C4A">
        <w:t>a float</w:t>
      </w:r>
      <w:r>
        <w:t>-</w:t>
      </w:r>
      <w:r w:rsidRPr="00FB1C4A">
        <w:t>adjusted market capitalization greater than 10% of the smallest security in the index is required. For example, if the smallest security in the index, by total market cap, is $60M, then each security must have at least $6M in available float.</w:t>
      </w:r>
    </w:p>
    <w:p w:rsidR="0006297A" w:rsidRPr="00550B7E" w:rsidRDefault="0006297A" w:rsidP="0006297A">
      <w:pPr>
        <w:pStyle w:val="Heading2"/>
      </w:pPr>
      <w:bookmarkStart w:id="288" w:name="_Toc303342565"/>
      <w:bookmarkStart w:id="289" w:name="_Toc343682700"/>
      <w:r w:rsidRPr="00550B7E">
        <w:t xml:space="preserve">Country </w:t>
      </w:r>
      <w:r>
        <w:t>w</w:t>
      </w:r>
      <w:r w:rsidRPr="00550B7E">
        <w:t>eights</w:t>
      </w:r>
      <w:bookmarkEnd w:id="288"/>
      <w:bookmarkEnd w:id="289"/>
    </w:p>
    <w:p w:rsidR="0006297A" w:rsidRPr="00FF7CB5" w:rsidRDefault="0006297A" w:rsidP="0006297A">
      <w:pPr>
        <w:pStyle w:val="RI07-BodyCopy95pt"/>
      </w:pPr>
      <w:r w:rsidRPr="006A4B85">
        <w:t>Frontier countries vary dramatically</w:t>
      </w:r>
      <w:r>
        <w:t xml:space="preserve"> in size</w:t>
      </w:r>
      <w:r w:rsidRPr="006A4B85">
        <w:t>.</w:t>
      </w:r>
      <w:r>
        <w:t xml:space="preserve"> </w:t>
      </w:r>
      <w:r w:rsidRPr="006A4B85">
        <w:t xml:space="preserve">This </w:t>
      </w:r>
      <w:r>
        <w:t xml:space="preserve">could </w:t>
      </w:r>
      <w:r w:rsidRPr="006A4B85">
        <w:t xml:space="preserve">cause some countries to be heavily weighted in the Russell Frontier </w:t>
      </w:r>
      <w:r>
        <w:t>I</w:t>
      </w:r>
      <w:r w:rsidRPr="006A4B85">
        <w:t>ndex.</w:t>
      </w:r>
      <w:r>
        <w:t xml:space="preserve"> </w:t>
      </w:r>
      <w:r w:rsidRPr="006A4B85">
        <w:t>Frontier managers, however, are unlikely to take a large bet in a single country due to country risk</w:t>
      </w:r>
      <w:r>
        <w:t>s</w:t>
      </w:r>
      <w:r w:rsidRPr="006A4B85">
        <w:t xml:space="preserve"> in these markets. Therefore, to align more closely with manager behavior, Russell caps each country</w:t>
      </w:r>
      <w:r>
        <w:t>’s weight</w:t>
      </w:r>
      <w:r w:rsidRPr="006A4B85">
        <w:t xml:space="preserve"> at a maximum weight of 15% </w:t>
      </w:r>
      <w:r>
        <w:t xml:space="preserve">of the Russell Frontier Index </w:t>
      </w:r>
      <w:r w:rsidRPr="006A4B85">
        <w:t>at each reconstitution.</w:t>
      </w:r>
      <w:r>
        <w:t xml:space="preserve"> </w:t>
      </w:r>
    </w:p>
    <w:p w:rsidR="0006297A" w:rsidRPr="00362FD9" w:rsidRDefault="0006297A" w:rsidP="0006297A">
      <w:pPr>
        <w:pStyle w:val="Heading2"/>
      </w:pPr>
      <w:bookmarkStart w:id="290" w:name="_Toc303342566"/>
      <w:bookmarkStart w:id="291" w:name="_Toc343682701"/>
      <w:r>
        <w:t>Frontier</w:t>
      </w:r>
      <w:r w:rsidRPr="00D32180">
        <w:t xml:space="preserve"> large cap </w:t>
      </w:r>
      <w:r>
        <w:t>and small cap index construction</w:t>
      </w:r>
      <w:bookmarkEnd w:id="290"/>
      <w:bookmarkEnd w:id="291"/>
    </w:p>
    <w:p w:rsidR="0006297A" w:rsidRPr="00D32180" w:rsidRDefault="0006297A" w:rsidP="0006297A">
      <w:pPr>
        <w:pStyle w:val="RI07-BodyCopy95pt"/>
      </w:pPr>
      <w:r w:rsidRPr="00D32180">
        <w:t xml:space="preserve">At reconstitution, all companies in the </w:t>
      </w:r>
      <w:r>
        <w:t>Russell Frontier Index</w:t>
      </w:r>
      <w:r w:rsidRPr="00D32180">
        <w:t xml:space="preserve"> are ranked by their total market capitalization in descending order, and the cumulative total market capitalization percentile for each company </w:t>
      </w:r>
      <w:r>
        <w:t>is</w:t>
      </w:r>
      <w:r w:rsidRPr="00D32180">
        <w:t xml:space="preserve"> calculated.</w:t>
      </w:r>
    </w:p>
    <w:p w:rsidR="0006297A" w:rsidRDefault="0006297A" w:rsidP="0006297A">
      <w:pPr>
        <w:pStyle w:val="RI07-BodyCopy95pt"/>
      </w:pPr>
      <w:r w:rsidRPr="00D32180">
        <w:t xml:space="preserve">To determine the Russell </w:t>
      </w:r>
      <w:r>
        <w:t xml:space="preserve">Frontier </w:t>
      </w:r>
      <w:r w:rsidRPr="00D32180">
        <w:t>Large Cap and Russell</w:t>
      </w:r>
      <w:r>
        <w:t xml:space="preserve"> Frontier Small Cap i</w:t>
      </w:r>
      <w:r w:rsidRPr="00D32180">
        <w:t xml:space="preserve">ndexes, all companies that rank below the 90th percentile </w:t>
      </w:r>
      <w:r>
        <w:t xml:space="preserve">are classified as small cap, </w:t>
      </w:r>
      <w:r w:rsidRPr="00D32180">
        <w:t>and all companies that rank above the 85th percentile</w:t>
      </w:r>
      <w:r>
        <w:t xml:space="preserve"> are</w:t>
      </w:r>
      <w:r w:rsidRPr="00D32180">
        <w:t xml:space="preserve"> classified as large cap. </w:t>
      </w:r>
      <w:r>
        <w:t>Current Russell Frontier Index members</w:t>
      </w:r>
      <w:r w:rsidRPr="00D32180">
        <w:t xml:space="preserve"> that rank between the 85th and 90th percentiles </w:t>
      </w:r>
      <w:r>
        <w:t xml:space="preserve">within </w:t>
      </w:r>
      <w:r w:rsidRPr="00D32180">
        <w:t>retain their existing classification</w:t>
      </w:r>
      <w:r>
        <w:t xml:space="preserve">. For example, </w:t>
      </w:r>
      <w:r w:rsidRPr="00D32180">
        <w:t xml:space="preserve">if a member of the existing </w:t>
      </w:r>
      <w:r>
        <w:t xml:space="preserve">Russell Frontier </w:t>
      </w:r>
      <w:r w:rsidRPr="00D32180">
        <w:t>Small Cap Index is within the 85th-90th percentile band at reconstitution, it remain</w:t>
      </w:r>
      <w:r>
        <w:t>s</w:t>
      </w:r>
      <w:r w:rsidRPr="00D32180">
        <w:t xml:space="preserve"> classified as small cap. </w:t>
      </w:r>
      <w:r>
        <w:t>N</w:t>
      </w:r>
      <w:r w:rsidRPr="00D32180">
        <w:t xml:space="preserve">ew companies being added to the Russell </w:t>
      </w:r>
      <w:r>
        <w:t>Frontier Index, however, are</w:t>
      </w:r>
      <w:r w:rsidRPr="00D32180">
        <w:t xml:space="preserve"> classified relative to the midpoint of the range</w:t>
      </w:r>
      <w:r>
        <w:t xml:space="preserve">. In other words, </w:t>
      </w:r>
      <w:r w:rsidRPr="00D32180">
        <w:t>new companies ranking above 87.5</w:t>
      </w:r>
      <w:r>
        <w:t>%</w:t>
      </w:r>
      <w:r w:rsidRPr="00362FD9">
        <w:t xml:space="preserve"> </w:t>
      </w:r>
      <w:r>
        <w:t xml:space="preserve">are </w:t>
      </w:r>
      <w:r w:rsidRPr="00D32180">
        <w:t>classified as large cap, and new companies ranking below 87.5</w:t>
      </w:r>
      <w:r>
        <w:t>% are classified as small cap</w:t>
      </w:r>
      <w:r w:rsidRPr="00D32180">
        <w:t>.</w:t>
      </w:r>
    </w:p>
    <w:p w:rsidR="0006297A" w:rsidRPr="00D32180" w:rsidRDefault="0006297A" w:rsidP="0006297A">
      <w:pPr>
        <w:pStyle w:val="RI07-BodyCopy95pt"/>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163"/>
        <w:gridCol w:w="3163"/>
        <w:gridCol w:w="3164"/>
      </w:tblGrid>
      <w:tr w:rsidR="0006297A" w:rsidRPr="00BF3202" w:rsidTr="00676CED">
        <w:tc>
          <w:tcPr>
            <w:tcW w:w="1666"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br w:type="page"/>
              <w:t>Index name</w:t>
            </w:r>
          </w:p>
        </w:tc>
        <w:tc>
          <w:tcPr>
            <w:tcW w:w="1666"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Upper range (percentiles)</w:t>
            </w:r>
          </w:p>
        </w:tc>
        <w:tc>
          <w:tcPr>
            <w:tcW w:w="1667"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Lower range (percentiles)</w:t>
            </w:r>
          </w:p>
        </w:tc>
      </w:tr>
      <w:tr w:rsidR="0006297A" w:rsidRPr="00BF3202" w:rsidTr="00676CED">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Russell Frontier Large Cap</w:t>
            </w:r>
          </w:p>
        </w:tc>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NA</w:t>
            </w:r>
          </w:p>
        </w:tc>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85%–90%</w:t>
            </w:r>
          </w:p>
        </w:tc>
      </w:tr>
      <w:tr w:rsidR="0006297A" w:rsidRPr="00BF3202" w:rsidTr="00676CED">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Russell Frontier Small Cap</w:t>
            </w:r>
          </w:p>
        </w:tc>
        <w:tc>
          <w:tcPr>
            <w:tcW w:w="1666" w:type="pct"/>
          </w:tcPr>
          <w:p w:rsidR="0006297A" w:rsidRPr="00BF3202" w:rsidRDefault="0006297A" w:rsidP="00676CED">
            <w:pPr>
              <w:pStyle w:val="RI07-BodyCopy95pt"/>
              <w:spacing w:before="20" w:after="20" w:line="240" w:lineRule="auto"/>
              <w:rPr>
                <w:sz w:val="18"/>
                <w:szCs w:val="18"/>
              </w:rPr>
            </w:pPr>
            <w:r w:rsidRPr="00BF3202">
              <w:rPr>
                <w:sz w:val="18"/>
                <w:szCs w:val="18"/>
              </w:rPr>
              <w:t>85%–90%</w:t>
            </w:r>
          </w:p>
        </w:tc>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NA</w:t>
            </w:r>
          </w:p>
        </w:tc>
      </w:tr>
    </w:tbl>
    <w:p w:rsidR="0006297A" w:rsidRPr="000B5AE5" w:rsidRDefault="0006297A" w:rsidP="0006297A">
      <w:pPr>
        <w:pStyle w:val="RI07-BodyCopy95pt"/>
        <w:rPr>
          <w:sz w:val="16"/>
          <w:szCs w:val="16"/>
        </w:rPr>
      </w:pPr>
      <w:r w:rsidRPr="00362FD9">
        <w:rPr>
          <w:sz w:val="16"/>
          <w:szCs w:val="16"/>
        </w:rPr>
        <w:t>Percentiles are based on descending total market capitalization.</w:t>
      </w:r>
    </w:p>
    <w:p w:rsidR="0006297A" w:rsidRPr="00916017" w:rsidRDefault="0006297A" w:rsidP="0006297A">
      <w:pPr>
        <w:pStyle w:val="Heading2"/>
      </w:pPr>
      <w:bookmarkStart w:id="292" w:name="_Toc303342567"/>
      <w:bookmarkStart w:id="293" w:name="_Toc343682702"/>
      <w:r w:rsidRPr="00916017">
        <w:t xml:space="preserve">Countries / </w:t>
      </w:r>
      <w:r>
        <w:t>e</w:t>
      </w:r>
      <w:r w:rsidRPr="00916017">
        <w:t>xchanges</w:t>
      </w:r>
      <w:bookmarkEnd w:id="292"/>
      <w:bookmarkEnd w:id="293"/>
    </w:p>
    <w:p w:rsidR="0006297A" w:rsidRDefault="0006297A" w:rsidP="0006297A">
      <w:pPr>
        <w:pStyle w:val="RI07-BodyCopy95pt"/>
        <w:keepNext/>
      </w:pPr>
      <w:r>
        <w:t xml:space="preserve">Country assignment for Frontier is consistent with the way companies are assigned to countries in the Russell Global Index. Therefore, it is possible that stocks can be assigned to one country but trade elsewhere. </w:t>
      </w:r>
    </w:p>
    <w:p w:rsidR="0006297A" w:rsidRDefault="0006297A" w:rsidP="0006297A">
      <w:pPr>
        <w:pStyle w:val="RI07-BodyCopy95pt"/>
      </w:pPr>
    </w:p>
    <w:p w:rsidR="0006297A" w:rsidRDefault="0006297A" w:rsidP="0006297A">
      <w:pPr>
        <w:pStyle w:val="RI07-BodyCopy95pt"/>
        <w:sectPr w:rsidR="0006297A"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lastRenderedPageBreak/>
        <w:t>Section 10</w:t>
      </w:r>
    </w:p>
    <w:p w:rsidR="0006297A" w:rsidRPr="00D32180" w:rsidRDefault="0006297A" w:rsidP="0006297A">
      <w:pPr>
        <w:pStyle w:val="Heading1"/>
      </w:pPr>
      <w:bookmarkStart w:id="294" w:name="_Toc303342568"/>
      <w:bookmarkStart w:id="295" w:name="_Toc343682703"/>
      <w:r w:rsidRPr="00D32180">
        <w:t>Gross Domestic Product (GDP) weighted indexes</w:t>
      </w:r>
      <w:bookmarkEnd w:id="294"/>
      <w:bookmarkEnd w:id="295"/>
    </w:p>
    <w:p w:rsidR="0006297A" w:rsidRPr="00D32180" w:rsidRDefault="0006297A" w:rsidP="0006297A">
      <w:pPr>
        <w:pStyle w:val="RI07-BodyCopy95pt"/>
      </w:pPr>
      <w:r>
        <w:t>Russell’s global</w:t>
      </w:r>
      <w:r w:rsidRPr="00D32180">
        <w:t xml:space="preserve"> GDP </w:t>
      </w:r>
      <w:r>
        <w:t xml:space="preserve">weighted </w:t>
      </w:r>
      <w:r w:rsidRPr="00D32180">
        <w:t>indexes are alternatives to market capitalization weighted indexes. The Russell GDP</w:t>
      </w:r>
      <w:r>
        <w:t xml:space="preserve"> weighted </w:t>
      </w:r>
      <w:r w:rsidRPr="00D32180">
        <w:t>indexes include:</w:t>
      </w:r>
    </w:p>
    <w:p w:rsidR="0006297A" w:rsidRPr="00D32180" w:rsidRDefault="0006297A" w:rsidP="0006297A">
      <w:pPr>
        <w:pStyle w:val="RI08-95ptBullet1"/>
        <w:tabs>
          <w:tab w:val="num" w:pos="720"/>
        </w:tabs>
        <w:ind w:left="720" w:hanging="360"/>
      </w:pPr>
      <w:r w:rsidRPr="00D32180">
        <w:t>Russell Global Large Cap GDP</w:t>
      </w:r>
    </w:p>
    <w:p w:rsidR="0006297A" w:rsidRPr="00D32180" w:rsidRDefault="0006297A" w:rsidP="0006297A">
      <w:pPr>
        <w:pStyle w:val="RI08-95ptBullet1"/>
        <w:tabs>
          <w:tab w:val="num" w:pos="720"/>
        </w:tabs>
        <w:ind w:left="720" w:hanging="360"/>
      </w:pPr>
      <w:r w:rsidRPr="00D32180">
        <w:t>Russell Developed ex-North America Large Cap</w:t>
      </w:r>
      <w:r>
        <w:t xml:space="preserve"> GDP</w:t>
      </w:r>
    </w:p>
    <w:p w:rsidR="0006297A" w:rsidRPr="00D32180" w:rsidRDefault="0006297A" w:rsidP="0006297A">
      <w:pPr>
        <w:pStyle w:val="RI08-95ptBullet1"/>
        <w:tabs>
          <w:tab w:val="num" w:pos="720"/>
        </w:tabs>
        <w:ind w:left="720" w:hanging="360"/>
      </w:pPr>
      <w:r w:rsidRPr="00D32180">
        <w:t>Russell Developed ex-United States Large Cap</w:t>
      </w:r>
      <w:r>
        <w:t xml:space="preserve"> GDP</w:t>
      </w:r>
    </w:p>
    <w:p w:rsidR="0006297A" w:rsidRPr="00D32180" w:rsidRDefault="0006297A" w:rsidP="0006297A">
      <w:pPr>
        <w:pStyle w:val="RI07-BodyCopy95pt"/>
      </w:pPr>
      <w:r w:rsidRPr="00D32180">
        <w:t xml:space="preserve">In the calculation of Russell’s GDP weighted indexes, each country is weighted by its corresponding GDP rather than </w:t>
      </w:r>
      <w:r>
        <w:t xml:space="preserve">by its </w:t>
      </w:r>
      <w:r w:rsidRPr="00D32180">
        <w:t>available market capitalization. Each security within the corresponding country continues to be weighted by available market capitalization. To arrive at this result, each security’s weight is adjusted in the Russell GDP indexes using the following formula:</w:t>
      </w:r>
    </w:p>
    <w:p w:rsidR="0006297A" w:rsidRPr="00D32180" w:rsidRDefault="0006297A" w:rsidP="0006297A">
      <w:pPr>
        <w:pStyle w:val="RI07-BodyCopy95pt"/>
        <w:ind w:right="-406"/>
      </w:pPr>
      <w:r w:rsidRPr="00D32180">
        <w:t>Security_Weight_GDP(t, Cap Seg) = Security_Weight_Country(t, Cap Seg) * Country_Weight_GDP(t,CapSeg)</w:t>
      </w:r>
    </w:p>
    <w:p w:rsidR="0006297A" w:rsidRPr="00D32180" w:rsidRDefault="0006297A" w:rsidP="0006297A">
      <w:pPr>
        <w:pStyle w:val="RI07-BodyCopy95pt"/>
      </w:pPr>
    </w:p>
    <w:p w:rsidR="0006297A" w:rsidRPr="00D32180" w:rsidRDefault="0006297A" w:rsidP="0006297A">
      <w:pPr>
        <w:pStyle w:val="RI07-BodyCopy95pt"/>
      </w:pPr>
      <w:r w:rsidRPr="00D32180">
        <w:t xml:space="preserve">Where: </w:t>
      </w:r>
    </w:p>
    <w:p w:rsidR="0006297A" w:rsidRPr="00D32180" w:rsidRDefault="0006297A" w:rsidP="0006297A">
      <w:pPr>
        <w:pStyle w:val="RI07-BodyCopy95pt"/>
        <w:ind w:left="720"/>
      </w:pPr>
      <w:r w:rsidRPr="00D32180">
        <w:t>Security_Weight_GDP(t, Cap Seg) = Security weight in the GDP-weighted Index at time t, for a particular cap segment index.</w:t>
      </w:r>
    </w:p>
    <w:p w:rsidR="0006297A" w:rsidRPr="00D32180" w:rsidRDefault="0006297A" w:rsidP="0006297A">
      <w:pPr>
        <w:pStyle w:val="RI07-BodyCopy95pt"/>
        <w:ind w:left="720"/>
      </w:pPr>
      <w:r w:rsidRPr="00D32180">
        <w:t>Security_Weight_Country(t, Cap Seg) = Securi</w:t>
      </w:r>
      <w:r>
        <w:t>ty weight in its corresponding country i</w:t>
      </w:r>
      <w:r w:rsidRPr="00D32180">
        <w:t>ndex at time t for a particular cap segment index.</w:t>
      </w:r>
    </w:p>
    <w:p w:rsidR="0006297A" w:rsidRPr="00D32180" w:rsidRDefault="0006297A" w:rsidP="0006297A">
      <w:pPr>
        <w:pStyle w:val="RI07-BodyCopy95pt"/>
        <w:ind w:left="720"/>
      </w:pPr>
      <w:r w:rsidRPr="00D32180">
        <w:t>Country_Weight_GDP(t, CapSeg) = Country weight by market-cap adjusted country GDPs at time t for a particular cap segment index (AC, LC or SC).</w:t>
      </w:r>
    </w:p>
    <w:p w:rsidR="0006297A" w:rsidRPr="00D32180" w:rsidRDefault="0006297A" w:rsidP="0006297A">
      <w:pPr>
        <w:pStyle w:val="RI07-BodyCopy95pt"/>
      </w:pPr>
    </w:p>
    <w:p w:rsidR="0006297A" w:rsidRDefault="0006297A" w:rsidP="0006297A">
      <w:pPr>
        <w:pStyle w:val="RI07-BodyCopy95pt"/>
      </w:pPr>
      <w:r w:rsidRPr="00D32180">
        <w:t xml:space="preserve">The Russell GDP indexes use Worldbank as the source for country GDP. Changes to GDP are updated annually </w:t>
      </w:r>
      <w:r>
        <w:t xml:space="preserve">each October to correspond with the updated GDP data from the Worldbank. </w:t>
      </w:r>
      <w:r w:rsidRPr="00D32180">
        <w:t>At that time, country GDP weights are reset on the basis of the Wo</w:t>
      </w:r>
      <w:r>
        <w:t>r</w:t>
      </w:r>
      <w:r w:rsidRPr="00D32180">
        <w:t xml:space="preserve">ldbank GDP data. Throughout the year, the country weight </w:t>
      </w:r>
      <w:r>
        <w:t xml:space="preserve">of each country </w:t>
      </w:r>
      <w:r w:rsidRPr="00D32180">
        <w:t>can fluctuate with market value changes.</w:t>
      </w:r>
      <w:r>
        <w:t xml:space="preserve"> </w:t>
      </w:r>
    </w:p>
    <w:p w:rsidR="0006297A" w:rsidRDefault="0006297A" w:rsidP="0006297A">
      <w:pPr>
        <w:pStyle w:val="RI07-BodyCopy95pt"/>
      </w:pPr>
    </w:p>
    <w:p w:rsidR="0006297A" w:rsidRDefault="0006297A" w:rsidP="0006297A">
      <w:pPr>
        <w:pStyle w:val="RI07-BodyCopy95pt"/>
        <w:sectPr w:rsidR="0006297A"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lastRenderedPageBreak/>
        <w:t>section 11</w:t>
      </w:r>
    </w:p>
    <w:p w:rsidR="0006297A" w:rsidRPr="00D32180" w:rsidRDefault="0006297A" w:rsidP="0006297A">
      <w:pPr>
        <w:pStyle w:val="Heading1"/>
      </w:pPr>
      <w:bookmarkStart w:id="296" w:name="_Toc303342569"/>
      <w:bookmarkStart w:id="297" w:name="_Toc343682704"/>
      <w:r>
        <w:t>Russell Dividend Achievers Indexes</w:t>
      </w:r>
      <w:bookmarkEnd w:id="296"/>
      <w:bookmarkEnd w:id="297"/>
    </w:p>
    <w:p w:rsidR="0006297A" w:rsidRPr="00C30397" w:rsidRDefault="0006297A" w:rsidP="0006297A">
      <w:pPr>
        <w:pStyle w:val="RI07-BodyCopy95pt"/>
      </w:pPr>
      <w:r>
        <w:t xml:space="preserve">The </w:t>
      </w:r>
      <w:r w:rsidRPr="00C30397">
        <w:t xml:space="preserve">Russell Dividend Achievers </w:t>
      </w:r>
      <w:r>
        <w:t>Index series is</w:t>
      </w:r>
      <w:r w:rsidRPr="00C30397">
        <w:t xml:space="preserve"> objectively constructed and based on transparent rules. </w:t>
      </w:r>
      <w:r>
        <w:t xml:space="preserve"> Constituents</w:t>
      </w:r>
      <w:r w:rsidRPr="00C30397">
        <w:t xml:space="preserve"> </w:t>
      </w:r>
      <w:r>
        <w:t>indexes</w:t>
      </w:r>
      <w:r w:rsidRPr="00C30397">
        <w:t xml:space="preserve"> are also members of the Russell Global Index and </w:t>
      </w:r>
      <w:r>
        <w:t xml:space="preserve">they </w:t>
      </w:r>
      <w:r w:rsidRPr="00C30397">
        <w:t xml:space="preserve">follow all the same objective rules for membership with </w:t>
      </w:r>
      <w:r>
        <w:t>the</w:t>
      </w:r>
      <w:r w:rsidRPr="00C30397">
        <w:t xml:space="preserve"> additional requirement of being defined as a dividend achiever.</w:t>
      </w:r>
    </w:p>
    <w:p w:rsidR="0006297A" w:rsidRPr="00571C13" w:rsidRDefault="0006297A" w:rsidP="0006297A">
      <w:pPr>
        <w:pStyle w:val="Heading2"/>
        <w:spacing w:after="100"/>
      </w:pPr>
      <w:bookmarkStart w:id="298" w:name="_Toc303342570"/>
      <w:bookmarkStart w:id="299" w:name="_Toc343682705"/>
      <w:r w:rsidRPr="00571C13">
        <w:t>Available indexes</w:t>
      </w:r>
      <w:bookmarkEnd w:id="298"/>
      <w:bookmarkEnd w:id="299"/>
    </w:p>
    <w:tbl>
      <w:tblPr>
        <w:tblW w:w="0" w:type="auto"/>
        <w:tblInd w:w="438" w:type="dxa"/>
        <w:tblLook w:val="01E0"/>
      </w:tblPr>
      <w:tblGrid>
        <w:gridCol w:w="4620"/>
        <w:gridCol w:w="4432"/>
      </w:tblGrid>
      <w:tr w:rsidR="0006297A" w:rsidRPr="00571C13" w:rsidTr="00676CED">
        <w:tc>
          <w:tcPr>
            <w:tcW w:w="4620" w:type="dxa"/>
          </w:tcPr>
          <w:p w:rsidR="0006297A" w:rsidRPr="00571C13" w:rsidRDefault="0006297A" w:rsidP="00676CED">
            <w:pPr>
              <w:pStyle w:val="RI07-BodyCopy95pt"/>
              <w:spacing w:after="0"/>
            </w:pPr>
            <w:r>
              <w:t>Russell Global Dividend Achievers</w:t>
            </w:r>
            <w:r w:rsidRPr="00571C13">
              <w:t xml:space="preserve"> </w:t>
            </w:r>
          </w:p>
        </w:tc>
        <w:tc>
          <w:tcPr>
            <w:tcW w:w="4432" w:type="dxa"/>
          </w:tcPr>
          <w:p w:rsidR="0006297A" w:rsidRPr="00571C13" w:rsidRDefault="0006297A" w:rsidP="00676CED">
            <w:pPr>
              <w:pStyle w:val="RI07-BodyCopy95pt"/>
              <w:spacing w:after="0"/>
            </w:pPr>
            <w:r>
              <w:t>Russell Global ex-U.S. Dividend Achievers</w:t>
            </w:r>
          </w:p>
        </w:tc>
      </w:tr>
      <w:tr w:rsidR="0006297A" w:rsidRPr="00571C13" w:rsidTr="00676CED">
        <w:tc>
          <w:tcPr>
            <w:tcW w:w="4620" w:type="dxa"/>
          </w:tcPr>
          <w:p w:rsidR="0006297A" w:rsidRPr="00571C13" w:rsidRDefault="0006297A" w:rsidP="00676CED">
            <w:pPr>
              <w:pStyle w:val="RI07-BodyCopy95pt"/>
              <w:spacing w:after="0"/>
            </w:pPr>
            <w:r>
              <w:t>Russell Global Small Cap Dividend Achievers</w:t>
            </w:r>
          </w:p>
        </w:tc>
        <w:tc>
          <w:tcPr>
            <w:tcW w:w="4432" w:type="dxa"/>
          </w:tcPr>
          <w:p w:rsidR="0006297A" w:rsidRPr="00571C13" w:rsidRDefault="0006297A" w:rsidP="00676CED">
            <w:pPr>
              <w:pStyle w:val="RI07-BodyCopy95pt"/>
              <w:spacing w:after="0"/>
            </w:pPr>
          </w:p>
        </w:tc>
      </w:tr>
    </w:tbl>
    <w:p w:rsidR="0006297A" w:rsidRPr="00696264" w:rsidRDefault="0006297A" w:rsidP="0006297A">
      <w:pPr>
        <w:pStyle w:val="Heading2"/>
      </w:pPr>
      <w:bookmarkStart w:id="300" w:name="_Toc303342571"/>
      <w:bookmarkStart w:id="301" w:name="_Toc343682706"/>
      <w:r w:rsidRPr="00696264">
        <w:t xml:space="preserve">Eligible </w:t>
      </w:r>
      <w:r>
        <w:t>s</w:t>
      </w:r>
      <w:r w:rsidRPr="00696264">
        <w:t>ecurities</w:t>
      </w:r>
      <w:bookmarkEnd w:id="300"/>
      <w:bookmarkEnd w:id="301"/>
    </w:p>
    <w:p w:rsidR="0006297A" w:rsidRPr="00C30397" w:rsidRDefault="0006297A" w:rsidP="0006297A">
      <w:pPr>
        <w:pStyle w:val="RI07-BodyCopy95pt"/>
      </w:pPr>
      <w:r w:rsidRPr="00C30397">
        <w:t xml:space="preserve">Russell Dividend Achievers Indexes start by including those companies which are members of the Russell Global Index or one if its subsets. The index is then reduced down to those securities which meet the requirements to be a Dividend Achiever. </w:t>
      </w:r>
    </w:p>
    <w:p w:rsidR="0006297A" w:rsidRPr="00C30397" w:rsidRDefault="0006297A" w:rsidP="0006297A">
      <w:pPr>
        <w:pStyle w:val="RI07-BodyCopy95pt"/>
      </w:pPr>
      <w:r w:rsidRPr="00C30397">
        <w:t xml:space="preserve">Companies are considered Dividend Achievers if they have raised annual regular cash dividend payments for at least each of the last </w:t>
      </w:r>
      <w:r>
        <w:t>10</w:t>
      </w:r>
      <w:r w:rsidRPr="00C30397">
        <w:t xml:space="preserve"> consecutive calendar or fiscal years for U.S. companies, and five years for non-U.S. companies. In addition, U.S. and Canadian companies must have a two-month average trading liquidity of $500,000 average daily cash volume during the months of November and December. Dividend Achievers are established in February of each year using the latest available dividend payable date for the previous calendar or fiscal year to calculate the total annual regular dividend payment. </w:t>
      </w:r>
    </w:p>
    <w:p w:rsidR="0006297A" w:rsidRPr="00C30397" w:rsidRDefault="0006297A" w:rsidP="0006297A">
      <w:pPr>
        <w:pStyle w:val="RI07-BodyCopy95pt"/>
      </w:pPr>
      <w:r w:rsidRPr="00C30397">
        <w:t xml:space="preserve">To be included during Russell’s annual reconstitution, these companies are reviewed again on the last trading day in May to ensure </w:t>
      </w:r>
      <w:r>
        <w:t xml:space="preserve">that </w:t>
      </w:r>
      <w:r w:rsidRPr="00C30397">
        <w:t>they have not reduced their dividend payments since the last annual Dividend Achiever</w:t>
      </w:r>
      <w:r>
        <w:t>s</w:t>
      </w:r>
      <w:r w:rsidRPr="00C30397">
        <w:t xml:space="preserve"> reconstitution date. Liquidity is not re-assessed. For non-North American companies, the change in dividends will be reviewed on a trailing 12 month basis. For North American companies with a payment frequency code, the change in dividends will be based on their forward looking Indicated Annual Dividend (i.e., dividend payment amount * dividend payment frequency). </w:t>
      </w:r>
    </w:p>
    <w:p w:rsidR="0006297A" w:rsidRPr="00696264" w:rsidRDefault="0006297A" w:rsidP="0006297A">
      <w:pPr>
        <w:pStyle w:val="Heading2"/>
      </w:pPr>
      <w:bookmarkStart w:id="302" w:name="_Toc303342572"/>
      <w:bookmarkStart w:id="303" w:name="_Toc343682707"/>
      <w:r w:rsidRPr="00696264">
        <w:t xml:space="preserve">Index maintenance / </w:t>
      </w:r>
      <w:r>
        <w:t>c</w:t>
      </w:r>
      <w:r w:rsidRPr="00696264">
        <w:t xml:space="preserve">orporate </w:t>
      </w:r>
      <w:r>
        <w:t>a</w:t>
      </w:r>
      <w:r w:rsidRPr="00696264">
        <w:t>ction-driven changes</w:t>
      </w:r>
      <w:bookmarkEnd w:id="302"/>
      <w:bookmarkEnd w:id="303"/>
    </w:p>
    <w:p w:rsidR="0006297A" w:rsidRPr="00C30397" w:rsidRDefault="0006297A" w:rsidP="0006297A">
      <w:pPr>
        <w:pStyle w:val="RI07-BodyCopy95pt"/>
      </w:pPr>
      <w:r w:rsidRPr="00C30397">
        <w:t>The Russell Dividend Achievers Index and its subsets are proactively maintained and reflect daily changes in the global equity market</w:t>
      </w:r>
      <w:r>
        <w:t>s</w:t>
      </w:r>
      <w:r w:rsidRPr="00C30397">
        <w:t xml:space="preserve">. Russell Dividend Achievers </w:t>
      </w:r>
      <w:r>
        <w:t>i</w:t>
      </w:r>
      <w:r w:rsidRPr="00C30397">
        <w:t xml:space="preserve">ndexes follow all of Russell’s rules for corporate actions with the following exceptions: </w:t>
      </w:r>
    </w:p>
    <w:p w:rsidR="0006297A" w:rsidRDefault="0006297A" w:rsidP="0006297A">
      <w:pPr>
        <w:pStyle w:val="Heading2"/>
      </w:pPr>
      <w:bookmarkStart w:id="304" w:name="_Toc303342573"/>
      <w:bookmarkStart w:id="305" w:name="_Toc343682708"/>
      <w:r w:rsidRPr="007F1CF7">
        <w:t>Mergers and acquisitions</w:t>
      </w:r>
      <w:bookmarkEnd w:id="304"/>
      <w:bookmarkEnd w:id="305"/>
      <w:r w:rsidRPr="007F1CF7">
        <w:t xml:space="preserve"> </w:t>
      </w:r>
    </w:p>
    <w:p w:rsidR="0006297A" w:rsidRPr="00C30397" w:rsidRDefault="0006297A" w:rsidP="0006297A">
      <w:pPr>
        <w:pStyle w:val="RI07-BodyCopy95pt"/>
      </w:pPr>
      <w:r w:rsidRPr="00C30397">
        <w:t>In the event of a merger between two companies included in the Russell Dividend Achievers Index, the common shares of the combined surviving company are represented in the Russell Dividend Achievers Indexes. In the event of a merger between a company in the Russell Dividend Achievers Index and a company not in the Russell Dividend Achievers Index, if the company in the Russell Dividend Achievers Index is the surviving company, the surviving company is included in the broad Dividend Achievers Index.</w:t>
      </w:r>
    </w:p>
    <w:p w:rsidR="0006297A" w:rsidRDefault="0006297A" w:rsidP="0006297A">
      <w:pPr>
        <w:pStyle w:val="Heading2"/>
      </w:pPr>
      <w:bookmarkStart w:id="306" w:name="_Toc303342574"/>
      <w:bookmarkStart w:id="307" w:name="_Toc343682709"/>
      <w:r w:rsidRPr="007F1CF7">
        <w:lastRenderedPageBreak/>
        <w:t>Spin-offs</w:t>
      </w:r>
      <w:bookmarkEnd w:id="306"/>
      <w:bookmarkEnd w:id="307"/>
      <w:r w:rsidRPr="007F1CF7">
        <w:t xml:space="preserve"> </w:t>
      </w:r>
    </w:p>
    <w:p w:rsidR="0006297A" w:rsidRDefault="0006297A" w:rsidP="0006297A">
      <w:pPr>
        <w:pStyle w:val="RI07-BodyCopy95pt"/>
        <w:sectPr w:rsidR="0006297A" w:rsidSect="00676CED">
          <w:pgSz w:w="12240" w:h="15840"/>
          <w:pgMar w:top="1440" w:right="1440" w:bottom="1440" w:left="1526" w:header="720" w:footer="1267" w:gutter="0"/>
          <w:cols w:space="720"/>
          <w:titlePg/>
          <w:docGrid w:linePitch="360"/>
        </w:sectPr>
      </w:pPr>
      <w:r w:rsidRPr="00C30397">
        <w:t>Spin-offs from Russell Dividend Achievers members are not added to the index at the time of spin-off</w:t>
      </w:r>
    </w:p>
    <w:p w:rsidR="0006297A" w:rsidRPr="00571C13" w:rsidRDefault="0006297A" w:rsidP="0006297A">
      <w:pPr>
        <w:pStyle w:val="RI01-Heading0"/>
      </w:pPr>
      <w:r w:rsidRPr="00571C13">
        <w:lastRenderedPageBreak/>
        <w:t>section 1</w:t>
      </w:r>
      <w:r>
        <w:t>2</w:t>
      </w:r>
    </w:p>
    <w:p w:rsidR="0006297A" w:rsidRDefault="0006297A" w:rsidP="0006297A">
      <w:pPr>
        <w:pStyle w:val="Heading1"/>
      </w:pPr>
      <w:bookmarkStart w:id="308" w:name="_Toc303342575"/>
      <w:bookmarkStart w:id="309" w:name="_Toc343682710"/>
      <w:bookmarkStart w:id="310" w:name="_Toc279565776"/>
      <w:r>
        <w:t>Russell-IdealRatings Islamic Index</w:t>
      </w:r>
      <w:bookmarkEnd w:id="308"/>
      <w:bookmarkEnd w:id="309"/>
    </w:p>
    <w:bookmarkEnd w:id="310"/>
    <w:p w:rsidR="0006297A" w:rsidRPr="00571C13" w:rsidRDefault="0006297A" w:rsidP="0006297A">
      <w:pPr>
        <w:pStyle w:val="RI07-BodyCopy95pt"/>
      </w:pPr>
      <w:r>
        <w:t>Securities included in the</w:t>
      </w:r>
      <w:r w:rsidRPr="00571C13">
        <w:t xml:space="preserve"> </w:t>
      </w:r>
      <w:r>
        <w:t>Russell-IdealRatings Islamic</w:t>
      </w:r>
      <w:r w:rsidRPr="00571C13">
        <w:t xml:space="preserve"> Index </w:t>
      </w:r>
      <w:r>
        <w:t>are</w:t>
      </w:r>
      <w:r w:rsidRPr="00571C13">
        <w:t xml:space="preserve"> screened from the</w:t>
      </w:r>
      <w:r>
        <w:t xml:space="preserve"> </w:t>
      </w:r>
      <w:r w:rsidRPr="00571C13">
        <w:t>Russell Global Index universe</w:t>
      </w:r>
      <w:r>
        <w:t>, which is</w:t>
      </w:r>
      <w:r w:rsidRPr="00571C13">
        <w:t xml:space="preserve"> divisible by region, country, market</w:t>
      </w:r>
      <w:r>
        <w:t xml:space="preserve"> (developed and emerging)</w:t>
      </w:r>
      <w:r w:rsidRPr="00571C13">
        <w:t>, capitalization size, sector, industry and style to provide fully modular benchmarks representing the diversified opportunity set within each segment.</w:t>
      </w:r>
      <w:r>
        <w:t xml:space="preserve"> T</w:t>
      </w:r>
      <w:r w:rsidRPr="00571C13">
        <w:t xml:space="preserve">he </w:t>
      </w:r>
      <w:r>
        <w:t>Russell-IdealRatings Islamic</w:t>
      </w:r>
      <w:r w:rsidRPr="00571C13">
        <w:t xml:space="preserve"> Index contain</w:t>
      </w:r>
      <w:r>
        <w:t xml:space="preserve">s around 3,100 </w:t>
      </w:r>
      <w:r w:rsidRPr="00571C13">
        <w:t>securities</w:t>
      </w:r>
      <w:r>
        <w:t xml:space="preserve"> and across 48 countries</w:t>
      </w:r>
      <w:r w:rsidRPr="00571C13">
        <w:t>.</w:t>
      </w:r>
    </w:p>
    <w:p w:rsidR="0006297A" w:rsidRPr="00571C13" w:rsidRDefault="0006297A" w:rsidP="0006297A">
      <w:pPr>
        <w:pStyle w:val="Heading2"/>
      </w:pPr>
      <w:bookmarkStart w:id="311" w:name="_Toc279565777"/>
      <w:bookmarkStart w:id="312" w:name="_Toc303342576"/>
      <w:bookmarkStart w:id="313" w:name="_Toc343682711"/>
      <w:r w:rsidRPr="00571C13">
        <w:t xml:space="preserve">Purpose of the </w:t>
      </w:r>
      <w:r>
        <w:t>Russell-IdealRatings Islamic</w:t>
      </w:r>
      <w:r w:rsidRPr="00571C13">
        <w:t xml:space="preserve"> Index</w:t>
      </w:r>
      <w:bookmarkEnd w:id="311"/>
      <w:bookmarkEnd w:id="312"/>
      <w:bookmarkEnd w:id="313"/>
    </w:p>
    <w:p w:rsidR="0006297A" w:rsidRPr="00571C13" w:rsidRDefault="0006297A" w:rsidP="0006297A">
      <w:pPr>
        <w:pStyle w:val="RI08-95ptBullet1"/>
        <w:tabs>
          <w:tab w:val="num" w:pos="720"/>
        </w:tabs>
        <w:ind w:left="720" w:hanging="360"/>
      </w:pPr>
      <w:r w:rsidRPr="00571C13">
        <w:t xml:space="preserve">To offer investors an accurate and complete </w:t>
      </w:r>
      <w:r>
        <w:t xml:space="preserve">Shariah-compliant </w:t>
      </w:r>
      <w:r w:rsidRPr="00571C13">
        <w:t xml:space="preserve">global equity market performance benchmark </w:t>
      </w:r>
    </w:p>
    <w:p w:rsidR="0006297A" w:rsidRPr="00571C13" w:rsidRDefault="0006297A" w:rsidP="0006297A">
      <w:pPr>
        <w:pStyle w:val="RI08-95ptBullet1"/>
        <w:tabs>
          <w:tab w:val="num" w:pos="720"/>
        </w:tabs>
        <w:ind w:left="720" w:hanging="360"/>
      </w:pPr>
      <w:r w:rsidRPr="00571C13">
        <w:t>To serve as a</w:t>
      </w:r>
      <w:r>
        <w:t xml:space="preserve"> Shariah-compliant</w:t>
      </w:r>
      <w:r w:rsidRPr="00571C13">
        <w:t xml:space="preserve"> equity market proxy for asset allocation analysis and decisions </w:t>
      </w:r>
    </w:p>
    <w:p w:rsidR="0006297A" w:rsidRPr="00571C13" w:rsidRDefault="0006297A" w:rsidP="0006297A">
      <w:pPr>
        <w:pStyle w:val="RI08-95ptBullet1"/>
        <w:tabs>
          <w:tab w:val="num" w:pos="720"/>
        </w:tabs>
        <w:ind w:left="720" w:hanging="360"/>
      </w:pPr>
      <w:r w:rsidRPr="00571C13">
        <w:t>To provide a Shariah</w:t>
      </w:r>
      <w:r>
        <w:t>-</w:t>
      </w:r>
      <w:r w:rsidRPr="00571C13">
        <w:t>compliant</w:t>
      </w:r>
      <w:r>
        <w:t xml:space="preserve"> </w:t>
      </w:r>
      <w:r w:rsidRPr="00571C13">
        <w:t xml:space="preserve">replicable vehicle for passive investment portfolios </w:t>
      </w:r>
    </w:p>
    <w:p w:rsidR="0006297A" w:rsidRPr="00571C13" w:rsidRDefault="0006297A" w:rsidP="0006297A">
      <w:pPr>
        <w:pStyle w:val="RI08-95ptBullet1"/>
        <w:tabs>
          <w:tab w:val="num" w:pos="720"/>
        </w:tabs>
        <w:ind w:left="720" w:hanging="360"/>
      </w:pPr>
      <w:r w:rsidRPr="00571C13">
        <w:t>To provide comprehensive Shariah</w:t>
      </w:r>
      <w:r>
        <w:t>-</w:t>
      </w:r>
      <w:r w:rsidRPr="00571C13">
        <w:t>compliant retirement plan or investment portfolio benchmarks with fully modular segments, resulting in no gaps or overlaps in equity allocation/analysis</w:t>
      </w:r>
    </w:p>
    <w:p w:rsidR="0006297A" w:rsidRPr="00571C13" w:rsidRDefault="0006297A" w:rsidP="0006297A">
      <w:pPr>
        <w:pStyle w:val="RI08-95ptBullet1"/>
        <w:tabs>
          <w:tab w:val="num" w:pos="720"/>
        </w:tabs>
        <w:ind w:left="720" w:hanging="360"/>
      </w:pPr>
      <w:r w:rsidRPr="00571C13">
        <w:t xml:space="preserve">To </w:t>
      </w:r>
      <w:r>
        <w:t>provide performance and characteristics of the</w:t>
      </w:r>
      <w:r w:rsidRPr="00571C13">
        <w:t xml:space="preserve"> Shariah</w:t>
      </w:r>
      <w:r>
        <w:t>-</w:t>
      </w:r>
      <w:r w:rsidRPr="00571C13">
        <w:t>compliant total mark</w:t>
      </w:r>
      <w:r>
        <w:t xml:space="preserve">et, as well as individual segments, to be used in </w:t>
      </w:r>
      <w:r w:rsidRPr="00571C13">
        <w:t>academic research and financial media</w:t>
      </w:r>
      <w:r>
        <w:t xml:space="preserve"> reporting</w:t>
      </w:r>
    </w:p>
    <w:p w:rsidR="0006297A" w:rsidRPr="00571C13" w:rsidRDefault="0006297A" w:rsidP="0006297A">
      <w:pPr>
        <w:pStyle w:val="Heading2"/>
        <w:spacing w:after="100"/>
      </w:pPr>
      <w:bookmarkStart w:id="314" w:name="_Toc279565778"/>
      <w:bookmarkStart w:id="315" w:name="_Toc303342577"/>
      <w:bookmarkStart w:id="316" w:name="_Toc343682712"/>
      <w:r w:rsidRPr="00571C13">
        <w:t>Available indexes</w:t>
      </w:r>
      <w:bookmarkEnd w:id="314"/>
      <w:bookmarkEnd w:id="315"/>
      <w:bookmarkEnd w:id="316"/>
    </w:p>
    <w:p w:rsidR="0006297A" w:rsidRPr="00571C13" w:rsidRDefault="0006297A" w:rsidP="0006297A">
      <w:pPr>
        <w:pStyle w:val="RI07-BodyCopy95pt"/>
      </w:pPr>
      <w:r w:rsidRPr="00571C13">
        <w:t xml:space="preserve">The </w:t>
      </w:r>
      <w:r>
        <w:t>Russell-IdealRatings Islamic</w:t>
      </w:r>
      <w:r w:rsidRPr="00571C13">
        <w:t xml:space="preserve"> Index is modular</w:t>
      </w:r>
      <w:r>
        <w:t>, divisible i</w:t>
      </w:r>
      <w:r w:rsidRPr="00571C13">
        <w:t xml:space="preserve">nto components by capitalization size, </w:t>
      </w:r>
      <w:r>
        <w:t xml:space="preserve">country, </w:t>
      </w:r>
      <w:r w:rsidRPr="00571C13">
        <w:t xml:space="preserve">region, sector, industry, </w:t>
      </w:r>
      <w:r>
        <w:t xml:space="preserve">and </w:t>
      </w:r>
      <w:r w:rsidRPr="00571C13">
        <w:t>style</w:t>
      </w:r>
      <w:r>
        <w:t>.</w:t>
      </w:r>
      <w:r w:rsidRPr="00571C13">
        <w:t xml:space="preserve"> Some of the broadest segments of the </w:t>
      </w:r>
      <w:r>
        <w:t>Russell-IdealRatings Islamic</w:t>
      </w:r>
      <w:r w:rsidRPr="00571C13">
        <w:t xml:space="preserve"> Index </w:t>
      </w:r>
      <w:r>
        <w:t>include</w:t>
      </w:r>
      <w:r w:rsidRPr="00571C13">
        <w:t>:</w:t>
      </w:r>
    </w:p>
    <w:tbl>
      <w:tblPr>
        <w:tblW w:w="0" w:type="auto"/>
        <w:tblInd w:w="438" w:type="dxa"/>
        <w:tblLook w:val="01E0"/>
      </w:tblPr>
      <w:tblGrid>
        <w:gridCol w:w="4070"/>
        <w:gridCol w:w="4982"/>
      </w:tblGrid>
      <w:tr w:rsidR="0006297A" w:rsidRPr="00571C13" w:rsidTr="00676CED">
        <w:tc>
          <w:tcPr>
            <w:tcW w:w="4070" w:type="dxa"/>
          </w:tcPr>
          <w:p w:rsidR="0006297A" w:rsidRPr="00571C13" w:rsidRDefault="0006297A" w:rsidP="00676CED">
            <w:pPr>
              <w:pStyle w:val="RI07-BodyCopy95pt"/>
              <w:spacing w:after="0"/>
            </w:pPr>
            <w:r>
              <w:t>Russell-IdealRatings Islamic</w:t>
            </w:r>
            <w:r w:rsidRPr="00571C13">
              <w:t xml:space="preserve"> (global) </w:t>
            </w:r>
          </w:p>
        </w:tc>
        <w:tc>
          <w:tcPr>
            <w:tcW w:w="4982" w:type="dxa"/>
          </w:tcPr>
          <w:p w:rsidR="0006297A" w:rsidRPr="00571C13" w:rsidRDefault="0006297A" w:rsidP="00676CED">
            <w:pPr>
              <w:pStyle w:val="RI07-BodyCopy95pt"/>
              <w:spacing w:after="0"/>
            </w:pPr>
            <w:r>
              <w:t>Russell-IdealRatings Islamic ex-U.</w:t>
            </w:r>
            <w:r w:rsidRPr="00571C13">
              <w:t>S</w:t>
            </w:r>
            <w:r>
              <w:t>.</w:t>
            </w:r>
          </w:p>
        </w:tc>
      </w:tr>
      <w:tr w:rsidR="0006297A" w:rsidRPr="00571C13" w:rsidTr="00676CED">
        <w:tc>
          <w:tcPr>
            <w:tcW w:w="4070" w:type="dxa"/>
          </w:tcPr>
          <w:p w:rsidR="0006297A" w:rsidRPr="00571C13" w:rsidRDefault="0006297A" w:rsidP="00676CED">
            <w:pPr>
              <w:pStyle w:val="RI07-BodyCopy95pt"/>
              <w:spacing w:after="0"/>
            </w:pPr>
            <w:r>
              <w:t>Russell-IdealRatings Islamic</w:t>
            </w:r>
            <w:r w:rsidRPr="00571C13">
              <w:t xml:space="preserve"> Developed Markets</w:t>
            </w:r>
          </w:p>
        </w:tc>
        <w:tc>
          <w:tcPr>
            <w:tcW w:w="4982" w:type="dxa"/>
          </w:tcPr>
          <w:p w:rsidR="0006297A" w:rsidRPr="00571C13" w:rsidRDefault="0006297A" w:rsidP="00676CED">
            <w:pPr>
              <w:pStyle w:val="RI07-BodyCopy95pt"/>
              <w:spacing w:after="0"/>
            </w:pPr>
            <w:r>
              <w:t>Russell-IdealRatings Islamic Developed Markets ex-U.</w:t>
            </w:r>
            <w:r w:rsidRPr="00571C13">
              <w:t>S</w:t>
            </w:r>
            <w:r>
              <w:t>.</w:t>
            </w:r>
          </w:p>
        </w:tc>
      </w:tr>
      <w:tr w:rsidR="0006297A" w:rsidRPr="00571C13" w:rsidTr="00676CED">
        <w:tc>
          <w:tcPr>
            <w:tcW w:w="4070" w:type="dxa"/>
          </w:tcPr>
          <w:p w:rsidR="0006297A" w:rsidRPr="00571C13" w:rsidRDefault="0006297A" w:rsidP="00676CED">
            <w:pPr>
              <w:pStyle w:val="RI07-BodyCopy95pt"/>
              <w:spacing w:after="0"/>
            </w:pPr>
            <w:r>
              <w:t>Russell-IdealRatings Islamic</w:t>
            </w:r>
            <w:r w:rsidRPr="00571C13">
              <w:t xml:space="preserve"> Emerging Markets </w:t>
            </w:r>
          </w:p>
        </w:tc>
        <w:tc>
          <w:tcPr>
            <w:tcW w:w="4982" w:type="dxa"/>
          </w:tcPr>
          <w:p w:rsidR="0006297A" w:rsidRPr="00571C13" w:rsidRDefault="0006297A" w:rsidP="00676CED">
            <w:pPr>
              <w:pStyle w:val="RI07-BodyCopy95pt"/>
              <w:spacing w:after="0"/>
            </w:pPr>
            <w:r>
              <w:t>Russell-IdealRatings Islamic</w:t>
            </w:r>
            <w:r w:rsidRPr="00571C13">
              <w:t xml:space="preserve"> Europe</w:t>
            </w:r>
          </w:p>
        </w:tc>
      </w:tr>
      <w:tr w:rsidR="0006297A" w:rsidRPr="00571C13" w:rsidTr="00676CED">
        <w:tc>
          <w:tcPr>
            <w:tcW w:w="4070" w:type="dxa"/>
          </w:tcPr>
          <w:p w:rsidR="0006297A" w:rsidRPr="00571C13" w:rsidRDefault="0006297A" w:rsidP="00676CED">
            <w:pPr>
              <w:pStyle w:val="RI07-BodyCopy95pt"/>
              <w:spacing w:after="0"/>
            </w:pPr>
            <w:r>
              <w:t>Russell-IdealRatings Islamic</w:t>
            </w:r>
            <w:r w:rsidRPr="00571C13">
              <w:t xml:space="preserve"> Asia Pacific</w:t>
            </w:r>
          </w:p>
        </w:tc>
        <w:tc>
          <w:tcPr>
            <w:tcW w:w="4982" w:type="dxa"/>
          </w:tcPr>
          <w:p w:rsidR="0006297A" w:rsidRPr="00571C13" w:rsidRDefault="0006297A" w:rsidP="00676CED">
            <w:pPr>
              <w:pStyle w:val="RI07-BodyCopy95pt"/>
              <w:spacing w:after="0"/>
            </w:pPr>
            <w:r>
              <w:t>Russell-IdealRatings Islamic</w:t>
            </w:r>
            <w:r w:rsidRPr="00571C13">
              <w:t xml:space="preserve"> Asia Pacific ex-Japan</w:t>
            </w:r>
          </w:p>
        </w:tc>
      </w:tr>
      <w:tr w:rsidR="0006297A" w:rsidRPr="00571C13" w:rsidTr="00676CED">
        <w:tc>
          <w:tcPr>
            <w:tcW w:w="4070" w:type="dxa"/>
          </w:tcPr>
          <w:p w:rsidR="0006297A" w:rsidRPr="00571C13" w:rsidRDefault="0006297A" w:rsidP="00676CED">
            <w:pPr>
              <w:pStyle w:val="RI07-BodyCopy95pt"/>
              <w:spacing w:after="0"/>
            </w:pPr>
            <w:r>
              <w:t>Russell-IdealRatings Islamic</w:t>
            </w:r>
            <w:r w:rsidRPr="00571C13">
              <w:t xml:space="preserve"> GCC</w:t>
            </w:r>
          </w:p>
        </w:tc>
        <w:tc>
          <w:tcPr>
            <w:tcW w:w="4982" w:type="dxa"/>
          </w:tcPr>
          <w:p w:rsidR="0006297A" w:rsidRPr="00571C13" w:rsidRDefault="0006297A" w:rsidP="00676CED">
            <w:pPr>
              <w:pStyle w:val="RI07-BodyCopy95pt"/>
              <w:spacing w:after="0"/>
            </w:pPr>
            <w:r>
              <w:t>Russell-IdealRatings Islamic MENA</w:t>
            </w:r>
          </w:p>
        </w:tc>
      </w:tr>
    </w:tbl>
    <w:p w:rsidR="0006297A" w:rsidRPr="00571C13" w:rsidRDefault="0006297A" w:rsidP="0006297A">
      <w:pPr>
        <w:pStyle w:val="Heading2"/>
      </w:pPr>
      <w:bookmarkStart w:id="317" w:name="_Toc303342578"/>
      <w:bookmarkStart w:id="318" w:name="_Toc279565779"/>
      <w:bookmarkStart w:id="319" w:name="_Toc343682713"/>
      <w:r w:rsidRPr="00571C13">
        <w:t xml:space="preserve">Selection of Shariah </w:t>
      </w:r>
      <w:bookmarkEnd w:id="317"/>
      <w:r>
        <w:t>c</w:t>
      </w:r>
      <w:r w:rsidRPr="00571C13">
        <w:t xml:space="preserve">ompliant </w:t>
      </w:r>
      <w:r>
        <w:t>s</w:t>
      </w:r>
      <w:r w:rsidRPr="00571C13">
        <w:t xml:space="preserve">ecurities for </w:t>
      </w:r>
      <w:r>
        <w:t>i</w:t>
      </w:r>
      <w:r w:rsidRPr="00571C13">
        <w:t xml:space="preserve">ndex </w:t>
      </w:r>
      <w:r>
        <w:t>m</w:t>
      </w:r>
      <w:r w:rsidRPr="00571C13">
        <w:t>embership</w:t>
      </w:r>
      <w:bookmarkEnd w:id="318"/>
      <w:bookmarkEnd w:id="319"/>
    </w:p>
    <w:p w:rsidR="0006297A" w:rsidRDefault="0006297A" w:rsidP="0006297A">
      <w:pPr>
        <w:pStyle w:val="RI07-BodyCopy95pt"/>
      </w:pPr>
      <w:r w:rsidRPr="00571C13">
        <w:t xml:space="preserve">The </w:t>
      </w:r>
      <w:r>
        <w:t>Russell-IdealRatings Islamic</w:t>
      </w:r>
      <w:r w:rsidRPr="00571C13">
        <w:t xml:space="preserve"> Index is based on the Russell Global Index</w:t>
      </w:r>
      <w:r>
        <w:t xml:space="preserve">. </w:t>
      </w:r>
      <w:r w:rsidRPr="00571C13">
        <w:t>Specific financial</w:t>
      </w:r>
      <w:r>
        <w:t>s</w:t>
      </w:r>
      <w:r w:rsidRPr="00571C13">
        <w:t xml:space="preserve">-based </w:t>
      </w:r>
      <w:r>
        <w:t xml:space="preserve">and sector </w:t>
      </w:r>
      <w:r w:rsidRPr="00571C13">
        <w:t xml:space="preserve">filters </w:t>
      </w:r>
      <w:r>
        <w:t>are</w:t>
      </w:r>
      <w:r w:rsidRPr="00571C13">
        <w:t xml:space="preserve"> applied to the Russell Global Index to create the </w:t>
      </w:r>
      <w:r>
        <w:t>Russell-IdealRatings Islamic</w:t>
      </w:r>
      <w:r w:rsidRPr="00571C13">
        <w:t xml:space="preserve"> Index.</w:t>
      </w:r>
    </w:p>
    <w:p w:rsidR="0006297A" w:rsidRPr="00571C13" w:rsidRDefault="0006297A" w:rsidP="0006297A">
      <w:pPr>
        <w:pStyle w:val="Heading2"/>
      </w:pPr>
      <w:bookmarkStart w:id="320" w:name="_Toc279565783"/>
      <w:bookmarkStart w:id="321" w:name="_Toc303342579"/>
      <w:bookmarkStart w:id="322" w:name="_Toc343682714"/>
      <w:r w:rsidRPr="00571C13">
        <w:t>Financial-based screens</w:t>
      </w:r>
      <w:bookmarkEnd w:id="320"/>
      <w:bookmarkEnd w:id="321"/>
      <w:bookmarkEnd w:id="322"/>
    </w:p>
    <w:p w:rsidR="0006297A" w:rsidRPr="008E5F58" w:rsidRDefault="0006297A" w:rsidP="00676CED">
      <w:pPr>
        <w:pStyle w:val="RI08-95ptBullet1"/>
        <w:numPr>
          <w:ilvl w:val="0"/>
          <w:numId w:val="28"/>
        </w:numPr>
      </w:pPr>
      <w:r w:rsidRPr="008E5F58">
        <w:t>The Russell-</w:t>
      </w:r>
      <w:r>
        <w:t>IdealRatings Islamic</w:t>
      </w:r>
      <w:r w:rsidRPr="008E5F58">
        <w:t xml:space="preserve"> Index does not include a company as an index member where the sum of cash, deposits and receivables divided by the immediately preceding 12-month average total market capitalization, </w:t>
      </w:r>
      <w:r>
        <w:t>exceeds 70%</w:t>
      </w:r>
    </w:p>
    <w:p w:rsidR="0006297A" w:rsidRPr="008E5F58" w:rsidRDefault="0006297A" w:rsidP="00676CED">
      <w:pPr>
        <w:pStyle w:val="RI08-95ptBullet1"/>
        <w:numPr>
          <w:ilvl w:val="0"/>
          <w:numId w:val="28"/>
        </w:numPr>
      </w:pPr>
      <w:r w:rsidRPr="008E5F58">
        <w:lastRenderedPageBreak/>
        <w:t>The Russell-</w:t>
      </w:r>
      <w:r>
        <w:t>IdealRatings Islamic</w:t>
      </w:r>
      <w:r w:rsidRPr="008E5F58">
        <w:t xml:space="preserve"> Index does not include a company as an index member where interest-bearing debt divided by the immediately preceding 12-month average total mar</w:t>
      </w:r>
      <w:r>
        <w:t>ket capitalization exceeds 33%</w:t>
      </w:r>
    </w:p>
    <w:p w:rsidR="0006297A" w:rsidRPr="008E5F58" w:rsidRDefault="0006297A" w:rsidP="00676CED">
      <w:pPr>
        <w:pStyle w:val="RI08-95ptBullet1"/>
        <w:numPr>
          <w:ilvl w:val="0"/>
          <w:numId w:val="28"/>
        </w:numPr>
      </w:pPr>
      <w:r w:rsidRPr="008E5F58">
        <w:t>The Russell-</w:t>
      </w:r>
      <w:r>
        <w:t>IdealRatings Islamic</w:t>
      </w:r>
      <w:r w:rsidRPr="008E5F58">
        <w:t xml:space="preserve"> Index does not include a company as an index member where the sum of cash, deposits and interest bearing securities divided by the immediately preceding 12-month average total mar</w:t>
      </w:r>
      <w:r>
        <w:t>ket capitalization exceeds 33%</w:t>
      </w:r>
    </w:p>
    <w:p w:rsidR="0006297A" w:rsidRPr="00885A7B" w:rsidRDefault="0006297A" w:rsidP="0006297A">
      <w:pPr>
        <w:pStyle w:val="RI07-BodyCopy95pt"/>
      </w:pPr>
      <w:r w:rsidRPr="00885A7B">
        <w:t>For companies which do not have a long enough price history (e.g. recent IPOs), the average total market capitalization is calculated over the number of days/months the company has been trading, or for which a daily closing price for the company has been available.</w:t>
      </w:r>
    </w:p>
    <w:p w:rsidR="0006297A" w:rsidRDefault="0006297A" w:rsidP="0006297A">
      <w:pPr>
        <w:pStyle w:val="Heading2"/>
      </w:pPr>
      <w:bookmarkStart w:id="323" w:name="_Toc279565784"/>
      <w:bookmarkStart w:id="324" w:name="_Toc303342580"/>
      <w:bookmarkStart w:id="325" w:name="_Toc343682715"/>
      <w:r>
        <w:t xml:space="preserve">Sector-based, prohibited income </w:t>
      </w:r>
      <w:r w:rsidRPr="00571C13">
        <w:t>screens</w:t>
      </w:r>
      <w:bookmarkEnd w:id="323"/>
      <w:bookmarkEnd w:id="324"/>
      <w:bookmarkEnd w:id="325"/>
    </w:p>
    <w:p w:rsidR="0006297A" w:rsidRPr="00571C13" w:rsidRDefault="0006297A" w:rsidP="0006297A">
      <w:pPr>
        <w:pStyle w:val="RI07-BodyCopy95pt"/>
      </w:pPr>
      <w:r w:rsidRPr="00885A7B">
        <w:t>The Russell-</w:t>
      </w:r>
      <w:r>
        <w:t>IdealRatings Islamic</w:t>
      </w:r>
      <w:r w:rsidRPr="00885A7B">
        <w:t xml:space="preserve"> Index does not include a company as an index member where the sum of interest earned and revenue from prohibited activities divided by total income (defined as total revenue or sales), exceeds 5%.</w:t>
      </w:r>
      <w:r>
        <w:t xml:space="preserve"> </w:t>
      </w:r>
      <w:r w:rsidRPr="00885A7B">
        <w:t>A list of prohibited activities is provided below.</w:t>
      </w:r>
      <w:r>
        <w:t xml:space="preserve"> </w:t>
      </w:r>
    </w:p>
    <w:p w:rsidR="0006297A" w:rsidRPr="00885A7B" w:rsidRDefault="0006297A" w:rsidP="00676CED">
      <w:pPr>
        <w:pStyle w:val="RI08-95ptBullet1"/>
        <w:numPr>
          <w:ilvl w:val="0"/>
          <w:numId w:val="29"/>
        </w:numPr>
      </w:pPr>
      <w:r w:rsidRPr="00885A7B">
        <w:t xml:space="preserve">Financial institutions such as traditional banks that deal with interest or financial instruments that violate Shariah rules and </w:t>
      </w:r>
      <w:r>
        <w:t>traditional insurance companies</w:t>
      </w:r>
    </w:p>
    <w:p w:rsidR="0006297A" w:rsidRPr="00885A7B" w:rsidRDefault="0006297A" w:rsidP="00676CED">
      <w:pPr>
        <w:pStyle w:val="RI08-95ptBullet1"/>
        <w:numPr>
          <w:ilvl w:val="0"/>
          <w:numId w:val="29"/>
        </w:numPr>
      </w:pPr>
      <w:r w:rsidRPr="00885A7B">
        <w:t>Production and distribution of alcohol</w:t>
      </w:r>
    </w:p>
    <w:p w:rsidR="0006297A" w:rsidRPr="00885A7B" w:rsidRDefault="0006297A" w:rsidP="00676CED">
      <w:pPr>
        <w:pStyle w:val="RI08-95ptBullet1"/>
        <w:numPr>
          <w:ilvl w:val="0"/>
          <w:numId w:val="29"/>
        </w:numPr>
      </w:pPr>
      <w:r w:rsidRPr="00885A7B">
        <w:t>Production and distribution of tobacco</w:t>
      </w:r>
    </w:p>
    <w:p w:rsidR="0006297A" w:rsidRPr="00885A7B" w:rsidRDefault="0006297A" w:rsidP="00676CED">
      <w:pPr>
        <w:pStyle w:val="RI08-95ptBullet1"/>
        <w:numPr>
          <w:ilvl w:val="0"/>
          <w:numId w:val="29"/>
        </w:numPr>
      </w:pPr>
      <w:r w:rsidRPr="00885A7B">
        <w:t>Production and distribution of meat not slaughtered according to Shariah rules in non-monotheistic countries</w:t>
      </w:r>
    </w:p>
    <w:p w:rsidR="0006297A" w:rsidRPr="00885A7B" w:rsidRDefault="0006297A" w:rsidP="00676CED">
      <w:pPr>
        <w:pStyle w:val="RI08-95ptBullet1"/>
        <w:numPr>
          <w:ilvl w:val="0"/>
          <w:numId w:val="29"/>
        </w:numPr>
      </w:pPr>
      <w:r w:rsidRPr="00885A7B">
        <w:t>Production and distribution of pork and its derivatives</w:t>
      </w:r>
    </w:p>
    <w:p w:rsidR="0006297A" w:rsidRPr="00885A7B" w:rsidRDefault="0006297A" w:rsidP="00676CED">
      <w:pPr>
        <w:pStyle w:val="RI08-95ptBullet1"/>
        <w:numPr>
          <w:ilvl w:val="0"/>
          <w:numId w:val="29"/>
        </w:numPr>
      </w:pPr>
      <w:r w:rsidRPr="00885A7B">
        <w:t>Management of casinos and gambling halls and production of games such as slot machines</w:t>
      </w:r>
    </w:p>
    <w:p w:rsidR="0006297A" w:rsidRPr="00885A7B" w:rsidRDefault="0006297A" w:rsidP="00676CED">
      <w:pPr>
        <w:pStyle w:val="RI08-95ptBullet1"/>
        <w:numPr>
          <w:ilvl w:val="0"/>
          <w:numId w:val="29"/>
        </w:numPr>
      </w:pPr>
      <w:r w:rsidRPr="00885A7B">
        <w:t>Houses of prostitution or vice</w:t>
      </w:r>
    </w:p>
    <w:p w:rsidR="0006297A" w:rsidRPr="00885A7B" w:rsidRDefault="0006297A" w:rsidP="00676CED">
      <w:pPr>
        <w:pStyle w:val="RI08-95ptBullet1"/>
        <w:numPr>
          <w:ilvl w:val="0"/>
          <w:numId w:val="29"/>
        </w:numPr>
      </w:pPr>
      <w:r w:rsidRPr="00885A7B">
        <w:t>Adult entertainment such as pornographic films and services</w:t>
      </w:r>
    </w:p>
    <w:p w:rsidR="0006297A" w:rsidRPr="00885A7B" w:rsidRDefault="0006297A" w:rsidP="00676CED">
      <w:pPr>
        <w:pStyle w:val="RI08-95ptBullet1"/>
        <w:numPr>
          <w:ilvl w:val="0"/>
          <w:numId w:val="29"/>
        </w:numPr>
      </w:pPr>
      <w:r w:rsidRPr="00885A7B">
        <w:t>Production and distribution of magazines, advertising, music, satellite channels, and cinemas that violate Shariah rules, including violent or mature games</w:t>
      </w:r>
    </w:p>
    <w:p w:rsidR="0006297A" w:rsidRPr="00885A7B" w:rsidRDefault="0006297A" w:rsidP="00676CED">
      <w:pPr>
        <w:pStyle w:val="RI08-95ptBullet1"/>
        <w:numPr>
          <w:ilvl w:val="0"/>
          <w:numId w:val="29"/>
        </w:numPr>
      </w:pPr>
      <w:r w:rsidRPr="00885A7B">
        <w:t xml:space="preserve">Restaurants, hotels and places of entertainment that </w:t>
      </w:r>
      <w:r>
        <w:t>engage in</w:t>
      </w:r>
      <w:r w:rsidRPr="00885A7B">
        <w:t xml:space="preserve"> prohibited services such as the sale of alcohol</w:t>
      </w:r>
    </w:p>
    <w:p w:rsidR="0006297A" w:rsidRPr="00885A7B" w:rsidRDefault="0006297A" w:rsidP="00676CED">
      <w:pPr>
        <w:pStyle w:val="RI08-95ptBullet1"/>
        <w:numPr>
          <w:ilvl w:val="0"/>
          <w:numId w:val="29"/>
        </w:numPr>
      </w:pPr>
      <w:r w:rsidRPr="00885A7B">
        <w:t>Trading of gold and silver as cash on deferred basis</w:t>
      </w:r>
    </w:p>
    <w:p w:rsidR="0006297A" w:rsidRPr="00885A7B" w:rsidRDefault="0006297A" w:rsidP="00676CED">
      <w:pPr>
        <w:pStyle w:val="RI08-95ptBullet1"/>
        <w:numPr>
          <w:ilvl w:val="0"/>
          <w:numId w:val="29"/>
        </w:numPr>
      </w:pPr>
      <w:r w:rsidRPr="00885A7B">
        <w:t>Manufacturing and selling of weapons</w:t>
      </w:r>
    </w:p>
    <w:p w:rsidR="0006297A" w:rsidRPr="00885A7B" w:rsidRDefault="0006297A" w:rsidP="00676CED">
      <w:pPr>
        <w:pStyle w:val="RI08-95ptBullet1"/>
        <w:numPr>
          <w:ilvl w:val="0"/>
          <w:numId w:val="29"/>
        </w:numPr>
      </w:pPr>
      <w:r w:rsidRPr="00885A7B">
        <w:t>Stem cell, human embryo, and genetic cloning (research firms, therapy clinics, etc.)</w:t>
      </w:r>
    </w:p>
    <w:p w:rsidR="0006297A" w:rsidRPr="00885A7B" w:rsidRDefault="0006297A" w:rsidP="00676CED">
      <w:pPr>
        <w:pStyle w:val="RI08-95ptBullet1"/>
        <w:numPr>
          <w:ilvl w:val="0"/>
          <w:numId w:val="29"/>
        </w:numPr>
      </w:pPr>
      <w:r w:rsidRPr="00885A7B">
        <w:t>Anything not Shariah compliant as determined by the Russell-</w:t>
      </w:r>
      <w:r>
        <w:t>IdealRatings Islamic Board</w:t>
      </w:r>
    </w:p>
    <w:p w:rsidR="0006297A" w:rsidRPr="00695AC4" w:rsidRDefault="0006297A" w:rsidP="0006297A">
      <w:pPr>
        <w:pStyle w:val="Heading2"/>
      </w:pPr>
      <w:bookmarkStart w:id="326" w:name="_Toc279565785"/>
      <w:bookmarkStart w:id="327" w:name="_Toc303342581"/>
      <w:bookmarkStart w:id="328" w:name="_Toc343682716"/>
      <w:r w:rsidRPr="00695AC4">
        <w:t>Additional screens</w:t>
      </w:r>
      <w:bookmarkEnd w:id="326"/>
      <w:bookmarkEnd w:id="327"/>
      <w:bookmarkEnd w:id="328"/>
    </w:p>
    <w:p w:rsidR="0006297A" w:rsidRPr="00FE5195" w:rsidRDefault="0006297A" w:rsidP="0006297A">
      <w:pPr>
        <w:pStyle w:val="RI07-BodyCopy95pt"/>
      </w:pPr>
      <w:r w:rsidRPr="008417A5">
        <w:t xml:space="preserve">As part of the Shariah compliant screening process, preferred shares are excluded from membership due to their tendency toward predetermined rates of return, cumulative guaranteed dividends, and/or the rights to prioritized capital repayment. </w:t>
      </w:r>
      <w:bookmarkStart w:id="329" w:name="_Toc279565787"/>
    </w:p>
    <w:p w:rsidR="0006297A" w:rsidRPr="00571C13" w:rsidRDefault="0006297A" w:rsidP="0006297A">
      <w:pPr>
        <w:pStyle w:val="Heading2"/>
      </w:pPr>
      <w:bookmarkStart w:id="330" w:name="_Toc303342582"/>
      <w:bookmarkStart w:id="331" w:name="_Toc343682717"/>
      <w:r>
        <w:lastRenderedPageBreak/>
        <w:t>M</w:t>
      </w:r>
      <w:r w:rsidRPr="00571C13">
        <w:t>aintenance</w:t>
      </w:r>
      <w:bookmarkEnd w:id="330"/>
      <w:bookmarkEnd w:id="331"/>
      <w:r w:rsidRPr="00571C13">
        <w:t xml:space="preserve"> </w:t>
      </w:r>
      <w:bookmarkEnd w:id="329"/>
    </w:p>
    <w:p w:rsidR="0006297A" w:rsidRPr="00885A7B" w:rsidRDefault="0006297A" w:rsidP="0006297A">
      <w:pPr>
        <w:pStyle w:val="RI07-BodyCopy95pt"/>
      </w:pPr>
      <w:r w:rsidRPr="00885A7B">
        <w:t>The Russell-</w:t>
      </w:r>
      <w:r>
        <w:t>IdealRatings Islamic</w:t>
      </w:r>
      <w:r w:rsidRPr="00885A7B">
        <w:t xml:space="preserve"> Index is maintained as follows:</w:t>
      </w:r>
    </w:p>
    <w:p w:rsidR="0006297A" w:rsidRPr="00571C13" w:rsidRDefault="0006297A" w:rsidP="0006297A">
      <w:pPr>
        <w:pStyle w:val="RI08-95ptBullet1"/>
        <w:tabs>
          <w:tab w:val="num" w:pos="720"/>
        </w:tabs>
        <w:ind w:left="720" w:hanging="360"/>
      </w:pPr>
      <w:r w:rsidRPr="00571C13">
        <w:t xml:space="preserve">The </w:t>
      </w:r>
      <w:r>
        <w:t>Russell-IdealRatings Islamic</w:t>
      </w:r>
      <w:r w:rsidRPr="00571C13">
        <w:t xml:space="preserve"> Index is based on the Russell Global Index.</w:t>
      </w:r>
      <w:r>
        <w:t xml:space="preserve"> </w:t>
      </w:r>
      <w:r w:rsidRPr="00571C13">
        <w:t xml:space="preserve">All maintenance and operational processes that support the Russell Global Index </w:t>
      </w:r>
      <w:r>
        <w:t>are extended</w:t>
      </w:r>
      <w:r w:rsidRPr="00571C13">
        <w:t xml:space="preserve"> to the </w:t>
      </w:r>
      <w:r>
        <w:t>Russell-IdealRatings Islamic Index where applicable</w:t>
      </w:r>
    </w:p>
    <w:p w:rsidR="0006297A" w:rsidRPr="005D201A" w:rsidRDefault="0006297A" w:rsidP="0006297A">
      <w:pPr>
        <w:pStyle w:val="RI08-95ptBullet1"/>
        <w:tabs>
          <w:tab w:val="num" w:pos="720"/>
        </w:tabs>
        <w:ind w:left="720" w:hanging="360"/>
      </w:pPr>
      <w:r w:rsidRPr="005D201A">
        <w:t>The Russell</w:t>
      </w:r>
      <w:r>
        <w:t xml:space="preserve"> Global Index</w:t>
      </w:r>
      <w:r w:rsidRPr="005D201A">
        <w:t xml:space="preserve"> </w:t>
      </w:r>
      <w:r>
        <w:t>is s</w:t>
      </w:r>
      <w:r w:rsidRPr="005D201A">
        <w:t>creened quarterly for Shariah compliance.</w:t>
      </w:r>
      <w:r>
        <w:t xml:space="preserve"> </w:t>
      </w:r>
      <w:r w:rsidRPr="005D201A">
        <w:t>These screened securities</w:t>
      </w:r>
      <w:r>
        <w:t xml:space="preserve"> become</w:t>
      </w:r>
      <w:r w:rsidRPr="005D201A">
        <w:t xml:space="preserve"> the Russell-</w:t>
      </w:r>
      <w:r>
        <w:t>IdealRatings Islamic</w:t>
      </w:r>
      <w:r w:rsidRPr="005D201A">
        <w:t xml:space="preserve"> Index as of the first business day of</w:t>
      </w:r>
      <w:r>
        <w:t xml:space="preserve"> each new quarter</w:t>
      </w:r>
    </w:p>
    <w:p w:rsidR="0006297A" w:rsidRPr="00571C13" w:rsidRDefault="0006297A" w:rsidP="0006297A">
      <w:pPr>
        <w:pStyle w:val="RI08-95ptBullet1"/>
        <w:tabs>
          <w:tab w:val="num" w:pos="720"/>
        </w:tabs>
        <w:ind w:left="720" w:hanging="360"/>
      </w:pPr>
      <w:r w:rsidRPr="00571C13">
        <w:t xml:space="preserve">Corporate action items (including acquisitions and mergers, share changes, stock splits, stock dividends, and stock price adjustments due to restructurings or spin-offs) that may impact the Shariah compatibility of the index constituents </w:t>
      </w:r>
      <w:r>
        <w:t>are</w:t>
      </w:r>
      <w:r w:rsidRPr="00571C13">
        <w:t xml:space="preserve"> reflected in the index membership</w:t>
      </w:r>
      <w:r>
        <w:t xml:space="preserve"> daily</w:t>
      </w:r>
      <w:r w:rsidRPr="00571C13">
        <w:t>.</w:t>
      </w:r>
      <w:r>
        <w:t xml:space="preserve"> </w:t>
      </w:r>
      <w:r w:rsidRPr="00571C13">
        <w:t>If</w:t>
      </w:r>
      <w:r w:rsidRPr="00695AC4">
        <w:t xml:space="preserve"> an index </w:t>
      </w:r>
      <w:r w:rsidRPr="00571C13">
        <w:t xml:space="preserve">member is no longer permissible because of a Shariah compliance screen, it </w:t>
      </w:r>
      <w:r>
        <w:t>is</w:t>
      </w:r>
      <w:r w:rsidRPr="00571C13">
        <w:t xml:space="preserve"> removed from the index within </w:t>
      </w:r>
      <w:r>
        <w:t>two</w:t>
      </w:r>
      <w:r w:rsidRPr="00571C13">
        <w:t xml:space="preserve"> business days after notification has been </w:t>
      </w:r>
      <w:r>
        <w:t>provided</w:t>
      </w:r>
      <w:r w:rsidRPr="00571C13">
        <w:t xml:space="preserve"> to index clients.</w:t>
      </w:r>
      <w:r>
        <w:t xml:space="preserve"> </w:t>
      </w:r>
      <w:r w:rsidRPr="00571C13">
        <w:t>Client notifications</w:t>
      </w:r>
      <w:r>
        <w:t xml:space="preserve"> ar</w:t>
      </w:r>
      <w:r w:rsidRPr="00571C13">
        <w:t xml:space="preserve">e initiated as soon as it is discovered that a </w:t>
      </w:r>
      <w:r>
        <w:t>security is no longer compliant</w:t>
      </w:r>
    </w:p>
    <w:p w:rsidR="0006297A" w:rsidRPr="00571C13" w:rsidRDefault="0006297A" w:rsidP="0006297A">
      <w:pPr>
        <w:pStyle w:val="RI08-95ptBullet1"/>
        <w:tabs>
          <w:tab w:val="num" w:pos="720"/>
        </w:tabs>
        <w:ind w:left="720" w:hanging="360"/>
      </w:pPr>
      <w:r>
        <w:t>IPO c</w:t>
      </w:r>
      <w:r w:rsidRPr="00571C13">
        <w:t>andidates for</w:t>
      </w:r>
      <w:r>
        <w:t xml:space="preserve"> </w:t>
      </w:r>
      <w:r w:rsidRPr="00571C13">
        <w:t xml:space="preserve">Russell Global Index membership </w:t>
      </w:r>
      <w:r>
        <w:t>are</w:t>
      </w:r>
      <w:r w:rsidRPr="00571C13">
        <w:t xml:space="preserve"> </w:t>
      </w:r>
      <w:r>
        <w:t xml:space="preserve">screened quarterly for compliance </w:t>
      </w:r>
      <w:r w:rsidRPr="00571C13">
        <w:t xml:space="preserve">before </w:t>
      </w:r>
      <w:r>
        <w:t xml:space="preserve">they are eligible for </w:t>
      </w:r>
      <w:r w:rsidRPr="00571C13">
        <w:t>inclusion in the</w:t>
      </w:r>
      <w:r>
        <w:t xml:space="preserve"> Russell-IdealRatings Islamic</w:t>
      </w:r>
      <w:r w:rsidRPr="00571C13">
        <w:t xml:space="preserve"> </w:t>
      </w:r>
      <w:r>
        <w:t>I</w:t>
      </w:r>
      <w:r w:rsidRPr="00571C13">
        <w:t>ndex.</w:t>
      </w:r>
      <w:r>
        <w:t xml:space="preserve"> </w:t>
      </w:r>
      <w:r w:rsidRPr="00571C13">
        <w:t xml:space="preserve">If relevant financial data is not available for </w:t>
      </w:r>
      <w:r>
        <w:t>the</w:t>
      </w:r>
      <w:r w:rsidRPr="00571C13">
        <w:t xml:space="preserve"> IPO</w:t>
      </w:r>
      <w:r>
        <w:t>,</w:t>
      </w:r>
      <w:r w:rsidRPr="00571C13">
        <w:t xml:space="preserve"> it </w:t>
      </w:r>
      <w:r>
        <w:t>is</w:t>
      </w:r>
      <w:r w:rsidRPr="00571C13">
        <w:t xml:space="preserve"> not</w:t>
      </w:r>
      <w:r>
        <w:t xml:space="preserve"> included in the Russell-IdealRatings Islamic Index</w:t>
      </w:r>
    </w:p>
    <w:p w:rsidR="0006297A" w:rsidRDefault="0006297A" w:rsidP="0006297A">
      <w:pPr>
        <w:pStyle w:val="RI08-95ptBullet1"/>
        <w:tabs>
          <w:tab w:val="num" w:pos="720"/>
        </w:tabs>
        <w:ind w:left="720" w:hanging="360"/>
      </w:pPr>
      <w:r w:rsidRPr="00571C13">
        <w:t>The financial ratios calculated in the filtering process</w:t>
      </w:r>
      <w:r>
        <w:t xml:space="preserve"> are</w:t>
      </w:r>
      <w:r w:rsidRPr="00571C13">
        <w:t xml:space="preserve"> based on the most recent available data, within the preceding two (2) calendar quarters, from an independent, recognized financial data vendor. Exceptions to this requirement </w:t>
      </w:r>
      <w:r>
        <w:t>are</w:t>
      </w:r>
      <w:r w:rsidRPr="00571C13">
        <w:t xml:space="preserve"> presented to the </w:t>
      </w:r>
      <w:r>
        <w:t>Russell-IdealRatings Islamic</w:t>
      </w:r>
      <w:r w:rsidRPr="00571C13">
        <w:t xml:space="preserve"> Board for consideration and approval (e.g., if an emerging market stock only publish</w:t>
      </w:r>
      <w:r>
        <w:t>es annual financial statement</w:t>
      </w:r>
    </w:p>
    <w:p w:rsidR="0006297A" w:rsidRDefault="0006297A" w:rsidP="0006297A">
      <w:pPr>
        <w:pStyle w:val="Heading2"/>
      </w:pPr>
      <w:bookmarkStart w:id="332" w:name="_Toc303342583"/>
      <w:bookmarkStart w:id="333" w:name="_Toc343682718"/>
      <w:r>
        <w:t>Compliance monitoring</w:t>
      </w:r>
      <w:bookmarkEnd w:id="332"/>
      <w:bookmarkEnd w:id="333"/>
    </w:p>
    <w:p w:rsidR="0006297A" w:rsidRPr="00885A7B" w:rsidRDefault="0006297A" w:rsidP="0006297A">
      <w:pPr>
        <w:pStyle w:val="RI07-BodyCopy95pt"/>
      </w:pPr>
      <w:r w:rsidRPr="00885A7B">
        <w:t>A list of permissible and non-permissible index members, their underlying sector classifications and financial ratios, plus additions to and deletions from the index are provided to the Russell-</w:t>
      </w:r>
      <w:r>
        <w:t>IdealRatings Islamic</w:t>
      </w:r>
      <w:r w:rsidRPr="00885A7B">
        <w:t xml:space="preserve"> Board on a quarterly basis.</w:t>
      </w:r>
    </w:p>
    <w:p w:rsidR="0006297A" w:rsidRPr="0097455D" w:rsidRDefault="0006297A" w:rsidP="0006297A">
      <w:pPr>
        <w:pStyle w:val="RI07-BodyCopy95pt"/>
      </w:pPr>
      <w:r w:rsidRPr="00AE342C">
        <w:t xml:space="preserve">If it is discovered that a non-compliant security has been included as an index member in error, the security is removed from the index within </w:t>
      </w:r>
      <w:r>
        <w:t>two</w:t>
      </w:r>
      <w:r w:rsidRPr="00AE342C">
        <w:t xml:space="preserve"> business days after notification has been given to index clients. Client notifications are initiated as soon as the non-compliant index member is discovered. Additionally, the Shariah Board will be notified of the error, and they will be alerted if any dividend income was recorded for purification during the period in which the non-compliant security was in the index. </w:t>
      </w:r>
      <w:bookmarkStart w:id="334" w:name="_Toc279565789"/>
    </w:p>
    <w:p w:rsidR="0006297A" w:rsidRDefault="0006297A" w:rsidP="0006297A">
      <w:pPr>
        <w:pStyle w:val="Heading2"/>
      </w:pPr>
      <w:bookmarkStart w:id="335" w:name="_Toc303342584"/>
      <w:bookmarkStart w:id="336" w:name="_Toc343682719"/>
      <w:r w:rsidRPr="00571C13">
        <w:t>Purification</w:t>
      </w:r>
      <w:bookmarkEnd w:id="334"/>
      <w:bookmarkEnd w:id="335"/>
      <w:bookmarkEnd w:id="336"/>
    </w:p>
    <w:p w:rsidR="0006297A" w:rsidRPr="00181238" w:rsidRDefault="0006297A" w:rsidP="0006297A">
      <w:pPr>
        <w:pStyle w:val="RI07-BodyCopy95pt"/>
      </w:pPr>
      <w:r w:rsidRPr="00885A7B">
        <w:t>The total return</w:t>
      </w:r>
      <w:r>
        <w:t xml:space="preserve"> for the Russell-IdealRatings Islamic I</w:t>
      </w:r>
      <w:r w:rsidRPr="00885A7B">
        <w:t xml:space="preserve">ndex reflects dividend purification in accordance with Shariah law. Any realized income from interest-bearing or non-Islamic revenue for an index member is purified daily. </w:t>
      </w:r>
    </w:p>
    <w:p w:rsidR="0006297A" w:rsidRDefault="0006297A" w:rsidP="0006297A">
      <w:pPr>
        <w:pStyle w:val="Heading2"/>
      </w:pPr>
      <w:bookmarkStart w:id="337" w:name="_Toc279565790"/>
      <w:bookmarkStart w:id="338" w:name="_Toc303342585"/>
      <w:bookmarkStart w:id="339" w:name="_Toc343682720"/>
      <w:r w:rsidRPr="00571C13">
        <w:t>Eligibility and calculation of the purification amount</w:t>
      </w:r>
      <w:bookmarkEnd w:id="337"/>
      <w:bookmarkEnd w:id="338"/>
      <w:bookmarkEnd w:id="339"/>
    </w:p>
    <w:p w:rsidR="0006297A" w:rsidRPr="00885A7B" w:rsidRDefault="0006297A" w:rsidP="0006297A">
      <w:pPr>
        <w:pStyle w:val="RI07-BodyCopy95pt"/>
      </w:pPr>
      <w:r w:rsidRPr="00885A7B">
        <w:t>Income from the following sources is eligible for purification:</w:t>
      </w:r>
    </w:p>
    <w:p w:rsidR="0006297A" w:rsidRPr="00571C13" w:rsidRDefault="0006297A" w:rsidP="0006297A">
      <w:pPr>
        <w:pStyle w:val="RI08-95ptBullet1"/>
        <w:tabs>
          <w:tab w:val="num" w:pos="720"/>
        </w:tabs>
        <w:ind w:left="720" w:hanging="360"/>
      </w:pPr>
      <w:r w:rsidRPr="00CD6910">
        <w:t>Any realized income from interest-bearing or non-Islamic revenue for the respective index members</w:t>
      </w:r>
    </w:p>
    <w:p w:rsidR="0006297A" w:rsidRPr="00571C13" w:rsidRDefault="0006297A" w:rsidP="0006297A">
      <w:pPr>
        <w:pStyle w:val="RI08-95ptBullet1"/>
        <w:tabs>
          <w:tab w:val="num" w:pos="720"/>
        </w:tabs>
        <w:ind w:left="720" w:hanging="360"/>
      </w:pPr>
      <w:r w:rsidRPr="00CD6910">
        <w:lastRenderedPageBreak/>
        <w:t xml:space="preserve">Any income from other sources for index members, with the specific review and approval of the Shariah Board </w:t>
      </w:r>
    </w:p>
    <w:p w:rsidR="0006297A" w:rsidRPr="00571C13" w:rsidRDefault="0006297A" w:rsidP="0006297A">
      <w:pPr>
        <w:pStyle w:val="Heading2"/>
      </w:pPr>
      <w:bookmarkStart w:id="340" w:name="_Toc279565791"/>
      <w:bookmarkStart w:id="341" w:name="_Toc303342586"/>
      <w:bookmarkStart w:id="342" w:name="_Toc343682721"/>
      <w:r w:rsidRPr="00571C13">
        <w:t>Purification process</w:t>
      </w:r>
      <w:bookmarkEnd w:id="340"/>
      <w:bookmarkEnd w:id="341"/>
      <w:bookmarkEnd w:id="342"/>
    </w:p>
    <w:p w:rsidR="0006297A" w:rsidRPr="00885A7B" w:rsidRDefault="0006297A" w:rsidP="0006297A">
      <w:pPr>
        <w:pStyle w:val="RI07-BodyCopy95pt"/>
      </w:pPr>
      <w:r w:rsidRPr="00885A7B">
        <w:t>The purification process is as follows:</w:t>
      </w:r>
    </w:p>
    <w:p w:rsidR="0006297A" w:rsidRPr="00990371" w:rsidRDefault="0006297A" w:rsidP="00676CED">
      <w:pPr>
        <w:pStyle w:val="RI08-95ptBullet1"/>
        <w:numPr>
          <w:ilvl w:val="0"/>
          <w:numId w:val="31"/>
        </w:numPr>
      </w:pPr>
      <w:r w:rsidRPr="00990371">
        <w:t>Determine the amount of impure income for an index member by dividing the amount of impure income of the security by the total number of float adjusted shares to obtain the stock share of the impure income</w:t>
      </w:r>
    </w:p>
    <w:p w:rsidR="0006297A" w:rsidRPr="00990371" w:rsidRDefault="0006297A" w:rsidP="00676CED">
      <w:pPr>
        <w:pStyle w:val="RI08-95ptBullet1"/>
        <w:numPr>
          <w:ilvl w:val="0"/>
          <w:numId w:val="31"/>
        </w:numPr>
      </w:pPr>
      <w:r w:rsidRPr="00990371">
        <w:t>Multiply the proceeds by the number of float adjusted shares of the index member for the purpose of calculating total impure income</w:t>
      </w:r>
    </w:p>
    <w:p w:rsidR="0006297A" w:rsidRPr="00990371" w:rsidRDefault="0006297A" w:rsidP="00676CED">
      <w:pPr>
        <w:pStyle w:val="RI08-95ptBullet1"/>
        <w:numPr>
          <w:ilvl w:val="0"/>
          <w:numId w:val="31"/>
        </w:numPr>
      </w:pPr>
      <w:r w:rsidRPr="00990371">
        <w:t>Repeat calculation for each index member</w:t>
      </w:r>
    </w:p>
    <w:p w:rsidR="0006297A" w:rsidRPr="00990371" w:rsidRDefault="0006297A" w:rsidP="00676CED">
      <w:pPr>
        <w:pStyle w:val="RI08-95ptBullet1"/>
        <w:numPr>
          <w:ilvl w:val="0"/>
          <w:numId w:val="31"/>
        </w:numPr>
      </w:pPr>
      <w:r w:rsidRPr="00990371">
        <w:t>Sum the amount of the impure income for all index members</w:t>
      </w:r>
    </w:p>
    <w:p w:rsidR="0006297A" w:rsidRPr="00990371" w:rsidRDefault="0006297A" w:rsidP="00676CED">
      <w:pPr>
        <w:pStyle w:val="RI08-95ptBullet1"/>
        <w:numPr>
          <w:ilvl w:val="0"/>
          <w:numId w:val="31"/>
        </w:numPr>
      </w:pPr>
      <w:r>
        <w:t>D</w:t>
      </w:r>
      <w:r w:rsidRPr="00990371">
        <w:t>aily calculate net and total index values and returns are purif</w:t>
      </w:r>
      <w:r>
        <w:t xml:space="preserve">y </w:t>
      </w:r>
      <w:r w:rsidRPr="00990371">
        <w:t xml:space="preserve">daily using the purification ratio </w:t>
      </w:r>
    </w:p>
    <w:p w:rsidR="0006297A" w:rsidRPr="00571C13" w:rsidRDefault="0006297A" w:rsidP="0006297A">
      <w:pPr>
        <w:ind w:left="360"/>
        <w:rPr>
          <w:rFonts w:ascii="Arial" w:hAnsi="Arial"/>
          <w:color w:val="5F6062"/>
          <w:sz w:val="20"/>
        </w:rPr>
      </w:pPr>
    </w:p>
    <w:p w:rsidR="0006297A" w:rsidRDefault="0006297A" w:rsidP="0006297A">
      <w:pPr>
        <w:pStyle w:val="RI07-BodyCopy95pt"/>
      </w:pPr>
      <w:r w:rsidRPr="00885A7B">
        <w:t xml:space="preserve">The financial data used in the purification process, including a company’s net revenue, net interest income, and revenue from prohibited activities, </w:t>
      </w:r>
      <w:r>
        <w:t>are</w:t>
      </w:r>
      <w:r w:rsidRPr="00885A7B">
        <w:t xml:space="preserve"> primarily based on the most recent available data, within the preceding two (2) calendar quarters, from an independent, recognized financial data vendor.</w:t>
      </w:r>
      <w:r>
        <w:t xml:space="preserve"> </w:t>
      </w:r>
      <w:r w:rsidRPr="00885A7B">
        <w:t xml:space="preserve">If </w:t>
      </w:r>
      <w:r>
        <w:t>the</w:t>
      </w:r>
      <w:r w:rsidRPr="00885A7B">
        <w:t xml:space="preserve"> financial data </w:t>
      </w:r>
      <w:r>
        <w:t>are</w:t>
      </w:r>
      <w:r w:rsidRPr="00885A7B">
        <w:t xml:space="preserve"> unavailable, non-financial data sources including analyst research reports are utilized.</w:t>
      </w:r>
      <w:r>
        <w:t xml:space="preserve"> </w:t>
      </w:r>
      <w:r w:rsidRPr="00885A7B">
        <w:t xml:space="preserve">Estimated proportions, based on industry or market norms, </w:t>
      </w:r>
      <w:r>
        <w:t>are</w:t>
      </w:r>
      <w:r w:rsidRPr="00885A7B">
        <w:t xml:space="preserve"> used where financial data </w:t>
      </w:r>
      <w:r>
        <w:t>are</w:t>
      </w:r>
      <w:r w:rsidRPr="00885A7B">
        <w:t xml:space="preserve"> not readily available.</w:t>
      </w:r>
    </w:p>
    <w:p w:rsidR="0006297A" w:rsidRDefault="0006297A" w:rsidP="0006297A">
      <w:pPr>
        <w:pStyle w:val="RI07-BodyCopy95pt"/>
      </w:pPr>
    </w:p>
    <w:p w:rsidR="0006297A" w:rsidRDefault="0006297A" w:rsidP="0006297A">
      <w:pPr>
        <w:pStyle w:val="RI07-BodyCopy95pt"/>
        <w:sectPr w:rsidR="0006297A" w:rsidSect="00676CED">
          <w:headerReference w:type="default" r:id="rId37"/>
          <w:headerReference w:type="first" r:id="rId38"/>
          <w:pgSz w:w="12240" w:h="15840"/>
          <w:pgMar w:top="1440" w:right="1440" w:bottom="1440" w:left="1526" w:header="720" w:footer="1267" w:gutter="0"/>
          <w:cols w:space="720"/>
          <w:titlePg/>
          <w:docGrid w:linePitch="360"/>
        </w:sectPr>
      </w:pPr>
    </w:p>
    <w:p w:rsidR="0006297A" w:rsidRPr="00461AD2" w:rsidRDefault="0006297A" w:rsidP="0006297A">
      <w:pPr>
        <w:pStyle w:val="RI01-Heading0"/>
      </w:pPr>
      <w:bookmarkStart w:id="343" w:name="_Toc247345743"/>
      <w:r>
        <w:lastRenderedPageBreak/>
        <w:t>section 13</w:t>
      </w:r>
    </w:p>
    <w:p w:rsidR="0006297A" w:rsidRPr="009935B7" w:rsidRDefault="0006297A" w:rsidP="0006297A">
      <w:pPr>
        <w:pStyle w:val="Heading1"/>
      </w:pPr>
      <w:bookmarkStart w:id="344" w:name="_Toc276387910"/>
      <w:bookmarkStart w:id="345" w:name="_Toc303342587"/>
      <w:bookmarkStart w:id="346" w:name="_Toc343682722"/>
      <w:r w:rsidRPr="009935B7">
        <w:t>Russell Equal Weight Indexes</w:t>
      </w:r>
      <w:bookmarkEnd w:id="344"/>
      <w:bookmarkEnd w:id="345"/>
      <w:bookmarkEnd w:id="346"/>
    </w:p>
    <w:p w:rsidR="0006297A" w:rsidRPr="009935B7" w:rsidRDefault="0006297A" w:rsidP="0006297A">
      <w:pPr>
        <w:pStyle w:val="RI07-BodyCopy95pt"/>
      </w:pPr>
      <w:r>
        <w:t>Russell</w:t>
      </w:r>
      <w:r w:rsidRPr="009935B7">
        <w:t xml:space="preserve"> research has shown that the process of equally weighting each sector within </w:t>
      </w:r>
      <w:r>
        <w:t>an underlying</w:t>
      </w:r>
      <w:r w:rsidRPr="009935B7">
        <w:t xml:space="preserve"> index, and then equally weighting each of the constituents within each sector, provides greater diversification benefits than </w:t>
      </w:r>
      <w:r>
        <w:t>only</w:t>
      </w:r>
      <w:r w:rsidRPr="009935B7">
        <w:t xml:space="preserve"> equally weighting </w:t>
      </w:r>
      <w:r>
        <w:t xml:space="preserve">the </w:t>
      </w:r>
      <w:r w:rsidRPr="009935B7">
        <w:t xml:space="preserve">constituents of </w:t>
      </w:r>
      <w:r>
        <w:t>an underlying index.</w:t>
      </w:r>
    </w:p>
    <w:p w:rsidR="0006297A" w:rsidRPr="009935B7" w:rsidRDefault="0006297A" w:rsidP="0006297A">
      <w:pPr>
        <w:pStyle w:val="RI07-BodyCopy95pt"/>
      </w:pPr>
      <w:r>
        <w:t xml:space="preserve">Each </w:t>
      </w:r>
      <w:r w:rsidRPr="009935B7">
        <w:t>quarter, each sector</w:t>
      </w:r>
      <w:r w:rsidRPr="00FD48E0">
        <w:rPr>
          <w:vertAlign w:val="superscript"/>
        </w:rPr>
        <w:footnoteReference w:id="27"/>
      </w:r>
      <w:r w:rsidRPr="009935B7">
        <w:t xml:space="preserve"> in the </w:t>
      </w:r>
      <w:r>
        <w:t>underlying</w:t>
      </w:r>
      <w:r w:rsidRPr="009935B7">
        <w:t xml:space="preserve"> index is allocated an equa</w:t>
      </w:r>
      <w:r>
        <w:t xml:space="preserve">l weight (i.e., 1/N, where N is </w:t>
      </w:r>
      <w:r w:rsidRPr="009935B7">
        <w:t>the number of sectors in the Market Cap Index).</w:t>
      </w:r>
      <w:r>
        <w:t xml:space="preserve"> </w:t>
      </w:r>
      <w:r w:rsidRPr="009935B7">
        <w:t xml:space="preserve">Next, each constituent within each sector is </w:t>
      </w:r>
      <w:r>
        <w:t>assigned</w:t>
      </w:r>
      <w:r w:rsidRPr="009935B7">
        <w:t xml:space="preserve"> an equal weight within that sector (i.e., 1/N, where N is the number of constituents within the sector</w:t>
      </w:r>
      <w:r>
        <w:t>.</w:t>
      </w:r>
      <w:r w:rsidRPr="009935B7">
        <w:t>)</w:t>
      </w:r>
    </w:p>
    <w:p w:rsidR="0006297A" w:rsidRDefault="0006297A" w:rsidP="0006297A">
      <w:pPr>
        <w:pStyle w:val="RI07-BodyCopy95pt"/>
      </w:pPr>
      <w:r w:rsidRPr="009935B7">
        <w:t xml:space="preserve">A capacity screen is then applied to </w:t>
      </w:r>
      <w:r>
        <w:t xml:space="preserve">the </w:t>
      </w:r>
      <w:r w:rsidRPr="009935B7">
        <w:t xml:space="preserve">securities in the Russell </w:t>
      </w:r>
      <w:r>
        <w:t>E</w:t>
      </w:r>
      <w:r w:rsidRPr="009935B7">
        <w:t xml:space="preserve">qual </w:t>
      </w:r>
      <w:r>
        <w:t>W</w:t>
      </w:r>
      <w:r w:rsidRPr="009935B7">
        <w:t xml:space="preserve">eight </w:t>
      </w:r>
      <w:r>
        <w:t>I</w:t>
      </w:r>
      <w:r w:rsidRPr="009935B7">
        <w:t>ndexes.</w:t>
      </w:r>
      <w:r>
        <w:t xml:space="preserve"> </w:t>
      </w:r>
      <w:r w:rsidRPr="00284B06">
        <w:t>Capacity is defined as the total amount that can theoretically be invested in a company.</w:t>
      </w:r>
      <w:r>
        <w:t xml:space="preserve"> </w:t>
      </w:r>
      <w:r w:rsidRPr="00284B06">
        <w:t xml:space="preserve">For a security that has 100% of its shares freely available, the maximum capacity is defined as the total market </w:t>
      </w:r>
      <w:r>
        <w:t>capitalization of that security</w:t>
      </w:r>
      <w:r w:rsidRPr="00284B06">
        <w:t>.</w:t>
      </w:r>
      <w:r w:rsidRPr="009935B7">
        <w:t xml:space="preserve"> To be eligible for membership, the share position of a potential constituent cannot exceed 5% of the float-adjusted shares of a </w:t>
      </w:r>
      <w:r w:rsidRPr="002E5779">
        <w:t>company when a notional value of $5 billion is assumed to be invested in the portfolio.</w:t>
      </w:r>
      <w:r>
        <w:t xml:space="preserve"> (</w:t>
      </w:r>
      <w:r w:rsidRPr="002E5779">
        <w:t>An example is provided in the appendix.)</w:t>
      </w:r>
      <w:r w:rsidRPr="00FD48E0" w:rsidDel="00EF171C">
        <w:rPr>
          <w:vertAlign w:val="superscript"/>
        </w:rPr>
        <w:footnoteReference w:id="28"/>
      </w:r>
    </w:p>
    <w:p w:rsidR="0006297A" w:rsidRDefault="0006297A" w:rsidP="0006297A">
      <w:pPr>
        <w:pStyle w:val="RI07-BodyCopy95pt"/>
      </w:pPr>
      <w:r w:rsidRPr="009935B7">
        <w:t>The Russell Gl</w:t>
      </w:r>
      <w:r>
        <w:t>obal Equal Weight Index methodology also applies</w:t>
      </w:r>
      <w:r w:rsidRPr="009935B7">
        <w:t xml:space="preserve"> a</w:t>
      </w:r>
      <w:r>
        <w:t xml:space="preserve">n additional </w:t>
      </w:r>
      <w:r w:rsidRPr="009935B7">
        <w:t>liquidity screen.</w:t>
      </w:r>
      <w:r>
        <w:t xml:space="preserve"> The liquidity screen “captures” 95% of the liquidity in the marketplace. It removes securities that have a liquidity measure that is two standard deviations from the mean of a lognormal distribution of the average daily dollar trading value (ADDTV) of the securities in the Russell Global Large Cap Index. </w:t>
      </w:r>
    </w:p>
    <w:p w:rsidR="0006297A" w:rsidRPr="009935B7" w:rsidRDefault="0006297A" w:rsidP="0006297A">
      <w:pPr>
        <w:pStyle w:val="RI07-BodyCopy95pt"/>
      </w:pPr>
      <w:r w:rsidRPr="009935B7">
        <w:t>For a security to be eligible for inclusion, it must have an average daily dollar trading value (ADDTV) greater than or equal to:</w:t>
      </w:r>
    </w:p>
    <w:p w:rsidR="0006297A" w:rsidRPr="000555C4" w:rsidRDefault="0092511C" w:rsidP="0006297A">
      <w:pPr>
        <w:pStyle w:val="RI07-BodyCopy95pt"/>
        <w:ind w:left="720"/>
      </w:pPr>
      <w:r>
        <w:pict>
          <v:shape id="_x0000_i1026" type="#_x0000_t75" style="width:44.25pt;height:13.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D37D3&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7D37D3&quot;&gt;&lt;m:oMathPara&gt;&lt;m:oMath&gt;&lt;m:sSup&gt;&lt;m:sSupPr&gt;&lt;m:ctrlPr&gt;&lt;w:rPr&gt;&lt;w:rFonts w:ascii=&quot;Cambria Math&quot; w:h-ansi=&quot;Cambria Math&quot;/&gt;&lt;wx:font wx:val=&quot;Cambria Math&quot;/&gt;&lt;/w:rPr&gt;&lt;/m:ctrlPr&gt;&lt;/m:sSupPr&gt;&lt;m:e&gt;&lt;m:r&gt;&lt;m:rPr&gt;&lt;m:sty m:val=&quot;p&quot;/&gt;&lt;/m:rPr&gt;&lt;w:rPr&gt;&lt;w:rFonts w:ascii=&quot;Cambria Math&quot; w:h-ansi=&quot;Cambria Math&quot;/&gt;&lt;wx:font wx:val=&quot;Cambria Math&quot;/&gt;&lt;/w:rPr&gt;&lt;m:t&gt;e&lt;/m:t&gt;&lt;/m:r&gt;&lt;/m:e&gt;&lt;m:sup&gt;&lt;m:argPr&gt;&lt;m:argSz m:val=&quot;1&quot;/&gt;&lt;/m:argPr&gt;&lt;m:r&gt;&lt;m:rPr&gt;&lt;m:sty m:val=&quot;p&quot;/&gt;&lt;/m:rPr&gt;&lt;w:rPr&gt;&lt;w:rFonts w:ascii=&quot;Cambria Math&quot; w:h-ansi=&quot;Cambria Math&quot;/&gt;&lt;wx:font wx:val=&quot;Cambria Math&quot;/&gt;&lt;/w:rPr&gt;&lt;m:t&gt;Î¼&lt;/m:t&gt;&lt;/m:r&gt;&lt;m:r&gt;&lt;m:rPr&gt;&lt;m:sty m:val=&quot;p&quot;/&gt;&lt;/m:rPr&gt;&lt;m:t&gt;-&lt;/m:t&gt;&lt;/m:r&gt;&lt;m:r&gt;&lt;m:rPr&gt;&lt;m:sty m:val=&quot;p&quot;/&gt;&lt;/m:rPr&gt;&lt;w:rPr&gt;&lt;w:rFonts w:ascii=&quot;Cambria Math&quot;/&gt;&lt;wx:font wx:val=&quot;Cambria Math&quot;/&gt;&lt;/w:rPr&gt;&lt;m:t&gt;1.96&lt;/m:t&gt;&lt;/m:r&gt;&lt;m:r&gt;&lt;m:rPr&gt;&lt;m:sty m:val=&quot;p&quot;/&gt;&lt;/m:rPr&gt;&lt;w:rPr&gt;&lt;w:rFonts w:ascii=&quot;Cambria Math&quot; w:h-ansi=&quot;Cambria Math&quot;/&gt;&lt;wx:font wx:val=&quot;Cambria Math&quot;/&gt;&lt;/w:rPr&gt;&lt;m:t&gt;Ïƒ&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39" o:title="" chromakey="white"/>
          </v:shape>
        </w:pict>
      </w:r>
    </w:p>
    <w:p w:rsidR="0006297A" w:rsidRDefault="0006297A" w:rsidP="0006297A">
      <w:pPr>
        <w:pStyle w:val="RI07-BodyCopy95pt"/>
        <w:ind w:left="720"/>
      </w:pPr>
      <w:r w:rsidRPr="000555C4">
        <w:t>Where:</w:t>
      </w:r>
      <w:r>
        <w:t xml:space="preserve"> </w:t>
      </w:r>
      <w:r w:rsidR="00962308" w:rsidRPr="0006297A">
        <w:fldChar w:fldCharType="begin"/>
      </w:r>
      <w:r w:rsidRPr="0006297A">
        <w:instrText xml:space="preserve"> QUOTE </w:instrText>
      </w:r>
      <w:r w:rsidR="0092511C" w:rsidRPr="00962308">
        <w:rPr>
          <w:position w:val="-5"/>
        </w:rPr>
        <w:pict>
          <v:shape id="_x0000_i1027" type="#_x0000_t75" style="width:4.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69B&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16169B&quot;&gt;&lt;m:oMathPara&gt;&lt;m:oMath&gt;&lt;m:r&gt;&lt;m:rPr&gt;&lt;m:sty m:val=&quot;p&quot;/&gt;&lt;/m:rPr&gt;&lt;w:rPr&gt;&lt;w:rFonts w:ascii=&quot;Cambria Math&quot; w:h-ansi=&quot;Cambria Math&quot;/&gt;&lt;wx:font wx:val=&quot;Cambria Math&quot;/&gt;&lt;/w:rPr&gt;&lt;m:t&gt;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r w:rsidRPr="0006297A">
        <w:instrText xml:space="preserve"> </w:instrText>
      </w:r>
      <w:r w:rsidR="00962308" w:rsidRPr="0006297A">
        <w:fldChar w:fldCharType="separate"/>
      </w:r>
      <w:r w:rsidR="0092511C" w:rsidRPr="00962308">
        <w:rPr>
          <w:position w:val="-5"/>
        </w:rPr>
        <w:pict>
          <v:shape id="_x0000_i1028" type="#_x0000_t75" style="width:4.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69B&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16169B&quot;&gt;&lt;m:oMathPara&gt;&lt;m:oMath&gt;&lt;m:r&gt;&lt;m:rPr&gt;&lt;m:sty m:val=&quot;p&quot;/&gt;&lt;/m:rPr&gt;&lt;w:rPr&gt;&lt;w:rFonts w:ascii=&quot;Cambria Math&quot; w:h-ansi=&quot;Cambria Math&quot;/&gt;&lt;wx:font wx:val=&quot;Cambria Math&quot;/&gt;&lt;/w:rPr&gt;&lt;m:t&gt;x&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0" o:title="" chromakey="white"/>
          </v:shape>
        </w:pict>
      </w:r>
      <w:r w:rsidR="00962308" w:rsidRPr="0006297A">
        <w:fldChar w:fldCharType="end"/>
      </w:r>
      <w:r w:rsidRPr="000555C4">
        <w:t xml:space="preserve"> = </w:t>
      </w:r>
      <w:r w:rsidR="00962308" w:rsidRPr="0006297A">
        <w:fldChar w:fldCharType="begin"/>
      </w:r>
      <w:r w:rsidRPr="0006297A">
        <w:instrText xml:space="preserve"> QUOTE </w:instrText>
      </w:r>
      <w:r w:rsidR="0092511C" w:rsidRPr="00962308">
        <w:rPr>
          <w:position w:val="-6"/>
        </w:rPr>
        <w:pict>
          <v:shape id="_x0000_i1029" type="#_x0000_t75" style="width:54.7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3B6A&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613B6A&quot;&gt;&lt;m:oMathPara&gt;&lt;m:oMath&gt;&lt;m:d&gt;&lt;m:dPr&gt;&lt;m:begChr m:val=&quot;{&quot;/&gt;&lt;m:endChr m:val=&quot;}&quot;/&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gt;&lt;wx:font wx:val=&quot;Cambria Math&quot;/&gt;&lt;/w:rPr&gt;&lt;m:t&gt;1, &lt;/m:t&gt;&lt;/m:r&gt;&lt;/m:sub&gt;&lt;/m:sSub&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gt;&lt;wx:font wx:val=&quot;Cambria Math&quot;/&gt;&lt;/w:rPr&gt;&lt;m:t&gt;2&lt;/m:t&gt;&lt;/m:r&gt;&lt;/m:sub&gt;&lt;/m:sSub&gt;&lt;m:r&gt;&lt;m:rPr&gt;&lt;m:sty m:val=&quot;p&quot;/&gt;&lt;/m:rPr&gt;&lt;m:t&gt;â€¦&lt;/m:t&gt;&lt;/m:r&gt;&lt;m:sSub&gt;&lt;m:sSubPr&gt;&lt;m:ctrlPr&gt;&lt;w:rPr&gt;&lt;w:rFonts w:ascii=&quot;Cambria Math&quot; w:h-ansi=&quot;Cambria Math&quot;/&gt;&lt;wx:font wx:val=&quot;Cambria Math&quot;/&gt;&lt;/w:rPr&gt;&lt;/m:ctrlPr&gt;&lt;/m:sSub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r&gt;&lt;m:rPr&gt;&lt;m:sty m:val=&quot;p&quot;/&gt;&lt;/m:rPr&gt;&lt;w:rPr&gt;&lt;w:rFonts w:ascii=&quot;Cambria Math&quot;/&gt;&lt;wx:font wx:val=&quot;Cambria Math&quot;/&gt;&lt;/w:rPr&gt;&lt;m:t&gt;, &lt;/m:t&gt;&lt;/m:r&gt;&lt;/m:sub&gt;&lt;/m:sSub&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n&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Pr="0006297A">
        <w:instrText xml:space="preserve"> </w:instrText>
      </w:r>
      <w:r w:rsidR="00962308" w:rsidRPr="0006297A">
        <w:fldChar w:fldCharType="separate"/>
      </w:r>
      <w:r w:rsidR="0092511C" w:rsidRPr="00962308">
        <w:rPr>
          <w:position w:val="-6"/>
        </w:rPr>
        <w:pict>
          <v:shape id="_x0000_i1030" type="#_x0000_t75" style="width:54.7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3B6A&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613B6A&quot;&gt;&lt;m:oMathPara&gt;&lt;m:oMath&gt;&lt;m:d&gt;&lt;m:dPr&gt;&lt;m:begChr m:val=&quot;{&quot;/&gt;&lt;m:endChr m:val=&quot;}&quot;/&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gt;&lt;wx:font wx:val=&quot;Cambria Math&quot;/&gt;&lt;/w:rPr&gt;&lt;m:t&gt;1, &lt;/m:t&gt;&lt;/m:r&gt;&lt;/m:sub&gt;&lt;/m:sSub&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gt;&lt;wx:font wx:val=&quot;Cambria Math&quot;/&gt;&lt;/w:rPr&gt;&lt;m:t&gt;2&lt;/m:t&gt;&lt;/m:r&gt;&lt;/m:sub&gt;&lt;/m:sSub&gt;&lt;m:r&gt;&lt;m:rPr&gt;&lt;m:sty m:val=&quot;p&quot;/&gt;&lt;/m:rPr&gt;&lt;m:t&gt;â€¦&lt;/m:t&gt;&lt;/m:r&gt;&lt;m:sSub&gt;&lt;m:sSubPr&gt;&lt;m:ctrlPr&gt;&lt;w:rPr&gt;&lt;w:rFonts w:ascii=&quot;Cambria Math&quot; w:h-ansi=&quot;Cambria Math&quot;/&gt;&lt;wx:font wx:val=&quot;Cambria Math&quot;/&gt;&lt;/w:rPr&gt;&lt;/m:ctrlPr&gt;&lt;/m:sSub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r&gt;&lt;m:rPr&gt;&lt;m:sty m:val=&quot;p&quot;/&gt;&lt;/m:rPr&gt;&lt;w:rPr&gt;&lt;w:rFonts w:ascii=&quot;Cambria Math&quot;/&gt;&lt;wx:font wx:val=&quot;Cambria Math&quot;/&gt;&lt;/w:rPr&gt;&lt;m:t&gt;, &lt;/m:t&gt;&lt;/m:r&gt;&lt;/m:sub&gt;&lt;/m:sSub&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n&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1" o:title="" chromakey="white"/>
          </v:shape>
        </w:pict>
      </w:r>
      <w:r w:rsidR="00962308" w:rsidRPr="0006297A">
        <w:fldChar w:fldCharType="end"/>
      </w:r>
      <w:r>
        <w:t xml:space="preserve"> </w:t>
      </w:r>
      <w:r w:rsidRPr="000555C4">
        <w:t xml:space="preserve">where </w:t>
      </w:r>
      <w:r w:rsidR="00962308" w:rsidRPr="0006297A">
        <w:fldChar w:fldCharType="begin"/>
      </w:r>
      <w:r w:rsidRPr="0006297A">
        <w:instrText xml:space="preserve"> QUOTE </w:instrText>
      </w:r>
      <w:r w:rsidR="0092511C" w:rsidRPr="00962308">
        <w:rPr>
          <w:position w:val="-5"/>
        </w:rPr>
        <w:pict>
          <v:shape id="_x0000_i1031" type="#_x0000_t75" style="width:8.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09EC&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1C09EC&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2" o:title="" chromakey="white"/>
          </v:shape>
        </w:pict>
      </w:r>
      <w:r w:rsidRPr="0006297A">
        <w:instrText xml:space="preserve"> </w:instrText>
      </w:r>
      <w:r w:rsidR="00962308" w:rsidRPr="0006297A">
        <w:fldChar w:fldCharType="separate"/>
      </w:r>
      <w:r w:rsidR="0092511C" w:rsidRPr="00962308">
        <w:rPr>
          <w:position w:val="-5"/>
        </w:rPr>
        <w:pict>
          <v:shape id="_x0000_i1032" type="#_x0000_t75" style="width:8.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09EC&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1C09EC&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2" o:title="" chromakey="white"/>
          </v:shape>
        </w:pict>
      </w:r>
      <w:r w:rsidR="00962308" w:rsidRPr="0006297A">
        <w:fldChar w:fldCharType="end"/>
      </w:r>
      <w:r w:rsidRPr="000555C4">
        <w:t xml:space="preserve"> is the average daily dollar trading value of security </w:t>
      </w:r>
      <w:r w:rsidR="00962308" w:rsidRPr="0006297A">
        <w:fldChar w:fldCharType="begin"/>
      </w:r>
      <w:r w:rsidRPr="0006297A">
        <w:instrText xml:space="preserve"> QUOTE </w:instrText>
      </w:r>
      <w:r w:rsidR="0092511C" w:rsidRPr="00962308">
        <w:rPr>
          <w:position w:val="-5"/>
        </w:rPr>
        <w:pict>
          <v:shape id="_x0000_i1033" type="#_x0000_t75" style="width:3.7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963C5&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9963C5&quot;&gt;&lt;m:oMathPara&gt;&lt;m:oMath&gt;&lt;m:r&gt;&lt;m:rPr&gt;&lt;m:sty m:val=&quot;p&quot;/&gt;&lt;/m:rPr&gt;&lt;w:rPr&gt;&lt;w:rFonts w:ascii=&quot;Cambria Math&quot; w:h-ansi=&quot;Cambria Math&quot;/&gt;&lt;wx:font wx:val=&quot;Cambria Math&quot;/&gt;&lt;/w:rPr&gt;&lt;m:t&gt;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r w:rsidRPr="0006297A">
        <w:instrText xml:space="preserve"> </w:instrText>
      </w:r>
      <w:r w:rsidR="00962308" w:rsidRPr="0006297A">
        <w:fldChar w:fldCharType="separate"/>
      </w:r>
      <w:r w:rsidR="0092511C" w:rsidRPr="00962308">
        <w:rPr>
          <w:position w:val="-5"/>
        </w:rPr>
        <w:pict>
          <v:shape id="_x0000_i1034" type="#_x0000_t75" style="width:3.7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963C5&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9963C5&quot;&gt;&lt;m:oMathPara&gt;&lt;m:oMath&gt;&lt;m:r&gt;&lt;m:rPr&gt;&lt;m:sty m:val=&quot;p&quot;/&gt;&lt;/m:rPr&gt;&lt;w:rPr&gt;&lt;w:rFonts w:ascii=&quot;Cambria Math&quot; w:h-ansi=&quot;Cambria Math&quot;/&gt;&lt;wx:font wx:val=&quot;Cambria Math&quot;/&gt;&lt;/w:rPr&gt;&lt;m:t&gt;i&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3" o:title="" chromakey="white"/>
          </v:shape>
        </w:pict>
      </w:r>
      <w:r w:rsidR="00962308" w:rsidRPr="0006297A">
        <w:fldChar w:fldCharType="end"/>
      </w:r>
    </w:p>
    <w:p w:rsidR="0006297A" w:rsidRPr="000555C4" w:rsidRDefault="0006297A" w:rsidP="0006297A">
      <w:pPr>
        <w:pStyle w:val="RI07-BodyCopy95pt"/>
        <w:ind w:left="720"/>
      </w:pPr>
    </w:p>
    <w:p w:rsidR="0006297A" w:rsidRPr="000555C4" w:rsidRDefault="0006297A" w:rsidP="0006297A">
      <w:pPr>
        <w:pStyle w:val="RI07-BodyCopy95pt"/>
      </w:pPr>
      <w:r w:rsidRPr="000555C4">
        <w:tab/>
      </w:r>
      <w:r w:rsidRPr="000555C4">
        <w:tab/>
      </w:r>
      <w:r w:rsidR="00962308" w:rsidRPr="0006297A">
        <w:fldChar w:fldCharType="begin"/>
      </w:r>
      <w:r w:rsidRPr="0006297A">
        <w:instrText xml:space="preserve"> QUOTE </w:instrText>
      </w:r>
      <w:r w:rsidR="0092511C" w:rsidRPr="00962308">
        <w:rPr>
          <w:position w:val="-11"/>
        </w:rPr>
        <w:pict>
          <v:shape id="_x0000_i1035" type="#_x0000_t75" style="width:58.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0BA4&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BF0BA4&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nary&gt;&lt;m:naryPr&gt;&lt;m:chr m:val=&quot;âˆ‘&quot;/&gt;&lt;m:limLoc m:val=&quot;undOvr&quot;/&gt;&lt;m:grow m:val=&quot;on&quot;/&gt;&lt;m:ctrlPr&gt;&lt;w:rPr&gt;&lt;w:rFonts w:ascii=&quot;Cambria Math&quot; w:h-ansi=&quot;Cambria Math&quot;/&gt;&lt;wx:font wx:val=&quot;Cambria Math&quot;/&gt;&lt;/w:rPr&gt;&lt;/m:ctrlPr&gt;&lt;/m:naryPr&gt;&lt;m:sub&gt;&lt;m:r&gt;&lt;m:rPr&gt;&lt;m:sty m:val=&quot;p&quot;/&gt;&lt;/m:rPr&gt;&lt;w:rPr&gt;&lt;w:rFonts w:ascii=&quot;Cambria Math&quot; w:h-ansi=&quot;Cambria Math&quot;/&gt;&lt;wx:font wx:val=&quot;Cambria Math&quot;/&gt;&lt;/w:rPr&gt;&lt;m:t&gt;i&lt;/m:t&gt;&lt;/m:r&gt;&lt;m:r&gt;&lt;m:rPr&gt;&lt;m:sty m:val=&quot;p&quot;/&gt;&lt;/m:rPr&gt;&lt;w:rPr&gt;&lt;w:rFonts w:ascii=&quot;Cambria Math&quot;/&gt;&lt;wx:font wx:val=&quot;Cambria Math&quot;/&gt;&lt;/w:rPr&gt;&lt;m:t&gt;=1&lt;/m:t&gt;&lt;/m:r&gt;&lt;/m:sub&gt;&lt;m:sup&gt;&lt;m:r&gt;&lt;m:rPr&gt;&lt;m:sty m:val=&quot;p&quot;/&gt;&lt;/m:rPr&gt;&lt;w:rPr&gt;&lt;w:rFonts w:ascii=&quot;Cambria Math&quot; w:h-ansi=&quot;Cambria Math&quot;/&gt;&lt;wx:font wx:val=&quot;Cambria Math&quot;/&gt;&lt;/w:rPr&gt;&lt;m:t&gt;n&lt;/m:t&gt;&lt;/m:r&gt;&lt;/m:sup&gt;&lt;m:e&gt;&lt;m:func&gt;&lt;m:funcPr&gt;&lt;m:ctrlPr&gt;&lt;w:rPr&gt;&lt;w:rFonts w:ascii=&quot;Cambria Math&quot; w:h-ansi=&quot;Cambria Math&quot;/&gt;&lt;wx:font wx:val=&quot;Cambria Math&quot;/&gt;&lt;/w:rPr&gt;&lt;/m:ctrlPr&gt;&lt;/m:funcPr&gt;&lt;m:fName&gt;&lt;m:r&gt;&lt;m:rPr&gt;&lt;m:sty m:val=&quot;p&quot;/&gt;&lt;/m:rPr&gt;&lt;w:rPr&gt;&lt;w:rFonts w:ascii=&quot;Cambria Math&quot;/&gt;&lt;wx:font wx:val=&quot;Cambria Math&quot;/&gt;&lt;/w:rPr&gt;&lt;m:t&gt;ln&lt;/m:t&gt;&lt;/m:r&gt;&lt;/m:fName&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sub&gt;&lt;/m:sSub&gt;&lt;/m:e&gt;&lt;/m:d&gt;&lt;/m:e&gt;&lt;/m:func&gt;&lt;/m:e&gt;&lt;/m:nary&gt;&lt;/m:e&gt;&lt;m:sub/&gt;&lt;/m:sSub&gt;&lt;/m:num&gt;&lt;m:den&gt;&lt;m:r&gt;&lt;m:rPr&gt;&lt;m:sty m:val=&quot;p&quot;/&gt;&lt;/m:rPr&gt;&lt;w:rPr&gt;&lt;w:rFonts w:ascii=&quot;Cambria Math&quot; w:h-ansi=&quot;Cambria Math&quot;/&gt;&lt;wx:font wx:val=&quot;Cambria Math&quot;/&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4" o:title="" chromakey="white"/>
          </v:shape>
        </w:pict>
      </w:r>
      <w:r w:rsidRPr="0006297A">
        <w:instrText xml:space="preserve"> </w:instrText>
      </w:r>
      <w:r w:rsidR="00962308" w:rsidRPr="0006297A">
        <w:fldChar w:fldCharType="separate"/>
      </w:r>
      <w:r w:rsidR="0092511C" w:rsidRPr="00962308">
        <w:rPr>
          <w:position w:val="-11"/>
        </w:rPr>
        <w:pict>
          <v:shape id="_x0000_i1036" type="#_x0000_t75" style="width:57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0BA4&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BF0BA4&quot;&gt;&lt;m:oMathPara&gt;&lt;m:oMath&gt;&lt;m:r&gt;&lt;m:rPr&gt;&lt;m:sty m:val=&quot;p&quot;/&gt;&lt;/m:rPr&gt;&lt;w:rPr&gt;&lt;w:rFonts w:ascii=&quot;Cambria Math&quot; w:h-ansi=&quot;Cambria Math&quot;/&gt;&lt;wx:font wx:val=&quot;Cambria Math&quot;/&gt;&lt;/w:rPr&gt;&lt;m:t&gt;Î¼&lt;/m:t&gt;&lt;/m:r&gt;&lt;m:r&gt;&lt;m:rPr&gt;&lt;m:sty m:val=&quot;p&quot;/&gt;&lt;/m:rPr&gt;&lt;w:rPr&gt;&lt;w:rFonts w:ascii=&quot;Cambria Math&quot;/&gt;&lt;wx:font wx:val=&quot;Cambria Math&quot;/&gt;&lt;/w:rPr&gt;&lt;m:t&gt;=&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nary&gt;&lt;m:naryPr&gt;&lt;m:chr m:val=&quot;âˆ‘&quot;/&gt;&lt;m:limLoc m:val=&quot;undOvr&quot;/&gt;&lt;m:grow m:val=&quot;on&quot;/&gt;&lt;m:ctrlPr&gt;&lt;w:rPr&gt;&lt;w:rFonts w:ascii=&quot;Cambria Math&quot; w:h-ansi=&quot;Cambria Math&quot;/&gt;&lt;wx:font wx:val=&quot;Cambria Math&quot;/&gt;&lt;/w:rPr&gt;&lt;/m:ctrlPr&gt;&lt;/m:naryPr&gt;&lt;m:sub&gt;&lt;m:r&gt;&lt;m:rPr&gt;&lt;m:sty m:val=&quot;p&quot;/&gt;&lt;/m:rPr&gt;&lt;w:rPr&gt;&lt;w:rFonts w:ascii=&quot;Cambria Math&quot; w:h-ansi=&quot;Cambria Math&quot;/&gt;&lt;wx:font wx:val=&quot;Cambria Math&quot;/&gt;&lt;/w:rPr&gt;&lt;m:t&gt;i&lt;/m:t&gt;&lt;/m:r&gt;&lt;m:r&gt;&lt;m:rPr&gt;&lt;m:sty m:val=&quot;p&quot;/&gt;&lt;/m:rPr&gt;&lt;w:rPr&gt;&lt;w:rFonts w:ascii=&quot;Cambria Math&quot;/&gt;&lt;wx:font wx:val=&quot;Cambria Math&quot;/&gt;&lt;/w:rPr&gt;&lt;m:t&gt;=1&lt;/m:t&gt;&lt;/m:r&gt;&lt;/m:sub&gt;&lt;m:sup&gt;&lt;m:r&gt;&lt;m:rPr&gt;&lt;m:sty m:val=&quot;p&quot;/&gt;&lt;/m:rPr&gt;&lt;w:rPr&gt;&lt;w:rFonts w:ascii=&quot;Cambria Math&quot; w:h-ansi=&quot;Cambria Math&quot;/&gt;&lt;wx:font wx:val=&quot;Cambria Math&quot;/&gt;&lt;/w:rPr&gt;&lt;m:t&gt;n&lt;/m:t&gt;&lt;/m:r&gt;&lt;/m:sup&gt;&lt;m:e&gt;&lt;m:func&gt;&lt;m:funcPr&gt;&lt;m:ctrlPr&gt;&lt;w:rPr&gt;&lt;w:rFonts w:ascii=&quot;Cambria Math&quot; w:h-ansi=&quot;Cambria Math&quot;/&gt;&lt;wx:font wx:val=&quot;Cambria Math&quot;/&gt;&lt;/w:rPr&gt;&lt;/m:ctrlPr&gt;&lt;/m:funcPr&gt;&lt;m:fName&gt;&lt;m:r&gt;&lt;m:rPr&gt;&lt;m:sty m:val=&quot;p&quot;/&gt;&lt;/m:rPr&gt;&lt;w:rPr&gt;&lt;w:rFonts w:ascii=&quot;Cambria Math&quot;/&gt;&lt;wx:font wx:val=&quot;Cambria Math&quot;/&gt;&lt;/w:rPr&gt;&lt;m:t&gt;ln&lt;/m:t&gt;&lt;/m:r&gt;&lt;/m:fName&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sub&gt;&lt;/m:sSub&gt;&lt;/m:e&gt;&lt;/m:d&gt;&lt;/m:e&gt;&lt;/m:func&gt;&lt;/m:e&gt;&lt;/m:nary&gt;&lt;/m:e&gt;&lt;m:sub/&gt;&lt;/m:sSub&gt;&lt;/m:num&gt;&lt;m:den&gt;&lt;m:r&gt;&lt;m:rPr&gt;&lt;m:sty m:val=&quot;p&quot;/&gt;&lt;/m:rPr&gt;&lt;w:rPr&gt;&lt;w:rFonts w:ascii=&quot;Cambria Math&quot; w:h-ansi=&quot;Cambria Math&quot;/&gt;&lt;wx:font wx:val=&quot;Cambria Math&quot;/&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4" o:title="" chromakey="white"/>
          </v:shape>
        </w:pict>
      </w:r>
      <w:r w:rsidR="00962308" w:rsidRPr="0006297A">
        <w:fldChar w:fldCharType="end"/>
      </w:r>
      <w:r w:rsidRPr="000555C4">
        <w:t xml:space="preserve"> </w:t>
      </w:r>
      <w:r>
        <w:tab/>
      </w:r>
      <w:r>
        <w:tab/>
      </w:r>
      <w:r>
        <w:tab/>
      </w:r>
      <w:r w:rsidR="00962308" w:rsidRPr="0006297A">
        <w:fldChar w:fldCharType="begin"/>
      </w:r>
      <w:r w:rsidRPr="0006297A">
        <w:instrText xml:space="preserve"> QUOTE </w:instrText>
      </w:r>
      <w:r w:rsidR="0092511C" w:rsidRPr="00962308">
        <w:rPr>
          <w:position w:val="-17"/>
        </w:rPr>
        <w:pict>
          <v:shape id="_x0000_i1037" type="#_x0000_t75" style="width:105pt;height: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814&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AF5814&quot;&gt;&lt;m:oMathPara&gt;&lt;m:oMath&gt;&lt;m:r&gt;&lt;m:rPr&gt;&lt;m:sty m:val=&quot;p&quot;/&gt;&lt;/m:rPr&gt;&lt;w:rPr&gt;&lt;w:rFonts w:ascii=&quot;Cambria Math&quot; w:h-ansi=&quot;Cambria Math&quot;/&gt;&lt;wx:font wx:val=&quot;Cambria Math&quot;/&gt;&lt;/w:rPr&gt;&lt;m:t&gt;Ïƒ=&lt;/m:t&gt;&lt;/m:r&gt;&lt;m:rad&gt;&lt;m:radPr&gt;&lt;m:degHide m:val=&quot;on&quot;/&gt;&lt;m:ctrlPr&gt;&lt;w:rPr&gt;&lt;w:rFonts w:ascii=&quot;Cambria Math&quot; w:h-ansi=&quot;Cambria Math&quot;/&gt;&lt;wx:font wx:val=&quot;Cambria Math&quot;/&gt;&lt;/w:rPr&gt;&lt;/m:ctrlPr&gt;&lt;/m:radPr&gt;&lt;m:deg/&gt;&lt;m:e&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N&lt;/m:t&gt;&lt;/m:r&gt;&lt;/m:den&gt;&lt;/m:f&gt;&lt;m:r&gt;&lt;m:rPr&gt;&lt;m:sty m:val=&quot;p&quot;/&gt;&lt;/m:rPr&gt;&lt;w:rPr&gt;&lt;w:rFonts w:ascii=&quot;Cambria Math&quot; w:h-ansi=&quot;Cambria Math&quot;/&gt;&lt;wx:font wx:val=&quot;Cambria Math&quot;/&gt;&lt;/w:rPr&gt;&lt;m:t&gt; &lt;/m:t&gt;&lt;/m:r&gt;&lt;m:nary&gt;&lt;m:naryPr&gt;&lt;m:chr m:val=&quot;âˆ‘&quot;/&gt;&lt;m:limLoc m:val=&quot;undOvr&quot;/&gt;&lt;m:ctrlPr&gt;&lt;w:rPr&gt;&lt;w:rFonts w:ascii=&quot;Cambria Math&quot; w:h-ansi=&quot;Cambria Math&quot;/&gt;&lt;wx:font wx:val=&quot;Cambria Math&quot;/&gt;&lt;/w:rPr&gt;&lt;/m:ctrlPr&gt;&lt;/m:naryPr&gt;&lt;m:sub&gt;&lt;m:r&gt;&lt;m:rPr&gt;&lt;m:sty m:val=&quot;p&quot;/&gt;&lt;/m:rPr&gt;&lt;w:rPr&gt;&lt;w:rFonts w:ascii=&quot;Cambria Math&quot; w:h-ansi=&quot;Cambria Math&quot;/&gt;&lt;wx:font wx:val=&quot;Cambria Math&quot;/&gt;&lt;/w:rPr&gt;&lt;m:t&gt;i=1 &lt;/m:t&gt;&lt;/m:r&gt;&lt;/m:sub&gt;&lt;m:sup&gt;&lt;m:r&gt;&lt;m:rPr&gt;&lt;m:sty m:val=&quot;p&quot;/&gt;&lt;/m:rPr&gt;&lt;w:rPr&gt;&lt;w:rFonts w:ascii=&quot;Cambria Math&quot; w:h-ansi=&quot;Cambria Math&quot;/&gt;&lt;wx:font wx:val=&quot;Cambria Math&quot;/&gt;&lt;/w:rPr&gt;&lt;m:t&gt;n&lt;/m:t&gt;&lt;/m:r&gt;&lt;/m:sup&gt;&lt;m:e&gt;&lt;m:r&gt;&lt;m:rPr&gt;&lt;m:sty m:val=&quot;p&quot;/&gt;&lt;/m:rPr&gt;&lt;w:rPr&gt;&lt;w:rFonts w:ascii=&quot;Cambria Math&quot; w:h-ansi=&quot;Cambria Math&quot;/&gt;&lt;wx:font wx:val=&quot;Cambria Math&quot;/&gt;&lt;/w:rPr&gt;&lt;m:t&gt;(&lt;/m:t&gt;&lt;/m:r&gt;&lt;m:func&gt;&lt;m:funcPr&gt;&lt;m:ctrlPr&gt;&lt;w:rPr&gt;&lt;w:rFonts w:ascii=&quot;Cambria Math&quot; w:h-ansi=&quot;Cambria Math&quot;/&gt;&lt;wx:font wx:val=&quot;Cambria Math&quot;/&gt;&lt;/w:rPr&gt;&lt;/m:ctrlPr&gt;&lt;/m:funcPr&gt;&lt;m:fName&gt;&lt;m:r&gt;&lt;m:rPr&gt;&lt;m:sty m:val=&quot;p&quot;/&gt;&lt;/m:rPr&gt;&lt;w:rPr&gt;&lt;w:rFonts w:ascii=&quot;Cambria Math&quot; w:h-ansi=&quot;Cambria Math&quot;/&gt;&lt;wx:font wx:val=&quot;Cambria Math&quot;/&gt;&lt;/w:rPr&gt;&lt;m:t&gt;ln&lt;/m:t&gt;&lt;/m:r&gt;&lt;/m:fName&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sub&gt;&lt;/m:sSub&gt;&lt;/m:e&gt;&lt;/m:d&gt;&lt;/m:e&gt;&lt;/m:func&gt;&lt;m:r&gt;&lt;m:rPr&gt;&lt;m:sty m:val=&quot;p&quot;/&gt;&lt;/m:rPr&gt;&lt;w:rPr&gt;&lt;w:rFonts w:ascii=&quot;Cambria Math&quot; w:h-ansi=&quot;Cambria Math&quot;/&gt;&lt;wx:font wx:val=&quot;Cambria Math&quot;/&gt;&lt;/w:rPr&gt;&lt;m:t&gt;-Î¼)&lt;/m:t&gt;&lt;/m:r&gt;&lt;/m:e&gt;&lt;/m:nary&gt;&lt;m:r&gt;&lt;m:rPr&gt;&lt;m:sty m:val=&quot;p&quot;/&gt;&lt;/m:rPr&gt;&lt;w:rPr&gt;&lt;w:rFonts w:ascii=&quot;Cambria Math&quot; w:h-ansi=&quot;Cambria Math&quot;/&gt;&lt;wx:font wx:val=&quot;Cambria Math&quot;/&gt;&lt;/w:rPr&gt;&lt;m:t&gt;Â²&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5" o:title="" chromakey="white"/>
          </v:shape>
        </w:pict>
      </w:r>
      <w:r w:rsidRPr="0006297A">
        <w:instrText xml:space="preserve"> </w:instrText>
      </w:r>
      <w:r w:rsidR="00962308" w:rsidRPr="0006297A">
        <w:fldChar w:fldCharType="separate"/>
      </w:r>
      <w:r w:rsidR="0092511C" w:rsidRPr="00962308">
        <w:rPr>
          <w:position w:val="-17"/>
        </w:rPr>
        <w:pict>
          <v:shape id="_x0000_i1038" type="#_x0000_t75" style="width:10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701&quot;/&gt;&lt;w:defaultTabStop w:val=&quot;720&quot;/&gt;&lt;w:characterSpacingControl w:val=&quot;DontCompress&quot;/&gt;&lt;w:optimizeForBrowser/&gt;&lt;w:doNotRelyOnCSS/&gt;&lt;w:validateAgainstSchema/&gt;&lt;w:saveInvalidXML w:val=&quot;off&quot;/&gt;&lt;w:ignoreMixedContent w:val=&quot;off&quot;/&gt;&lt;w:alwaysShowPlaceholderText w:val=&quot;off&quot;/&gt;&lt;w:compat&gt;&lt;w:suppressSpBfAfterPgBrk/&gt;&lt;w:doNotUseHTMLParagraphAutoSpacing/&gt;&lt;w:breakWrappedTables/&gt;&lt;w:snapToGridInCell/&gt;&lt;w:wrapTextWithPunct/&gt;&lt;w:useAsianBreakRules/&gt;&lt;w:useWord2002TableStyleRules/&gt;&lt;/w:compat&gt;&lt;wsp:rsids&gt;&lt;wsp:rsidRoot wsp:val=&quot;0042277A&quot;/&gt;&lt;wsp:rsid wsp:val=&quot;00015BD8&quot;/&gt;&lt;wsp:rsid wsp:val=&quot;00016065&quot;/&gt;&lt;wsp:rsid wsp:val=&quot;000303DC&quot;/&gt;&lt;wsp:rsid wsp:val=&quot;00032F16&quot;/&gt;&lt;wsp:rsid wsp:val=&quot;00034897&quot;/&gt;&lt;wsp:rsid wsp:val=&quot;00035ACA&quot;/&gt;&lt;wsp:rsid wsp:val=&quot;00042BCC&quot;/&gt;&lt;wsp:rsid wsp:val=&quot;000457C5&quot;/&gt;&lt;wsp:rsid wsp:val=&quot;000611AD&quot;/&gt;&lt;wsp:rsid wsp:val=&quot;0006297A&quot;/&gt;&lt;wsp:rsid wsp:val=&quot;000645B8&quot;/&gt;&lt;wsp:rsid wsp:val=&quot;000660C6&quot;/&gt;&lt;wsp:rsid wsp:val=&quot;00067FB1&quot;/&gt;&lt;wsp:rsid wsp:val=&quot;0009080A&quot;/&gt;&lt;wsp:rsid wsp:val=&quot;000A07DC&quot;/&gt;&lt;wsp:rsid wsp:val=&quot;000A5942&quot;/&gt;&lt;wsp:rsid wsp:val=&quot;000A6CD8&quot;/&gt;&lt;wsp:rsid wsp:val=&quot;000B131F&quot;/&gt;&lt;wsp:rsid wsp:val=&quot;000D62E7&quot;/&gt;&lt;wsp:rsid wsp:val=&quot;000E7DCB&quot;/&gt;&lt;wsp:rsid wsp:val=&quot;000F2E51&quot;/&gt;&lt;wsp:rsid wsp:val=&quot;000F3EE9&quot;/&gt;&lt;wsp:rsid wsp:val=&quot;0010105A&quot;/&gt;&lt;wsp:rsid wsp:val=&quot;0010182C&quot;/&gt;&lt;wsp:rsid wsp:val=&quot;00107A14&quot;/&gt;&lt;wsp:rsid wsp:val=&quot;00117CA0&quot;/&gt;&lt;wsp:rsid wsp:val=&quot;00134278&quot;/&gt;&lt;wsp:rsid wsp:val=&quot;00135689&quot;/&gt;&lt;wsp:rsid wsp:val=&quot;00142CC4&quot;/&gt;&lt;wsp:rsid wsp:val=&quot;0014360E&quot;/&gt;&lt;wsp:rsid wsp:val=&quot;001522F1&quot;/&gt;&lt;wsp:rsid wsp:val=&quot;00161F65&quot;/&gt;&lt;wsp:rsid wsp:val=&quot;00163D71&quot;/&gt;&lt;wsp:rsid wsp:val=&quot;00164702&quot;/&gt;&lt;wsp:rsid wsp:val=&quot;00164C0A&quot;/&gt;&lt;wsp:rsid wsp:val=&quot;00171620&quot;/&gt;&lt;wsp:rsid wsp:val=&quot;0017758C&quot;/&gt;&lt;wsp:rsid wsp:val=&quot;0018018A&quot;/&gt;&lt;wsp:rsid wsp:val=&quot;00181CE4&quot;/&gt;&lt;wsp:rsid wsp:val=&quot;00187F7D&quot;/&gt;&lt;wsp:rsid wsp:val=&quot;00192029&quot;/&gt;&lt;wsp:rsid wsp:val=&quot;00196F4F&quot;/&gt;&lt;wsp:rsid wsp:val=&quot;001A2C8C&quot;/&gt;&lt;wsp:rsid wsp:val=&quot;001B53C9&quot;/&gt;&lt;wsp:rsid wsp:val=&quot;001B76A8&quot;/&gt;&lt;wsp:rsid wsp:val=&quot;001C2E12&quot;/&gt;&lt;wsp:rsid wsp:val=&quot;00205461&quot;/&gt;&lt;wsp:rsid wsp:val=&quot;00232EB4&quot;/&gt;&lt;wsp:rsid wsp:val=&quot;002344D8&quot;/&gt;&lt;wsp:rsid wsp:val=&quot;002417A7&quot;/&gt;&lt;wsp:rsid wsp:val=&quot;00245655&quot;/&gt;&lt;wsp:rsid wsp:val=&quot;0025340B&quot;/&gt;&lt;wsp:rsid wsp:val=&quot;00260983&quot;/&gt;&lt;wsp:rsid wsp:val=&quot;002751AC&quot;/&gt;&lt;wsp:rsid wsp:val=&quot;00275F4E&quot;/&gt;&lt;wsp:rsid wsp:val=&quot;00287C61&quot;/&gt;&lt;wsp:rsid wsp:val=&quot;00292BCF&quot;/&gt;&lt;wsp:rsid wsp:val=&quot;0029396F&quot;/&gt;&lt;wsp:rsid wsp:val=&quot;0029491A&quot;/&gt;&lt;wsp:rsid wsp:val=&quot;002969F7&quot;/&gt;&lt;wsp:rsid wsp:val=&quot;002A4B54&quot;/&gt;&lt;wsp:rsid wsp:val=&quot;002A633D&quot;/&gt;&lt;wsp:rsid wsp:val=&quot;002A7ADC&quot;/&gt;&lt;wsp:rsid wsp:val=&quot;002B4145&quot;/&gt;&lt;wsp:rsid wsp:val=&quot;002C5C26&quot;/&gt;&lt;wsp:rsid wsp:val=&quot;002E5E6F&quot;/&gt;&lt;wsp:rsid wsp:val=&quot;0032233C&quot;/&gt;&lt;wsp:rsid wsp:val=&quot;00331FEF&quot;/&gt;&lt;wsp:rsid wsp:val=&quot;00332930&quot;/&gt;&lt;wsp:rsid wsp:val=&quot;00337B4D&quot;/&gt;&lt;wsp:rsid wsp:val=&quot;00342A99&quot;/&gt;&lt;wsp:rsid wsp:val=&quot;0035188D&quot;/&gt;&lt;wsp:rsid wsp:val=&quot;00353104&quot;/&gt;&lt;wsp:rsid wsp:val=&quot;00355018&quot;/&gt;&lt;wsp:rsid wsp:val=&quot;00361A77&quot;/&gt;&lt;wsp:rsid wsp:val=&quot;00362572&quot;/&gt;&lt;wsp:rsid wsp:val=&quot;00364D74&quot;/&gt;&lt;wsp:rsid wsp:val=&quot;00375EB4&quot;/&gt;&lt;wsp:rsid wsp:val=&quot;00376AC7&quot;/&gt;&lt;wsp:rsid wsp:val=&quot;003971C9&quot;/&gt;&lt;wsp:rsid wsp:val=&quot;003A0BDD&quot;/&gt;&lt;wsp:rsid wsp:val=&quot;003A4EDA&quot;/&gt;&lt;wsp:rsid wsp:val=&quot;003B22E6&quot;/&gt;&lt;wsp:rsid wsp:val=&quot;003C692A&quot;/&gt;&lt;wsp:rsid wsp:val=&quot;003D522F&quot;/&gt;&lt;wsp:rsid wsp:val=&quot;003E087F&quot;/&gt;&lt;wsp:rsid wsp:val=&quot;003E3279&quot;/&gt;&lt;wsp:rsid wsp:val=&quot;003E371F&quot;/&gt;&lt;wsp:rsid wsp:val=&quot;003E3BFF&quot;/&gt;&lt;wsp:rsid wsp:val=&quot;003E575B&quot;/&gt;&lt;wsp:rsid wsp:val=&quot;003F38DD&quot;/&gt;&lt;wsp:rsid wsp:val=&quot;003F5AAC&quot;/&gt;&lt;wsp:rsid wsp:val=&quot;003F5B34&quot;/&gt;&lt;wsp:rsid wsp:val=&quot;003F776E&quot;/&gt;&lt;wsp:rsid wsp:val=&quot;00406EF5&quot;/&gt;&lt;wsp:rsid wsp:val=&quot;00420459&quot;/&gt;&lt;wsp:rsid wsp:val=&quot;00422145&quot;/&gt;&lt;wsp:rsid wsp:val=&quot;0042277A&quot;/&gt;&lt;wsp:rsid wsp:val=&quot;004425CE&quot;/&gt;&lt;wsp:rsid wsp:val=&quot;004539C7&quot;/&gt;&lt;wsp:rsid wsp:val=&quot;004542C1&quot;/&gt;&lt;wsp:rsid wsp:val=&quot;00455FC0&quot;/&gt;&lt;wsp:rsid wsp:val=&quot;00470A8C&quot;/&gt;&lt;wsp:rsid wsp:val=&quot;00474515&quot;/&gt;&lt;wsp:rsid wsp:val=&quot;004825DF&quot;/&gt;&lt;wsp:rsid wsp:val=&quot;00482F27&quot;/&gt;&lt;wsp:rsid wsp:val=&quot;004A6F41&quot;/&gt;&lt;wsp:rsid wsp:val=&quot;004A7A82&quot;/&gt;&lt;wsp:rsid wsp:val=&quot;004B07D7&quot;/&gt;&lt;wsp:rsid wsp:val=&quot;004B297E&quot;/&gt;&lt;wsp:rsid wsp:val=&quot;004C5838&quot;/&gt;&lt;wsp:rsid wsp:val=&quot;004D34F7&quot;/&gt;&lt;wsp:rsid wsp:val=&quot;004D421A&quot;/&gt;&lt;wsp:rsid wsp:val=&quot;004D585B&quot;/&gt;&lt;wsp:rsid wsp:val=&quot;004E2CBC&quot;/&gt;&lt;wsp:rsid wsp:val=&quot;004F5ED1&quot;/&gt;&lt;wsp:rsid wsp:val=&quot;00500592&quot;/&gt;&lt;wsp:rsid wsp:val=&quot;00502F01&quot;/&gt;&lt;wsp:rsid wsp:val=&quot;00503E5B&quot;/&gt;&lt;wsp:rsid wsp:val=&quot;00520ACF&quot;/&gt;&lt;wsp:rsid wsp:val=&quot;005220AE&quot;/&gt;&lt;wsp:rsid wsp:val=&quot;00534D20&quot;/&gt;&lt;wsp:rsid wsp:val=&quot;005424A4&quot;/&gt;&lt;wsp:rsid wsp:val=&quot;005811EC&quot;/&gt;&lt;wsp:rsid wsp:val=&quot;0058160D&quot;/&gt;&lt;wsp:rsid wsp:val=&quot;00590429&quot;/&gt;&lt;wsp:rsid wsp:val=&quot;00591DBF&quot;/&gt;&lt;wsp:rsid wsp:val=&quot;00595F0A&quot;/&gt;&lt;wsp:rsid wsp:val=&quot;005962FA&quot;/&gt;&lt;wsp:rsid wsp:val=&quot;005A2E9F&quot;/&gt;&lt;wsp:rsid wsp:val=&quot;005A765D&quot;/&gt;&lt;wsp:rsid wsp:val=&quot;005B700A&quot;/&gt;&lt;wsp:rsid wsp:val=&quot;005B7CED&quot;/&gt;&lt;wsp:rsid wsp:val=&quot;005C0BBD&quot;/&gt;&lt;wsp:rsid wsp:val=&quot;005C2EE0&quot;/&gt;&lt;wsp:rsid wsp:val=&quot;005C3C9E&quot;/&gt;&lt;wsp:rsid wsp:val=&quot;005D7D1B&quot;/&gt;&lt;wsp:rsid wsp:val=&quot;005E3F04&quot;/&gt;&lt;wsp:rsid wsp:val=&quot;005F6E11&quot;/&gt;&lt;wsp:rsid wsp:val=&quot;005F7923&quot;/&gt;&lt;wsp:rsid wsp:val=&quot;00600870&quot;/&gt;&lt;wsp:rsid wsp:val=&quot;00605E48&quot;/&gt;&lt;wsp:rsid wsp:val=&quot;00617EF8&quot;/&gt;&lt;wsp:rsid wsp:val=&quot;00632908&quot;/&gt;&lt;wsp:rsid wsp:val=&quot;00656B63&quot;/&gt;&lt;wsp:rsid wsp:val=&quot;00666563&quot;/&gt;&lt;wsp:rsid wsp:val=&quot;00672903&quot;/&gt;&lt;wsp:rsid wsp:val=&quot;0068333C&quot;/&gt;&lt;wsp:rsid wsp:val=&quot;00684129&quot;/&gt;&lt;wsp:rsid wsp:val=&quot;006A390E&quot;/&gt;&lt;wsp:rsid wsp:val=&quot;006A7BF3&quot;/&gt;&lt;wsp:rsid wsp:val=&quot;006B210B&quot;/&gt;&lt;wsp:rsid wsp:val=&quot;006B5492&quot;/&gt;&lt;wsp:rsid wsp:val=&quot;006D5BC8&quot;/&gt;&lt;wsp:rsid wsp:val=&quot;006D73FE&quot;/&gt;&lt;wsp:rsid wsp:val=&quot;006E444F&quot;/&gt;&lt;wsp:rsid wsp:val=&quot;006E5784&quot;/&gt;&lt;wsp:rsid wsp:val=&quot;00702B0D&quot;/&gt;&lt;wsp:rsid wsp:val=&quot;007044F1&quot;/&gt;&lt;wsp:rsid wsp:val=&quot;00710395&quot;/&gt;&lt;wsp:rsid wsp:val=&quot;007128A8&quot;/&gt;&lt;wsp:rsid wsp:val=&quot;0071419C&quot;/&gt;&lt;wsp:rsid wsp:val=&quot;00740375&quot;/&gt;&lt;wsp:rsid wsp:val=&quot;00795120&quot;/&gt;&lt;wsp:rsid wsp:val=&quot;00795BE0&quot;/&gt;&lt;wsp:rsid wsp:val=&quot;007B4A15&quot;/&gt;&lt;wsp:rsid wsp:val=&quot;007C0BA8&quot;/&gt;&lt;wsp:rsid wsp:val=&quot;007C2C76&quot;/&gt;&lt;wsp:rsid wsp:val=&quot;007C5F94&quot;/&gt;&lt;wsp:rsid wsp:val=&quot;007C717B&quot;/&gt;&lt;wsp:rsid wsp:val=&quot;007E142A&quot;/&gt;&lt;wsp:rsid wsp:val=&quot;007F1C3C&quot;/&gt;&lt;wsp:rsid wsp:val=&quot;007F3588&quot;/&gt;&lt;wsp:rsid wsp:val=&quot;007F5A61&quot;/&gt;&lt;wsp:rsid wsp:val=&quot;0080181F&quot;/&gt;&lt;wsp:rsid wsp:val=&quot;008056FB&quot;/&gt;&lt;wsp:rsid wsp:val=&quot;008102AC&quot;/&gt;&lt;wsp:rsid wsp:val=&quot;008266DD&quot;/&gt;&lt;wsp:rsid wsp:val=&quot;0083639C&quot;/&gt;&lt;wsp:rsid wsp:val=&quot;00843310&quot;/&gt;&lt;wsp:rsid wsp:val=&quot;00851998&quot;/&gt;&lt;wsp:rsid wsp:val=&quot;00854B7B&quot;/&gt;&lt;wsp:rsid wsp:val=&quot;008571A1&quot;/&gt;&lt;wsp:rsid wsp:val=&quot;00863380&quot;/&gt;&lt;wsp:rsid wsp:val=&quot;00866B61&quot;/&gt;&lt;wsp:rsid wsp:val=&quot;008701CF&quot;/&gt;&lt;wsp:rsid wsp:val=&quot;00887933&quot;/&gt;&lt;wsp:rsid wsp:val=&quot;008932E6&quot;/&gt;&lt;wsp:rsid wsp:val=&quot;00894421&quot;/&gt;&lt;wsp:rsid wsp:val=&quot;00896869&quot;/&gt;&lt;wsp:rsid wsp:val=&quot;008C13B1&quot;/&gt;&lt;wsp:rsid wsp:val=&quot;008D3271&quot;/&gt;&lt;wsp:rsid wsp:val=&quot;008E7E6A&quot;/&gt;&lt;wsp:rsid wsp:val=&quot;00904F34&quot;/&gt;&lt;wsp:rsid wsp:val=&quot;00915C1A&quot;/&gt;&lt;wsp:rsid wsp:val=&quot;00933A19&quot;/&gt;&lt;wsp:rsid wsp:val=&quot;00951F43&quot;/&gt;&lt;wsp:rsid wsp:val=&quot;00963C93&quot;/&gt;&lt;wsp:rsid wsp:val=&quot;00963FF2&quot;/&gt;&lt;wsp:rsid wsp:val=&quot;009B111F&quot;/&gt;&lt;wsp:rsid wsp:val=&quot;009E2947&quot;/&gt;&lt;wsp:rsid wsp:val=&quot;00A2312E&quot;/&gt;&lt;wsp:rsid wsp:val=&quot;00A23F6B&quot;/&gt;&lt;wsp:rsid wsp:val=&quot;00A4424C&quot;/&gt;&lt;wsp:rsid wsp:val=&quot;00A56042&quot;/&gt;&lt;wsp:rsid wsp:val=&quot;00A61EE3&quot;/&gt;&lt;wsp:rsid wsp:val=&quot;00A74945&quot;/&gt;&lt;wsp:rsid wsp:val=&quot;00A77E5F&quot;/&gt;&lt;wsp:rsid wsp:val=&quot;00A80335&quot;/&gt;&lt;wsp:rsid wsp:val=&quot;00A90FD1&quot;/&gt;&lt;wsp:rsid wsp:val=&quot;00AB221B&quot;/&gt;&lt;wsp:rsid wsp:val=&quot;00AC4F1C&quot;/&gt;&lt;wsp:rsid wsp:val=&quot;00AF3568&quot;/&gt;&lt;wsp:rsid wsp:val=&quot;00AF5814&quot;/&gt;&lt;wsp:rsid wsp:val=&quot;00AF5E25&quot;/&gt;&lt;wsp:rsid wsp:val=&quot;00B004D8&quot;/&gt;&lt;wsp:rsid wsp:val=&quot;00B0224A&quot;/&gt;&lt;wsp:rsid wsp:val=&quot;00B0530A&quot;/&gt;&lt;wsp:rsid wsp:val=&quot;00B41528&quot;/&gt;&lt;wsp:rsid wsp:val=&quot;00B74157&quot;/&gt;&lt;wsp:rsid wsp:val=&quot;00B863BE&quot;/&gt;&lt;wsp:rsid wsp:val=&quot;00BB626C&quot;/&gt;&lt;wsp:rsid wsp:val=&quot;00BC2FE1&quot;/&gt;&lt;wsp:rsid wsp:val=&quot;00BF7A0F&quot;/&gt;&lt;wsp:rsid wsp:val=&quot;00C02326&quot;/&gt;&lt;wsp:rsid wsp:val=&quot;00C04203&quot;/&gt;&lt;wsp:rsid wsp:val=&quot;00C070DE&quot;/&gt;&lt;wsp:rsid wsp:val=&quot;00C15669&quot;/&gt;&lt;wsp:rsid wsp:val=&quot;00C31169&quot;/&gt;&lt;wsp:rsid wsp:val=&quot;00C41DFD&quot;/&gt;&lt;wsp:rsid wsp:val=&quot;00C42E39&quot;/&gt;&lt;wsp:rsid wsp:val=&quot;00C54F16&quot;/&gt;&lt;wsp:rsid wsp:val=&quot;00C55D0A&quot;/&gt;&lt;wsp:rsid wsp:val=&quot;00C70FBE&quot;/&gt;&lt;wsp:rsid wsp:val=&quot;00CA137B&quot;/&gt;&lt;wsp:rsid wsp:val=&quot;00CC6DB7&quot;/&gt;&lt;wsp:rsid wsp:val=&quot;00CD2E41&quot;/&gt;&lt;wsp:rsid wsp:val=&quot;00CD32FA&quot;/&gt;&lt;wsp:rsid wsp:val=&quot;00CD5544&quot;/&gt;&lt;wsp:rsid wsp:val=&quot;00CD6E08&quot;/&gt;&lt;wsp:rsid wsp:val=&quot;00D0063B&quot;/&gt;&lt;wsp:rsid wsp:val=&quot;00D02486&quot;/&gt;&lt;wsp:rsid wsp:val=&quot;00D02D5A&quot;/&gt;&lt;wsp:rsid wsp:val=&quot;00D047A1&quot;/&gt;&lt;wsp:rsid wsp:val=&quot;00D0663A&quot;/&gt;&lt;wsp:rsid wsp:val=&quot;00D114E1&quot;/&gt;&lt;wsp:rsid wsp:val=&quot;00D4213E&quot;/&gt;&lt;wsp:rsid wsp:val=&quot;00D428A3&quot;/&gt;&lt;wsp:rsid wsp:val=&quot;00D61A15&quot;/&gt;&lt;wsp:rsid wsp:val=&quot;00D63531&quot;/&gt;&lt;wsp:rsid wsp:val=&quot;00D7584F&quot;/&gt;&lt;wsp:rsid wsp:val=&quot;00D800C9&quot;/&gt;&lt;wsp:rsid wsp:val=&quot;00D80FE7&quot;/&gt;&lt;wsp:rsid wsp:val=&quot;00D823F9&quot;/&gt;&lt;wsp:rsid wsp:val=&quot;00D86A26&quot;/&gt;&lt;wsp:rsid wsp:val=&quot;00D87CC3&quot;/&gt;&lt;wsp:rsid wsp:val=&quot;00D948D2&quot;/&gt;&lt;wsp:rsid wsp:val=&quot;00DA4D26&quot;/&gt;&lt;wsp:rsid wsp:val=&quot;00DA56C8&quot;/&gt;&lt;wsp:rsid wsp:val=&quot;00DA7181&quot;/&gt;&lt;wsp:rsid wsp:val=&quot;00DB561E&quot;/&gt;&lt;wsp:rsid wsp:val=&quot;00DE688F&quot;/&gt;&lt;wsp:rsid wsp:val=&quot;00DF3608&quot;/&gt;&lt;wsp:rsid wsp:val=&quot;00E00F36&quot;/&gt;&lt;wsp:rsid wsp:val=&quot;00E01FD4&quot;/&gt;&lt;wsp:rsid wsp:val=&quot;00E14358&quot;/&gt;&lt;wsp:rsid wsp:val=&quot;00E15357&quot;/&gt;&lt;wsp:rsid wsp:val=&quot;00E315A4&quot;/&gt;&lt;wsp:rsid wsp:val=&quot;00E374FA&quot;/&gt;&lt;wsp:rsid wsp:val=&quot;00E444AB&quot;/&gt;&lt;wsp:rsid wsp:val=&quot;00E548C9&quot;/&gt;&lt;wsp:rsid wsp:val=&quot;00E61FE1&quot;/&gt;&lt;wsp:rsid wsp:val=&quot;00E63118&quot;/&gt;&lt;wsp:rsid wsp:val=&quot;00E7144A&quot;/&gt;&lt;wsp:rsid wsp:val=&quot;00E93D27&quot;/&gt;&lt;wsp:rsid wsp:val=&quot;00EB5FCD&quot;/&gt;&lt;wsp:rsid wsp:val=&quot;00ED236E&quot;/&gt;&lt;wsp:rsid wsp:val=&quot;00EE3F0D&quot;/&gt;&lt;wsp:rsid wsp:val=&quot;00EF52C3&quot;/&gt;&lt;wsp:rsid wsp:val=&quot;00F0554A&quot;/&gt;&lt;wsp:rsid wsp:val=&quot;00F2015E&quot;/&gt;&lt;wsp:rsid wsp:val=&quot;00F45380&quot;/&gt;&lt;wsp:rsid wsp:val=&quot;00F47265&quot;/&gt;&lt;wsp:rsid wsp:val=&quot;00F5669D&quot;/&gt;&lt;wsp:rsid wsp:val=&quot;00F6573F&quot;/&gt;&lt;wsp:rsid wsp:val=&quot;00FA08EA&quot;/&gt;&lt;wsp:rsid wsp:val=&quot;00FA5194&quot;/&gt;&lt;wsp:rsid wsp:val=&quot;00FD293E&quot;/&gt;&lt;/wsp:rsids&gt;&lt;/w:docPr&gt;&lt;w:body&gt;&lt;w:p wsp:rsidR=&quot;00000000&quot; wsp:rsidRDefault=&quot;00AF5814&quot;&gt;&lt;m:oMathPara&gt;&lt;m:oMath&gt;&lt;m:r&gt;&lt;m:rPr&gt;&lt;m:sty m:val=&quot;p&quot;/&gt;&lt;/m:rPr&gt;&lt;w:rPr&gt;&lt;w:rFonts w:ascii=&quot;Cambria Math&quot; w:h-ansi=&quot;Cambria Math&quot;/&gt;&lt;wx:font wx:val=&quot;Cambria Math&quot;/&gt;&lt;/w:rPr&gt;&lt;m:t&gt;Ïƒ=&lt;/m:t&gt;&lt;/m:r&gt;&lt;m:rad&gt;&lt;m:radPr&gt;&lt;m:degHide m:val=&quot;on&quot;/&gt;&lt;m:ctrlPr&gt;&lt;w:rPr&gt;&lt;w:rFonts w:ascii=&quot;Cambria Math&quot; w:h-ansi=&quot;Cambria Math&quot;/&gt;&lt;wx:font wx:val=&quot;Cambria Math&quot;/&gt;&lt;/w:rPr&gt;&lt;/m:ctrlPr&gt;&lt;/m:radPr&gt;&lt;m:deg/&gt;&lt;m:e&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gt;&lt;wx:font wx:val=&quot;Cambria Math&quot;/&gt;&lt;/w:rPr&gt;&lt;m:t&gt;1&lt;/m:t&gt;&lt;/m:r&gt;&lt;/m:num&gt;&lt;m:den&gt;&lt;m:r&gt;&lt;m:rPr&gt;&lt;m:sty m:val=&quot;p&quot;/&gt;&lt;/m:rPr&gt;&lt;w:rPr&gt;&lt;w:rFonts w:ascii=&quot;Cambria Math&quot; w:h-ansi=&quot;Cambria Math&quot;/&gt;&lt;wx:font wx:val=&quot;Cambria Math&quot;/&gt;&lt;/w:rPr&gt;&lt;m:t&gt;N&lt;/m:t&gt;&lt;/m:r&gt;&lt;/m:den&gt;&lt;/m:f&gt;&lt;m:r&gt;&lt;m:rPr&gt;&lt;m:sty m:val=&quot;p&quot;/&gt;&lt;/m:rPr&gt;&lt;w:rPr&gt;&lt;w:rFonts w:ascii=&quot;Cambria Math&quot; w:h-ansi=&quot;Cambria Math&quot;/&gt;&lt;wx:font wx:val=&quot;Cambria Math&quot;/&gt;&lt;/w:rPr&gt;&lt;m:t&gt; &lt;/m:t&gt;&lt;/m:r&gt;&lt;m:nary&gt;&lt;m:naryPr&gt;&lt;m:chr m:val=&quot;âˆ‘&quot;/&gt;&lt;m:limLoc m:val=&quot;undOvr&quot;/&gt;&lt;m:ctrlPr&gt;&lt;w:rPr&gt;&lt;w:rFonts w:ascii=&quot;Cambria Math&quot; w:h-ansi=&quot;Cambria Math&quot;/&gt;&lt;wx:font wx:val=&quot;Cambria Math&quot;/&gt;&lt;/w:rPr&gt;&lt;/m:ctrlPr&gt;&lt;/m:naryPr&gt;&lt;m:sub&gt;&lt;m:r&gt;&lt;m:rPr&gt;&lt;m:sty m:val=&quot;p&quot;/&gt;&lt;/m:rPr&gt;&lt;w:rPr&gt;&lt;w:rFonts w:ascii=&quot;Cambria Math&quot; w:h-ansi=&quot;Cambria Math&quot;/&gt;&lt;wx:font wx:val=&quot;Cambria Math&quot;/&gt;&lt;/w:rPr&gt;&lt;m:t&gt;i=1 &lt;/m:t&gt;&lt;/m:r&gt;&lt;/m:sub&gt;&lt;m:sup&gt;&lt;m:r&gt;&lt;m:rPr&gt;&lt;m:sty m:val=&quot;p&quot;/&gt;&lt;/m:rPr&gt;&lt;w:rPr&gt;&lt;w:rFonts w:ascii=&quot;Cambria Math&quot; w:h-ansi=&quot;Cambria Math&quot;/&gt;&lt;wx:font wx:val=&quot;Cambria Math&quot;/&gt;&lt;/w:rPr&gt;&lt;m:t&gt;n&lt;/m:t&gt;&lt;/m:r&gt;&lt;/m:sup&gt;&lt;m:e&gt;&lt;m:r&gt;&lt;m:rPr&gt;&lt;m:sty m:val=&quot;p&quot;/&gt;&lt;/m:rPr&gt;&lt;w:rPr&gt;&lt;w:rFonts w:ascii=&quot;Cambria Math&quot; w:h-ansi=&quot;Cambria Math&quot;/&gt;&lt;wx:font wx:val=&quot;Cambria Math&quot;/&gt;&lt;/w:rPr&gt;&lt;m:t&gt;(&lt;/m:t&gt;&lt;/m:r&gt;&lt;m:func&gt;&lt;m:funcPr&gt;&lt;m:ctrlPr&gt;&lt;w:rPr&gt;&lt;w:rFonts w:ascii=&quot;Cambria Math&quot; w:h-ansi=&quot;Cambria Math&quot;/&gt;&lt;wx:font wx:val=&quot;Cambria Math&quot;/&gt;&lt;/w:rPr&gt;&lt;/m:ctrlPr&gt;&lt;/m:funcPr&gt;&lt;m:fName&gt;&lt;m:r&gt;&lt;m:rPr&gt;&lt;m:sty m:val=&quot;p&quot;/&gt;&lt;/m:rPr&gt;&lt;w:rPr&gt;&lt;w:rFonts w:ascii=&quot;Cambria Math&quot; w:h-ansi=&quot;Cambria Math&quot;/&gt;&lt;wx:font wx:val=&quot;Cambria Math&quot;/&gt;&lt;/w:rPr&gt;&lt;m:t&gt;ln&lt;/m:t&gt;&lt;/m:r&gt;&lt;/m:fName&gt;&lt;m:e&gt;&lt;m:d&gt;&lt;m:dPr&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i&lt;/m:t&gt;&lt;/m:r&gt;&lt;/m:sub&gt;&lt;/m:sSub&gt;&lt;/m:e&gt;&lt;/m:d&gt;&lt;/m:e&gt;&lt;/m:func&gt;&lt;m:r&gt;&lt;m:rPr&gt;&lt;m:sty m:val=&quot;p&quot;/&gt;&lt;/m:rPr&gt;&lt;w:rPr&gt;&lt;w:rFonts w:ascii=&quot;Cambria Math&quot; w:h-ansi=&quot;Cambria Math&quot;/&gt;&lt;wx:font wx:val=&quot;Cambria Math&quot;/&gt;&lt;/w:rPr&gt;&lt;m:t&gt;-Î¼)&lt;/m:t&gt;&lt;/m:r&gt;&lt;/m:e&gt;&lt;/m:nary&gt;&lt;m:r&gt;&lt;m:rPr&gt;&lt;m:sty m:val=&quot;p&quot;/&gt;&lt;/m:rPr&gt;&lt;w:rPr&gt;&lt;w:rFonts w:ascii=&quot;Cambria Math&quot; w:h-ansi=&quot;Cambria Math&quot;/&gt;&lt;wx:font wx:val=&quot;Cambria Math&quot;/&gt;&lt;/w:rPr&gt;&lt;m:t&gt;Â²&lt;/m:t&gt;&lt;/m: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45" o:title="" chromakey="white"/>
          </v:shape>
        </w:pict>
      </w:r>
      <w:r w:rsidR="00962308" w:rsidRPr="0006297A">
        <w:fldChar w:fldCharType="end"/>
      </w:r>
    </w:p>
    <w:p w:rsidR="0006297A" w:rsidRPr="009935B7" w:rsidRDefault="0006297A" w:rsidP="0006297A">
      <w:pPr>
        <w:pStyle w:val="RI07-BodyCopy95pt"/>
      </w:pPr>
      <w:r w:rsidRPr="009935B7">
        <w:t>In the above equation, the mean and standard deviations are derived by use of the liquidity of the constituents in the Russell Global Large Cap Index.</w:t>
      </w:r>
      <w:r>
        <w:t xml:space="preserve"> </w:t>
      </w:r>
      <w:r w:rsidRPr="009935B7">
        <w:t xml:space="preserve">Small cap securities will be subject to </w:t>
      </w:r>
      <w:r w:rsidRPr="009935B7" w:rsidDel="003D5998">
        <w:t xml:space="preserve">an </w:t>
      </w:r>
      <w:r w:rsidRPr="009935B7">
        <w:t>ADDTV cutoff point that is half of th</w:t>
      </w:r>
      <w:r>
        <w:t>e cutoff point identified above.</w:t>
      </w:r>
    </w:p>
    <w:p w:rsidR="0006297A" w:rsidRDefault="0006297A" w:rsidP="0006297A">
      <w:pPr>
        <w:pStyle w:val="Heading2"/>
      </w:pPr>
      <w:bookmarkStart w:id="347" w:name="_Toc276387912"/>
      <w:bookmarkStart w:id="348" w:name="_Toc303342588"/>
      <w:bookmarkStart w:id="349" w:name="_Toc343682723"/>
      <w:r w:rsidRPr="00833EF9">
        <w:t xml:space="preserve">Quarterly </w:t>
      </w:r>
      <w:r w:rsidRPr="00EF171C">
        <w:t>index</w:t>
      </w:r>
      <w:r w:rsidRPr="00833EF9">
        <w:t xml:space="preserve"> re-weighting and annual reconstitution</w:t>
      </w:r>
      <w:bookmarkEnd w:id="347"/>
      <w:bookmarkEnd w:id="348"/>
      <w:bookmarkEnd w:id="349"/>
    </w:p>
    <w:p w:rsidR="0006297A" w:rsidRDefault="0006297A" w:rsidP="0006297A">
      <w:pPr>
        <w:pStyle w:val="RI07-BodyCopy95pt"/>
      </w:pPr>
      <w:r>
        <w:t>The Russell Equal Weight Indexes are re-weighted at the close of the last business day in March and September. June’s re-weighting is completed at the same time as the annual reconstitution of the parent indexes and December’s re-weighting is completed at the close of the third Friday of the month to coincide with the IPO additions to the parent indexes.</w:t>
      </w:r>
    </w:p>
    <w:p w:rsidR="0006297A" w:rsidRPr="00833EF9" w:rsidRDefault="0006297A" w:rsidP="0006297A">
      <w:pPr>
        <w:pStyle w:val="Heading2"/>
      </w:pPr>
      <w:bookmarkStart w:id="350" w:name="_Toc276387913"/>
      <w:bookmarkStart w:id="351" w:name="_Toc303342589"/>
      <w:bookmarkStart w:id="352" w:name="_Toc343682724"/>
      <w:r w:rsidRPr="00833EF9">
        <w:lastRenderedPageBreak/>
        <w:t xml:space="preserve">Corporate </w:t>
      </w:r>
      <w:r w:rsidRPr="00EF171C">
        <w:t>action</w:t>
      </w:r>
      <w:r w:rsidRPr="00833EF9">
        <w:t>–driven changes</w:t>
      </w:r>
      <w:bookmarkEnd w:id="350"/>
      <w:bookmarkEnd w:id="351"/>
      <w:bookmarkEnd w:id="352"/>
      <w:r>
        <w:t xml:space="preserve"> </w:t>
      </w:r>
    </w:p>
    <w:p w:rsidR="0006297A" w:rsidRPr="009935B7" w:rsidRDefault="0006297A" w:rsidP="0006297A">
      <w:pPr>
        <w:pStyle w:val="RI07-BodyCopy95pt"/>
      </w:pPr>
      <w:r w:rsidRPr="00827AE6">
        <w:rPr>
          <w:b/>
        </w:rPr>
        <w:t>Month-end share changes</w:t>
      </w:r>
      <w:r w:rsidRPr="00150D84">
        <w:rPr>
          <w:b/>
        </w:rPr>
        <w:t>:</w:t>
      </w:r>
      <w:r>
        <w:t xml:space="preserve"> </w:t>
      </w:r>
      <w:r w:rsidRPr="009935B7">
        <w:t xml:space="preserve">Month-end changes to shares outstanding within the </w:t>
      </w:r>
      <w:r>
        <w:t>underlying</w:t>
      </w:r>
      <w:r w:rsidRPr="009935B7">
        <w:t xml:space="preserve"> index will not be reflected in the </w:t>
      </w:r>
      <w:r>
        <w:t>Russell Equal Weight Indexes</w:t>
      </w:r>
      <w:r w:rsidRPr="009935B7">
        <w:t>.</w:t>
      </w:r>
      <w:r>
        <w:t xml:space="preserve"> However, shares may be adjusted to reflect quarterly index re-weighting.</w:t>
      </w:r>
    </w:p>
    <w:p w:rsidR="0006297A" w:rsidRPr="009935B7" w:rsidRDefault="0006297A" w:rsidP="0006297A">
      <w:pPr>
        <w:pStyle w:val="RI07-BodyCopy95pt"/>
      </w:pPr>
      <w:r w:rsidRPr="00827AE6">
        <w:rPr>
          <w:b/>
        </w:rPr>
        <w:t>Price adjustments:</w:t>
      </w:r>
      <w:r w:rsidRPr="009935B7">
        <w:t xml:space="preserve"> Price adjustments for rights issues </w:t>
      </w:r>
      <w:r>
        <w:t xml:space="preserve">are </w:t>
      </w:r>
      <w:r w:rsidRPr="00F40F5C">
        <w:t>delayed one day (t+1)</w:t>
      </w:r>
      <w:r>
        <w:t>. Share increases resulting from rights being exercised will not be applied in order to minimize index turnover.</w:t>
      </w:r>
    </w:p>
    <w:p w:rsidR="0006297A" w:rsidRPr="009935B7" w:rsidRDefault="0006297A" w:rsidP="0006297A">
      <w:pPr>
        <w:pStyle w:val="RI07-BodyCopy95pt"/>
      </w:pPr>
      <w:r w:rsidRPr="00827AE6">
        <w:rPr>
          <w:b/>
        </w:rPr>
        <w:t>Dividends:</w:t>
      </w:r>
      <w:r w:rsidRPr="009935B7">
        <w:t xml:space="preserve"> Dividends </w:t>
      </w:r>
      <w:r>
        <w:t>are</w:t>
      </w:r>
      <w:r w:rsidRPr="009935B7">
        <w:t xml:space="preserve"> applied daily.</w:t>
      </w:r>
    </w:p>
    <w:p w:rsidR="0006297A" w:rsidRPr="009935B7" w:rsidRDefault="0006297A" w:rsidP="0006297A">
      <w:pPr>
        <w:pStyle w:val="RI07-BodyCopy95pt"/>
      </w:pPr>
      <w:r w:rsidRPr="00827AE6">
        <w:rPr>
          <w:b/>
        </w:rPr>
        <w:t>Splits:</w:t>
      </w:r>
      <w:r>
        <w:t xml:space="preserve"> </w:t>
      </w:r>
      <w:r w:rsidRPr="009935B7">
        <w:t xml:space="preserve">Splits </w:t>
      </w:r>
      <w:r>
        <w:t>are</w:t>
      </w:r>
      <w:r w:rsidRPr="009935B7">
        <w:t xml:space="preserve"> applied daily.</w:t>
      </w:r>
    </w:p>
    <w:p w:rsidR="0006297A" w:rsidRPr="009935B7" w:rsidRDefault="0006297A" w:rsidP="0006297A">
      <w:pPr>
        <w:pStyle w:val="RI07-BodyCopy95pt"/>
      </w:pPr>
      <w:r w:rsidRPr="00827AE6">
        <w:rPr>
          <w:b/>
        </w:rPr>
        <w:t>Spin-offs:</w:t>
      </w:r>
      <w:r>
        <w:t xml:space="preserve"> </w:t>
      </w:r>
      <w:r w:rsidRPr="009935B7">
        <w:t xml:space="preserve">Spin-offs </w:t>
      </w:r>
      <w:r>
        <w:t>are</w:t>
      </w:r>
      <w:r w:rsidRPr="009935B7">
        <w:t xml:space="preserve"> reflected on the ex-date, with the weight of the parent company being split on the basis of the float-adjusted market capitalization of the parent company on the day the spin-off is final.</w:t>
      </w:r>
    </w:p>
    <w:p w:rsidR="0006297A" w:rsidRPr="009935B7" w:rsidRDefault="0006297A" w:rsidP="0006297A">
      <w:pPr>
        <w:pStyle w:val="RI07-BodyCopy95pt"/>
      </w:pPr>
      <w:r w:rsidRPr="00827AE6">
        <w:rPr>
          <w:b/>
        </w:rPr>
        <w:t>Mergers and acquisitions between index members and non-members:</w:t>
      </w:r>
      <w:r>
        <w:t xml:space="preserve"> </w:t>
      </w:r>
      <w:r w:rsidRPr="009935B7">
        <w:t>If an index member acquires a non-index member, shares of the acquiring company will remain unchanged.</w:t>
      </w:r>
      <w:r>
        <w:t xml:space="preserve"> </w:t>
      </w:r>
      <w:r w:rsidRPr="009935B7">
        <w:t>If a non-index member acquires an index member, the acquired member will be deleted from the index once the action is final.</w:t>
      </w:r>
    </w:p>
    <w:p w:rsidR="0006297A" w:rsidRDefault="0006297A" w:rsidP="0006297A">
      <w:pPr>
        <w:pStyle w:val="RI07-BodyCopy95pt"/>
      </w:pPr>
      <w:r w:rsidRPr="00827AE6">
        <w:rPr>
          <w:b/>
        </w:rPr>
        <w:t>Mergers and acquisitions between index members:</w:t>
      </w:r>
      <w:r w:rsidRPr="009935B7">
        <w:t xml:space="preserve"> </w:t>
      </w:r>
      <w:r>
        <w:t xml:space="preserve">If both the acquiring company and the target company are current index members, the weight of the acquirer will be adjusted by adding the target’s market capitalization if both the target and acquirer belong to the same capitalization tier. For example, if a Russell 1000 Index member (acquiring company) acquires another Russell 1000 Index member (target company), the weight of the acquiring company will be increased by the weight of the target company. Combining the weights of the acquirer and target companies maintains the value of both entities within the index and does not create a turnover event. </w:t>
      </w:r>
    </w:p>
    <w:p w:rsidR="0006297A" w:rsidRDefault="0006297A" w:rsidP="0006297A">
      <w:pPr>
        <w:pStyle w:val="RI07-BodyCopy95pt"/>
      </w:pPr>
      <w:r>
        <w:t>Similarly, merger activity between Russell 3000 Index members will cause the acquirer’s weight to increase by the weight of the target entity. However, if a Russell 1000 Index member acquires a Russell 2000 Index member, the weight of the Russell 1000 Index member will not be adjusted.</w:t>
      </w:r>
    </w:p>
    <w:p w:rsidR="0006297A" w:rsidRPr="00833EF9" w:rsidRDefault="0006297A" w:rsidP="0006297A">
      <w:pPr>
        <w:pStyle w:val="Heading2"/>
      </w:pPr>
      <w:bookmarkStart w:id="353" w:name="_Toc276387914"/>
      <w:bookmarkStart w:id="354" w:name="_Toc303342590"/>
      <w:bookmarkStart w:id="355" w:name="_Toc343682725"/>
      <w:r w:rsidRPr="00833EF9">
        <w:t>How the capacity screen is applied</w:t>
      </w:r>
      <w:bookmarkEnd w:id="353"/>
      <w:bookmarkEnd w:id="354"/>
      <w:bookmarkEnd w:id="355"/>
    </w:p>
    <w:p w:rsidR="0006297A" w:rsidRPr="000555C4" w:rsidRDefault="0006297A" w:rsidP="0006297A">
      <w:pPr>
        <w:pStyle w:val="RI07-BodyCopy95pt"/>
      </w:pPr>
      <w:r>
        <w:t>To understand the effects of the capacity screen, take a</w:t>
      </w:r>
      <w:r w:rsidRPr="000555C4">
        <w:t xml:space="preserve"> hypothetical nine-sector index </w:t>
      </w:r>
      <w:r w:rsidRPr="000555C4" w:rsidDel="003D5998">
        <w:t>with</w:t>
      </w:r>
      <w:r w:rsidRPr="000555C4">
        <w:t xml:space="preserve"> 30 constituent securities. The sector weight for each constituent is defined as 1/N, where N is the number of sectors in the index – in other words, constituent weight is the sector weight divided by the number of constituents in the sector. In the example provided, the constituent weight of Company B is equal to 11.1% divided by 2.</w:t>
      </w:r>
    </w:p>
    <w:p w:rsidR="0006297A" w:rsidRPr="000555C4" w:rsidRDefault="0006297A" w:rsidP="0006297A">
      <w:pPr>
        <w:pStyle w:val="RI07-BodyCopy95pt"/>
      </w:pPr>
      <w:r>
        <w:t>A n</w:t>
      </w:r>
      <w:r w:rsidRPr="000555C4">
        <w:t>otional value of $5 billion is assumed to be invested in the portfolio</w:t>
      </w:r>
      <w:r>
        <w:t>.</w:t>
      </w:r>
    </w:p>
    <w:p w:rsidR="0006297A" w:rsidRPr="000555C4" w:rsidRDefault="0006297A" w:rsidP="0006297A">
      <w:pPr>
        <w:pStyle w:val="RI07-BodyCopy95pt"/>
      </w:pPr>
      <w:r>
        <w:t xml:space="preserve">The </w:t>
      </w:r>
      <w:r w:rsidRPr="000555C4">
        <w:t xml:space="preserve">price of each security </w:t>
      </w:r>
      <w:r>
        <w:t xml:space="preserve">is then taken </w:t>
      </w:r>
      <w:r w:rsidRPr="000555C4">
        <w:t xml:space="preserve">at the quarterly re-weighting date and </w:t>
      </w:r>
      <w:r>
        <w:t xml:space="preserve">its notional share position is </w:t>
      </w:r>
      <w:r w:rsidRPr="000555C4">
        <w:t>calculate</w:t>
      </w:r>
      <w:r>
        <w:t>d</w:t>
      </w:r>
      <w:r w:rsidRPr="000555C4">
        <w:t xml:space="preserve"> by dividing the portfolio value by the price of the security.</w:t>
      </w:r>
    </w:p>
    <w:p w:rsidR="0006297A" w:rsidRPr="000555C4" w:rsidRDefault="0006297A" w:rsidP="0006297A">
      <w:pPr>
        <w:pStyle w:val="RI07-BodyCopy95pt"/>
      </w:pPr>
      <w:r w:rsidRPr="000555C4">
        <w:t>If the ratio of the notional share amount to the float adjusted shares of the security is greater than 5%, the security is removed from the equal weight index.</w:t>
      </w:r>
    </w:p>
    <w:p w:rsidR="0006297A" w:rsidRDefault="0006297A" w:rsidP="0006297A">
      <w:pPr>
        <w:pStyle w:val="RI07-BodyCopy95pt"/>
      </w:pPr>
      <w:r w:rsidRPr="000555C4">
        <w:t>In the example provided, the highlighted companies (Company D, Company E, Company U, Company AD) are removed from the hypothetical equal weight index.</w:t>
      </w:r>
    </w:p>
    <w:p w:rsidR="0006297A" w:rsidRDefault="0006297A" w:rsidP="0006297A">
      <w:pPr>
        <w:pStyle w:val="RI07-BodyCopy95pt"/>
        <w:ind w:right="4"/>
      </w:pPr>
    </w:p>
    <w:tbl>
      <w:tblPr>
        <w:tblW w:w="5275" w:type="pct"/>
        <w:tblBorders>
          <w:top w:val="single" w:sz="4" w:space="0" w:color="auto"/>
          <w:bottom w:val="single" w:sz="4" w:space="0" w:color="auto"/>
          <w:insideH w:val="single" w:sz="4" w:space="0" w:color="auto"/>
        </w:tblBorders>
        <w:tblLayout w:type="fixed"/>
        <w:tblLook w:val="00A0"/>
      </w:tblPr>
      <w:tblGrid>
        <w:gridCol w:w="843"/>
        <w:gridCol w:w="1542"/>
        <w:gridCol w:w="729"/>
        <w:gridCol w:w="965"/>
        <w:gridCol w:w="900"/>
        <w:gridCol w:w="993"/>
        <w:gridCol w:w="628"/>
        <w:gridCol w:w="1261"/>
        <w:gridCol w:w="1172"/>
        <w:gridCol w:w="896"/>
      </w:tblGrid>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b/>
                <w:color w:val="66AADD"/>
                <w:sz w:val="12"/>
                <w:szCs w:val="12"/>
              </w:rPr>
            </w:pPr>
            <w:r w:rsidRPr="00565EDF">
              <w:rPr>
                <w:rFonts w:cs="Arial"/>
                <w:b/>
                <w:color w:val="66AADD"/>
                <w:sz w:val="12"/>
                <w:szCs w:val="12"/>
              </w:rPr>
              <w:lastRenderedPageBreak/>
              <w:t>Company</w:t>
            </w:r>
          </w:p>
        </w:tc>
        <w:tc>
          <w:tcPr>
            <w:tcW w:w="777"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Sector</w:t>
            </w:r>
          </w:p>
        </w:tc>
        <w:tc>
          <w:tcPr>
            <w:tcW w:w="367"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 xml:space="preserve">Weight </w:t>
            </w:r>
            <w:r w:rsidRPr="00565EDF">
              <w:rPr>
                <w:rFonts w:cs="Arial"/>
                <w:b/>
                <w:color w:val="66AADD"/>
                <w:sz w:val="12"/>
                <w:szCs w:val="12"/>
              </w:rPr>
              <w:br/>
              <w:t>for each Sector</w:t>
            </w:r>
          </w:p>
        </w:tc>
        <w:tc>
          <w:tcPr>
            <w:tcW w:w="486"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 xml:space="preserve"># of Constituents </w:t>
            </w:r>
            <w:r w:rsidRPr="00565EDF">
              <w:rPr>
                <w:rFonts w:cs="Arial"/>
                <w:b/>
                <w:color w:val="66AADD"/>
                <w:sz w:val="12"/>
                <w:szCs w:val="12"/>
              </w:rPr>
              <w:br/>
              <w:t>in Sector</w:t>
            </w:r>
          </w:p>
        </w:tc>
        <w:tc>
          <w:tcPr>
            <w:tcW w:w="453"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Constituent Weight</w:t>
            </w:r>
          </w:p>
        </w:tc>
        <w:tc>
          <w:tcPr>
            <w:tcW w:w="500"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 xml:space="preserve">Portfolio </w:t>
            </w:r>
            <w:r w:rsidRPr="00565EDF">
              <w:rPr>
                <w:rFonts w:cs="Arial"/>
                <w:b/>
                <w:color w:val="66AADD"/>
                <w:sz w:val="12"/>
                <w:szCs w:val="12"/>
              </w:rPr>
              <w:br/>
              <w:t>Value*</w:t>
            </w:r>
          </w:p>
        </w:tc>
        <w:tc>
          <w:tcPr>
            <w:tcW w:w="316"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Price</w:t>
            </w:r>
          </w:p>
        </w:tc>
        <w:tc>
          <w:tcPr>
            <w:tcW w:w="635"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Shares Held in Portfolio</w:t>
            </w:r>
          </w:p>
        </w:tc>
        <w:tc>
          <w:tcPr>
            <w:tcW w:w="590"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Float Adjusted Shares</w:t>
            </w:r>
          </w:p>
        </w:tc>
        <w:tc>
          <w:tcPr>
            <w:tcW w:w="452" w:type="pct"/>
            <w:vAlign w:val="bottom"/>
          </w:tcPr>
          <w:p w:rsidR="0006297A" w:rsidRPr="00565EDF" w:rsidRDefault="0006297A" w:rsidP="00676CED">
            <w:pPr>
              <w:pStyle w:val="RI07-BodyCopy95pt"/>
              <w:keepNext/>
              <w:spacing w:after="0" w:line="240" w:lineRule="auto"/>
              <w:jc w:val="center"/>
              <w:rPr>
                <w:rFonts w:cs="Arial"/>
                <w:b/>
                <w:color w:val="66AADD"/>
                <w:sz w:val="12"/>
                <w:szCs w:val="12"/>
              </w:rPr>
            </w:pPr>
            <w:r w:rsidRPr="00565EDF">
              <w:rPr>
                <w:rFonts w:cs="Arial"/>
                <w:b/>
                <w:color w:val="66AADD"/>
                <w:sz w:val="12"/>
                <w:szCs w:val="12"/>
              </w:rPr>
              <w:t>% of Float Adjusted Shares</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A</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Consumer Discretionary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23</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12,077,295</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120,772,946,860</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B</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Consumer Discretionary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15</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18,518,519</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1,851,851,852</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C</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Consumer Staples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4</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2.78%</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138,888,889</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48</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2,893,519</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72,337,963</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4.0%</w:t>
            </w:r>
          </w:p>
        </w:tc>
      </w:tr>
      <w:tr w:rsidR="0006297A" w:rsidTr="00676CED">
        <w:tc>
          <w:tcPr>
            <w:tcW w:w="425" w:type="pct"/>
            <w:shd w:val="clear" w:color="auto" w:fill="EAEAEA"/>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Company D</w:t>
            </w:r>
          </w:p>
        </w:tc>
        <w:tc>
          <w:tcPr>
            <w:tcW w:w="777" w:type="pct"/>
            <w:shd w:val="clear" w:color="auto" w:fill="EAEAEA"/>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Consumer Staples</w:t>
            </w:r>
          </w:p>
        </w:tc>
        <w:tc>
          <w:tcPr>
            <w:tcW w:w="367"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11.1%</w:t>
            </w:r>
          </w:p>
        </w:tc>
        <w:tc>
          <w:tcPr>
            <w:tcW w:w="486" w:type="pct"/>
            <w:shd w:val="clear" w:color="auto" w:fill="EAEAEA"/>
            <w:vAlign w:val="bottom"/>
          </w:tcPr>
          <w:p w:rsidR="0006297A" w:rsidRPr="00565EDF" w:rsidRDefault="0006297A" w:rsidP="00676CED">
            <w:pPr>
              <w:pStyle w:val="RI07-BodyCopy95pt"/>
              <w:keepNext/>
              <w:spacing w:after="0" w:line="240" w:lineRule="auto"/>
              <w:jc w:val="center"/>
              <w:rPr>
                <w:rFonts w:cs="Arial"/>
                <w:b/>
                <w:sz w:val="12"/>
                <w:szCs w:val="12"/>
              </w:rPr>
            </w:pPr>
            <w:r w:rsidRPr="00565EDF">
              <w:rPr>
                <w:rFonts w:cs="Arial"/>
                <w:b/>
                <w:sz w:val="12"/>
                <w:szCs w:val="12"/>
              </w:rPr>
              <w:t>4</w:t>
            </w:r>
          </w:p>
        </w:tc>
        <w:tc>
          <w:tcPr>
            <w:tcW w:w="453"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2.78%</w:t>
            </w:r>
          </w:p>
        </w:tc>
        <w:tc>
          <w:tcPr>
            <w:tcW w:w="50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138,888,889</w:t>
            </w:r>
          </w:p>
        </w:tc>
        <w:tc>
          <w:tcPr>
            <w:tcW w:w="316"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55</w:t>
            </w:r>
          </w:p>
        </w:tc>
        <w:tc>
          <w:tcPr>
            <w:tcW w:w="635"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2,525,253</w:t>
            </w:r>
          </w:p>
        </w:tc>
        <w:tc>
          <w:tcPr>
            <w:tcW w:w="59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36,075,036</w:t>
            </w:r>
          </w:p>
        </w:tc>
        <w:tc>
          <w:tcPr>
            <w:tcW w:w="452"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7.0%</w:t>
            </w:r>
          </w:p>
        </w:tc>
      </w:tr>
      <w:tr w:rsidR="0006297A" w:rsidTr="00676CED">
        <w:tc>
          <w:tcPr>
            <w:tcW w:w="425" w:type="pct"/>
            <w:shd w:val="clear" w:color="auto" w:fill="EAEAEA"/>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Company E</w:t>
            </w:r>
          </w:p>
        </w:tc>
        <w:tc>
          <w:tcPr>
            <w:tcW w:w="777" w:type="pct"/>
            <w:shd w:val="clear" w:color="auto" w:fill="EAEAEA"/>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Consumer Staples</w:t>
            </w:r>
          </w:p>
        </w:tc>
        <w:tc>
          <w:tcPr>
            <w:tcW w:w="367"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11.1%</w:t>
            </w:r>
          </w:p>
        </w:tc>
        <w:tc>
          <w:tcPr>
            <w:tcW w:w="486" w:type="pct"/>
            <w:shd w:val="clear" w:color="auto" w:fill="EAEAEA"/>
            <w:vAlign w:val="bottom"/>
          </w:tcPr>
          <w:p w:rsidR="0006297A" w:rsidRPr="00565EDF" w:rsidRDefault="0006297A" w:rsidP="00676CED">
            <w:pPr>
              <w:pStyle w:val="RI07-BodyCopy95pt"/>
              <w:keepNext/>
              <w:spacing w:after="0" w:line="240" w:lineRule="auto"/>
              <w:jc w:val="center"/>
              <w:rPr>
                <w:rFonts w:cs="Arial"/>
                <w:b/>
                <w:sz w:val="12"/>
                <w:szCs w:val="12"/>
              </w:rPr>
            </w:pPr>
            <w:r w:rsidRPr="00565EDF">
              <w:rPr>
                <w:rFonts w:cs="Arial"/>
                <w:b/>
                <w:sz w:val="12"/>
                <w:szCs w:val="12"/>
              </w:rPr>
              <w:t>4</w:t>
            </w:r>
          </w:p>
        </w:tc>
        <w:tc>
          <w:tcPr>
            <w:tcW w:w="453"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2.78%</w:t>
            </w:r>
          </w:p>
        </w:tc>
        <w:tc>
          <w:tcPr>
            <w:tcW w:w="50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138,888,889</w:t>
            </w:r>
          </w:p>
        </w:tc>
        <w:tc>
          <w:tcPr>
            <w:tcW w:w="316"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19</w:t>
            </w:r>
          </w:p>
        </w:tc>
        <w:tc>
          <w:tcPr>
            <w:tcW w:w="635"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7,309,942</w:t>
            </w:r>
          </w:p>
        </w:tc>
        <w:tc>
          <w:tcPr>
            <w:tcW w:w="59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73,099,415</w:t>
            </w:r>
          </w:p>
        </w:tc>
        <w:tc>
          <w:tcPr>
            <w:tcW w:w="452"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10.0%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F</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Consumer Staples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4</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2.78%</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138,888,889</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33</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4,208,754</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1,402,918,070</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0.3%</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G</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Energy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3</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3.70%</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185,185,185</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67</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2,763,958</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460,659,665</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0.6%</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H</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Energy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3</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3.70%</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185,185,185</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42</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4,409,171</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1,469,723,692</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0.3%</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I</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Energy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3</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3.70%</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185,185,185</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89</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2,080,732</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456,300,969</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0.5%</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J</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Financial Services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5</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2.22%</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111,111,111</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12</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9,259,259</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1,381,978,994</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0.7%</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K</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Financial Services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5</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2.22%</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111,111,111</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4,115,226</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4,623,849,817</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0.1%</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L</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Financial Services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5</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2.22%</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111,111,111</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1230</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90,334</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1,290,489,095</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M</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Financial Services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5</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2.22%</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111,111,111</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8</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13,888,889</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462,962,963</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N</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Financial Services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5</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2.22%</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111,111,111</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215</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516,796</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527,342,720</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0.1%</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O</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Health Care</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4</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2.78%</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138,888,889</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43</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3,229,974</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4,969,191,016</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0.1%</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P</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Health Care</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4</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2.78%</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138,888,889</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5,144,033</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907,236,847</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0.6%</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Q</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Health Care</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4</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2.78%</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138,888,889</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14</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9,920,635</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496,031,746</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R</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Health Care</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4</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2.78%</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138,888,889</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73</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1,902,588</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350,384,442</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0.5%</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S</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Producer Durables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26</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10,683,761</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267,094,017</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T</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Producer Durables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45</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6,172,840</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68,587,105,624</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0.0%</w:t>
            </w:r>
          </w:p>
        </w:tc>
      </w:tr>
      <w:tr w:rsidR="0006297A" w:rsidTr="00676CED">
        <w:tc>
          <w:tcPr>
            <w:tcW w:w="425" w:type="pct"/>
            <w:shd w:val="clear" w:color="auto" w:fill="EAEAEA"/>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Company U</w:t>
            </w:r>
          </w:p>
        </w:tc>
        <w:tc>
          <w:tcPr>
            <w:tcW w:w="777" w:type="pct"/>
            <w:shd w:val="clear" w:color="auto" w:fill="EAEAEA"/>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Technology</w:t>
            </w:r>
          </w:p>
        </w:tc>
        <w:tc>
          <w:tcPr>
            <w:tcW w:w="367"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11.1%</w:t>
            </w:r>
          </w:p>
        </w:tc>
        <w:tc>
          <w:tcPr>
            <w:tcW w:w="486" w:type="pct"/>
            <w:shd w:val="clear" w:color="auto" w:fill="EAEAEA"/>
            <w:vAlign w:val="bottom"/>
          </w:tcPr>
          <w:p w:rsidR="0006297A" w:rsidRPr="00565EDF" w:rsidRDefault="0006297A" w:rsidP="00676CED">
            <w:pPr>
              <w:pStyle w:val="RI07-BodyCopy95pt"/>
              <w:keepNext/>
              <w:spacing w:after="0" w:line="240" w:lineRule="auto"/>
              <w:jc w:val="center"/>
              <w:rPr>
                <w:rFonts w:cs="Arial"/>
                <w:b/>
                <w:sz w:val="12"/>
                <w:szCs w:val="12"/>
              </w:rPr>
            </w:pPr>
            <w:r w:rsidRPr="00565EDF">
              <w:rPr>
                <w:rFonts w:cs="Arial"/>
                <w:b/>
                <w:sz w:val="12"/>
                <w:szCs w:val="12"/>
              </w:rPr>
              <w:t>6</w:t>
            </w:r>
          </w:p>
        </w:tc>
        <w:tc>
          <w:tcPr>
            <w:tcW w:w="453"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1.85%</w:t>
            </w:r>
          </w:p>
        </w:tc>
        <w:tc>
          <w:tcPr>
            <w:tcW w:w="50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92,592,593</w:t>
            </w:r>
          </w:p>
        </w:tc>
        <w:tc>
          <w:tcPr>
            <w:tcW w:w="316"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120</w:t>
            </w:r>
          </w:p>
        </w:tc>
        <w:tc>
          <w:tcPr>
            <w:tcW w:w="635"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771,605</w:t>
            </w:r>
          </w:p>
        </w:tc>
        <w:tc>
          <w:tcPr>
            <w:tcW w:w="59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13,536,929</w:t>
            </w:r>
          </w:p>
        </w:tc>
        <w:tc>
          <w:tcPr>
            <w:tcW w:w="452"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5.7%</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V</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Technology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6</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92,592,593</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45</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2,057,613</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2,611,184,224</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0.1%</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W</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Technology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6</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92,592,593</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342</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270,739</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791,633,260</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X</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Technology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6</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92,592,593</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38</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2,436,647</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5,378,912,083</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Y</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Technology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6</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92,592,593</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67</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1,381,979</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6,008,604,321</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0.0%</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Z</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Technology</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6</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1.85%</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92,592,593</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15</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6,172,840</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791,389,680</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0.8%</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AA</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Utilities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29</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9,578,544</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2,128,565,347</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0.5%</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AB</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Utilities</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8</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34,722,222</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6,123,848,716</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0.6%</w:t>
            </w:r>
          </w:p>
        </w:tc>
      </w:tr>
      <w:tr w:rsidR="0006297A" w:rsidTr="00676CED">
        <w:tc>
          <w:tcPr>
            <w:tcW w:w="425" w:type="pct"/>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Company AC</w:t>
            </w:r>
          </w:p>
        </w:tc>
        <w:tc>
          <w:tcPr>
            <w:tcW w:w="777" w:type="pct"/>
            <w:vAlign w:val="bottom"/>
          </w:tcPr>
          <w:p w:rsidR="0006297A" w:rsidRPr="00565EDF" w:rsidRDefault="0006297A" w:rsidP="00676CED">
            <w:pPr>
              <w:pStyle w:val="RI07-BodyCopy95pt"/>
              <w:keepNext/>
              <w:spacing w:after="0" w:line="240" w:lineRule="auto"/>
              <w:rPr>
                <w:rFonts w:cs="Arial"/>
                <w:sz w:val="12"/>
                <w:szCs w:val="12"/>
              </w:rPr>
            </w:pPr>
            <w:r w:rsidRPr="00565EDF">
              <w:rPr>
                <w:rFonts w:cs="Arial"/>
                <w:sz w:val="12"/>
                <w:szCs w:val="12"/>
              </w:rPr>
              <w:t>Materials &amp; Processing</w:t>
            </w:r>
          </w:p>
        </w:tc>
        <w:tc>
          <w:tcPr>
            <w:tcW w:w="367"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11.1%</w:t>
            </w:r>
          </w:p>
        </w:tc>
        <w:tc>
          <w:tcPr>
            <w:tcW w:w="486" w:type="pct"/>
            <w:vAlign w:val="bottom"/>
          </w:tcPr>
          <w:p w:rsidR="0006297A" w:rsidRPr="00565EDF" w:rsidRDefault="0006297A" w:rsidP="00676CED">
            <w:pPr>
              <w:pStyle w:val="RI07-BodyCopy95pt"/>
              <w:keepNext/>
              <w:spacing w:after="0" w:line="240" w:lineRule="auto"/>
              <w:jc w:val="center"/>
              <w:rPr>
                <w:rFonts w:cs="Arial"/>
                <w:sz w:val="12"/>
                <w:szCs w:val="12"/>
              </w:rPr>
            </w:pPr>
            <w:r w:rsidRPr="00565EDF">
              <w:rPr>
                <w:rFonts w:cs="Arial"/>
                <w:sz w:val="12"/>
                <w:szCs w:val="12"/>
              </w:rPr>
              <w:t>2</w:t>
            </w:r>
          </w:p>
        </w:tc>
        <w:tc>
          <w:tcPr>
            <w:tcW w:w="453"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5.56%</w:t>
            </w:r>
          </w:p>
        </w:tc>
        <w:tc>
          <w:tcPr>
            <w:tcW w:w="50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277,777,778</w:t>
            </w:r>
          </w:p>
        </w:tc>
        <w:tc>
          <w:tcPr>
            <w:tcW w:w="316"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4</w:t>
            </w:r>
          </w:p>
        </w:tc>
        <w:tc>
          <w:tcPr>
            <w:tcW w:w="635"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69,444,444</w:t>
            </w:r>
          </w:p>
        </w:tc>
        <w:tc>
          <w:tcPr>
            <w:tcW w:w="590"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30,062,530,063</w:t>
            </w:r>
          </w:p>
        </w:tc>
        <w:tc>
          <w:tcPr>
            <w:tcW w:w="452" w:type="pct"/>
            <w:vAlign w:val="bottom"/>
          </w:tcPr>
          <w:p w:rsidR="0006297A" w:rsidRPr="00565EDF" w:rsidRDefault="0006297A" w:rsidP="00676CED">
            <w:pPr>
              <w:pStyle w:val="RI07-BodyCopy95pt"/>
              <w:keepNext/>
              <w:spacing w:after="0" w:line="240" w:lineRule="auto"/>
              <w:jc w:val="right"/>
              <w:rPr>
                <w:rFonts w:cs="Arial"/>
                <w:sz w:val="12"/>
                <w:szCs w:val="12"/>
              </w:rPr>
            </w:pPr>
            <w:r w:rsidRPr="00565EDF">
              <w:rPr>
                <w:rFonts w:cs="Arial"/>
                <w:sz w:val="12"/>
                <w:szCs w:val="12"/>
              </w:rPr>
              <w:t>0.2%</w:t>
            </w:r>
          </w:p>
        </w:tc>
      </w:tr>
      <w:tr w:rsidR="0006297A" w:rsidTr="00676CED">
        <w:tc>
          <w:tcPr>
            <w:tcW w:w="425" w:type="pct"/>
            <w:shd w:val="clear" w:color="auto" w:fill="EAEAEA"/>
            <w:tcMar>
              <w:top w:w="29" w:type="dxa"/>
              <w:left w:w="29" w:type="dxa"/>
              <w:bottom w:w="29" w:type="dxa"/>
              <w:right w:w="29" w:type="dxa"/>
            </w:tcMar>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Company AD</w:t>
            </w:r>
          </w:p>
        </w:tc>
        <w:tc>
          <w:tcPr>
            <w:tcW w:w="777" w:type="pct"/>
            <w:shd w:val="clear" w:color="auto" w:fill="EAEAEA"/>
            <w:vAlign w:val="bottom"/>
          </w:tcPr>
          <w:p w:rsidR="0006297A" w:rsidRPr="00565EDF" w:rsidRDefault="0006297A" w:rsidP="00676CED">
            <w:pPr>
              <w:pStyle w:val="RI07-BodyCopy95pt"/>
              <w:keepNext/>
              <w:spacing w:after="0" w:line="240" w:lineRule="auto"/>
              <w:rPr>
                <w:rFonts w:cs="Arial"/>
                <w:b/>
                <w:sz w:val="12"/>
                <w:szCs w:val="12"/>
              </w:rPr>
            </w:pPr>
            <w:r w:rsidRPr="00565EDF">
              <w:rPr>
                <w:rFonts w:cs="Arial"/>
                <w:b/>
                <w:sz w:val="12"/>
                <w:szCs w:val="12"/>
              </w:rPr>
              <w:t>Materials &amp; Processing</w:t>
            </w:r>
          </w:p>
        </w:tc>
        <w:tc>
          <w:tcPr>
            <w:tcW w:w="367"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11.1%</w:t>
            </w:r>
          </w:p>
        </w:tc>
        <w:tc>
          <w:tcPr>
            <w:tcW w:w="486" w:type="pct"/>
            <w:shd w:val="clear" w:color="auto" w:fill="EAEAEA"/>
            <w:vAlign w:val="bottom"/>
          </w:tcPr>
          <w:p w:rsidR="0006297A" w:rsidRPr="00565EDF" w:rsidRDefault="0006297A" w:rsidP="00676CED">
            <w:pPr>
              <w:pStyle w:val="RI07-BodyCopy95pt"/>
              <w:keepNext/>
              <w:spacing w:after="0" w:line="240" w:lineRule="auto"/>
              <w:jc w:val="center"/>
              <w:rPr>
                <w:rFonts w:cs="Arial"/>
                <w:b/>
                <w:sz w:val="12"/>
                <w:szCs w:val="12"/>
              </w:rPr>
            </w:pPr>
            <w:r w:rsidRPr="00565EDF">
              <w:rPr>
                <w:rFonts w:cs="Arial"/>
                <w:b/>
                <w:sz w:val="12"/>
                <w:szCs w:val="12"/>
              </w:rPr>
              <w:t>2</w:t>
            </w:r>
          </w:p>
        </w:tc>
        <w:tc>
          <w:tcPr>
            <w:tcW w:w="453"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5.56%</w:t>
            </w:r>
          </w:p>
        </w:tc>
        <w:tc>
          <w:tcPr>
            <w:tcW w:w="50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277,777,778</w:t>
            </w:r>
          </w:p>
        </w:tc>
        <w:tc>
          <w:tcPr>
            <w:tcW w:w="316"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58</w:t>
            </w:r>
          </w:p>
        </w:tc>
        <w:tc>
          <w:tcPr>
            <w:tcW w:w="635"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4,789,272</w:t>
            </w:r>
          </w:p>
        </w:tc>
        <w:tc>
          <w:tcPr>
            <w:tcW w:w="590"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53,214,134</w:t>
            </w:r>
          </w:p>
        </w:tc>
        <w:tc>
          <w:tcPr>
            <w:tcW w:w="452" w:type="pct"/>
            <w:shd w:val="clear" w:color="auto" w:fill="EAEAEA"/>
            <w:vAlign w:val="bottom"/>
          </w:tcPr>
          <w:p w:rsidR="0006297A" w:rsidRPr="00565EDF" w:rsidRDefault="0006297A" w:rsidP="00676CED">
            <w:pPr>
              <w:pStyle w:val="RI07-BodyCopy95pt"/>
              <w:keepNext/>
              <w:spacing w:after="0" w:line="240" w:lineRule="auto"/>
              <w:jc w:val="right"/>
              <w:rPr>
                <w:rFonts w:cs="Arial"/>
                <w:b/>
                <w:sz w:val="12"/>
                <w:szCs w:val="12"/>
              </w:rPr>
            </w:pPr>
            <w:r w:rsidRPr="00565EDF">
              <w:rPr>
                <w:rFonts w:cs="Arial"/>
                <w:b/>
                <w:sz w:val="12"/>
                <w:szCs w:val="12"/>
              </w:rPr>
              <w:t>9.0%</w:t>
            </w:r>
          </w:p>
        </w:tc>
      </w:tr>
    </w:tbl>
    <w:p w:rsidR="0006297A" w:rsidRPr="00150D84" w:rsidRDefault="0006297A" w:rsidP="0006297A">
      <w:pPr>
        <w:pStyle w:val="RI07-BodyCopy95pt"/>
        <w:spacing w:before="40" w:after="0" w:line="240" w:lineRule="auto"/>
        <w:rPr>
          <w:sz w:val="16"/>
          <w:szCs w:val="16"/>
        </w:rPr>
      </w:pPr>
      <w:r w:rsidRPr="00150D84">
        <w:rPr>
          <w:sz w:val="16"/>
          <w:szCs w:val="16"/>
        </w:rPr>
        <w:t>* This hypothetical example is for illustration only and is not intended to reflect an actual value.</w:t>
      </w:r>
    </w:p>
    <w:p w:rsidR="0006297A" w:rsidRDefault="0006297A" w:rsidP="0006297A">
      <w:pPr>
        <w:pStyle w:val="RI07-BodyCopy95pt"/>
        <w:ind w:right="4"/>
      </w:pPr>
    </w:p>
    <w:p w:rsidR="0006297A" w:rsidRPr="000555C4" w:rsidRDefault="0006297A" w:rsidP="0006297A">
      <w:pPr>
        <w:pStyle w:val="RI07-BodyCopy95pt"/>
        <w:ind w:right="4"/>
      </w:pPr>
    </w:p>
    <w:p w:rsidR="0006297A" w:rsidRPr="00833EF9" w:rsidRDefault="0006297A" w:rsidP="0006297A">
      <w:pPr>
        <w:pStyle w:val="RI07-BodyCopy95pt"/>
      </w:pPr>
    </w:p>
    <w:p w:rsidR="0006297A" w:rsidRDefault="0006297A" w:rsidP="0006297A">
      <w:pPr>
        <w:pStyle w:val="RI07-BodyCopy95pt"/>
        <w:sectPr w:rsidR="0006297A" w:rsidSect="00676CED">
          <w:pgSz w:w="12240" w:h="15840"/>
          <w:pgMar w:top="1440" w:right="1440" w:bottom="1440" w:left="1526" w:header="720" w:footer="1267" w:gutter="0"/>
          <w:cols w:space="720"/>
          <w:titlePg/>
          <w:docGrid w:linePitch="360"/>
        </w:sectPr>
      </w:pPr>
    </w:p>
    <w:p w:rsidR="0006297A" w:rsidRPr="00571C13" w:rsidRDefault="0006297A" w:rsidP="0006297A">
      <w:pPr>
        <w:pStyle w:val="RI01-Heading0"/>
      </w:pPr>
      <w:r w:rsidRPr="00571C13">
        <w:lastRenderedPageBreak/>
        <w:t>section 1</w:t>
      </w:r>
      <w:r>
        <w:t>4</w:t>
      </w:r>
    </w:p>
    <w:p w:rsidR="0006297A" w:rsidRPr="00D32180" w:rsidRDefault="0006297A" w:rsidP="0006297A">
      <w:pPr>
        <w:pStyle w:val="Heading1"/>
      </w:pPr>
      <w:bookmarkStart w:id="356" w:name="_Toc303342591"/>
      <w:bookmarkStart w:id="357" w:name="_Toc343682726"/>
      <w:r>
        <w:t>Russell Australia High Dividend Index</w:t>
      </w:r>
      <w:bookmarkEnd w:id="343"/>
      <w:bookmarkEnd w:id="356"/>
      <w:bookmarkEnd w:id="357"/>
    </w:p>
    <w:p w:rsidR="0006297A" w:rsidRDefault="0006297A" w:rsidP="0006297A">
      <w:pPr>
        <w:pStyle w:val="Heading2"/>
      </w:pPr>
      <w:bookmarkStart w:id="358" w:name="_Toc303342592"/>
      <w:bookmarkStart w:id="359" w:name="_Toc343682727"/>
      <w:r>
        <w:t>Definition</w:t>
      </w:r>
      <w:bookmarkEnd w:id="358"/>
      <w:bookmarkEnd w:id="359"/>
    </w:p>
    <w:p w:rsidR="0006297A" w:rsidRPr="009F0CB0" w:rsidRDefault="0006297A" w:rsidP="0006297A">
      <w:pPr>
        <w:pStyle w:val="RI07-BodyCopy95pt"/>
      </w:pPr>
      <w:r w:rsidRPr="009F0CB0">
        <w:t>The Russell Australia High Dividend Index (“RAHDI”) is an equity index comprised of blue chip Australian companies that have historically paid above average dividends, including Franking Credits. The Index includes large cap companies and is built using an objective, transparent and market-driven construction.</w:t>
      </w:r>
    </w:p>
    <w:p w:rsidR="0006297A" w:rsidRPr="009E5F66" w:rsidRDefault="0006297A" w:rsidP="0006297A">
      <w:pPr>
        <w:pStyle w:val="Heading2"/>
      </w:pPr>
      <w:bookmarkStart w:id="360" w:name="_Toc303342593"/>
      <w:bookmarkStart w:id="361" w:name="_Toc343682728"/>
      <w:r w:rsidRPr="009E5F66">
        <w:t xml:space="preserve">Eligible </w:t>
      </w:r>
      <w:r>
        <w:t>s</w:t>
      </w:r>
      <w:r w:rsidRPr="009E5F66">
        <w:t>ecurities</w:t>
      </w:r>
      <w:bookmarkEnd w:id="360"/>
      <w:bookmarkEnd w:id="361"/>
    </w:p>
    <w:p w:rsidR="0006297A" w:rsidRPr="009F0CB0" w:rsidRDefault="0006297A" w:rsidP="0006297A">
      <w:pPr>
        <w:pStyle w:val="RI07-BodyCopy95pt"/>
      </w:pPr>
      <w:r w:rsidRPr="009F0CB0">
        <w:t xml:space="preserve">Russell Australia High Dividend Index starts with the members of the Russell Australia Large Cap Index, including infrastructure stocks and excluding foreign ownership limits. The index is then reduced down to those securities which meet the requirements to be considered high dividend paying companies. </w:t>
      </w:r>
    </w:p>
    <w:p w:rsidR="0006297A" w:rsidRPr="009F0CB0" w:rsidRDefault="0006297A" w:rsidP="0006297A">
      <w:pPr>
        <w:pStyle w:val="RI07-BodyCopy95pt"/>
      </w:pPr>
      <w:r w:rsidRPr="009F0CB0">
        <w:t xml:space="preserve">Starting with the review universe, each security is given a Composite Yield Score. The Stock Weight of each security is then calculated by adding capitalization weight to the Composite Yield score multiplied by 2.5% as per the formula below. </w:t>
      </w:r>
    </w:p>
    <w:p w:rsidR="0006297A" w:rsidRPr="00D97D2F" w:rsidRDefault="0006297A" w:rsidP="0006297A">
      <w:pPr>
        <w:spacing w:after="100" w:line="260" w:lineRule="atLeast"/>
        <w:ind w:left="720"/>
        <w:rPr>
          <w:rFonts w:ascii="Arial" w:hAnsi="Arial" w:cs="Arial"/>
          <w:b/>
          <w:color w:val="5F6062"/>
          <w:sz w:val="19"/>
          <w:szCs w:val="19"/>
        </w:rPr>
      </w:pPr>
      <w:r w:rsidRPr="00D97D2F">
        <w:rPr>
          <w:rFonts w:ascii="Arial" w:hAnsi="Arial" w:cs="Arial"/>
          <w:b/>
          <w:color w:val="5F6062"/>
          <w:sz w:val="19"/>
          <w:szCs w:val="19"/>
        </w:rPr>
        <w:t xml:space="preserve">Stock Weight = Capitalization Weight + (Composite Yield Core x 2.5%) </w:t>
      </w:r>
    </w:p>
    <w:p w:rsidR="0006297A" w:rsidRPr="009F0CB0" w:rsidRDefault="0006297A" w:rsidP="0006297A">
      <w:pPr>
        <w:pStyle w:val="RI07-BodyCopy95pt"/>
      </w:pPr>
      <w:r w:rsidRPr="009F0CB0">
        <w:t xml:space="preserve">Therefore securities with positive Composite Yield Scores will see an increase in their Stock Weight compared to their Capitalization Weight and vice versa for those with negative Composite Yield Scores. </w:t>
      </w:r>
    </w:p>
    <w:p w:rsidR="0006297A" w:rsidRPr="009F0CB0" w:rsidRDefault="0006297A" w:rsidP="0006297A">
      <w:pPr>
        <w:pStyle w:val="RI07-BodyCopy95pt"/>
      </w:pPr>
      <w:r w:rsidRPr="009F0CB0">
        <w:t>The Composite Yield Score is the combined score from the underlying factors:</w:t>
      </w:r>
    </w:p>
    <w:p w:rsidR="0006297A" w:rsidRDefault="0006297A" w:rsidP="0006297A">
      <w:pPr>
        <w:pStyle w:val="Heading2"/>
      </w:pPr>
      <w:bookmarkStart w:id="362" w:name="_Toc303342594"/>
      <w:bookmarkStart w:id="363" w:name="_Toc343682729"/>
      <w:r>
        <w:t>Dividend criteria</w:t>
      </w:r>
      <w:bookmarkEnd w:id="362"/>
      <w:bookmarkEnd w:id="363"/>
    </w:p>
    <w:p w:rsidR="0006297A" w:rsidRPr="009F0CB0" w:rsidRDefault="0006297A" w:rsidP="0006297A">
      <w:pPr>
        <w:pStyle w:val="RI07-BodyCopy95pt"/>
      </w:pPr>
      <w:r w:rsidRPr="009F0CB0">
        <w:t>The methodology not only targets high dividends, but is also built to include better quality dividends. To capture the quality of the underlying dividends the methodology focuses on penalizing those companies that have paid sporadic dividends and also those companies whose dividends have been falling or are likely to fall in the future based on certain factors such as Forecast Dividend and Forecast Dividend Growth. Multiple factors at varying weights are used to capture the relative importance of high forecasted dividends, consistency of dividends and trajectory of dividend growth (both future and historical). The factors used in the model are not equally weighted; rather weighted by their relative importance with the greatest emphasis on future dividend potential and equal emphasis on historical yields, dividend growth (including trailing and forecasted growth) and EPS variability.</w:t>
      </w:r>
    </w:p>
    <w:p w:rsidR="0006297A" w:rsidRDefault="0006297A" w:rsidP="0006297A">
      <w:pPr>
        <w:pStyle w:val="Heading2"/>
      </w:pPr>
      <w:bookmarkStart w:id="364" w:name="_Toc303342595"/>
      <w:bookmarkStart w:id="365" w:name="_Toc343682730"/>
      <w:r>
        <w:t xml:space="preserve">Franking </w:t>
      </w:r>
      <w:bookmarkEnd w:id="364"/>
      <w:r>
        <w:t>credits</w:t>
      </w:r>
      <w:bookmarkEnd w:id="365"/>
    </w:p>
    <w:p w:rsidR="0006297A" w:rsidRPr="009F0CB0" w:rsidRDefault="0006297A" w:rsidP="0006297A">
      <w:pPr>
        <w:pStyle w:val="RI07-BodyCopy95pt"/>
      </w:pPr>
      <w:r w:rsidRPr="009F0CB0">
        <w:t>For Australian investors, dividends are often worth more than the cash payment</w:t>
      </w:r>
      <w:r>
        <w:t>s</w:t>
      </w:r>
      <w:r w:rsidRPr="009F0CB0">
        <w:t xml:space="preserve"> received. This is because a company can also distribute franking credits for any company tax it has paid. Dividends carry franking credits that entitle shareholders to a tax offset or a reduction in the amount of tax to be paid. Dividends received by investors can range from 100% franked to completely unfranked.</w:t>
      </w:r>
    </w:p>
    <w:p w:rsidR="0006297A" w:rsidRPr="009F0CB0" w:rsidRDefault="0006297A" w:rsidP="0006297A">
      <w:pPr>
        <w:pStyle w:val="RI07-BodyCopy95pt"/>
      </w:pPr>
      <w:r w:rsidRPr="009F0CB0">
        <w:t>The effect dividend imputation has on individual shareholders depends mainly on two things – the individual shareholder’s taxable income, and how much tax the company paid before it distributed a dividend. In some cases, a shareholder can actually pay less tax after receiving dividend income than would have been payable without it.</w:t>
      </w:r>
    </w:p>
    <w:p w:rsidR="0006297A" w:rsidRDefault="0006297A" w:rsidP="0006297A">
      <w:pPr>
        <w:pStyle w:val="Heading2"/>
      </w:pPr>
      <w:bookmarkStart w:id="366" w:name="_Toc303342596"/>
      <w:bookmarkStart w:id="367" w:name="_Toc343682731"/>
      <w:r>
        <w:lastRenderedPageBreak/>
        <w:t xml:space="preserve">Grossed </w:t>
      </w:r>
      <w:bookmarkEnd w:id="366"/>
      <w:r>
        <w:t>up dividend calculation</w:t>
      </w:r>
      <w:bookmarkEnd w:id="367"/>
    </w:p>
    <w:p w:rsidR="0006297A" w:rsidRPr="009F0CB0" w:rsidRDefault="0006297A" w:rsidP="0006297A">
      <w:pPr>
        <w:pStyle w:val="RI07-BodyCopy95pt"/>
      </w:pPr>
      <w:r w:rsidRPr="009F0CB0">
        <w:t>For example, a company declares a 10 cent fully franked dividend (taxed at 30%).</w:t>
      </w:r>
    </w:p>
    <w:p w:rsidR="0006297A" w:rsidRPr="009F0CB0" w:rsidRDefault="0006297A" w:rsidP="0006297A">
      <w:pPr>
        <w:pStyle w:val="RI07-BodyCopy95pt"/>
      </w:pPr>
      <w:r w:rsidRPr="009F0CB0">
        <w:t xml:space="preserve">10c /70 x 30 </w:t>
      </w:r>
      <w:r w:rsidRPr="009F0CB0">
        <w:tab/>
        <w:t xml:space="preserve">= franking credit per share </w:t>
      </w:r>
    </w:p>
    <w:p w:rsidR="0006297A" w:rsidRPr="009F0CB0" w:rsidRDefault="0006297A" w:rsidP="0006297A">
      <w:pPr>
        <w:pStyle w:val="RI07-BodyCopy95pt"/>
        <w:ind w:left="720" w:firstLine="720"/>
      </w:pPr>
      <w:r w:rsidRPr="009F0CB0">
        <w:t>= 4.28 cents per share</w:t>
      </w:r>
    </w:p>
    <w:p w:rsidR="0006297A" w:rsidRPr="009F0CB0" w:rsidRDefault="0006297A" w:rsidP="0006297A">
      <w:pPr>
        <w:pStyle w:val="RI07-BodyCopy95pt"/>
      </w:pPr>
      <w:r w:rsidRPr="009F0CB0">
        <w:t>If the current share price was $2.50 the returns would be as follows:</w:t>
      </w:r>
    </w:p>
    <w:p w:rsidR="0006297A" w:rsidRPr="009F0CB0" w:rsidRDefault="0006297A" w:rsidP="0006297A">
      <w:pPr>
        <w:pStyle w:val="RI07-BodyCopy95pt"/>
      </w:pPr>
      <w:r w:rsidRPr="009F0CB0">
        <w:t xml:space="preserve">Dividend yield </w:t>
      </w:r>
      <w:r w:rsidRPr="009F0CB0">
        <w:tab/>
        <w:t>= 10 cents/$2.50 = 4%</w:t>
      </w:r>
    </w:p>
    <w:p w:rsidR="0006297A" w:rsidRPr="009F0CB0" w:rsidRDefault="0006297A" w:rsidP="0006297A">
      <w:pPr>
        <w:pStyle w:val="RI07-BodyCopy95pt"/>
      </w:pPr>
      <w:r w:rsidRPr="009F0CB0">
        <w:t xml:space="preserve">Grossed up </w:t>
      </w:r>
      <w:r w:rsidRPr="009F0CB0">
        <w:tab/>
        <w:t>= (10 cents + 4.28 cents)/$2.50 = 5.71%</w:t>
      </w:r>
    </w:p>
    <w:p w:rsidR="0006297A" w:rsidRDefault="0006297A" w:rsidP="0006297A">
      <w:pPr>
        <w:pStyle w:val="Heading2"/>
      </w:pPr>
      <w:bookmarkStart w:id="368" w:name="_Toc303342597"/>
      <w:bookmarkStart w:id="369" w:name="_Toc343682732"/>
      <w:r>
        <w:t>Franking credits at different tax rates</w:t>
      </w:r>
      <w:bookmarkEnd w:id="368"/>
      <w:bookmarkEnd w:id="369"/>
    </w:p>
    <w:p w:rsidR="0006297A" w:rsidRPr="00FB3DFA" w:rsidRDefault="0006297A" w:rsidP="0006297A">
      <w:pPr>
        <w:spacing w:after="100" w:line="260" w:lineRule="atLeast"/>
        <w:rPr>
          <w:rFonts w:ascii="Arial" w:hAnsi="Arial" w:cs="Arial"/>
          <w:color w:val="5F6062"/>
          <w:sz w:val="19"/>
          <w:szCs w:val="19"/>
        </w:rPr>
      </w:pPr>
    </w:p>
    <w:tbl>
      <w:tblPr>
        <w:tblW w:w="5000" w:type="pct"/>
        <w:tblBorders>
          <w:top w:val="single" w:sz="4" w:space="0" w:color="auto"/>
          <w:bottom w:val="single" w:sz="4" w:space="0" w:color="auto"/>
          <w:insideH w:val="single" w:sz="4" w:space="0" w:color="auto"/>
        </w:tblBorders>
        <w:tblCellMar>
          <w:left w:w="144" w:type="dxa"/>
          <w:right w:w="230" w:type="dxa"/>
        </w:tblCellMar>
        <w:tblLook w:val="01E0"/>
      </w:tblPr>
      <w:tblGrid>
        <w:gridCol w:w="2848"/>
        <w:gridCol w:w="1751"/>
        <w:gridCol w:w="1751"/>
        <w:gridCol w:w="1751"/>
        <w:gridCol w:w="1749"/>
      </w:tblGrid>
      <w:tr w:rsidR="0006297A" w:rsidRPr="00A7684E" w:rsidTr="00676CED">
        <w:trPr>
          <w:trHeight w:val="70"/>
        </w:trPr>
        <w:tc>
          <w:tcPr>
            <w:tcW w:w="1445" w:type="pct"/>
            <w:vAlign w:val="center"/>
          </w:tcPr>
          <w:p w:rsidR="0006297A" w:rsidRPr="006D6439" w:rsidRDefault="0006297A" w:rsidP="00676CED">
            <w:pPr>
              <w:pStyle w:val="RI07-BodyCopy95pt"/>
              <w:spacing w:after="0"/>
              <w:jc w:val="right"/>
              <w:rPr>
                <w:b/>
                <w:color w:val="4F81BD"/>
              </w:rPr>
            </w:pPr>
            <w:r w:rsidRPr="006D6439">
              <w:rPr>
                <w:b/>
                <w:color w:val="4F81BD"/>
              </w:rPr>
              <w:t>Tax Rates</w:t>
            </w:r>
          </w:p>
        </w:tc>
        <w:tc>
          <w:tcPr>
            <w:tcW w:w="889" w:type="pct"/>
            <w:tcMar>
              <w:right w:w="432" w:type="dxa"/>
            </w:tcMar>
            <w:vAlign w:val="center"/>
          </w:tcPr>
          <w:p w:rsidR="0006297A" w:rsidRPr="006D6439" w:rsidRDefault="0006297A" w:rsidP="00676CED">
            <w:pPr>
              <w:pStyle w:val="RI07-BodyCopy95pt"/>
              <w:spacing w:after="0"/>
              <w:jc w:val="right"/>
              <w:rPr>
                <w:b/>
                <w:color w:val="4F81BD"/>
              </w:rPr>
            </w:pPr>
            <w:r w:rsidRPr="006D6439">
              <w:rPr>
                <w:b/>
                <w:color w:val="4F81BD"/>
              </w:rPr>
              <w:t>10%</w:t>
            </w:r>
          </w:p>
        </w:tc>
        <w:tc>
          <w:tcPr>
            <w:tcW w:w="889" w:type="pct"/>
            <w:tcMar>
              <w:right w:w="432" w:type="dxa"/>
            </w:tcMar>
            <w:vAlign w:val="center"/>
          </w:tcPr>
          <w:p w:rsidR="0006297A" w:rsidRPr="006D6439" w:rsidRDefault="0006297A" w:rsidP="00676CED">
            <w:pPr>
              <w:pStyle w:val="RI07-BodyCopy95pt"/>
              <w:spacing w:after="0"/>
              <w:jc w:val="right"/>
              <w:rPr>
                <w:b/>
                <w:color w:val="4F81BD"/>
              </w:rPr>
            </w:pPr>
            <w:r w:rsidRPr="006D6439">
              <w:rPr>
                <w:b/>
                <w:color w:val="4F81BD"/>
              </w:rPr>
              <w:t>30%</w:t>
            </w:r>
          </w:p>
        </w:tc>
        <w:tc>
          <w:tcPr>
            <w:tcW w:w="889" w:type="pct"/>
            <w:tcMar>
              <w:right w:w="432" w:type="dxa"/>
            </w:tcMar>
            <w:vAlign w:val="center"/>
          </w:tcPr>
          <w:p w:rsidR="0006297A" w:rsidRPr="006D6439" w:rsidRDefault="0006297A" w:rsidP="00676CED">
            <w:pPr>
              <w:pStyle w:val="RI07-BodyCopy95pt"/>
              <w:spacing w:after="0"/>
              <w:jc w:val="right"/>
              <w:rPr>
                <w:b/>
                <w:color w:val="4F81BD"/>
              </w:rPr>
            </w:pPr>
            <w:r w:rsidRPr="006D6439">
              <w:rPr>
                <w:b/>
                <w:color w:val="4F81BD"/>
              </w:rPr>
              <w:t>40%</w:t>
            </w:r>
          </w:p>
        </w:tc>
        <w:tc>
          <w:tcPr>
            <w:tcW w:w="889" w:type="pct"/>
            <w:tcMar>
              <w:right w:w="432" w:type="dxa"/>
            </w:tcMar>
            <w:vAlign w:val="center"/>
          </w:tcPr>
          <w:p w:rsidR="0006297A" w:rsidRPr="006D6439" w:rsidRDefault="0006297A" w:rsidP="00676CED">
            <w:pPr>
              <w:pStyle w:val="RI07-BodyCopy95pt"/>
              <w:spacing w:after="0"/>
              <w:jc w:val="right"/>
              <w:rPr>
                <w:b/>
                <w:color w:val="4F81BD"/>
              </w:rPr>
            </w:pPr>
            <w:r w:rsidRPr="006D6439">
              <w:rPr>
                <w:b/>
                <w:color w:val="4F81BD"/>
              </w:rPr>
              <w:t>46.5%</w:t>
            </w:r>
          </w:p>
        </w:tc>
      </w:tr>
      <w:tr w:rsidR="0006297A" w:rsidRPr="00B700F7" w:rsidTr="00676CED">
        <w:trPr>
          <w:trHeight w:val="70"/>
        </w:trPr>
        <w:tc>
          <w:tcPr>
            <w:tcW w:w="1445" w:type="pct"/>
            <w:vAlign w:val="center"/>
          </w:tcPr>
          <w:p w:rsidR="0006297A" w:rsidRPr="00B700F7" w:rsidRDefault="0006297A" w:rsidP="00676CED">
            <w:pPr>
              <w:pStyle w:val="RI07-BodyCopy95pt"/>
              <w:spacing w:after="0"/>
            </w:pPr>
            <w:r w:rsidRPr="00B700F7">
              <w:t>Dividend</w:t>
            </w:r>
          </w:p>
        </w:tc>
        <w:tc>
          <w:tcPr>
            <w:tcW w:w="889" w:type="pct"/>
            <w:tcMar>
              <w:right w:w="432" w:type="dxa"/>
            </w:tcMar>
            <w:vAlign w:val="center"/>
          </w:tcPr>
          <w:p w:rsidR="0006297A" w:rsidRPr="00B700F7" w:rsidRDefault="0006297A" w:rsidP="00676CED">
            <w:pPr>
              <w:pStyle w:val="RI07-BodyCopy95pt"/>
              <w:spacing w:after="0"/>
              <w:jc w:val="right"/>
            </w:pPr>
            <w:r w:rsidRPr="00B700F7">
              <w:t>$700</w:t>
            </w:r>
          </w:p>
        </w:tc>
        <w:tc>
          <w:tcPr>
            <w:tcW w:w="889" w:type="pct"/>
            <w:tcMar>
              <w:right w:w="432" w:type="dxa"/>
            </w:tcMar>
            <w:vAlign w:val="center"/>
          </w:tcPr>
          <w:p w:rsidR="0006297A" w:rsidRPr="00B700F7" w:rsidRDefault="0006297A" w:rsidP="00676CED">
            <w:pPr>
              <w:pStyle w:val="RI07-BodyCopy95pt"/>
              <w:spacing w:after="0"/>
              <w:jc w:val="right"/>
            </w:pPr>
            <w:r w:rsidRPr="00B700F7">
              <w:t>$700</w:t>
            </w:r>
          </w:p>
        </w:tc>
        <w:tc>
          <w:tcPr>
            <w:tcW w:w="889" w:type="pct"/>
            <w:tcMar>
              <w:right w:w="432" w:type="dxa"/>
            </w:tcMar>
            <w:vAlign w:val="center"/>
          </w:tcPr>
          <w:p w:rsidR="0006297A" w:rsidRPr="00B700F7" w:rsidRDefault="0006297A" w:rsidP="00676CED">
            <w:pPr>
              <w:pStyle w:val="RI07-BodyCopy95pt"/>
              <w:spacing w:after="0"/>
              <w:jc w:val="right"/>
            </w:pPr>
            <w:r w:rsidRPr="00B700F7">
              <w:t>$700</w:t>
            </w:r>
          </w:p>
        </w:tc>
        <w:tc>
          <w:tcPr>
            <w:tcW w:w="889" w:type="pct"/>
            <w:tcMar>
              <w:right w:w="432" w:type="dxa"/>
            </w:tcMar>
            <w:vAlign w:val="center"/>
          </w:tcPr>
          <w:p w:rsidR="0006297A" w:rsidRPr="00B700F7" w:rsidRDefault="0006297A" w:rsidP="00676CED">
            <w:pPr>
              <w:pStyle w:val="RI07-BodyCopy95pt"/>
              <w:spacing w:after="0"/>
              <w:jc w:val="right"/>
            </w:pPr>
            <w:r w:rsidRPr="00B700F7">
              <w:t>$700</w:t>
            </w:r>
          </w:p>
        </w:tc>
      </w:tr>
      <w:tr w:rsidR="0006297A" w:rsidRPr="00B700F7" w:rsidTr="00676CED">
        <w:trPr>
          <w:trHeight w:val="70"/>
        </w:trPr>
        <w:tc>
          <w:tcPr>
            <w:tcW w:w="1445" w:type="pct"/>
            <w:vAlign w:val="center"/>
          </w:tcPr>
          <w:p w:rsidR="0006297A" w:rsidRPr="00B700F7" w:rsidRDefault="0006297A" w:rsidP="00676CED">
            <w:pPr>
              <w:pStyle w:val="RI07-BodyCopy95pt"/>
              <w:spacing w:after="0"/>
            </w:pPr>
            <w:r w:rsidRPr="00B700F7">
              <w:t>Grossed Up Dividend</w:t>
            </w:r>
          </w:p>
        </w:tc>
        <w:tc>
          <w:tcPr>
            <w:tcW w:w="889" w:type="pct"/>
            <w:tcMar>
              <w:right w:w="432" w:type="dxa"/>
            </w:tcMar>
            <w:vAlign w:val="center"/>
          </w:tcPr>
          <w:p w:rsidR="0006297A" w:rsidRPr="00B700F7" w:rsidRDefault="0006297A" w:rsidP="00676CED">
            <w:pPr>
              <w:pStyle w:val="RI07-BodyCopy95pt"/>
              <w:spacing w:after="0"/>
              <w:jc w:val="right"/>
            </w:pPr>
            <w:r w:rsidRPr="00B700F7">
              <w:t>$1,000</w:t>
            </w:r>
          </w:p>
        </w:tc>
        <w:tc>
          <w:tcPr>
            <w:tcW w:w="889" w:type="pct"/>
            <w:tcMar>
              <w:right w:w="432" w:type="dxa"/>
            </w:tcMar>
            <w:vAlign w:val="center"/>
          </w:tcPr>
          <w:p w:rsidR="0006297A" w:rsidRPr="00B700F7" w:rsidRDefault="0006297A" w:rsidP="00676CED">
            <w:pPr>
              <w:pStyle w:val="RI07-BodyCopy95pt"/>
              <w:spacing w:after="0"/>
              <w:jc w:val="right"/>
            </w:pPr>
            <w:r w:rsidRPr="00B700F7">
              <w:t>$1,000</w:t>
            </w:r>
          </w:p>
        </w:tc>
        <w:tc>
          <w:tcPr>
            <w:tcW w:w="889" w:type="pct"/>
            <w:tcMar>
              <w:right w:w="432" w:type="dxa"/>
            </w:tcMar>
            <w:vAlign w:val="center"/>
          </w:tcPr>
          <w:p w:rsidR="0006297A" w:rsidRPr="00B700F7" w:rsidRDefault="0006297A" w:rsidP="00676CED">
            <w:pPr>
              <w:pStyle w:val="RI07-BodyCopy95pt"/>
              <w:spacing w:after="0"/>
              <w:jc w:val="right"/>
            </w:pPr>
            <w:r w:rsidRPr="00B700F7">
              <w:t>$1,000</w:t>
            </w:r>
          </w:p>
        </w:tc>
        <w:tc>
          <w:tcPr>
            <w:tcW w:w="889" w:type="pct"/>
            <w:tcMar>
              <w:right w:w="432" w:type="dxa"/>
            </w:tcMar>
            <w:vAlign w:val="center"/>
          </w:tcPr>
          <w:p w:rsidR="0006297A" w:rsidRPr="00B700F7" w:rsidRDefault="0006297A" w:rsidP="00676CED">
            <w:pPr>
              <w:pStyle w:val="RI07-BodyCopy95pt"/>
              <w:spacing w:after="0"/>
              <w:jc w:val="right"/>
            </w:pPr>
            <w:r w:rsidRPr="00B700F7">
              <w:t>$1,000</w:t>
            </w:r>
          </w:p>
        </w:tc>
      </w:tr>
      <w:tr w:rsidR="0006297A" w:rsidRPr="00B700F7" w:rsidTr="00676CED">
        <w:trPr>
          <w:trHeight w:val="70"/>
        </w:trPr>
        <w:tc>
          <w:tcPr>
            <w:tcW w:w="1445" w:type="pct"/>
            <w:vAlign w:val="center"/>
          </w:tcPr>
          <w:p w:rsidR="0006297A" w:rsidRPr="00B700F7" w:rsidRDefault="0006297A" w:rsidP="00676CED">
            <w:pPr>
              <w:pStyle w:val="RI07-BodyCopy95pt"/>
              <w:spacing w:after="0"/>
            </w:pPr>
            <w:r w:rsidRPr="00B700F7">
              <w:t>Gross Tax Payable</w:t>
            </w:r>
          </w:p>
        </w:tc>
        <w:tc>
          <w:tcPr>
            <w:tcW w:w="889" w:type="pct"/>
            <w:tcMar>
              <w:right w:w="432" w:type="dxa"/>
            </w:tcMar>
            <w:vAlign w:val="center"/>
          </w:tcPr>
          <w:p w:rsidR="0006297A" w:rsidRPr="00B700F7" w:rsidRDefault="0006297A" w:rsidP="00676CED">
            <w:pPr>
              <w:pStyle w:val="RI07-BodyCopy95pt"/>
              <w:spacing w:after="0"/>
              <w:jc w:val="right"/>
            </w:pPr>
            <w:r w:rsidRPr="00B700F7">
              <w:t>$100</w:t>
            </w:r>
          </w:p>
        </w:tc>
        <w:tc>
          <w:tcPr>
            <w:tcW w:w="889" w:type="pct"/>
            <w:tcMar>
              <w:right w:w="432" w:type="dxa"/>
            </w:tcMar>
            <w:vAlign w:val="center"/>
          </w:tcPr>
          <w:p w:rsidR="0006297A" w:rsidRPr="00B700F7" w:rsidRDefault="0006297A" w:rsidP="00676CED">
            <w:pPr>
              <w:pStyle w:val="RI07-BodyCopy95pt"/>
              <w:spacing w:after="0"/>
              <w:jc w:val="right"/>
            </w:pPr>
            <w:r w:rsidRPr="00B700F7">
              <w:t>$300</w:t>
            </w:r>
          </w:p>
        </w:tc>
        <w:tc>
          <w:tcPr>
            <w:tcW w:w="889" w:type="pct"/>
            <w:tcMar>
              <w:right w:w="432" w:type="dxa"/>
            </w:tcMar>
            <w:vAlign w:val="center"/>
          </w:tcPr>
          <w:p w:rsidR="0006297A" w:rsidRPr="00B700F7" w:rsidRDefault="0006297A" w:rsidP="00676CED">
            <w:pPr>
              <w:pStyle w:val="RI07-BodyCopy95pt"/>
              <w:spacing w:after="0"/>
              <w:jc w:val="right"/>
            </w:pPr>
            <w:r w:rsidRPr="00B700F7">
              <w:t>$400</w:t>
            </w:r>
          </w:p>
        </w:tc>
        <w:tc>
          <w:tcPr>
            <w:tcW w:w="889" w:type="pct"/>
            <w:tcMar>
              <w:right w:w="432" w:type="dxa"/>
            </w:tcMar>
            <w:vAlign w:val="center"/>
          </w:tcPr>
          <w:p w:rsidR="0006297A" w:rsidRPr="00B700F7" w:rsidRDefault="0006297A" w:rsidP="00676CED">
            <w:pPr>
              <w:pStyle w:val="RI07-BodyCopy95pt"/>
              <w:spacing w:after="0"/>
              <w:jc w:val="right"/>
            </w:pPr>
            <w:r w:rsidRPr="00B700F7">
              <w:t>$465</w:t>
            </w:r>
          </w:p>
        </w:tc>
      </w:tr>
      <w:tr w:rsidR="0006297A" w:rsidRPr="00B700F7" w:rsidTr="00676CED">
        <w:trPr>
          <w:trHeight w:val="70"/>
        </w:trPr>
        <w:tc>
          <w:tcPr>
            <w:tcW w:w="1445" w:type="pct"/>
            <w:vAlign w:val="center"/>
          </w:tcPr>
          <w:p w:rsidR="0006297A" w:rsidRPr="00B700F7" w:rsidRDefault="0006297A" w:rsidP="00676CED">
            <w:pPr>
              <w:pStyle w:val="RI07-BodyCopy95pt"/>
              <w:spacing w:after="0"/>
            </w:pPr>
            <w:r w:rsidRPr="00B700F7">
              <w:t>Franking Credit Rebate</w:t>
            </w:r>
          </w:p>
        </w:tc>
        <w:tc>
          <w:tcPr>
            <w:tcW w:w="889" w:type="pct"/>
            <w:tcMar>
              <w:right w:w="432" w:type="dxa"/>
            </w:tcMar>
            <w:vAlign w:val="center"/>
          </w:tcPr>
          <w:p w:rsidR="0006297A" w:rsidRPr="00B700F7" w:rsidRDefault="0006297A" w:rsidP="00676CED">
            <w:pPr>
              <w:pStyle w:val="RI07-BodyCopy95pt"/>
              <w:spacing w:after="0"/>
              <w:jc w:val="right"/>
            </w:pPr>
            <w:r w:rsidRPr="00B700F7">
              <w:t>$300</w:t>
            </w:r>
          </w:p>
        </w:tc>
        <w:tc>
          <w:tcPr>
            <w:tcW w:w="889" w:type="pct"/>
            <w:tcMar>
              <w:right w:w="432" w:type="dxa"/>
            </w:tcMar>
            <w:vAlign w:val="center"/>
          </w:tcPr>
          <w:p w:rsidR="0006297A" w:rsidRPr="00B700F7" w:rsidRDefault="0006297A" w:rsidP="00676CED">
            <w:pPr>
              <w:pStyle w:val="RI07-BodyCopy95pt"/>
              <w:spacing w:after="0"/>
              <w:jc w:val="right"/>
            </w:pPr>
            <w:r w:rsidRPr="00B700F7">
              <w:t>$300</w:t>
            </w:r>
          </w:p>
        </w:tc>
        <w:tc>
          <w:tcPr>
            <w:tcW w:w="889" w:type="pct"/>
            <w:tcMar>
              <w:right w:w="432" w:type="dxa"/>
            </w:tcMar>
            <w:vAlign w:val="center"/>
          </w:tcPr>
          <w:p w:rsidR="0006297A" w:rsidRPr="00B700F7" w:rsidRDefault="0006297A" w:rsidP="00676CED">
            <w:pPr>
              <w:pStyle w:val="RI07-BodyCopy95pt"/>
              <w:spacing w:after="0"/>
              <w:jc w:val="right"/>
            </w:pPr>
            <w:r w:rsidRPr="00B700F7">
              <w:t>$300</w:t>
            </w:r>
          </w:p>
        </w:tc>
        <w:tc>
          <w:tcPr>
            <w:tcW w:w="889" w:type="pct"/>
            <w:tcMar>
              <w:right w:w="432" w:type="dxa"/>
            </w:tcMar>
            <w:vAlign w:val="center"/>
          </w:tcPr>
          <w:p w:rsidR="0006297A" w:rsidRPr="00B700F7" w:rsidRDefault="0006297A" w:rsidP="00676CED">
            <w:pPr>
              <w:pStyle w:val="RI07-BodyCopy95pt"/>
              <w:spacing w:after="0"/>
              <w:jc w:val="right"/>
            </w:pPr>
            <w:r w:rsidRPr="00B700F7">
              <w:t>$300</w:t>
            </w:r>
          </w:p>
        </w:tc>
      </w:tr>
      <w:tr w:rsidR="0006297A" w:rsidRPr="00B700F7" w:rsidTr="00676CED">
        <w:trPr>
          <w:trHeight w:val="70"/>
        </w:trPr>
        <w:tc>
          <w:tcPr>
            <w:tcW w:w="1445" w:type="pct"/>
            <w:vAlign w:val="center"/>
          </w:tcPr>
          <w:p w:rsidR="0006297A" w:rsidRPr="00B700F7" w:rsidRDefault="0006297A" w:rsidP="00676CED">
            <w:pPr>
              <w:pStyle w:val="RI07-BodyCopy95pt"/>
              <w:spacing w:after="0"/>
            </w:pPr>
            <w:r w:rsidRPr="00B700F7">
              <w:t>Net Tax Payable</w:t>
            </w:r>
          </w:p>
        </w:tc>
        <w:tc>
          <w:tcPr>
            <w:tcW w:w="889" w:type="pct"/>
            <w:tcMar>
              <w:right w:w="432" w:type="dxa"/>
            </w:tcMar>
            <w:vAlign w:val="center"/>
          </w:tcPr>
          <w:p w:rsidR="0006297A" w:rsidRPr="00B700F7" w:rsidRDefault="0006297A" w:rsidP="00676CED">
            <w:pPr>
              <w:pStyle w:val="RI07-BodyCopy95pt"/>
              <w:spacing w:after="0"/>
              <w:jc w:val="right"/>
            </w:pPr>
            <w:r w:rsidRPr="00B700F7">
              <w:t>Refund $200</w:t>
            </w:r>
          </w:p>
        </w:tc>
        <w:tc>
          <w:tcPr>
            <w:tcW w:w="889" w:type="pct"/>
            <w:tcMar>
              <w:right w:w="432" w:type="dxa"/>
            </w:tcMar>
            <w:vAlign w:val="center"/>
          </w:tcPr>
          <w:p w:rsidR="0006297A" w:rsidRPr="00B700F7" w:rsidRDefault="0006297A" w:rsidP="00676CED">
            <w:pPr>
              <w:pStyle w:val="RI07-BodyCopy95pt"/>
              <w:spacing w:after="0"/>
              <w:jc w:val="right"/>
            </w:pPr>
            <w:r w:rsidRPr="00B700F7">
              <w:t>$0</w:t>
            </w:r>
          </w:p>
        </w:tc>
        <w:tc>
          <w:tcPr>
            <w:tcW w:w="889" w:type="pct"/>
            <w:tcMar>
              <w:right w:w="432" w:type="dxa"/>
            </w:tcMar>
            <w:vAlign w:val="center"/>
          </w:tcPr>
          <w:p w:rsidR="0006297A" w:rsidRPr="00B700F7" w:rsidRDefault="0006297A" w:rsidP="00676CED">
            <w:pPr>
              <w:pStyle w:val="RI07-BodyCopy95pt"/>
              <w:spacing w:after="0"/>
              <w:jc w:val="right"/>
            </w:pPr>
            <w:r w:rsidRPr="00B700F7">
              <w:t>$100</w:t>
            </w:r>
          </w:p>
        </w:tc>
        <w:tc>
          <w:tcPr>
            <w:tcW w:w="889" w:type="pct"/>
            <w:tcMar>
              <w:right w:w="432" w:type="dxa"/>
            </w:tcMar>
            <w:vAlign w:val="center"/>
          </w:tcPr>
          <w:p w:rsidR="0006297A" w:rsidRPr="00B700F7" w:rsidRDefault="0006297A" w:rsidP="00676CED">
            <w:pPr>
              <w:pStyle w:val="RI07-BodyCopy95pt"/>
              <w:spacing w:after="0"/>
              <w:jc w:val="right"/>
            </w:pPr>
            <w:r w:rsidRPr="00B700F7">
              <w:t>$165</w:t>
            </w:r>
          </w:p>
        </w:tc>
      </w:tr>
    </w:tbl>
    <w:p w:rsidR="0006297A" w:rsidRDefault="0006297A" w:rsidP="0006297A">
      <w:pPr>
        <w:spacing w:after="100" w:line="260" w:lineRule="atLeast"/>
        <w:rPr>
          <w:rFonts w:ascii="Arial" w:hAnsi="Arial" w:cs="Arial"/>
          <w:color w:val="5F6062"/>
          <w:sz w:val="19"/>
          <w:szCs w:val="19"/>
        </w:rPr>
      </w:pPr>
    </w:p>
    <w:p w:rsidR="0006297A" w:rsidRPr="007F1CF7" w:rsidRDefault="0006297A" w:rsidP="0006297A">
      <w:pPr>
        <w:pStyle w:val="Heading2"/>
      </w:pPr>
      <w:bookmarkStart w:id="370" w:name="_Toc303342598"/>
      <w:bookmarkStart w:id="371" w:name="_Toc343682733"/>
      <w:r>
        <w:t>The 45-day rule</w:t>
      </w:r>
      <w:bookmarkEnd w:id="370"/>
      <w:bookmarkEnd w:id="371"/>
    </w:p>
    <w:p w:rsidR="0006297A" w:rsidRPr="009F0CB0" w:rsidRDefault="0006297A" w:rsidP="0006297A">
      <w:pPr>
        <w:pStyle w:val="RI07-BodyCopy95pt"/>
      </w:pPr>
      <w:r w:rsidRPr="009F0CB0">
        <w:t xml:space="preserve">The 45-day rule aims to eliminate franking credit trading where franking benefits are received by someone other than the true economic owner of the underlying shares. The rule requires resident taxpayers to hold shares for at least 45 days to be eligible to receive franking benefits from dividends paid on shares. Furthermore, even if the shares </w:t>
      </w:r>
      <w:r>
        <w:t>are</w:t>
      </w:r>
      <w:r w:rsidRPr="009F0CB0">
        <w:t xml:space="preserve"> held for at least 45 days, the franking credit is denied if the resident taxpayer has eliminated 70</w:t>
      </w:r>
      <w:r>
        <w:t>%</w:t>
      </w:r>
      <w:r w:rsidRPr="009F0CB0">
        <w:t xml:space="preserve"> or more of the ownership risk through other financial transactions during that period. Hence, the rule also specifies a 30</w:t>
      </w:r>
      <w:r>
        <w:t>%</w:t>
      </w:r>
      <w:r w:rsidRPr="009F0CB0">
        <w:t xml:space="preserve"> minimum level of ownership risk. </w:t>
      </w:r>
    </w:p>
    <w:p w:rsidR="0006297A" w:rsidRDefault="0006297A" w:rsidP="0006297A">
      <w:pPr>
        <w:pStyle w:val="Heading2"/>
      </w:pPr>
      <w:bookmarkStart w:id="372" w:name="_Toc303342599"/>
      <w:bookmarkStart w:id="373" w:name="_Toc343682734"/>
      <w:r>
        <w:t xml:space="preserve">Index treatment of </w:t>
      </w:r>
      <w:bookmarkEnd w:id="372"/>
      <w:r>
        <w:t>franking credits</w:t>
      </w:r>
      <w:bookmarkEnd w:id="373"/>
    </w:p>
    <w:p w:rsidR="0006297A" w:rsidRPr="009F0CB0" w:rsidRDefault="0006297A" w:rsidP="0006297A">
      <w:pPr>
        <w:pStyle w:val="RI07-BodyCopy95pt"/>
      </w:pPr>
      <w:r w:rsidRPr="009F0CB0">
        <w:t xml:space="preserve">All dividends considered in the model have been grossed up and assume that the shares have been held for the full 45 days. </w:t>
      </w:r>
    </w:p>
    <w:p w:rsidR="0006297A" w:rsidRDefault="0006297A" w:rsidP="0006297A">
      <w:pPr>
        <w:pStyle w:val="Heading2"/>
      </w:pPr>
      <w:bookmarkStart w:id="374" w:name="_Toc303342600"/>
      <w:bookmarkStart w:id="375" w:name="_Toc343682735"/>
      <w:r>
        <w:t xml:space="preserve">Composite </w:t>
      </w:r>
      <w:bookmarkEnd w:id="374"/>
      <w:r>
        <w:t>yield score</w:t>
      </w:r>
      <w:bookmarkEnd w:id="375"/>
    </w:p>
    <w:p w:rsidR="0006297A" w:rsidRPr="009F0CB0" w:rsidRDefault="0006297A" w:rsidP="0006297A">
      <w:pPr>
        <w:pStyle w:val="RI07-BodyCopy95pt"/>
      </w:pPr>
      <w:r w:rsidRPr="009F0CB0">
        <w:t xml:space="preserve">The Russell Australia High Dividend Index targets not only companies that pay high dividends but also companies that pay high “quality” dividends as measured by the Composite Yield Score. The Composite Yield Score model weighs the following five factors: </w:t>
      </w:r>
    </w:p>
    <w:p w:rsidR="0006297A" w:rsidRPr="009F0CB0" w:rsidRDefault="0006297A" w:rsidP="0006297A">
      <w:pPr>
        <w:pStyle w:val="RI07-BodyCopy95pt"/>
      </w:pPr>
      <w:r w:rsidRPr="009F0CB0">
        <w:t xml:space="preserve">(1) 3-year Average Forecast Dividend, </w:t>
      </w:r>
    </w:p>
    <w:p w:rsidR="0006297A" w:rsidRPr="009F0CB0" w:rsidRDefault="0006297A" w:rsidP="0006297A">
      <w:pPr>
        <w:pStyle w:val="RI07-BodyCopy95pt"/>
      </w:pPr>
      <w:r w:rsidRPr="009F0CB0">
        <w:t xml:space="preserve">(2) 5-year Average Trailing Dividend, </w:t>
      </w:r>
    </w:p>
    <w:p w:rsidR="0006297A" w:rsidRPr="009F0CB0" w:rsidRDefault="0006297A" w:rsidP="0006297A">
      <w:pPr>
        <w:pStyle w:val="RI07-BodyCopy95pt"/>
      </w:pPr>
      <w:r w:rsidRPr="009F0CB0">
        <w:t xml:space="preserve">(3) 3-year Forecast Dividend Growth, </w:t>
      </w:r>
    </w:p>
    <w:p w:rsidR="0006297A" w:rsidRPr="009F0CB0" w:rsidRDefault="0006297A" w:rsidP="0006297A">
      <w:pPr>
        <w:pStyle w:val="RI07-BodyCopy95pt"/>
      </w:pPr>
      <w:r w:rsidRPr="009F0CB0">
        <w:t xml:space="preserve">(4) 3-year trailing dividend growth, and </w:t>
      </w:r>
    </w:p>
    <w:p w:rsidR="0006297A" w:rsidRPr="009F0CB0" w:rsidRDefault="0006297A" w:rsidP="0006297A">
      <w:pPr>
        <w:pStyle w:val="RI07-BodyCopy95pt"/>
      </w:pPr>
      <w:r w:rsidRPr="009F0CB0">
        <w:t xml:space="preserve">(5) 5-year standard deviation of annual Earnings per Share. </w:t>
      </w:r>
    </w:p>
    <w:p w:rsidR="0006297A" w:rsidRPr="009F0CB0" w:rsidRDefault="0006297A" w:rsidP="0006297A">
      <w:pPr>
        <w:pStyle w:val="RI07-BodyCopy95pt"/>
      </w:pPr>
      <w:r w:rsidRPr="009F0CB0">
        <w:lastRenderedPageBreak/>
        <w:t>These factors were selected as proxies for selecting stocks with high forecasted dividends, consistent dividends and a positive dividend growth trajectory.</w:t>
      </w:r>
    </w:p>
    <w:p w:rsidR="0006297A" w:rsidRPr="009F0CB0" w:rsidRDefault="0006297A" w:rsidP="0006297A">
      <w:pPr>
        <w:pStyle w:val="RI07-BodyCopy95pt"/>
      </w:pPr>
      <w:r w:rsidRPr="009F0CB0">
        <w:t xml:space="preserve">The Composite Yield Score Model is focused primarily on penalizing those companies that pay sporadic dividends and also those companies whose dividends have been falling or are likely to fall in the future. By identifying better “quality” and higher growing dividends, the Composite Yield Score Model is designed to avoid one-time dividend payments and also looks to reduce future turnover. </w:t>
      </w:r>
    </w:p>
    <w:p w:rsidR="0006297A" w:rsidRPr="009F0CB0" w:rsidRDefault="0006297A" w:rsidP="0006297A">
      <w:pPr>
        <w:pStyle w:val="RI07-BodyCopy95pt"/>
      </w:pPr>
      <w:r w:rsidRPr="009F0CB0">
        <w:t xml:space="preserve">The factors used in the model are not equally weighted; rather the factors are weighted by their relative importance in achieving the desired outcome. </w:t>
      </w:r>
    </w:p>
    <w:p w:rsidR="0006297A" w:rsidRDefault="0006297A" w:rsidP="0006297A">
      <w:pPr>
        <w:pStyle w:val="RI07-BodyCopy95pt"/>
      </w:pPr>
      <w:r w:rsidRPr="009F0CB0">
        <w:t xml:space="preserve">The methodology for calculating these factors are outlined below. </w:t>
      </w:r>
    </w:p>
    <w:p w:rsidR="0006297A" w:rsidRPr="00AE4DBD" w:rsidRDefault="0006297A" w:rsidP="0006297A">
      <w:pPr>
        <w:pStyle w:val="Heading2"/>
      </w:pPr>
      <w:bookmarkStart w:id="376" w:name="_Toc252456804"/>
      <w:bookmarkStart w:id="377" w:name="_Toc343682736"/>
      <w:r w:rsidRPr="00AE4DBD">
        <w:t xml:space="preserve">3 </w:t>
      </w:r>
      <w:r>
        <w:t>y</w:t>
      </w:r>
      <w:r w:rsidRPr="00AE4DBD">
        <w:t xml:space="preserve">ear </w:t>
      </w:r>
      <w:r>
        <w:t>a</w:t>
      </w:r>
      <w:r w:rsidRPr="00AE4DBD">
        <w:t xml:space="preserve">verage </w:t>
      </w:r>
      <w:r>
        <w:t>f</w:t>
      </w:r>
      <w:r w:rsidRPr="00AE4DBD">
        <w:t xml:space="preserve">orecast </w:t>
      </w:r>
      <w:r>
        <w:t>d</w:t>
      </w:r>
      <w:r w:rsidRPr="00AE4DBD">
        <w:t>ividend</w:t>
      </w:r>
      <w:bookmarkEnd w:id="376"/>
      <w:bookmarkEnd w:id="377"/>
    </w:p>
    <w:p w:rsidR="0006297A" w:rsidRPr="009F0CB0" w:rsidRDefault="0006297A" w:rsidP="0006297A">
      <w:pPr>
        <w:pStyle w:val="RI07-BodyCopy95pt"/>
      </w:pPr>
      <w:r w:rsidRPr="009F0CB0">
        <w:t xml:space="preserve">This is computed as the average of consensus analysts’ median predicted dividends for the current fiscal year 1, 2 and 3 divided by the most recent price. Three year forecasted dividends are utilized to avoid companies that are unlikely pay out dividends consistently in the future, which will help to reduce future turnover. </w:t>
      </w:r>
    </w:p>
    <w:p w:rsidR="0006297A" w:rsidRPr="009F0CB0" w:rsidRDefault="0006297A" w:rsidP="0006297A">
      <w:pPr>
        <w:pStyle w:val="RI07-BodyCopy95pt"/>
      </w:pPr>
      <w:r w:rsidRPr="009F0CB0">
        <w:t>It is calculated as follows:</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object w:dxaOrig="2799" w:dyaOrig="960">
          <v:shape id="_x0000_i1039" type="#_x0000_t75" style="width:156.75pt;height:43.5pt" o:ole="">
            <v:imagedata r:id="rId46" o:title=""/>
          </v:shape>
          <o:OLEObject Type="Embed" ProgID="Equation.3" ShapeID="_x0000_i1039" DrawAspect="Content" ObjectID="_1422442084" r:id="rId47"/>
        </w:object>
      </w:r>
      <w:r w:rsidR="00962308" w:rsidRPr="00962308">
        <w:rPr>
          <w:rFonts w:ascii="Calibri" w:hAnsi="Calibri"/>
          <w:noProof/>
          <w:szCs w:val="22"/>
        </w:rPr>
        <w:pict>
          <v:shape id="_x0000_s1123" type="#_x0000_t75" style="position:absolute;margin-left:0;margin-top:.55pt;width:9pt;height:17.25pt;z-index:251659264;mso-position-horizontal:left;mso-position-horizontal-relative:text;mso-position-vertical-relative:text">
            <v:imagedata r:id="rId48" o:title=""/>
            <w10:wrap type="square" side="right"/>
          </v:shape>
          <o:OLEObject Type="Embed" ProgID="Equation.3" ShapeID="_x0000_s1123" DrawAspect="Content" ObjectID="_1422442089" r:id="rId49"/>
        </w:pict>
      </w:r>
      <w:r w:rsidRPr="00AE4DBD">
        <w:rPr>
          <w:rFonts w:ascii="Arial" w:hAnsi="Arial" w:cs="Arial"/>
          <w:color w:val="5F6062"/>
          <w:sz w:val="19"/>
          <w:szCs w:val="19"/>
        </w:rPr>
        <w:br w:type="textWrapping" w:clear="all"/>
        <w:t xml:space="preserve">Where: </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t>Div</w:t>
      </w:r>
      <w:r w:rsidRPr="0036603E">
        <w:rPr>
          <w:rFonts w:ascii="Arial" w:hAnsi="Arial" w:cs="Arial"/>
          <w:color w:val="5F6062"/>
          <w:sz w:val="19"/>
          <w:szCs w:val="19"/>
          <w:vertAlign w:val="subscript"/>
        </w:rPr>
        <w:t>FY</w:t>
      </w:r>
      <w:r w:rsidRPr="00AE4DBD">
        <w:rPr>
          <w:rFonts w:ascii="Arial" w:hAnsi="Arial" w:cs="Arial"/>
          <w:color w:val="5F6062"/>
          <w:sz w:val="19"/>
          <w:szCs w:val="19"/>
        </w:rPr>
        <w:t xml:space="preserve"> = Forecasted dividend per share (grossed up) in Fiscal Year. </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t>P</w:t>
      </w:r>
      <w:r w:rsidRPr="0036603E">
        <w:rPr>
          <w:rFonts w:ascii="Arial" w:hAnsi="Arial" w:cs="Arial"/>
          <w:color w:val="5F6062"/>
          <w:sz w:val="19"/>
          <w:szCs w:val="19"/>
          <w:vertAlign w:val="subscript"/>
        </w:rPr>
        <w:t>t</w:t>
      </w:r>
      <w:r w:rsidRPr="00AE4DBD">
        <w:rPr>
          <w:rFonts w:ascii="Arial" w:hAnsi="Arial" w:cs="Arial"/>
          <w:color w:val="5F6062"/>
          <w:sz w:val="19"/>
          <w:szCs w:val="19"/>
        </w:rPr>
        <w:t xml:space="preserve"> = Current Price </w:t>
      </w:r>
    </w:p>
    <w:p w:rsidR="0006297A" w:rsidRPr="00AE4DBD" w:rsidRDefault="0006297A" w:rsidP="0006297A">
      <w:pPr>
        <w:pStyle w:val="Heading2"/>
      </w:pPr>
      <w:bookmarkStart w:id="378" w:name="_Toc252456805"/>
      <w:bookmarkStart w:id="379" w:name="_Toc343682737"/>
      <w:r w:rsidRPr="00AE4DBD">
        <w:t xml:space="preserve">5 </w:t>
      </w:r>
      <w:r>
        <w:t>y</w:t>
      </w:r>
      <w:r w:rsidRPr="00AE4DBD">
        <w:t xml:space="preserve">ear </w:t>
      </w:r>
      <w:r>
        <w:t>a</w:t>
      </w:r>
      <w:r w:rsidRPr="00AE4DBD">
        <w:t xml:space="preserve">verage </w:t>
      </w:r>
      <w:r>
        <w:t>t</w:t>
      </w:r>
      <w:r w:rsidRPr="00AE4DBD">
        <w:t xml:space="preserve">railing </w:t>
      </w:r>
      <w:r>
        <w:t>d</w:t>
      </w:r>
      <w:r w:rsidRPr="00AE4DBD">
        <w:t>ividend</w:t>
      </w:r>
      <w:bookmarkEnd w:id="378"/>
      <w:bookmarkEnd w:id="379"/>
    </w:p>
    <w:p w:rsidR="0006297A" w:rsidRPr="009F0CB0" w:rsidRDefault="0006297A" w:rsidP="0006297A">
      <w:pPr>
        <w:pStyle w:val="RI07-BodyCopy95pt"/>
      </w:pPr>
      <w:r w:rsidRPr="009F0CB0">
        <w:t>This is computed as the average dividend yield over the previous five fiscal years. Trailing dividends are utilized to provide an indication of a company’s ability to pay dividends in the future.</w:t>
      </w:r>
    </w:p>
    <w:p w:rsidR="0006297A" w:rsidRPr="009F0CB0" w:rsidRDefault="0006297A" w:rsidP="0006297A">
      <w:pPr>
        <w:pStyle w:val="RI07-BodyCopy95pt"/>
      </w:pPr>
      <w:r w:rsidRPr="009F0CB0">
        <w:t xml:space="preserve">Five year trailing dividend yields are utilized to avoid companies that are unlikely pay out dividends consistently in the future, which will help to reduce future turnover. </w:t>
      </w:r>
    </w:p>
    <w:p w:rsidR="0006297A" w:rsidRPr="009F0CB0" w:rsidRDefault="0006297A" w:rsidP="0006297A">
      <w:pPr>
        <w:pStyle w:val="RI07-BodyCopy95pt"/>
      </w:pPr>
      <w:r w:rsidRPr="009F0CB0">
        <w:t>It is calculated as follows:</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tab/>
        <w:t xml:space="preserve">Dividends Per Share-Five Year Average </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tab/>
        <w:t>Market Price-Five Year Average Close</w:t>
      </w:r>
    </w:p>
    <w:p w:rsidR="0006297A" w:rsidRPr="00AE4DBD" w:rsidRDefault="0006297A" w:rsidP="0006297A">
      <w:pPr>
        <w:pStyle w:val="Heading2"/>
      </w:pPr>
      <w:bookmarkStart w:id="380" w:name="_Toc252456806"/>
      <w:bookmarkStart w:id="381" w:name="_Toc343682738"/>
      <w:r w:rsidRPr="00AE4DBD">
        <w:t xml:space="preserve">3 </w:t>
      </w:r>
      <w:r>
        <w:t>y</w:t>
      </w:r>
      <w:r w:rsidRPr="00AE4DBD">
        <w:t>ear </w:t>
      </w:r>
      <w:r>
        <w:t>f</w:t>
      </w:r>
      <w:r w:rsidRPr="00AE4DBD">
        <w:t xml:space="preserve">orecast </w:t>
      </w:r>
      <w:r>
        <w:t>d</w:t>
      </w:r>
      <w:r w:rsidRPr="00AE4DBD">
        <w:t xml:space="preserve">ividend </w:t>
      </w:r>
      <w:r>
        <w:t>g</w:t>
      </w:r>
      <w:r w:rsidRPr="00AE4DBD">
        <w:t>rowth</w:t>
      </w:r>
      <w:bookmarkEnd w:id="380"/>
      <w:bookmarkEnd w:id="381"/>
    </w:p>
    <w:p w:rsidR="0006297A" w:rsidRPr="009F0CB0" w:rsidRDefault="0006297A" w:rsidP="0006297A">
      <w:pPr>
        <w:pStyle w:val="RI07-BodyCopy95pt"/>
      </w:pPr>
      <w:r w:rsidRPr="009F0CB0">
        <w:t xml:space="preserve">This is computed as the growth in grossed up dividends per share from fiscal year one to fiscal year three. The inclusion of this factor helps to identify the trajectory of the three year average forecasted dividend yield. </w:t>
      </w:r>
    </w:p>
    <w:p w:rsidR="0006297A" w:rsidRPr="009F0CB0" w:rsidRDefault="0006297A" w:rsidP="0006297A">
      <w:pPr>
        <w:pStyle w:val="RI07-BodyCopy95pt"/>
      </w:pPr>
      <w:r w:rsidRPr="009F0CB0">
        <w:t>It is calculated as follows:</w:t>
      </w:r>
    </w:p>
    <w:p w:rsidR="0006297A"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object w:dxaOrig="1620" w:dyaOrig="680">
          <v:shape id="_x0000_i1041" type="#_x0000_t75" style="width:99.75pt;height:32.25pt" o:ole="">
            <v:imagedata r:id="rId50" o:title=""/>
          </v:shape>
          <o:OLEObject Type="Embed" ProgID="Equation.3" ShapeID="_x0000_i1041" DrawAspect="Content" ObjectID="_1422442085" r:id="rId51"/>
        </w:object>
      </w:r>
      <w:r w:rsidR="00962308" w:rsidRPr="00962308">
        <w:rPr>
          <w:rFonts w:ascii="Calibri" w:hAnsi="Calibri"/>
          <w:noProof/>
          <w:szCs w:val="22"/>
        </w:rPr>
        <w:pict>
          <v:shape id="_x0000_s1124" type="#_x0000_t75" style="position:absolute;margin-left:0;margin-top:.55pt;width:9pt;height:17.25pt;z-index:251660288;mso-position-horizontal:left;mso-position-horizontal-relative:text;mso-position-vertical-relative:text">
            <v:imagedata r:id="rId48" o:title=""/>
            <w10:wrap type="square" side="right"/>
          </v:shape>
          <o:OLEObject Type="Embed" ProgID="Equation.3" ShapeID="_x0000_s1124" DrawAspect="Content" ObjectID="_1422442090" r:id="rId52"/>
        </w:pict>
      </w:r>
    </w:p>
    <w:p w:rsidR="0006297A" w:rsidRPr="009F0CB0" w:rsidRDefault="0006297A" w:rsidP="0006297A">
      <w:pPr>
        <w:pStyle w:val="RI07-BodyCopy95pt"/>
      </w:pPr>
      <w:r w:rsidRPr="009F0CB0">
        <w:t xml:space="preserve">Where: </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t>Div</w:t>
      </w:r>
      <w:r w:rsidRPr="00BF4C75">
        <w:rPr>
          <w:rFonts w:ascii="Arial" w:hAnsi="Arial" w:cs="Arial"/>
          <w:color w:val="5F6062"/>
          <w:sz w:val="19"/>
          <w:szCs w:val="19"/>
          <w:vertAlign w:val="subscript"/>
        </w:rPr>
        <w:t>FY</w:t>
      </w:r>
      <w:r w:rsidRPr="00AE4DBD">
        <w:rPr>
          <w:rFonts w:ascii="Arial" w:hAnsi="Arial" w:cs="Arial"/>
          <w:color w:val="5F6062"/>
          <w:sz w:val="19"/>
          <w:szCs w:val="19"/>
        </w:rPr>
        <w:t xml:space="preserve"> = Forecasted dividend per share (grossed up) in Fiscal Year. </w:t>
      </w:r>
    </w:p>
    <w:p w:rsidR="0006297A" w:rsidRPr="00AE4DBD" w:rsidRDefault="0006297A" w:rsidP="0006297A">
      <w:pPr>
        <w:pStyle w:val="Heading2"/>
        <w:pageBreakBefore/>
      </w:pPr>
      <w:bookmarkStart w:id="382" w:name="_Toc252456807"/>
      <w:bookmarkStart w:id="383" w:name="_Toc343682739"/>
      <w:bookmarkStart w:id="384" w:name="OLE_LINK1"/>
      <w:bookmarkStart w:id="385" w:name="OLE_LINK2"/>
      <w:r w:rsidRPr="00AE4DBD">
        <w:lastRenderedPageBreak/>
        <w:t xml:space="preserve">3 </w:t>
      </w:r>
      <w:r>
        <w:t>y</w:t>
      </w:r>
      <w:r w:rsidRPr="00AE4DBD">
        <w:t>ear </w:t>
      </w:r>
      <w:r>
        <w:t>t</w:t>
      </w:r>
      <w:r w:rsidRPr="00AE4DBD">
        <w:t xml:space="preserve">railing </w:t>
      </w:r>
      <w:r>
        <w:t>d</w:t>
      </w:r>
      <w:r w:rsidRPr="00AE4DBD">
        <w:t xml:space="preserve">ividend </w:t>
      </w:r>
      <w:r>
        <w:t>g</w:t>
      </w:r>
      <w:r w:rsidRPr="00AE4DBD">
        <w:t>rowth</w:t>
      </w:r>
      <w:bookmarkEnd w:id="382"/>
      <w:bookmarkEnd w:id="383"/>
    </w:p>
    <w:p w:rsidR="0006297A" w:rsidRPr="009F0CB0" w:rsidRDefault="0006297A" w:rsidP="0006297A">
      <w:pPr>
        <w:pStyle w:val="RI07-BodyCopy95pt"/>
      </w:pPr>
      <w:r w:rsidRPr="009F0CB0">
        <w:t xml:space="preserve">This is computed as the growth in grossed up dividends per share over the past 3 years. The inclusion of this factor helps to identify the trailing trajectory of the average dividend yield. </w:t>
      </w:r>
    </w:p>
    <w:bookmarkEnd w:id="384"/>
    <w:bookmarkEnd w:id="385"/>
    <w:p w:rsidR="0006297A" w:rsidRPr="009F0CB0" w:rsidRDefault="0006297A" w:rsidP="0006297A">
      <w:pPr>
        <w:pStyle w:val="RI07-BodyCopy95pt"/>
      </w:pPr>
      <w:r w:rsidRPr="009F0CB0">
        <w:t>It is calculated as follows:</w:t>
      </w:r>
    </w:p>
    <w:p w:rsidR="0006297A" w:rsidRPr="009F0CB0" w:rsidRDefault="0006297A" w:rsidP="0006297A">
      <w:pPr>
        <w:spacing w:after="100" w:line="260" w:lineRule="atLeast"/>
        <w:rPr>
          <w:rFonts w:ascii="Arial" w:hAnsi="Arial"/>
          <w:color w:val="5F6062"/>
          <w:sz w:val="19"/>
        </w:rPr>
      </w:pPr>
      <w:r w:rsidRPr="00AE4DBD">
        <w:rPr>
          <w:rFonts w:ascii="Arial" w:hAnsi="Arial" w:cs="Arial"/>
          <w:color w:val="5F6062"/>
          <w:sz w:val="19"/>
          <w:szCs w:val="19"/>
        </w:rPr>
        <w:object w:dxaOrig="1740" w:dyaOrig="680">
          <v:shape id="_x0000_i1043" type="#_x0000_t75" style="width:114pt;height:32.25pt" o:ole="">
            <v:imagedata r:id="rId53" o:title=""/>
          </v:shape>
          <o:OLEObject Type="Embed" ProgID="Equation.3" ShapeID="_x0000_i1043" DrawAspect="Content" ObjectID="_1422442086" r:id="rId54"/>
        </w:object>
      </w:r>
      <w:r w:rsidR="00962308" w:rsidRPr="00962308">
        <w:rPr>
          <w:rFonts w:ascii="Calibri" w:hAnsi="Calibri"/>
          <w:noProof/>
        </w:rPr>
        <w:pict>
          <v:shape id="_x0000_s1125" type="#_x0000_t75" style="position:absolute;margin-left:0;margin-top:.55pt;width:9pt;height:17.25pt;z-index:251661312;mso-position-horizontal:left;mso-position-horizontal-relative:text;mso-position-vertical-relative:text">
            <v:imagedata r:id="rId48" o:title=""/>
            <w10:wrap type="square" side="right"/>
          </v:shape>
          <o:OLEObject Type="Embed" ProgID="Equation.3" ShapeID="_x0000_s1125" DrawAspect="Content" ObjectID="_1422442091" r:id="rId55"/>
        </w:pict>
      </w:r>
      <w:r w:rsidRPr="00AE4DBD">
        <w:rPr>
          <w:rFonts w:ascii="Arial" w:hAnsi="Arial" w:cs="Arial"/>
          <w:color w:val="5F6062"/>
          <w:sz w:val="19"/>
          <w:szCs w:val="19"/>
        </w:rPr>
        <w:br w:type="textWrapping" w:clear="all"/>
      </w:r>
      <w:r w:rsidRPr="009F0CB0">
        <w:rPr>
          <w:rFonts w:ascii="Arial" w:hAnsi="Arial"/>
          <w:color w:val="5F6062"/>
          <w:sz w:val="19"/>
        </w:rPr>
        <w:t xml:space="preserve">Where: </w:t>
      </w:r>
    </w:p>
    <w:p w:rsidR="0006297A" w:rsidRPr="00AE4DBD" w:rsidRDefault="0006297A" w:rsidP="0006297A">
      <w:pPr>
        <w:spacing w:after="100" w:line="260" w:lineRule="atLeast"/>
        <w:rPr>
          <w:rFonts w:ascii="Arial" w:hAnsi="Arial" w:cs="Arial"/>
          <w:color w:val="5F6062"/>
          <w:sz w:val="19"/>
          <w:szCs w:val="19"/>
        </w:rPr>
      </w:pPr>
      <w:r w:rsidRPr="00AE4DBD">
        <w:rPr>
          <w:rFonts w:ascii="Arial" w:hAnsi="Arial" w:cs="Arial"/>
          <w:color w:val="5F6062"/>
          <w:sz w:val="19"/>
          <w:szCs w:val="19"/>
        </w:rPr>
        <w:t>Div</w:t>
      </w:r>
      <w:r w:rsidRPr="00BF4C75">
        <w:rPr>
          <w:rFonts w:ascii="Arial" w:hAnsi="Arial" w:cs="Arial"/>
          <w:color w:val="5F6062"/>
          <w:sz w:val="19"/>
          <w:szCs w:val="19"/>
          <w:vertAlign w:val="subscript"/>
        </w:rPr>
        <w:t>FY</w:t>
      </w:r>
      <w:r w:rsidRPr="00AE4DBD">
        <w:rPr>
          <w:rFonts w:ascii="Arial" w:hAnsi="Arial" w:cs="Arial"/>
          <w:color w:val="5F6062"/>
          <w:sz w:val="19"/>
          <w:szCs w:val="19"/>
        </w:rPr>
        <w:t xml:space="preserve"> = Dividend per share (grossed up) in Fiscal Year. </w:t>
      </w:r>
    </w:p>
    <w:p w:rsidR="0006297A" w:rsidRPr="00AE4DBD" w:rsidRDefault="0006297A" w:rsidP="0006297A">
      <w:pPr>
        <w:pStyle w:val="Heading2"/>
      </w:pPr>
      <w:bookmarkStart w:id="386" w:name="_Toc303342605"/>
      <w:bookmarkStart w:id="387" w:name="_Toc343682740"/>
      <w:r w:rsidRPr="00AE4DBD">
        <w:t>5 year standard deviation of annual EPS</w:t>
      </w:r>
      <w:bookmarkEnd w:id="386"/>
      <w:bookmarkEnd w:id="387"/>
    </w:p>
    <w:p w:rsidR="0006297A" w:rsidRPr="009F0CB0" w:rsidRDefault="0006297A" w:rsidP="0006297A">
      <w:pPr>
        <w:pStyle w:val="RI07-BodyCopy95pt"/>
      </w:pPr>
      <w:r w:rsidRPr="009F0CB0">
        <w:t xml:space="preserve">This is computed as the standard deviation of annual EPS (fiscal year) over the trailing 5 years. This measure is included to help avoid value traps and identify companies with less cyclical earnings patterns. </w:t>
      </w:r>
    </w:p>
    <w:p w:rsidR="0006297A" w:rsidRDefault="0006297A" w:rsidP="0006297A">
      <w:pPr>
        <w:pStyle w:val="Heading2"/>
      </w:pPr>
      <w:bookmarkStart w:id="388" w:name="_Toc303342606"/>
      <w:bookmarkStart w:id="389" w:name="_Toc343682741"/>
      <w:r>
        <w:t xml:space="preserve">Factor </w:t>
      </w:r>
      <w:bookmarkEnd w:id="388"/>
      <w:r>
        <w:t>scoring</w:t>
      </w:r>
      <w:bookmarkEnd w:id="389"/>
    </w:p>
    <w:p w:rsidR="0006297A" w:rsidRPr="009F0CB0" w:rsidRDefault="0006297A" w:rsidP="0006297A">
      <w:pPr>
        <w:pStyle w:val="RI07-BodyCopy95pt"/>
      </w:pPr>
      <w:r w:rsidRPr="009F0CB0">
        <w:t xml:space="preserve">In measuring a company’s exposure to a particular factor we have used standardized scores. Standardized scores, or normalization, allow each company’s factors to be converted to a common scale which can be easily interpreted and comparable. </w:t>
      </w:r>
    </w:p>
    <w:p w:rsidR="0006297A" w:rsidRPr="009F0CB0" w:rsidRDefault="0006297A" w:rsidP="0006297A">
      <w:pPr>
        <w:pStyle w:val="RI07-BodyCopy95pt"/>
      </w:pPr>
      <w:r w:rsidRPr="009F0CB0">
        <w:t xml:space="preserve">Using the Forecasted Dividend Yield as an example, we calculate the difference between observed company’s Forecasted Dividend Yield and the universe’s weighted average Forecasted Dividend Yield and then divide the difference by the universe’s Forecasted Dividend Yield standard deviation. </w:t>
      </w:r>
    </w:p>
    <w:p w:rsidR="0006297A" w:rsidRPr="00B0010E" w:rsidRDefault="0006297A" w:rsidP="0006297A">
      <w:pPr>
        <w:pStyle w:val="Heading2"/>
      </w:pPr>
      <w:bookmarkStart w:id="390" w:name="_Toc303342607"/>
      <w:bookmarkStart w:id="391" w:name="_Toc343682742"/>
      <w:r w:rsidRPr="00B0010E">
        <w:t xml:space="preserve">Forecasted </w:t>
      </w:r>
      <w:bookmarkEnd w:id="390"/>
      <w:r>
        <w:t>d</w:t>
      </w:r>
      <w:r w:rsidRPr="00B0010E">
        <w:t xml:space="preserve">ividend </w:t>
      </w:r>
      <w:r>
        <w:t>y</w:t>
      </w:r>
      <w:r w:rsidRPr="00B0010E">
        <w:t>ield</w:t>
      </w:r>
      <w:r>
        <w:t xml:space="preserve"> standardized s</w:t>
      </w:r>
      <w:r w:rsidRPr="00B0010E">
        <w:t>core</w:t>
      </w:r>
      <w:bookmarkEnd w:id="391"/>
    </w:p>
    <w:p w:rsidR="0006297A" w:rsidRPr="00B0010E" w:rsidRDefault="0006297A" w:rsidP="0006297A">
      <w:pPr>
        <w:rPr>
          <w:rFonts w:ascii="Arial" w:hAnsi="Arial" w:cs="Arial"/>
          <w:color w:val="5F6062"/>
          <w:sz w:val="19"/>
          <w:szCs w:val="19"/>
        </w:rPr>
      </w:pPr>
    </w:p>
    <w:p w:rsidR="0006297A" w:rsidRDefault="00962308" w:rsidP="0006297A">
      <w:pPr>
        <w:spacing w:after="100" w:line="260" w:lineRule="atLeast"/>
        <w:rPr>
          <w:rFonts w:ascii="Arial" w:hAnsi="Arial" w:cs="Arial"/>
          <w:color w:val="5F6062"/>
          <w:sz w:val="19"/>
          <w:szCs w:val="19"/>
        </w:rPr>
      </w:pPr>
      <w:r w:rsidRPr="00962308">
        <w:rPr>
          <w:rFonts w:ascii="Calibri" w:hAnsi="Calibri"/>
          <w:noProof/>
          <w:szCs w:val="22"/>
        </w:rPr>
        <w:pict>
          <v:shape id="_x0000_s1122" type="#_x0000_t75" style="position:absolute;margin-left:0;margin-top:1.2pt;width:162.95pt;height:32.25pt;z-index:251658240;mso-position-horizontal:left">
            <v:imagedata r:id="rId56" o:title=""/>
            <w10:wrap type="square" side="right"/>
          </v:shape>
          <o:OLEObject Type="Embed" ProgID="Equation.3" ShapeID="_x0000_s1122" DrawAspect="Content" ObjectID="_1422442092" r:id="rId57"/>
        </w:pict>
      </w:r>
    </w:p>
    <w:p w:rsidR="0006297A" w:rsidRDefault="0006297A" w:rsidP="0006297A">
      <w:pPr>
        <w:spacing w:after="100" w:line="260" w:lineRule="atLeast"/>
        <w:rPr>
          <w:rFonts w:ascii="Arial" w:hAnsi="Arial" w:cs="Arial"/>
          <w:color w:val="5F6062"/>
          <w:sz w:val="19"/>
          <w:szCs w:val="19"/>
        </w:rPr>
      </w:pPr>
    </w:p>
    <w:p w:rsidR="0006297A" w:rsidRPr="009F0CB0" w:rsidRDefault="0006297A" w:rsidP="0006297A">
      <w:pPr>
        <w:pStyle w:val="RI07-BodyCopy95pt"/>
      </w:pPr>
      <w:r w:rsidRPr="009F0CB0">
        <w:t>The use of standardized scores provides a simple measure of how many “standard deviations” an observation is away from the expected value; in this case the expected value is the capitalization weighted mean yield of the universe. For the Forecasted Dividend Yield, using a universe capitalization weighted mean of 5.5%, with a universe standard deviation of 2.8%, a company with a forecasted dividend yield 2.7% would produce a standardized score of -1. In other words, this company’s dividend yield is one standard deviation below the universe average or alternatively is in the bottom quintile (16th percentile) of the universe.</w:t>
      </w:r>
    </w:p>
    <w:p w:rsidR="0006297A" w:rsidRPr="004157D2" w:rsidRDefault="0006297A" w:rsidP="0006297A">
      <w:pPr>
        <w:pStyle w:val="Heading2"/>
      </w:pPr>
      <w:bookmarkStart w:id="392" w:name="_Toc303342608"/>
      <w:bookmarkStart w:id="393" w:name="_Toc252456809"/>
      <w:bookmarkStart w:id="394" w:name="_Toc343682743"/>
      <w:r w:rsidRPr="004157D2">
        <w:t xml:space="preserve">Calculating the </w:t>
      </w:r>
      <w:r>
        <w:t>u</w:t>
      </w:r>
      <w:r w:rsidRPr="004157D2">
        <w:t xml:space="preserve">niverse </w:t>
      </w:r>
      <w:r>
        <w:t>m</w:t>
      </w:r>
      <w:r w:rsidRPr="004157D2">
        <w:t xml:space="preserve">ean and </w:t>
      </w:r>
      <w:bookmarkEnd w:id="392"/>
      <w:r>
        <w:t>s</w:t>
      </w:r>
      <w:r w:rsidRPr="004157D2">
        <w:t xml:space="preserve">tandard </w:t>
      </w:r>
      <w:r>
        <w:t>d</w:t>
      </w:r>
      <w:r w:rsidRPr="004157D2">
        <w:t>eviation</w:t>
      </w:r>
      <w:bookmarkEnd w:id="393"/>
      <w:bookmarkEnd w:id="394"/>
    </w:p>
    <w:p w:rsidR="0006297A" w:rsidRPr="009F0CB0" w:rsidRDefault="0006297A" w:rsidP="0006297A">
      <w:pPr>
        <w:pStyle w:val="RI07-BodyCopy95pt"/>
      </w:pPr>
      <w:r w:rsidRPr="009F0CB0">
        <w:t xml:space="preserve">The Z-scores are calculated using a capitalization weighted universe mean and an equally weighted universe standard deviation. </w:t>
      </w:r>
    </w:p>
    <w:p w:rsidR="0006297A" w:rsidRPr="009F0CB0" w:rsidRDefault="0006297A" w:rsidP="0006297A">
      <w:pPr>
        <w:pStyle w:val="RI07-BodyCopy95pt"/>
      </w:pPr>
      <w:r w:rsidRPr="009F0CB0">
        <w:t xml:space="preserve">The capitalization weighted mean is used </w:t>
      </w:r>
      <w:r>
        <w:t>because</w:t>
      </w:r>
      <w:r w:rsidRPr="009F0CB0">
        <w:t xml:space="preserve"> it is the objective that we are trying to beat (i.e. greater dividend yield than the market). We try to illustrate this in the bell chart below where we have plotted the equal weighted mean (blue line) and assumed a capitalization weighted mean (orange line). The deviation we are concerned with, and want to capture, is the deviation away from </w:t>
      </w:r>
      <w:r>
        <w:t xml:space="preserve">the </w:t>
      </w:r>
      <w:r w:rsidRPr="009F0CB0">
        <w:t>capitalization weighted mean.</w:t>
      </w:r>
    </w:p>
    <w:p w:rsidR="0006297A" w:rsidRPr="00B0010E" w:rsidRDefault="0092511C" w:rsidP="0006297A">
      <w:pPr>
        <w:spacing w:after="100" w:line="260" w:lineRule="atLeast"/>
        <w:rPr>
          <w:rFonts w:ascii="Arial" w:hAnsi="Arial" w:cs="Arial"/>
          <w:color w:val="5F6062"/>
          <w:sz w:val="19"/>
          <w:szCs w:val="19"/>
        </w:rPr>
      </w:pPr>
      <w:r w:rsidRPr="00962308">
        <w:rPr>
          <w:rFonts w:ascii="Arial" w:hAnsi="Arial" w:cs="Arial"/>
          <w:noProof/>
          <w:color w:val="5F6062"/>
          <w:sz w:val="19"/>
          <w:szCs w:val="19"/>
          <w:lang w:val="en-US"/>
        </w:rPr>
        <w:lastRenderedPageBreak/>
        <w:pict>
          <v:shape id="Picture 20" o:spid="_x0000_i1046" type="#_x0000_t75" style="width:330pt;height:202.5pt;visibility:visible">
            <v:imagedata r:id="rId58" o:title=""/>
          </v:shape>
        </w:pict>
      </w:r>
    </w:p>
    <w:p w:rsidR="0006297A" w:rsidRDefault="0006297A" w:rsidP="0006297A">
      <w:pPr>
        <w:spacing w:after="100" w:line="260" w:lineRule="atLeast"/>
        <w:rPr>
          <w:rFonts w:ascii="Arial" w:hAnsi="Arial" w:cs="Arial"/>
          <w:color w:val="5F6062"/>
          <w:sz w:val="19"/>
          <w:szCs w:val="19"/>
        </w:rPr>
      </w:pPr>
      <w:r w:rsidRPr="009F0CB0">
        <w:rPr>
          <w:rFonts w:ascii="Arial" w:hAnsi="Arial"/>
          <w:color w:val="5F6062"/>
          <w:sz w:val="19"/>
        </w:rPr>
        <w:t>The equal weighting on the standard deviations is used to better capture the underlying range of the variables and to reduce the dominance of large capitalization stocks determining the range size (see Adams, Lin and Ross 2002)</w:t>
      </w:r>
      <w:r w:rsidRPr="00B0010E">
        <w:rPr>
          <w:rFonts w:ascii="Arial" w:hAnsi="Arial" w:cs="Arial"/>
          <w:color w:val="5F6062"/>
          <w:sz w:val="19"/>
          <w:szCs w:val="19"/>
        </w:rPr>
        <w:t>.</w:t>
      </w:r>
      <w:r>
        <w:rPr>
          <w:rStyle w:val="FootnoteReference"/>
          <w:rFonts w:cs="Arial"/>
          <w:color w:val="5F6062"/>
          <w:sz w:val="19"/>
          <w:szCs w:val="19"/>
        </w:rPr>
        <w:footnoteReference w:id="29"/>
      </w:r>
    </w:p>
    <w:p w:rsidR="0006297A" w:rsidRPr="00B0010E" w:rsidRDefault="0006297A" w:rsidP="0006297A">
      <w:pPr>
        <w:spacing w:after="100" w:line="260" w:lineRule="atLeast"/>
        <w:rPr>
          <w:rFonts w:ascii="Arial" w:hAnsi="Arial" w:cs="Arial"/>
          <w:color w:val="5F6062"/>
          <w:sz w:val="19"/>
          <w:szCs w:val="19"/>
        </w:rPr>
      </w:pPr>
    </w:p>
    <w:p w:rsidR="0006297A" w:rsidRPr="00BF4C75" w:rsidRDefault="0006297A" w:rsidP="0006297A">
      <w:pPr>
        <w:spacing w:after="100" w:line="260" w:lineRule="atLeast"/>
        <w:rPr>
          <w:rFonts w:ascii="Arial" w:hAnsi="Arial" w:cs="Arial"/>
          <w:b/>
          <w:color w:val="5F6062"/>
          <w:sz w:val="19"/>
          <w:szCs w:val="19"/>
        </w:rPr>
      </w:pPr>
      <w:r w:rsidRPr="00BF4C75">
        <w:rPr>
          <w:rFonts w:ascii="Arial" w:hAnsi="Arial" w:cs="Arial"/>
          <w:b/>
          <w:color w:val="5F6062"/>
          <w:sz w:val="19"/>
          <w:szCs w:val="19"/>
        </w:rPr>
        <w:t>Capitalization Weighted Mean</w:t>
      </w:r>
    </w:p>
    <w:p w:rsidR="0006297A" w:rsidRDefault="0006297A" w:rsidP="0006297A">
      <w:pPr>
        <w:spacing w:after="100" w:line="260" w:lineRule="atLeast"/>
        <w:rPr>
          <w:rFonts w:ascii="Arial" w:hAnsi="Arial" w:cs="Arial"/>
          <w:color w:val="5F6062"/>
          <w:sz w:val="19"/>
          <w:szCs w:val="19"/>
        </w:rPr>
      </w:pPr>
      <w:r w:rsidRPr="00B0010E">
        <w:rPr>
          <w:rFonts w:ascii="Arial" w:hAnsi="Arial" w:cs="Arial"/>
          <w:color w:val="5F6062"/>
          <w:sz w:val="19"/>
          <w:szCs w:val="19"/>
        </w:rPr>
        <w:object w:dxaOrig="2100" w:dyaOrig="400">
          <v:shape id="_x0000_i1047" type="#_x0000_t75" style="width:152.25pt;height:19.5pt" o:ole="">
            <v:imagedata r:id="rId59" o:title=""/>
          </v:shape>
          <o:OLEObject Type="Embed" ProgID="Equation.3" ShapeID="_x0000_i1047" DrawAspect="Content" ObjectID="_1422442087" r:id="rId60"/>
        </w:object>
      </w:r>
    </w:p>
    <w:p w:rsidR="0006297A" w:rsidRPr="00B0010E" w:rsidRDefault="0006297A" w:rsidP="0006297A">
      <w:pPr>
        <w:spacing w:after="100" w:line="260" w:lineRule="atLeast"/>
        <w:rPr>
          <w:rFonts w:ascii="Arial" w:hAnsi="Arial" w:cs="Arial"/>
          <w:color w:val="5F6062"/>
          <w:sz w:val="19"/>
          <w:szCs w:val="19"/>
        </w:rPr>
      </w:pPr>
    </w:p>
    <w:p w:rsidR="0006297A" w:rsidRPr="00BF4C75" w:rsidRDefault="0006297A" w:rsidP="0006297A">
      <w:pPr>
        <w:spacing w:after="100" w:line="260" w:lineRule="atLeast"/>
        <w:rPr>
          <w:rFonts w:ascii="Arial" w:hAnsi="Arial" w:cs="Arial"/>
          <w:b/>
          <w:color w:val="5F6062"/>
          <w:sz w:val="19"/>
          <w:szCs w:val="19"/>
        </w:rPr>
      </w:pPr>
      <w:r w:rsidRPr="00BF4C75">
        <w:rPr>
          <w:rFonts w:ascii="Arial" w:hAnsi="Arial" w:cs="Arial"/>
          <w:b/>
          <w:color w:val="5F6062"/>
          <w:sz w:val="19"/>
          <w:szCs w:val="19"/>
        </w:rPr>
        <w:t xml:space="preserve"> Equal Weighted Standard Deviation</w:t>
      </w:r>
    </w:p>
    <w:p w:rsidR="0006297A" w:rsidRPr="00B0010E" w:rsidRDefault="0006297A" w:rsidP="0006297A">
      <w:pPr>
        <w:spacing w:after="100" w:line="260" w:lineRule="atLeast"/>
        <w:rPr>
          <w:rFonts w:ascii="Arial" w:hAnsi="Arial" w:cs="Arial"/>
          <w:color w:val="5F6062"/>
          <w:sz w:val="19"/>
          <w:szCs w:val="19"/>
        </w:rPr>
      </w:pPr>
      <w:r w:rsidRPr="00B0010E">
        <w:rPr>
          <w:rFonts w:ascii="Arial" w:hAnsi="Arial" w:cs="Arial"/>
          <w:color w:val="5F6062"/>
          <w:sz w:val="19"/>
          <w:szCs w:val="19"/>
        </w:rPr>
        <w:object w:dxaOrig="2840" w:dyaOrig="780">
          <v:shape id="_x0000_i1048" type="#_x0000_t75" style="width:171.75pt;height:34.5pt" o:ole="">
            <v:imagedata r:id="rId61" o:title=""/>
          </v:shape>
          <o:OLEObject Type="Embed" ProgID="Equation.3" ShapeID="_x0000_i1048" DrawAspect="Content" ObjectID="_1422442088" r:id="rId62"/>
        </w:object>
      </w:r>
    </w:p>
    <w:p w:rsidR="0006297A" w:rsidRPr="007D7F69" w:rsidRDefault="0006297A" w:rsidP="0006297A">
      <w:pPr>
        <w:pStyle w:val="Heading2"/>
      </w:pPr>
      <w:bookmarkStart w:id="395" w:name="_Toc303342609"/>
      <w:bookmarkStart w:id="396" w:name="_Toc252456810"/>
      <w:bookmarkStart w:id="397" w:name="_Toc343682744"/>
      <w:r w:rsidRPr="007D7F69">
        <w:t xml:space="preserve">Extreme </w:t>
      </w:r>
      <w:bookmarkEnd w:id="395"/>
      <w:r>
        <w:t>v</w:t>
      </w:r>
      <w:r w:rsidRPr="007D7F69">
        <w:t>alues</w:t>
      </w:r>
      <w:bookmarkEnd w:id="396"/>
      <w:bookmarkEnd w:id="397"/>
      <w:r w:rsidRPr="007D7F69">
        <w:t xml:space="preserve"> </w:t>
      </w:r>
    </w:p>
    <w:p w:rsidR="0006297A" w:rsidRPr="009F0CB0" w:rsidRDefault="0006297A" w:rsidP="0006297A">
      <w:pPr>
        <w:pStyle w:val="RI07-BodyCopy95pt"/>
      </w:pPr>
      <w:r w:rsidRPr="009F0CB0">
        <w:t xml:space="preserve">At certain points we can have situations where an extreme value on a factor can arise (we define extreme value as +/- 2 standard deviations). When these values arise it suggests that there is an issue with the data or that potentially (most likely) the market is discounting the stock due to some other factor that is not captured in the model. For the index where we identify a stock has a particular factor score greater than +/- 2 standard deviations we set the Composite Yield Score to zero. The effect of setting the Composite Yield Score to zero is that the stocks weight in the final index will be determined by its market capitalization only. </w:t>
      </w:r>
    </w:p>
    <w:p w:rsidR="0006297A" w:rsidRDefault="0006297A" w:rsidP="0006297A">
      <w:pPr>
        <w:pStyle w:val="RI07-BodyCopy95pt"/>
      </w:pPr>
      <w:r w:rsidRPr="009F0CB0">
        <w:t>Once a Composite Factor Yield Score is calculated for all stocks in the starting universe, these scores are then standardized using Z-Scores which provide a common scale which can be easily interpreted and used for comparison purposes among different stocks.</w:t>
      </w:r>
    </w:p>
    <w:p w:rsidR="0006297A" w:rsidRPr="009F0CB0" w:rsidRDefault="0006297A" w:rsidP="0006297A">
      <w:pPr>
        <w:pStyle w:val="RI07-BodyCopy95pt"/>
      </w:pPr>
    </w:p>
    <w:p w:rsidR="0006297A" w:rsidRDefault="0006297A" w:rsidP="0006297A">
      <w:pPr>
        <w:pStyle w:val="Heading2"/>
      </w:pPr>
      <w:bookmarkStart w:id="398" w:name="_Toc303342610"/>
      <w:bookmarkStart w:id="399" w:name="_Toc343682745"/>
      <w:r>
        <w:t xml:space="preserve">Determining </w:t>
      </w:r>
      <w:bookmarkEnd w:id="398"/>
      <w:r>
        <w:t>index membership</w:t>
      </w:r>
      <w:bookmarkEnd w:id="399"/>
    </w:p>
    <w:p w:rsidR="0006297A" w:rsidRPr="009F0CB0" w:rsidRDefault="0006297A" w:rsidP="0006297A">
      <w:pPr>
        <w:pStyle w:val="RI07-BodyCopy95pt"/>
      </w:pPr>
      <w:r w:rsidRPr="009F0CB0">
        <w:t>The top 50 companies by stock weight (as defined under Eligible Securities) are selected for the Russell Australia High Dividend Index and the resulting portfolio weights are then scaled to sum to one. This methodology allows the focus to remain on the largest capitalization companies with the highest Composite Yield Scores.</w:t>
      </w:r>
    </w:p>
    <w:p w:rsidR="0006297A" w:rsidRDefault="0006297A" w:rsidP="0006297A">
      <w:pPr>
        <w:pStyle w:val="Heading2"/>
      </w:pPr>
      <w:bookmarkStart w:id="400" w:name="_Toc303342611"/>
      <w:bookmarkStart w:id="401" w:name="_Toc284353176"/>
      <w:bookmarkStart w:id="402" w:name="_Toc343682746"/>
      <w:r>
        <w:t>Semi-</w:t>
      </w:r>
      <w:bookmarkEnd w:id="400"/>
      <w:r>
        <w:t>annual reconstitution</w:t>
      </w:r>
      <w:bookmarkEnd w:id="401"/>
      <w:bookmarkEnd w:id="402"/>
    </w:p>
    <w:p w:rsidR="0006297A" w:rsidRPr="009F0CB0" w:rsidRDefault="0006297A" w:rsidP="0006297A">
      <w:pPr>
        <w:pStyle w:val="RI07-BodyCopy95pt"/>
      </w:pPr>
      <w:r w:rsidRPr="009F0CB0">
        <w:t xml:space="preserve">The index is reconstituted semi-annually using data as of the last business day in February and August. The rebalanced index is implemented on the first business day in April and October. These rebalance periods have been chosen to also coincide with the Australian company reporting season so that the reconstitution incorporates the latest analyst estimates. </w:t>
      </w:r>
    </w:p>
    <w:p w:rsidR="0006297A" w:rsidRPr="00684298" w:rsidRDefault="0006297A" w:rsidP="0006297A">
      <w:pPr>
        <w:pStyle w:val="Heading2"/>
      </w:pPr>
      <w:bookmarkStart w:id="403" w:name="_Toc247345745"/>
      <w:bookmarkStart w:id="404" w:name="_Toc303342612"/>
      <w:bookmarkStart w:id="405" w:name="_Toc343682747"/>
      <w:r w:rsidRPr="00696264">
        <w:t xml:space="preserve">Index maintenance / Corporate </w:t>
      </w:r>
      <w:r>
        <w:t>a</w:t>
      </w:r>
      <w:r w:rsidRPr="00696264">
        <w:t>ction-driven changes</w:t>
      </w:r>
      <w:bookmarkEnd w:id="403"/>
      <w:bookmarkEnd w:id="404"/>
      <w:bookmarkEnd w:id="405"/>
    </w:p>
    <w:p w:rsidR="0006297A" w:rsidRPr="009F0CB0" w:rsidRDefault="0006297A" w:rsidP="0006297A">
      <w:pPr>
        <w:pStyle w:val="RI07-BodyCopy95pt"/>
      </w:pPr>
      <w:r w:rsidRPr="009F0CB0">
        <w:t xml:space="preserve">The Russell Australia High Dividend Index is proactively maintained and reflects daily changes in the Australian equity market. The Index follows the same rules for corporate actions as the Russell Global Index series with the following exceptions: </w:t>
      </w:r>
    </w:p>
    <w:p w:rsidR="0006297A" w:rsidRPr="005105AA" w:rsidRDefault="0006297A" w:rsidP="0006297A">
      <w:pPr>
        <w:pStyle w:val="RI07-BodyCopy95pt"/>
      </w:pPr>
      <w:bookmarkStart w:id="406" w:name="_Toc303342613"/>
      <w:r w:rsidRPr="007B4F40">
        <w:rPr>
          <w:b/>
        </w:rPr>
        <w:t>Month-end share adjustments</w:t>
      </w:r>
      <w:bookmarkEnd w:id="406"/>
      <w:r w:rsidRPr="005105AA">
        <w:rPr>
          <w:b/>
        </w:rPr>
        <w:t>:</w:t>
      </w:r>
      <w:r w:rsidRPr="005105AA">
        <w:t xml:space="preserve"> Month-end changes to shares outstanding within the parent index will not be reflected in the Russell Australia High </w:t>
      </w:r>
      <w:r>
        <w:t>Dividend</w:t>
      </w:r>
      <w:r w:rsidRPr="005105AA">
        <w:t xml:space="preserve"> Index. However, shares may be adjusted to reflect semi-annual reconstitution.</w:t>
      </w:r>
    </w:p>
    <w:p w:rsidR="0006297A" w:rsidRPr="005105AA" w:rsidRDefault="0006297A" w:rsidP="0006297A">
      <w:pPr>
        <w:pStyle w:val="RI07-BodyCopy95pt"/>
      </w:pPr>
      <w:bookmarkStart w:id="407" w:name="_Toc303342614"/>
      <w:r w:rsidRPr="007B4F40">
        <w:rPr>
          <w:b/>
        </w:rPr>
        <w:t>Price</w:t>
      </w:r>
      <w:r w:rsidRPr="005105AA">
        <w:t xml:space="preserve"> </w:t>
      </w:r>
      <w:bookmarkEnd w:id="407"/>
      <w:r w:rsidRPr="005105AA">
        <w:rPr>
          <w:b/>
        </w:rPr>
        <w:t>adjustments:</w:t>
      </w:r>
      <w:r w:rsidRPr="005105AA">
        <w:t xml:space="preserve"> Price adjustments for rights issues </w:t>
      </w:r>
      <w:r w:rsidRPr="00F40F5C">
        <w:t>will be delayed one day (t+1)</w:t>
      </w:r>
      <w:r w:rsidRPr="005105AA">
        <w:t>. Share increases resulting from rights being exercised will not be applied in order to minimize index turnover.</w:t>
      </w:r>
    </w:p>
    <w:p w:rsidR="0006297A" w:rsidRPr="005105AA" w:rsidRDefault="0006297A" w:rsidP="0006297A">
      <w:pPr>
        <w:pStyle w:val="RI07-BodyCopy95pt"/>
      </w:pPr>
      <w:bookmarkStart w:id="408" w:name="_Toc303342615"/>
      <w:bookmarkStart w:id="409" w:name="_Toc247345746"/>
      <w:r w:rsidRPr="007B4F40">
        <w:rPr>
          <w:b/>
        </w:rPr>
        <w:t>Mergers and acquisitions</w:t>
      </w:r>
      <w:bookmarkEnd w:id="408"/>
      <w:r w:rsidRPr="005105AA">
        <w:rPr>
          <w:b/>
        </w:rPr>
        <w:t>:</w:t>
      </w:r>
      <w:r w:rsidRPr="005105AA">
        <w:t xml:space="preserve"> In the event of a merger between two companies included in the Russell Australia High </w:t>
      </w:r>
      <w:r>
        <w:t>Dividend</w:t>
      </w:r>
      <w:r w:rsidRPr="005105AA">
        <w:t xml:space="preserve"> Index, the common shares of the combined surviving company will continue to be represented in the Index. If an index member acquires a non-index member, shares of the index member will remain unchanged. If a non-index member acquires an index member, the index member will be deleted from the Index once the action is final.</w:t>
      </w:r>
    </w:p>
    <w:p w:rsidR="0006297A" w:rsidRPr="005105AA" w:rsidRDefault="0006297A" w:rsidP="0006297A">
      <w:pPr>
        <w:pStyle w:val="RI07-BodyCopy95pt"/>
      </w:pPr>
      <w:bookmarkStart w:id="410" w:name="_Toc303342616"/>
      <w:bookmarkEnd w:id="409"/>
      <w:r w:rsidRPr="007B4F40">
        <w:rPr>
          <w:b/>
        </w:rPr>
        <w:t>Initial</w:t>
      </w:r>
      <w:r w:rsidRPr="005105AA">
        <w:t xml:space="preserve"> </w:t>
      </w:r>
      <w:bookmarkEnd w:id="410"/>
      <w:r w:rsidRPr="005105AA">
        <w:rPr>
          <w:b/>
        </w:rPr>
        <w:t>public offerings:</w:t>
      </w:r>
      <w:r w:rsidRPr="005105AA">
        <w:t xml:space="preserve"> Initial Public Offerings (IPOs) will be evaluated at each semi-annual reconstitution if they were members of the Russell Australia Large Cap Index as of the last business day in February or August.</w:t>
      </w:r>
    </w:p>
    <w:p w:rsidR="0006297A" w:rsidRPr="00D10B16" w:rsidRDefault="0006297A" w:rsidP="0006297A">
      <w:pPr>
        <w:spacing w:after="100" w:line="260" w:lineRule="atLeast"/>
        <w:rPr>
          <w:rFonts w:ascii="Arial" w:hAnsi="Arial" w:cs="Arial"/>
          <w:color w:val="5F6062"/>
          <w:sz w:val="19"/>
          <w:szCs w:val="19"/>
        </w:rPr>
      </w:pPr>
    </w:p>
    <w:p w:rsidR="0006297A" w:rsidRDefault="0006297A" w:rsidP="0006297A">
      <w:pPr>
        <w:spacing w:after="100" w:line="260" w:lineRule="atLeast"/>
        <w:rPr>
          <w:rFonts w:ascii="Arial" w:hAnsi="Arial" w:cs="Arial"/>
          <w:color w:val="5F6062"/>
          <w:sz w:val="19"/>
          <w:szCs w:val="19"/>
        </w:rPr>
      </w:pPr>
    </w:p>
    <w:p w:rsidR="0006297A" w:rsidRDefault="0006297A" w:rsidP="0006297A">
      <w:pPr>
        <w:spacing w:after="100" w:line="260" w:lineRule="atLeast"/>
        <w:rPr>
          <w:rFonts w:ascii="Arial" w:hAnsi="Arial" w:cs="Arial"/>
          <w:color w:val="5F6062"/>
          <w:sz w:val="19"/>
          <w:szCs w:val="19"/>
        </w:rPr>
        <w:sectPr w:rsidR="0006297A" w:rsidSect="00676CED">
          <w:headerReference w:type="default" r:id="rId63"/>
          <w:pgSz w:w="12240" w:h="15840"/>
          <w:pgMar w:top="1440" w:right="1440" w:bottom="1440" w:left="1526" w:header="720" w:footer="1267" w:gutter="0"/>
          <w:cols w:space="720"/>
          <w:titlePg/>
          <w:docGrid w:linePitch="360"/>
        </w:sectPr>
      </w:pPr>
    </w:p>
    <w:p w:rsidR="0006297A" w:rsidRPr="00571C13" w:rsidRDefault="0006297A" w:rsidP="0006297A">
      <w:pPr>
        <w:pStyle w:val="RI01-Heading0"/>
      </w:pPr>
      <w:bookmarkStart w:id="411" w:name="_Toc284353172"/>
      <w:bookmarkStart w:id="412" w:name="_Toc217446221"/>
      <w:bookmarkStart w:id="413" w:name="_Toc220919449"/>
      <w:r w:rsidRPr="00571C13">
        <w:lastRenderedPageBreak/>
        <w:t>section 1</w:t>
      </w:r>
      <w:r>
        <w:t>5</w:t>
      </w:r>
    </w:p>
    <w:p w:rsidR="0006297A" w:rsidRPr="00D32180" w:rsidRDefault="0006297A" w:rsidP="0006297A">
      <w:pPr>
        <w:pStyle w:val="Heading1"/>
      </w:pPr>
      <w:bookmarkStart w:id="414" w:name="_Toc303342617"/>
      <w:bookmarkStart w:id="415" w:name="_Toc343682748"/>
      <w:r>
        <w:t>Russell Australia High Value Index Methodology</w:t>
      </w:r>
      <w:bookmarkEnd w:id="411"/>
      <w:bookmarkEnd w:id="414"/>
      <w:bookmarkEnd w:id="415"/>
    </w:p>
    <w:p w:rsidR="0006297A" w:rsidRDefault="0006297A" w:rsidP="0006297A">
      <w:pPr>
        <w:pStyle w:val="Heading2"/>
      </w:pPr>
      <w:bookmarkStart w:id="416" w:name="_Toc287609140"/>
      <w:bookmarkStart w:id="417" w:name="_Toc303342618"/>
      <w:bookmarkStart w:id="418" w:name="_Toc343682749"/>
      <w:r w:rsidRPr="007F1CF7">
        <w:t>Definition</w:t>
      </w:r>
      <w:bookmarkEnd w:id="416"/>
      <w:bookmarkEnd w:id="417"/>
      <w:bookmarkEnd w:id="418"/>
    </w:p>
    <w:p w:rsidR="0006297A" w:rsidRPr="005105AA" w:rsidRDefault="0006297A" w:rsidP="0006297A">
      <w:pPr>
        <w:pStyle w:val="RI07-BodyCopy95pt"/>
      </w:pPr>
      <w:r w:rsidRPr="005105AA">
        <w:t>The Russell Australia High Value Index (“RAHVI”) is an equity index that is constructed using several variables that seek to provide investors with a diversified large cap exposure to the value premium in the Australian market. The Index includes large cap companies and is built using an objective, transparent and market-driven construction methodology.</w:t>
      </w:r>
    </w:p>
    <w:p w:rsidR="0006297A" w:rsidRPr="009E5F66" w:rsidRDefault="0006297A" w:rsidP="0006297A">
      <w:pPr>
        <w:pStyle w:val="Heading2"/>
      </w:pPr>
      <w:bookmarkStart w:id="419" w:name="_Toc287609141"/>
      <w:bookmarkStart w:id="420" w:name="_Toc303342619"/>
      <w:bookmarkStart w:id="421" w:name="_Toc343682750"/>
      <w:r w:rsidRPr="009E5F66">
        <w:t xml:space="preserve">Eligible </w:t>
      </w:r>
      <w:r>
        <w:t>s</w:t>
      </w:r>
      <w:r w:rsidRPr="009E5F66">
        <w:t>ecurities</w:t>
      </w:r>
      <w:bookmarkEnd w:id="419"/>
      <w:bookmarkEnd w:id="420"/>
      <w:bookmarkEnd w:id="421"/>
    </w:p>
    <w:p w:rsidR="0006297A" w:rsidRPr="005105AA" w:rsidRDefault="0006297A" w:rsidP="0006297A">
      <w:pPr>
        <w:pStyle w:val="RI07-BodyCopy95pt"/>
      </w:pPr>
      <w:r w:rsidRPr="005105AA">
        <w:t>Russell Australia High Value Index starts with the members of the Russell Australia Large Cap Index (excluding foreign ownership limits), which includes all Australian domiciled companies with a market capitalization greater than the 85th percentile. All constituents must be traded on the Australian Securities Exchange (ASX). Those that do not trade on the ASX are removed from the universe.</w:t>
      </w:r>
    </w:p>
    <w:p w:rsidR="0006297A" w:rsidRDefault="0006297A" w:rsidP="0006297A">
      <w:pPr>
        <w:pStyle w:val="Heading2"/>
      </w:pPr>
      <w:bookmarkStart w:id="422" w:name="_Toc287609142"/>
      <w:bookmarkStart w:id="423" w:name="_Toc303342620"/>
      <w:bookmarkStart w:id="424" w:name="_Toc343682751"/>
      <w:r>
        <w:t>Style criteria</w:t>
      </w:r>
      <w:bookmarkEnd w:id="422"/>
      <w:bookmarkEnd w:id="423"/>
      <w:bookmarkEnd w:id="424"/>
    </w:p>
    <w:p w:rsidR="0006297A" w:rsidRPr="007B4F40" w:rsidRDefault="0006297A" w:rsidP="0006297A">
      <w:pPr>
        <w:pStyle w:val="RI07-BodyCopy95pt"/>
      </w:pPr>
      <w:r w:rsidRPr="005105AA">
        <w:t xml:space="preserve">Russell Investments uses a “non-linear probability” algorithm to assign stocks to the growth and value style indexes. The term “probability” is used to indicate the degree of certainty that a stock is value or growth, based on certain variables. This algorithm allows stocks to be represented as having both growth and value characteristics, while preserving the additive nature of the indexes. For the Russell Australia High Value Index, Russell selected underlying variables that are slightly different than those used for Russell’s U.S. and other global style indexes. Russell Australia High Value Index uses </w:t>
      </w:r>
      <w:r w:rsidRPr="007B4F40">
        <w:t xml:space="preserve">earnings-to-price and I/B/E/S medium-term earnings growth (3 years). </w:t>
      </w:r>
    </w:p>
    <w:p w:rsidR="0006297A" w:rsidRPr="005105AA" w:rsidRDefault="0006297A" w:rsidP="0006297A">
      <w:pPr>
        <w:pStyle w:val="RI07-BodyCopy95pt"/>
      </w:pPr>
      <w:r w:rsidRPr="005105AA">
        <w:t xml:space="preserve">The members of the Russell Australia Large Cap Index are ranked by their earnings-to-price and their I/B/E/S medium-term earning growth (3 years). These rankings are converted to standardized units and combined to produce a composite value score (CVS). Stocks are then ranked by their CVSs, and a probability algorithm is applied to the CVS distribution to assign value and growth weights to each stock. The index is then reduced down to those securities which meet the requirements to be considered value companies. </w:t>
      </w:r>
    </w:p>
    <w:p w:rsidR="0006297A" w:rsidRPr="005105AA" w:rsidRDefault="0006297A" w:rsidP="0006297A">
      <w:pPr>
        <w:pStyle w:val="RI07-BodyCopy95pt"/>
      </w:pPr>
      <w:r w:rsidRPr="005105AA">
        <w:t>In general, a stock with a higher CVS is considered value while a stock with a lower CVS is considered growth, and a stock with a CVS in the middle range is considered to have both value and growth characteristics, and is weighted proportionately in the value and growth index. Stocks are always fully represented by the combination of their value and growth weights; e.g., a stock that is given a 20% weight in a Russell value index will have an 80% weight in the same Russell growth index. The Russell Australia High Value Index only includes a given stock’s value weight.</w:t>
      </w:r>
    </w:p>
    <w:p w:rsidR="0006297A" w:rsidRPr="005105AA" w:rsidRDefault="0006297A" w:rsidP="0006297A">
      <w:pPr>
        <w:pStyle w:val="RI07-BodyCopy95pt"/>
      </w:pPr>
      <w:r w:rsidRPr="005105AA">
        <w:t>For more information on how Russell determines style, please refer to the Russell Global Indexes Construction &amp; Methodology available at www.russell.com/indexes.</w:t>
      </w:r>
    </w:p>
    <w:p w:rsidR="0006297A" w:rsidRDefault="0006297A" w:rsidP="0006297A">
      <w:pPr>
        <w:pStyle w:val="Heading2"/>
      </w:pPr>
      <w:bookmarkStart w:id="425" w:name="_Toc287609143"/>
      <w:bookmarkStart w:id="426" w:name="_Toc303342621"/>
      <w:bookmarkStart w:id="427" w:name="_Toc343682752"/>
      <w:r>
        <w:t>Semi-annual reconstitution</w:t>
      </w:r>
      <w:bookmarkEnd w:id="425"/>
      <w:bookmarkEnd w:id="426"/>
      <w:bookmarkEnd w:id="427"/>
    </w:p>
    <w:p w:rsidR="0006297A" w:rsidRPr="005105AA" w:rsidRDefault="0006297A" w:rsidP="0006297A">
      <w:pPr>
        <w:pStyle w:val="RI07-BodyCopy95pt"/>
      </w:pPr>
      <w:r w:rsidRPr="005105AA">
        <w:t xml:space="preserve">The index is reconstituted semi-annually using data as of the last business day in February and August. The rebalanced index is implemented on the first business day in April and October. These rebalance periods have </w:t>
      </w:r>
      <w:r w:rsidRPr="005105AA">
        <w:lastRenderedPageBreak/>
        <w:t xml:space="preserve">been chosen to also coincide with the Australian company reporting season so that the reconstitution incorporates the latest analyst estimates. </w:t>
      </w:r>
    </w:p>
    <w:p w:rsidR="0006297A" w:rsidRPr="00696264" w:rsidRDefault="0006297A" w:rsidP="0006297A">
      <w:pPr>
        <w:pStyle w:val="Heading2"/>
      </w:pPr>
      <w:bookmarkStart w:id="428" w:name="_Toc287609144"/>
      <w:bookmarkStart w:id="429" w:name="_Toc303342622"/>
      <w:bookmarkStart w:id="430" w:name="_Toc343682753"/>
      <w:r w:rsidRPr="00696264">
        <w:t xml:space="preserve">Index maintenance / Corporate </w:t>
      </w:r>
      <w:r>
        <w:t>a</w:t>
      </w:r>
      <w:r w:rsidRPr="00696264">
        <w:t>ction-driven changes</w:t>
      </w:r>
      <w:bookmarkEnd w:id="428"/>
      <w:bookmarkEnd w:id="429"/>
      <w:bookmarkEnd w:id="430"/>
    </w:p>
    <w:p w:rsidR="0006297A" w:rsidRPr="005105AA" w:rsidRDefault="0006297A" w:rsidP="0006297A">
      <w:pPr>
        <w:pStyle w:val="RI07-BodyCopy95pt"/>
      </w:pPr>
      <w:r w:rsidRPr="005105AA">
        <w:t xml:space="preserve">The Russell Australia High Value Index is proactively maintained and reflects daily changes in the Australian equity market. The Index follows the same rules for corporate actions as the Russell Global Index series with the following exceptions: </w:t>
      </w:r>
    </w:p>
    <w:p w:rsidR="0006297A" w:rsidRPr="005105AA" w:rsidRDefault="0006297A" w:rsidP="0006297A">
      <w:pPr>
        <w:pStyle w:val="RI07-BodyCopy95pt"/>
      </w:pPr>
      <w:bookmarkStart w:id="431" w:name="_Toc284353178"/>
      <w:r w:rsidRPr="005105AA">
        <w:rPr>
          <w:b/>
        </w:rPr>
        <w:t>Month-end share adjustments:</w:t>
      </w:r>
      <w:r w:rsidRPr="005105AA">
        <w:t xml:space="preserve"> Month-end changes to shares outstanding within the parent index will not be reflected in the Russell Australia High Value Index. However, shares may be adjusted to reflect semi-annual reconstitution.</w:t>
      </w:r>
      <w:bookmarkEnd w:id="431"/>
    </w:p>
    <w:p w:rsidR="0006297A" w:rsidRPr="005105AA" w:rsidRDefault="0006297A" w:rsidP="0006297A">
      <w:pPr>
        <w:pStyle w:val="RI07-BodyCopy95pt"/>
      </w:pPr>
      <w:bookmarkStart w:id="432" w:name="_Toc284353179"/>
      <w:r w:rsidRPr="005105AA">
        <w:rPr>
          <w:b/>
        </w:rPr>
        <w:t>Price adjustments:</w:t>
      </w:r>
      <w:r w:rsidRPr="005105AA">
        <w:t xml:space="preserve"> Price adjustments for rights issues </w:t>
      </w:r>
      <w:r w:rsidRPr="00F40F5C">
        <w:t>will be delayed one day (t+1)</w:t>
      </w:r>
      <w:r w:rsidRPr="005105AA">
        <w:t>. Share increases resulting from rights being exercised will not be applied in order to minimize index turnover.</w:t>
      </w:r>
      <w:bookmarkEnd w:id="432"/>
    </w:p>
    <w:p w:rsidR="0006297A" w:rsidRPr="005105AA" w:rsidRDefault="0006297A" w:rsidP="0006297A">
      <w:pPr>
        <w:pStyle w:val="RI07-BodyCopy95pt"/>
      </w:pPr>
      <w:bookmarkStart w:id="433" w:name="_Toc284353180"/>
      <w:r w:rsidRPr="005105AA">
        <w:rPr>
          <w:b/>
        </w:rPr>
        <w:t>Mergers and acquisitions:</w:t>
      </w:r>
      <w:r w:rsidRPr="005105AA">
        <w:t xml:space="preserve"> In the event of a merger between two companies included in the Russell Australia High Value Index, the common shares of the combined surviving company will continue to be represented in the Index. If an index member acquires a non-index member, shares of the index member will remain unchanged. If a non-index member acquires an index member, the index member will be deleted from the Index once the action is final.</w:t>
      </w:r>
      <w:bookmarkEnd w:id="433"/>
    </w:p>
    <w:p w:rsidR="0006297A" w:rsidRPr="005105AA" w:rsidRDefault="0006297A" w:rsidP="0006297A">
      <w:pPr>
        <w:pStyle w:val="RI07-BodyCopy95pt"/>
      </w:pPr>
      <w:r w:rsidRPr="005105AA">
        <w:rPr>
          <w:b/>
        </w:rPr>
        <w:t>Initial public offerings:</w:t>
      </w:r>
      <w:r w:rsidRPr="005105AA">
        <w:t xml:space="preserve"> Initial Public Offerings (IPOs) will be evaluated at each semi-annual reconstitution if they were members of the Russell Australia Large Cap Index as of the last business day in February or August.</w:t>
      </w:r>
    </w:p>
    <w:p w:rsidR="0006297A" w:rsidRDefault="0006297A" w:rsidP="0006297A">
      <w:pPr>
        <w:spacing w:after="100" w:line="260" w:lineRule="atLeast"/>
        <w:rPr>
          <w:rFonts w:ascii="Arial" w:hAnsi="Arial" w:cs="Arial"/>
          <w:color w:val="5F6062"/>
          <w:sz w:val="19"/>
          <w:szCs w:val="19"/>
        </w:rPr>
      </w:pPr>
    </w:p>
    <w:p w:rsidR="0006297A" w:rsidRPr="00120404" w:rsidRDefault="0006297A" w:rsidP="0006297A">
      <w:pPr>
        <w:spacing w:after="100" w:line="260" w:lineRule="atLeast"/>
        <w:rPr>
          <w:rFonts w:ascii="Arial" w:hAnsi="Arial" w:cs="Arial"/>
          <w:color w:val="5F6062"/>
          <w:sz w:val="19"/>
          <w:szCs w:val="19"/>
        </w:rPr>
      </w:pPr>
    </w:p>
    <w:p w:rsidR="0006297A" w:rsidRPr="00120404" w:rsidRDefault="0006297A" w:rsidP="0006297A">
      <w:pPr>
        <w:spacing w:after="100" w:line="260" w:lineRule="atLeast"/>
        <w:rPr>
          <w:rFonts w:ascii="Arial" w:hAnsi="Arial" w:cs="Arial"/>
          <w:color w:val="5F6062"/>
          <w:sz w:val="19"/>
          <w:szCs w:val="19"/>
        </w:rPr>
        <w:sectPr w:rsidR="0006297A" w:rsidRPr="00120404" w:rsidSect="00676CED">
          <w:pgSz w:w="12240" w:h="15840"/>
          <w:pgMar w:top="1440" w:right="1440" w:bottom="1440" w:left="1526" w:header="720" w:footer="1267" w:gutter="0"/>
          <w:cols w:space="720"/>
          <w:titlePg/>
          <w:docGrid w:linePitch="360"/>
        </w:sectPr>
      </w:pPr>
    </w:p>
    <w:p w:rsidR="0006297A" w:rsidRPr="00571C13" w:rsidRDefault="0006297A" w:rsidP="0006297A">
      <w:pPr>
        <w:pStyle w:val="RI01-Heading0"/>
      </w:pPr>
      <w:r w:rsidRPr="00571C13">
        <w:lastRenderedPageBreak/>
        <w:t>section 1</w:t>
      </w:r>
      <w:r>
        <w:t>6</w:t>
      </w:r>
    </w:p>
    <w:p w:rsidR="0006297A" w:rsidRPr="00E54038" w:rsidRDefault="0006297A" w:rsidP="0006297A">
      <w:pPr>
        <w:pStyle w:val="Heading1"/>
      </w:pPr>
      <w:bookmarkStart w:id="434" w:name="_Toc285440424"/>
      <w:bookmarkStart w:id="435" w:name="_Toc303342623"/>
      <w:bookmarkStart w:id="436" w:name="_Toc343682754"/>
      <w:r w:rsidRPr="00E54038">
        <w:t>Russell Global 1000, 2000, 3000 Indexes</w:t>
      </w:r>
      <w:bookmarkEnd w:id="434"/>
      <w:bookmarkEnd w:id="435"/>
      <w:bookmarkEnd w:id="436"/>
    </w:p>
    <w:p w:rsidR="0006297A" w:rsidRPr="00E54038" w:rsidRDefault="0006297A" w:rsidP="0006297A">
      <w:pPr>
        <w:pStyle w:val="RI07-BodyCopy95pt"/>
      </w:pPr>
      <w:r>
        <w:t xml:space="preserve">The </w:t>
      </w:r>
      <w:r w:rsidRPr="00E54038">
        <w:t>Russell Global 1000</w:t>
      </w:r>
      <w:r w:rsidRPr="00E54038">
        <w:rPr>
          <w:vertAlign w:val="superscript"/>
        </w:rPr>
        <w:t>™</w:t>
      </w:r>
      <w:r w:rsidRPr="00E54038">
        <w:t>, Russell Global 2000</w:t>
      </w:r>
      <w:r w:rsidRPr="00E54038">
        <w:rPr>
          <w:vertAlign w:val="superscript"/>
        </w:rPr>
        <w:t>™</w:t>
      </w:r>
      <w:r w:rsidRPr="00E54038">
        <w:t>, and Russell Global 3000</w:t>
      </w:r>
      <w:r w:rsidRPr="00E54038">
        <w:rPr>
          <w:vertAlign w:val="superscript"/>
        </w:rPr>
        <w:t>™</w:t>
      </w:r>
      <w:r w:rsidRPr="00E54038">
        <w:t xml:space="preserve"> indexes </w:t>
      </w:r>
      <w:r>
        <w:t>give</w:t>
      </w:r>
      <w:r w:rsidRPr="00E54038">
        <w:t xml:space="preserve"> investors convenient exposures to different market size segments, offer enhanced index investability and closely track to the parent index. This index </w:t>
      </w:r>
      <w:r>
        <w:t>series</w:t>
      </w:r>
      <w:r w:rsidRPr="00E54038">
        <w:t xml:space="preserve"> is ideal to serve as a basis </w:t>
      </w:r>
      <w:r>
        <w:t>for</w:t>
      </w:r>
      <w:r w:rsidRPr="00E54038">
        <w:t xml:space="preserve"> investable products and can be used by investors who seek index performances or use index baskets for asset allocation purposes. The Russell Global 1000, Russell Global 2000 and Russell Global 3000 Indexes are based on the Russell Global Index, a global equity index that truly represents the global investable opportunity set. The Russell Global Index is rules based, transparent, and comprehensive, making it a consistent and reliable indicator of global equity market performance. The Russell Global Index is designed to be a performance benchmark that accurately represents the investable opportunity set for active institutional managers. Its modular index construction supports a broad spectrum of sub-indexes based on country, region, sector, size or other customized need.</w:t>
      </w:r>
    </w:p>
    <w:p w:rsidR="0006297A" w:rsidRPr="00E54038" w:rsidRDefault="0006297A" w:rsidP="0006297A">
      <w:pPr>
        <w:pStyle w:val="Heading2"/>
      </w:pPr>
      <w:bookmarkStart w:id="437" w:name="_Toc303342624"/>
      <w:bookmarkStart w:id="438" w:name="_Toc285440425"/>
      <w:bookmarkStart w:id="439" w:name="_Toc343682755"/>
      <w:r w:rsidRPr="00E54038">
        <w:t xml:space="preserve">Starting </w:t>
      </w:r>
      <w:bookmarkEnd w:id="437"/>
      <w:r>
        <w:t>u</w:t>
      </w:r>
      <w:r w:rsidRPr="00E54038">
        <w:t>niverse</w:t>
      </w:r>
      <w:bookmarkEnd w:id="438"/>
      <w:bookmarkEnd w:id="439"/>
    </w:p>
    <w:p w:rsidR="0006297A" w:rsidRPr="00E54038" w:rsidRDefault="0006297A" w:rsidP="0006297A">
      <w:pPr>
        <w:pStyle w:val="RI07-BodyCopy95pt"/>
      </w:pPr>
      <w:r w:rsidRPr="00E54038">
        <w:t xml:space="preserve">The Russell Global 1000, Global 2000, and Global 3000 Indexes utilize the Russell Global Index's investable universe to create a more liquid index that optimizes global exposure in convenient, small baskets - making them ideal as the basis of investable products. The starting universe for the Russell Global 1000 Index and the Russell </w:t>
      </w:r>
      <w:r>
        <w:t xml:space="preserve">Global </w:t>
      </w:r>
      <w:r w:rsidRPr="00E54038">
        <w:t xml:space="preserve">2000 Index are index members of the Russell Global Large Cap Index and the Russell Global Small Cap Index respectively. </w:t>
      </w:r>
      <w:r w:rsidRPr="006B50E5">
        <w:t>As of June 2011, there were roughly 3,000 securities in Russell Global Large Cap Index and about 7,000 securities in Russell Global Small Cap Index.</w:t>
      </w:r>
      <w:r w:rsidRPr="00E54038">
        <w:t xml:space="preserve"> </w:t>
      </w:r>
    </w:p>
    <w:p w:rsidR="0006297A" w:rsidRPr="00E54038" w:rsidRDefault="0006297A" w:rsidP="0006297A">
      <w:pPr>
        <w:pStyle w:val="Heading2"/>
      </w:pPr>
      <w:bookmarkStart w:id="440" w:name="_Toc303342625"/>
      <w:bookmarkStart w:id="441" w:name="_Toc285440426"/>
      <w:bookmarkStart w:id="442" w:name="_Toc343682756"/>
      <w:r w:rsidRPr="00E54038">
        <w:t xml:space="preserve">Country </w:t>
      </w:r>
      <w:bookmarkEnd w:id="440"/>
      <w:r>
        <w:t>s</w:t>
      </w:r>
      <w:r w:rsidRPr="00E54038">
        <w:t>creening</w:t>
      </w:r>
      <w:bookmarkEnd w:id="441"/>
      <w:bookmarkEnd w:id="442"/>
    </w:p>
    <w:p w:rsidR="0006297A" w:rsidRPr="00E54038" w:rsidRDefault="0006297A" w:rsidP="0006297A">
      <w:pPr>
        <w:pStyle w:val="RI07-BodyCopy95pt"/>
      </w:pPr>
      <w:r w:rsidRPr="00E54038">
        <w:t>The Russell Global Index is the parent index and countries that are eligible for the parent index are also eligible for the Global 1000, Global 2000 and Global 3000</w:t>
      </w:r>
      <w:r>
        <w:t xml:space="preserve"> indexes</w:t>
      </w:r>
      <w:r w:rsidRPr="00E54038">
        <w:t>.</w:t>
      </w:r>
      <w:r>
        <w:t xml:space="preserve"> S</w:t>
      </w:r>
      <w:r w:rsidRPr="00E54038">
        <w:t xml:space="preserve">ee </w:t>
      </w:r>
      <w:r>
        <w:t>Section 2</w:t>
      </w:r>
      <w:r w:rsidRPr="00E54038">
        <w:t xml:space="preserve"> for country eligibility rules. </w:t>
      </w:r>
    </w:p>
    <w:p w:rsidR="0006297A" w:rsidRPr="00E54038" w:rsidRDefault="0006297A" w:rsidP="0006297A">
      <w:pPr>
        <w:pStyle w:val="Heading2"/>
      </w:pPr>
      <w:bookmarkStart w:id="443" w:name="_Toc303342626"/>
      <w:bookmarkStart w:id="444" w:name="_Toc285440427"/>
      <w:bookmarkStart w:id="445" w:name="_Toc343682757"/>
      <w:r w:rsidRPr="00E54038">
        <w:t xml:space="preserve">Liquidity </w:t>
      </w:r>
      <w:bookmarkEnd w:id="443"/>
      <w:r>
        <w:t>s</w:t>
      </w:r>
      <w:r w:rsidRPr="00E54038">
        <w:t>creening</w:t>
      </w:r>
      <w:bookmarkEnd w:id="444"/>
      <w:bookmarkEnd w:id="445"/>
    </w:p>
    <w:p w:rsidR="0006297A" w:rsidRPr="00E54038" w:rsidRDefault="0006297A" w:rsidP="0006297A">
      <w:pPr>
        <w:pStyle w:val="RI07-BodyCopy95pt"/>
      </w:pPr>
      <w:r w:rsidRPr="00E54038">
        <w:t>To be eligible for the Russell Global 1000 and Russell Global 2000 indexes</w:t>
      </w:r>
      <w:r>
        <w:t>,</w:t>
      </w:r>
      <w:r w:rsidRPr="00E54038">
        <w:t xml:space="preserve"> a security </w:t>
      </w:r>
      <w:r>
        <w:t>must</w:t>
      </w:r>
      <w:r w:rsidRPr="00E54038">
        <w:t xml:space="preserve"> pass a two-step liquidity screening. A security must: </w:t>
      </w:r>
    </w:p>
    <w:p w:rsidR="0006297A" w:rsidRDefault="0006297A" w:rsidP="0006297A">
      <w:pPr>
        <w:pStyle w:val="RI08-95ptBullet1"/>
        <w:ind w:left="1170" w:hanging="450"/>
      </w:pPr>
      <w:r w:rsidRPr="00E54038">
        <w:t>Reach the minimum Average Daily Dollar Trading Volume (ADDTV)</w:t>
      </w:r>
    </w:p>
    <w:p w:rsidR="0006297A" w:rsidRDefault="0006297A" w:rsidP="0006297A">
      <w:pPr>
        <w:pStyle w:val="RI08-95ptBullet1"/>
        <w:ind w:left="1170" w:hanging="450"/>
      </w:pPr>
      <w:r>
        <w:t>Achieve</w:t>
      </w:r>
      <w:r w:rsidRPr="00E54038">
        <w:t xml:space="preserve"> the minimum Active Traded Ratio (ATR) </w:t>
      </w:r>
    </w:p>
    <w:p w:rsidR="0006297A" w:rsidRPr="00E54038" w:rsidRDefault="0006297A" w:rsidP="0006297A">
      <w:pPr>
        <w:pStyle w:val="RI07-BodyCopy95pt"/>
      </w:pPr>
      <w:r>
        <w:t>S</w:t>
      </w:r>
      <w:r w:rsidRPr="00E54038">
        <w:t xml:space="preserve">ee </w:t>
      </w:r>
      <w:r>
        <w:t xml:space="preserve">section 2 </w:t>
      </w:r>
      <w:r w:rsidRPr="00E54038">
        <w:t>for a complete discussion of ADDTV and ATR.</w:t>
      </w:r>
      <w:r>
        <w:t xml:space="preserve"> See </w:t>
      </w:r>
      <w:hyperlink w:anchor="_ADDTV_Median" w:history="1">
        <w:r w:rsidRPr="009253E4">
          <w:rPr>
            <w:rStyle w:val="Hyperlink"/>
            <w:color w:val="7F7F7F"/>
          </w:rPr>
          <w:t>Appendix I</w:t>
        </w:r>
      </w:hyperlink>
      <w:r>
        <w:t xml:space="preserve"> for historical ADDTV. </w:t>
      </w:r>
    </w:p>
    <w:p w:rsidR="0006297A" w:rsidRPr="00E54038" w:rsidRDefault="0006297A" w:rsidP="0006297A">
      <w:pPr>
        <w:pStyle w:val="RI07-BodyCopy95pt"/>
      </w:pPr>
      <w:r w:rsidRPr="00E54038">
        <w:t xml:space="preserve">For the Russell Global 1000 Index, the minimum ADDTV is derived from the distribution of ADDTVs </w:t>
      </w:r>
      <w:r>
        <w:t>among</w:t>
      </w:r>
      <w:r w:rsidRPr="00E54038">
        <w:t xml:space="preserve"> the current year’s members of Russell Global Large Cap Index. At reconstitution, a natural log-transformation is made to the original ADDTV distribution. The minimum value is then calculated by using the following formula: </w:t>
      </w:r>
    </w:p>
    <w:p w:rsidR="0006297A" w:rsidRPr="00E54038" w:rsidRDefault="0006297A" w:rsidP="0006297A">
      <w:pPr>
        <w:pStyle w:val="RI07-BodyCopy95pt"/>
        <w:ind w:left="720"/>
      </w:pPr>
      <w:r w:rsidRPr="00E54038">
        <w:t>Min_Ln_ADDTV = Mean(Ln_ADDTV) – 1.96 * Stdev(Ln_ADDTV)</w:t>
      </w:r>
    </w:p>
    <w:p w:rsidR="0006297A" w:rsidRPr="00E54038" w:rsidRDefault="0006297A" w:rsidP="0006297A">
      <w:pPr>
        <w:pStyle w:val="RI07-BodyCopy95pt"/>
        <w:ind w:left="720"/>
      </w:pPr>
      <w:r w:rsidRPr="00E54038">
        <w:t xml:space="preserve">Min_ADDTV = exp(Min_Ln_ADDTV) </w:t>
      </w:r>
    </w:p>
    <w:p w:rsidR="0006297A" w:rsidRPr="00E54038" w:rsidRDefault="0006297A" w:rsidP="0006297A">
      <w:pPr>
        <w:pStyle w:val="RI07-BodyCopy95pt"/>
      </w:pPr>
      <w:r w:rsidRPr="00E54038">
        <w:t xml:space="preserve">To be eligible for the Russell Global 2000 Index, the minimum ADDTV must equal half of the Global 1000 Index’s minimum ADDTV. </w:t>
      </w:r>
    </w:p>
    <w:p w:rsidR="0006297A" w:rsidRPr="00E54038" w:rsidRDefault="0006297A" w:rsidP="0006297A">
      <w:pPr>
        <w:pStyle w:val="RI07-BodyCopy95pt"/>
      </w:pPr>
      <w:r w:rsidRPr="00E54038">
        <w:lastRenderedPageBreak/>
        <w:t>For both the Russell Global 1000 and the Russell Global 2000 indexes, the minimum ATR is set at 90% to ensure an index constituent has enough trading frequency. A stock must meet both ADDTV and ATR minimum requirements to be eligible for the Russell Global 1000 and the Russell Global 2000 indexes.</w:t>
      </w:r>
    </w:p>
    <w:p w:rsidR="0006297A" w:rsidRPr="00E54038" w:rsidRDefault="0006297A" w:rsidP="0006297A">
      <w:pPr>
        <w:pStyle w:val="Heading2"/>
      </w:pPr>
      <w:bookmarkStart w:id="446" w:name="_Toc285440428"/>
      <w:bookmarkStart w:id="447" w:name="_Toc303342627"/>
      <w:bookmarkStart w:id="448" w:name="_Toc343682758"/>
      <w:r w:rsidRPr="00E54038">
        <w:t>Membership</w:t>
      </w:r>
      <w:bookmarkEnd w:id="446"/>
      <w:bookmarkEnd w:id="447"/>
      <w:bookmarkEnd w:id="448"/>
    </w:p>
    <w:p w:rsidR="0006297A" w:rsidRPr="00E54038" w:rsidRDefault="0006297A" w:rsidP="0006297A">
      <w:pPr>
        <w:pStyle w:val="RI07-BodyCopy95pt"/>
      </w:pPr>
      <w:r w:rsidRPr="00E54038">
        <w:t xml:space="preserve">After the Russell Global Index members are screened for eligible country membership, and liquidity, </w:t>
      </w:r>
      <w:r>
        <w:t>the</w:t>
      </w:r>
      <w:r w:rsidRPr="00E54038">
        <w:t xml:space="preserve"> remaining members of the Russell Global Large Cap Index are ranked by their full security market capitalization and the largest 1000 become the Russell Global 1000. </w:t>
      </w:r>
      <w:r>
        <w:t>The</w:t>
      </w:r>
      <w:r w:rsidRPr="00E54038">
        <w:t xml:space="preserve"> remaining members of the Russell Global Small Cap Index are ranked by their full security market capitalization and the largest 2000 become the Russell Global 2000. The combination of the Russell Global 1000 and the Russell Global 2000 is the Russell Global 3000.</w:t>
      </w:r>
    </w:p>
    <w:p w:rsidR="0006297A" w:rsidRPr="00E54038" w:rsidRDefault="0006297A" w:rsidP="0006297A">
      <w:pPr>
        <w:pStyle w:val="Heading2"/>
      </w:pPr>
      <w:bookmarkStart w:id="449" w:name="_Toc303342628"/>
      <w:bookmarkStart w:id="450" w:name="_Toc285440429"/>
      <w:bookmarkStart w:id="451" w:name="_Toc343682759"/>
      <w:r w:rsidRPr="00E54038">
        <w:t>Float-</w:t>
      </w:r>
      <w:bookmarkEnd w:id="449"/>
      <w:r>
        <w:t>a</w:t>
      </w:r>
      <w:r w:rsidRPr="00E54038">
        <w:t>djustments</w:t>
      </w:r>
      <w:bookmarkEnd w:id="450"/>
      <w:bookmarkEnd w:id="451"/>
    </w:p>
    <w:p w:rsidR="0006297A" w:rsidRPr="00E54038" w:rsidRDefault="0006297A" w:rsidP="0006297A">
      <w:pPr>
        <w:pStyle w:val="RI07-BodyCopy95pt"/>
      </w:pPr>
      <w:r w:rsidRPr="00E54038">
        <w:t>Just as with all Russell Indexes, members of the Russell Global 1000, Russell Global 2000 and Russell Global 3000 Indexes are float adjusted.</w:t>
      </w:r>
      <w:r>
        <w:t xml:space="preserve"> See Section 5</w:t>
      </w:r>
      <w:r w:rsidRPr="00E54038">
        <w:t xml:space="preserve"> for details on float-adjustment. </w:t>
      </w:r>
    </w:p>
    <w:p w:rsidR="0006297A" w:rsidRPr="00E54038" w:rsidRDefault="0006297A" w:rsidP="0006297A">
      <w:pPr>
        <w:pStyle w:val="Heading2"/>
      </w:pPr>
      <w:bookmarkStart w:id="452" w:name="_Toc285440430"/>
      <w:bookmarkStart w:id="453" w:name="_Toc303342629"/>
      <w:bookmarkStart w:id="454" w:name="_Toc343682760"/>
      <w:r w:rsidRPr="00E54038">
        <w:t>Reconstitution</w:t>
      </w:r>
      <w:bookmarkEnd w:id="452"/>
      <w:bookmarkEnd w:id="453"/>
      <w:bookmarkEnd w:id="454"/>
    </w:p>
    <w:p w:rsidR="0006297A" w:rsidRPr="00E54038" w:rsidRDefault="0006297A" w:rsidP="0006297A">
      <w:pPr>
        <w:pStyle w:val="RI07-BodyCopy95pt"/>
      </w:pPr>
      <w:r w:rsidRPr="00E54038">
        <w:t xml:space="preserve">The Russell Global 1000, Russell Global 2000 and Russell Global 3000 Indexes are reconstituted annually at the same time as the parent index, the Russell Global Index. </w:t>
      </w:r>
      <w:r>
        <w:t>S</w:t>
      </w:r>
      <w:r w:rsidRPr="00E54038">
        <w:t xml:space="preserve">ee </w:t>
      </w:r>
      <w:r>
        <w:t xml:space="preserve">Section 7 </w:t>
      </w:r>
      <w:r w:rsidRPr="00E54038">
        <w:t>for details regarding the annual reconstitution.</w:t>
      </w:r>
    </w:p>
    <w:p w:rsidR="0006297A" w:rsidRPr="00E54038" w:rsidRDefault="0006297A" w:rsidP="0006297A">
      <w:pPr>
        <w:pStyle w:val="Heading2"/>
      </w:pPr>
      <w:bookmarkStart w:id="455" w:name="_Toc285440431"/>
      <w:bookmarkStart w:id="456" w:name="_Toc343682761"/>
      <w:r w:rsidRPr="00E54038">
        <w:t xml:space="preserve">Banding at </w:t>
      </w:r>
      <w:r>
        <w:t>r</w:t>
      </w:r>
      <w:r w:rsidRPr="00E54038">
        <w:t>econstitution</w:t>
      </w:r>
      <w:bookmarkEnd w:id="455"/>
      <w:bookmarkEnd w:id="456"/>
    </w:p>
    <w:p w:rsidR="0006297A" w:rsidRPr="00E54038" w:rsidRDefault="0006297A" w:rsidP="0006297A">
      <w:pPr>
        <w:pStyle w:val="RI07-BodyCopy95pt"/>
      </w:pPr>
      <w:r w:rsidRPr="00E54038">
        <w:t xml:space="preserve">A 5% banding is applied to the Russell Global 1000 and Russell Global 2000 at the bottom of each index. The turnover resulting at the top of Russell Global 2000 Index is naturally controlled by the banding buffer zones applied to the Russell Global Index large cap and small cap constituents at annual reconstitution. If an existing member’s market capitalization falls within this cumulative 5% of the market capitalization breakpoints, it will remain in its current index. New candidates of the parent index, the Russell Global Index, are assigned on the basis of breakpoints. </w:t>
      </w:r>
      <w:r>
        <w:t>S</w:t>
      </w:r>
      <w:r w:rsidRPr="00E54038">
        <w:t xml:space="preserve">ee </w:t>
      </w:r>
      <w:r>
        <w:t>Section 4</w:t>
      </w:r>
      <w:r w:rsidRPr="00E54038">
        <w:t xml:space="preserve"> for details on breakpoints.</w:t>
      </w:r>
    </w:p>
    <w:p w:rsidR="0006297A" w:rsidRPr="00E54038" w:rsidRDefault="0006297A" w:rsidP="0006297A">
      <w:pPr>
        <w:pStyle w:val="Heading2"/>
      </w:pPr>
      <w:bookmarkStart w:id="457" w:name="_Toc285440432"/>
      <w:bookmarkStart w:id="458" w:name="_Toc343682762"/>
      <w:r w:rsidRPr="00E54038">
        <w:t xml:space="preserve">Index </w:t>
      </w:r>
      <w:r>
        <w:t>m</w:t>
      </w:r>
      <w:r w:rsidRPr="00E54038">
        <w:t>aintenance</w:t>
      </w:r>
      <w:bookmarkEnd w:id="457"/>
      <w:bookmarkEnd w:id="458"/>
    </w:p>
    <w:p w:rsidR="0006297A" w:rsidRPr="00E54038" w:rsidRDefault="0006297A" w:rsidP="0006297A">
      <w:pPr>
        <w:pStyle w:val="RI07-BodyCopy95pt"/>
      </w:pPr>
      <w:r w:rsidRPr="00E54038">
        <w:t>The members of the Russell Global 1000, 2000, and 3000</w:t>
      </w:r>
      <w:r>
        <w:t xml:space="preserve"> indexes</w:t>
      </w:r>
      <w:r w:rsidRPr="00E54038">
        <w:t xml:space="preserve"> are proactively maintained and reflect daily changes in the global equity markets. The Russell Global 1000, 2000 and 3000 follow the same rules for corporate actions as their parent index, the Russell Global Index. </w:t>
      </w:r>
      <w:r>
        <w:t>See</w:t>
      </w:r>
      <w:r w:rsidRPr="00E54038">
        <w:t xml:space="preserve"> </w:t>
      </w:r>
      <w:r>
        <w:t>Section 7</w:t>
      </w:r>
      <w:r w:rsidRPr="00E54038">
        <w:t xml:space="preserve"> for details.</w:t>
      </w:r>
    </w:p>
    <w:p w:rsidR="0006297A" w:rsidRDefault="0006297A" w:rsidP="0006297A">
      <w:pPr>
        <w:pStyle w:val="RI07-BodyCopy95pt"/>
      </w:pPr>
    </w:p>
    <w:p w:rsidR="0006297A" w:rsidRDefault="0006297A" w:rsidP="0006297A">
      <w:pPr>
        <w:pStyle w:val="RI07-BodyCopy95pt"/>
        <w:sectPr w:rsidR="0006297A"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Pr>
          <w:caps w:val="0"/>
          <w:sz w:val="19"/>
        </w:rPr>
        <w:lastRenderedPageBreak/>
        <w:t>A</w:t>
      </w:r>
      <w:r w:rsidRPr="00400FFD">
        <w:t>PPENDIX A</w:t>
      </w:r>
    </w:p>
    <w:p w:rsidR="0006297A" w:rsidRDefault="0006297A" w:rsidP="0006297A">
      <w:pPr>
        <w:pStyle w:val="Heading1"/>
      </w:pPr>
      <w:bookmarkStart w:id="459" w:name="_Russell_Global_Indexes:"/>
      <w:bookmarkStart w:id="460" w:name="_Toc343682763"/>
      <w:bookmarkEnd w:id="459"/>
      <w:r w:rsidRPr="00D32180">
        <w:t>Russell Global Indexes: Core indexes</w:t>
      </w:r>
      <w:bookmarkEnd w:id="412"/>
      <w:bookmarkEnd w:id="413"/>
      <w:bookmarkEnd w:id="460"/>
    </w:p>
    <w:p w:rsidR="0006297A" w:rsidRDefault="0006297A" w:rsidP="0006297A">
      <w:pPr>
        <w:pStyle w:val="RI07-BodyCopy95pt"/>
      </w:pPr>
      <w:r>
        <w:rPr>
          <w:b/>
          <w:color w:val="F38F1D"/>
        </w:rPr>
        <w:t>Available currencies</w:t>
      </w:r>
    </w:p>
    <w:p w:rsidR="0006297A" w:rsidRPr="00D32180" w:rsidRDefault="0006297A" w:rsidP="0006297A">
      <w:pPr>
        <w:pStyle w:val="RI07-BodyCopy95pt"/>
      </w:pPr>
      <w:r w:rsidRPr="00D32180">
        <w:t xml:space="preserve">Performance </w:t>
      </w:r>
      <w:r>
        <w:t xml:space="preserve">data </w:t>
      </w:r>
      <w:r w:rsidRPr="00D32180">
        <w:t xml:space="preserve">for the Russell Global Index </w:t>
      </w:r>
      <w:r>
        <w:t>are</w:t>
      </w:r>
      <w:r w:rsidRPr="00D32180">
        <w:t xml:space="preserve"> available in the following currencies. Currency conversions are applied using WM Reuters London Stock Exchange 4</w:t>
      </w:r>
      <w:r>
        <w:t>p.m.</w:t>
      </w:r>
      <w:r w:rsidRPr="00D32180">
        <w:t xml:space="preserve"> close.</w:t>
      </w:r>
    </w:p>
    <w:p w:rsidR="0006297A" w:rsidRPr="00D32180" w:rsidRDefault="0006297A" w:rsidP="0006297A">
      <w:pPr>
        <w:pStyle w:val="RI08-95ptBullet1"/>
        <w:tabs>
          <w:tab w:val="num" w:pos="720"/>
        </w:tabs>
        <w:ind w:left="720" w:hanging="360"/>
      </w:pPr>
      <w:r w:rsidRPr="00D32180">
        <w:t>AUD</w:t>
      </w:r>
    </w:p>
    <w:p w:rsidR="0006297A" w:rsidRPr="00D32180" w:rsidRDefault="0006297A" w:rsidP="0006297A">
      <w:pPr>
        <w:pStyle w:val="RI08-95ptBullet1"/>
        <w:tabs>
          <w:tab w:val="num" w:pos="720"/>
        </w:tabs>
        <w:ind w:left="720" w:hanging="360"/>
      </w:pPr>
      <w:r w:rsidRPr="00D32180">
        <w:t>CAD</w:t>
      </w:r>
    </w:p>
    <w:p w:rsidR="0006297A" w:rsidRPr="00D32180" w:rsidRDefault="0006297A" w:rsidP="0006297A">
      <w:pPr>
        <w:pStyle w:val="RI08-95ptBullet1"/>
        <w:tabs>
          <w:tab w:val="num" w:pos="720"/>
        </w:tabs>
        <w:ind w:left="720" w:hanging="360"/>
      </w:pPr>
      <w:r w:rsidRPr="00D32180">
        <w:t>CHF</w:t>
      </w:r>
    </w:p>
    <w:p w:rsidR="0006297A" w:rsidRPr="00D32180" w:rsidRDefault="0006297A" w:rsidP="0006297A">
      <w:pPr>
        <w:pStyle w:val="RI08-95ptBullet1"/>
        <w:tabs>
          <w:tab w:val="num" w:pos="720"/>
        </w:tabs>
        <w:ind w:left="720" w:hanging="360"/>
      </w:pPr>
      <w:r w:rsidRPr="00D32180">
        <w:t>EUR</w:t>
      </w:r>
    </w:p>
    <w:p w:rsidR="0006297A" w:rsidRPr="00D32180" w:rsidRDefault="0006297A" w:rsidP="0006297A">
      <w:pPr>
        <w:pStyle w:val="RI08-95ptBullet1"/>
        <w:tabs>
          <w:tab w:val="num" w:pos="720"/>
        </w:tabs>
        <w:ind w:left="720" w:hanging="360"/>
      </w:pPr>
      <w:r w:rsidRPr="00D32180">
        <w:t>GBP</w:t>
      </w:r>
    </w:p>
    <w:p w:rsidR="0006297A" w:rsidRPr="00D32180" w:rsidRDefault="0006297A" w:rsidP="0006297A">
      <w:pPr>
        <w:pStyle w:val="RI08-95ptBullet1"/>
        <w:tabs>
          <w:tab w:val="num" w:pos="720"/>
        </w:tabs>
        <w:ind w:left="720" w:hanging="360"/>
      </w:pPr>
      <w:r w:rsidRPr="00D32180">
        <w:t>JPY</w:t>
      </w:r>
    </w:p>
    <w:p w:rsidR="0006297A" w:rsidRPr="00D32180" w:rsidRDefault="0006297A" w:rsidP="0006297A">
      <w:pPr>
        <w:pStyle w:val="RI08-95ptBullet1"/>
        <w:tabs>
          <w:tab w:val="num" w:pos="720"/>
        </w:tabs>
        <w:ind w:left="720" w:hanging="360"/>
      </w:pPr>
      <w:r w:rsidRPr="00D32180">
        <w:t>LOC (</w:t>
      </w:r>
      <w:r>
        <w:t>l</w:t>
      </w:r>
      <w:r w:rsidRPr="00D32180">
        <w:t>ocal)*</w:t>
      </w:r>
    </w:p>
    <w:p w:rsidR="0006297A" w:rsidRPr="00D32180" w:rsidRDefault="0006297A" w:rsidP="0006297A">
      <w:pPr>
        <w:pStyle w:val="RI08-95ptBullet1"/>
        <w:tabs>
          <w:tab w:val="num" w:pos="720"/>
        </w:tabs>
        <w:ind w:left="720" w:hanging="360"/>
      </w:pPr>
      <w:r w:rsidRPr="00D32180">
        <w:t>USD</w:t>
      </w:r>
    </w:p>
    <w:p w:rsidR="0006297A" w:rsidRPr="00D32180" w:rsidRDefault="0006297A" w:rsidP="0006297A">
      <w:pPr>
        <w:pStyle w:val="RI07-BodyCopy95pt"/>
        <w:rPr>
          <w:sz w:val="16"/>
          <w:szCs w:val="16"/>
        </w:rPr>
      </w:pPr>
      <w:r w:rsidRPr="00D32180">
        <w:rPr>
          <w:sz w:val="16"/>
          <w:szCs w:val="16"/>
        </w:rPr>
        <w:t>* Local currency available at the security and country level.</w:t>
      </w:r>
    </w:p>
    <w:tbl>
      <w:tblPr>
        <w:tblW w:w="0" w:type="auto"/>
        <w:tblBorders>
          <w:top w:val="single" w:sz="4" w:space="0" w:color="5C5C5C"/>
          <w:left w:val="single" w:sz="4" w:space="0" w:color="5C5C5C"/>
          <w:bottom w:val="single" w:sz="4" w:space="0" w:color="5C5C5C"/>
          <w:right w:val="single" w:sz="4" w:space="0" w:color="5C5C5C"/>
        </w:tblBorders>
        <w:tblLook w:val="01E0"/>
      </w:tblPr>
      <w:tblGrid>
        <w:gridCol w:w="9490"/>
      </w:tblGrid>
      <w:tr w:rsidR="0006297A" w:rsidRPr="00BF3202" w:rsidTr="00676CED">
        <w:tc>
          <w:tcPr>
            <w:tcW w:w="9490" w:type="dxa"/>
            <w:tcBorders>
              <w:top w:val="single" w:sz="4" w:space="0" w:color="5C5C5C"/>
              <w:bottom w:val="single" w:sz="4" w:space="0" w:color="5C5C5C"/>
            </w:tcBorders>
            <w:shd w:val="clear" w:color="auto" w:fill="5C5C5C"/>
          </w:tcPr>
          <w:p w:rsidR="0006297A" w:rsidRPr="00BF3202" w:rsidRDefault="0006297A" w:rsidP="00676CED">
            <w:pPr>
              <w:pStyle w:val="RI07-BodyCopy95pt"/>
              <w:spacing w:before="60" w:after="60" w:line="240" w:lineRule="auto"/>
              <w:jc w:val="center"/>
              <w:rPr>
                <w:b/>
                <w:color w:val="FFFFFF"/>
                <w:sz w:val="18"/>
                <w:szCs w:val="18"/>
              </w:rPr>
            </w:pPr>
            <w:r w:rsidRPr="00BF3202">
              <w:rPr>
                <w:b/>
                <w:color w:val="FFFFFF"/>
                <w:sz w:val="18"/>
                <w:szCs w:val="18"/>
              </w:rPr>
              <w:t>GLOBAL</w:t>
            </w:r>
          </w:p>
        </w:tc>
      </w:tr>
    </w:tbl>
    <w:p w:rsidR="0006297A" w:rsidRPr="009E7142" w:rsidRDefault="0006297A" w:rsidP="0006297A">
      <w:pPr>
        <w:pStyle w:val="RI07-BodyCopy95pt"/>
        <w:spacing w:after="0" w:line="240" w:lineRule="auto"/>
        <w:rPr>
          <w:sz w:val="18"/>
          <w:szCs w:val="18"/>
        </w:rPr>
      </w:pPr>
    </w:p>
    <w:p w:rsidR="0006297A" w:rsidRPr="009E7142" w:rsidRDefault="0006297A" w:rsidP="0006297A">
      <w:pPr>
        <w:pStyle w:val="RI07-BodyCopy95pt"/>
        <w:spacing w:after="0" w:line="240" w:lineRule="auto"/>
        <w:rPr>
          <w:sz w:val="18"/>
          <w:szCs w:val="18"/>
        </w:rPr>
        <w:sectPr w:rsidR="0006297A" w:rsidRPr="009E7142" w:rsidSect="00676CED">
          <w:pgSz w:w="12240" w:h="15840"/>
          <w:pgMar w:top="1440" w:right="1440" w:bottom="1440" w:left="1526" w:header="720" w:footer="1267" w:gutter="0"/>
          <w:cols w:space="720"/>
          <w:titlePg/>
          <w:docGrid w:linePitch="360"/>
        </w:sectPr>
      </w:pPr>
    </w:p>
    <w:tbl>
      <w:tblPr>
        <w:tblW w:w="5000" w:type="pct"/>
        <w:tblBorders>
          <w:top w:val="single" w:sz="4" w:space="0" w:color="000000"/>
          <w:left w:val="single" w:sz="4" w:space="0" w:color="FFFFFF"/>
          <w:bottom w:val="single" w:sz="4" w:space="0" w:color="000000"/>
          <w:right w:val="single" w:sz="4" w:space="0" w:color="FFFFFF"/>
          <w:insideH w:val="single" w:sz="4" w:space="0" w:color="000000"/>
          <w:insideV w:val="single" w:sz="4" w:space="0" w:color="FFFFFF"/>
        </w:tblBorders>
        <w:tblLook w:val="0000"/>
      </w:tblPr>
      <w:tblGrid>
        <w:gridCol w:w="4637"/>
      </w:tblGrid>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lastRenderedPageBreak/>
              <w:t>Global</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w:t>
            </w:r>
            <w:r>
              <w:rPr>
                <w:rFonts w:cs="Arial"/>
                <w:sz w:val="18"/>
                <w:szCs w:val="18"/>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Global SMID</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 Euro</w:t>
            </w:r>
            <w:r>
              <w:rPr>
                <w:rFonts w:cs="Arial"/>
                <w:b/>
                <w:bCs/>
                <w:color w:val="66AADD"/>
                <w:sz w:val="18"/>
                <w:szCs w:val="18"/>
              </w:rPr>
              <w:t>z</w:t>
            </w:r>
            <w:r w:rsidRPr="00AC019D">
              <w:rPr>
                <w:rFonts w:cs="Arial"/>
                <w:b/>
                <w:bCs/>
                <w:color w:val="66AADD"/>
                <w:sz w:val="18"/>
                <w:szCs w:val="18"/>
              </w:rPr>
              <w:t>one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it-IT"/>
              </w:rPr>
            </w:pPr>
            <w:r w:rsidRPr="00AC019D">
              <w:rPr>
                <w:rFonts w:cs="Arial"/>
                <w:sz w:val="18"/>
                <w:szCs w:val="18"/>
                <w:lang w:val="it-IT"/>
              </w:rPr>
              <w:t>Global Euro</w:t>
            </w:r>
            <w:r>
              <w:rPr>
                <w:rFonts w:cs="Arial"/>
                <w:sz w:val="18"/>
                <w:szCs w:val="18"/>
                <w:lang w:val="it-IT"/>
              </w:rPr>
              <w:t>z</w:t>
            </w:r>
            <w:r w:rsidRPr="00AC019D">
              <w:rPr>
                <w:rFonts w:cs="Arial"/>
                <w:sz w:val="18"/>
                <w:szCs w:val="18"/>
                <w:lang w:val="it-IT"/>
              </w:rPr>
              <w:t xml:space="preserve">one </w:t>
            </w:r>
            <w:r>
              <w:rPr>
                <w:rFonts w:cs="Arial"/>
                <w:sz w:val="18"/>
                <w:szCs w:val="18"/>
                <w:lang w:val="it-IT"/>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 xml:space="preserve">one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 xml:space="preserve">one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it-IT"/>
              </w:rPr>
            </w:pPr>
            <w:r w:rsidRPr="00AC019D">
              <w:rPr>
                <w:rFonts w:cs="Arial"/>
                <w:sz w:val="18"/>
                <w:szCs w:val="18"/>
                <w:lang w:val="it-IT"/>
              </w:rPr>
              <w:t>Global Euro</w:t>
            </w:r>
            <w:r>
              <w:rPr>
                <w:rFonts w:cs="Arial"/>
                <w:sz w:val="18"/>
                <w:szCs w:val="18"/>
                <w:lang w:val="it-IT"/>
              </w:rPr>
              <w:t>z</w:t>
            </w:r>
            <w:r w:rsidRPr="00AC019D">
              <w:rPr>
                <w:rFonts w:cs="Arial"/>
                <w:sz w:val="18"/>
                <w:szCs w:val="18"/>
                <w:lang w:val="it-IT"/>
              </w:rPr>
              <w:t>one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Euro</w:t>
            </w:r>
            <w:r>
              <w:rPr>
                <w:rFonts w:cs="Arial"/>
                <w:sz w:val="18"/>
                <w:szCs w:val="18"/>
              </w:rPr>
              <w:t>z</w:t>
            </w:r>
            <w:r w:rsidRPr="00AC019D">
              <w:rPr>
                <w:rFonts w:cs="Arial"/>
                <w:sz w:val="18"/>
                <w:szCs w:val="18"/>
              </w:rPr>
              <w:t>one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 Mega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Mega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Global Mega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 ex-Australia</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Growth</w:t>
            </w:r>
          </w:p>
        </w:tc>
      </w:tr>
      <w:tr w:rsidR="0006297A" w:rsidRPr="00B30564" w:rsidTr="00676CED">
        <w:trPr>
          <w:trHeight w:val="210"/>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Global ex-Australia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ex-Australia </w:t>
            </w:r>
            <w:r>
              <w:rPr>
                <w:rFonts w:cs="Arial"/>
                <w:sz w:val="18"/>
                <w:szCs w:val="18"/>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ex-Australia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ex-Australia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ex-Australia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 ex-Canada</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ex-Canada Growth</w:t>
            </w:r>
          </w:p>
        </w:tc>
      </w:tr>
      <w:tr w:rsidR="0006297A" w:rsidRPr="00B30564"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pt-BR"/>
              </w:rPr>
            </w:pPr>
            <w:r w:rsidRPr="00AC019D">
              <w:rPr>
                <w:rFonts w:cs="Arial"/>
                <w:sz w:val="18"/>
                <w:szCs w:val="18"/>
                <w:lang w:val="pt-BR"/>
              </w:rPr>
              <w:t>Global ex-Canada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ex-Canada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ex-Canada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pt-BR"/>
              </w:rPr>
            </w:pPr>
            <w:r w:rsidRPr="00AC019D">
              <w:rPr>
                <w:rFonts w:cs="Arial"/>
                <w:sz w:val="18"/>
                <w:szCs w:val="18"/>
                <w:lang w:val="pt-BR"/>
              </w:rPr>
              <w:t xml:space="preserve">Global ex-Canada </w:t>
            </w:r>
            <w:r>
              <w:rPr>
                <w:rFonts w:cs="Arial"/>
                <w:sz w:val="18"/>
                <w:szCs w:val="18"/>
                <w:lang w:val="pt-BR"/>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ex-Canada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ex-Canada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pt-BR"/>
              </w:rPr>
            </w:pPr>
            <w:r w:rsidRPr="00AC019D">
              <w:rPr>
                <w:rFonts w:cs="Arial"/>
                <w:sz w:val="18"/>
                <w:szCs w:val="18"/>
                <w:lang w:val="pt-BR"/>
              </w:rPr>
              <w:t>Global ex-Canada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ex-Canada Small Cap </w:t>
            </w:r>
            <w:r>
              <w:rPr>
                <w:rFonts w:cs="Arial"/>
                <w:sz w:val="18"/>
                <w:szCs w:val="18"/>
              </w:rPr>
              <w:t>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ex-Canada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 ex-Japan</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ex-Japan Growth</w:t>
            </w:r>
          </w:p>
        </w:tc>
      </w:tr>
      <w:tr w:rsidR="0006297A" w:rsidRPr="00B30564"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fr-FR"/>
              </w:rPr>
            </w:pPr>
            <w:r w:rsidRPr="00AC019D">
              <w:rPr>
                <w:rFonts w:cs="Arial"/>
                <w:sz w:val="18"/>
                <w:szCs w:val="18"/>
                <w:lang w:val="fr-FR"/>
              </w:rPr>
              <w:t>Global ex-</w:t>
            </w:r>
            <w:r>
              <w:rPr>
                <w:rFonts w:cs="Arial"/>
                <w:sz w:val="18"/>
                <w:szCs w:val="18"/>
                <w:lang w:val="fr-FR"/>
              </w:rPr>
              <w:t>Japan</w:t>
            </w:r>
            <w:r w:rsidRPr="00AC019D">
              <w:rPr>
                <w:rFonts w:cs="Arial"/>
                <w:sz w:val="18"/>
                <w:szCs w:val="18"/>
                <w:lang w:val="fr-FR"/>
              </w:rPr>
              <w:t xml:space="preserve">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Global ex-Japan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ex-Japan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ex-Japan </w:t>
            </w:r>
            <w:r>
              <w:rPr>
                <w:rFonts w:cs="Arial"/>
                <w:sz w:val="18"/>
                <w:szCs w:val="18"/>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ex-Japan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ex-Japan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ex-Japan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ex-Japan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ex-Japan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ex-Japan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 ex-North America</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ex-North America </w:t>
            </w:r>
            <w:r>
              <w:rPr>
                <w:rFonts w:cs="Arial"/>
                <w:sz w:val="18"/>
                <w:szCs w:val="18"/>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ex-North America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Global ex-North America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 ex-North America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w:t>
            </w:r>
            <w:r>
              <w:rPr>
                <w:rFonts w:cs="Arial"/>
                <w:b/>
                <w:bCs/>
                <w:color w:val="66AADD"/>
                <w:sz w:val="18"/>
                <w:szCs w:val="18"/>
              </w:rPr>
              <w:t xml:space="preserve"> ex-UK</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Growth</w:t>
            </w:r>
          </w:p>
        </w:tc>
      </w:tr>
      <w:tr w:rsidR="0006297A" w:rsidRPr="00B30564" w:rsidTr="00676CED">
        <w:trPr>
          <w:trHeight w:val="210"/>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Global ex-UK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w:t>
            </w:r>
            <w:r>
              <w:rPr>
                <w:rFonts w:cs="Arial"/>
                <w:sz w:val="18"/>
                <w:szCs w:val="18"/>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Global</w:t>
            </w:r>
            <w:r>
              <w:rPr>
                <w:rFonts w:cs="Arial"/>
                <w:sz w:val="18"/>
                <w:szCs w:val="18"/>
              </w:rPr>
              <w:t xml:space="preserve"> ex-UK</w:t>
            </w:r>
            <w:r w:rsidRPr="00AC019D">
              <w:rPr>
                <w:rFonts w:cs="Arial"/>
                <w:sz w:val="18"/>
                <w:szCs w:val="18"/>
              </w:rPr>
              <w:t xml:space="preserve">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ex-UK</w:t>
            </w:r>
            <w:r w:rsidRPr="00AC019D">
              <w:rPr>
                <w:rFonts w:cs="Arial"/>
                <w:sz w:val="18"/>
                <w:szCs w:val="18"/>
              </w:rPr>
              <w:t xml:space="preserve"> Value</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Global</w:t>
            </w:r>
            <w:r>
              <w:rPr>
                <w:rFonts w:cs="Arial"/>
                <w:b/>
                <w:bCs/>
                <w:color w:val="66AADD"/>
                <w:sz w:val="18"/>
                <w:szCs w:val="18"/>
              </w:rPr>
              <w:t xml:space="preserve"> ex-US</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Large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w:t>
            </w:r>
            <w:r>
              <w:rPr>
                <w:rFonts w:cs="Arial"/>
                <w:sz w:val="18"/>
                <w:szCs w:val="18"/>
              </w:rPr>
              <w:t>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Global ex-US SMID</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Value</w:t>
            </w:r>
          </w:p>
        </w:tc>
      </w:tr>
      <w:tr w:rsidR="0006297A" w:rsidRPr="00B30564" w:rsidTr="00676CED">
        <w:trPr>
          <w:trHeight w:val="210"/>
        </w:trPr>
        <w:tc>
          <w:tcPr>
            <w:tcW w:w="5000" w:type="pct"/>
            <w:noWrap/>
            <w:vAlign w:val="bottom"/>
          </w:tcPr>
          <w:p w:rsidR="0006297A" w:rsidRPr="00E664B7" w:rsidRDefault="0006297A" w:rsidP="00676CED">
            <w:pPr>
              <w:pStyle w:val="RI07-BodyCopy95pt"/>
              <w:spacing w:after="0" w:line="240" w:lineRule="auto"/>
              <w:rPr>
                <w:rFonts w:cs="Arial"/>
                <w:b/>
                <w:bCs/>
                <w:color w:val="66AADD"/>
                <w:sz w:val="18"/>
                <w:szCs w:val="18"/>
                <w:lang w:val="fr-FR"/>
              </w:rPr>
            </w:pPr>
            <w:r w:rsidRPr="00E664B7">
              <w:rPr>
                <w:rFonts w:cs="Arial"/>
                <w:b/>
                <w:bCs/>
                <w:color w:val="66AADD"/>
                <w:sz w:val="18"/>
                <w:szCs w:val="18"/>
                <w:lang w:val="fr-FR"/>
              </w:rPr>
              <w:t>Global ex-US ex-Japan</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Growth</w:t>
            </w:r>
          </w:p>
        </w:tc>
      </w:tr>
      <w:tr w:rsidR="0006297A" w:rsidRPr="00B30564"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lang w:val="fr-FR"/>
              </w:rPr>
            </w:pPr>
            <w:r w:rsidRPr="00AC019D">
              <w:rPr>
                <w:rFonts w:cs="Arial"/>
                <w:sz w:val="18"/>
                <w:szCs w:val="18"/>
                <w:lang w:val="fr-FR"/>
              </w:rPr>
              <w:t>Global</w:t>
            </w:r>
            <w:r>
              <w:rPr>
                <w:rFonts w:cs="Arial"/>
                <w:sz w:val="18"/>
                <w:szCs w:val="18"/>
                <w:lang w:val="fr-FR"/>
              </w:rPr>
              <w:t xml:space="preserve"> ex-US</w:t>
            </w:r>
            <w:r w:rsidRPr="00AC019D">
              <w:rPr>
                <w:rFonts w:cs="Arial"/>
                <w:sz w:val="18"/>
                <w:szCs w:val="18"/>
                <w:lang w:val="fr-FR"/>
              </w:rPr>
              <w:t xml:space="preserve"> ex-Japan Large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Large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Large Cap Value</w:t>
            </w:r>
          </w:p>
        </w:tc>
      </w:tr>
      <w:tr w:rsidR="0006297A" w:rsidRPr="00B30564" w:rsidTr="00676CED">
        <w:trPr>
          <w:trHeight w:val="210"/>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Global ex-US ex-Japan Midcap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w:t>
            </w:r>
            <w:r>
              <w:rPr>
                <w:rFonts w:cs="Arial"/>
                <w:sz w:val="18"/>
                <w:szCs w:val="18"/>
              </w:rPr>
              <w:t>Midcap</w:t>
            </w:r>
            <w:r w:rsidRPr="00AC019D">
              <w:rPr>
                <w:rFonts w:cs="Arial"/>
                <w:sz w:val="18"/>
                <w:szCs w:val="18"/>
              </w:rPr>
              <w:t xml:space="preserve">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w:t>
            </w:r>
            <w:r>
              <w:rPr>
                <w:rFonts w:cs="Arial"/>
                <w:sz w:val="18"/>
                <w:szCs w:val="18"/>
              </w:rPr>
              <w:t>Midcap</w:t>
            </w:r>
            <w:r w:rsidRPr="00AC019D">
              <w:rPr>
                <w:rFonts w:cs="Arial"/>
                <w:sz w:val="18"/>
                <w:szCs w:val="18"/>
              </w:rPr>
              <w:t xml:space="preserve">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Small Cap</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Small Cap Growth</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Small Cap Value</w:t>
            </w:r>
          </w:p>
        </w:tc>
      </w:tr>
      <w:tr w:rsidR="0006297A" w:rsidRPr="00AC019D" w:rsidTr="00676CED">
        <w:trPr>
          <w:trHeight w:val="21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Global</w:t>
            </w:r>
            <w:r>
              <w:rPr>
                <w:rFonts w:cs="Arial"/>
                <w:sz w:val="18"/>
                <w:szCs w:val="18"/>
              </w:rPr>
              <w:t xml:space="preserve"> ex-US</w:t>
            </w:r>
            <w:r w:rsidRPr="00AC019D">
              <w:rPr>
                <w:rFonts w:cs="Arial"/>
                <w:sz w:val="18"/>
                <w:szCs w:val="18"/>
              </w:rPr>
              <w:t xml:space="preserve"> ex-Japan Value</w:t>
            </w:r>
          </w:p>
        </w:tc>
      </w:tr>
    </w:tbl>
    <w:p w:rsidR="0006297A" w:rsidRPr="00AC019D" w:rsidRDefault="0006297A" w:rsidP="0006297A">
      <w:pPr>
        <w:jc w:val="both"/>
        <w:rPr>
          <w:rFonts w:ascii="Arial" w:hAnsi="Arial" w:cs="Arial"/>
          <w:color w:val="5F6062"/>
          <w:sz w:val="18"/>
          <w:szCs w:val="18"/>
        </w:rPr>
        <w:sectPr w:rsidR="0006297A" w:rsidRPr="00AC019D" w:rsidSect="00676CED">
          <w:type w:val="continuous"/>
          <w:pgSz w:w="12240" w:h="15840"/>
          <w:pgMar w:top="1440" w:right="1440" w:bottom="1440" w:left="1526" w:header="720" w:footer="1267" w:gutter="0"/>
          <w:cols w:num="2" w:space="432"/>
          <w:titlePg/>
          <w:docGrid w:linePitch="360"/>
        </w:sectPr>
      </w:pPr>
    </w:p>
    <w:p w:rsidR="0006297A" w:rsidRPr="00AC019D" w:rsidRDefault="0006297A" w:rsidP="0006297A">
      <w:pPr>
        <w:jc w:val="both"/>
        <w:rPr>
          <w:rFonts w:ascii="Arial" w:hAnsi="Arial" w:cs="Arial"/>
          <w:color w:val="5F6062"/>
          <w:sz w:val="18"/>
          <w:szCs w:val="18"/>
        </w:rPr>
      </w:pPr>
    </w:p>
    <w:tbl>
      <w:tblPr>
        <w:tblW w:w="0" w:type="auto"/>
        <w:tblBorders>
          <w:top w:val="single" w:sz="4" w:space="0" w:color="5C5C5C"/>
          <w:left w:val="single" w:sz="4" w:space="0" w:color="5C5C5C"/>
          <w:bottom w:val="single" w:sz="4" w:space="0" w:color="5C5C5C"/>
          <w:right w:val="single" w:sz="4" w:space="0" w:color="5C5C5C"/>
        </w:tblBorders>
        <w:tblLook w:val="01E0"/>
      </w:tblPr>
      <w:tblGrid>
        <w:gridCol w:w="9490"/>
      </w:tblGrid>
      <w:tr w:rsidR="0006297A" w:rsidRPr="00BF3202" w:rsidTr="00676CED">
        <w:tc>
          <w:tcPr>
            <w:tcW w:w="9490" w:type="dxa"/>
            <w:tcBorders>
              <w:top w:val="single" w:sz="4" w:space="0" w:color="5C5C5C"/>
              <w:bottom w:val="single" w:sz="4" w:space="0" w:color="5C5C5C"/>
            </w:tcBorders>
            <w:shd w:val="clear" w:color="auto" w:fill="5C5C5C"/>
          </w:tcPr>
          <w:p w:rsidR="0006297A" w:rsidRPr="00BF3202" w:rsidRDefault="0006297A" w:rsidP="00676CED">
            <w:pPr>
              <w:pStyle w:val="RI07-BodyCopy95pt"/>
              <w:spacing w:before="60" w:after="60" w:line="240" w:lineRule="auto"/>
              <w:jc w:val="center"/>
              <w:rPr>
                <w:rFonts w:cs="Arial"/>
                <w:b/>
                <w:color w:val="FFFFFF"/>
                <w:sz w:val="18"/>
                <w:szCs w:val="18"/>
              </w:rPr>
            </w:pPr>
            <w:r w:rsidRPr="00BF3202">
              <w:rPr>
                <w:rFonts w:cs="Arial"/>
                <w:b/>
                <w:color w:val="FFFFFF"/>
                <w:sz w:val="18"/>
                <w:szCs w:val="18"/>
              </w:rPr>
              <w:t>REGIONAL</w:t>
            </w:r>
          </w:p>
        </w:tc>
      </w:tr>
    </w:tbl>
    <w:p w:rsidR="0006297A" w:rsidRPr="00AC019D" w:rsidRDefault="0006297A" w:rsidP="0006297A">
      <w:pPr>
        <w:jc w:val="both"/>
        <w:rPr>
          <w:rFonts w:ascii="Arial" w:hAnsi="Arial" w:cs="Arial"/>
          <w:color w:val="5F6062"/>
          <w:sz w:val="18"/>
          <w:szCs w:val="18"/>
        </w:rPr>
      </w:pPr>
    </w:p>
    <w:p w:rsidR="0006297A" w:rsidRPr="00AC019D" w:rsidRDefault="0006297A" w:rsidP="0006297A">
      <w:pPr>
        <w:pStyle w:val="RI07-BodyCopy95pt"/>
        <w:spacing w:after="0" w:line="240" w:lineRule="auto"/>
        <w:rPr>
          <w:rFonts w:cs="Arial"/>
          <w:b/>
          <w:bCs/>
          <w:sz w:val="18"/>
          <w:szCs w:val="18"/>
        </w:rPr>
        <w:sectPr w:rsidR="0006297A" w:rsidRPr="00AC019D" w:rsidSect="00676CED">
          <w:headerReference w:type="default" r:id="rId64"/>
          <w:footerReference w:type="default" r:id="rId65"/>
          <w:headerReference w:type="first" r:id="rId66"/>
          <w:footerReference w:type="first" r:id="rId67"/>
          <w:type w:val="continuous"/>
          <w:pgSz w:w="12240" w:h="15840"/>
          <w:pgMar w:top="1440" w:right="1440" w:bottom="1440" w:left="1526" w:header="720" w:footer="1267" w:gutter="0"/>
          <w:cols w:space="720"/>
          <w:titlePg/>
          <w:docGrid w:linePitch="360"/>
        </w:sectPr>
      </w:pPr>
    </w:p>
    <w:tbl>
      <w:tblPr>
        <w:tblW w:w="4949" w:type="pct"/>
        <w:tblInd w:w="18" w:type="dxa"/>
        <w:tblBorders>
          <w:top w:val="single" w:sz="4" w:space="0" w:color="000000"/>
          <w:left w:val="single" w:sz="4" w:space="0" w:color="FFFFFF"/>
          <w:bottom w:val="single" w:sz="4" w:space="0" w:color="000000"/>
          <w:right w:val="single" w:sz="4" w:space="0" w:color="FFFFFF"/>
          <w:insideH w:val="single" w:sz="4" w:space="0" w:color="000000"/>
          <w:insideV w:val="single" w:sz="4" w:space="0" w:color="000000"/>
        </w:tblBorders>
        <w:tblLayout w:type="fixed"/>
        <w:tblLook w:val="0000"/>
      </w:tblPr>
      <w:tblGrid>
        <w:gridCol w:w="4590"/>
      </w:tblGrid>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lastRenderedPageBreak/>
              <w:t>Asia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w:t>
            </w:r>
            <w:r>
              <w:rPr>
                <w:rFonts w:cs="Arial"/>
                <w:sz w:val="18"/>
                <w:szCs w:val="18"/>
              </w:rPr>
              <w:t>Midcap</w:t>
            </w:r>
            <w:r w:rsidRPr="00AC019D">
              <w:rPr>
                <w:rFonts w:cs="Arial"/>
                <w:sz w:val="18"/>
                <w:szCs w:val="18"/>
              </w:rPr>
              <w:t xml:space="preserve"> Value</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Asia ex-Japan</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ex-Japan Growth</w:t>
            </w:r>
          </w:p>
        </w:tc>
      </w:tr>
      <w:tr w:rsidR="0006297A" w:rsidRPr="00B30564" w:rsidTr="00676CED">
        <w:trPr>
          <w:trHeight w:val="70"/>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Asia ex-Japan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ex-Japan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ex-Japan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ex-Japan </w:t>
            </w:r>
            <w:r>
              <w:rPr>
                <w:rFonts w:cs="Arial"/>
                <w:sz w:val="18"/>
                <w:szCs w:val="18"/>
              </w:rPr>
              <w:t>Midcap</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ex-Japan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ex-Japan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ex-Japan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ex-Japan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Asia ex-Japan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ex-Japan Value</w:t>
            </w:r>
          </w:p>
        </w:tc>
      </w:tr>
      <w:tr w:rsidR="0006297A" w:rsidRPr="00AC019D" w:rsidTr="00676CED">
        <w:trPr>
          <w:trHeight w:val="152"/>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Asia Pacific</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Growth</w:t>
            </w:r>
          </w:p>
        </w:tc>
      </w:tr>
      <w:tr w:rsidR="0006297A" w:rsidRPr="00AC019D" w:rsidTr="00676CED">
        <w:trPr>
          <w:trHeight w:val="1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Large Cap</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Large Cap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Pacific </w:t>
            </w:r>
            <w:r>
              <w:rPr>
                <w:rFonts w:cs="Arial"/>
                <w:sz w:val="18"/>
                <w:szCs w:val="18"/>
              </w:rPr>
              <w:t>Midcap</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Pacific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Pacific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Asia Pacific SMID</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Small Cap Growth</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Small Cap Value</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Value</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Asia Pacific ex-Japan</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Growth</w:t>
            </w:r>
          </w:p>
        </w:tc>
      </w:tr>
      <w:tr w:rsidR="0006297A" w:rsidRPr="00B30564" w:rsidTr="00676CED">
        <w:trPr>
          <w:trHeight w:val="143"/>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Asia Pacific ex-Japan Large Cap</w:t>
            </w:r>
          </w:p>
        </w:tc>
      </w:tr>
      <w:tr w:rsidR="0006297A" w:rsidRPr="00AC019D" w:rsidTr="00676CED">
        <w:trPr>
          <w:trHeight w:val="143"/>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Large Cap Growth</w:t>
            </w:r>
          </w:p>
        </w:tc>
      </w:tr>
      <w:tr w:rsidR="0006297A" w:rsidRPr="00AC019D" w:rsidTr="00676CED">
        <w:trPr>
          <w:trHeight w:val="143"/>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Large Cap Value</w:t>
            </w:r>
          </w:p>
        </w:tc>
      </w:tr>
      <w:tr w:rsidR="0006297A" w:rsidRPr="00B30564" w:rsidTr="00676CED">
        <w:trPr>
          <w:trHeight w:val="70"/>
        </w:trPr>
        <w:tc>
          <w:tcPr>
            <w:tcW w:w="5000" w:type="pct"/>
            <w:noWrap/>
            <w:vAlign w:val="bottom"/>
          </w:tcPr>
          <w:p w:rsidR="0006297A" w:rsidRPr="00731B82" w:rsidRDefault="0006297A" w:rsidP="00676CED">
            <w:pPr>
              <w:pStyle w:val="RI07-BodyCopy95pt"/>
              <w:spacing w:after="0" w:line="240" w:lineRule="auto"/>
              <w:rPr>
                <w:rFonts w:cs="Arial"/>
                <w:sz w:val="18"/>
                <w:szCs w:val="18"/>
                <w:lang w:val="fr-FR"/>
              </w:rPr>
            </w:pPr>
            <w:r w:rsidRPr="00731B82">
              <w:rPr>
                <w:rFonts w:cs="Arial"/>
                <w:sz w:val="18"/>
                <w:szCs w:val="18"/>
                <w:lang w:val="fr-FR"/>
              </w:rPr>
              <w:t>Asia Pacific ex-Japan Midcap</w:t>
            </w:r>
          </w:p>
        </w:tc>
      </w:tr>
      <w:tr w:rsidR="0006297A" w:rsidRPr="00AC019D" w:rsidTr="00676CED">
        <w:trPr>
          <w:trHeight w:val="152"/>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Asia Pacific ex-Japan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 xml:space="preserve">Asia Pacific ex-Japan </w:t>
            </w:r>
            <w:r>
              <w:rPr>
                <w:rFonts w:cs="Arial"/>
                <w:sz w:val="18"/>
                <w:szCs w:val="18"/>
              </w:rPr>
              <w:t>Midcap</w:t>
            </w:r>
            <w:r w:rsidRPr="00AC019D">
              <w:rPr>
                <w:rFonts w:cs="Arial"/>
                <w:sz w:val="18"/>
                <w:szCs w:val="18"/>
              </w:rPr>
              <w:t xml:space="preserve"> Value</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Small Cap</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Small Cap Growth</w:t>
            </w:r>
          </w:p>
        </w:tc>
      </w:tr>
      <w:tr w:rsidR="0006297A" w:rsidRPr="00AC019D" w:rsidTr="00676CED">
        <w:trPr>
          <w:trHeight w:val="143"/>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Asia Pacific ex-Japan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BRIC</w:t>
            </w:r>
          </w:p>
        </w:tc>
      </w:tr>
      <w:tr w:rsidR="0006297A" w:rsidRPr="00AC019D" w:rsidTr="00676CED">
        <w:trPr>
          <w:trHeight w:val="152"/>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BRIC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BRIC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BRIC SMID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Large Cap</w:t>
            </w:r>
          </w:p>
        </w:tc>
      </w:tr>
      <w:tr w:rsidR="0006297A" w:rsidRPr="00AC019D" w:rsidTr="00676CED">
        <w:trPr>
          <w:trHeight w:val="1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Large Cap Growth</w:t>
            </w:r>
          </w:p>
        </w:tc>
      </w:tr>
      <w:tr w:rsidR="0006297A" w:rsidRPr="00AC019D" w:rsidTr="00676CED">
        <w:trPr>
          <w:trHeight w:val="18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Large Cap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Midcap</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Midcap</w:t>
            </w:r>
            <w:r w:rsidRPr="00AC019D">
              <w:rPr>
                <w:rFonts w:cs="Arial"/>
                <w:sz w:val="18"/>
                <w:szCs w:val="18"/>
              </w:rPr>
              <w:t xml:space="preserve"> Value</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Small Cap</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Small Cap Growth</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Value</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Europe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Europe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Europe </w:t>
            </w:r>
            <w:r>
              <w:rPr>
                <w:rFonts w:cs="Arial"/>
                <w:sz w:val="18"/>
                <w:szCs w:val="18"/>
              </w:rPr>
              <w:t>Midcap</w:t>
            </w:r>
            <w:r w:rsidRPr="00AC019D">
              <w:rPr>
                <w:rFonts w:cs="Arial"/>
                <w:sz w:val="18"/>
                <w:szCs w:val="18"/>
              </w:rPr>
              <w:t xml:space="preserve">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Europe </w:t>
            </w:r>
            <w:r>
              <w:rPr>
                <w:rFonts w:cs="Arial"/>
                <w:sz w:val="18"/>
                <w:szCs w:val="18"/>
              </w:rPr>
              <w:t>Midcap</w:t>
            </w:r>
            <w:r w:rsidRPr="00AC019D">
              <w:rPr>
                <w:rFonts w:cs="Arial"/>
                <w:sz w:val="18"/>
                <w:szCs w:val="18"/>
              </w:rPr>
              <w:t xml:space="preserve"> Value</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Developed Europe SM 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Small Cap</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Small Cap Growth</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Pacific Basin</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Growth</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Large Cap Growth</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Pacific Basin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Pacific Basin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Pacific Basin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Developed Pacific Basin SMID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ex-Canada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Large Cap</w:t>
            </w:r>
          </w:p>
        </w:tc>
      </w:tr>
      <w:tr w:rsidR="0006297A" w:rsidRPr="00AC019D" w:rsidTr="00676CED">
        <w:trPr>
          <w:trHeight w:val="143"/>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ex-Canada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ex-Canada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ex-Canada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Small Cap</w:t>
            </w:r>
          </w:p>
        </w:tc>
      </w:tr>
      <w:tr w:rsidR="0006297A" w:rsidRPr="00AC019D" w:rsidTr="00676CED">
        <w:trPr>
          <w:trHeight w:val="1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Developed ex-Canada Small Cap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Small Cap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ex-Canada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ex-Japan</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ex-Japan </w:t>
            </w:r>
            <w:r>
              <w:rPr>
                <w:rFonts w:cs="Arial"/>
                <w:sz w:val="18"/>
                <w:szCs w:val="18"/>
              </w:rPr>
              <w:t>Midcap</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ex-Japan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ex-Japan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ex-Japan Value</w:t>
            </w:r>
          </w:p>
        </w:tc>
      </w:tr>
      <w:tr w:rsidR="0006297A" w:rsidRPr="00AC019D" w:rsidTr="00676CED">
        <w:trPr>
          <w:trHeight w:val="152"/>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ex-North America</w:t>
            </w:r>
          </w:p>
        </w:tc>
      </w:tr>
      <w:tr w:rsidR="0006297A" w:rsidRPr="00AC019D" w:rsidTr="00676CED">
        <w:trPr>
          <w:trHeight w:val="152"/>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Large Cap</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Large Cap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ex-North America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ex-North America </w:t>
            </w:r>
            <w:r>
              <w:rPr>
                <w:rFonts w:cs="Arial"/>
                <w:sz w:val="18"/>
                <w:szCs w:val="18"/>
              </w:rPr>
              <w:t>Midcap</w:t>
            </w:r>
            <w:r w:rsidRPr="00AC019D">
              <w:rPr>
                <w:rFonts w:cs="Arial"/>
                <w:sz w:val="18"/>
                <w:szCs w:val="18"/>
              </w:rPr>
              <w:t xml:space="preserve"> Growth</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ex-North America </w:t>
            </w:r>
            <w:r>
              <w:rPr>
                <w:rFonts w:cs="Arial"/>
                <w:sz w:val="18"/>
                <w:szCs w:val="18"/>
              </w:rPr>
              <w:t>Midcap</w:t>
            </w:r>
            <w:r w:rsidRPr="00AC019D">
              <w:rPr>
                <w:rFonts w:cs="Arial"/>
                <w:sz w:val="18"/>
                <w:szCs w:val="18"/>
              </w:rPr>
              <w:t xml:space="preserve">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Developed ex-North America SMID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Small Cap</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ex-North America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w:t>
            </w:r>
            <w:r>
              <w:rPr>
                <w:rFonts w:cs="Arial"/>
                <w:b/>
                <w:bCs/>
                <w:color w:val="66AADD"/>
                <w:sz w:val="18"/>
                <w:szCs w:val="18"/>
              </w:rPr>
              <w:t xml:space="preserve"> ex-US</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Developed ex-US SMID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ex-US</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w:t>
            </w:r>
            <w:r>
              <w:rPr>
                <w:rFonts w:cs="Arial"/>
                <w:b/>
                <w:bCs/>
                <w:color w:val="66AADD"/>
                <w:sz w:val="18"/>
                <w:szCs w:val="18"/>
              </w:rPr>
              <w:t xml:space="preserve"> ex-UK</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Small Cap Value</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w:t>
            </w:r>
            <w:r>
              <w:rPr>
                <w:rFonts w:cs="Arial"/>
                <w:sz w:val="18"/>
                <w:szCs w:val="18"/>
              </w:rPr>
              <w:t xml:space="preserve"> ex-UK</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 xml:space="preserve">Developed </w:t>
            </w:r>
            <w:r>
              <w:rPr>
                <w:rFonts w:cs="Arial"/>
                <w:b/>
                <w:bCs/>
                <w:color w:val="66AADD"/>
                <w:sz w:val="18"/>
                <w:szCs w:val="18"/>
              </w:rPr>
              <w:t>Eurozone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 xml:space="preserve">Developed </w:t>
            </w:r>
            <w:r>
              <w:rPr>
                <w:rFonts w:cs="Arial"/>
                <w:sz w:val="18"/>
                <w:szCs w:val="18"/>
              </w:rPr>
              <w:t>Eurozone</w:t>
            </w:r>
            <w:r w:rsidRPr="00AC019D">
              <w:rPr>
                <w:rFonts w:cs="Arial"/>
                <w:sz w:val="18"/>
                <w:szCs w:val="18"/>
              </w:rPr>
              <w:t xml:space="preserve">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Large Cap Value</w:t>
            </w:r>
          </w:p>
        </w:tc>
      </w:tr>
      <w:tr w:rsidR="0006297A" w:rsidRPr="00AC019D" w:rsidTr="00676CED">
        <w:trPr>
          <w:trHeight w:val="143"/>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Developed Eurozone SMID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Small Cap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Small Cap Value</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w:t>
            </w:r>
            <w:r>
              <w:rPr>
                <w:rFonts w:cs="Arial"/>
                <w:sz w:val="18"/>
                <w:szCs w:val="18"/>
              </w:rPr>
              <w:t>Eurozone</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Europe</w:t>
            </w:r>
            <w:r>
              <w:rPr>
                <w:rFonts w:cs="Arial"/>
                <w:b/>
                <w:bCs/>
                <w:color w:val="66AADD"/>
                <w:sz w:val="18"/>
                <w:szCs w:val="18"/>
              </w:rPr>
              <w:t xml:space="preserve"> ex-UK</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Large Cap Growth</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Large Cap Value</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Small Cap Growth</w:t>
            </w:r>
          </w:p>
        </w:tc>
      </w:tr>
      <w:tr w:rsidR="0006297A" w:rsidRPr="00AC019D" w:rsidTr="00676CED">
        <w:trPr>
          <w:trHeight w:val="143"/>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Europe</w:t>
            </w:r>
            <w:r>
              <w:rPr>
                <w:rFonts w:cs="Arial"/>
                <w:sz w:val="18"/>
                <w:szCs w:val="18"/>
              </w:rPr>
              <w:t xml:space="preserve"> ex-UK</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Developed Pacific Basin ex-Japan</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Pacific Basin ex-Japan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Pacific Basin ex-Japan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Developed Pacific Basin ex-Japan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Developed Pacific Basin ex-Japan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Emerging Asia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Asia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Asia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Asia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Asia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Emerging EMEA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EMEA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EMEA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EMEA </w:t>
            </w:r>
            <w:r>
              <w:rPr>
                <w:rFonts w:cs="Arial"/>
                <w:sz w:val="18"/>
                <w:szCs w:val="18"/>
              </w:rPr>
              <w:t>Midcap</w:t>
            </w:r>
            <w:r w:rsidRPr="00AC019D">
              <w:rPr>
                <w:rFonts w:cs="Arial"/>
                <w:sz w:val="18"/>
                <w:szCs w:val="18"/>
              </w:rPr>
              <w:t xml:space="preserve"> Value</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Emerging EMEA Small Cap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EMEA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Emerging Europe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Europe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Europe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Europe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Emerging Europe SMID</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Europe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Emerging Markets</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Large Cap</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Markets </w:t>
            </w:r>
            <w:r>
              <w:rPr>
                <w:rFonts w:cs="Arial"/>
                <w:sz w:val="18"/>
                <w:szCs w:val="18"/>
              </w:rPr>
              <w:t>Midcap</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Markets </w:t>
            </w:r>
            <w:r>
              <w:rPr>
                <w:rFonts w:cs="Arial"/>
                <w:sz w:val="18"/>
                <w:szCs w:val="18"/>
              </w:rPr>
              <w:t>Midcap</w:t>
            </w:r>
            <w:r w:rsidRPr="00AC019D">
              <w:rPr>
                <w:rFonts w:cs="Arial"/>
                <w:sz w:val="18"/>
                <w:szCs w:val="18"/>
              </w:rPr>
              <w:t xml:space="preserve"> Growth</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Emerging Markets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Small Cap Growth</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Small Cap Value</w:t>
            </w:r>
          </w:p>
        </w:tc>
      </w:tr>
      <w:tr w:rsidR="0006297A" w:rsidRPr="00AC019D" w:rsidTr="00676CED">
        <w:trPr>
          <w:trHeight w:val="125"/>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Emerging Markets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Europe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Large Cap Value</w:t>
            </w:r>
          </w:p>
        </w:tc>
      </w:tr>
      <w:tr w:rsidR="0006297A" w:rsidRPr="00AC019D" w:rsidTr="00676CED">
        <w:trPr>
          <w:trHeight w:val="107"/>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Europe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Europe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Europe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Europe</w:t>
            </w:r>
            <w:r>
              <w:rPr>
                <w:rFonts w:cs="Arial"/>
                <w:b/>
                <w:bCs/>
                <w:color w:val="66AADD"/>
                <w:sz w:val="18"/>
                <w:szCs w:val="18"/>
              </w:rPr>
              <w:t xml:space="preserve"> ex-UK</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w:t>
            </w:r>
            <w:r>
              <w:rPr>
                <w:rFonts w:cs="Arial"/>
                <w:sz w:val="18"/>
                <w:szCs w:val="18"/>
              </w:rPr>
              <w:t xml:space="preserve"> ex-UK</w:t>
            </w:r>
            <w:r w:rsidRPr="00AC019D">
              <w:rPr>
                <w:rFonts w:cs="Arial"/>
                <w:sz w:val="18"/>
                <w:szCs w:val="18"/>
              </w:rPr>
              <w:t xml:space="preserve"> Growth</w:t>
            </w:r>
          </w:p>
        </w:tc>
      </w:tr>
      <w:tr w:rsidR="0006297A" w:rsidRPr="00B30564"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lang w:val="fr-FR"/>
              </w:rPr>
            </w:pPr>
            <w:r w:rsidRPr="00AC019D">
              <w:rPr>
                <w:rFonts w:cs="Arial"/>
                <w:sz w:val="18"/>
                <w:szCs w:val="18"/>
                <w:lang w:val="fr-FR"/>
              </w:rPr>
              <w:t>Europe</w:t>
            </w:r>
            <w:r>
              <w:rPr>
                <w:rFonts w:cs="Arial"/>
                <w:sz w:val="18"/>
                <w:szCs w:val="18"/>
                <w:lang w:val="fr-FR"/>
              </w:rPr>
              <w:t xml:space="preserve"> ex-UK</w:t>
            </w:r>
            <w:r w:rsidRPr="00AC019D">
              <w:rPr>
                <w:rFonts w:cs="Arial"/>
                <w:sz w:val="18"/>
                <w:szCs w:val="18"/>
                <w:lang w:val="fr-FR"/>
              </w:rPr>
              <w:t xml:space="preserve">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w:t>
            </w:r>
            <w:r>
              <w:rPr>
                <w:rFonts w:cs="Arial"/>
                <w:sz w:val="18"/>
                <w:szCs w:val="18"/>
              </w:rPr>
              <w:t xml:space="preserve"> ex-UK</w:t>
            </w:r>
            <w:r w:rsidRPr="00AC019D">
              <w:rPr>
                <w:rFonts w:cs="Arial"/>
                <w:sz w:val="18"/>
                <w:szCs w:val="18"/>
              </w:rPr>
              <w:t xml:space="preserve"> Large Cap Growth</w:t>
            </w:r>
          </w:p>
        </w:tc>
      </w:tr>
      <w:tr w:rsidR="0006297A" w:rsidRPr="00B30564" w:rsidTr="00676CED">
        <w:trPr>
          <w:trHeight w:val="70"/>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Europe ex-UK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lang w:val="fr-FR"/>
              </w:rPr>
            </w:pPr>
            <w:r w:rsidRPr="00AC019D">
              <w:rPr>
                <w:rFonts w:cs="Arial"/>
                <w:sz w:val="18"/>
                <w:szCs w:val="18"/>
                <w:lang w:val="fr-FR"/>
              </w:rPr>
              <w:t>Europe</w:t>
            </w:r>
            <w:r>
              <w:rPr>
                <w:rFonts w:cs="Arial"/>
                <w:sz w:val="18"/>
                <w:szCs w:val="18"/>
                <w:lang w:val="fr-FR"/>
              </w:rPr>
              <w:t xml:space="preserve"> ex-UK</w:t>
            </w:r>
            <w:r w:rsidRPr="00AC019D">
              <w:rPr>
                <w:rFonts w:cs="Arial"/>
                <w:sz w:val="18"/>
                <w:szCs w:val="18"/>
                <w:lang w:val="fr-FR"/>
              </w:rPr>
              <w:t xml:space="preserve"> </w:t>
            </w:r>
            <w:r>
              <w:rPr>
                <w:rFonts w:cs="Arial"/>
                <w:sz w:val="18"/>
                <w:szCs w:val="18"/>
                <w:lang w:val="fr-FR"/>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w:t>
            </w:r>
            <w:r>
              <w:rPr>
                <w:rFonts w:cs="Arial"/>
                <w:sz w:val="18"/>
                <w:szCs w:val="18"/>
              </w:rPr>
              <w:t xml:space="preserve"> ex-UK</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B30564" w:rsidTr="00676CED">
        <w:trPr>
          <w:trHeight w:val="70"/>
        </w:trPr>
        <w:tc>
          <w:tcPr>
            <w:tcW w:w="5000" w:type="pct"/>
            <w:noWrap/>
            <w:vAlign w:val="bottom"/>
          </w:tcPr>
          <w:p w:rsidR="0006297A" w:rsidRPr="00E664B7" w:rsidRDefault="0006297A" w:rsidP="00676CED">
            <w:pPr>
              <w:pStyle w:val="RI07-BodyCopy95pt"/>
              <w:spacing w:after="0" w:line="240" w:lineRule="auto"/>
              <w:rPr>
                <w:rFonts w:cs="Arial"/>
                <w:sz w:val="18"/>
                <w:szCs w:val="18"/>
                <w:lang w:val="fr-FR"/>
              </w:rPr>
            </w:pPr>
            <w:r w:rsidRPr="00E664B7">
              <w:rPr>
                <w:rFonts w:cs="Arial"/>
                <w:sz w:val="18"/>
                <w:szCs w:val="18"/>
                <w:lang w:val="fr-FR"/>
              </w:rPr>
              <w:t>Europe ex-UK Midcap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w:t>
            </w:r>
            <w:r>
              <w:rPr>
                <w:rFonts w:cs="Arial"/>
                <w:sz w:val="18"/>
                <w:szCs w:val="18"/>
              </w:rPr>
              <w:t xml:space="preserve"> ex-UK</w:t>
            </w:r>
            <w:r w:rsidRPr="00AC019D">
              <w:rPr>
                <w:rFonts w:cs="Arial"/>
                <w:sz w:val="18"/>
                <w:szCs w:val="18"/>
              </w:rPr>
              <w:t xml:space="preserve">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w:t>
            </w:r>
            <w:r>
              <w:rPr>
                <w:rFonts w:cs="Arial"/>
                <w:sz w:val="18"/>
                <w:szCs w:val="18"/>
              </w:rPr>
              <w:t xml:space="preserve"> ex-UK</w:t>
            </w:r>
            <w:r w:rsidRPr="00AC019D">
              <w:rPr>
                <w:rFonts w:cs="Arial"/>
                <w:sz w:val="18"/>
                <w:szCs w:val="18"/>
              </w:rPr>
              <w:t xml:space="preserve">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Europe</w:t>
            </w:r>
            <w:r>
              <w:rPr>
                <w:rFonts w:cs="Arial"/>
                <w:sz w:val="18"/>
                <w:szCs w:val="18"/>
              </w:rPr>
              <w:t xml:space="preserve"> ex-UK</w:t>
            </w:r>
            <w:r w:rsidRPr="00AC019D">
              <w:rPr>
                <w:rFonts w:cs="Arial"/>
                <w:sz w:val="18"/>
                <w:szCs w:val="18"/>
              </w:rPr>
              <w:t xml:space="preserve">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lang w:val="fr-FR"/>
              </w:rPr>
            </w:pPr>
            <w:r w:rsidRPr="00AC019D">
              <w:rPr>
                <w:rFonts w:cs="Arial"/>
                <w:sz w:val="18"/>
                <w:szCs w:val="18"/>
                <w:lang w:val="fr-FR"/>
              </w:rPr>
              <w:t>Europe</w:t>
            </w:r>
            <w:r>
              <w:rPr>
                <w:rFonts w:cs="Arial"/>
                <w:sz w:val="18"/>
                <w:szCs w:val="18"/>
                <w:lang w:val="fr-FR"/>
              </w:rPr>
              <w:t xml:space="preserve"> ex-UK</w:t>
            </w:r>
            <w:r w:rsidRPr="00AC019D">
              <w:rPr>
                <w:rFonts w:cs="Arial"/>
                <w:sz w:val="18"/>
                <w:szCs w:val="18"/>
                <w:lang w:val="fr-FR"/>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Greater China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 xml:space="preserve">Greater China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Greater China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Greater China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Greater China Value</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Latin America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Latin America </w:t>
            </w:r>
            <w:r>
              <w:rPr>
                <w:rFonts w:cs="Arial"/>
                <w:sz w:val="18"/>
                <w:szCs w:val="18"/>
              </w:rPr>
              <w:t>Midcap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Latin America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Latin America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Latin America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Latin America Value</w:t>
            </w:r>
          </w:p>
        </w:tc>
      </w:tr>
      <w:tr w:rsidR="0006297A" w:rsidRPr="00AC019D" w:rsidTr="00676CED">
        <w:trPr>
          <w:trHeight w:val="70"/>
        </w:trPr>
        <w:tc>
          <w:tcPr>
            <w:tcW w:w="5000" w:type="pct"/>
            <w:noWrap/>
            <w:vAlign w:val="bottom"/>
          </w:tcPr>
          <w:p w:rsidR="0006297A" w:rsidRPr="00AC019D" w:rsidRDefault="0006297A" w:rsidP="00676CED">
            <w:pPr>
              <w:pStyle w:val="RI07-BodyCopy95pt"/>
              <w:keepNext/>
              <w:spacing w:after="0" w:line="240" w:lineRule="auto"/>
              <w:rPr>
                <w:rFonts w:cs="Arial"/>
                <w:b/>
                <w:bCs/>
                <w:color w:val="66AADD"/>
                <w:sz w:val="18"/>
                <w:szCs w:val="18"/>
              </w:rPr>
            </w:pPr>
            <w:r w:rsidRPr="00AC019D">
              <w:rPr>
                <w:rFonts w:cs="Arial"/>
                <w:b/>
                <w:bCs/>
                <w:color w:val="66AADD"/>
                <w:sz w:val="18"/>
                <w:szCs w:val="18"/>
              </w:rPr>
              <w:t>North America</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Growth</w:t>
            </w:r>
          </w:p>
        </w:tc>
      </w:tr>
      <w:tr w:rsidR="0006297A" w:rsidRPr="00AC019D" w:rsidTr="00676CED">
        <w:trPr>
          <w:trHeight w:val="8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Large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Large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Large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North America </w:t>
            </w:r>
            <w:r>
              <w:rPr>
                <w:rFonts w:cs="Arial"/>
                <w:sz w:val="18"/>
                <w:szCs w:val="18"/>
              </w:rPr>
              <w:t>Midcap</w:t>
            </w:r>
          </w:p>
        </w:tc>
      </w:tr>
      <w:tr w:rsidR="0006297A" w:rsidRPr="00AC019D" w:rsidTr="00676CED">
        <w:trPr>
          <w:trHeight w:val="98"/>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North America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North America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Small Cap</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Small Cap Growth</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Small Cap Value</w:t>
            </w:r>
          </w:p>
        </w:tc>
      </w:tr>
      <w:tr w:rsidR="0006297A" w:rsidRPr="00AC019D" w:rsidTr="00676CED">
        <w:trPr>
          <w:trHeight w:val="70"/>
        </w:trPr>
        <w:tc>
          <w:tcPr>
            <w:tcW w:w="5000" w:type="pct"/>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North America Value</w:t>
            </w:r>
          </w:p>
        </w:tc>
      </w:tr>
    </w:tbl>
    <w:p w:rsidR="0006297A" w:rsidRPr="00AC019D" w:rsidRDefault="0006297A" w:rsidP="0006297A">
      <w:pPr>
        <w:rPr>
          <w:rFonts w:ascii="Arial" w:hAnsi="Arial" w:cs="Arial"/>
          <w:sz w:val="18"/>
          <w:szCs w:val="18"/>
        </w:rPr>
        <w:sectPr w:rsidR="0006297A" w:rsidRPr="00AC019D" w:rsidSect="00676CED">
          <w:headerReference w:type="default" r:id="rId68"/>
          <w:headerReference w:type="first" r:id="rId69"/>
          <w:footerReference w:type="first" r:id="rId70"/>
          <w:type w:val="continuous"/>
          <w:pgSz w:w="12240" w:h="15840"/>
          <w:pgMar w:top="1440" w:right="1440" w:bottom="1440" w:left="1526" w:header="720" w:footer="1267" w:gutter="0"/>
          <w:cols w:num="2" w:space="432"/>
          <w:titlePg/>
          <w:docGrid w:linePitch="360"/>
        </w:sectPr>
      </w:pPr>
    </w:p>
    <w:p w:rsidR="0006297A" w:rsidRPr="00AC019D" w:rsidRDefault="0006297A" w:rsidP="0006297A">
      <w:pPr>
        <w:jc w:val="both"/>
        <w:rPr>
          <w:rFonts w:ascii="Arial" w:hAnsi="Arial" w:cs="Arial"/>
          <w:color w:val="5F6062"/>
          <w:sz w:val="18"/>
          <w:szCs w:val="18"/>
        </w:rPr>
      </w:pPr>
    </w:p>
    <w:tbl>
      <w:tblPr>
        <w:tblW w:w="0" w:type="auto"/>
        <w:tblBorders>
          <w:top w:val="single" w:sz="4" w:space="0" w:color="5C5C5C"/>
          <w:left w:val="single" w:sz="4" w:space="0" w:color="5C5C5C"/>
          <w:bottom w:val="single" w:sz="4" w:space="0" w:color="5C5C5C"/>
          <w:right w:val="single" w:sz="4" w:space="0" w:color="5C5C5C"/>
        </w:tblBorders>
        <w:tblLook w:val="01E0"/>
      </w:tblPr>
      <w:tblGrid>
        <w:gridCol w:w="9490"/>
      </w:tblGrid>
      <w:tr w:rsidR="0006297A" w:rsidRPr="00BF3202" w:rsidTr="00676CED">
        <w:tc>
          <w:tcPr>
            <w:tcW w:w="9490" w:type="dxa"/>
            <w:tcBorders>
              <w:top w:val="single" w:sz="4" w:space="0" w:color="5C5C5C"/>
              <w:bottom w:val="single" w:sz="4" w:space="0" w:color="5C5C5C"/>
            </w:tcBorders>
            <w:shd w:val="clear" w:color="auto" w:fill="5C5C5C"/>
          </w:tcPr>
          <w:p w:rsidR="0006297A" w:rsidRPr="00BF3202" w:rsidRDefault="0006297A" w:rsidP="00676CED">
            <w:pPr>
              <w:pStyle w:val="RI07-BodyCopy95pt"/>
              <w:spacing w:before="60" w:after="60" w:line="240" w:lineRule="auto"/>
              <w:jc w:val="center"/>
              <w:rPr>
                <w:rFonts w:cs="Arial"/>
                <w:b/>
                <w:color w:val="FFFFFF"/>
                <w:sz w:val="18"/>
                <w:szCs w:val="18"/>
              </w:rPr>
            </w:pPr>
            <w:r w:rsidRPr="00BF3202">
              <w:rPr>
                <w:rFonts w:cs="Arial"/>
                <w:b/>
                <w:color w:val="FFFFFF"/>
                <w:sz w:val="18"/>
                <w:szCs w:val="18"/>
              </w:rPr>
              <w:t>Country</w:t>
            </w:r>
          </w:p>
        </w:tc>
      </w:tr>
    </w:tbl>
    <w:p w:rsidR="0006297A" w:rsidRPr="00AC019D" w:rsidRDefault="0006297A" w:rsidP="0006297A">
      <w:pPr>
        <w:jc w:val="both"/>
        <w:rPr>
          <w:rFonts w:ascii="Arial" w:hAnsi="Arial" w:cs="Arial"/>
          <w:color w:val="5F6062"/>
          <w:sz w:val="18"/>
          <w:szCs w:val="18"/>
        </w:rPr>
      </w:pPr>
    </w:p>
    <w:p w:rsidR="0006297A" w:rsidRPr="00AC019D" w:rsidRDefault="0006297A" w:rsidP="0006297A">
      <w:pPr>
        <w:pStyle w:val="RI07-BodyCopy95pt"/>
        <w:spacing w:after="0" w:line="240" w:lineRule="auto"/>
        <w:rPr>
          <w:rFonts w:cs="Arial"/>
          <w:b/>
          <w:bCs/>
          <w:sz w:val="18"/>
          <w:szCs w:val="18"/>
        </w:rPr>
        <w:sectPr w:rsidR="0006297A" w:rsidRPr="00AC019D" w:rsidSect="00676CED">
          <w:headerReference w:type="default" r:id="rId71"/>
          <w:footerReference w:type="default" r:id="rId72"/>
          <w:headerReference w:type="first" r:id="rId73"/>
          <w:footerReference w:type="first" r:id="rId74"/>
          <w:type w:val="continuous"/>
          <w:pgSz w:w="12240" w:h="15840"/>
          <w:pgMar w:top="1440" w:right="1440" w:bottom="1440" w:left="1526" w:header="720" w:footer="1267" w:gutter="0"/>
          <w:cols w:space="720"/>
          <w:titlePg/>
          <w:docGrid w:linePitch="360"/>
        </w:sectPr>
      </w:pPr>
    </w:p>
    <w:tbl>
      <w:tblPr>
        <w:tblW w:w="5000" w:type="pct"/>
        <w:tblBorders>
          <w:top w:val="single" w:sz="4" w:space="0" w:color="000000"/>
          <w:left w:val="single" w:sz="4" w:space="0" w:color="FFFFFF"/>
          <w:bottom w:val="single" w:sz="4" w:space="0" w:color="000000"/>
          <w:right w:val="single" w:sz="4" w:space="0" w:color="FFFFFF"/>
          <w:insideH w:val="single" w:sz="4" w:space="0" w:color="000000"/>
          <w:insideV w:val="single" w:sz="4" w:space="0" w:color="000000"/>
        </w:tblBorders>
        <w:tblLook w:val="0000"/>
      </w:tblPr>
      <w:tblGrid>
        <w:gridCol w:w="4590"/>
        <w:gridCol w:w="47"/>
      </w:tblGrid>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lastRenderedPageBreak/>
              <w:t>Australia</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Australia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Australia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Australia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Australia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Austria</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Large Cap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Austria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Austria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Austria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Austria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Belgium</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Large Cap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Large Cap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Belgium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Belgium </w:t>
            </w:r>
            <w:r>
              <w:rPr>
                <w:rFonts w:cs="Arial"/>
                <w:sz w:val="18"/>
                <w:szCs w:val="18"/>
              </w:rPr>
              <w:t>Midcap</w:t>
            </w:r>
            <w:r w:rsidRPr="00AC019D">
              <w:rPr>
                <w:rFonts w:cs="Arial"/>
                <w:sz w:val="18"/>
                <w:szCs w:val="18"/>
              </w:rPr>
              <w:t xml:space="preserve">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Belgium </w:t>
            </w:r>
            <w:r>
              <w:rPr>
                <w:rFonts w:cs="Arial"/>
                <w:sz w:val="18"/>
                <w:szCs w:val="18"/>
              </w:rPr>
              <w:t>Midcap</w:t>
            </w:r>
            <w:r w:rsidRPr="00AC019D">
              <w:rPr>
                <w:rFonts w:cs="Arial"/>
                <w:sz w:val="18"/>
                <w:szCs w:val="18"/>
              </w:rPr>
              <w:t xml:space="preserve"> Value</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Small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Belgium Small Cap Value</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Brazil</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Brazil Growth</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Value</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Large Cap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Large Cap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Brazil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Brazil </w:t>
            </w:r>
            <w:r>
              <w:rPr>
                <w:rFonts w:cs="Arial"/>
                <w:sz w:val="18"/>
                <w:szCs w:val="18"/>
              </w:rPr>
              <w:t>Midcap</w:t>
            </w:r>
            <w:r w:rsidRPr="00AC019D">
              <w:rPr>
                <w:rFonts w:cs="Arial"/>
                <w:sz w:val="18"/>
                <w:szCs w:val="18"/>
              </w:rPr>
              <w:t xml:space="preserve">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Brazil </w:t>
            </w:r>
            <w:r>
              <w:rPr>
                <w:rFonts w:cs="Arial"/>
                <w:sz w:val="18"/>
                <w:szCs w:val="18"/>
              </w:rPr>
              <w:t>Midcap</w:t>
            </w:r>
            <w:r w:rsidRPr="00AC019D">
              <w:rPr>
                <w:rFonts w:cs="Arial"/>
                <w:sz w:val="18"/>
                <w:szCs w:val="18"/>
              </w:rPr>
              <w:t xml:space="preserve">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Small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Brazil Small Cap Value</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Canada</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Growth</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Large Cap</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Large Cap Growth</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Large Cap Value</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Canada </w:t>
            </w:r>
            <w:r>
              <w:rPr>
                <w:rFonts w:cs="Arial"/>
                <w:sz w:val="18"/>
                <w:szCs w:val="18"/>
              </w:rPr>
              <w:t>Midcap</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Canada </w:t>
            </w:r>
            <w:r>
              <w:rPr>
                <w:rFonts w:cs="Arial"/>
                <w:sz w:val="18"/>
                <w:szCs w:val="18"/>
              </w:rPr>
              <w:t>Midcap</w:t>
            </w:r>
            <w:r w:rsidRPr="00AC019D">
              <w:rPr>
                <w:rFonts w:cs="Arial"/>
                <w:sz w:val="18"/>
                <w:szCs w:val="18"/>
              </w:rPr>
              <w:t xml:space="preserve"> Growth</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Canada </w:t>
            </w:r>
            <w:r>
              <w:rPr>
                <w:rFonts w:cs="Arial"/>
                <w:sz w:val="18"/>
                <w:szCs w:val="18"/>
              </w:rPr>
              <w:t>Midcap</w:t>
            </w:r>
            <w:r w:rsidRPr="00AC019D">
              <w:rPr>
                <w:rFonts w:cs="Arial"/>
                <w:sz w:val="18"/>
                <w:szCs w:val="18"/>
              </w:rPr>
              <w:t xml:space="preserve"> Value</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Small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Small Cap Growth</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Canada Small Cap Value</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Chile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Large Cap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Large Cap Value</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Chile </w:t>
            </w:r>
            <w:r>
              <w:rPr>
                <w:rFonts w:cs="Arial"/>
                <w:sz w:val="18"/>
                <w:szCs w:val="18"/>
              </w:rPr>
              <w:t>Midcap</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Chile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Chile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Small Cap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Chile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China</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China Value</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Large Cap</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Large Cap Growth</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Large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China </w:t>
            </w:r>
            <w:r>
              <w:rPr>
                <w:rFonts w:cs="Arial"/>
                <w:sz w:val="18"/>
                <w:szCs w:val="18"/>
              </w:rPr>
              <w:t>Midcap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China </w:t>
            </w:r>
            <w:r>
              <w:rPr>
                <w:rFonts w:cs="Arial"/>
                <w:sz w:val="18"/>
                <w:szCs w:val="18"/>
              </w:rPr>
              <w:t>Midcap</w:t>
            </w:r>
            <w:r w:rsidRPr="00AC019D">
              <w:rPr>
                <w:rFonts w:cs="Arial"/>
                <w:sz w:val="18"/>
                <w:szCs w:val="18"/>
              </w:rPr>
              <w:t xml:space="preserve">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China </w:t>
            </w:r>
            <w:r>
              <w:rPr>
                <w:rFonts w:cs="Arial"/>
                <w:sz w:val="18"/>
                <w:szCs w:val="18"/>
              </w:rPr>
              <w:t>Midcap</w:t>
            </w:r>
            <w:r w:rsidRPr="00AC019D">
              <w:rPr>
                <w:rFonts w:cs="Arial"/>
                <w:sz w:val="18"/>
                <w:szCs w:val="18"/>
              </w:rPr>
              <w:t xml:space="preserve"> Value</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Small Cap</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Small Cap Growth</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China Small Cap Value</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Colombia</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Colombia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Colombia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Colombia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Colombia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Czech Republic</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Large 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Large Cap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Large Cap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Czech Republic </w:t>
            </w:r>
            <w:r>
              <w:rPr>
                <w:rFonts w:cs="Arial"/>
                <w:sz w:val="18"/>
                <w:szCs w:val="18"/>
              </w:rPr>
              <w:t>Midcap</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Czech Republic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Czech Republic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Czech Republic Small Cap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Denmark</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Denmark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Denmark </w:t>
            </w:r>
            <w:r>
              <w:rPr>
                <w:rFonts w:cs="Arial"/>
                <w:sz w:val="18"/>
                <w:szCs w:val="18"/>
              </w:rPr>
              <w:t>Midcap</w:t>
            </w:r>
            <w:r w:rsidRPr="00AC019D">
              <w:rPr>
                <w:rFonts w:cs="Arial"/>
                <w:sz w:val="18"/>
                <w:szCs w:val="18"/>
              </w:rPr>
              <w:t xml:space="preserve">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Denmark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Denmark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Egypt</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Large Cap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Egypt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Egypt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Egypt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Egypt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Egypt Small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Finland</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Large Cap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Finland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Finland </w:t>
            </w:r>
            <w:r>
              <w:rPr>
                <w:rFonts w:cs="Arial"/>
                <w:sz w:val="18"/>
                <w:szCs w:val="18"/>
              </w:rPr>
              <w:t>Midcap</w:t>
            </w:r>
            <w:r w:rsidRPr="00AC019D">
              <w:rPr>
                <w:rFonts w:cs="Arial"/>
                <w:sz w:val="18"/>
                <w:szCs w:val="18"/>
              </w:rPr>
              <w:t xml:space="preserve">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Finland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Small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Small Cap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Finland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France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France </w:t>
            </w:r>
            <w:r>
              <w:rPr>
                <w:rFonts w:cs="Arial"/>
                <w:sz w:val="18"/>
                <w:szCs w:val="18"/>
              </w:rPr>
              <w:t>Midcap</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France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France </w:t>
            </w:r>
            <w:r>
              <w:rPr>
                <w:rFonts w:cs="Arial"/>
                <w:sz w:val="18"/>
                <w:szCs w:val="18"/>
              </w:rPr>
              <w:t>Midcap</w:t>
            </w:r>
            <w:r w:rsidRPr="00AC019D">
              <w:rPr>
                <w:rFonts w:cs="Arial"/>
                <w:sz w:val="18"/>
                <w:szCs w:val="18"/>
              </w:rPr>
              <w:t xml:space="preserve">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Small Cap</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Small Cap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France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Germany</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Germany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Germany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Germany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Germany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Greece</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Large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Greece </w:t>
            </w:r>
            <w:r>
              <w:rPr>
                <w:rFonts w:cs="Arial"/>
                <w:sz w:val="18"/>
                <w:szCs w:val="18"/>
              </w:rPr>
              <w:t>Midcap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Greece </w:t>
            </w:r>
            <w:r>
              <w:rPr>
                <w:rFonts w:cs="Arial"/>
                <w:sz w:val="18"/>
                <w:szCs w:val="18"/>
              </w:rPr>
              <w:t>Midcap</w:t>
            </w:r>
            <w:r w:rsidRPr="00AC019D">
              <w:rPr>
                <w:rFonts w:cs="Arial"/>
                <w:sz w:val="18"/>
                <w:szCs w:val="18"/>
              </w:rPr>
              <w:t xml:space="preserve">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Greece </w:t>
            </w:r>
            <w:r>
              <w:rPr>
                <w:rFonts w:cs="Arial"/>
                <w:sz w:val="18"/>
                <w:szCs w:val="18"/>
              </w:rPr>
              <w:t>Midcap</w:t>
            </w:r>
            <w:r w:rsidRPr="00AC019D">
              <w:rPr>
                <w:rFonts w:cs="Arial"/>
                <w:sz w:val="18"/>
                <w:szCs w:val="18"/>
              </w:rPr>
              <w:t xml:space="preserve">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Greece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Hong Kong</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Hong Kong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Hong Kong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 xml:space="preserve">Hong Kong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Hong Kong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Hungary</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Large Cap</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Large Cap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Hungary </w:t>
            </w:r>
            <w:r>
              <w:rPr>
                <w:rFonts w:cs="Arial"/>
                <w:sz w:val="18"/>
                <w:szCs w:val="18"/>
              </w:rPr>
              <w:t>Midcap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Hungary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Hungary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Hungary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Iceland</w:t>
            </w:r>
            <w:r>
              <w:rPr>
                <w:rFonts w:cs="Arial"/>
                <w:b/>
                <w:bCs/>
                <w:color w:val="66AADD"/>
                <w:sz w:val="18"/>
                <w:szCs w:val="18"/>
              </w:rPr>
              <w:t xml:space="preserve"> (ineligible 2012)</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Iceland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Iceland </w:t>
            </w:r>
            <w:r>
              <w:rPr>
                <w:rFonts w:cs="Arial"/>
                <w:sz w:val="18"/>
                <w:szCs w:val="18"/>
              </w:rPr>
              <w:t>Midcap</w:t>
            </w:r>
            <w:r w:rsidRPr="00AC019D">
              <w:rPr>
                <w:rFonts w:cs="Arial"/>
                <w:sz w:val="18"/>
                <w:szCs w:val="18"/>
              </w:rPr>
              <w:t xml:space="preserve">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Iceland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Iceland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India</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Growth</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Large 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Large Cap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Large Cap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India </w:t>
            </w:r>
            <w:r>
              <w:rPr>
                <w:rFonts w:cs="Arial"/>
                <w:sz w:val="18"/>
                <w:szCs w:val="18"/>
              </w:rPr>
              <w:t>Midcap</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India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India </w:t>
            </w:r>
            <w:r>
              <w:rPr>
                <w:rFonts w:cs="Arial"/>
                <w:sz w:val="18"/>
                <w:szCs w:val="18"/>
              </w:rPr>
              <w:t>Midcap</w:t>
            </w:r>
            <w:r w:rsidRPr="00AC019D">
              <w:rPr>
                <w:rFonts w:cs="Arial"/>
                <w:sz w:val="18"/>
                <w:szCs w:val="18"/>
              </w:rPr>
              <w:t xml:space="preserve">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India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Indonesia</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Large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Indonesia </w:t>
            </w:r>
            <w:r>
              <w:rPr>
                <w:rFonts w:cs="Arial"/>
                <w:sz w:val="18"/>
                <w:szCs w:val="18"/>
              </w:rPr>
              <w:t>Midcap</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Indonesia </w:t>
            </w:r>
            <w:r>
              <w:rPr>
                <w:rFonts w:cs="Arial"/>
                <w:sz w:val="18"/>
                <w:szCs w:val="18"/>
              </w:rPr>
              <w:t>Midcap</w:t>
            </w:r>
            <w:r w:rsidRPr="00AC019D">
              <w:rPr>
                <w:rFonts w:cs="Arial"/>
                <w:sz w:val="18"/>
                <w:szCs w:val="18"/>
              </w:rPr>
              <w:t xml:space="preserve">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Indonesia </w:t>
            </w:r>
            <w:r>
              <w:rPr>
                <w:rFonts w:cs="Arial"/>
                <w:sz w:val="18"/>
                <w:szCs w:val="18"/>
              </w:rPr>
              <w:t>Midcap</w:t>
            </w:r>
            <w:r w:rsidRPr="00AC019D">
              <w:rPr>
                <w:rFonts w:cs="Arial"/>
                <w:sz w:val="18"/>
                <w:szCs w:val="18"/>
              </w:rPr>
              <w:t xml:space="preserve">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Small 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Small Cap Growth</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Indonesia Small Cap Value</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b/>
                <w:bCs/>
                <w:color w:val="66AADD"/>
                <w:sz w:val="18"/>
                <w:szCs w:val="18"/>
              </w:rPr>
            </w:pPr>
            <w:r>
              <w:rPr>
                <w:rFonts w:cs="Arial"/>
                <w:b/>
                <w:bCs/>
                <w:color w:val="66AADD"/>
                <w:sz w:val="18"/>
                <w:szCs w:val="18"/>
              </w:rPr>
              <w:t>Ireland</w:t>
            </w:r>
          </w:p>
        </w:tc>
      </w:tr>
      <w:tr w:rsidR="0006297A" w:rsidRPr="00AC019D" w:rsidTr="00676CED">
        <w:trPr>
          <w:gridAfter w:val="1"/>
          <w:wAfter w:w="31" w:type="pct"/>
          <w:trHeight w:val="8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Growth</w:t>
            </w:r>
          </w:p>
        </w:tc>
      </w:tr>
      <w:tr w:rsidR="0006297A" w:rsidRPr="00AC019D" w:rsidTr="00676CED">
        <w:trPr>
          <w:gridAfter w:val="1"/>
          <w:wAfter w:w="31" w:type="pct"/>
          <w:trHeight w:val="8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Value</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Large Cap</w:t>
            </w:r>
          </w:p>
        </w:tc>
      </w:tr>
      <w:tr w:rsidR="0006297A" w:rsidRPr="00AC019D" w:rsidTr="00676CED">
        <w:trPr>
          <w:gridAfter w:val="1"/>
          <w:wAfter w:w="31" w:type="pct"/>
          <w:trHeight w:val="98"/>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Large Cap Growth</w:t>
            </w:r>
          </w:p>
        </w:tc>
      </w:tr>
      <w:tr w:rsidR="0006297A" w:rsidRPr="00AC019D" w:rsidTr="00676CED">
        <w:trPr>
          <w:gridAfter w:val="1"/>
          <w:wAfter w:w="31" w:type="pct"/>
          <w:trHeight w:val="98"/>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lastRenderedPageBreak/>
              <w:t>Ireland</w:t>
            </w:r>
            <w:r w:rsidRPr="00AC019D">
              <w:rPr>
                <w:rFonts w:cs="Arial"/>
                <w:sz w:val="18"/>
                <w:szCs w:val="18"/>
              </w:rPr>
              <w:t xml:space="preserve"> Large Cap Value</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w:t>
            </w:r>
            <w:r>
              <w:rPr>
                <w:rFonts w:cs="Arial"/>
                <w:sz w:val="18"/>
                <w:szCs w:val="18"/>
              </w:rPr>
              <w:t>Midcap</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w:t>
            </w:r>
            <w:r>
              <w:rPr>
                <w:rFonts w:cs="Arial"/>
                <w:sz w:val="18"/>
                <w:szCs w:val="18"/>
              </w:rPr>
              <w:t>Midcap</w:t>
            </w:r>
            <w:r w:rsidRPr="00AC019D">
              <w:rPr>
                <w:rFonts w:cs="Arial"/>
                <w:sz w:val="18"/>
                <w:szCs w:val="18"/>
              </w:rPr>
              <w:t xml:space="preserve"> Growth</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w:t>
            </w:r>
            <w:r>
              <w:rPr>
                <w:rFonts w:cs="Arial"/>
                <w:sz w:val="18"/>
                <w:szCs w:val="18"/>
              </w:rPr>
              <w:t>Midcap</w:t>
            </w:r>
            <w:r w:rsidRPr="00AC019D">
              <w:rPr>
                <w:rFonts w:cs="Arial"/>
                <w:sz w:val="18"/>
                <w:szCs w:val="18"/>
              </w:rPr>
              <w:t xml:space="preserve"> Value</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Small Cap</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Small Cap Growth</w:t>
            </w:r>
          </w:p>
        </w:tc>
      </w:tr>
      <w:tr w:rsidR="0006297A" w:rsidRPr="00AC019D" w:rsidTr="00676CED">
        <w:trPr>
          <w:gridAfter w:val="1"/>
          <w:wAfter w:w="31" w:type="pct"/>
          <w:trHeight w:val="70"/>
        </w:trPr>
        <w:tc>
          <w:tcPr>
            <w:tcW w:w="4949" w:type="pct"/>
            <w:noWrap/>
            <w:vAlign w:val="bottom"/>
          </w:tcPr>
          <w:p w:rsidR="0006297A" w:rsidRPr="00AC019D" w:rsidRDefault="0006297A" w:rsidP="00676CED">
            <w:pPr>
              <w:pStyle w:val="RI07-BodyCopy95pt"/>
              <w:spacing w:after="0" w:line="240" w:lineRule="auto"/>
              <w:rPr>
                <w:rFonts w:cs="Arial"/>
                <w:sz w:val="18"/>
                <w:szCs w:val="18"/>
              </w:rPr>
            </w:pPr>
            <w:r>
              <w:rPr>
                <w:rFonts w:cs="Arial"/>
                <w:sz w:val="18"/>
                <w:szCs w:val="18"/>
              </w:rPr>
              <w:t>Ireland</w:t>
            </w:r>
            <w:r w:rsidRPr="00AC019D">
              <w:rPr>
                <w:rFonts w:cs="Arial"/>
                <w:sz w:val="18"/>
                <w:szCs w:val="18"/>
              </w:rPr>
              <w:t xml:space="preserve"> Small Cap Value</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Israel</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Value</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Large Cap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Large Cap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Israel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Israel </w:t>
            </w:r>
            <w:r>
              <w:rPr>
                <w:rFonts w:cs="Arial"/>
                <w:sz w:val="18"/>
                <w:szCs w:val="18"/>
              </w:rPr>
              <w:t>Midcap</w:t>
            </w:r>
            <w:r w:rsidRPr="00AC019D">
              <w:rPr>
                <w:rFonts w:cs="Arial"/>
                <w:sz w:val="18"/>
                <w:szCs w:val="18"/>
              </w:rPr>
              <w:t xml:space="preserve">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Israel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Small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Small Cap Growth</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Israel Small Cap Value</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Italy</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Large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Large Cap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Large Cap Value</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Italy </w:t>
            </w:r>
            <w:r>
              <w:rPr>
                <w:rFonts w:cs="Arial"/>
                <w:sz w:val="18"/>
                <w:szCs w:val="18"/>
              </w:rPr>
              <w:t>Midcap</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Italy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Italy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Small Cap</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Small Cap Growth</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Italy Small Cap Value</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Japan</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Large Cap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Large Cap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Japan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Japan </w:t>
            </w:r>
            <w:r>
              <w:rPr>
                <w:rFonts w:cs="Arial"/>
                <w:sz w:val="18"/>
                <w:szCs w:val="18"/>
              </w:rPr>
              <w:t>Midcap</w:t>
            </w:r>
            <w:r w:rsidRPr="00AC019D">
              <w:rPr>
                <w:rFonts w:cs="Arial"/>
                <w:sz w:val="18"/>
                <w:szCs w:val="18"/>
              </w:rPr>
              <w:t xml:space="preserve">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Japan </w:t>
            </w:r>
            <w:r>
              <w:rPr>
                <w:rFonts w:cs="Arial"/>
                <w:sz w:val="18"/>
                <w:szCs w:val="18"/>
              </w:rPr>
              <w:t>Midcap</w:t>
            </w:r>
            <w:r w:rsidRPr="00AC019D">
              <w:rPr>
                <w:rFonts w:cs="Arial"/>
                <w:sz w:val="18"/>
                <w:szCs w:val="18"/>
              </w:rPr>
              <w:t xml:space="preserve">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Small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Japan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Korea</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Large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Korea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Korea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Korea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Korea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Luxembourg</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Luxembourg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Luxembourg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Luxembourg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Luxembourg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Luxembourg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Malaysia</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Malaysia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Malaysia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Malaysia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Malaysia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Mexico</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Mexico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Mexico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Mexico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Small Cap Growth</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Mexico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Morocco</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Morocco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Morocco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Morocco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Small Cap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Morocco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Netherlands</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Netherlands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Netherlands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Netherlands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Netherlands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Netherlands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New Zealand</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Large Cap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Large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New Zealand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New Zealand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New Zealand </w:t>
            </w:r>
            <w:r>
              <w:rPr>
                <w:rFonts w:cs="Arial"/>
                <w:sz w:val="18"/>
                <w:szCs w:val="18"/>
              </w:rPr>
              <w:t>Midcap</w:t>
            </w:r>
            <w:r w:rsidRPr="00AC019D">
              <w:rPr>
                <w:rFonts w:cs="Arial"/>
                <w:sz w:val="18"/>
                <w:szCs w:val="18"/>
              </w:rPr>
              <w:t xml:space="preserve">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New Zealand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Norway</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Large Cap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Norway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Norway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Norway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Norway Small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Peru</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Peru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Peru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Peru </w:t>
            </w:r>
            <w:r>
              <w:rPr>
                <w:rFonts w:cs="Arial"/>
                <w:sz w:val="18"/>
                <w:szCs w:val="18"/>
              </w:rPr>
              <w:t>Midcap</w:t>
            </w:r>
            <w:r w:rsidRPr="00AC019D">
              <w:rPr>
                <w:rFonts w:cs="Arial"/>
                <w:sz w:val="18"/>
                <w:szCs w:val="18"/>
              </w:rPr>
              <w:t xml:space="preserve">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Peru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Philippines</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Philippines </w:t>
            </w:r>
            <w:r>
              <w:rPr>
                <w:rFonts w:cs="Arial"/>
                <w:sz w:val="18"/>
                <w:szCs w:val="18"/>
              </w:rPr>
              <w:t>Midcap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Philippines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Philippines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Philippines Small Cap Value</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Poland</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Large 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Large Cap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Large Cap Value</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Poland </w:t>
            </w:r>
            <w:r>
              <w:rPr>
                <w:rFonts w:cs="Arial"/>
                <w:sz w:val="18"/>
                <w:szCs w:val="18"/>
              </w:rPr>
              <w:t>Midcap</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Poland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 xml:space="preserve">Poland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Small Cap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Poland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Portugal</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Large Cap Growth</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Portugal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Portugal </w:t>
            </w:r>
            <w:r>
              <w:rPr>
                <w:rFonts w:cs="Arial"/>
                <w:sz w:val="18"/>
                <w:szCs w:val="18"/>
              </w:rPr>
              <w:t>Midcap</w:t>
            </w:r>
            <w:r w:rsidRPr="00AC019D">
              <w:rPr>
                <w:rFonts w:cs="Arial"/>
                <w:sz w:val="18"/>
                <w:szCs w:val="18"/>
              </w:rPr>
              <w:t xml:space="preserve">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Portugal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Small 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Small Cap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Portugal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Russia</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Growth</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Large Cap</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Large Cap Growth</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Large Cap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Russia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Russia </w:t>
            </w:r>
            <w:r>
              <w:rPr>
                <w:rFonts w:cs="Arial"/>
                <w:sz w:val="18"/>
                <w:szCs w:val="18"/>
              </w:rPr>
              <w:t>Midcap</w:t>
            </w:r>
            <w:r w:rsidRPr="00AC019D">
              <w:rPr>
                <w:rFonts w:cs="Arial"/>
                <w:sz w:val="18"/>
                <w:szCs w:val="18"/>
              </w:rPr>
              <w:t xml:space="preserve">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Russia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Small Cap</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Small Cap Growth</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Russia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Singapore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Large Cap</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Large Cap Growth</w:t>
            </w:r>
          </w:p>
        </w:tc>
      </w:tr>
      <w:tr w:rsidR="0006297A" w:rsidRPr="00AC019D" w:rsidTr="00676CED">
        <w:trPr>
          <w:trHeight w:val="1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Large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Singapore </w:t>
            </w:r>
            <w:r>
              <w:rPr>
                <w:rFonts w:cs="Arial"/>
                <w:sz w:val="18"/>
                <w:szCs w:val="18"/>
              </w:rPr>
              <w:t>Midcap</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Singapore </w:t>
            </w:r>
            <w:r>
              <w:rPr>
                <w:rFonts w:cs="Arial"/>
                <w:sz w:val="18"/>
                <w:szCs w:val="18"/>
              </w:rPr>
              <w:t>Midcap</w:t>
            </w:r>
            <w:r w:rsidRPr="00AC019D">
              <w:rPr>
                <w:rFonts w:cs="Arial"/>
                <w:sz w:val="18"/>
                <w:szCs w:val="18"/>
              </w:rPr>
              <w:t xml:space="preserve">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Singapore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Small Cap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Singapore Small Cap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keepNext/>
              <w:spacing w:after="0" w:line="240" w:lineRule="auto"/>
              <w:rPr>
                <w:rFonts w:cs="Arial"/>
                <w:b/>
                <w:bCs/>
                <w:color w:val="66AADD"/>
                <w:sz w:val="18"/>
                <w:szCs w:val="18"/>
              </w:rPr>
            </w:pPr>
            <w:r w:rsidRPr="00AC019D">
              <w:rPr>
                <w:rFonts w:cs="Arial"/>
                <w:b/>
                <w:bCs/>
                <w:color w:val="66AADD"/>
                <w:sz w:val="18"/>
                <w:szCs w:val="18"/>
              </w:rPr>
              <w:t>South Africa</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South Africa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South Africa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South Africa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Small Cap</w:t>
            </w:r>
          </w:p>
        </w:tc>
      </w:tr>
      <w:tr w:rsidR="0006297A" w:rsidRPr="00AC019D" w:rsidTr="00676CED">
        <w:trPr>
          <w:trHeight w:val="152"/>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South Africa Small Cap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Spain</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Value</w:t>
            </w:r>
          </w:p>
        </w:tc>
      </w:tr>
      <w:tr w:rsidR="0006297A" w:rsidRPr="00AC019D" w:rsidTr="00676CED">
        <w:trPr>
          <w:trHeight w:val="18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Spain Large Cap Value</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Spain </w:t>
            </w:r>
            <w:r>
              <w:rPr>
                <w:rFonts w:cs="Arial"/>
                <w:sz w:val="18"/>
                <w:szCs w:val="18"/>
              </w:rPr>
              <w:t>Midcap</w:t>
            </w:r>
          </w:p>
        </w:tc>
      </w:tr>
      <w:tr w:rsidR="0006297A" w:rsidRPr="00AC019D" w:rsidTr="00676CED">
        <w:trPr>
          <w:trHeight w:val="19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Spain </w:t>
            </w:r>
            <w:r>
              <w:rPr>
                <w:rFonts w:cs="Arial"/>
                <w:sz w:val="18"/>
                <w:szCs w:val="18"/>
              </w:rPr>
              <w:t>Midcap</w:t>
            </w:r>
            <w:r w:rsidRPr="00AC019D">
              <w:rPr>
                <w:rFonts w:cs="Arial"/>
                <w:sz w:val="18"/>
                <w:szCs w:val="18"/>
              </w:rPr>
              <w:t xml:space="preserve">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Spain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Small 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Small Cap Growth</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Spain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Sweden</w:t>
            </w:r>
          </w:p>
        </w:tc>
      </w:tr>
      <w:tr w:rsidR="0006297A" w:rsidRPr="00AC019D" w:rsidTr="00676CED">
        <w:trPr>
          <w:trHeight w:val="143"/>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Large Cap Value</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Sweden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Sweden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Sweden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Sweden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Switzerland</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Growth</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Value</w:t>
            </w:r>
          </w:p>
        </w:tc>
      </w:tr>
      <w:tr w:rsidR="0006297A" w:rsidRPr="00AC019D" w:rsidTr="00676CED">
        <w:trPr>
          <w:trHeight w:val="8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Large Cap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Switzerland </w:t>
            </w:r>
            <w:r>
              <w:rPr>
                <w:rFonts w:cs="Arial"/>
                <w:sz w:val="18"/>
                <w:szCs w:val="18"/>
              </w:rPr>
              <w:t>Midcap</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Switzerland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Switzerland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Switzerland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Taiwan</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Taiwan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Taiwan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Taiwan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Taiwan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Thailand</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Growth</w:t>
            </w:r>
          </w:p>
        </w:tc>
      </w:tr>
      <w:tr w:rsidR="0006297A" w:rsidRPr="00AC019D" w:rsidTr="00676CED">
        <w:trPr>
          <w:trHeight w:val="107"/>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Thailand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Thailand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Thailand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Thailand Small Cap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Turkey</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lastRenderedPageBreak/>
              <w:t>Turkey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Large 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Large Cap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Large Cap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Turkey </w:t>
            </w:r>
            <w:r>
              <w:rPr>
                <w:rFonts w:cs="Arial"/>
                <w:sz w:val="18"/>
                <w:szCs w:val="18"/>
              </w:rPr>
              <w:t>Midcap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Turkey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Turkey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Small 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Small Cap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Turkey Small Cap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United Arab Emirates</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Large 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Large Cap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Large Cap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Arab Emirates </w:t>
            </w:r>
            <w:r>
              <w:rPr>
                <w:rFonts w:cs="Arial"/>
                <w:sz w:val="18"/>
                <w:szCs w:val="18"/>
              </w:rPr>
              <w:t>Midcap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Arab Emirates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Arab Emirates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Small 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Small Cap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Arab Emirates Small Cap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United Kingdom</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Large 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Large Cap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Large Cap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Kingdom </w:t>
            </w:r>
            <w:r>
              <w:rPr>
                <w:rFonts w:cs="Arial"/>
                <w:sz w:val="18"/>
                <w:szCs w:val="18"/>
              </w:rPr>
              <w:t>Midcap</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Kingdom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Kingdom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tcMar>
              <w:left w:w="115" w:type="dxa"/>
              <w:right w:w="115" w:type="dxa"/>
            </w:tcMar>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Small Cap</w:t>
            </w:r>
          </w:p>
        </w:tc>
      </w:tr>
      <w:tr w:rsidR="0006297A" w:rsidRPr="00AC019D" w:rsidTr="00676CED">
        <w:trPr>
          <w:trHeight w:val="125"/>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Small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Kingdom Small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b/>
                <w:bCs/>
                <w:color w:val="66AADD"/>
                <w:sz w:val="18"/>
                <w:szCs w:val="18"/>
              </w:rPr>
            </w:pPr>
            <w:r w:rsidRPr="00AC019D">
              <w:rPr>
                <w:rFonts w:cs="Arial"/>
                <w:b/>
                <w:bCs/>
                <w:color w:val="66AADD"/>
                <w:sz w:val="18"/>
                <w:szCs w:val="18"/>
              </w:rPr>
              <w:t xml:space="preserve">United States </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Large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Large Cap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Large Cap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States </w:t>
            </w:r>
            <w:r>
              <w:rPr>
                <w:rFonts w:cs="Arial"/>
                <w:sz w:val="18"/>
                <w:szCs w:val="18"/>
              </w:rPr>
              <w:t>Midcap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States </w:t>
            </w:r>
            <w:r>
              <w:rPr>
                <w:rFonts w:cs="Arial"/>
                <w:sz w:val="18"/>
                <w:szCs w:val="18"/>
              </w:rPr>
              <w:t>Midcap</w:t>
            </w:r>
            <w:r w:rsidRPr="00AC019D">
              <w:rPr>
                <w:rFonts w:cs="Arial"/>
                <w:sz w:val="18"/>
                <w:szCs w:val="18"/>
              </w:rPr>
              <w:t xml:space="preserve"> Growth</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 xml:space="preserve">United States </w:t>
            </w:r>
            <w:r>
              <w:rPr>
                <w:rFonts w:cs="Arial"/>
                <w:sz w:val="18"/>
                <w:szCs w:val="18"/>
              </w:rPr>
              <w:t>Midcap</w:t>
            </w:r>
            <w:r w:rsidRPr="00AC019D">
              <w:rPr>
                <w:rFonts w:cs="Arial"/>
                <w:sz w:val="18"/>
                <w:szCs w:val="18"/>
              </w:rPr>
              <w:t xml:space="preserve"> Value</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Small Cap</w:t>
            </w:r>
          </w:p>
        </w:tc>
      </w:tr>
      <w:tr w:rsidR="0006297A" w:rsidRPr="00AC019D" w:rsidTr="00676CED">
        <w:trPr>
          <w:trHeight w:val="70"/>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Small Cap Growth</w:t>
            </w:r>
          </w:p>
        </w:tc>
      </w:tr>
      <w:tr w:rsidR="0006297A" w:rsidRPr="00AC019D" w:rsidTr="00676CED">
        <w:trPr>
          <w:trHeight w:val="98"/>
        </w:trPr>
        <w:tc>
          <w:tcPr>
            <w:tcW w:w="5000" w:type="pct"/>
            <w:gridSpan w:val="2"/>
            <w:noWrap/>
            <w:vAlign w:val="bottom"/>
          </w:tcPr>
          <w:p w:rsidR="0006297A" w:rsidRPr="00AC019D" w:rsidRDefault="0006297A" w:rsidP="00676CED">
            <w:pPr>
              <w:pStyle w:val="RI07-BodyCopy95pt"/>
              <w:spacing w:after="0" w:line="240" w:lineRule="auto"/>
              <w:rPr>
                <w:rFonts w:cs="Arial"/>
                <w:sz w:val="18"/>
                <w:szCs w:val="18"/>
              </w:rPr>
            </w:pPr>
            <w:r w:rsidRPr="00AC019D">
              <w:rPr>
                <w:rFonts w:cs="Arial"/>
                <w:sz w:val="18"/>
                <w:szCs w:val="18"/>
              </w:rPr>
              <w:t>United States Small Cap Value</w:t>
            </w:r>
          </w:p>
        </w:tc>
      </w:tr>
    </w:tbl>
    <w:p w:rsidR="0006297A" w:rsidRDefault="0006297A" w:rsidP="0006297A">
      <w:pPr>
        <w:pStyle w:val="RI07-BodyCopy95pt"/>
        <w:sectPr w:rsidR="0006297A" w:rsidSect="00676CED">
          <w:headerReference w:type="default" r:id="rId75"/>
          <w:headerReference w:type="first" r:id="rId76"/>
          <w:footerReference w:type="first" r:id="rId77"/>
          <w:type w:val="continuous"/>
          <w:pgSz w:w="12240" w:h="15840"/>
          <w:pgMar w:top="1440" w:right="1440" w:bottom="1440" w:left="1526" w:header="720" w:footer="1267" w:gutter="0"/>
          <w:cols w:num="2" w:space="432"/>
          <w:titlePg/>
          <w:docGrid w:linePitch="360"/>
        </w:sectPr>
      </w:pPr>
    </w:p>
    <w:p w:rsidR="0006297A" w:rsidRPr="00D32180" w:rsidRDefault="0006297A" w:rsidP="0006297A">
      <w:pPr>
        <w:pStyle w:val="RI01-Heading0"/>
      </w:pPr>
      <w:r w:rsidRPr="00A375DC">
        <w:lastRenderedPageBreak/>
        <w:t xml:space="preserve">APPENDIX </w:t>
      </w:r>
      <w:r>
        <w:t>B</w:t>
      </w:r>
    </w:p>
    <w:p w:rsidR="0006297A" w:rsidRPr="00D32180" w:rsidRDefault="0006297A" w:rsidP="0006297A">
      <w:pPr>
        <w:pStyle w:val="Heading1"/>
      </w:pPr>
      <w:bookmarkStart w:id="461" w:name="_Toc343682764"/>
      <w:bookmarkStart w:id="462" w:name="_Toc217446223"/>
      <w:bookmarkStart w:id="463" w:name="_Toc220919451"/>
      <w:r>
        <w:t>Country List</w:t>
      </w:r>
      <w:bookmarkEnd w:id="461"/>
    </w:p>
    <w:p w:rsidR="0006297A" w:rsidRPr="00D32180" w:rsidRDefault="0006297A" w:rsidP="0006297A">
      <w:pPr>
        <w:pStyle w:val="RI07-BodyCopy95pt"/>
      </w:pPr>
    </w:p>
    <w:tbl>
      <w:tblPr>
        <w:tblW w:w="4962" w:type="pct"/>
        <w:tblInd w:w="36" w:type="dxa"/>
        <w:tblLook w:val="00A0"/>
      </w:tblPr>
      <w:tblGrid>
        <w:gridCol w:w="3886"/>
        <w:gridCol w:w="2965"/>
        <w:gridCol w:w="2567"/>
      </w:tblGrid>
      <w:tr w:rsidR="0006297A" w:rsidTr="00676CED">
        <w:trPr>
          <w:trHeight w:val="255"/>
          <w:tblHeader/>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b/>
                <w:bCs/>
                <w:color w:val="66AADD"/>
                <w:sz w:val="18"/>
                <w:szCs w:val="18"/>
              </w:rPr>
            </w:pPr>
            <w:r w:rsidRPr="00FD62DF">
              <w:rPr>
                <w:rFonts w:cs="Arial"/>
                <w:b/>
                <w:bCs/>
                <w:color w:val="66AADD"/>
                <w:sz w:val="18"/>
                <w:szCs w:val="18"/>
              </w:rPr>
              <w:t xml:space="preserve">Country </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b/>
                <w:bCs/>
                <w:color w:val="66AADD"/>
                <w:sz w:val="18"/>
                <w:szCs w:val="18"/>
              </w:rPr>
            </w:pPr>
            <w:r w:rsidRPr="00FD62DF">
              <w:rPr>
                <w:rFonts w:cs="Arial"/>
                <w:b/>
                <w:bCs/>
                <w:color w:val="66AADD"/>
                <w:sz w:val="18"/>
                <w:szCs w:val="18"/>
              </w:rPr>
              <w:t>Country_ISO</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b/>
                <w:bCs/>
                <w:color w:val="66AADD"/>
                <w:sz w:val="18"/>
                <w:szCs w:val="18"/>
              </w:rPr>
            </w:pPr>
            <w:r w:rsidRPr="00FD62DF">
              <w:rPr>
                <w:rFonts w:cs="Arial"/>
                <w:b/>
                <w:bCs/>
                <w:color w:val="66AADD"/>
                <w:sz w:val="18"/>
                <w:szCs w:val="18"/>
              </w:rPr>
              <w:t>Market</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Argentina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125"/>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Australia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AU</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125"/>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Austria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AT</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Bahrain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BH</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Bangladesh</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BD</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Belgium</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Botswana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BW</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Brazil</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Bulgaria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BG</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Canada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8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Chile</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CL</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8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China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CN</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Colombia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CO</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Croatia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HR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98"/>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Cyprus</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CY</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98"/>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Czech Republic</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CZ</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107"/>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Denmark</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DK</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107"/>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Egypt</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EG</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Estonia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Finland</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FI</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France</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Gabon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Germany</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Ghana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GH</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Greece</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Hong Kong</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HK</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Hungary</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HU</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India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IN</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Indonesia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ID</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Pr>
                <w:rFonts w:cs="Arial"/>
                <w:sz w:val="18"/>
                <w:szCs w:val="18"/>
              </w:rPr>
              <w:t>Ireland</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Pr>
                <w:rFonts w:cs="Arial"/>
                <w:sz w:val="18"/>
                <w:szCs w:val="18"/>
              </w:rPr>
              <w:t>IE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Israel</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IL</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Italy</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IT</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Jamaica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JM</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Japan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JP</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Jordan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JO</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Kazakhstan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KZ</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1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Kenya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Korea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98"/>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Kuwait</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KW</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98"/>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Kyrgyzstan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KG</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107"/>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Lithuania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LT</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Luxembourg</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LU</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107"/>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Macedonia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MK</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Malaysia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MY</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Malta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MT</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Mauritius</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MU</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Mexico</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MX</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lastRenderedPageBreak/>
              <w:t>Morocco</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MA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Pr>
                <w:rFonts w:cs="Arial"/>
                <w:sz w:val="18"/>
                <w:szCs w:val="18"/>
              </w:rPr>
              <w:t>Namibia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Pr>
                <w:rFonts w:cs="Arial"/>
                <w:sz w:val="18"/>
                <w:szCs w:val="18"/>
              </w:rPr>
              <w:t>NA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Pr>
                <w:rFonts w:cs="Arial"/>
                <w:sz w:val="18"/>
                <w:szCs w:val="18"/>
              </w:rPr>
              <w:t>Frontier</w:t>
            </w:r>
          </w:p>
        </w:tc>
      </w:tr>
      <w:tr w:rsidR="0006297A" w:rsidTr="00676CED">
        <w:trPr>
          <w:trHeight w:val="143"/>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Netherlands</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NL</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New Zealand</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NZ</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Nigeria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NG</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Norway</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NO</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Oman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OM</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8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Pakistan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PK</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8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Papua New Guinea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PG</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188"/>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Peru</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Philippines</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PH</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98"/>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Poland</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PL</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Portugal</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PT</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Qatar</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QA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Romania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RO</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Russia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RU</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Serbia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RS</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Singapore</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SG</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Slovakia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SK</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Slovenia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SI</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South Africa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ZA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Spain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ES</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Sri Lanka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LK</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Sweden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Switzerland</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CH</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8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Taiwan</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TW</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Tanzania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TZ</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Thailand</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TH</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Trinidad and Tobago</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TT</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Tunisia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TN</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Turkey</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TR</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UAE</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AE</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Emerging</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Ukraine</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UA</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United Kingdom</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GB</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U</w:t>
            </w:r>
            <w:r>
              <w:rPr>
                <w:rFonts w:cs="Arial"/>
                <w:sz w:val="18"/>
                <w:szCs w:val="18"/>
              </w:rPr>
              <w:t xml:space="preserve">nited </w:t>
            </w:r>
            <w:r w:rsidRPr="00FD62DF">
              <w:rPr>
                <w:rFonts w:cs="Arial"/>
                <w:sz w:val="18"/>
                <w:szCs w:val="18"/>
              </w:rPr>
              <w:t>S</w:t>
            </w:r>
            <w:r>
              <w:rPr>
                <w:rFonts w:cs="Arial"/>
                <w:sz w:val="18"/>
                <w:szCs w:val="18"/>
              </w:rPr>
              <w:t xml:space="preserve">tates </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US</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Developed</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Vietnam</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VN</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r w:rsidR="0006297A" w:rsidTr="00676CED">
        <w:trPr>
          <w:trHeight w:val="70"/>
        </w:trPr>
        <w:tc>
          <w:tcPr>
            <w:tcW w:w="20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Zambia</w:t>
            </w:r>
          </w:p>
        </w:tc>
        <w:tc>
          <w:tcPr>
            <w:tcW w:w="1574"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ZM</w:t>
            </w:r>
          </w:p>
        </w:tc>
        <w:tc>
          <w:tcPr>
            <w:tcW w:w="1363" w:type="pct"/>
            <w:tcBorders>
              <w:top w:val="single" w:sz="4" w:space="0" w:color="auto"/>
              <w:left w:val="nil"/>
              <w:bottom w:val="single" w:sz="4" w:space="0" w:color="auto"/>
              <w:right w:val="nil"/>
            </w:tcBorders>
            <w:noWrap/>
            <w:vAlign w:val="bottom"/>
          </w:tcPr>
          <w:p w:rsidR="0006297A" w:rsidRPr="00FD62DF" w:rsidRDefault="0006297A" w:rsidP="00676CED">
            <w:pPr>
              <w:pStyle w:val="RI07-BodyCopy95pt"/>
              <w:spacing w:after="0" w:line="240" w:lineRule="auto"/>
              <w:rPr>
                <w:rFonts w:cs="Arial"/>
                <w:sz w:val="18"/>
                <w:szCs w:val="18"/>
              </w:rPr>
            </w:pPr>
            <w:r w:rsidRPr="00FD62DF">
              <w:rPr>
                <w:rFonts w:cs="Arial"/>
                <w:sz w:val="18"/>
                <w:szCs w:val="18"/>
              </w:rPr>
              <w:t>Frontier</w:t>
            </w:r>
          </w:p>
        </w:tc>
      </w:tr>
    </w:tbl>
    <w:p w:rsidR="0006297A" w:rsidRDefault="0006297A" w:rsidP="0006297A">
      <w:pPr>
        <w:pStyle w:val="RI01-Heading0"/>
        <w:spacing w:after="100" w:line="260" w:lineRule="exact"/>
      </w:pPr>
    </w:p>
    <w:p w:rsidR="0006297A" w:rsidRDefault="0006297A" w:rsidP="0006297A">
      <w:pPr>
        <w:pStyle w:val="RI01-Heading0"/>
        <w:spacing w:after="100" w:line="260" w:lineRule="exact"/>
        <w:sectPr w:rsidR="0006297A" w:rsidSect="00676CED">
          <w:headerReference w:type="default" r:id="rId78"/>
          <w:headerReference w:type="first" r:id="rId79"/>
          <w:footerReference w:type="first" r:id="rId80"/>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A375DC">
        <w:lastRenderedPageBreak/>
        <w:t xml:space="preserve">APPENDIX </w:t>
      </w:r>
      <w:r>
        <w:t>C</w:t>
      </w:r>
    </w:p>
    <w:p w:rsidR="0006297A" w:rsidRPr="00D32180" w:rsidRDefault="0006297A" w:rsidP="0006297A">
      <w:pPr>
        <w:pStyle w:val="Heading1"/>
      </w:pPr>
      <w:bookmarkStart w:id="464" w:name="_Toc343682765"/>
      <w:r w:rsidRPr="00D32180">
        <w:t>Eligible share classes by country</w:t>
      </w:r>
      <w:bookmarkEnd w:id="462"/>
      <w:bookmarkEnd w:id="463"/>
      <w:bookmarkEnd w:id="464"/>
    </w:p>
    <w:p w:rsidR="0006297A" w:rsidRPr="00D32180" w:rsidRDefault="0006297A" w:rsidP="0006297A">
      <w:pPr>
        <w:pStyle w:val="RI07-BodyCopy95pt"/>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1873"/>
        <w:gridCol w:w="2970"/>
        <w:gridCol w:w="4575"/>
      </w:tblGrid>
      <w:tr w:rsidR="0006297A" w:rsidRPr="00687875" w:rsidTr="00676CED">
        <w:trPr>
          <w:tblHeader/>
        </w:trPr>
        <w:tc>
          <w:tcPr>
            <w:tcW w:w="994" w:type="pct"/>
            <w:tcMar>
              <w:left w:w="72" w:type="dxa"/>
              <w:right w:w="72" w:type="dxa"/>
            </w:tcMar>
          </w:tcPr>
          <w:p w:rsidR="0006297A" w:rsidRPr="00687875" w:rsidRDefault="0006297A" w:rsidP="00676CED">
            <w:pPr>
              <w:pStyle w:val="RI07-BodyCopy95pt"/>
              <w:spacing w:before="20" w:after="20" w:line="240" w:lineRule="auto"/>
              <w:rPr>
                <w:rFonts w:cs="Arial"/>
                <w:b/>
                <w:bCs/>
                <w:color w:val="66AADD"/>
                <w:sz w:val="18"/>
                <w:szCs w:val="18"/>
              </w:rPr>
            </w:pPr>
            <w:r w:rsidRPr="00687875">
              <w:rPr>
                <w:rFonts w:cs="Arial"/>
                <w:b/>
                <w:bCs/>
                <w:color w:val="66AADD"/>
                <w:sz w:val="18"/>
                <w:szCs w:val="18"/>
              </w:rPr>
              <w:t>Country</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b/>
                <w:bCs/>
                <w:color w:val="66AADD"/>
                <w:sz w:val="18"/>
                <w:szCs w:val="18"/>
              </w:rPr>
            </w:pPr>
            <w:r w:rsidRPr="00687875">
              <w:rPr>
                <w:rFonts w:cs="Arial"/>
                <w:b/>
                <w:bCs/>
                <w:color w:val="66AADD"/>
                <w:sz w:val="18"/>
                <w:szCs w:val="18"/>
              </w:rPr>
              <w:t>Eligible share classes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b/>
                <w:bCs/>
                <w:color w:val="66AADD"/>
                <w:sz w:val="18"/>
                <w:szCs w:val="18"/>
              </w:rPr>
            </w:pPr>
            <w:r w:rsidRPr="00687875">
              <w:rPr>
                <w:rFonts w:cs="Arial"/>
                <w:b/>
                <w:bCs/>
                <w:color w:val="66AADD"/>
                <w:sz w:val="18"/>
                <w:szCs w:val="18"/>
              </w:rPr>
              <w:t>Remarks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Australia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Austria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Participation certificates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Belgium</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Botswana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Brazil</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 and traded heavily at the stock exchange.</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Bulgaria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Canada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Units of Income Trusts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Units of Income Trusts are REIT-like securities.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Chile</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have restricted voting rights.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China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H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 xml:space="preserve">B, H, N shares are the only share classes available </w:t>
            </w:r>
            <w:r>
              <w:rPr>
                <w:rFonts w:cs="Arial"/>
                <w:sz w:val="18"/>
                <w:szCs w:val="18"/>
              </w:rPr>
              <w:t>to</w:t>
            </w:r>
            <w:r w:rsidRPr="00687875">
              <w:rPr>
                <w:rFonts w:cs="Arial"/>
                <w:sz w:val="18"/>
                <w:szCs w:val="18"/>
              </w:rPr>
              <w:t xml:space="preserve"> foreign investors. H shares are traded in Hong Kong. </w:t>
            </w:r>
            <w:r>
              <w:rPr>
                <w:rFonts w:cs="Arial"/>
                <w:sz w:val="18"/>
                <w:szCs w:val="18"/>
              </w:rPr>
              <w:br/>
            </w:r>
            <w:r w:rsidRPr="00687875">
              <w:rPr>
                <w:rFonts w:cs="Arial"/>
                <w:sz w:val="18"/>
                <w:szCs w:val="18"/>
              </w:rPr>
              <w:t>N shares are traded in the U.S.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Colombia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Czech Republic</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Denmark</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 have lower voting rights.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Egypt</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Finland</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K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 shares and B shares have lower voting rights than K shares.</w:t>
            </w:r>
          </w:p>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France</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Investment certificates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Voting certificates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investment certificates and voting certificates are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Germany</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Ghana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Greece</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Hong Kong</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 have lower voting rights.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Hungary</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India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lastRenderedPageBreak/>
              <w:t>Indonesia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Ireland</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Israel</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Italy</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Savings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and savings shares are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Japan</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Latvia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Lithuania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Luxembourg</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Malaysia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 xml:space="preserve">Common shares are classified as local/foreign shares. </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Mexico</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Participation certificate</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Participation certificates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Morocco</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Netherlands</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New Zealand</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Norway</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Equity Certificates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 xml:space="preserve">B shares are non-voting. </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Pakistan</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Peru</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Investment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rPr>
          <w:cantSplit/>
        </w:trPr>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Philippines</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 are classified as A (local) and B (foreign) shares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Poland</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Portugal</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Romania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Russia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 and are guaranteed dividends no less than common shares.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Singapore</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Subject to Foreign Board Action.</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Slovak Republic</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South Africa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South Korea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Spain</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Sweden</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A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 shares and C shares have lower voting rights. C shares are not entitled for dividends.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Switzerland</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Registered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Bearer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Participation certificates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Dividend-right certificates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Bearer shares have lower voting rights. Participation certificates and dividend-right certificates are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Taiwan</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 have limited or no voting rights.</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Thailand</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Preferred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 are classified as local/foreign shares and are subject to Foreign Board Action. Preferred shares are usually non-voting.</w:t>
            </w: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Turkey</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United Arab Emirates</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United Kingdom</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United States</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r w:rsidR="0006297A" w:rsidRPr="00687875" w:rsidTr="00676CED">
        <w:tc>
          <w:tcPr>
            <w:tcW w:w="994"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Zambia</w:t>
            </w:r>
          </w:p>
        </w:tc>
        <w:tc>
          <w:tcPr>
            <w:tcW w:w="1577"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r w:rsidRPr="00687875">
              <w:rPr>
                <w:rFonts w:cs="Arial"/>
                <w:sz w:val="18"/>
                <w:szCs w:val="18"/>
              </w:rPr>
              <w:t>Common shares</w:t>
            </w:r>
          </w:p>
        </w:tc>
        <w:tc>
          <w:tcPr>
            <w:tcW w:w="2429" w:type="pct"/>
            <w:tcMar>
              <w:left w:w="72" w:type="dxa"/>
              <w:right w:w="72" w:type="dxa"/>
            </w:tcMar>
          </w:tcPr>
          <w:p w:rsidR="0006297A" w:rsidRPr="00687875" w:rsidRDefault="0006297A" w:rsidP="00676CED">
            <w:pPr>
              <w:pStyle w:val="RI07-BodyCopy95pt"/>
              <w:spacing w:before="20" w:after="20" w:line="240" w:lineRule="auto"/>
              <w:rPr>
                <w:rFonts w:cs="Arial"/>
                <w:sz w:val="18"/>
                <w:szCs w:val="18"/>
              </w:rPr>
            </w:pPr>
          </w:p>
        </w:tc>
      </w:tr>
    </w:tbl>
    <w:p w:rsidR="0006297A" w:rsidRDefault="0006297A" w:rsidP="0006297A">
      <w:pPr>
        <w:pStyle w:val="RI07-BodyCopy95pt"/>
        <w:ind w:left="-110"/>
        <w:rPr>
          <w:sz w:val="16"/>
          <w:szCs w:val="16"/>
        </w:rPr>
      </w:pPr>
      <w:r>
        <w:rPr>
          <w:sz w:val="16"/>
          <w:szCs w:val="16"/>
        </w:rPr>
        <w:t xml:space="preserve">* </w:t>
      </w:r>
      <w:r w:rsidRPr="00D32180">
        <w:rPr>
          <w:sz w:val="16"/>
          <w:szCs w:val="16"/>
        </w:rPr>
        <w:t>All share types are subject to certain liquidity-screening processes for index inclusion.</w:t>
      </w:r>
    </w:p>
    <w:p w:rsidR="0006297A" w:rsidRDefault="0006297A" w:rsidP="0006297A">
      <w:pPr>
        <w:pStyle w:val="RI07-BodyCopy95pt"/>
        <w:ind w:left="-110"/>
        <w:rPr>
          <w:sz w:val="16"/>
          <w:szCs w:val="16"/>
        </w:rPr>
      </w:pPr>
      <w:r>
        <w:rPr>
          <w:sz w:val="16"/>
          <w:szCs w:val="16"/>
        </w:rPr>
        <w:t>* Preferred securities are those where there is no fixed cumulative dividend.</w:t>
      </w:r>
      <w:r w:rsidRPr="00D32180">
        <w:rPr>
          <w:sz w:val="16"/>
          <w:szCs w:val="16"/>
        </w:rPr>
        <w:t xml:space="preserve"> </w:t>
      </w:r>
    </w:p>
    <w:p w:rsidR="0006297A" w:rsidRPr="00D32180" w:rsidRDefault="0006297A" w:rsidP="0006297A">
      <w:pPr>
        <w:pStyle w:val="RI07-BodyCopy95pt"/>
        <w:rPr>
          <w:sz w:val="16"/>
          <w:szCs w:val="16"/>
        </w:rPr>
      </w:pPr>
    </w:p>
    <w:p w:rsidR="0006297A" w:rsidRPr="00D32180" w:rsidRDefault="0006297A" w:rsidP="0006297A">
      <w:pPr>
        <w:pStyle w:val="RI07-BodyCopy95pt"/>
      </w:pPr>
    </w:p>
    <w:p w:rsidR="0006297A" w:rsidRPr="00D32180" w:rsidRDefault="0006297A" w:rsidP="0006297A">
      <w:pPr>
        <w:pStyle w:val="RI07-BodyCopy95pt"/>
        <w:sectPr w:rsidR="0006297A" w:rsidRPr="00D32180"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rPr>
          <w:rFonts w:cs="Arial"/>
        </w:rPr>
      </w:pPr>
      <w:r w:rsidRPr="00D32180">
        <w:rPr>
          <w:rFonts w:cs="Arial"/>
        </w:rPr>
        <w:t xml:space="preserve">appendix </w:t>
      </w:r>
      <w:r>
        <w:rPr>
          <w:rFonts w:cs="Arial"/>
        </w:rPr>
        <w:t>D</w:t>
      </w:r>
    </w:p>
    <w:p w:rsidR="0006297A" w:rsidRDefault="0006297A" w:rsidP="0006297A">
      <w:pPr>
        <w:pStyle w:val="Heading1"/>
        <w:ind w:right="-806"/>
      </w:pPr>
      <w:bookmarkStart w:id="465" w:name="_Toc217446224"/>
      <w:bookmarkStart w:id="466" w:name="_Toc220919452"/>
      <w:bookmarkStart w:id="467" w:name="_Toc343682766"/>
      <w:r w:rsidRPr="00D32180">
        <w:t>Eligible stock exchanges</w:t>
      </w:r>
      <w:bookmarkEnd w:id="465"/>
      <w:r w:rsidRPr="00D32180">
        <w:t xml:space="preserve"> and bourse codes</w:t>
      </w:r>
      <w:bookmarkEnd w:id="466"/>
      <w:bookmarkEnd w:id="467"/>
    </w:p>
    <w:p w:rsidR="0006297A" w:rsidRPr="00E12DFE" w:rsidRDefault="0006297A" w:rsidP="0006297A">
      <w:pPr>
        <w:pStyle w:val="RI06-BodyCopy11pt"/>
      </w:pPr>
    </w:p>
    <w:tbl>
      <w:tblPr>
        <w:tblW w:w="5001"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165"/>
        <w:gridCol w:w="4643"/>
        <w:gridCol w:w="1684"/>
      </w:tblGrid>
      <w:tr w:rsidR="0006297A" w:rsidRPr="00BF3202" w:rsidTr="00676CED">
        <w:trPr>
          <w:tblHeader/>
        </w:trPr>
        <w:tc>
          <w:tcPr>
            <w:tcW w:w="1667"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Country</w:t>
            </w:r>
          </w:p>
        </w:tc>
        <w:tc>
          <w:tcPr>
            <w:tcW w:w="2446"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Eligible stock exchange</w:t>
            </w:r>
          </w:p>
        </w:tc>
        <w:tc>
          <w:tcPr>
            <w:tcW w:w="887" w:type="pct"/>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Bourse code</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Australia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Australia Stock Exchange </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111</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Austria</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 xml:space="preserve">Vienna Stock Exchange </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50</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XETRA</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44</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Belgium</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NYSE Euronext </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399</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Botswana</w:t>
            </w:r>
          </w:p>
        </w:tc>
        <w:tc>
          <w:tcPr>
            <w:tcW w:w="2446" w:type="pct"/>
          </w:tcPr>
          <w:p w:rsidR="0006297A" w:rsidRPr="00BF3202" w:rsidRDefault="0006297A" w:rsidP="00676CED">
            <w:pPr>
              <w:pStyle w:val="RI07-BodyCopy95pt"/>
              <w:spacing w:before="20" w:after="20" w:line="240" w:lineRule="auto"/>
              <w:rPr>
                <w:sz w:val="18"/>
                <w:szCs w:val="18"/>
              </w:rPr>
            </w:pPr>
            <w:r>
              <w:rPr>
                <w:sz w:val="18"/>
                <w:szCs w:val="18"/>
              </w:rPr>
              <w:t>Gaborone</w:t>
            </w:r>
            <w:r w:rsidRPr="00BF3202">
              <w:rPr>
                <w:sz w:val="18"/>
                <w:szCs w:val="18"/>
              </w:rPr>
              <w:t xml:space="preserve">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329</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Brazil</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Sao Paulo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83</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Bulgaria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Bulgaria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308</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Canada</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Toronto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61</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TSX Venture Exchange</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63</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Chile</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Santiago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84</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China</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Shanghai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215</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Shenzhen Stock Exchange</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214</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Colombia</w:t>
            </w:r>
          </w:p>
        </w:tc>
        <w:tc>
          <w:tcPr>
            <w:tcW w:w="2446" w:type="pct"/>
          </w:tcPr>
          <w:p w:rsidR="0006297A" w:rsidRPr="00BF3202" w:rsidRDefault="0006297A" w:rsidP="00676CED">
            <w:pPr>
              <w:pStyle w:val="RI07-BodyCopy95pt"/>
              <w:spacing w:before="20" w:after="20" w:line="240" w:lineRule="auto"/>
              <w:rPr>
                <w:sz w:val="18"/>
                <w:szCs w:val="18"/>
                <w:lang w:val="es-ES"/>
              </w:rPr>
            </w:pPr>
            <w:r w:rsidRPr="00BF3202">
              <w:rPr>
                <w:sz w:val="18"/>
                <w:szCs w:val="18"/>
                <w:lang w:val="es-ES"/>
              </w:rPr>
              <w:t>Bolsa de Bogota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lang w:val="es-ES"/>
              </w:rPr>
            </w:pPr>
            <w:r w:rsidRPr="00BF3202">
              <w:rPr>
                <w:sz w:val="18"/>
                <w:szCs w:val="18"/>
                <w:lang w:val="es-ES"/>
              </w:rPr>
              <w:t>85</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Czech Republic</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Prague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320</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Denmark</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Copenhagen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12</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Egypt</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Cairo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374</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Finland</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OMX Helsinki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40</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France</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NYSE Euronext</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399</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Germany</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Deutsche Borse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13</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XETRA</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44</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Ghana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Ghana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330</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Greece</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Athens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34</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Hong Kong</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Stock Exchange of Hong Kong</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104</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Hungary</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Budapest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213</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India</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Mumbai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114</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National Stock Exchange</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326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Indonesia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Indonesia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146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Ireland</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Irish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145</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Israel</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Tel Aviv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105</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Italy</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Mercato Continuo Italiano</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46</w:t>
            </w:r>
          </w:p>
        </w:tc>
      </w:tr>
      <w:tr w:rsidR="0006297A" w:rsidRPr="00BF3202" w:rsidTr="00676CED">
        <w:trPr>
          <w:trHeight w:val="255"/>
        </w:trPr>
        <w:tc>
          <w:tcPr>
            <w:tcW w:w="1667" w:type="pct"/>
            <w:tcBorders>
              <w:bottom w:val="single" w:sz="4" w:space="0" w:color="FFFFFF"/>
            </w:tcBorders>
          </w:tcPr>
          <w:p w:rsidR="0006297A" w:rsidRPr="00BF3202" w:rsidRDefault="0006297A" w:rsidP="00676CED">
            <w:pPr>
              <w:pStyle w:val="RI07-BodyCopy95pt"/>
              <w:keepNext/>
              <w:spacing w:before="20" w:after="20" w:line="240" w:lineRule="auto"/>
              <w:rPr>
                <w:sz w:val="18"/>
                <w:szCs w:val="18"/>
              </w:rPr>
            </w:pPr>
            <w:r w:rsidRPr="00BF3202">
              <w:rPr>
                <w:sz w:val="18"/>
                <w:szCs w:val="18"/>
              </w:rPr>
              <w:t>Japan</w:t>
            </w:r>
          </w:p>
        </w:tc>
        <w:tc>
          <w:tcPr>
            <w:tcW w:w="2446" w:type="pct"/>
            <w:tcBorders>
              <w:bottom w:val="single" w:sz="4" w:space="0" w:color="FFFFFF"/>
            </w:tcBorders>
          </w:tcPr>
          <w:p w:rsidR="0006297A" w:rsidRPr="00BF3202" w:rsidRDefault="0006297A" w:rsidP="00676CED">
            <w:pPr>
              <w:pStyle w:val="RI07-BodyCopy95pt"/>
              <w:keepNext/>
              <w:spacing w:before="20" w:after="20" w:line="240" w:lineRule="auto"/>
              <w:rPr>
                <w:sz w:val="18"/>
                <w:szCs w:val="18"/>
              </w:rPr>
            </w:pPr>
            <w:r w:rsidRPr="00BF3202">
              <w:rPr>
                <w:sz w:val="18"/>
                <w:szCs w:val="18"/>
              </w:rPr>
              <w:t>Tokyo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keepNext/>
              <w:spacing w:before="20" w:after="20" w:line="240" w:lineRule="auto"/>
              <w:jc w:val="right"/>
              <w:rPr>
                <w:sz w:val="18"/>
                <w:szCs w:val="18"/>
              </w:rPr>
            </w:pPr>
            <w:r w:rsidRPr="00BF3202">
              <w:rPr>
                <w:sz w:val="18"/>
                <w:szCs w:val="18"/>
              </w:rPr>
              <w:t>106</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Osaka Stock Exchange</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107</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JASDAQ</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112</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Nagoya Stock Exchange</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122</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Nippon New Market Hercules</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373</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Fukuoka Stock Exchange</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118</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Lithuania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Vilnius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307</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Latvia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Riga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306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Luxembourg</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Luxembourg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47</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Malaysia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Bursa Malaysia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143</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Mexico</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Bolsa Mexicana de Valores </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80</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Morocco</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Casablanca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102</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Netherlands</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NYSE Euronext</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399</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New Zealand</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New Zealand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116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Norway</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Oslo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48</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Pakistan</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Karachi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216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Peru</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Lima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89</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Philippines</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Manila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108</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Poland</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Warsaw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243</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Portugal</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NYSE Euronext</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399</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Russia</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 xml:space="preserve">Russia Trading System </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565</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 xml:space="preserve">Moscow </w:t>
            </w:r>
            <w:r>
              <w:rPr>
                <w:sz w:val="18"/>
                <w:szCs w:val="18"/>
              </w:rPr>
              <w:t>Inter-Currency</w:t>
            </w:r>
            <w:r w:rsidRPr="00BF3202">
              <w:rPr>
                <w:sz w:val="18"/>
                <w:szCs w:val="18"/>
              </w:rPr>
              <w:t xml:space="preserve"> Exchange</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549</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Singapore</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Singapore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120</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Slovak Republic</w:t>
            </w:r>
          </w:p>
        </w:tc>
        <w:tc>
          <w:tcPr>
            <w:tcW w:w="2446" w:type="pct"/>
          </w:tcPr>
          <w:p w:rsidR="0006297A" w:rsidRPr="00BF3202" w:rsidRDefault="0006297A" w:rsidP="00676CED">
            <w:pPr>
              <w:pStyle w:val="RI07-BodyCopy95pt"/>
              <w:spacing w:before="20" w:after="20" w:line="240" w:lineRule="auto"/>
              <w:rPr>
                <w:sz w:val="18"/>
                <w:szCs w:val="18"/>
              </w:rPr>
            </w:pPr>
            <w:r w:rsidRPr="00BF3202">
              <w:rPr>
                <w:rFonts w:cs="Arial"/>
                <w:sz w:val="18"/>
                <w:szCs w:val="18"/>
              </w:rPr>
              <w:t>Bratislava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rFonts w:cs="Arial"/>
                <w:sz w:val="18"/>
                <w:szCs w:val="18"/>
              </w:rPr>
            </w:pPr>
            <w:r w:rsidRPr="00BF3202">
              <w:rPr>
                <w:rFonts w:cs="Arial"/>
                <w:sz w:val="18"/>
                <w:szCs w:val="18"/>
              </w:rPr>
              <w:t>187</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South Africa</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Johannesburg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100</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South Korea</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South Korea Stock Exchange, KOSDAQ</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358</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South Korea Stock Exchange (KRX)</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123</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Spain</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Mercado Continuo Espana</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54</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Madrid Stock Exchange</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55</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Barcelona Stock Exchange</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Sweden</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OM Stockholm Stock Exchange </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53</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Switzerland</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Swiss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4</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lang w:val="fr-FR"/>
              </w:rPr>
            </w:pPr>
            <w:r w:rsidRPr="00BF3202">
              <w:rPr>
                <w:sz w:val="18"/>
                <w:szCs w:val="18"/>
                <w:lang w:val="fr-FR"/>
              </w:rPr>
              <w:t>SWX Europe Ltd. (VIRT-X)</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380</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Switzerland Stock Exchange (USD)</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349</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Taiwan</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Taiwan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103</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GreTai Securities Market</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372</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Thailand</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Stock Exchange of Thailand</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117</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Turkey</w:t>
            </w:r>
          </w:p>
        </w:tc>
        <w:tc>
          <w:tcPr>
            <w:tcW w:w="2446" w:type="pct"/>
          </w:tcPr>
          <w:p w:rsidR="0006297A" w:rsidRPr="00BF3202" w:rsidRDefault="0006297A" w:rsidP="00676CED">
            <w:pPr>
              <w:pStyle w:val="RI07-BodyCopy95pt"/>
              <w:spacing w:before="20" w:after="20" w:line="240" w:lineRule="auto"/>
              <w:rPr>
                <w:sz w:val="18"/>
                <w:szCs w:val="18"/>
              </w:rPr>
            </w:pPr>
            <w:r w:rsidRPr="00BF3202">
              <w:rPr>
                <w:sz w:val="18"/>
                <w:szCs w:val="18"/>
              </w:rPr>
              <w:t xml:space="preserve">Istanbul Stock Exchange </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109</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Ukraine</w:t>
            </w:r>
          </w:p>
        </w:tc>
        <w:tc>
          <w:tcPr>
            <w:tcW w:w="2446" w:type="pct"/>
          </w:tcPr>
          <w:p w:rsidR="0006297A" w:rsidRPr="00BF3202" w:rsidRDefault="0006297A" w:rsidP="00676CED">
            <w:pPr>
              <w:pStyle w:val="RI07-BodyCopy95pt"/>
              <w:spacing w:before="20" w:after="20" w:line="240" w:lineRule="auto"/>
              <w:rPr>
                <w:rFonts w:cs="Arial"/>
                <w:sz w:val="18"/>
                <w:szCs w:val="18"/>
              </w:rPr>
            </w:pPr>
            <w:r w:rsidRPr="00BF3202">
              <w:rPr>
                <w:rFonts w:cs="Arial"/>
                <w:sz w:val="18"/>
                <w:szCs w:val="18"/>
              </w:rPr>
              <w:t>PFTS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rFonts w:cs="Arial"/>
                <w:sz w:val="18"/>
                <w:szCs w:val="18"/>
              </w:rPr>
            </w:pPr>
            <w:r w:rsidRPr="00BF3202">
              <w:rPr>
                <w:rFonts w:cs="Arial"/>
                <w:sz w:val="18"/>
                <w:szCs w:val="18"/>
              </w:rPr>
              <w:t>309</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United Arab Emirates</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Dubai Financial Market</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824</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 xml:space="preserve">Abu Dhabi Securities </w:t>
            </w:r>
            <w:r>
              <w:rPr>
                <w:sz w:val="18"/>
                <w:szCs w:val="18"/>
              </w:rPr>
              <w:t>Exchange</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548</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lang w:val="fr-FR"/>
              </w:rPr>
            </w:pPr>
            <w:r w:rsidRPr="00BF3202">
              <w:rPr>
                <w:sz w:val="18"/>
                <w:szCs w:val="18"/>
                <w:lang w:val="fr-FR"/>
              </w:rPr>
              <w:t xml:space="preserve">Dubai </w:t>
            </w:r>
            <w:r>
              <w:rPr>
                <w:sz w:val="18"/>
                <w:szCs w:val="18"/>
                <w:lang w:val="fr-FR"/>
              </w:rPr>
              <w:t>International</w:t>
            </w:r>
            <w:r w:rsidRPr="00BF3202">
              <w:rPr>
                <w:sz w:val="18"/>
                <w:szCs w:val="18"/>
                <w:lang w:val="fr-FR"/>
              </w:rPr>
              <w:t>. Financial Exchange (DIFX</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824</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United Kingdom</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London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36</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London Stock Exchange – SETS</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361</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London Stock Exchange – Seats</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272</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London Stock Exchange – IOB</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507</w:t>
            </w:r>
          </w:p>
        </w:tc>
      </w:tr>
      <w:tr w:rsidR="0006297A" w:rsidRPr="00BF3202" w:rsidTr="00676CED">
        <w:tc>
          <w:tcPr>
            <w:tcW w:w="1667"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United States</w:t>
            </w:r>
          </w:p>
        </w:tc>
        <w:tc>
          <w:tcPr>
            <w:tcW w:w="2446" w:type="pct"/>
            <w:tcBorders>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New York Stock Exchange</w:t>
            </w:r>
          </w:p>
        </w:tc>
        <w:tc>
          <w:tcPr>
            <w:tcW w:w="887" w:type="pct"/>
            <w:tcBorders>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65</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NYSE ARCA</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69</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 xml:space="preserve">NASDAQ </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67</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American Stock Exchange</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66</w:t>
            </w:r>
          </w:p>
        </w:tc>
      </w:tr>
      <w:tr w:rsidR="0006297A" w:rsidRPr="00BF3202" w:rsidTr="00676CED">
        <w:tc>
          <w:tcPr>
            <w:tcW w:w="1667"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bottom w:val="single" w:sz="4" w:space="0" w:color="FFFFFF"/>
            </w:tcBorders>
          </w:tcPr>
          <w:p w:rsidR="0006297A" w:rsidRPr="00BF3202" w:rsidRDefault="0006297A" w:rsidP="00676CED">
            <w:pPr>
              <w:pStyle w:val="RI07-BodyCopy95pt"/>
              <w:spacing w:before="20" w:after="20" w:line="240" w:lineRule="auto"/>
              <w:rPr>
                <w:sz w:val="18"/>
                <w:szCs w:val="18"/>
              </w:rPr>
            </w:pPr>
            <w:r w:rsidRPr="00BF3202">
              <w:rPr>
                <w:sz w:val="18"/>
                <w:szCs w:val="18"/>
              </w:rPr>
              <w:t>Pacific Exchange</w:t>
            </w:r>
          </w:p>
        </w:tc>
        <w:tc>
          <w:tcPr>
            <w:tcW w:w="887" w:type="pct"/>
            <w:tcBorders>
              <w:top w:val="single" w:sz="4" w:space="0" w:color="FFFFFF"/>
              <w:bottom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sz w:val="18"/>
                <w:szCs w:val="18"/>
              </w:rPr>
            </w:pPr>
            <w:r w:rsidRPr="00BF3202">
              <w:rPr>
                <w:sz w:val="18"/>
                <w:szCs w:val="18"/>
              </w:rPr>
              <w:t>95</w:t>
            </w:r>
          </w:p>
        </w:tc>
      </w:tr>
      <w:tr w:rsidR="0006297A" w:rsidRPr="00BF3202" w:rsidTr="00676CED">
        <w:tc>
          <w:tcPr>
            <w:tcW w:w="1667" w:type="pct"/>
            <w:tcBorders>
              <w:top w:val="single" w:sz="4" w:space="0" w:color="FFFFFF"/>
            </w:tcBorders>
          </w:tcPr>
          <w:p w:rsidR="0006297A" w:rsidRPr="00BF3202" w:rsidRDefault="0006297A" w:rsidP="00676CED">
            <w:pPr>
              <w:pStyle w:val="RI07-BodyCopy95pt"/>
              <w:spacing w:before="20" w:after="20" w:line="240" w:lineRule="auto"/>
              <w:rPr>
                <w:sz w:val="18"/>
                <w:szCs w:val="18"/>
              </w:rPr>
            </w:pPr>
          </w:p>
        </w:tc>
        <w:tc>
          <w:tcPr>
            <w:tcW w:w="2446" w:type="pct"/>
            <w:tcBorders>
              <w:top w:val="single" w:sz="4" w:space="0" w:color="FFFFFF"/>
            </w:tcBorders>
          </w:tcPr>
          <w:p w:rsidR="0006297A" w:rsidRPr="00BF3202" w:rsidRDefault="0006297A" w:rsidP="00676CED">
            <w:pPr>
              <w:pStyle w:val="RI07-BodyCopy95pt"/>
              <w:spacing w:before="20" w:after="20" w:line="240" w:lineRule="auto"/>
              <w:rPr>
                <w:rFonts w:cs="Arial"/>
                <w:sz w:val="18"/>
                <w:szCs w:val="18"/>
              </w:rPr>
            </w:pPr>
            <w:r>
              <w:rPr>
                <w:rFonts w:cs="Arial"/>
                <w:sz w:val="18"/>
                <w:szCs w:val="18"/>
              </w:rPr>
              <w:t xml:space="preserve">NYSE MKT (formerly </w:t>
            </w:r>
            <w:r w:rsidRPr="00BF3202">
              <w:rPr>
                <w:rFonts w:cs="Arial"/>
                <w:sz w:val="18"/>
                <w:szCs w:val="18"/>
              </w:rPr>
              <w:t>NYSE Alternext US</w:t>
            </w:r>
            <w:r>
              <w:rPr>
                <w:rFonts w:cs="Arial"/>
                <w:sz w:val="18"/>
                <w:szCs w:val="18"/>
              </w:rPr>
              <w:t xml:space="preserve"> and NYSE Amex)</w:t>
            </w:r>
          </w:p>
        </w:tc>
        <w:tc>
          <w:tcPr>
            <w:tcW w:w="887" w:type="pct"/>
            <w:tcBorders>
              <w:top w:val="single" w:sz="4" w:space="0" w:color="FFFFFF"/>
            </w:tcBorders>
            <w:tcMar>
              <w:left w:w="115" w:type="dxa"/>
              <w:right w:w="720" w:type="dxa"/>
            </w:tcMar>
          </w:tcPr>
          <w:p w:rsidR="0006297A" w:rsidRPr="00BF3202" w:rsidRDefault="0006297A" w:rsidP="00676CED">
            <w:pPr>
              <w:pStyle w:val="RI07-BodyCopy95pt"/>
              <w:spacing w:before="20" w:after="20" w:line="240" w:lineRule="auto"/>
              <w:jc w:val="right"/>
              <w:rPr>
                <w:rFonts w:cs="Arial"/>
                <w:sz w:val="18"/>
                <w:szCs w:val="18"/>
              </w:rPr>
            </w:pPr>
            <w:r w:rsidRPr="00BF3202">
              <w:rPr>
                <w:rFonts w:cs="Arial"/>
                <w:sz w:val="18"/>
                <w:szCs w:val="18"/>
              </w:rPr>
              <w:t>66</w:t>
            </w:r>
          </w:p>
        </w:tc>
      </w:tr>
      <w:tr w:rsidR="0006297A" w:rsidRPr="00BF3202" w:rsidTr="00676CED">
        <w:tc>
          <w:tcPr>
            <w:tcW w:w="1667" w:type="pct"/>
          </w:tcPr>
          <w:p w:rsidR="0006297A" w:rsidRPr="00BF3202" w:rsidRDefault="0006297A" w:rsidP="00676CED">
            <w:pPr>
              <w:pStyle w:val="RI07-BodyCopy95pt"/>
              <w:spacing w:before="20" w:after="20" w:line="240" w:lineRule="auto"/>
              <w:rPr>
                <w:sz w:val="18"/>
                <w:szCs w:val="18"/>
              </w:rPr>
            </w:pPr>
            <w:r w:rsidRPr="00BF3202">
              <w:rPr>
                <w:sz w:val="18"/>
                <w:szCs w:val="18"/>
              </w:rPr>
              <w:t>Zambia</w:t>
            </w:r>
          </w:p>
        </w:tc>
        <w:tc>
          <w:tcPr>
            <w:tcW w:w="2446" w:type="pct"/>
          </w:tcPr>
          <w:p w:rsidR="0006297A" w:rsidRPr="00BF3202" w:rsidRDefault="0006297A" w:rsidP="00676CED">
            <w:pPr>
              <w:pStyle w:val="RI07-BodyCopy95pt"/>
              <w:spacing w:before="20" w:after="20" w:line="240" w:lineRule="auto"/>
              <w:rPr>
                <w:rFonts w:cs="Arial"/>
                <w:sz w:val="18"/>
                <w:szCs w:val="18"/>
              </w:rPr>
            </w:pPr>
            <w:r w:rsidRPr="00BF3202">
              <w:rPr>
                <w:rFonts w:cs="Arial"/>
                <w:sz w:val="18"/>
                <w:szCs w:val="18"/>
              </w:rPr>
              <w:t>Lusaka Stock Exchange</w:t>
            </w:r>
          </w:p>
        </w:tc>
        <w:tc>
          <w:tcPr>
            <w:tcW w:w="887" w:type="pct"/>
            <w:tcMar>
              <w:left w:w="115" w:type="dxa"/>
              <w:right w:w="720" w:type="dxa"/>
            </w:tcMar>
          </w:tcPr>
          <w:p w:rsidR="0006297A" w:rsidRPr="00BF3202" w:rsidRDefault="0006297A" w:rsidP="00676CED">
            <w:pPr>
              <w:pStyle w:val="RI07-BodyCopy95pt"/>
              <w:spacing w:before="20" w:after="20" w:line="240" w:lineRule="auto"/>
              <w:jc w:val="right"/>
              <w:rPr>
                <w:rFonts w:cs="Arial"/>
                <w:sz w:val="18"/>
                <w:szCs w:val="18"/>
              </w:rPr>
            </w:pPr>
            <w:r w:rsidRPr="00BF3202">
              <w:rPr>
                <w:rFonts w:cs="Arial"/>
                <w:sz w:val="18"/>
                <w:szCs w:val="18"/>
              </w:rPr>
              <w:t>333</w:t>
            </w:r>
          </w:p>
        </w:tc>
      </w:tr>
    </w:tbl>
    <w:p w:rsidR="0006297A" w:rsidRPr="00D32180" w:rsidRDefault="0006297A" w:rsidP="0006297A">
      <w:pPr>
        <w:pStyle w:val="RI01-Heading0"/>
        <w:rPr>
          <w:caps w:val="0"/>
          <w:sz w:val="19"/>
        </w:rPr>
        <w:sectPr w:rsidR="0006297A" w:rsidRPr="00D32180" w:rsidSect="00676CED">
          <w:footerReference w:type="first" r:id="rId81"/>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t xml:space="preserve">APPENDIX </w:t>
      </w:r>
      <w:r>
        <w:t>E</w:t>
      </w:r>
    </w:p>
    <w:p w:rsidR="0006297A" w:rsidRPr="00D32180" w:rsidRDefault="0006297A" w:rsidP="0006297A">
      <w:pPr>
        <w:pStyle w:val="Heading1"/>
      </w:pPr>
      <w:bookmarkStart w:id="468" w:name="_Toc217446225"/>
      <w:bookmarkStart w:id="469" w:name="_Toc220919453"/>
      <w:bookmarkStart w:id="470" w:name="_Toc343682767"/>
      <w:r w:rsidRPr="00D32180">
        <w:t>Calculation of free float</w:t>
      </w:r>
      <w:bookmarkEnd w:id="468"/>
      <w:bookmarkEnd w:id="469"/>
      <w:bookmarkEnd w:id="470"/>
    </w:p>
    <w:p w:rsidR="0006297A" w:rsidRPr="00D32180" w:rsidRDefault="0006297A" w:rsidP="0006297A">
      <w:pPr>
        <w:pStyle w:val="RI07-BodyCopy95pt"/>
      </w:pPr>
      <w:r w:rsidRPr="00D32180">
        <w:t>Investable shares are assumed to be shares that are publicly traded and open to foreign investment. We derive investable shares by use of the following formulas:</w:t>
      </w:r>
    </w:p>
    <w:p w:rsidR="0006297A" w:rsidRPr="00D32180" w:rsidRDefault="0006297A" w:rsidP="0006297A">
      <w:pPr>
        <w:pStyle w:val="RI07-BodyCopy95pt"/>
        <w:ind w:left="360"/>
        <w:rPr>
          <w:b/>
        </w:rPr>
      </w:pPr>
      <w:r w:rsidRPr="00D32180">
        <w:rPr>
          <w:b/>
        </w:rPr>
        <w:t>Formula 1</w:t>
      </w:r>
    </w:p>
    <w:p w:rsidR="0006297A" w:rsidRPr="00D32180" w:rsidRDefault="0006297A" w:rsidP="0006297A">
      <w:pPr>
        <w:pStyle w:val="RI07-BodyCopy95pt"/>
        <w:ind w:left="360"/>
      </w:pPr>
      <w:r w:rsidRPr="00D32180">
        <w:t xml:space="preserve">Free Float-Adjusted Market Capitalization (FFAMC) = Closing Price of Shares x Number of Investable Shares </w:t>
      </w:r>
    </w:p>
    <w:p w:rsidR="0006297A" w:rsidRPr="00D32180" w:rsidRDefault="0006297A" w:rsidP="0006297A">
      <w:pPr>
        <w:pStyle w:val="RI07-BodyCopy95pt"/>
        <w:ind w:left="360"/>
        <w:rPr>
          <w:b/>
        </w:rPr>
      </w:pPr>
      <w:r w:rsidRPr="00D32180">
        <w:rPr>
          <w:b/>
        </w:rPr>
        <w:t>Formula 2</w:t>
      </w:r>
    </w:p>
    <w:p w:rsidR="0006297A" w:rsidRPr="00D32180" w:rsidRDefault="0006297A" w:rsidP="0006297A">
      <w:pPr>
        <w:pStyle w:val="RI07-BodyCopy95pt"/>
        <w:ind w:left="360"/>
      </w:pPr>
      <w:r w:rsidRPr="00D32180">
        <w:t xml:space="preserve">Number of Investable Shares = Number of Total Shares Outstanding – Number of </w:t>
      </w:r>
      <w:r>
        <w:t>Non-</w:t>
      </w:r>
      <w:r w:rsidRPr="00D32180">
        <w:t>investable Shares</w:t>
      </w:r>
    </w:p>
    <w:p w:rsidR="0006297A" w:rsidRPr="00D32180" w:rsidRDefault="0006297A" w:rsidP="0006297A">
      <w:pPr>
        <w:pStyle w:val="RI07-BodyCopy95pt"/>
        <w:ind w:left="360"/>
        <w:rPr>
          <w:b/>
        </w:rPr>
      </w:pPr>
      <w:r w:rsidRPr="00D32180">
        <w:rPr>
          <w:b/>
        </w:rPr>
        <w:t>Formula 3</w:t>
      </w:r>
    </w:p>
    <w:p w:rsidR="0006297A" w:rsidRPr="00D32180" w:rsidRDefault="0006297A" w:rsidP="0006297A">
      <w:pPr>
        <w:pStyle w:val="RI07-BodyCopy95pt"/>
        <w:ind w:left="360"/>
      </w:pPr>
      <w:r w:rsidRPr="00D32180">
        <w:t>Free Float Ratio (FFR) = (Number of Investable Shares</w:t>
      </w:r>
      <w:r>
        <w:t xml:space="preserve"> </w:t>
      </w:r>
      <w:r w:rsidRPr="00D32180">
        <w:t>/</w:t>
      </w:r>
      <w:r>
        <w:t xml:space="preserve"> </w:t>
      </w:r>
      <w:r w:rsidRPr="00D32180">
        <w:t>Number of Total Shares Outstanding) x 100%</w:t>
      </w:r>
    </w:p>
    <w:p w:rsidR="0006297A" w:rsidRPr="00D32180" w:rsidRDefault="0006297A" w:rsidP="0006297A">
      <w:pPr>
        <w:pStyle w:val="RI07-BodyCopy95pt"/>
        <w:ind w:left="360"/>
        <w:rPr>
          <w:b/>
        </w:rPr>
      </w:pPr>
      <w:r w:rsidRPr="00D32180">
        <w:rPr>
          <w:b/>
        </w:rPr>
        <w:t>Formula 4</w:t>
      </w:r>
    </w:p>
    <w:p w:rsidR="0006297A" w:rsidRPr="00D32180" w:rsidRDefault="0006297A" w:rsidP="0006297A">
      <w:pPr>
        <w:pStyle w:val="RI07-BodyCopy95pt"/>
        <w:ind w:left="360"/>
      </w:pPr>
      <w:r w:rsidRPr="00D32180">
        <w:t xml:space="preserve">Number of </w:t>
      </w:r>
      <w:r>
        <w:t>Non-</w:t>
      </w:r>
      <w:r w:rsidRPr="00D32180">
        <w:t>investable Shares = Number of Unavailable Shares + Number of Additional Shares Restricted by FOL</w:t>
      </w:r>
    </w:p>
    <w:p w:rsidR="0006297A" w:rsidRPr="00D32180" w:rsidRDefault="0006297A" w:rsidP="0006297A">
      <w:pPr>
        <w:pStyle w:val="RI07-BodyCopy95pt"/>
      </w:pPr>
      <w:r w:rsidRPr="00D32180">
        <w:t>Combining Formulas 1 through 4, the foreign ownership limit adjustment is applied on top of the unavailable shares adjustment described above.</w:t>
      </w:r>
    </w:p>
    <w:p w:rsidR="0006297A" w:rsidRPr="00D32180" w:rsidRDefault="0006297A" w:rsidP="0006297A">
      <w:pPr>
        <w:pStyle w:val="RI07-BodyCopy95pt"/>
        <w:ind w:left="360"/>
        <w:rPr>
          <w:b/>
        </w:rPr>
      </w:pPr>
      <w:r w:rsidRPr="00D32180">
        <w:rPr>
          <w:b/>
        </w:rPr>
        <w:t>Formula 5</w:t>
      </w:r>
    </w:p>
    <w:p w:rsidR="0006297A" w:rsidRPr="00D32180" w:rsidRDefault="0006297A" w:rsidP="0006297A">
      <w:pPr>
        <w:pStyle w:val="RI07-BodyCopy95pt"/>
        <w:ind w:left="360"/>
      </w:pPr>
      <w:r w:rsidRPr="00D32180">
        <w:t>Free Float-Adjusted Market Capitalization = FFII x Share Closing Price x (Number of Total Shares Outstanding – Number of Unavailable Shares – Number of Additional Shares Restricted by FOL)</w:t>
      </w:r>
      <w:r w:rsidRPr="00D32180">
        <w:tab/>
      </w:r>
    </w:p>
    <w:p w:rsidR="0006297A" w:rsidRPr="00D32180" w:rsidRDefault="0006297A" w:rsidP="0006297A">
      <w:pPr>
        <w:pStyle w:val="RI07-BodyCopy95pt"/>
      </w:pPr>
      <w:r w:rsidRPr="00D32180">
        <w:t xml:space="preserve">Where the Free Float Inclusion Indicator (FFII) is an indicator function based on the following condition: Free Float Percentage </w:t>
      </w:r>
      <w:r>
        <w:t>&gt; 5</w:t>
      </w:r>
      <w:r w:rsidRPr="00D32180">
        <w:t>%.</w:t>
      </w:r>
    </w:p>
    <w:p w:rsidR="0006297A" w:rsidRDefault="0006297A" w:rsidP="0006297A">
      <w:pPr>
        <w:pStyle w:val="Heading2"/>
      </w:pPr>
      <w:bookmarkStart w:id="471" w:name="_Toc217446226"/>
      <w:bookmarkStart w:id="472" w:name="_Toc220919454"/>
      <w:bookmarkStart w:id="473" w:name="_Toc343682768"/>
      <w:r>
        <w:t>Example of free float calculation with depositary receipts</w:t>
      </w:r>
      <w:bookmarkEnd w:id="471"/>
      <w:bookmarkEnd w:id="472"/>
      <w:bookmarkEnd w:id="473"/>
      <w:r>
        <w:t xml:space="preserve"> </w:t>
      </w:r>
    </w:p>
    <w:p w:rsidR="0006297A" w:rsidRPr="00D32180" w:rsidRDefault="0006297A" w:rsidP="0006297A">
      <w:pPr>
        <w:pStyle w:val="RI07-BodyCopy95pt"/>
      </w:pPr>
      <w:r w:rsidRPr="00D32180">
        <w:t xml:space="preserve">In this section, an example of free float calculation is provided, where restricted stocks are used to sponsor depositary receipts. </w:t>
      </w:r>
    </w:p>
    <w:p w:rsidR="0006297A" w:rsidRPr="00D32180" w:rsidRDefault="0006297A" w:rsidP="0006297A">
      <w:pPr>
        <w:pStyle w:val="RI07-BodyCopy95pt"/>
      </w:pPr>
      <w:r w:rsidRPr="00D32180">
        <w:t>For free float calculation, Russell uses the market price of depositary receipts. Thus, Formula 5 can be further modified as the following:</w:t>
      </w:r>
    </w:p>
    <w:p w:rsidR="0006297A" w:rsidRPr="00D32180" w:rsidRDefault="0006297A" w:rsidP="0006297A">
      <w:pPr>
        <w:pStyle w:val="RI07-BodyCopy95pt"/>
        <w:ind w:left="360"/>
        <w:rPr>
          <w:b/>
        </w:rPr>
      </w:pPr>
      <w:r w:rsidRPr="00D32180">
        <w:rPr>
          <w:b/>
        </w:rPr>
        <w:t>Formula 6</w:t>
      </w:r>
    </w:p>
    <w:p w:rsidR="0006297A" w:rsidRPr="00D32180" w:rsidRDefault="0006297A" w:rsidP="0006297A">
      <w:pPr>
        <w:pStyle w:val="RI07-BodyCopy95pt"/>
        <w:ind w:left="360"/>
      </w:pPr>
      <w:r w:rsidRPr="00D32180">
        <w:t>Free Float-Adjusted Market Capitalization = FFII x Share Price x (Number of Total Shares Outstanding – Number of Unavailable Shares – Number of Additional Shares Restricted by FOL) + Depositary Receipts Market Price x Number of Investable Depositary Receipt Contracts</w:t>
      </w:r>
    </w:p>
    <w:p w:rsidR="0006297A" w:rsidRPr="00D32180" w:rsidRDefault="0006297A" w:rsidP="0006297A">
      <w:pPr>
        <w:pStyle w:val="RI07-BodyCopy95pt"/>
      </w:pPr>
      <w:r w:rsidRPr="00D32180">
        <w:t xml:space="preserve">Where the Free Float Inclusion Indicator (FFII) is an indicator function based on the following condition: </w:t>
      </w:r>
      <w:r>
        <w:t>Free Float Percentage &gt; 5%</w:t>
      </w:r>
      <w:r w:rsidRPr="00D32180">
        <w:t xml:space="preserve">. If the condition is true, then the FFII will have a value of 1; otherwise, FFII will have a value of 0. </w:t>
      </w:r>
    </w:p>
    <w:p w:rsidR="0006297A" w:rsidRPr="00D32180" w:rsidRDefault="0006297A" w:rsidP="0006297A">
      <w:pPr>
        <w:pStyle w:val="Heading2"/>
      </w:pPr>
      <w:bookmarkStart w:id="474" w:name="_Toc217446227"/>
      <w:bookmarkStart w:id="475" w:name="_Toc220919455"/>
      <w:bookmarkStart w:id="476" w:name="_Toc343682769"/>
      <w:r w:rsidRPr="00D32180">
        <w:t xml:space="preserve">XYZ </w:t>
      </w:r>
      <w:r>
        <w:t>C</w:t>
      </w:r>
      <w:r w:rsidRPr="00D32180">
        <w:t>ompany example</w:t>
      </w:r>
      <w:bookmarkEnd w:id="474"/>
      <w:bookmarkEnd w:id="475"/>
      <w:bookmarkEnd w:id="476"/>
    </w:p>
    <w:p w:rsidR="0006297A" w:rsidRDefault="0006297A" w:rsidP="0006297A">
      <w:pPr>
        <w:pStyle w:val="RI07-BodyCopy95pt"/>
      </w:pPr>
      <w:r w:rsidRPr="00D32180">
        <w:t xml:space="preserve">XYZ </w:t>
      </w:r>
      <w:r>
        <w:t xml:space="preserve">Company </w:t>
      </w:r>
      <w:r w:rsidRPr="00D32180">
        <w:t xml:space="preserve">in </w:t>
      </w:r>
      <w:r>
        <w:t>C</w:t>
      </w:r>
      <w:r w:rsidRPr="00D32180">
        <w:t>ountry ABC is a typical candidate for index consideration. Its common stocks are traded on the local market and are divided into categories of restricted and unrestricted. Restricted stocks can be purchased only by domestic investors, while unrestricted stocks do not have this constraint. Additionally, some of the restricted stocks are used as collateral to sponsor American Depositary Receipts, which are traded on the NYSE. The free-float calculation is carried out, given the following company information:</w:t>
      </w:r>
    </w:p>
    <w:p w:rsidR="0006297A" w:rsidRPr="00D32180" w:rsidRDefault="0006297A" w:rsidP="0006297A">
      <w:pPr>
        <w:pStyle w:val="RI07-BodyCopy95pt"/>
      </w:pPr>
    </w:p>
    <w:p w:rsidR="0006297A" w:rsidRPr="00D32180" w:rsidRDefault="0006297A" w:rsidP="0006297A">
      <w:pPr>
        <w:pStyle w:val="RI07-BodyCopy95pt"/>
        <w:rPr>
          <w:b/>
        </w:rPr>
      </w:pPr>
      <w:r w:rsidRPr="00D32180">
        <w:rPr>
          <w:b/>
        </w:rPr>
        <w:t>Share information of XYZ</w:t>
      </w:r>
      <w:r>
        <w:rPr>
          <w:b/>
        </w:rPr>
        <w:t xml:space="preserve"> Company</w:t>
      </w:r>
    </w:p>
    <w:tbl>
      <w:tblPr>
        <w:tblW w:w="9468" w:type="dxa"/>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1098"/>
        <w:gridCol w:w="1350"/>
        <w:gridCol w:w="1530"/>
        <w:gridCol w:w="2245"/>
        <w:gridCol w:w="3245"/>
      </w:tblGrid>
      <w:tr w:rsidR="0006297A" w:rsidRPr="00BF3202" w:rsidTr="00676CED">
        <w:tc>
          <w:tcPr>
            <w:tcW w:w="1098"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Country</w:t>
            </w:r>
          </w:p>
        </w:tc>
        <w:tc>
          <w:tcPr>
            <w:tcW w:w="1350"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Total shares outstanding</w:t>
            </w:r>
          </w:p>
        </w:tc>
        <w:tc>
          <w:tcPr>
            <w:tcW w:w="1530"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Unavailable shares</w:t>
            </w:r>
          </w:p>
        </w:tc>
        <w:tc>
          <w:tcPr>
            <w:tcW w:w="2245"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Additional shares restricted by FOL</w:t>
            </w:r>
          </w:p>
        </w:tc>
        <w:tc>
          <w:tcPr>
            <w:tcW w:w="3245"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ADRs backed by restricted shares (5 shares per contract)</w:t>
            </w:r>
          </w:p>
        </w:tc>
      </w:tr>
      <w:tr w:rsidR="0006297A" w:rsidRPr="00BF3202" w:rsidTr="00676CED">
        <w:tc>
          <w:tcPr>
            <w:tcW w:w="1098" w:type="dxa"/>
          </w:tcPr>
          <w:p w:rsidR="0006297A" w:rsidRPr="00BF3202" w:rsidRDefault="0006297A" w:rsidP="00676CED">
            <w:pPr>
              <w:pStyle w:val="RI07-BodyCopy95pt"/>
              <w:spacing w:before="20" w:after="20" w:line="240" w:lineRule="auto"/>
              <w:rPr>
                <w:sz w:val="18"/>
                <w:szCs w:val="18"/>
              </w:rPr>
            </w:pPr>
            <w:r w:rsidRPr="00BF3202">
              <w:rPr>
                <w:sz w:val="18"/>
                <w:szCs w:val="18"/>
              </w:rPr>
              <w:t>ABC</w:t>
            </w:r>
          </w:p>
        </w:tc>
        <w:tc>
          <w:tcPr>
            <w:tcW w:w="1350" w:type="dxa"/>
          </w:tcPr>
          <w:p w:rsidR="0006297A" w:rsidRPr="00BF3202" w:rsidRDefault="0006297A" w:rsidP="00676CED">
            <w:pPr>
              <w:pStyle w:val="RI07-BodyCopy95pt"/>
              <w:spacing w:before="20" w:after="20" w:line="240" w:lineRule="auto"/>
              <w:jc w:val="center"/>
              <w:rPr>
                <w:sz w:val="18"/>
                <w:szCs w:val="18"/>
              </w:rPr>
            </w:pPr>
            <w:r w:rsidRPr="00BF3202">
              <w:rPr>
                <w:sz w:val="18"/>
                <w:szCs w:val="18"/>
              </w:rPr>
              <w:t>100,000,000</w:t>
            </w:r>
          </w:p>
        </w:tc>
        <w:tc>
          <w:tcPr>
            <w:tcW w:w="1530" w:type="dxa"/>
          </w:tcPr>
          <w:p w:rsidR="0006297A" w:rsidRPr="00BF3202" w:rsidRDefault="0006297A" w:rsidP="00676CED">
            <w:pPr>
              <w:pStyle w:val="RI07-BodyCopy95pt"/>
              <w:spacing w:before="20" w:after="20" w:line="240" w:lineRule="auto"/>
              <w:jc w:val="center"/>
              <w:rPr>
                <w:sz w:val="18"/>
                <w:szCs w:val="18"/>
              </w:rPr>
            </w:pPr>
            <w:r w:rsidRPr="00BF3202">
              <w:rPr>
                <w:sz w:val="18"/>
                <w:szCs w:val="18"/>
              </w:rPr>
              <w:t>5,000,000</w:t>
            </w:r>
          </w:p>
        </w:tc>
        <w:tc>
          <w:tcPr>
            <w:tcW w:w="2245" w:type="dxa"/>
          </w:tcPr>
          <w:p w:rsidR="0006297A" w:rsidRPr="00BF3202" w:rsidRDefault="0006297A" w:rsidP="00676CED">
            <w:pPr>
              <w:pStyle w:val="RI07-BodyCopy95pt"/>
              <w:spacing w:before="20" w:after="20" w:line="240" w:lineRule="auto"/>
              <w:jc w:val="center"/>
              <w:rPr>
                <w:sz w:val="18"/>
                <w:szCs w:val="18"/>
              </w:rPr>
            </w:pPr>
            <w:r w:rsidRPr="00BF3202">
              <w:rPr>
                <w:sz w:val="18"/>
                <w:szCs w:val="18"/>
              </w:rPr>
              <w:t>50,000,000</w:t>
            </w:r>
          </w:p>
        </w:tc>
        <w:tc>
          <w:tcPr>
            <w:tcW w:w="3245" w:type="dxa"/>
          </w:tcPr>
          <w:p w:rsidR="0006297A" w:rsidRPr="00BF3202" w:rsidRDefault="0006297A" w:rsidP="00676CED">
            <w:pPr>
              <w:pStyle w:val="RI07-BodyCopy95pt"/>
              <w:spacing w:before="20" w:after="20" w:line="240" w:lineRule="auto"/>
              <w:jc w:val="center"/>
              <w:rPr>
                <w:sz w:val="18"/>
                <w:szCs w:val="18"/>
              </w:rPr>
            </w:pPr>
            <w:r w:rsidRPr="00BF3202">
              <w:rPr>
                <w:sz w:val="18"/>
                <w:szCs w:val="18"/>
              </w:rPr>
              <w:t>300,000</w:t>
            </w:r>
          </w:p>
        </w:tc>
      </w:tr>
    </w:tbl>
    <w:p w:rsidR="0006297A" w:rsidRPr="00D32180" w:rsidRDefault="0006297A" w:rsidP="0006297A">
      <w:pPr>
        <w:pStyle w:val="RI07-BodyCopy95pt"/>
      </w:pPr>
    </w:p>
    <w:p w:rsidR="0006297A" w:rsidRPr="00D32180" w:rsidRDefault="0006297A" w:rsidP="0006297A">
      <w:pPr>
        <w:pStyle w:val="RI07-BodyCopy95pt"/>
        <w:rPr>
          <w:b/>
        </w:rPr>
      </w:pPr>
      <w:r w:rsidRPr="00D32180">
        <w:rPr>
          <w:b/>
        </w:rPr>
        <w:t xml:space="preserve">Pricing </w:t>
      </w:r>
      <w:r>
        <w:rPr>
          <w:b/>
        </w:rPr>
        <w:t>i</w:t>
      </w:r>
      <w:r w:rsidRPr="00D32180">
        <w:rPr>
          <w:b/>
        </w:rPr>
        <w:t>nformation of XYZ</w:t>
      </w:r>
      <w:r>
        <w:rPr>
          <w:b/>
        </w:rPr>
        <w:t xml:space="preserve"> Company</w:t>
      </w:r>
    </w:p>
    <w:tbl>
      <w:tblPr>
        <w:tblW w:w="0" w:type="auto"/>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163"/>
        <w:gridCol w:w="3163"/>
        <w:gridCol w:w="3164"/>
      </w:tblGrid>
      <w:tr w:rsidR="0006297A" w:rsidRPr="00BF3202" w:rsidTr="00676CED">
        <w:tc>
          <w:tcPr>
            <w:tcW w:w="3163" w:type="dxa"/>
          </w:tcPr>
          <w:p w:rsidR="0006297A" w:rsidRPr="00BF3202" w:rsidRDefault="0006297A" w:rsidP="00676CED">
            <w:pPr>
              <w:pStyle w:val="RI07-BodyCopy95pt"/>
              <w:spacing w:before="20" w:after="20" w:line="240" w:lineRule="auto"/>
              <w:rPr>
                <w:b/>
                <w:bCs/>
                <w:color w:val="66AADD"/>
                <w:sz w:val="18"/>
                <w:szCs w:val="18"/>
              </w:rPr>
            </w:pPr>
            <w:r w:rsidRPr="00BF3202">
              <w:rPr>
                <w:b/>
                <w:bCs/>
                <w:color w:val="66AADD"/>
                <w:sz w:val="18"/>
                <w:szCs w:val="18"/>
              </w:rPr>
              <w:t>Country</w:t>
            </w:r>
          </w:p>
        </w:tc>
        <w:tc>
          <w:tcPr>
            <w:tcW w:w="3163"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Share closing price (USD)</w:t>
            </w:r>
          </w:p>
        </w:tc>
        <w:tc>
          <w:tcPr>
            <w:tcW w:w="3164" w:type="dxa"/>
          </w:tcPr>
          <w:p w:rsidR="0006297A" w:rsidRPr="00BF3202" w:rsidRDefault="0006297A" w:rsidP="00676CED">
            <w:pPr>
              <w:pStyle w:val="RI07-BodyCopy95pt"/>
              <w:spacing w:before="20" w:after="20" w:line="240" w:lineRule="auto"/>
              <w:jc w:val="center"/>
              <w:rPr>
                <w:b/>
                <w:bCs/>
                <w:color w:val="66AADD"/>
                <w:sz w:val="18"/>
                <w:szCs w:val="18"/>
              </w:rPr>
            </w:pPr>
            <w:r w:rsidRPr="00BF3202">
              <w:rPr>
                <w:b/>
                <w:bCs/>
                <w:color w:val="66AADD"/>
                <w:sz w:val="18"/>
                <w:szCs w:val="18"/>
              </w:rPr>
              <w:t>ADR market price (USD)</w:t>
            </w:r>
          </w:p>
        </w:tc>
      </w:tr>
      <w:tr w:rsidR="0006297A" w:rsidRPr="00BF3202" w:rsidTr="00676CED">
        <w:tc>
          <w:tcPr>
            <w:tcW w:w="3163" w:type="dxa"/>
          </w:tcPr>
          <w:p w:rsidR="0006297A" w:rsidRPr="00BF3202" w:rsidRDefault="0006297A" w:rsidP="00676CED">
            <w:pPr>
              <w:pStyle w:val="RI07-BodyCopy95pt"/>
              <w:spacing w:before="20" w:after="20" w:line="240" w:lineRule="auto"/>
              <w:rPr>
                <w:sz w:val="18"/>
                <w:szCs w:val="18"/>
              </w:rPr>
            </w:pPr>
            <w:r w:rsidRPr="00BF3202">
              <w:rPr>
                <w:sz w:val="18"/>
                <w:szCs w:val="18"/>
              </w:rPr>
              <w:t>ABC</w:t>
            </w:r>
          </w:p>
        </w:tc>
        <w:tc>
          <w:tcPr>
            <w:tcW w:w="3163" w:type="dxa"/>
          </w:tcPr>
          <w:p w:rsidR="0006297A" w:rsidRPr="00BF3202" w:rsidRDefault="0006297A" w:rsidP="00676CED">
            <w:pPr>
              <w:pStyle w:val="RI07-BodyCopy95pt"/>
              <w:spacing w:before="20" w:after="20" w:line="240" w:lineRule="auto"/>
              <w:jc w:val="center"/>
              <w:rPr>
                <w:sz w:val="18"/>
                <w:szCs w:val="18"/>
              </w:rPr>
            </w:pPr>
            <w:r w:rsidRPr="00BF3202">
              <w:rPr>
                <w:sz w:val="18"/>
                <w:szCs w:val="18"/>
              </w:rPr>
              <w:t>$30.00</w:t>
            </w:r>
          </w:p>
        </w:tc>
        <w:tc>
          <w:tcPr>
            <w:tcW w:w="3164" w:type="dxa"/>
          </w:tcPr>
          <w:p w:rsidR="0006297A" w:rsidRPr="00BF3202" w:rsidRDefault="0006297A" w:rsidP="00676CED">
            <w:pPr>
              <w:pStyle w:val="RI07-BodyCopy95pt"/>
              <w:spacing w:before="20" w:after="20" w:line="240" w:lineRule="auto"/>
              <w:jc w:val="center"/>
              <w:rPr>
                <w:sz w:val="18"/>
                <w:szCs w:val="18"/>
              </w:rPr>
            </w:pPr>
            <w:r w:rsidRPr="00BF3202">
              <w:rPr>
                <w:sz w:val="18"/>
                <w:szCs w:val="18"/>
              </w:rPr>
              <w:t>$155.00</w:t>
            </w:r>
          </w:p>
        </w:tc>
      </w:tr>
    </w:tbl>
    <w:p w:rsidR="0006297A" w:rsidRPr="00D32180" w:rsidRDefault="0006297A" w:rsidP="0006297A">
      <w:pPr>
        <w:pStyle w:val="RI07-BodyCopy95pt"/>
      </w:pPr>
    </w:p>
    <w:p w:rsidR="0006297A" w:rsidRPr="00D32180" w:rsidRDefault="0006297A" w:rsidP="0006297A">
      <w:pPr>
        <w:pStyle w:val="RI07-BodyCopy95pt"/>
        <w:ind w:left="360"/>
        <w:rPr>
          <w:b/>
        </w:rPr>
      </w:pPr>
      <w:r w:rsidRPr="00D32180">
        <w:rPr>
          <w:b/>
        </w:rPr>
        <w:t>Step 1:</w:t>
      </w:r>
    </w:p>
    <w:p w:rsidR="0006297A" w:rsidRPr="00D32180" w:rsidRDefault="0006297A" w:rsidP="0006297A">
      <w:pPr>
        <w:pStyle w:val="RI07-BodyCopy95pt"/>
        <w:ind w:left="360"/>
      </w:pPr>
      <w:r w:rsidRPr="00D32180">
        <w:t>Total Market Capitalization = $30.00 x 100,000,000 = $3,000,000,000 &gt; Russell Global large cap/small cap cut-off</w:t>
      </w:r>
    </w:p>
    <w:p w:rsidR="0006297A" w:rsidRPr="00D32180" w:rsidRDefault="0006297A" w:rsidP="0006297A">
      <w:pPr>
        <w:pStyle w:val="RI07-BodyCopy95pt"/>
        <w:ind w:left="360"/>
      </w:pPr>
      <w:r w:rsidRPr="00D32180">
        <w:t xml:space="preserve">Thus, Free Float Inclusion Indicator (FFII) = 1 as long as the Free Float Ratio is greater than </w:t>
      </w:r>
      <w:r>
        <w:t>5</w:t>
      </w:r>
      <w:r w:rsidRPr="00D32180">
        <w:t>%</w:t>
      </w:r>
    </w:p>
    <w:p w:rsidR="0006297A" w:rsidRPr="00D32180" w:rsidRDefault="0006297A" w:rsidP="0006297A">
      <w:pPr>
        <w:pStyle w:val="RI07-BodyCopy95pt"/>
        <w:ind w:left="360"/>
        <w:rPr>
          <w:b/>
        </w:rPr>
      </w:pPr>
      <w:r w:rsidRPr="00D32180">
        <w:rPr>
          <w:b/>
        </w:rPr>
        <w:t>Step 2:</w:t>
      </w:r>
    </w:p>
    <w:p w:rsidR="0006297A" w:rsidRPr="00D32180" w:rsidRDefault="0006297A" w:rsidP="0006297A">
      <w:pPr>
        <w:pStyle w:val="RI07-BodyCopy95pt"/>
        <w:ind w:left="360"/>
      </w:pPr>
      <w:r w:rsidRPr="00D32180">
        <w:t>Formula (6) is simplified as the following:</w:t>
      </w:r>
    </w:p>
    <w:p w:rsidR="0006297A" w:rsidRPr="00D32180" w:rsidRDefault="0006297A" w:rsidP="0006297A">
      <w:pPr>
        <w:pStyle w:val="RI07-BodyCopy95pt"/>
        <w:ind w:left="360"/>
      </w:pPr>
      <w:r w:rsidRPr="00D32180">
        <w:t>Free Float-Adjusted Market Capitalization of XYZ</w:t>
      </w:r>
      <w:r>
        <w:t xml:space="preserve"> Company</w:t>
      </w:r>
      <w:r w:rsidRPr="00D32180">
        <w:t xml:space="preserve"> </w:t>
      </w:r>
    </w:p>
    <w:p w:rsidR="0006297A" w:rsidRPr="00D32180" w:rsidRDefault="0006297A" w:rsidP="0006297A">
      <w:pPr>
        <w:pStyle w:val="RI07-BodyCopy95pt"/>
        <w:ind w:left="360"/>
      </w:pPr>
      <w:r w:rsidRPr="00D32180">
        <w:t>= Share Closing Price x (Number of Total Shares Outstanding – Number of Unavailable Shares – Number of Additional Shares Restricted by FOL) + Depositary Receipts Market Price x Number of Investable Depositary Receipt Contracts = $30.00 x (100,000,000 – 5,000,000 – 50,000,000) + $155.00 x 300,000</w:t>
      </w:r>
    </w:p>
    <w:p w:rsidR="0006297A" w:rsidRPr="00D32180" w:rsidRDefault="0006297A" w:rsidP="0006297A">
      <w:pPr>
        <w:pStyle w:val="RI07-BodyCopy95pt"/>
        <w:ind w:left="360"/>
      </w:pPr>
      <w:r w:rsidRPr="00D32180">
        <w:t>= $1,350,000,000 + $46,500,000</w:t>
      </w:r>
    </w:p>
    <w:p w:rsidR="0006297A" w:rsidRPr="00D32180" w:rsidRDefault="0006297A" w:rsidP="0006297A">
      <w:pPr>
        <w:pStyle w:val="RI07-BodyCopy95pt"/>
        <w:ind w:left="360"/>
      </w:pPr>
      <w:r w:rsidRPr="00D32180">
        <w:t>= $1,396,500,000</w:t>
      </w:r>
    </w:p>
    <w:p w:rsidR="0006297A" w:rsidRPr="00D32180" w:rsidRDefault="0006297A" w:rsidP="0006297A">
      <w:pPr>
        <w:pStyle w:val="RI07-BodyCopy95pt"/>
        <w:ind w:left="360"/>
        <w:rPr>
          <w:b/>
        </w:rPr>
      </w:pPr>
      <w:r w:rsidRPr="00D32180">
        <w:rPr>
          <w:b/>
        </w:rPr>
        <w:t>Step 3:</w:t>
      </w:r>
    </w:p>
    <w:p w:rsidR="0006297A" w:rsidRPr="00D32180" w:rsidRDefault="0006297A" w:rsidP="0006297A">
      <w:pPr>
        <w:pStyle w:val="RI07-BodyCopy95pt"/>
        <w:ind w:left="360"/>
      </w:pPr>
      <w:r w:rsidRPr="00D32180">
        <w:t>Free Float Ratio (FFR) = 1,396,500,000</w:t>
      </w:r>
      <w:r>
        <w:t xml:space="preserve"> </w:t>
      </w:r>
      <w:r w:rsidRPr="00D32180">
        <w:t>/</w:t>
      </w:r>
      <w:r>
        <w:t xml:space="preserve"> </w:t>
      </w:r>
      <w:r w:rsidRPr="00D32180">
        <w:t>3,000,000,000 x 100% = 46.55%</w:t>
      </w:r>
    </w:p>
    <w:p w:rsidR="0006297A" w:rsidRPr="00D32180" w:rsidRDefault="0006297A" w:rsidP="0006297A">
      <w:pPr>
        <w:pStyle w:val="RI01-Heading0"/>
        <w:sectPr w:rsidR="0006297A" w:rsidRPr="00D32180"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pPr>
      <w:r w:rsidRPr="00D32180">
        <w:t xml:space="preserve">APPENDIX </w:t>
      </w:r>
      <w:r>
        <w:t>F</w:t>
      </w:r>
    </w:p>
    <w:p w:rsidR="0006297A" w:rsidRDefault="0006297A" w:rsidP="0006297A">
      <w:pPr>
        <w:pStyle w:val="Heading1"/>
        <w:ind w:right="-806"/>
      </w:pPr>
      <w:bookmarkStart w:id="477" w:name="_Toc217446228"/>
      <w:bookmarkStart w:id="478" w:name="_Toc220919456"/>
      <w:bookmarkStart w:id="479" w:name="_Toc343682770"/>
      <w:r w:rsidRPr="00D32180">
        <w:t>Assigning a primary exchange to a security</w:t>
      </w:r>
      <w:bookmarkEnd w:id="477"/>
      <w:bookmarkEnd w:id="478"/>
      <w:bookmarkEnd w:id="479"/>
    </w:p>
    <w:p w:rsidR="0006297A" w:rsidRDefault="0006297A" w:rsidP="0006297A">
      <w:pPr>
        <w:pStyle w:val="RI07-BodyCopy95pt"/>
      </w:pPr>
      <w:r w:rsidRPr="00D32180">
        <w:t>The selection of the primary exchange is used to determine the closing price and underlying currency of a stock</w:t>
      </w:r>
      <w:r>
        <w:t xml:space="preserve">. </w:t>
      </w:r>
      <w:r w:rsidRPr="00D32180">
        <w:t xml:space="preserve">The primary factor of selecting a primary exchange for a stock is the </w:t>
      </w:r>
      <w:r>
        <w:t xml:space="preserve">company’s </w:t>
      </w:r>
      <w:r w:rsidRPr="00D32180">
        <w:t xml:space="preserve">country assignment </w:t>
      </w:r>
      <w:r>
        <w:t xml:space="preserve">following rules described in Section 3. </w:t>
      </w:r>
    </w:p>
    <w:p w:rsidR="0006297A" w:rsidRDefault="0006297A" w:rsidP="0006297A">
      <w:pPr>
        <w:pStyle w:val="RI07-BodyCopy95pt"/>
      </w:pPr>
      <w:r w:rsidRPr="005971F4">
        <w:t>With limited exceptions, Russell strongly prefers to consider a company’s domestic exchange to be its primary exchange. For nearly 100% of the securities in the index, the local exchange is also the most liquid</w:t>
      </w:r>
      <w:r>
        <w:t xml:space="preserve"> (and passes the Russell defined liquidity measure)</w:t>
      </w:r>
      <w:r w:rsidRPr="005971F4">
        <w:t>, so most securities are assigned to their local exchanges.</w:t>
      </w:r>
      <w:r>
        <w:t xml:space="preserve"> </w:t>
      </w:r>
      <w:r w:rsidRPr="005971F4">
        <w:t xml:space="preserve">In very few cases, a company is </w:t>
      </w:r>
      <w:r>
        <w:t xml:space="preserve">also </w:t>
      </w:r>
      <w:r w:rsidRPr="005971F4">
        <w:t>listed on a non-domestic exchange and is significantly more liquid on that exchange.</w:t>
      </w:r>
      <w:r>
        <w:t xml:space="preserve"> </w:t>
      </w:r>
      <w:r w:rsidRPr="005971F4">
        <w:t>In these rare cases, the primary exchange assignment is reviewed.</w:t>
      </w:r>
      <w:r>
        <w:t xml:space="preserve"> </w:t>
      </w:r>
    </w:p>
    <w:p w:rsidR="0006297A" w:rsidRDefault="0006297A" w:rsidP="0006297A">
      <w:pPr>
        <w:pStyle w:val="RI07-BodyCopy95pt"/>
      </w:pPr>
      <w:r>
        <w:t xml:space="preserve">If the </w:t>
      </w:r>
      <w:r w:rsidRPr="00D32180">
        <w:t>domestic listing for a company does not pass the liquidity screen, Russell th</w:t>
      </w:r>
      <w:r>
        <w:t>en considers dual listings on</w:t>
      </w:r>
      <w:r w:rsidRPr="00D32180">
        <w:t xml:space="preserve"> foreign exchanges. Russell takes the most liquid foreign listing (provided it passes the Russell defined liquidity measure), and the stock exchange </w:t>
      </w:r>
      <w:r>
        <w:t>on which</w:t>
      </w:r>
      <w:r w:rsidRPr="00D32180">
        <w:t xml:space="preserve"> th</w:t>
      </w:r>
      <w:r>
        <w:t>at</w:t>
      </w:r>
      <w:r w:rsidRPr="00D32180">
        <w:t xml:space="preserve"> issue trades becomes </w:t>
      </w:r>
      <w:r>
        <w:t>its</w:t>
      </w:r>
      <w:r w:rsidRPr="00D32180">
        <w:t xml:space="preserve"> primary exchange. If none of the stock listings pass the Russell defined liquidity measure, </w:t>
      </w:r>
      <w:r>
        <w:t>depositary</w:t>
      </w:r>
      <w:r w:rsidRPr="00D32180">
        <w:t xml:space="preserve"> rece</w:t>
      </w:r>
      <w:r>
        <w:t xml:space="preserve">ipts (DR) of the stock are </w:t>
      </w:r>
      <w:r w:rsidRPr="00D32180">
        <w:t xml:space="preserve">considered eligible for liquidity testing. In this case, if the company’s stock in DR form passes the Russell defined liquidity measure, Russell recognizes the DR as being the primary issue of the stock, and thus </w:t>
      </w:r>
      <w:r>
        <w:t xml:space="preserve">recognizes </w:t>
      </w:r>
      <w:r w:rsidRPr="00D32180">
        <w:t xml:space="preserve">the stock exchange wherein the DR trades as being the primary exchange. </w:t>
      </w:r>
    </w:p>
    <w:p w:rsidR="0006297A" w:rsidRDefault="0006297A" w:rsidP="0006297A">
      <w:pPr>
        <w:pStyle w:val="RI07-BodyCopy95pt"/>
      </w:pPr>
    </w:p>
    <w:p w:rsidR="0006297A" w:rsidRDefault="0006297A" w:rsidP="0006297A">
      <w:pPr>
        <w:pStyle w:val="RI07-BodyCopy95pt"/>
        <w:sectPr w:rsidR="0006297A" w:rsidSect="00676CED">
          <w:headerReference w:type="default" r:id="rId82"/>
          <w:footerReference w:type="default" r:id="rId83"/>
          <w:pgSz w:w="12240" w:h="15840"/>
          <w:pgMar w:top="1440" w:right="1440" w:bottom="1440" w:left="1526" w:header="720" w:footer="1267" w:gutter="0"/>
          <w:cols w:space="720"/>
          <w:titlePg/>
          <w:docGrid w:linePitch="360"/>
        </w:sectPr>
      </w:pPr>
    </w:p>
    <w:p w:rsidR="0006297A" w:rsidRPr="00D32180" w:rsidRDefault="0006297A" w:rsidP="0006297A">
      <w:pPr>
        <w:pStyle w:val="RI01-Heading0"/>
      </w:pPr>
      <w:r>
        <w:t>APPENDIX G</w:t>
      </w:r>
    </w:p>
    <w:p w:rsidR="0006297A" w:rsidRDefault="0006297A" w:rsidP="0006297A">
      <w:pPr>
        <w:pStyle w:val="Heading1"/>
        <w:ind w:right="-806"/>
      </w:pPr>
      <w:bookmarkStart w:id="480" w:name="_Toc343682771"/>
      <w:r>
        <w:t xml:space="preserve">Benefit Driven Incorporation countries (BDI), </w:t>
      </w:r>
      <w:r w:rsidRPr="00D32180">
        <w:t>No Domestic Exchange countries (NDE)</w:t>
      </w:r>
      <w:r>
        <w:t>, and U.S. territories</w:t>
      </w:r>
      <w:bookmarkEnd w:id="480"/>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auto"/>
        </w:tblBorders>
        <w:tblLook w:val="01E0"/>
      </w:tblPr>
      <w:tblGrid>
        <w:gridCol w:w="9490"/>
      </w:tblGrid>
      <w:tr w:rsidR="0006297A" w:rsidRPr="00BF3202" w:rsidTr="00676CED">
        <w:trPr>
          <w:trHeight w:val="55"/>
        </w:trPr>
        <w:tc>
          <w:tcPr>
            <w:tcW w:w="5000" w:type="pct"/>
            <w:vAlign w:val="center"/>
          </w:tcPr>
          <w:p w:rsidR="0006297A" w:rsidRPr="00BF3202" w:rsidRDefault="0006297A" w:rsidP="00676CED">
            <w:pPr>
              <w:pStyle w:val="RI07-BodyCopy95pt"/>
              <w:spacing w:before="20" w:after="20" w:line="240" w:lineRule="auto"/>
              <w:rPr>
                <w:b/>
                <w:sz w:val="18"/>
              </w:rPr>
            </w:pPr>
            <w:r w:rsidRPr="0044163D">
              <w:rPr>
                <w:b/>
                <w:sz w:val="18"/>
              </w:rPr>
              <w:t>NDE countries</w:t>
            </w:r>
          </w:p>
        </w:tc>
      </w:tr>
      <w:tr w:rsidR="0006297A" w:rsidRPr="00BF3202" w:rsidTr="00676CED">
        <w:trPr>
          <w:trHeight w:val="35"/>
        </w:trPr>
        <w:tc>
          <w:tcPr>
            <w:tcW w:w="5000" w:type="pct"/>
            <w:vAlign w:val="center"/>
          </w:tcPr>
          <w:p w:rsidR="0006297A" w:rsidRPr="00BF3202" w:rsidRDefault="0006297A" w:rsidP="00676CED">
            <w:pPr>
              <w:pStyle w:val="RI08-95ptBullet1"/>
              <w:spacing w:before="20" w:after="20" w:line="240" w:lineRule="auto"/>
              <w:ind w:left="360"/>
              <w:rPr>
                <w:sz w:val="18"/>
                <w:szCs w:val="18"/>
              </w:rPr>
            </w:pPr>
            <w:r w:rsidRPr="00BF3202">
              <w:rPr>
                <w:sz w:val="18"/>
                <w:szCs w:val="18"/>
              </w:rPr>
              <w:t>Falkland Islands</w:t>
            </w:r>
          </w:p>
        </w:tc>
      </w:tr>
      <w:tr w:rsidR="0006297A" w:rsidRPr="00BF3202" w:rsidTr="00676CED">
        <w:trPr>
          <w:trHeight w:val="55"/>
        </w:trPr>
        <w:tc>
          <w:tcPr>
            <w:tcW w:w="5000" w:type="pct"/>
            <w:vAlign w:val="center"/>
          </w:tcPr>
          <w:p w:rsidR="0006297A" w:rsidRPr="00BF3202" w:rsidRDefault="0006297A" w:rsidP="00676CED">
            <w:pPr>
              <w:pStyle w:val="RI08-95ptBullet1"/>
              <w:spacing w:before="20" w:after="20" w:line="240" w:lineRule="auto"/>
              <w:ind w:left="360"/>
              <w:rPr>
                <w:sz w:val="18"/>
                <w:szCs w:val="18"/>
              </w:rPr>
            </w:pPr>
            <w:r w:rsidRPr="00BF3202">
              <w:rPr>
                <w:sz w:val="18"/>
                <w:szCs w:val="18"/>
              </w:rPr>
              <w:t>Liechtenstein</w:t>
            </w:r>
          </w:p>
        </w:tc>
      </w:tr>
      <w:tr w:rsidR="0006297A" w:rsidRPr="00BF3202" w:rsidTr="00676CED">
        <w:trPr>
          <w:trHeight w:val="55"/>
        </w:trPr>
        <w:tc>
          <w:tcPr>
            <w:tcW w:w="5000" w:type="pct"/>
            <w:vAlign w:val="center"/>
          </w:tcPr>
          <w:p w:rsidR="0006297A" w:rsidRPr="00BF3202" w:rsidRDefault="0006297A" w:rsidP="00676CED">
            <w:pPr>
              <w:pStyle w:val="RI08-95ptBullet1"/>
              <w:spacing w:before="20" w:after="20" w:line="240" w:lineRule="auto"/>
              <w:ind w:left="360"/>
              <w:rPr>
                <w:sz w:val="18"/>
                <w:szCs w:val="18"/>
              </w:rPr>
            </w:pPr>
            <w:r w:rsidRPr="00BF3202">
              <w:rPr>
                <w:sz w:val="18"/>
                <w:szCs w:val="18"/>
              </w:rPr>
              <w:t xml:space="preserve">Monaco </w:t>
            </w:r>
          </w:p>
        </w:tc>
      </w:tr>
      <w:tr w:rsidR="0006297A" w:rsidRPr="00BF3202" w:rsidTr="00676CED">
        <w:trPr>
          <w:trHeight w:val="55"/>
        </w:trPr>
        <w:tc>
          <w:tcPr>
            <w:tcW w:w="5000" w:type="pct"/>
            <w:vAlign w:val="center"/>
          </w:tcPr>
          <w:p w:rsidR="0006297A" w:rsidRPr="00BF3202" w:rsidRDefault="0006297A" w:rsidP="00676CED">
            <w:pPr>
              <w:pStyle w:val="RI08-95ptBullet1"/>
              <w:spacing w:before="20" w:after="20" w:line="240" w:lineRule="auto"/>
              <w:ind w:left="360"/>
              <w:rPr>
                <w:sz w:val="18"/>
                <w:szCs w:val="18"/>
              </w:rPr>
            </w:pPr>
            <w:r w:rsidRPr="00BF3202">
              <w:rPr>
                <w:sz w:val="18"/>
                <w:szCs w:val="18"/>
              </w:rPr>
              <w:t xml:space="preserve">Suriname </w:t>
            </w:r>
          </w:p>
        </w:tc>
      </w:tr>
      <w:tr w:rsidR="0006297A" w:rsidRPr="00BF3202" w:rsidTr="00676CED">
        <w:trPr>
          <w:trHeight w:val="55"/>
        </w:trPr>
        <w:tc>
          <w:tcPr>
            <w:tcW w:w="5000" w:type="pct"/>
            <w:vAlign w:val="center"/>
          </w:tcPr>
          <w:p w:rsidR="0006297A" w:rsidRPr="00BF3202" w:rsidRDefault="0006297A" w:rsidP="00676CED">
            <w:pPr>
              <w:pStyle w:val="RI07-BodyCopy95pt"/>
              <w:spacing w:before="20" w:after="20" w:line="240" w:lineRule="auto"/>
              <w:rPr>
                <w:b/>
                <w:bCs/>
                <w:sz w:val="18"/>
                <w:szCs w:val="18"/>
              </w:rPr>
            </w:pPr>
            <w:r w:rsidRPr="00BF3202">
              <w:rPr>
                <w:b/>
                <w:bCs/>
                <w:sz w:val="18"/>
                <w:szCs w:val="18"/>
              </w:rPr>
              <w:t>BDI</w:t>
            </w:r>
            <w:r>
              <w:rPr>
                <w:b/>
                <w:bCs/>
                <w:sz w:val="18"/>
                <w:szCs w:val="18"/>
              </w:rPr>
              <w:t xml:space="preserve"> countries</w:t>
            </w:r>
          </w:p>
        </w:tc>
      </w:tr>
      <w:tr w:rsidR="0006297A" w:rsidRPr="00BF3202" w:rsidTr="00676CED">
        <w:trPr>
          <w:trHeight w:val="55"/>
        </w:trPr>
        <w:tc>
          <w:tcPr>
            <w:tcW w:w="5000" w:type="pct"/>
            <w:vAlign w:val="center"/>
          </w:tcPr>
          <w:p w:rsidR="0006297A" w:rsidRPr="007D32B3" w:rsidRDefault="0006297A" w:rsidP="00676CED">
            <w:pPr>
              <w:pStyle w:val="RI08-95ptBullet1"/>
              <w:spacing w:before="20" w:after="20" w:line="240" w:lineRule="auto"/>
              <w:ind w:left="360"/>
              <w:rPr>
                <w:sz w:val="18"/>
                <w:szCs w:val="18"/>
              </w:rPr>
            </w:pPr>
            <w:r w:rsidRPr="007D32B3">
              <w:rPr>
                <w:sz w:val="18"/>
                <w:szCs w:val="18"/>
              </w:rPr>
              <w:t>Anguilla</w:t>
            </w:r>
          </w:p>
        </w:tc>
      </w:tr>
      <w:tr w:rsidR="0006297A" w:rsidRPr="00BF3202" w:rsidTr="00676CED">
        <w:trPr>
          <w:trHeight w:val="260"/>
        </w:trPr>
        <w:tc>
          <w:tcPr>
            <w:tcW w:w="5000" w:type="pct"/>
            <w:vAlign w:val="center"/>
          </w:tcPr>
          <w:p w:rsidR="0006297A" w:rsidRPr="007D32B3" w:rsidRDefault="0006297A" w:rsidP="00676CED">
            <w:pPr>
              <w:pStyle w:val="RI08-95ptBullet1"/>
              <w:spacing w:before="20" w:after="20" w:line="240" w:lineRule="auto"/>
              <w:ind w:left="360"/>
              <w:rPr>
                <w:sz w:val="18"/>
                <w:szCs w:val="18"/>
              </w:rPr>
            </w:pPr>
            <w:r w:rsidRPr="007D32B3">
              <w:rPr>
                <w:sz w:val="18"/>
                <w:szCs w:val="18"/>
              </w:rPr>
              <w:t>Antigua and Barbuda</w:t>
            </w:r>
          </w:p>
        </w:tc>
      </w:tr>
      <w:tr w:rsidR="0006297A" w:rsidRPr="00BF3202" w:rsidTr="00676CED">
        <w:trPr>
          <w:trHeight w:val="260"/>
        </w:trPr>
        <w:tc>
          <w:tcPr>
            <w:tcW w:w="5000" w:type="pct"/>
            <w:vAlign w:val="center"/>
          </w:tcPr>
          <w:p w:rsidR="0006297A" w:rsidRPr="007D32B3" w:rsidRDefault="0006297A" w:rsidP="00676CED">
            <w:pPr>
              <w:pStyle w:val="RI08-95ptBullet1"/>
              <w:spacing w:before="20" w:after="20" w:line="240" w:lineRule="auto"/>
              <w:ind w:left="360"/>
              <w:rPr>
                <w:sz w:val="18"/>
                <w:szCs w:val="18"/>
              </w:rPr>
            </w:pPr>
            <w:r>
              <w:rPr>
                <w:sz w:val="18"/>
                <w:szCs w:val="18"/>
              </w:rPr>
              <w:t>Aruba</w:t>
            </w:r>
          </w:p>
        </w:tc>
      </w:tr>
      <w:tr w:rsidR="0006297A" w:rsidRPr="00BF3202" w:rsidTr="00676CED">
        <w:trPr>
          <w:trHeight w:val="260"/>
        </w:trPr>
        <w:tc>
          <w:tcPr>
            <w:tcW w:w="5000" w:type="pct"/>
            <w:vAlign w:val="center"/>
          </w:tcPr>
          <w:p w:rsidR="0006297A" w:rsidRPr="007D32B3" w:rsidRDefault="0006297A" w:rsidP="00676CED">
            <w:pPr>
              <w:pStyle w:val="RI08-95ptBullet1"/>
              <w:spacing w:before="20" w:after="20" w:line="240" w:lineRule="auto"/>
              <w:ind w:left="360"/>
              <w:rPr>
                <w:sz w:val="18"/>
                <w:szCs w:val="18"/>
              </w:rPr>
            </w:pPr>
            <w:r w:rsidRPr="007D32B3">
              <w:rPr>
                <w:sz w:val="18"/>
                <w:szCs w:val="18"/>
              </w:rPr>
              <w:t>Bahamas</w:t>
            </w:r>
          </w:p>
        </w:tc>
      </w:tr>
      <w:tr w:rsidR="0006297A" w:rsidRPr="00BF3202" w:rsidTr="00676CED">
        <w:trPr>
          <w:trHeight w:val="260"/>
        </w:trPr>
        <w:tc>
          <w:tcPr>
            <w:tcW w:w="5000" w:type="pct"/>
            <w:vAlign w:val="center"/>
          </w:tcPr>
          <w:p w:rsidR="0006297A" w:rsidRPr="007D32B3" w:rsidRDefault="0006297A" w:rsidP="00676CED">
            <w:pPr>
              <w:pStyle w:val="RI08-95ptBullet1"/>
              <w:spacing w:before="20" w:after="20" w:line="240" w:lineRule="auto"/>
              <w:ind w:left="360"/>
              <w:rPr>
                <w:sz w:val="18"/>
                <w:szCs w:val="18"/>
              </w:rPr>
            </w:pPr>
            <w:r w:rsidRPr="007D32B3">
              <w:rPr>
                <w:sz w:val="18"/>
                <w:szCs w:val="18"/>
              </w:rPr>
              <w:t>Barbados</w:t>
            </w:r>
          </w:p>
        </w:tc>
      </w:tr>
      <w:tr w:rsidR="0006297A" w:rsidRPr="00BF3202" w:rsidTr="00676CED">
        <w:trPr>
          <w:trHeight w:val="55"/>
        </w:trPr>
        <w:tc>
          <w:tcPr>
            <w:tcW w:w="5000" w:type="pct"/>
            <w:vAlign w:val="center"/>
          </w:tcPr>
          <w:p w:rsidR="0006297A" w:rsidRPr="007D32B3" w:rsidRDefault="0006297A" w:rsidP="00676CED">
            <w:pPr>
              <w:pStyle w:val="RI08-95ptBullet1"/>
              <w:spacing w:before="20" w:after="20" w:line="240" w:lineRule="auto"/>
              <w:ind w:left="360"/>
              <w:rPr>
                <w:sz w:val="18"/>
                <w:szCs w:val="18"/>
              </w:rPr>
            </w:pPr>
            <w:r w:rsidRPr="007D32B3">
              <w:rPr>
                <w:sz w:val="18"/>
                <w:szCs w:val="18"/>
              </w:rPr>
              <w:t>Belize</w:t>
            </w:r>
          </w:p>
        </w:tc>
      </w:tr>
      <w:tr w:rsidR="0006297A" w:rsidRPr="00BF3202" w:rsidTr="00676CED">
        <w:trPr>
          <w:trHeight w:val="260"/>
        </w:trPr>
        <w:tc>
          <w:tcPr>
            <w:tcW w:w="5000" w:type="pct"/>
            <w:vAlign w:val="center"/>
          </w:tcPr>
          <w:p w:rsidR="0006297A" w:rsidRPr="007D32B3" w:rsidRDefault="0006297A" w:rsidP="00676CED">
            <w:pPr>
              <w:pStyle w:val="RI08-95ptBullet1"/>
              <w:spacing w:before="20" w:after="20" w:line="240" w:lineRule="auto"/>
              <w:ind w:left="360"/>
              <w:rPr>
                <w:sz w:val="18"/>
                <w:szCs w:val="18"/>
              </w:rPr>
            </w:pPr>
            <w:r w:rsidRPr="007D32B3">
              <w:rPr>
                <w:sz w:val="18"/>
                <w:szCs w:val="18"/>
              </w:rPr>
              <w:t>Bermuda</w:t>
            </w:r>
          </w:p>
        </w:tc>
      </w:tr>
      <w:tr w:rsidR="0006297A" w:rsidRPr="00BF3202" w:rsidTr="00676CED">
        <w:trPr>
          <w:trHeight w:val="260"/>
        </w:trPr>
        <w:tc>
          <w:tcPr>
            <w:tcW w:w="5000" w:type="pct"/>
            <w:vAlign w:val="center"/>
          </w:tcPr>
          <w:p w:rsidR="0006297A" w:rsidRPr="007D32B3" w:rsidRDefault="0006297A" w:rsidP="00676CED">
            <w:pPr>
              <w:pStyle w:val="RI08-95ptBullet1"/>
              <w:spacing w:before="20" w:after="20" w:line="240" w:lineRule="auto"/>
              <w:ind w:left="360"/>
              <w:rPr>
                <w:sz w:val="18"/>
                <w:szCs w:val="18"/>
              </w:rPr>
            </w:pPr>
            <w:r>
              <w:rPr>
                <w:sz w:val="18"/>
                <w:szCs w:val="18"/>
              </w:rPr>
              <w:t>Bonaire</w:t>
            </w:r>
          </w:p>
        </w:tc>
      </w:tr>
      <w:tr w:rsidR="0006297A" w:rsidRPr="00BF3202" w:rsidTr="00676CED">
        <w:trPr>
          <w:trHeight w:val="55"/>
        </w:trPr>
        <w:tc>
          <w:tcPr>
            <w:tcW w:w="5000" w:type="pct"/>
          </w:tcPr>
          <w:p w:rsidR="0006297A" w:rsidRPr="007D32B3" w:rsidRDefault="0006297A" w:rsidP="00676CED">
            <w:pPr>
              <w:pStyle w:val="RI08-95ptBullet1"/>
              <w:spacing w:before="20" w:after="20" w:line="240" w:lineRule="auto"/>
              <w:ind w:left="360"/>
              <w:rPr>
                <w:sz w:val="18"/>
                <w:szCs w:val="18"/>
              </w:rPr>
            </w:pPr>
            <w:r w:rsidRPr="007D32B3">
              <w:rPr>
                <w:sz w:val="18"/>
                <w:szCs w:val="18"/>
              </w:rPr>
              <w:t>British Virgin Islands</w:t>
            </w:r>
          </w:p>
        </w:tc>
      </w:tr>
      <w:tr w:rsidR="0006297A" w:rsidRPr="00BF3202" w:rsidTr="00676CED">
        <w:trPr>
          <w:trHeight w:val="260"/>
        </w:trPr>
        <w:tc>
          <w:tcPr>
            <w:tcW w:w="5000" w:type="pct"/>
          </w:tcPr>
          <w:p w:rsidR="0006297A" w:rsidRPr="007D32B3" w:rsidRDefault="0006297A" w:rsidP="00676CED">
            <w:pPr>
              <w:pStyle w:val="RI08-95ptBullet1"/>
              <w:spacing w:before="20" w:after="20" w:line="240" w:lineRule="auto"/>
              <w:ind w:left="360"/>
              <w:rPr>
                <w:sz w:val="18"/>
                <w:szCs w:val="18"/>
              </w:rPr>
            </w:pPr>
            <w:r w:rsidRPr="007D32B3">
              <w:rPr>
                <w:sz w:val="18"/>
                <w:szCs w:val="18"/>
              </w:rPr>
              <w:t>Cayman Islands</w:t>
            </w:r>
          </w:p>
        </w:tc>
      </w:tr>
      <w:tr w:rsidR="0006297A" w:rsidRPr="00BF3202" w:rsidTr="00676CED">
        <w:trPr>
          <w:trHeight w:val="260"/>
        </w:trPr>
        <w:tc>
          <w:tcPr>
            <w:tcW w:w="5000" w:type="pct"/>
          </w:tcPr>
          <w:p w:rsidR="0006297A" w:rsidRPr="007D32B3" w:rsidRDefault="0006297A" w:rsidP="00676CED">
            <w:pPr>
              <w:pStyle w:val="RI08-95ptBullet1"/>
              <w:spacing w:before="20" w:after="20" w:line="240" w:lineRule="auto"/>
              <w:ind w:left="360"/>
              <w:rPr>
                <w:sz w:val="18"/>
                <w:szCs w:val="18"/>
              </w:rPr>
            </w:pPr>
            <w:r w:rsidRPr="007D32B3">
              <w:rPr>
                <w:sz w:val="18"/>
                <w:szCs w:val="18"/>
              </w:rPr>
              <w:t>Channel Islands</w:t>
            </w:r>
          </w:p>
        </w:tc>
      </w:tr>
      <w:tr w:rsidR="0006297A" w:rsidRPr="00BF3202" w:rsidTr="00676CED">
        <w:trPr>
          <w:trHeight w:val="260"/>
        </w:trPr>
        <w:tc>
          <w:tcPr>
            <w:tcW w:w="5000" w:type="pct"/>
          </w:tcPr>
          <w:p w:rsidR="0006297A" w:rsidRPr="007D32B3" w:rsidRDefault="0006297A" w:rsidP="00676CED">
            <w:pPr>
              <w:pStyle w:val="RI08-95ptBullet1"/>
              <w:spacing w:before="20" w:after="20" w:line="240" w:lineRule="auto"/>
              <w:ind w:left="360"/>
              <w:rPr>
                <w:sz w:val="18"/>
                <w:szCs w:val="18"/>
              </w:rPr>
            </w:pPr>
            <w:r w:rsidRPr="007D32B3">
              <w:rPr>
                <w:sz w:val="18"/>
                <w:szCs w:val="18"/>
              </w:rPr>
              <w:t>Cook Islands</w:t>
            </w:r>
          </w:p>
        </w:tc>
      </w:tr>
      <w:tr w:rsidR="0006297A" w:rsidRPr="00BF3202" w:rsidTr="00676CED">
        <w:trPr>
          <w:trHeight w:val="260"/>
        </w:trPr>
        <w:tc>
          <w:tcPr>
            <w:tcW w:w="5000" w:type="pct"/>
          </w:tcPr>
          <w:p w:rsidR="0006297A" w:rsidRPr="007D32B3" w:rsidRDefault="0006297A" w:rsidP="00676CED">
            <w:pPr>
              <w:pStyle w:val="RI08-95ptBullet1"/>
              <w:spacing w:before="20" w:after="20" w:line="240" w:lineRule="auto"/>
              <w:ind w:left="360"/>
              <w:rPr>
                <w:sz w:val="18"/>
                <w:szCs w:val="18"/>
              </w:rPr>
            </w:pPr>
            <w:r>
              <w:rPr>
                <w:sz w:val="18"/>
                <w:szCs w:val="18"/>
              </w:rPr>
              <w:t>Curacao</w:t>
            </w:r>
          </w:p>
        </w:tc>
      </w:tr>
      <w:tr w:rsidR="0006297A" w:rsidRPr="00BF3202" w:rsidTr="00676CED">
        <w:trPr>
          <w:trHeight w:val="55"/>
        </w:trPr>
        <w:tc>
          <w:tcPr>
            <w:tcW w:w="5000" w:type="pct"/>
          </w:tcPr>
          <w:p w:rsidR="0006297A" w:rsidRPr="00BF3202" w:rsidRDefault="0006297A" w:rsidP="00676CED">
            <w:pPr>
              <w:pStyle w:val="RI07-BodyCopy95pt"/>
              <w:spacing w:before="20" w:after="20" w:line="240" w:lineRule="auto"/>
              <w:ind w:left="360"/>
              <w:jc w:val="both"/>
              <w:rPr>
                <w:sz w:val="18"/>
                <w:szCs w:val="18"/>
              </w:rPr>
            </w:pPr>
            <w:r w:rsidRPr="00BF3202">
              <w:rPr>
                <w:sz w:val="18"/>
                <w:szCs w:val="18"/>
              </w:rPr>
              <w:t>Faroe Islands</w:t>
            </w:r>
          </w:p>
        </w:tc>
      </w:tr>
      <w:tr w:rsidR="0006297A" w:rsidRPr="00BF3202" w:rsidTr="00676CED">
        <w:trPr>
          <w:trHeight w:val="260"/>
        </w:trPr>
        <w:tc>
          <w:tcPr>
            <w:tcW w:w="5000" w:type="pct"/>
          </w:tcPr>
          <w:p w:rsidR="0006297A" w:rsidRPr="00BF3202" w:rsidRDefault="0006297A" w:rsidP="00676CED">
            <w:pPr>
              <w:pStyle w:val="RI07-BodyCopy95pt"/>
              <w:spacing w:before="20" w:after="20" w:line="240" w:lineRule="auto"/>
              <w:ind w:left="360"/>
              <w:jc w:val="both"/>
              <w:rPr>
                <w:sz w:val="18"/>
                <w:szCs w:val="18"/>
              </w:rPr>
            </w:pPr>
            <w:r w:rsidRPr="00BF3202">
              <w:rPr>
                <w:sz w:val="18"/>
                <w:szCs w:val="18"/>
              </w:rPr>
              <w:t>Gibraltar</w:t>
            </w:r>
          </w:p>
        </w:tc>
      </w:tr>
      <w:tr w:rsidR="0006297A" w:rsidRPr="00BF3202" w:rsidTr="00676CED">
        <w:trPr>
          <w:trHeight w:val="55"/>
        </w:trPr>
        <w:tc>
          <w:tcPr>
            <w:tcW w:w="5000" w:type="pct"/>
          </w:tcPr>
          <w:p w:rsidR="0006297A" w:rsidRPr="00BF3202" w:rsidRDefault="0006297A" w:rsidP="00676CED">
            <w:pPr>
              <w:pStyle w:val="RI07-BodyCopy95pt"/>
              <w:spacing w:before="20" w:after="20" w:line="240" w:lineRule="auto"/>
              <w:ind w:left="360"/>
              <w:jc w:val="both"/>
              <w:rPr>
                <w:sz w:val="18"/>
                <w:szCs w:val="18"/>
              </w:rPr>
            </w:pPr>
            <w:r w:rsidRPr="00BF3202">
              <w:rPr>
                <w:sz w:val="18"/>
                <w:szCs w:val="18"/>
              </w:rPr>
              <w:t>Isle of Man</w:t>
            </w:r>
          </w:p>
        </w:tc>
      </w:tr>
      <w:tr w:rsidR="0006297A" w:rsidRPr="00BF3202" w:rsidTr="00676CED">
        <w:trPr>
          <w:trHeight w:val="260"/>
        </w:trPr>
        <w:tc>
          <w:tcPr>
            <w:tcW w:w="5000" w:type="pct"/>
          </w:tcPr>
          <w:p w:rsidR="0006297A" w:rsidRPr="00BF3202" w:rsidRDefault="0006297A" w:rsidP="00676CED">
            <w:pPr>
              <w:pStyle w:val="RI07-BodyCopy95pt"/>
              <w:spacing w:before="20" w:after="20" w:line="240" w:lineRule="auto"/>
              <w:ind w:left="360"/>
              <w:jc w:val="both"/>
              <w:rPr>
                <w:sz w:val="18"/>
                <w:szCs w:val="18"/>
              </w:rPr>
            </w:pPr>
            <w:r w:rsidRPr="00BF3202">
              <w:rPr>
                <w:sz w:val="18"/>
                <w:szCs w:val="18"/>
              </w:rPr>
              <w:t xml:space="preserve">Liberia </w:t>
            </w:r>
          </w:p>
        </w:tc>
      </w:tr>
      <w:tr w:rsidR="0006297A" w:rsidRPr="00BF3202" w:rsidTr="00676CED">
        <w:trPr>
          <w:trHeight w:val="260"/>
        </w:trPr>
        <w:tc>
          <w:tcPr>
            <w:tcW w:w="5000" w:type="pct"/>
          </w:tcPr>
          <w:p w:rsidR="0006297A" w:rsidRPr="00BF3202" w:rsidRDefault="0006297A" w:rsidP="00676CED">
            <w:pPr>
              <w:pStyle w:val="RI07-BodyCopy95pt"/>
              <w:spacing w:before="20" w:after="20" w:line="240" w:lineRule="auto"/>
              <w:ind w:left="360"/>
              <w:jc w:val="both"/>
              <w:rPr>
                <w:sz w:val="18"/>
                <w:szCs w:val="18"/>
              </w:rPr>
            </w:pPr>
            <w:r w:rsidRPr="00BF3202">
              <w:rPr>
                <w:sz w:val="18"/>
                <w:szCs w:val="18"/>
              </w:rPr>
              <w:t>Marshall Islands</w:t>
            </w:r>
          </w:p>
        </w:tc>
      </w:tr>
      <w:tr w:rsidR="0006297A" w:rsidRPr="00BF3202" w:rsidTr="00676CED">
        <w:trPr>
          <w:trHeight w:val="260"/>
        </w:trPr>
        <w:tc>
          <w:tcPr>
            <w:tcW w:w="5000" w:type="pct"/>
          </w:tcPr>
          <w:p w:rsidR="0006297A" w:rsidRDefault="0006297A" w:rsidP="00676CED">
            <w:pPr>
              <w:pStyle w:val="RI07-BodyCopy95pt"/>
              <w:spacing w:before="20" w:after="20" w:line="240" w:lineRule="auto"/>
              <w:ind w:left="360"/>
              <w:jc w:val="both"/>
              <w:rPr>
                <w:sz w:val="18"/>
                <w:szCs w:val="18"/>
              </w:rPr>
            </w:pPr>
            <w:r>
              <w:rPr>
                <w:sz w:val="18"/>
                <w:szCs w:val="18"/>
              </w:rPr>
              <w:t>Panama</w:t>
            </w:r>
          </w:p>
        </w:tc>
      </w:tr>
      <w:tr w:rsidR="0006297A" w:rsidRPr="00BF3202" w:rsidTr="00676CED">
        <w:trPr>
          <w:trHeight w:val="260"/>
        </w:trPr>
        <w:tc>
          <w:tcPr>
            <w:tcW w:w="5000" w:type="pct"/>
          </w:tcPr>
          <w:p w:rsidR="0006297A" w:rsidRPr="00BF3202" w:rsidRDefault="0006297A" w:rsidP="00676CED">
            <w:pPr>
              <w:pStyle w:val="RI07-BodyCopy95pt"/>
              <w:spacing w:before="20" w:after="20" w:line="240" w:lineRule="auto"/>
              <w:ind w:left="360"/>
              <w:jc w:val="both"/>
              <w:rPr>
                <w:sz w:val="18"/>
                <w:szCs w:val="18"/>
              </w:rPr>
            </w:pPr>
            <w:r>
              <w:rPr>
                <w:sz w:val="18"/>
                <w:szCs w:val="18"/>
              </w:rPr>
              <w:t>Saba</w:t>
            </w:r>
          </w:p>
        </w:tc>
      </w:tr>
      <w:tr w:rsidR="0006297A" w:rsidRPr="00BF3202" w:rsidTr="00676CED">
        <w:trPr>
          <w:trHeight w:val="260"/>
        </w:trPr>
        <w:tc>
          <w:tcPr>
            <w:tcW w:w="5000" w:type="pct"/>
          </w:tcPr>
          <w:p w:rsidR="0006297A" w:rsidRPr="007D32B3" w:rsidRDefault="0006297A" w:rsidP="00676CED">
            <w:pPr>
              <w:pStyle w:val="RI07-BodyCopy95pt"/>
              <w:spacing w:before="20" w:after="20" w:line="240" w:lineRule="auto"/>
              <w:ind w:left="360"/>
              <w:jc w:val="both"/>
              <w:rPr>
                <w:sz w:val="18"/>
                <w:szCs w:val="18"/>
              </w:rPr>
            </w:pPr>
            <w:r>
              <w:rPr>
                <w:sz w:val="18"/>
                <w:szCs w:val="18"/>
              </w:rPr>
              <w:t>Sint Eustatius</w:t>
            </w:r>
          </w:p>
        </w:tc>
      </w:tr>
      <w:tr w:rsidR="0006297A" w:rsidRPr="00BF3202" w:rsidTr="00676CED">
        <w:trPr>
          <w:trHeight w:val="260"/>
        </w:trPr>
        <w:tc>
          <w:tcPr>
            <w:tcW w:w="5000" w:type="pct"/>
          </w:tcPr>
          <w:p w:rsidR="0006297A" w:rsidRPr="007D32B3" w:rsidRDefault="0006297A" w:rsidP="00676CED">
            <w:pPr>
              <w:pStyle w:val="RI07-BodyCopy95pt"/>
              <w:spacing w:before="20" w:after="20" w:line="240" w:lineRule="auto"/>
              <w:ind w:left="360"/>
              <w:jc w:val="both"/>
              <w:rPr>
                <w:sz w:val="18"/>
                <w:szCs w:val="18"/>
              </w:rPr>
            </w:pPr>
            <w:r>
              <w:rPr>
                <w:sz w:val="18"/>
                <w:szCs w:val="18"/>
              </w:rPr>
              <w:t>Sint Maarten</w:t>
            </w:r>
          </w:p>
        </w:tc>
      </w:tr>
      <w:tr w:rsidR="0006297A" w:rsidRPr="00BF3202" w:rsidTr="00676CED">
        <w:trPr>
          <w:trHeight w:val="260"/>
        </w:trPr>
        <w:tc>
          <w:tcPr>
            <w:tcW w:w="5000" w:type="pct"/>
          </w:tcPr>
          <w:p w:rsidR="0006297A" w:rsidRPr="00BF3202" w:rsidRDefault="0006297A" w:rsidP="00676CED">
            <w:pPr>
              <w:pStyle w:val="RI07-BodyCopy95pt"/>
              <w:spacing w:before="20" w:after="20" w:line="240" w:lineRule="auto"/>
              <w:ind w:left="360"/>
              <w:jc w:val="both"/>
              <w:rPr>
                <w:b/>
                <w:bCs/>
                <w:sz w:val="18"/>
                <w:szCs w:val="18"/>
              </w:rPr>
            </w:pPr>
            <w:r w:rsidRPr="007D32B3">
              <w:rPr>
                <w:sz w:val="18"/>
                <w:szCs w:val="18"/>
              </w:rPr>
              <w:t>Turks and Caicos Islands</w:t>
            </w:r>
          </w:p>
        </w:tc>
      </w:tr>
    </w:tbl>
    <w:p w:rsidR="0006297A" w:rsidRDefault="0006297A" w:rsidP="0006297A">
      <w:pPr>
        <w:pStyle w:val="RI07-BodyCopy95pt"/>
      </w:pPr>
    </w:p>
    <w:p w:rsidR="0006297A" w:rsidRPr="004F7765" w:rsidRDefault="0006297A" w:rsidP="0006297A">
      <w:pPr>
        <w:pStyle w:val="RI07-BodyCopy95pt"/>
        <w:rPr>
          <w:b/>
        </w:rPr>
      </w:pPr>
      <w:r>
        <w:rPr>
          <w:b/>
        </w:rPr>
        <w:t>U.S. territories</w:t>
      </w:r>
    </w:p>
    <w:p w:rsidR="0006297A" w:rsidRDefault="0006297A" w:rsidP="0006297A">
      <w:pPr>
        <w:pStyle w:val="RI07-BodyCopy95pt"/>
        <w:sectPr w:rsidR="0006297A" w:rsidSect="00676CED">
          <w:headerReference w:type="default" r:id="rId84"/>
          <w:footerReference w:type="default" r:id="rId85"/>
          <w:pgSz w:w="12240" w:h="15840"/>
          <w:pgMar w:top="1440" w:right="1440" w:bottom="1440" w:left="1526" w:header="720" w:footer="1267" w:gutter="0"/>
          <w:cols w:space="720"/>
          <w:titlePg/>
          <w:docGrid w:linePitch="360"/>
        </w:sectPr>
      </w:pPr>
      <w:r>
        <w:t>A U.S. HCI is assigned for any company incorporated or headquartered in a U.S. territory. This includes countries such as: Puerto Rico, Guam, and the U.S. Virgin islands.</w:t>
      </w:r>
    </w:p>
    <w:p w:rsidR="0006297A" w:rsidRDefault="0006297A" w:rsidP="0006297A">
      <w:pPr>
        <w:pStyle w:val="RI01-Heading0"/>
      </w:pPr>
      <w:r>
        <w:t>appendix H</w:t>
      </w:r>
    </w:p>
    <w:p w:rsidR="0006297A" w:rsidRPr="00EE3B97" w:rsidRDefault="0006297A" w:rsidP="0006297A">
      <w:pPr>
        <w:pStyle w:val="Heading1"/>
        <w:rPr>
          <w:szCs w:val="49"/>
        </w:rPr>
      </w:pPr>
      <w:bookmarkStart w:id="481" w:name="_Country_assignment_methodology"/>
      <w:bookmarkStart w:id="482" w:name="_Toc254848872"/>
      <w:bookmarkStart w:id="483" w:name="_Toc343682772"/>
      <w:bookmarkEnd w:id="481"/>
      <w:r w:rsidRPr="00EE3B97">
        <w:rPr>
          <w:szCs w:val="49"/>
        </w:rPr>
        <w:t xml:space="preserve">Country assignment </w:t>
      </w:r>
      <w:r>
        <w:rPr>
          <w:szCs w:val="49"/>
        </w:rPr>
        <w:t>m</w:t>
      </w:r>
      <w:r w:rsidRPr="00EE3B97">
        <w:rPr>
          <w:szCs w:val="49"/>
        </w:rPr>
        <w:t>ethodology details</w:t>
      </w:r>
      <w:bookmarkEnd w:id="482"/>
      <w:bookmarkEnd w:id="483"/>
    </w:p>
    <w:p w:rsidR="0006297A" w:rsidRDefault="0006297A" w:rsidP="0006297A">
      <w:pPr>
        <w:pStyle w:val="RI07-BodyCopy95pt"/>
      </w:pPr>
      <w:r w:rsidRPr="007C22A4">
        <w:rPr>
          <w:b/>
        </w:rPr>
        <w:t xml:space="preserve">Home Country </w:t>
      </w:r>
      <w:r w:rsidRPr="00960F2A">
        <w:rPr>
          <w:b/>
        </w:rPr>
        <w:t>Indicators</w:t>
      </w:r>
      <w:r w:rsidRPr="0044163D">
        <w:rPr>
          <w:b/>
        </w:rPr>
        <w:t xml:space="preserve"> </w:t>
      </w:r>
      <w:r w:rsidRPr="00960F2A">
        <w:rPr>
          <w:b/>
        </w:rPr>
        <w:t>(HCI</w:t>
      </w:r>
      <w:r>
        <w:rPr>
          <w:b/>
        </w:rPr>
        <w:t>s</w:t>
      </w:r>
      <w:r w:rsidRPr="00960F2A">
        <w:rPr>
          <w:b/>
        </w:rPr>
        <w:t>)</w:t>
      </w:r>
    </w:p>
    <w:p w:rsidR="0006297A" w:rsidRDefault="0006297A" w:rsidP="00676CED">
      <w:pPr>
        <w:pStyle w:val="RI07-BodyCopy95pt"/>
        <w:numPr>
          <w:ilvl w:val="0"/>
          <w:numId w:val="32"/>
        </w:numPr>
      </w:pPr>
      <w:r>
        <w:t>Country of Incorporation</w:t>
      </w:r>
    </w:p>
    <w:p w:rsidR="0006297A" w:rsidRDefault="0006297A" w:rsidP="00676CED">
      <w:pPr>
        <w:pStyle w:val="RI07-BodyCopy95pt"/>
        <w:numPr>
          <w:ilvl w:val="0"/>
          <w:numId w:val="32"/>
        </w:numPr>
      </w:pPr>
      <w:r>
        <w:t>Country of Headquarters</w:t>
      </w:r>
    </w:p>
    <w:p w:rsidR="0006297A" w:rsidRPr="00160FC0" w:rsidRDefault="0006297A" w:rsidP="00676CED">
      <w:pPr>
        <w:pStyle w:val="RI07-BodyCopy95pt"/>
        <w:numPr>
          <w:ilvl w:val="0"/>
          <w:numId w:val="32"/>
        </w:numPr>
        <w:ind w:right="-266"/>
      </w:pPr>
      <w:r>
        <w:t>Country of most liquid exchange as defined by the 2 year average daily dollar trading volume (ADDTV)</w:t>
      </w:r>
    </w:p>
    <w:p w:rsidR="0006297A" w:rsidRDefault="0006297A" w:rsidP="0006297A">
      <w:pPr>
        <w:pStyle w:val="RI07-BodyCopy95pt"/>
      </w:pPr>
      <w:r w:rsidRPr="00CE5522">
        <w:rPr>
          <w:b/>
        </w:rPr>
        <w:t>Headquarters:</w:t>
      </w:r>
      <w:r w:rsidRPr="004D4F3F">
        <w:t xml:space="preserve"> Russell defines headquarters as the address of principal executive offices.</w:t>
      </w:r>
      <w:r>
        <w:t xml:space="preserve"> </w:t>
      </w:r>
      <w:r w:rsidRPr="004D4F3F">
        <w:t>For those companies reporting in the U.S., Russell use</w:t>
      </w:r>
      <w:r>
        <w:t>s</w:t>
      </w:r>
      <w:r w:rsidRPr="004D4F3F">
        <w:t xml:space="preserve"> the SEC filings to determine the location of headquarters.</w:t>
      </w:r>
      <w:r>
        <w:t xml:space="preserve"> </w:t>
      </w:r>
      <w:r w:rsidRPr="004D4F3F">
        <w:t xml:space="preserve">For those companies outside of the U.S. reporting requirements, </w:t>
      </w:r>
      <w:r>
        <w:t xml:space="preserve">multiple </w:t>
      </w:r>
      <w:r w:rsidRPr="004D4F3F">
        <w:t>vendor source</w:t>
      </w:r>
      <w:r>
        <w:t>s</w:t>
      </w:r>
      <w:r w:rsidRPr="004D4F3F">
        <w:t xml:space="preserve"> and independent Russell research </w:t>
      </w:r>
      <w:r>
        <w:t>are</w:t>
      </w:r>
      <w:r w:rsidRPr="004D4F3F">
        <w:t xml:space="preserve"> used.</w:t>
      </w:r>
      <w:r>
        <w:t xml:space="preserve"> In the case where multiple headquarters are listed on the SEC filings and a HCI needs to be determined, Russell assigns the HCI for headquarters to the location with the highest average daily trading volume. If the HCI for headquarters cannot be determined (IE, no trading in any headquarters location) the two remaining HCIs are used. </w:t>
      </w:r>
    </w:p>
    <w:p w:rsidR="0006297A" w:rsidRDefault="0006297A" w:rsidP="0006297A">
      <w:pPr>
        <w:pStyle w:val="RI07-BodyCopy95pt"/>
        <w:rPr>
          <w:bCs/>
        </w:rPr>
      </w:pPr>
      <w:r w:rsidRPr="00E12DFE">
        <w:rPr>
          <w:b/>
        </w:rPr>
        <w:t>Asset</w:t>
      </w:r>
      <w:r>
        <w:rPr>
          <w:b/>
        </w:rPr>
        <w:t>s</w:t>
      </w:r>
      <w:r w:rsidRPr="00E12DFE">
        <w:rPr>
          <w:b/>
        </w:rPr>
        <w:t xml:space="preserve">/Revenue </w:t>
      </w:r>
      <w:r>
        <w:rPr>
          <w:b/>
        </w:rPr>
        <w:t>d</w:t>
      </w:r>
      <w:r w:rsidRPr="00E12DFE">
        <w:rPr>
          <w:b/>
        </w:rPr>
        <w:t xml:space="preserve">ata </w:t>
      </w:r>
      <w:r>
        <w:rPr>
          <w:b/>
        </w:rPr>
        <w:t>s</w:t>
      </w:r>
      <w:r w:rsidRPr="00E12DFE">
        <w:rPr>
          <w:b/>
        </w:rPr>
        <w:t xml:space="preserve">ources and </w:t>
      </w:r>
      <w:r>
        <w:rPr>
          <w:b/>
        </w:rPr>
        <w:t>r</w:t>
      </w:r>
      <w:r w:rsidRPr="00E12DFE">
        <w:rPr>
          <w:b/>
        </w:rPr>
        <w:t xml:space="preserve">equirements </w:t>
      </w:r>
      <w:r>
        <w:rPr>
          <w:b/>
        </w:rPr>
        <w:t>d</w:t>
      </w:r>
      <w:r w:rsidRPr="00E12DFE">
        <w:rPr>
          <w:b/>
        </w:rPr>
        <w:t>efined:</w:t>
      </w:r>
      <w:r>
        <w:rPr>
          <w:bCs/>
        </w:rPr>
        <w:t xml:space="preserve"> </w:t>
      </w:r>
      <w:r w:rsidRPr="00E12DFE">
        <w:rPr>
          <w:bCs/>
        </w:rPr>
        <w:t xml:space="preserve">Assets and revenue data are retrieved from the </w:t>
      </w:r>
      <w:r>
        <w:rPr>
          <w:bCs/>
        </w:rPr>
        <w:t xml:space="preserve">company’s annual report: </w:t>
      </w:r>
      <w:r w:rsidRPr="00E12DFE">
        <w:rPr>
          <w:bCs/>
        </w:rPr>
        <w:t>10-Ks</w:t>
      </w:r>
      <w:r>
        <w:rPr>
          <w:bCs/>
        </w:rPr>
        <w:t xml:space="preserve"> (20-F)</w:t>
      </w:r>
      <w:r w:rsidRPr="00E12DFE">
        <w:rPr>
          <w:bCs/>
        </w:rPr>
        <w:t>, or other reliable company information,</w:t>
      </w:r>
      <w:r>
        <w:rPr>
          <w:bCs/>
        </w:rPr>
        <w:t xml:space="preserve"> </w:t>
      </w:r>
      <w:r w:rsidRPr="00E12DFE">
        <w:rPr>
          <w:bCs/>
        </w:rPr>
        <w:t xml:space="preserve">as of the last trading day in May. Any filings after that date are not used. Russell will use an average of two years of assets or revenue data to reduce potential turnover. However, if only one year of data is available (either company starts or stops reporting by location), one year will be used. </w:t>
      </w:r>
    </w:p>
    <w:p w:rsidR="0006297A" w:rsidRPr="004F7765" w:rsidRDefault="0006297A" w:rsidP="0006297A">
      <w:pPr>
        <w:pStyle w:val="RI07-BodyCopy95pt"/>
        <w:rPr>
          <w:bCs/>
        </w:rPr>
      </w:pP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3643"/>
        <w:gridCol w:w="5717"/>
      </w:tblGrid>
      <w:tr w:rsidR="0006297A" w:rsidRPr="004F7765" w:rsidTr="00676CED">
        <w:tc>
          <w:tcPr>
            <w:tcW w:w="1946" w:type="pct"/>
            <w:tcMar>
              <w:left w:w="43" w:type="dxa"/>
              <w:right w:w="43" w:type="dxa"/>
            </w:tcMar>
          </w:tcPr>
          <w:p w:rsidR="0006297A" w:rsidRPr="004F7765" w:rsidRDefault="0006297A" w:rsidP="00676CED">
            <w:pPr>
              <w:pStyle w:val="RI07-BodyCopy95pt"/>
              <w:spacing w:before="20" w:after="20" w:line="240" w:lineRule="auto"/>
              <w:rPr>
                <w:b/>
                <w:bCs/>
                <w:color w:val="66AADD"/>
                <w:sz w:val="18"/>
                <w:szCs w:val="18"/>
              </w:rPr>
            </w:pPr>
            <w:r w:rsidRPr="004F7765">
              <w:rPr>
                <w:b/>
                <w:bCs/>
                <w:color w:val="66AADD"/>
                <w:sz w:val="18"/>
                <w:szCs w:val="18"/>
              </w:rPr>
              <w:t xml:space="preserve">Company </w:t>
            </w:r>
            <w:r>
              <w:rPr>
                <w:b/>
                <w:bCs/>
                <w:color w:val="66AADD"/>
                <w:sz w:val="18"/>
                <w:szCs w:val="18"/>
              </w:rPr>
              <w:t>r</w:t>
            </w:r>
            <w:r w:rsidRPr="004F7765">
              <w:rPr>
                <w:b/>
                <w:bCs/>
                <w:color w:val="66AADD"/>
                <w:sz w:val="18"/>
                <w:szCs w:val="18"/>
              </w:rPr>
              <w:t>eports by</w:t>
            </w:r>
          </w:p>
        </w:tc>
        <w:tc>
          <w:tcPr>
            <w:tcW w:w="3054" w:type="pct"/>
            <w:tcMar>
              <w:left w:w="43" w:type="dxa"/>
              <w:right w:w="43" w:type="dxa"/>
            </w:tcMar>
          </w:tcPr>
          <w:p w:rsidR="0006297A" w:rsidRPr="004F7765" w:rsidRDefault="0006297A" w:rsidP="00676CED">
            <w:pPr>
              <w:pStyle w:val="RI07-BodyCopy95pt"/>
              <w:spacing w:before="20" w:after="20" w:line="240" w:lineRule="auto"/>
              <w:rPr>
                <w:b/>
                <w:bCs/>
                <w:color w:val="66AADD"/>
                <w:sz w:val="18"/>
                <w:szCs w:val="18"/>
              </w:rPr>
            </w:pPr>
            <w:r w:rsidRPr="004F7765">
              <w:rPr>
                <w:b/>
                <w:bCs/>
                <w:color w:val="66AADD"/>
                <w:sz w:val="18"/>
                <w:szCs w:val="18"/>
              </w:rPr>
              <w:t>Requirements to be determined “majority”</w:t>
            </w:r>
            <w:r>
              <w:rPr>
                <w:b/>
                <w:bCs/>
                <w:color w:val="66AADD"/>
                <w:sz w:val="18"/>
                <w:szCs w:val="18"/>
              </w:rPr>
              <w:t xml:space="preserve"> </w:t>
            </w:r>
            <w:r w:rsidRPr="004F7765">
              <w:rPr>
                <w:b/>
                <w:bCs/>
                <w:color w:val="66AADD"/>
                <w:sz w:val="18"/>
                <w:szCs w:val="18"/>
              </w:rPr>
              <w:t>*</w:t>
            </w:r>
          </w:p>
        </w:tc>
      </w:tr>
      <w:tr w:rsidR="0006297A" w:rsidRPr="00BF3202" w:rsidTr="00676CED">
        <w:trPr>
          <w:trHeight w:val="454"/>
        </w:trPr>
        <w:tc>
          <w:tcPr>
            <w:tcW w:w="1946" w:type="pct"/>
            <w:tcMar>
              <w:left w:w="43" w:type="dxa"/>
              <w:right w:w="43" w:type="dxa"/>
            </w:tcMar>
            <w:vAlign w:val="bottom"/>
          </w:tcPr>
          <w:p w:rsidR="0006297A" w:rsidRPr="00BF3202" w:rsidRDefault="0006297A" w:rsidP="00676CED">
            <w:pPr>
              <w:pStyle w:val="RI07-BodyCopy95pt"/>
              <w:spacing w:before="20" w:after="20" w:line="240" w:lineRule="auto"/>
              <w:rPr>
                <w:b/>
                <w:sz w:val="18"/>
                <w:szCs w:val="18"/>
              </w:rPr>
            </w:pPr>
            <w:r w:rsidRPr="00BF3202">
              <w:rPr>
                <w:b/>
                <w:sz w:val="18"/>
                <w:szCs w:val="18"/>
              </w:rPr>
              <w:t>Country</w:t>
            </w:r>
          </w:p>
        </w:tc>
        <w:tc>
          <w:tcPr>
            <w:tcW w:w="3054" w:type="pct"/>
            <w:tcMar>
              <w:left w:w="43" w:type="dxa"/>
              <w:right w:w="43" w:type="dxa"/>
            </w:tcMar>
            <w:vAlign w:val="bottom"/>
          </w:tcPr>
          <w:p w:rsidR="0006297A" w:rsidRPr="00BF3202" w:rsidRDefault="0006297A" w:rsidP="00676CED">
            <w:pPr>
              <w:pStyle w:val="RI07-BodyCopy95pt"/>
              <w:spacing w:before="20" w:after="20" w:line="240" w:lineRule="auto"/>
              <w:rPr>
                <w:sz w:val="18"/>
                <w:szCs w:val="18"/>
              </w:rPr>
            </w:pPr>
            <w:r w:rsidRPr="00BF3202">
              <w:rPr>
                <w:sz w:val="18"/>
                <w:szCs w:val="18"/>
              </w:rPr>
              <w:t xml:space="preserve">Total assets/revenue for HCI country is 20 percentage points greater than that of the next largest reported country </w:t>
            </w:r>
          </w:p>
        </w:tc>
      </w:tr>
      <w:tr w:rsidR="0006297A" w:rsidRPr="00BF3202" w:rsidTr="00676CED">
        <w:trPr>
          <w:trHeight w:val="454"/>
        </w:trPr>
        <w:tc>
          <w:tcPr>
            <w:tcW w:w="1946" w:type="pct"/>
            <w:tcMar>
              <w:left w:w="43" w:type="dxa"/>
              <w:right w:w="43" w:type="dxa"/>
            </w:tcMar>
            <w:vAlign w:val="bottom"/>
          </w:tcPr>
          <w:p w:rsidR="0006297A" w:rsidRPr="00BF3202" w:rsidRDefault="0006297A" w:rsidP="00676CED">
            <w:pPr>
              <w:pStyle w:val="RI07-BodyCopy95pt"/>
              <w:spacing w:before="20" w:after="20" w:line="240" w:lineRule="auto"/>
              <w:rPr>
                <w:b/>
                <w:sz w:val="18"/>
                <w:szCs w:val="18"/>
              </w:rPr>
            </w:pPr>
            <w:r w:rsidRPr="00BF3202">
              <w:rPr>
                <w:b/>
                <w:sz w:val="18"/>
                <w:szCs w:val="18"/>
              </w:rPr>
              <w:t>Region</w:t>
            </w:r>
          </w:p>
        </w:tc>
        <w:tc>
          <w:tcPr>
            <w:tcW w:w="3054" w:type="pct"/>
            <w:tcMar>
              <w:left w:w="43" w:type="dxa"/>
              <w:right w:w="43" w:type="dxa"/>
            </w:tcMar>
            <w:vAlign w:val="bottom"/>
          </w:tcPr>
          <w:p w:rsidR="0006297A" w:rsidRPr="00BF3202" w:rsidRDefault="0006297A" w:rsidP="00676CED">
            <w:pPr>
              <w:pStyle w:val="RI07-BodyCopy95pt"/>
              <w:spacing w:before="20" w:after="20" w:line="240" w:lineRule="auto"/>
              <w:rPr>
                <w:sz w:val="18"/>
                <w:szCs w:val="18"/>
              </w:rPr>
            </w:pPr>
            <w:r w:rsidRPr="00BF3202">
              <w:rPr>
                <w:sz w:val="18"/>
                <w:szCs w:val="18"/>
              </w:rPr>
              <w:t xml:space="preserve">Total assets/revenue for region containing only one HCI country is greater than 20 percentage points of any other reported region. </w:t>
            </w:r>
          </w:p>
        </w:tc>
      </w:tr>
      <w:tr w:rsidR="0006297A" w:rsidRPr="00BF3202" w:rsidTr="00676CED">
        <w:trPr>
          <w:trHeight w:val="454"/>
        </w:trPr>
        <w:tc>
          <w:tcPr>
            <w:tcW w:w="1946" w:type="pct"/>
            <w:tcMar>
              <w:left w:w="43" w:type="dxa"/>
              <w:right w:w="43" w:type="dxa"/>
            </w:tcMar>
            <w:vAlign w:val="bottom"/>
          </w:tcPr>
          <w:p w:rsidR="0006297A" w:rsidRPr="00BF3202" w:rsidRDefault="0006297A" w:rsidP="00676CED">
            <w:pPr>
              <w:pStyle w:val="RI07-BodyCopy95pt"/>
              <w:spacing w:before="20" w:after="20" w:line="240" w:lineRule="auto"/>
              <w:rPr>
                <w:b/>
                <w:sz w:val="18"/>
                <w:szCs w:val="18"/>
              </w:rPr>
            </w:pPr>
            <w:r w:rsidRPr="00BF3202">
              <w:rPr>
                <w:b/>
                <w:sz w:val="18"/>
                <w:szCs w:val="18"/>
              </w:rPr>
              <w:t xml:space="preserve">Combination of </w:t>
            </w:r>
            <w:r>
              <w:rPr>
                <w:b/>
                <w:sz w:val="18"/>
                <w:szCs w:val="18"/>
              </w:rPr>
              <w:t>single country</w:t>
            </w:r>
            <w:r w:rsidRPr="00BF3202">
              <w:rPr>
                <w:b/>
                <w:sz w:val="18"/>
                <w:szCs w:val="18"/>
              </w:rPr>
              <w:t xml:space="preserve"> </w:t>
            </w:r>
            <w:r>
              <w:rPr>
                <w:b/>
                <w:sz w:val="18"/>
                <w:szCs w:val="18"/>
              </w:rPr>
              <w:t>and</w:t>
            </w:r>
            <w:r w:rsidRPr="00BF3202">
              <w:rPr>
                <w:b/>
                <w:sz w:val="18"/>
                <w:szCs w:val="18"/>
              </w:rPr>
              <w:t xml:space="preserve"> </w:t>
            </w:r>
            <w:r>
              <w:rPr>
                <w:b/>
                <w:sz w:val="18"/>
                <w:szCs w:val="18"/>
              </w:rPr>
              <w:t>r</w:t>
            </w:r>
            <w:r w:rsidRPr="00BF3202">
              <w:rPr>
                <w:b/>
                <w:sz w:val="18"/>
                <w:szCs w:val="18"/>
              </w:rPr>
              <w:t>egion</w:t>
            </w:r>
            <w:r>
              <w:rPr>
                <w:b/>
                <w:sz w:val="18"/>
                <w:szCs w:val="18"/>
              </w:rPr>
              <w:t>(s)</w:t>
            </w:r>
          </w:p>
        </w:tc>
        <w:tc>
          <w:tcPr>
            <w:tcW w:w="3054" w:type="pct"/>
            <w:tcMar>
              <w:left w:w="43" w:type="dxa"/>
              <w:right w:w="43" w:type="dxa"/>
            </w:tcMar>
            <w:vAlign w:val="bottom"/>
          </w:tcPr>
          <w:p w:rsidR="0006297A" w:rsidRPr="00BF3202" w:rsidRDefault="0006297A" w:rsidP="00676CED">
            <w:pPr>
              <w:pStyle w:val="RI07-BodyCopy95pt"/>
              <w:spacing w:before="20" w:after="20" w:line="240" w:lineRule="auto"/>
              <w:rPr>
                <w:sz w:val="18"/>
                <w:szCs w:val="18"/>
              </w:rPr>
            </w:pPr>
            <w:r w:rsidRPr="00BF3202">
              <w:rPr>
                <w:sz w:val="18"/>
                <w:szCs w:val="18"/>
              </w:rPr>
              <w:t>Total assets/revenue for HCI country is greater than 20 percentage points of any reported region.</w:t>
            </w:r>
          </w:p>
        </w:tc>
      </w:tr>
      <w:tr w:rsidR="0006297A" w:rsidRPr="00BF3202" w:rsidTr="00676CED">
        <w:trPr>
          <w:trHeight w:val="454"/>
        </w:trPr>
        <w:tc>
          <w:tcPr>
            <w:tcW w:w="1946" w:type="pct"/>
            <w:tcMar>
              <w:left w:w="43" w:type="dxa"/>
              <w:right w:w="43" w:type="dxa"/>
            </w:tcMar>
            <w:vAlign w:val="bottom"/>
          </w:tcPr>
          <w:p w:rsidR="0006297A" w:rsidRPr="00BF3202" w:rsidRDefault="0006297A" w:rsidP="00676CED">
            <w:pPr>
              <w:pStyle w:val="RI07-BodyCopy95pt"/>
              <w:spacing w:before="20" w:after="20" w:line="240" w:lineRule="auto"/>
              <w:rPr>
                <w:b/>
                <w:sz w:val="18"/>
                <w:szCs w:val="18"/>
              </w:rPr>
            </w:pPr>
            <w:r w:rsidRPr="00BF3202">
              <w:rPr>
                <w:b/>
                <w:sz w:val="18"/>
                <w:szCs w:val="18"/>
              </w:rPr>
              <w:t xml:space="preserve">Combination of single </w:t>
            </w:r>
            <w:r>
              <w:rPr>
                <w:b/>
                <w:sz w:val="18"/>
                <w:szCs w:val="18"/>
              </w:rPr>
              <w:t>c</w:t>
            </w:r>
            <w:r w:rsidRPr="00BF3202">
              <w:rPr>
                <w:b/>
                <w:sz w:val="18"/>
                <w:szCs w:val="18"/>
              </w:rPr>
              <w:t xml:space="preserve">ountry or single </w:t>
            </w:r>
            <w:r>
              <w:rPr>
                <w:b/>
                <w:sz w:val="18"/>
                <w:szCs w:val="18"/>
              </w:rPr>
              <w:t>r</w:t>
            </w:r>
            <w:r w:rsidRPr="00BF3202">
              <w:rPr>
                <w:b/>
                <w:sz w:val="18"/>
                <w:szCs w:val="18"/>
              </w:rPr>
              <w:t xml:space="preserve">egion and </w:t>
            </w:r>
            <w:r>
              <w:rPr>
                <w:b/>
                <w:sz w:val="18"/>
                <w:szCs w:val="18"/>
              </w:rPr>
              <w:t>r</w:t>
            </w:r>
            <w:r w:rsidRPr="00BF3202">
              <w:rPr>
                <w:b/>
                <w:sz w:val="18"/>
                <w:szCs w:val="18"/>
              </w:rPr>
              <w:t xml:space="preserve">est of the </w:t>
            </w:r>
            <w:r>
              <w:rPr>
                <w:b/>
                <w:sz w:val="18"/>
                <w:szCs w:val="18"/>
              </w:rPr>
              <w:t>w</w:t>
            </w:r>
            <w:r w:rsidRPr="00BF3202">
              <w:rPr>
                <w:b/>
                <w:sz w:val="18"/>
                <w:szCs w:val="18"/>
              </w:rPr>
              <w:t>orld</w:t>
            </w:r>
          </w:p>
        </w:tc>
        <w:tc>
          <w:tcPr>
            <w:tcW w:w="3054" w:type="pct"/>
            <w:tcMar>
              <w:left w:w="43" w:type="dxa"/>
              <w:right w:w="43" w:type="dxa"/>
            </w:tcMar>
            <w:vAlign w:val="bottom"/>
          </w:tcPr>
          <w:p w:rsidR="0006297A" w:rsidRPr="00BF3202" w:rsidRDefault="0006297A" w:rsidP="00676CED">
            <w:pPr>
              <w:pStyle w:val="RI07-BodyCopy95pt"/>
              <w:spacing w:before="20" w:after="20" w:line="240" w:lineRule="auto"/>
              <w:rPr>
                <w:sz w:val="18"/>
                <w:szCs w:val="18"/>
              </w:rPr>
            </w:pPr>
            <w:r w:rsidRPr="00BF3202">
              <w:rPr>
                <w:sz w:val="18"/>
                <w:szCs w:val="18"/>
              </w:rPr>
              <w:t>Total assets/revenue for HCI country is at least 40</w:t>
            </w:r>
            <w:r>
              <w:rPr>
                <w:sz w:val="18"/>
                <w:szCs w:val="18"/>
              </w:rPr>
              <w:t>%</w:t>
            </w:r>
            <w:r w:rsidRPr="00BF3202">
              <w:rPr>
                <w:sz w:val="18"/>
                <w:szCs w:val="18"/>
              </w:rPr>
              <w:t xml:space="preserve"> of the world’s total assets/revenues.. </w:t>
            </w:r>
          </w:p>
        </w:tc>
      </w:tr>
      <w:tr w:rsidR="0006297A" w:rsidRPr="00BF3202" w:rsidTr="00676CED">
        <w:trPr>
          <w:trHeight w:val="454"/>
        </w:trPr>
        <w:tc>
          <w:tcPr>
            <w:tcW w:w="1946" w:type="pct"/>
            <w:tcMar>
              <w:left w:w="43" w:type="dxa"/>
              <w:right w:w="43" w:type="dxa"/>
            </w:tcMar>
            <w:vAlign w:val="bottom"/>
          </w:tcPr>
          <w:p w:rsidR="0006297A" w:rsidRPr="00BF3202" w:rsidRDefault="0006297A" w:rsidP="00676CED">
            <w:pPr>
              <w:pStyle w:val="RI07-BodyCopy95pt"/>
              <w:spacing w:before="20" w:after="20" w:line="240" w:lineRule="auto"/>
              <w:rPr>
                <w:b/>
                <w:sz w:val="18"/>
                <w:szCs w:val="18"/>
              </w:rPr>
            </w:pPr>
            <w:r w:rsidRPr="00BF3202">
              <w:rPr>
                <w:b/>
                <w:sz w:val="18"/>
                <w:szCs w:val="18"/>
              </w:rPr>
              <w:t>No</w:t>
            </w:r>
            <w:r>
              <w:rPr>
                <w:b/>
                <w:sz w:val="18"/>
                <w:szCs w:val="18"/>
              </w:rPr>
              <w:t xml:space="preserve"> data</w:t>
            </w:r>
            <w:r w:rsidRPr="00BF3202">
              <w:rPr>
                <w:b/>
                <w:sz w:val="18"/>
                <w:szCs w:val="18"/>
              </w:rPr>
              <w:t xml:space="preserve">, or Insufficient </w:t>
            </w:r>
            <w:r>
              <w:rPr>
                <w:b/>
                <w:sz w:val="18"/>
                <w:szCs w:val="18"/>
              </w:rPr>
              <w:t>d</w:t>
            </w:r>
            <w:r w:rsidRPr="00BF3202">
              <w:rPr>
                <w:b/>
                <w:sz w:val="18"/>
                <w:szCs w:val="18"/>
              </w:rPr>
              <w:t xml:space="preserve">ata </w:t>
            </w:r>
            <w:r>
              <w:rPr>
                <w:b/>
                <w:sz w:val="18"/>
                <w:szCs w:val="18"/>
              </w:rPr>
              <w:t>a</w:t>
            </w:r>
            <w:r w:rsidRPr="00BF3202">
              <w:rPr>
                <w:b/>
                <w:sz w:val="18"/>
                <w:szCs w:val="18"/>
              </w:rPr>
              <w:t>vailable</w:t>
            </w:r>
          </w:p>
        </w:tc>
        <w:tc>
          <w:tcPr>
            <w:tcW w:w="3054" w:type="pct"/>
            <w:tcMar>
              <w:left w:w="43" w:type="dxa"/>
              <w:right w:w="43" w:type="dxa"/>
            </w:tcMar>
            <w:vAlign w:val="bottom"/>
          </w:tcPr>
          <w:p w:rsidR="0006297A" w:rsidRPr="00BF3202" w:rsidRDefault="0006297A" w:rsidP="00676CED">
            <w:pPr>
              <w:pStyle w:val="RI07-BodyCopy95pt"/>
              <w:spacing w:before="20" w:after="20" w:line="240" w:lineRule="auto"/>
              <w:rPr>
                <w:sz w:val="18"/>
                <w:szCs w:val="18"/>
              </w:rPr>
            </w:pPr>
            <w:r w:rsidRPr="00BF3202">
              <w:rPr>
                <w:sz w:val="18"/>
                <w:szCs w:val="18"/>
              </w:rPr>
              <w:t>Defaults to headquarters, or most liquid exchange if BDI country</w:t>
            </w:r>
          </w:p>
        </w:tc>
      </w:tr>
    </w:tbl>
    <w:p w:rsidR="0006297A" w:rsidRPr="004F7765" w:rsidRDefault="0006297A" w:rsidP="0006297A">
      <w:pPr>
        <w:pStyle w:val="RI07-BodyCopy95pt"/>
        <w:spacing w:before="60" w:after="120" w:line="240" w:lineRule="auto"/>
        <w:jc w:val="both"/>
        <w:rPr>
          <w:sz w:val="16"/>
          <w:szCs w:val="16"/>
        </w:rPr>
      </w:pPr>
      <w:r w:rsidRPr="004F7765">
        <w:rPr>
          <w:sz w:val="16"/>
          <w:szCs w:val="16"/>
        </w:rPr>
        <w:t>* Majority of assets/revenue is determined by the absolute difference between those percentages. For example, 20% difference would be achieved if assets were 44% in one country and 20% in another. 20% difference would NOT be recognized if country one was 30% and country two was 20% higher at 36%.</w:t>
      </w:r>
    </w:p>
    <w:p w:rsidR="0006297A" w:rsidRDefault="0006297A" w:rsidP="0006297A">
      <w:pPr>
        <w:rPr>
          <w:rFonts w:cs="Arial"/>
        </w:rPr>
        <w:sectPr w:rsidR="0006297A" w:rsidSect="00676CED">
          <w:pgSz w:w="12240" w:h="15840"/>
          <w:pgMar w:top="1440" w:right="1440" w:bottom="1440" w:left="1526" w:header="720" w:footer="1267" w:gutter="0"/>
          <w:cols w:space="720"/>
          <w:titlePg/>
          <w:docGrid w:linePitch="360"/>
        </w:sectPr>
      </w:pPr>
    </w:p>
    <w:p w:rsidR="0006297A" w:rsidRPr="00D32180" w:rsidRDefault="0006297A" w:rsidP="0006297A">
      <w:pPr>
        <w:pStyle w:val="RI01-Heading0"/>
        <w:rPr>
          <w:rFonts w:cs="Arial"/>
        </w:rPr>
      </w:pPr>
      <w:r w:rsidRPr="00D32180">
        <w:rPr>
          <w:rFonts w:cs="Arial"/>
        </w:rPr>
        <w:t xml:space="preserve">appendix </w:t>
      </w:r>
      <w:r>
        <w:rPr>
          <w:rFonts w:cs="Arial"/>
        </w:rPr>
        <w:t>I</w:t>
      </w:r>
    </w:p>
    <w:p w:rsidR="0006297A" w:rsidRDefault="0006297A" w:rsidP="0006297A">
      <w:pPr>
        <w:pStyle w:val="Heading1"/>
        <w:ind w:right="-806"/>
      </w:pPr>
      <w:bookmarkStart w:id="484" w:name="_ADDTV_Median"/>
      <w:bookmarkStart w:id="485" w:name="_Toc343682773"/>
      <w:bookmarkEnd w:id="484"/>
      <w:r>
        <w:t>Average daily dollar trading volume median</w:t>
      </w:r>
      <w:bookmarkEnd w:id="485"/>
    </w:p>
    <w:p w:rsidR="0006297A" w:rsidRPr="007F7F0C" w:rsidRDefault="0006297A" w:rsidP="0006297A">
      <w:pPr>
        <w:pStyle w:val="RI06-BodyCopy11pt"/>
        <w:rPr>
          <w:sz w:val="18"/>
          <w:szCs w:val="18"/>
        </w:rPr>
      </w:pPr>
      <w:r w:rsidRPr="007F7F0C">
        <w:rPr>
          <w:sz w:val="18"/>
          <w:szCs w:val="18"/>
        </w:rPr>
        <w:t>(US$)</w:t>
      </w:r>
    </w:p>
    <w:tbl>
      <w:tblPr>
        <w:tblW w:w="5000" w:type="pct"/>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1E0"/>
      </w:tblPr>
      <w:tblGrid>
        <w:gridCol w:w="1898"/>
        <w:gridCol w:w="1898"/>
        <w:gridCol w:w="1898"/>
        <w:gridCol w:w="1898"/>
        <w:gridCol w:w="1898"/>
      </w:tblGrid>
      <w:tr w:rsidR="0006297A" w:rsidRPr="00BF3202" w:rsidTr="00676CED">
        <w:trPr>
          <w:tblHeader/>
        </w:trPr>
        <w:tc>
          <w:tcPr>
            <w:tcW w:w="1000" w:type="pct"/>
          </w:tcPr>
          <w:p w:rsidR="0006297A" w:rsidRPr="00BF3202" w:rsidRDefault="0006297A" w:rsidP="00676CED">
            <w:pPr>
              <w:pStyle w:val="RI07-BodyCopy95pt"/>
              <w:spacing w:before="20" w:after="20" w:line="240" w:lineRule="auto"/>
              <w:jc w:val="center"/>
              <w:rPr>
                <w:b/>
                <w:bCs/>
                <w:color w:val="66AADD"/>
                <w:sz w:val="18"/>
                <w:szCs w:val="18"/>
              </w:rPr>
            </w:pPr>
            <w:r>
              <w:rPr>
                <w:b/>
                <w:bCs/>
                <w:color w:val="66AADD"/>
                <w:sz w:val="18"/>
                <w:szCs w:val="18"/>
              </w:rPr>
              <w:t>Recon year</w:t>
            </w:r>
          </w:p>
        </w:tc>
        <w:tc>
          <w:tcPr>
            <w:tcW w:w="1000" w:type="pct"/>
          </w:tcPr>
          <w:p w:rsidR="0006297A" w:rsidRPr="00BF3202" w:rsidRDefault="0006297A" w:rsidP="00676CED">
            <w:pPr>
              <w:pStyle w:val="RI07-BodyCopy95pt"/>
              <w:spacing w:before="20" w:after="20" w:line="240" w:lineRule="auto"/>
              <w:jc w:val="right"/>
              <w:rPr>
                <w:b/>
                <w:bCs/>
                <w:color w:val="66AADD"/>
                <w:sz w:val="18"/>
                <w:szCs w:val="18"/>
              </w:rPr>
            </w:pPr>
            <w:r>
              <w:rPr>
                <w:b/>
                <w:bCs/>
                <w:color w:val="66AADD"/>
                <w:sz w:val="18"/>
                <w:szCs w:val="18"/>
              </w:rPr>
              <w:t>Global</w:t>
            </w:r>
          </w:p>
        </w:tc>
        <w:tc>
          <w:tcPr>
            <w:tcW w:w="1000" w:type="pct"/>
          </w:tcPr>
          <w:p w:rsidR="0006297A" w:rsidRPr="00BF3202" w:rsidRDefault="0006297A" w:rsidP="00676CED">
            <w:pPr>
              <w:pStyle w:val="RI07-BodyCopy95pt"/>
              <w:spacing w:before="20" w:after="20" w:line="240" w:lineRule="auto"/>
              <w:jc w:val="right"/>
              <w:rPr>
                <w:b/>
                <w:bCs/>
                <w:color w:val="66AADD"/>
                <w:sz w:val="18"/>
                <w:szCs w:val="18"/>
              </w:rPr>
            </w:pPr>
            <w:r>
              <w:rPr>
                <w:b/>
                <w:bCs/>
                <w:color w:val="66AADD"/>
                <w:sz w:val="18"/>
                <w:szCs w:val="18"/>
              </w:rPr>
              <w:t>Frontier</w:t>
            </w:r>
          </w:p>
        </w:tc>
        <w:tc>
          <w:tcPr>
            <w:tcW w:w="1000" w:type="pct"/>
          </w:tcPr>
          <w:p w:rsidR="0006297A" w:rsidRPr="00BF3202" w:rsidRDefault="0006297A" w:rsidP="00676CED">
            <w:pPr>
              <w:pStyle w:val="RI07-BodyCopy95pt"/>
              <w:spacing w:before="20" w:after="20" w:line="240" w:lineRule="auto"/>
              <w:jc w:val="right"/>
              <w:rPr>
                <w:b/>
                <w:bCs/>
                <w:color w:val="66AADD"/>
                <w:sz w:val="18"/>
                <w:szCs w:val="18"/>
              </w:rPr>
            </w:pPr>
            <w:r>
              <w:rPr>
                <w:b/>
                <w:bCs/>
                <w:color w:val="66AADD"/>
                <w:sz w:val="18"/>
                <w:szCs w:val="18"/>
              </w:rPr>
              <w:t xml:space="preserve"> Global 1000</w:t>
            </w:r>
          </w:p>
        </w:tc>
        <w:tc>
          <w:tcPr>
            <w:tcW w:w="1000" w:type="pct"/>
          </w:tcPr>
          <w:p w:rsidR="0006297A" w:rsidRPr="00BF3202" w:rsidRDefault="0006297A" w:rsidP="00676CED">
            <w:pPr>
              <w:pStyle w:val="RI07-BodyCopy95pt"/>
              <w:spacing w:before="20" w:after="20" w:line="240" w:lineRule="auto"/>
              <w:jc w:val="right"/>
              <w:rPr>
                <w:b/>
                <w:bCs/>
                <w:color w:val="66AADD"/>
                <w:sz w:val="18"/>
                <w:szCs w:val="18"/>
              </w:rPr>
            </w:pPr>
            <w:r>
              <w:rPr>
                <w:b/>
                <w:bCs/>
                <w:color w:val="66AADD"/>
                <w:sz w:val="18"/>
                <w:szCs w:val="18"/>
              </w:rPr>
              <w:t>Global 2000</w:t>
            </w:r>
          </w:p>
        </w:tc>
      </w:tr>
      <w:tr w:rsidR="0006297A" w:rsidRPr="00BF3202" w:rsidTr="00676CED">
        <w:tc>
          <w:tcPr>
            <w:tcW w:w="1000" w:type="pct"/>
          </w:tcPr>
          <w:p w:rsidR="0006297A" w:rsidRDefault="0006297A" w:rsidP="00676CED">
            <w:pPr>
              <w:pStyle w:val="RI07-BodyCopy95pt"/>
              <w:spacing w:before="20" w:after="20" w:line="240" w:lineRule="auto"/>
              <w:jc w:val="center"/>
              <w:rPr>
                <w:sz w:val="18"/>
                <w:szCs w:val="18"/>
              </w:rPr>
            </w:pPr>
            <w:r>
              <w:rPr>
                <w:sz w:val="18"/>
                <w:szCs w:val="18"/>
              </w:rPr>
              <w:t>2012</w:t>
            </w:r>
          </w:p>
        </w:tc>
        <w:tc>
          <w:tcPr>
            <w:tcW w:w="1000" w:type="pct"/>
          </w:tcPr>
          <w:p w:rsidR="0006297A" w:rsidRDefault="0006297A" w:rsidP="00676CED">
            <w:pPr>
              <w:pStyle w:val="RI07-BodyCopy95pt"/>
              <w:spacing w:before="20" w:after="20" w:line="240" w:lineRule="auto"/>
              <w:jc w:val="right"/>
              <w:rPr>
                <w:sz w:val="18"/>
                <w:szCs w:val="18"/>
              </w:rPr>
            </w:pPr>
            <w:r>
              <w:rPr>
                <w:sz w:val="18"/>
                <w:szCs w:val="18"/>
              </w:rPr>
              <w:t>$75,000</w:t>
            </w:r>
          </w:p>
        </w:tc>
        <w:tc>
          <w:tcPr>
            <w:tcW w:w="1000" w:type="pct"/>
          </w:tcPr>
          <w:p w:rsidR="0006297A" w:rsidRDefault="0006297A" w:rsidP="00676CED">
            <w:pPr>
              <w:pStyle w:val="RI07-BodyCopy95pt"/>
              <w:spacing w:before="20" w:after="20" w:line="240" w:lineRule="auto"/>
              <w:jc w:val="right"/>
              <w:rPr>
                <w:sz w:val="18"/>
                <w:szCs w:val="18"/>
              </w:rPr>
            </w:pPr>
            <w:r>
              <w:rPr>
                <w:sz w:val="18"/>
                <w:szCs w:val="18"/>
              </w:rPr>
              <w:t>$37,500</w:t>
            </w:r>
          </w:p>
        </w:tc>
        <w:tc>
          <w:tcPr>
            <w:tcW w:w="1000" w:type="pct"/>
          </w:tcPr>
          <w:p w:rsidR="0006297A" w:rsidRDefault="0006297A" w:rsidP="00676CED">
            <w:pPr>
              <w:pStyle w:val="RI07-BodyCopy95pt"/>
              <w:spacing w:before="20" w:after="20" w:line="240" w:lineRule="auto"/>
              <w:jc w:val="right"/>
              <w:rPr>
                <w:sz w:val="18"/>
                <w:szCs w:val="18"/>
              </w:rPr>
            </w:pPr>
            <w:r>
              <w:rPr>
                <w:sz w:val="18"/>
                <w:szCs w:val="18"/>
              </w:rPr>
              <w:t>$1,022,735</w:t>
            </w:r>
          </w:p>
        </w:tc>
        <w:tc>
          <w:tcPr>
            <w:tcW w:w="1000" w:type="pct"/>
            <w:tcMar>
              <w:left w:w="115" w:type="dxa"/>
              <w:right w:w="115" w:type="dxa"/>
            </w:tcMar>
          </w:tcPr>
          <w:p w:rsidR="0006297A" w:rsidRDefault="0006297A" w:rsidP="00676CED">
            <w:pPr>
              <w:pStyle w:val="RI07-BodyCopy95pt"/>
              <w:spacing w:before="20" w:after="20" w:line="240" w:lineRule="auto"/>
              <w:jc w:val="right"/>
              <w:rPr>
                <w:sz w:val="18"/>
                <w:szCs w:val="18"/>
              </w:rPr>
            </w:pPr>
            <w:r>
              <w:rPr>
                <w:sz w:val="18"/>
                <w:szCs w:val="18"/>
              </w:rPr>
              <w:t>$511,367</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2011</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105,000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52,500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1,100,265</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550,133</w:t>
            </w:r>
          </w:p>
        </w:tc>
      </w:tr>
      <w:tr w:rsidR="0006297A" w:rsidRPr="00BF3202" w:rsidTr="00676CED">
        <w:tc>
          <w:tcPr>
            <w:tcW w:w="1000" w:type="pct"/>
          </w:tcPr>
          <w:p w:rsidR="0006297A" w:rsidRDefault="0006297A" w:rsidP="00676CED">
            <w:pPr>
              <w:pStyle w:val="RI07-BodyCopy95pt"/>
              <w:spacing w:before="20" w:after="20" w:line="240" w:lineRule="auto"/>
              <w:jc w:val="center"/>
              <w:rPr>
                <w:sz w:val="18"/>
                <w:szCs w:val="18"/>
              </w:rPr>
            </w:pPr>
            <w:r>
              <w:rPr>
                <w:sz w:val="18"/>
                <w:szCs w:val="18"/>
              </w:rPr>
              <w:t>2010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80,000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40,000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829,273</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414,636</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2009</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40,000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20,000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791,416</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395,708</w:t>
            </w:r>
          </w:p>
        </w:tc>
      </w:tr>
      <w:tr w:rsidR="0006297A" w:rsidRPr="00BF3202" w:rsidTr="00676CED">
        <w:tc>
          <w:tcPr>
            <w:tcW w:w="1000" w:type="pct"/>
          </w:tcPr>
          <w:p w:rsidR="0006297A" w:rsidRDefault="0006297A" w:rsidP="00676CED">
            <w:pPr>
              <w:pStyle w:val="RI07-BodyCopy95pt"/>
              <w:spacing w:before="20" w:after="20" w:line="240" w:lineRule="auto"/>
              <w:jc w:val="center"/>
              <w:rPr>
                <w:sz w:val="18"/>
                <w:szCs w:val="18"/>
              </w:rPr>
            </w:pPr>
            <w:r>
              <w:rPr>
                <w:sz w:val="18"/>
                <w:szCs w:val="18"/>
              </w:rPr>
              <w:t>2008</w:t>
            </w:r>
          </w:p>
        </w:tc>
        <w:tc>
          <w:tcPr>
            <w:tcW w:w="1000" w:type="pct"/>
          </w:tcPr>
          <w:p w:rsidR="0006297A" w:rsidRDefault="0006297A" w:rsidP="00676CED">
            <w:pPr>
              <w:pStyle w:val="RI07-BodyCopy95pt"/>
              <w:spacing w:before="20" w:after="20" w:line="240" w:lineRule="auto"/>
              <w:jc w:val="right"/>
              <w:rPr>
                <w:sz w:val="18"/>
                <w:szCs w:val="18"/>
              </w:rPr>
            </w:pPr>
            <w:r>
              <w:rPr>
                <w:sz w:val="18"/>
                <w:szCs w:val="18"/>
              </w:rPr>
              <w:t>140,000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70,000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1,299,412</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649,706</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2007</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150,000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75,000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1,255,612</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627,806</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2006</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155,000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77,500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1,131,566</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565,783</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2005</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85,000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42,500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794,373</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397,187</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2004</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85,000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42,500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746,483</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373,241</w:t>
            </w:r>
          </w:p>
        </w:tc>
      </w:tr>
      <w:tr w:rsidR="0006297A" w:rsidRPr="00BF3202" w:rsidTr="00676CED">
        <w:tc>
          <w:tcPr>
            <w:tcW w:w="1000" w:type="pct"/>
          </w:tcPr>
          <w:p w:rsidR="0006297A" w:rsidRDefault="0006297A" w:rsidP="00676CED">
            <w:pPr>
              <w:pStyle w:val="RI07-BodyCopy95pt"/>
              <w:spacing w:before="20" w:after="20" w:line="240" w:lineRule="auto"/>
              <w:jc w:val="center"/>
              <w:rPr>
                <w:sz w:val="18"/>
                <w:szCs w:val="18"/>
              </w:rPr>
            </w:pPr>
            <w:r>
              <w:rPr>
                <w:sz w:val="18"/>
                <w:szCs w:val="18"/>
              </w:rPr>
              <w:t>2003</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30,000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15,000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356,778</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178,389</w:t>
            </w:r>
          </w:p>
        </w:tc>
      </w:tr>
      <w:tr w:rsidR="0006297A" w:rsidRPr="00BF3202" w:rsidTr="00676CED">
        <w:tc>
          <w:tcPr>
            <w:tcW w:w="1000" w:type="pct"/>
            <w:tcBorders>
              <w:top w:val="nil"/>
            </w:tcBorders>
          </w:tcPr>
          <w:p w:rsidR="0006297A" w:rsidRPr="00BF3202" w:rsidRDefault="0006297A" w:rsidP="00676CED">
            <w:pPr>
              <w:pStyle w:val="RI07-BodyCopy95pt"/>
              <w:spacing w:before="20" w:after="20" w:line="240" w:lineRule="auto"/>
              <w:jc w:val="center"/>
              <w:rPr>
                <w:sz w:val="18"/>
                <w:szCs w:val="18"/>
              </w:rPr>
            </w:pPr>
            <w:r>
              <w:rPr>
                <w:sz w:val="18"/>
                <w:szCs w:val="18"/>
              </w:rPr>
              <w:t>2002</w:t>
            </w:r>
          </w:p>
        </w:tc>
        <w:tc>
          <w:tcPr>
            <w:tcW w:w="1000" w:type="pct"/>
            <w:tcBorders>
              <w:top w:val="nil"/>
            </w:tcBorders>
          </w:tcPr>
          <w:p w:rsidR="0006297A" w:rsidRPr="00BF3202" w:rsidRDefault="0006297A" w:rsidP="00676CED">
            <w:pPr>
              <w:pStyle w:val="RI07-BodyCopy95pt"/>
              <w:spacing w:before="20" w:after="20" w:line="240" w:lineRule="auto"/>
              <w:jc w:val="right"/>
              <w:rPr>
                <w:sz w:val="18"/>
                <w:szCs w:val="18"/>
              </w:rPr>
            </w:pPr>
            <w:r>
              <w:rPr>
                <w:sz w:val="18"/>
                <w:szCs w:val="18"/>
              </w:rPr>
              <w:t>45,000</w:t>
            </w:r>
          </w:p>
        </w:tc>
        <w:tc>
          <w:tcPr>
            <w:tcW w:w="1000" w:type="pct"/>
            <w:tcBorders>
              <w:top w:val="nil"/>
            </w:tcBorders>
          </w:tcPr>
          <w:p w:rsidR="0006297A" w:rsidRPr="00BF3202" w:rsidRDefault="0006297A" w:rsidP="00676CED">
            <w:pPr>
              <w:pStyle w:val="RI07-BodyCopy95pt"/>
              <w:spacing w:before="20" w:after="20" w:line="240" w:lineRule="auto"/>
              <w:jc w:val="right"/>
              <w:rPr>
                <w:sz w:val="18"/>
                <w:szCs w:val="18"/>
              </w:rPr>
            </w:pPr>
            <w:r>
              <w:rPr>
                <w:sz w:val="18"/>
                <w:szCs w:val="18"/>
              </w:rPr>
              <w:t>22,500</w:t>
            </w:r>
          </w:p>
        </w:tc>
        <w:tc>
          <w:tcPr>
            <w:tcW w:w="1000" w:type="pct"/>
            <w:tcBorders>
              <w:top w:val="nil"/>
            </w:tcBorders>
          </w:tcPr>
          <w:p w:rsidR="0006297A" w:rsidRPr="00BF3202" w:rsidRDefault="0006297A" w:rsidP="00676CED">
            <w:pPr>
              <w:pStyle w:val="RI07-BodyCopy95pt"/>
              <w:spacing w:before="20" w:after="20" w:line="240" w:lineRule="auto"/>
              <w:jc w:val="right"/>
              <w:rPr>
                <w:sz w:val="18"/>
                <w:szCs w:val="18"/>
              </w:rPr>
            </w:pPr>
            <w:r>
              <w:rPr>
                <w:sz w:val="18"/>
                <w:szCs w:val="18"/>
              </w:rPr>
              <w:t>443,195</w:t>
            </w:r>
          </w:p>
        </w:tc>
        <w:tc>
          <w:tcPr>
            <w:tcW w:w="1000" w:type="pct"/>
            <w:tcBorders>
              <w:top w:val="nil"/>
            </w:tcBorders>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221,598</w:t>
            </w:r>
          </w:p>
        </w:tc>
      </w:tr>
      <w:tr w:rsidR="0006297A" w:rsidRPr="00BF3202" w:rsidTr="00676CED">
        <w:tc>
          <w:tcPr>
            <w:tcW w:w="1000" w:type="pct"/>
          </w:tcPr>
          <w:p w:rsidR="0006297A" w:rsidRPr="00BF3202" w:rsidRDefault="0006297A" w:rsidP="00676CED">
            <w:pPr>
              <w:pStyle w:val="RI07-BodyCopy95pt"/>
              <w:spacing w:before="20" w:after="20" w:line="240" w:lineRule="auto"/>
              <w:jc w:val="center"/>
              <w:rPr>
                <w:sz w:val="18"/>
                <w:szCs w:val="18"/>
              </w:rPr>
            </w:pPr>
            <w:r>
              <w:rPr>
                <w:sz w:val="18"/>
                <w:szCs w:val="18"/>
              </w:rPr>
              <w:t>2001</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65,000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32,500</w:t>
            </w:r>
          </w:p>
        </w:tc>
        <w:tc>
          <w:tcPr>
            <w:tcW w:w="1000" w:type="pct"/>
          </w:tcPr>
          <w:p w:rsidR="0006297A" w:rsidRPr="00BF3202" w:rsidRDefault="0006297A" w:rsidP="00676CED">
            <w:pPr>
              <w:pStyle w:val="RI07-BodyCopy95pt"/>
              <w:spacing w:before="20" w:after="20" w:line="240" w:lineRule="auto"/>
              <w:jc w:val="right"/>
              <w:rPr>
                <w:sz w:val="18"/>
                <w:szCs w:val="18"/>
              </w:rPr>
            </w:pPr>
            <w:r>
              <w:rPr>
                <w:sz w:val="18"/>
                <w:szCs w:val="18"/>
              </w:rPr>
              <w:t>399,874</w:t>
            </w:r>
          </w:p>
        </w:tc>
        <w:tc>
          <w:tcPr>
            <w:tcW w:w="1000" w:type="pct"/>
            <w:tcMar>
              <w:left w:w="115" w:type="dxa"/>
              <w:right w:w="115" w:type="dxa"/>
            </w:tcMar>
          </w:tcPr>
          <w:p w:rsidR="0006297A" w:rsidRPr="00BF3202" w:rsidRDefault="0006297A" w:rsidP="00676CED">
            <w:pPr>
              <w:pStyle w:val="RI07-BodyCopy95pt"/>
              <w:spacing w:before="20" w:after="20" w:line="240" w:lineRule="auto"/>
              <w:jc w:val="right"/>
              <w:rPr>
                <w:sz w:val="18"/>
                <w:szCs w:val="18"/>
              </w:rPr>
            </w:pPr>
            <w:r>
              <w:rPr>
                <w:sz w:val="18"/>
                <w:szCs w:val="18"/>
              </w:rPr>
              <w:t>199,937</w:t>
            </w:r>
          </w:p>
        </w:tc>
      </w:tr>
    </w:tbl>
    <w:p w:rsidR="0006297A" w:rsidRDefault="0006297A" w:rsidP="0006297A">
      <w:pPr>
        <w:pStyle w:val="RI07-BodyCopy95pt"/>
      </w:pPr>
    </w:p>
    <w:p w:rsidR="0006297A" w:rsidRDefault="0006297A" w:rsidP="0006297A">
      <w:pPr>
        <w:rPr>
          <w:rFonts w:ascii="Arial" w:hAnsi="Arial"/>
          <w:caps/>
          <w:color w:val="5F6062"/>
          <w:sz w:val="20"/>
        </w:rPr>
      </w:pPr>
      <w:r>
        <w:br w:type="page"/>
      </w:r>
    </w:p>
    <w:p w:rsidR="0006297A" w:rsidRDefault="0006297A" w:rsidP="0006297A">
      <w:pPr>
        <w:pStyle w:val="RI01-Heading0"/>
      </w:pPr>
      <w:r>
        <w:t>appendix J</w:t>
      </w:r>
    </w:p>
    <w:p w:rsidR="0006297A" w:rsidRDefault="0006297A" w:rsidP="0006297A">
      <w:pPr>
        <w:pStyle w:val="Heading1"/>
      </w:pPr>
      <w:bookmarkStart w:id="486" w:name="_Toc342306057"/>
      <w:bookmarkStart w:id="487" w:name="_Toc342312437"/>
      <w:bookmarkStart w:id="488" w:name="_Toc343682774"/>
      <w:r>
        <w:t>Predictive Index Data</w:t>
      </w:r>
      <w:bookmarkEnd w:id="486"/>
      <w:bookmarkEnd w:id="487"/>
      <w:bookmarkEnd w:id="488"/>
    </w:p>
    <w:p w:rsidR="0006297A" w:rsidRDefault="0006297A" w:rsidP="0006297A">
      <w:pPr>
        <w:pStyle w:val="RI07-BodyCopy95pt"/>
      </w:pPr>
    </w:p>
    <w:p w:rsidR="0006297A" w:rsidRDefault="0006297A" w:rsidP="0006297A">
      <w:pPr>
        <w:pStyle w:val="RI07-BodyCopy95pt"/>
      </w:pPr>
      <w:r>
        <w:t>Any security level detail contained within the report that has not yet reached its effective date for processing across the index represents the most recent and best available information.  Events that have not yet reached their effective date are subject to change as regulatory agencies, parties involved in the action and market terms may be updated prior to final effective date and should be considered predictive data (“Predictive Index Data”).  The information should be considered preliminary until the effective date has been reached.  Russell reserves the right to update or change details of the action or update to effective date.</w:t>
      </w:r>
    </w:p>
    <w:p w:rsidR="0006297A" w:rsidRDefault="0006297A" w:rsidP="0006297A">
      <w:pPr>
        <w:pStyle w:val="RI07-BodyCopy95pt"/>
      </w:pPr>
    </w:p>
    <w:p w:rsidR="0006297A" w:rsidRDefault="0006297A" w:rsidP="0006297A">
      <w:pPr>
        <w:pStyle w:val="RI07-BodyCopy95pt"/>
      </w:pPr>
      <w:r>
        <w:t xml:space="preserve">The Predictive Index Data is being provided for informational purposes only and may be used solely for evaluation purposes. Russell and its third party licensors do not warrant or make any representations regarding the use, or the results of use, of the Predictive Index Data, or any data included therein or any security (or combination thereof) comprising the Predictive Index Data. Recipient, and not Russell or its third party licensors, assumes the entire risk as to such use, results of use and the performance of the Predictive Index Data and any such data or securities and will be fully responsible for any uses, and consequences thereof, of the Predictive Index Data by you or anyone obtaining access thereto from or through you.  </w:t>
      </w:r>
    </w:p>
    <w:p w:rsidR="0006297A" w:rsidRDefault="0006297A" w:rsidP="0006297A">
      <w:pPr>
        <w:pStyle w:val="RI07-BodyCopy95pt"/>
      </w:pPr>
    </w:p>
    <w:p w:rsidR="0006297A" w:rsidRDefault="0006297A" w:rsidP="0006297A">
      <w:pPr>
        <w:pStyle w:val="RI07-BodyCopy95pt"/>
      </w:pPr>
      <w:r>
        <w:t>RUSSELL’S DISTRIBUTION OF THE PREDICTIVE INDEX DATA IN NO WAY SUGGESTS OR IMPLIES AN OPINION BY RUSSELL OR ITS THIRD PARTY LICENSORS AS TO THE ATTRACTIVENESS OF INVESTMENT IN ANY OR ALL OF THE SECURITIES TO WHICH THE PREDICTIVE INDEX DATA RELATES.</w:t>
      </w:r>
    </w:p>
    <w:p w:rsidR="0006297A" w:rsidRPr="00D32180" w:rsidRDefault="0006297A" w:rsidP="0006297A">
      <w:pPr>
        <w:pStyle w:val="RI07-BodyCopy95pt"/>
      </w:pPr>
      <w:r>
        <w:br w:type="page"/>
      </w:r>
    </w:p>
    <w:p w:rsidR="0006297A" w:rsidRPr="00D32180" w:rsidRDefault="0006297A" w:rsidP="0006297A">
      <w:pPr>
        <w:pStyle w:val="RI07-BodyCopy95pt"/>
      </w:pPr>
    </w:p>
    <w:p w:rsidR="0006297A" w:rsidRPr="00D32180"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Default="0006297A" w:rsidP="0006297A">
      <w:pPr>
        <w:pStyle w:val="RI07-BodyCopy95pt"/>
      </w:pPr>
    </w:p>
    <w:p w:rsidR="0006297A" w:rsidRPr="00D32180" w:rsidRDefault="0006297A" w:rsidP="0006297A">
      <w:pPr>
        <w:pStyle w:val="RI07-BodyCopy95pt"/>
      </w:pPr>
    </w:p>
    <w:p w:rsidR="0006297A" w:rsidRPr="00D32180" w:rsidRDefault="0006297A" w:rsidP="0006297A">
      <w:pPr>
        <w:pStyle w:val="RI07-BodyCopy95pt"/>
      </w:pPr>
    </w:p>
    <w:p w:rsidR="0006297A" w:rsidRPr="00D32180" w:rsidRDefault="0006297A" w:rsidP="0006297A">
      <w:pPr>
        <w:rPr>
          <w:rFonts w:ascii="Arial" w:hAnsi="Arial" w:cs="Arial"/>
          <w:b/>
          <w:color w:val="F38F1D"/>
          <w:sz w:val="19"/>
          <w:szCs w:val="19"/>
        </w:rPr>
      </w:pPr>
      <w:r w:rsidRPr="00D32180">
        <w:rPr>
          <w:rFonts w:ascii="Arial" w:hAnsi="Arial" w:cs="Arial"/>
          <w:b/>
          <w:color w:val="F38F1D"/>
          <w:sz w:val="19"/>
          <w:szCs w:val="19"/>
        </w:rPr>
        <w:t>For more information about Russell Indexes call us or visit www.russell.com/indexes.</w:t>
      </w:r>
    </w:p>
    <w:p w:rsidR="0006297A" w:rsidRPr="00D32180" w:rsidRDefault="0006297A" w:rsidP="0006297A">
      <w:pPr>
        <w:rPr>
          <w:rFonts w:ascii="Arial" w:hAnsi="Arial" w:cs="Arial"/>
          <w:b/>
          <w:color w:val="F38F1D"/>
          <w:sz w:val="19"/>
          <w:szCs w:val="19"/>
        </w:rPr>
      </w:pPr>
      <w:r w:rsidRPr="00D32180">
        <w:rPr>
          <w:rFonts w:ascii="Arial" w:hAnsi="Arial" w:cs="Arial"/>
          <w:b/>
          <w:color w:val="F38F1D"/>
          <w:sz w:val="19"/>
          <w:szCs w:val="19"/>
        </w:rPr>
        <w:t>Americas: +1-877-503-6437; A</w:t>
      </w:r>
      <w:r>
        <w:rPr>
          <w:rFonts w:ascii="Arial" w:hAnsi="Arial" w:cs="Arial"/>
          <w:b/>
          <w:color w:val="F38F1D"/>
          <w:sz w:val="19"/>
          <w:szCs w:val="19"/>
        </w:rPr>
        <w:t>PAC</w:t>
      </w:r>
      <w:r w:rsidRPr="00D32180">
        <w:rPr>
          <w:rFonts w:ascii="Arial" w:hAnsi="Arial" w:cs="Arial"/>
          <w:b/>
          <w:color w:val="F38F1D"/>
          <w:sz w:val="19"/>
          <w:szCs w:val="19"/>
        </w:rPr>
        <w:t>: +</w:t>
      </w:r>
      <w:r>
        <w:rPr>
          <w:rFonts w:ascii="Arial" w:hAnsi="Arial" w:cs="Arial"/>
          <w:b/>
          <w:color w:val="F38F1D"/>
          <w:sz w:val="19"/>
          <w:szCs w:val="19"/>
        </w:rPr>
        <w:t>65-6880-5003</w:t>
      </w:r>
      <w:r w:rsidRPr="00D32180">
        <w:rPr>
          <w:rFonts w:ascii="Arial" w:hAnsi="Arial" w:cs="Arial"/>
          <w:b/>
          <w:color w:val="F38F1D"/>
          <w:sz w:val="19"/>
          <w:szCs w:val="19"/>
        </w:rPr>
        <w:t xml:space="preserve">; EMEA: +44-0-20-7024-6600 </w:t>
      </w:r>
    </w:p>
    <w:p w:rsidR="0006297A" w:rsidRPr="00D32180" w:rsidRDefault="0006297A" w:rsidP="0006297A">
      <w:pPr>
        <w:pStyle w:val="RI07-BodyCopy95pt"/>
      </w:pPr>
      <w:r w:rsidRPr="00D32180">
        <w:t>Copyright © Russell I</w:t>
      </w:r>
      <w:r>
        <w:t>nvestments 2012</w:t>
      </w:r>
      <w:r w:rsidRPr="00D32180">
        <w:t xml:space="preserve">. All rights reserved. </w:t>
      </w:r>
    </w:p>
    <w:p w:rsidR="0006297A" w:rsidRPr="00D32180" w:rsidRDefault="0006297A" w:rsidP="0006297A">
      <w:pPr>
        <w:pStyle w:val="RI07-BodyCopy95pt"/>
      </w:pPr>
      <w:r w:rsidRPr="00D32180">
        <w:t>Russell Investments is a Washington, USA Corporation, which operates through subsidiaries worldwide and is a subsidiary of The Northwestern Mutual Life Insurance Company.</w:t>
      </w:r>
    </w:p>
    <w:p w:rsidR="0006297A" w:rsidRDefault="0006297A" w:rsidP="0006297A">
      <w:pPr>
        <w:pStyle w:val="RI07-BodyCopy95pt"/>
      </w:pPr>
      <w:r w:rsidRPr="00D32180">
        <w:t xml:space="preserve">Russell Investments is the owner of the trademarks, service marks and copyrights related to </w:t>
      </w:r>
      <w:r>
        <w:t xml:space="preserve">the Russell Indexes. </w:t>
      </w:r>
    </w:p>
    <w:p w:rsidR="0006297A" w:rsidRDefault="0006297A" w:rsidP="0006297A">
      <w:pPr>
        <w:pStyle w:val="RI07-BodyCopy95pt"/>
      </w:pPr>
      <w:r>
        <w:t>IdealRatings is a trademark of IdealRatings, Inc. Russell Investments is the source and owner of all copyrights related to the Russell-IdealRatings Islamic Indexes.</w:t>
      </w:r>
    </w:p>
    <w:p w:rsidR="0006297A" w:rsidRDefault="0006297A" w:rsidP="0006297A">
      <w:pPr>
        <w:pStyle w:val="RI07-BodyCopy95pt"/>
      </w:pPr>
      <w:r>
        <w:t>Russell and Mergent have entered into a strategic alliance with respect to the Russell Dividend Achievers Indexes. Russell and Mergent are the source and joint owners of the trademarks, service marks and copyrights related to the Russell Dividend Achievers Indexes. Mergent is the owner of the Mergent trademarks, service marks and copyrights related to the Mergent marks and the Dividend Achievers methodology.</w:t>
      </w:r>
    </w:p>
    <w:p w:rsidR="0006297A" w:rsidRPr="00CF6B18" w:rsidRDefault="0006297A" w:rsidP="0006297A">
      <w:pPr>
        <w:pStyle w:val="RI07-BodyCopy95pt"/>
      </w:pPr>
      <w:r w:rsidRPr="00CF6B18">
        <w:t xml:space="preserve">The Russell/Nomura Total Market Index, a benchmark of the Japanese Stock Market, and related Russell/Nomura Japan Equity Indexes are </w:t>
      </w:r>
      <w:r>
        <w:t xml:space="preserve">jointly </w:t>
      </w:r>
      <w:r w:rsidRPr="00CF6B18">
        <w:t>owned and produced by Nomura Securities Financial Research Center, a division of Nomura Securities Co., Ltd., and Russell Investments.</w:t>
      </w:r>
    </w:p>
    <w:p w:rsidR="0006297A" w:rsidRPr="00D32180" w:rsidRDefault="0006297A" w:rsidP="0006297A">
      <w:pPr>
        <w:pStyle w:val="RI07-BodyCopy95pt"/>
      </w:pPr>
      <w:r w:rsidRPr="00D32180">
        <w:t>Indexes are unmanaged and cannot be invested in directly.</w:t>
      </w:r>
    </w:p>
    <w:p w:rsidR="0006297A" w:rsidRDefault="0006297A" w:rsidP="0006297A">
      <w:pPr>
        <w:pStyle w:val="RI07-BodyCopy95pt"/>
      </w:pPr>
      <w:r w:rsidRPr="00D32180">
        <w:t>This material is proprietary and may not be reproduced, transferred, or distributed in any form without prior written permission from Russell Investments. It is delivered on an “as is” basis without warranty.</w:t>
      </w:r>
    </w:p>
    <w:p w:rsidR="0006297A" w:rsidRPr="00D32180" w:rsidRDefault="0006297A" w:rsidP="0006297A">
      <w:pPr>
        <w:pStyle w:val="RI07-BodyCopy95pt"/>
      </w:pPr>
      <w:r w:rsidRPr="005F3ED1">
        <w:t>Nothing contained in this material is intended to constitute legal, tax, securities, or investment advice, nor an opinion regarding the appropriateness of any investment, nor a solicitation of any type. The general information contained in this publication should not be acted upon without obtaining specific legal, tax, and investment advice from a licensed professional.</w:t>
      </w:r>
    </w:p>
    <w:p w:rsidR="0006297A" w:rsidRPr="00D32180" w:rsidRDefault="0006297A" w:rsidP="0006297A">
      <w:pPr>
        <w:pStyle w:val="RI07-BodyCopy95pt"/>
      </w:pPr>
      <w:r w:rsidRPr="00D32180">
        <w:t>First use: February 2008. Revised:</w:t>
      </w:r>
      <w:r>
        <w:t xml:space="preserve"> December 2012</w:t>
      </w:r>
      <w:r w:rsidRPr="00D32180">
        <w:t>.</w:t>
      </w:r>
    </w:p>
    <w:p w:rsidR="0006297A" w:rsidRDefault="0006297A" w:rsidP="0006297A">
      <w:pPr>
        <w:pStyle w:val="RI07-BodyCopy95pt"/>
      </w:pPr>
      <w:r w:rsidRPr="00D32180">
        <w:t>CORP-</w:t>
      </w:r>
      <w:r>
        <w:t>7434-03-2013</w:t>
      </w:r>
    </w:p>
    <w:p w:rsidR="00164C0A" w:rsidRPr="00164C0A" w:rsidRDefault="00164C0A" w:rsidP="00164C0A">
      <w:pPr>
        <w:pStyle w:val="AONormal"/>
        <w:rPr>
          <w:lang w:val="en-US"/>
        </w:rPr>
      </w:pPr>
    </w:p>
    <w:sectPr w:rsidR="00164C0A" w:rsidRPr="00164C0A" w:rsidSect="00676CED">
      <w:pgSz w:w="12240" w:h="15840"/>
      <w:pgMar w:top="1440" w:right="1440" w:bottom="1440" w:left="1526" w:header="720" w:footer="12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951" w:rsidRDefault="00C64951">
      <w:r>
        <w:separator/>
      </w:r>
    </w:p>
    <w:p w:rsidR="00C64951" w:rsidRDefault="00C64951"/>
  </w:endnote>
  <w:endnote w:type="continuationSeparator" w:id="0">
    <w:p w:rsidR="00C64951" w:rsidRDefault="00C64951">
      <w:r>
        <w:continuationSeparator/>
      </w:r>
    </w:p>
    <w:p w:rsidR="00C64951" w:rsidRDefault="00C6495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Footer"/>
    </w:pPr>
    <w:r>
      <w:t xml:space="preserve">page </w:t>
    </w:r>
    <w:fldSimple w:instr=" PAGE ">
      <w:r w:rsidR="00A70CE3">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RI12-FooterPageNumber"/>
      <w:spacing w:before="60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2075" type="#_x0000_t75" style="position:absolute;margin-left:77.05pt;margin-top:752.4pt;width:320.4pt;height:6.7pt;z-index:251657216;visibility:visible;mso-position-horizontal-relative:page;mso-position-vertical-relative:page">
          <v:imagedata r:id="rId1" o:title=""/>
          <w10:wrap anchorx="page" anchory="page"/>
        </v:shape>
      </w:pict>
    </w:r>
    <w:r w:rsidR="00C64951" w:rsidRPr="00AE4E67">
      <w:t xml:space="preserve">page </w:t>
    </w:r>
    <w:fldSimple w:instr=" PAGE  \* Arabic  \* MERGEFORMAT ">
      <w:r w:rsidR="00A70CE3">
        <w:t>61</w:t>
      </w:r>
    </w:fldSimple>
    <w:r w:rsidRPr="00962308">
      <w:rPr>
        <w:caps w:val="0"/>
      </w:rPr>
      <w:pict>
        <v:shape id="Picture 25" o:spid="_x0000_s2065" type="#_x0000_t75" alt="footer body copy" style="position:absolute;margin-left:77.05pt;margin-top:752.4pt;width:320.4pt;height:6.7pt;z-index:251646976;visibility:visible;mso-position-horizontal-relative:page;mso-position-vertical-relative:page">
          <v:imagedata r:id="rId1" o:title="footer body copy"/>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pStyle w:val="RI12-FooterPageNumber"/>
      <w:spacing w:before="12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2070" type="#_x0000_t75" alt="footer body copy" style="position:absolute;margin-left:77.05pt;margin-top:752.4pt;width:320.4pt;height:6.7pt;z-index:251652096;visibility:visible;mso-position-horizontal-relative:page;mso-position-vertical-relative:page">
          <v:imagedata r:id="rId1" o:title="footer body copy"/>
          <w10:wrap anchorx="page" anchory="page"/>
        </v:shape>
      </w:pict>
    </w:r>
    <w:r w:rsidRPr="00962308">
      <w:rPr>
        <w:caps w:val="0"/>
      </w:rPr>
      <w:pict>
        <v:shape id="Picture 29" o:spid="_x0000_s2069" type="#_x0000_t75" alt="RusLogoBlk_oneandaquarter" style="position:absolute;margin-left:466.45pt;margin-top:736.3pt;width:93.6pt;height:23.75pt;z-index:251651072;visibility:visible;mso-position-horizontal-relative:page;mso-position-vertical-relative:page">
          <v:imagedata r:id="rId2" o:title="RusLogoBlk_oneandaquarter"/>
          <w10:wrap anchorx="page" anchory="page"/>
        </v:shape>
      </w:pict>
    </w:r>
    <w:r w:rsidR="00C64951">
      <w:t xml:space="preserve"> </w:t>
    </w:r>
    <w:r w:rsidRPr="00962308">
      <w:rPr>
        <w:caps w:val="0"/>
      </w:rPr>
      <w:pict>
        <v:shape id="Picture 33" o:spid="_x0000_s2073" type="#_x0000_t75" style="position:absolute;margin-left:77.05pt;margin-top:752.4pt;width:320.4pt;height:6.7pt;z-index:251655168;visibility:visible;mso-position-horizontal-relative:page;mso-position-vertical-relative:page">
          <v:imagedata r:id="rId1" o:title=""/>
          <w10:wrap anchorx="page" anchory="page"/>
        </v:shape>
      </w:pict>
    </w:r>
    <w:r w:rsidRPr="00962308">
      <w:rPr>
        <w:caps w:val="0"/>
      </w:rPr>
      <w:pict>
        <v:shape id="Picture 32" o:spid="_x0000_s2072" type="#_x0000_t75" style="position:absolute;margin-left:466.45pt;margin-top:736.3pt;width:93.6pt;height:23.75pt;z-index:251654144;visibility:visible;mso-position-horizontal-relative:page;mso-position-vertical-relative:page">
          <v:imagedata r:id="rId2" o:title=""/>
          <w10:wrap anchorx="page" anchory="page"/>
        </v:shape>
      </w:pict>
    </w:r>
    <w:r w:rsidR="00C64951" w:rsidRPr="00AE4E67">
      <w:t xml:space="preserve">page </w:t>
    </w:r>
    <w:fldSimple w:instr=" PAGE  \* Arabic  \* MERGEFORMAT ">
      <w:r w:rsidR="00C64951">
        <w:t>1</w:t>
      </w:r>
    </w:fldSimple>
    <w:r w:rsidRPr="00962308">
      <w:rPr>
        <w:caps w:val="0"/>
      </w:rPr>
      <w:pict>
        <v:shape id="Picture 27" o:spid="_x0000_s2067" type="#_x0000_t75" alt="RusLogoBlk_oneandaquarter" style="position:absolute;margin-left:466.55pt;margin-top:736.55pt;width:93.6pt;height:23.75pt;z-index:251649024;visibility:visible;mso-position-horizontal-relative:page;mso-position-vertical-relative:page">
          <v:imagedata r:id="rId2" o:title="RusLogoBlk_oneandaquarter"/>
          <w10:wrap anchorx="page" anchory="page"/>
        </v:shape>
      </w:pict>
    </w:r>
    <w:r w:rsidRPr="00962308">
      <w:rPr>
        <w:caps w:val="0"/>
      </w:rPr>
      <w:pict>
        <v:shape id="Picture 28" o:spid="_x0000_s2068" type="#_x0000_t75" alt="footer body copy" style="position:absolute;margin-left:77.05pt;margin-top:752.4pt;width:320.4pt;height:6.7pt;z-index:251650048;visibility:visible;mso-position-horizontal-relative:page;mso-position-vertical-relative:page">
          <v:imagedata r:id="rId1" o:title="footer body copy"/>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RI12-FooterPageNumber"/>
      <w:spacing w:before="48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2086" type="#_x0000_t75" style="position:absolute;margin-left:77.05pt;margin-top:752.4pt;width:320.4pt;height:6.7pt;z-index:251668480;visibility:visible;mso-position-horizontal-relative:page;mso-position-vertical-relative:page">
          <v:imagedata r:id="rId1" o:title=""/>
          <w10:wrap anchorx="page" anchory="page"/>
        </v:shape>
      </w:pict>
    </w:r>
    <w:r w:rsidR="00C64951" w:rsidRPr="00AE4E67">
      <w:t xml:space="preserve">page </w:t>
    </w:r>
    <w:fldSimple w:instr=" PAGE  \* Arabic  \* MERGEFORMAT ">
      <w:r w:rsidR="00A70CE3">
        <w:t>75</w:t>
      </w:r>
    </w:fldSimple>
    <w:r w:rsidRPr="00962308">
      <w:rPr>
        <w:caps w:val="0"/>
      </w:rPr>
      <w:pict>
        <v:shape id="Picture 36" o:spid="_x0000_s2076" type="#_x0000_t75" alt="footer body copy" style="position:absolute;margin-left:77.05pt;margin-top:752.4pt;width:320.4pt;height:6.7pt;z-index:251658240;visibility:visible;mso-position-horizontal-relative:page;mso-position-vertical-relative:page">
          <v:imagedata r:id="rId1" o:title="footer body copy"/>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pStyle w:val="RI12-FooterPageNumber"/>
      <w:spacing w:before="12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2081" type="#_x0000_t75" alt="footer body copy" style="position:absolute;margin-left:77.05pt;margin-top:752.4pt;width:320.4pt;height:6.7pt;z-index:251663360;visibility:visible;mso-position-horizontal-relative:page;mso-position-vertical-relative:page">
          <v:imagedata r:id="rId1" o:title="footer body copy"/>
          <w10:wrap anchorx="page" anchory="page"/>
        </v:shape>
      </w:pict>
    </w:r>
    <w:r w:rsidRPr="00962308">
      <w:rPr>
        <w:caps w:val="0"/>
      </w:rPr>
      <w:pict>
        <v:shape id="Picture 40" o:spid="_x0000_s2080" type="#_x0000_t75" alt="RusLogoBlk_oneandaquarter" style="position:absolute;margin-left:466.45pt;margin-top:736.3pt;width:93.6pt;height:23.75pt;z-index:251662336;visibility:visible;mso-position-horizontal-relative:page;mso-position-vertical-relative:page">
          <v:imagedata r:id="rId2" o:title="RusLogoBlk_oneandaquarter"/>
          <w10:wrap anchorx="page" anchory="page"/>
        </v:shape>
      </w:pict>
    </w:r>
    <w:r w:rsidR="00C64951">
      <w:t xml:space="preserve"> </w:t>
    </w:r>
    <w:r w:rsidRPr="00962308">
      <w:rPr>
        <w:caps w:val="0"/>
      </w:rPr>
      <w:pict>
        <v:shape id="Picture 44" o:spid="_x0000_s2084" type="#_x0000_t75" style="position:absolute;margin-left:77.05pt;margin-top:752.4pt;width:320.4pt;height:6.7pt;z-index:251666432;visibility:visible;mso-position-horizontal-relative:page;mso-position-vertical-relative:page">
          <v:imagedata r:id="rId1" o:title=""/>
          <w10:wrap anchorx="page" anchory="page"/>
        </v:shape>
      </w:pict>
    </w:r>
    <w:r w:rsidRPr="00962308">
      <w:rPr>
        <w:caps w:val="0"/>
      </w:rPr>
      <w:pict>
        <v:shape id="Picture 43" o:spid="_x0000_s2083" type="#_x0000_t75" style="position:absolute;margin-left:466.45pt;margin-top:736.3pt;width:93.6pt;height:23.75pt;z-index:251665408;visibility:visible;mso-position-horizontal-relative:page;mso-position-vertical-relative:page">
          <v:imagedata r:id="rId2" o:title=""/>
          <w10:wrap anchorx="page" anchory="page"/>
        </v:shape>
      </w:pict>
    </w:r>
    <w:r w:rsidR="00C64951" w:rsidRPr="00AE4E67">
      <w:t xml:space="preserve">page </w:t>
    </w:r>
    <w:fldSimple w:instr=" PAGE  \* Arabic  \* MERGEFORMAT ">
      <w:r w:rsidR="00C64951">
        <w:t>57</w:t>
      </w:r>
    </w:fldSimple>
    <w:r w:rsidRPr="00962308">
      <w:rPr>
        <w:caps w:val="0"/>
      </w:rPr>
      <w:pict>
        <v:shape id="Picture 38" o:spid="_x0000_s2078" type="#_x0000_t75" alt="RusLogoBlk_oneandaquarter" style="position:absolute;margin-left:466.55pt;margin-top:736.55pt;width:93.6pt;height:23.75pt;z-index:251660288;visibility:visible;mso-position-horizontal-relative:page;mso-position-vertical-relative:page">
          <v:imagedata r:id="rId2" o:title="RusLogoBlk_oneandaquarter"/>
          <w10:wrap anchorx="page" anchory="page"/>
        </v:shape>
      </w:pict>
    </w:r>
    <w:r w:rsidRPr="00962308">
      <w:rPr>
        <w:caps w:val="0"/>
      </w:rPr>
      <w:pict>
        <v:shape id="Picture 39" o:spid="_x0000_s2079" type="#_x0000_t75" alt="footer body copy" style="position:absolute;margin-left:77.05pt;margin-top:752.4pt;width:320.4pt;height:6.7pt;z-index:251661312;visibility:visible;mso-position-horizontal-relative:page;mso-position-vertical-relative:page">
          <v:imagedata r:id="rId1" o:title="footer body copy"/>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RI12-FooterPageNumber"/>
      <w:spacing w:before="60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60" type="#_x0000_t75" alt="footer body copy" style="position:absolute;margin-left:77.05pt;margin-top:752.4pt;width:320.4pt;height:6.7pt;z-index:251641856;visibility:visible;mso-position-horizontal-relative:page;mso-position-vertical-relative:page">
          <v:imagedata r:id="rId1" o:title="footer body copy"/>
          <w10:wrap anchorx="page" anchory="page"/>
        </v:shape>
      </w:pict>
    </w:r>
    <w:r w:rsidR="00C64951">
      <w:t xml:space="preserve">Page </w:t>
    </w:r>
    <w:fldSimple w:instr=" PAGE ">
      <w:r w:rsidR="00A70CE3">
        <w:t>69</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941118" w:rsidRDefault="00962308" w:rsidP="00676CED">
    <w:pPr>
      <w:pStyle w:val="Footer"/>
      <w:spacing w:before="600"/>
      <w:jc w:val="left"/>
      <w:rPr>
        <w:rFonts w:ascii="Arial" w:hAnsi="Arial" w:cs="Arial"/>
        <w:szCs w:val="16"/>
      </w:rPr>
    </w:pPr>
    <w:r w:rsidRPr="009623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alt="footer body copy" style="position:absolute;margin-left:77.05pt;margin-top:752.4pt;width:320.4pt;height:6.7pt;z-index:251674624;visibility:visible;mso-position-horizontal-relative:page;mso-position-vertical-relative:page">
          <v:imagedata r:id="rId1" o:title="footer body copy"/>
          <w10:wrap anchorx="page" anchory="page"/>
        </v:shape>
      </w:pict>
    </w:r>
    <w:r w:rsidR="00C64951" w:rsidRPr="00941118">
      <w:rPr>
        <w:rFonts w:ascii="Arial" w:hAnsi="Arial" w:cs="Arial"/>
        <w:szCs w:val="16"/>
      </w:rPr>
      <w:t xml:space="preserve">PAGE </w:t>
    </w:r>
    <w:r w:rsidRPr="00941118">
      <w:rPr>
        <w:rFonts w:ascii="Arial" w:hAnsi="Arial" w:cs="Arial"/>
        <w:szCs w:val="16"/>
      </w:rPr>
      <w:fldChar w:fldCharType="begin"/>
    </w:r>
    <w:r w:rsidR="00C64951" w:rsidRPr="00941118">
      <w:rPr>
        <w:rFonts w:ascii="Arial" w:hAnsi="Arial" w:cs="Arial"/>
        <w:szCs w:val="16"/>
      </w:rPr>
      <w:instrText xml:space="preserve"> PAGE </w:instrText>
    </w:r>
    <w:r w:rsidRPr="00941118">
      <w:rPr>
        <w:rFonts w:ascii="Arial" w:hAnsi="Arial" w:cs="Arial"/>
        <w:szCs w:val="16"/>
      </w:rPr>
      <w:fldChar w:fldCharType="separate"/>
    </w:r>
    <w:r w:rsidR="00A70CE3">
      <w:rPr>
        <w:rFonts w:ascii="Arial" w:hAnsi="Arial" w:cs="Arial"/>
        <w:szCs w:val="16"/>
      </w:rPr>
      <w:t>79</w:t>
    </w:r>
    <w:r w:rsidRPr="00941118">
      <w:rPr>
        <w:rFonts w:ascii="Arial" w:hAnsi="Arial" w:cs="Arial"/>
        <w:szCs w:val="16"/>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pStyle w:val="RI12-FooterPageNumber"/>
      <w:spacing w:before="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2057" type="#_x0000_t75" alt="RusLogoBlk_oneandaquarter" style="position:absolute;margin-left:466.55pt;margin-top:736.55pt;width:93.6pt;height:23.75pt;z-index:251638784;visibility:visible;mso-position-horizontal-relative:page;mso-position-vertical-relative:page">
          <v:imagedata r:id="rId1" o:title="RusLogoBlk_oneandaquarter"/>
          <w10:wrap anchorx="page" anchory="page"/>
        </v:shape>
      </w:pict>
    </w:r>
    <w:r w:rsidRPr="00962308">
      <w:rPr>
        <w:caps w:val="0"/>
      </w:rPr>
      <w:pict>
        <v:shape id="Picture 6" o:spid="_x0000_s2056" type="#_x0000_t75" alt="footer body copy" style="position:absolute;margin-left:77.05pt;margin-top:752.4pt;width:320.4pt;height:6.7pt;z-index:251637760;visibility:visible;mso-position-horizontal-relative:page;mso-position-vertical-relative:page">
          <v:imagedata r:id="rId2" o:title="footer body copy"/>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941118" w:rsidRDefault="00962308" w:rsidP="00676CED">
    <w:pPr>
      <w:pStyle w:val="Footer"/>
      <w:spacing w:before="600"/>
      <w:jc w:val="left"/>
      <w:rPr>
        <w:rFonts w:ascii="Arial" w:hAnsi="Arial" w:cs="Arial"/>
        <w:szCs w:val="16"/>
      </w:rPr>
    </w:pPr>
    <w:r w:rsidRPr="009623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2096" type="#_x0000_t75" alt="footer body copy" style="position:absolute;margin-left:77.05pt;margin-top:752.4pt;width:320.4pt;height:6.7pt;z-index:251678720;visibility:visible;mso-position-horizontal-relative:page;mso-position-vertical-relative:page">
          <v:imagedata r:id="rId1" o:title="footer body copy"/>
          <w10:wrap anchorx="page" anchory="page"/>
        </v:shape>
      </w:pict>
    </w:r>
    <w:r w:rsidR="00C64951" w:rsidRPr="00941118">
      <w:rPr>
        <w:rFonts w:ascii="Arial" w:hAnsi="Arial" w:cs="Arial"/>
        <w:szCs w:val="16"/>
      </w:rPr>
      <w:t xml:space="preserve">PAGE </w:t>
    </w:r>
    <w:r w:rsidRPr="00941118">
      <w:rPr>
        <w:rFonts w:ascii="Arial" w:hAnsi="Arial" w:cs="Arial"/>
        <w:szCs w:val="16"/>
      </w:rPr>
      <w:fldChar w:fldCharType="begin"/>
    </w:r>
    <w:r w:rsidR="00C64951" w:rsidRPr="00941118">
      <w:rPr>
        <w:rFonts w:ascii="Arial" w:hAnsi="Arial" w:cs="Arial"/>
        <w:szCs w:val="16"/>
      </w:rPr>
      <w:instrText xml:space="preserve"> PAGE </w:instrText>
    </w:r>
    <w:r w:rsidRPr="00941118">
      <w:rPr>
        <w:rFonts w:ascii="Arial" w:hAnsi="Arial" w:cs="Arial"/>
        <w:szCs w:val="16"/>
      </w:rPr>
      <w:fldChar w:fldCharType="separate"/>
    </w:r>
    <w:r w:rsidR="0092511C">
      <w:rPr>
        <w:rFonts w:ascii="Arial" w:hAnsi="Arial" w:cs="Arial"/>
        <w:szCs w:val="16"/>
      </w:rPr>
      <w:t>81</w:t>
    </w:r>
    <w:r w:rsidRPr="00941118">
      <w:rPr>
        <w:rFonts w:ascii="Arial" w:hAnsi="Arial" w:cs="Arial"/>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Footer"/>
      <w:spacing w:before="1000"/>
      <w:jc w:val="left"/>
    </w:pPr>
    <w:r w:rsidRPr="0096230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cover footer copy" style="position:absolute;margin-left:341.3pt;margin-top:727.9pt;width:247.2pt;height:27.85pt;z-index:251633664;visibility:visible;mso-position-horizontal-relative:page;mso-position-vertical-relative:page">
          <v:imagedata r:id="rId1" o:title="cover footer copy"/>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RI12-FooterPageNumber"/>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4" type="#_x0000_t75" alt="CONCEPT footer.png" style="position:absolute;margin-left:90pt;margin-top:735.85pt;width:463.6pt;height:36.7pt;z-index:251635712;visibility:visible;mso-position-horizontal-relative:page;mso-position-vertical-relative:page">
          <v:imagedata r:id="rId1" o:title="CONCEPT footer"/>
          <w10:wrap anchorx="page" anchory="page"/>
          <w10:anchorlock/>
        </v:shape>
      </w:pict>
    </w:r>
    <w:r w:rsidR="00C64951">
      <w:t>page # of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DA1A99" w:rsidRDefault="00962308" w:rsidP="00676CED">
    <w:pPr>
      <w:pStyle w:val="RI12-FooterPageNumber"/>
      <w:spacing w:before="480"/>
      <w:rPr>
        <w:caps w:val="0"/>
      </w:rPr>
    </w:pPr>
    <w:r>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62" type="#_x0000_t75" alt="footer body copy" style="position:absolute;margin-left:77.05pt;margin-top:752.4pt;width:320.4pt;height:6.7pt;z-index:251643904;visibility:visible;mso-position-horizontal-relative:page;mso-position-vertical-relative:page">
          <v:imagedata r:id="rId1" o:title="footer body copy"/>
          <w10:wrap anchorx="page" anchory="page"/>
        </v:shape>
      </w:pict>
    </w:r>
    <w:r w:rsidRPr="00DA1A99">
      <w:rPr>
        <w:caps w:val="0"/>
      </w:rPr>
      <w:fldChar w:fldCharType="begin"/>
    </w:r>
    <w:r w:rsidR="00C64951" w:rsidRPr="00DA1A99">
      <w:rPr>
        <w:caps w:val="0"/>
      </w:rPr>
      <w:instrText xml:space="preserve"> PAGE </w:instrText>
    </w:r>
    <w:r w:rsidRPr="00DA1A99">
      <w:rPr>
        <w:caps w:val="0"/>
      </w:rPr>
      <w:fldChar w:fldCharType="separate"/>
    </w:r>
    <w:r w:rsidR="0092511C">
      <w:rPr>
        <w:caps w:val="0"/>
      </w:rPr>
      <w:t>vi</w:t>
    </w:r>
    <w:r w:rsidRPr="00DA1A99">
      <w:rPr>
        <w:caps w:val="0"/>
      </w:rPr>
      <w:fldChar w:fldCharType="end"/>
    </w:r>
    <w:r>
      <w:rPr>
        <w:caps w:val="0"/>
      </w:rPr>
      <w:pict>
        <v:shape id="Picture 5" o:spid="_x0000_s2055" type="#_x0000_t75" alt="footer body copy" style="position:absolute;margin-left:77.05pt;margin-top:752.4pt;width:320.4pt;height:6.7pt;z-index:251636736;visibility:visible;mso-position-horizontal-relative:page;mso-position-vertical-relative:page">
          <v:imagedata r:id="rId1" o:title="footer body copy"/>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974F94" w:rsidRDefault="00962308" w:rsidP="00676CED">
    <w:pPr>
      <w:pStyle w:val="RI12-FooterPageNumber"/>
      <w:spacing w:before="60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61" type="#_x0000_t75" alt="footer body copy" style="position:absolute;margin-left:77.05pt;margin-top:752.4pt;width:320.4pt;height:6.7pt;z-index:251642880;visibility:visible;mso-position-horizontal-relative:page;mso-position-vertical-relative:page">
          <v:imagedata r:id="rId1" o:title="footer body copy"/>
          <w10:wrap anchorx="page" anchory="page"/>
        </v:shape>
      </w:pict>
    </w:r>
    <w:r w:rsidR="00C64951">
      <w:t xml:space="preserve">Page </w:t>
    </w:r>
    <w:fldSimple w:instr=" PAGE ">
      <w:r w:rsidR="00A70CE3">
        <w:t>12</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RI12-FooterPageNumber"/>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footer body copy" style="position:absolute;margin-left:77.05pt;margin-top:752.4pt;width:320.4pt;height:6.7pt;z-index:251640832;visibility:visible;mso-position-horizontal-relative:page;mso-position-vertical-relative:page">
          <v:imagedata r:id="rId1" o:title="footer body copy"/>
          <w10:wrap anchorx="page" anchory="page"/>
        </v:shape>
      </w:pict>
    </w:r>
    <w:r w:rsidR="00C64951">
      <w:t xml:space="preserve">Page </w:t>
    </w:r>
    <w:fldSimple w:instr=" PAGE ">
      <w:r w:rsidR="00A70CE3">
        <w:t>8</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974F94" w:rsidRDefault="00962308" w:rsidP="00676CED">
    <w:pPr>
      <w:pStyle w:val="RI12-FooterPageNumber"/>
      <w:spacing w:before="600"/>
    </w:pPr>
    <w:r w:rsidRPr="00962308">
      <w:rPr>
        <w:cap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2093" type="#_x0000_t75" alt="footer body copy" style="position:absolute;margin-left:77.05pt;margin-top:752.4pt;width:320.4pt;height:6.7pt;z-index:251675648;visibility:visible;mso-position-horizontal-relative:page;mso-position-vertical-relative:page">
          <v:imagedata r:id="rId1" o:title="footer body copy"/>
          <w10:wrap anchorx="page" anchory="page"/>
        </v:shape>
      </w:pict>
    </w:r>
    <w:r w:rsidR="00C64951">
      <w:t xml:space="preserve">Page </w:t>
    </w:r>
    <w:fldSimple w:instr=" PAGE ">
      <w:r w:rsidR="00A70CE3">
        <w:t>24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spacing w:before="700"/>
      <w:rPr>
        <w:rFonts w:ascii="Arial" w:hAnsi="Arial"/>
        <w:caps/>
        <w:color w:val="5F6062"/>
        <w:sz w:val="16"/>
      </w:rPr>
    </w:pPr>
    <w:r w:rsidRPr="009623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2091" type="#_x0000_t75" style="position:absolute;margin-left:77.05pt;margin-top:752.4pt;width:320.4pt;height:6.7pt;z-index:251673600;visibility:visible;mso-position-horizontal-relative:page;mso-position-vertical-relative:page">
          <v:imagedata r:id="rId1" o:title=""/>
          <w10:wrap anchorx="page" anchory="page"/>
        </v:shape>
      </w:pict>
    </w:r>
    <w:r w:rsidR="00C64951" w:rsidRPr="00F77D7B">
      <w:rPr>
        <w:rFonts w:ascii="Arial" w:hAnsi="Arial"/>
        <w:caps/>
        <w:noProof/>
        <w:color w:val="5F6062"/>
        <w:sz w:val="16"/>
      </w:rPr>
      <w:t xml:space="preserve">page </w:t>
    </w:r>
    <w:r w:rsidRPr="00F77D7B">
      <w:rPr>
        <w:rFonts w:ascii="Arial" w:hAnsi="Arial"/>
        <w:caps/>
        <w:noProof/>
        <w:color w:val="5F6062"/>
        <w:sz w:val="16"/>
      </w:rPr>
      <w:fldChar w:fldCharType="begin"/>
    </w:r>
    <w:r w:rsidR="00C64951" w:rsidRPr="00F77D7B">
      <w:rPr>
        <w:rFonts w:ascii="Arial" w:hAnsi="Arial"/>
        <w:caps/>
        <w:noProof/>
        <w:color w:val="5F6062"/>
        <w:sz w:val="16"/>
      </w:rPr>
      <w:instrText xml:space="preserve"> PAGE  \* Arabic  \* MERGEFORMAT </w:instrText>
    </w:r>
    <w:r w:rsidRPr="00F77D7B">
      <w:rPr>
        <w:rFonts w:ascii="Arial" w:hAnsi="Arial"/>
        <w:caps/>
        <w:noProof/>
        <w:color w:val="5F6062"/>
        <w:sz w:val="16"/>
      </w:rPr>
      <w:fldChar w:fldCharType="separate"/>
    </w:r>
    <w:r w:rsidR="00A70CE3">
      <w:rPr>
        <w:rFonts w:ascii="Arial" w:hAnsi="Arial"/>
        <w:caps/>
        <w:noProof/>
        <w:color w:val="5F6062"/>
        <w:sz w:val="16"/>
      </w:rPr>
      <w:t>58</w:t>
    </w:r>
    <w:r w:rsidRPr="00F77D7B">
      <w:rPr>
        <w:rFonts w:ascii="Arial" w:hAnsi="Arial"/>
        <w:caps/>
        <w:noProof/>
        <w:color w:val="5F6062"/>
        <w:sz w:val="16"/>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spacing w:before="700"/>
      <w:rPr>
        <w:rFonts w:ascii="Arial" w:hAnsi="Arial"/>
        <w:caps/>
        <w:color w:val="5F6062"/>
        <w:sz w:val="16"/>
      </w:rPr>
    </w:pPr>
    <w:r w:rsidRPr="009623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77.05pt;margin-top:752.4pt;width:320.4pt;height:6.7pt;z-index:251671552;visibility:visible;mso-position-horizontal-relative:page;mso-position-vertical-relative:page">
          <v:imagedata r:id="rId1" o:title=""/>
          <w10:wrap anchorx="page" anchory="page"/>
        </v:shape>
      </w:pict>
    </w:r>
    <w:r w:rsidR="00C64951" w:rsidRPr="00F77D7B">
      <w:rPr>
        <w:rFonts w:ascii="Arial" w:hAnsi="Arial"/>
        <w:caps/>
        <w:noProof/>
        <w:color w:val="5F6062"/>
        <w:sz w:val="16"/>
      </w:rPr>
      <w:t xml:space="preserve">page </w:t>
    </w:r>
    <w:r w:rsidRPr="00F77D7B">
      <w:rPr>
        <w:rFonts w:ascii="Arial" w:hAnsi="Arial"/>
        <w:caps/>
        <w:noProof/>
        <w:color w:val="5F6062"/>
        <w:sz w:val="16"/>
      </w:rPr>
      <w:fldChar w:fldCharType="begin"/>
    </w:r>
    <w:r w:rsidR="00C64951" w:rsidRPr="00F77D7B">
      <w:rPr>
        <w:rFonts w:ascii="Arial" w:hAnsi="Arial"/>
        <w:caps/>
        <w:noProof/>
        <w:color w:val="5F6062"/>
        <w:sz w:val="16"/>
      </w:rPr>
      <w:instrText xml:space="preserve"> PAGE  \* Arabic  \* MERGEFORMAT </w:instrText>
    </w:r>
    <w:r w:rsidRPr="00F77D7B">
      <w:rPr>
        <w:rFonts w:ascii="Arial" w:hAnsi="Arial"/>
        <w:caps/>
        <w:noProof/>
        <w:color w:val="5F6062"/>
        <w:sz w:val="16"/>
      </w:rPr>
      <w:fldChar w:fldCharType="separate"/>
    </w:r>
    <w:r w:rsidR="00A70CE3">
      <w:rPr>
        <w:rFonts w:ascii="Arial" w:hAnsi="Arial"/>
        <w:caps/>
        <w:noProof/>
        <w:color w:val="5F6062"/>
        <w:sz w:val="16"/>
      </w:rPr>
      <w:t>57</w:t>
    </w:r>
    <w:r w:rsidRPr="00F77D7B">
      <w:rPr>
        <w:rFonts w:ascii="Arial" w:hAnsi="Arial"/>
        <w:caps/>
        <w:noProof/>
        <w:color w:val="5F6062"/>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951" w:rsidRDefault="00C64951">
      <w:r>
        <w:separator/>
      </w:r>
    </w:p>
    <w:p w:rsidR="00C64951" w:rsidRDefault="00C64951"/>
  </w:footnote>
  <w:footnote w:type="continuationSeparator" w:id="0">
    <w:p w:rsidR="00C64951" w:rsidRDefault="00C64951">
      <w:r>
        <w:continuationSeparator/>
      </w:r>
    </w:p>
    <w:p w:rsidR="00C64951" w:rsidRDefault="00C64951"/>
  </w:footnote>
  <w:footnote w:id="1">
    <w:p w:rsidR="00C64951" w:rsidRPr="00302B62" w:rsidRDefault="00C64951" w:rsidP="00164C0A">
      <w:pPr>
        <w:pStyle w:val="FootnoteText"/>
        <w:ind w:left="0" w:firstLine="0"/>
        <w:rPr>
          <w:lang w:val="en-US"/>
        </w:rPr>
      </w:pPr>
      <w:r>
        <w:rPr>
          <w:rStyle w:val="FootnoteReference"/>
        </w:rPr>
        <w:footnoteRef/>
      </w:r>
      <w:r>
        <w:t xml:space="preserve"> </w:t>
      </w:r>
      <w:r w:rsidRPr="00857C1C">
        <w:rPr>
          <w:u w:val="single"/>
          <w:lang w:val="en-US"/>
        </w:rPr>
        <w:t>Accord</w:t>
      </w:r>
      <w:r w:rsidRPr="00857C1C">
        <w:rPr>
          <w:lang w:val="en-US"/>
        </w:rPr>
        <w:t xml:space="preserve"> </w:t>
      </w:r>
      <w:r>
        <w:rPr>
          <w:lang w:val="en-US"/>
        </w:rPr>
        <w:t>Markit Consultation on a Possible Framework for the Regulation of the Production and Use of Indices Serving As Benchmarks in Financial and Other Contracts at p.2 (hereinafter “Markit”, Nov. 29, 2012); NASDAQ OMX Consultation on a Possible Framework for the Regulation of the Production and Use of Indices Serving As Benchmarks in Financial and Other Contracts at p.4 (hereinafter “NASDAQ”, Nov.  2012).</w:t>
      </w:r>
    </w:p>
  </w:footnote>
  <w:footnote w:id="2">
    <w:p w:rsidR="00C64951" w:rsidRPr="00E854B3" w:rsidRDefault="00C64951" w:rsidP="00164C0A">
      <w:pPr>
        <w:pStyle w:val="FootnoteText"/>
        <w:ind w:left="0" w:firstLine="0"/>
        <w:rPr>
          <w:lang w:val="en-US"/>
        </w:rPr>
      </w:pPr>
      <w:r>
        <w:rPr>
          <w:rStyle w:val="FootnoteReference"/>
        </w:rPr>
        <w:footnoteRef/>
      </w:r>
      <w:r>
        <w:t xml:space="preserve"> </w:t>
      </w:r>
      <w:r w:rsidRPr="00857C1C">
        <w:rPr>
          <w:u w:val="single"/>
          <w:lang w:val="en-US"/>
        </w:rPr>
        <w:t>See also</w:t>
      </w:r>
      <w:r>
        <w:rPr>
          <w:lang w:val="en-US"/>
        </w:rPr>
        <w:t xml:space="preserve"> Response of Investment Company Institute and ICI Global to the European Commission Consultation on the Regulation of Indices at p.2 (hereinafter “ICI”; Nov. 29, 2012).</w:t>
      </w:r>
    </w:p>
  </w:footnote>
  <w:footnote w:id="3">
    <w:p w:rsidR="00C64951" w:rsidRPr="0069648D" w:rsidRDefault="00C64951" w:rsidP="00164C0A">
      <w:pPr>
        <w:pStyle w:val="FootnoteText"/>
        <w:rPr>
          <w:lang w:val="en-US"/>
        </w:rPr>
      </w:pPr>
      <w:r>
        <w:rPr>
          <w:rStyle w:val="FootnoteReference"/>
        </w:rPr>
        <w:footnoteRef/>
      </w:r>
      <w:r>
        <w:t xml:space="preserve"> Financial benchmarks Consultation Report, International Organization of Securities Commissions (“IOSCO”) </w:t>
      </w:r>
      <w:r>
        <w:rPr>
          <w:lang w:val="en-US"/>
        </w:rPr>
        <w:t>at p.10 (Jan. 2013).</w:t>
      </w:r>
    </w:p>
  </w:footnote>
  <w:footnote w:id="4">
    <w:p w:rsidR="00C64951" w:rsidRPr="00EF2697" w:rsidRDefault="00C64951" w:rsidP="00164C0A">
      <w:pPr>
        <w:pStyle w:val="FootnoteText"/>
        <w:rPr>
          <w:lang w:val="en-US"/>
        </w:rPr>
      </w:pPr>
      <w:r>
        <w:rPr>
          <w:rStyle w:val="FootnoteReference"/>
        </w:rPr>
        <w:footnoteRef/>
      </w:r>
      <w:r>
        <w:t xml:space="preserve"> </w:t>
      </w:r>
      <w:r>
        <w:rPr>
          <w:lang w:val="en-US"/>
        </w:rPr>
        <w:t>These types of behaviors are already prohibited under various regulatory schemes in the jurisdictions represented by ESMA or the EBA.</w:t>
      </w:r>
    </w:p>
  </w:footnote>
  <w:footnote w:id="5">
    <w:p w:rsidR="00C64951" w:rsidRPr="00302B62" w:rsidRDefault="00C64951" w:rsidP="00164C0A">
      <w:pPr>
        <w:pStyle w:val="FootnoteText"/>
        <w:ind w:left="0" w:firstLine="0"/>
        <w:rPr>
          <w:lang w:val="en-US"/>
        </w:rPr>
      </w:pPr>
      <w:r w:rsidRPr="002A49F9">
        <w:rPr>
          <w:rStyle w:val="FootnoteReference"/>
          <w:szCs w:val="16"/>
        </w:rPr>
        <w:footnoteRef/>
      </w:r>
      <w:r w:rsidRPr="002A49F9">
        <w:rPr>
          <w:szCs w:val="16"/>
        </w:rPr>
        <w:t xml:space="preserve"> </w:t>
      </w:r>
      <w:r w:rsidRPr="002A49F9">
        <w:rPr>
          <w:szCs w:val="16"/>
          <w:lang w:val="en-US"/>
        </w:rPr>
        <w:t>The</w:t>
      </w:r>
      <w:r>
        <w:rPr>
          <w:lang w:val="en-US"/>
        </w:rPr>
        <w:t xml:space="preserve"> Regulation and Supervision of benchmarks: Consultation Paper 12/36, UK Financial Services Authority (“hereinafter the “FSA Paper”, Dec. 2012).  </w:t>
      </w:r>
      <w:r>
        <w:rPr>
          <w:u w:val="single"/>
          <w:lang w:val="en-US"/>
        </w:rPr>
        <w:t>Accord</w:t>
      </w:r>
      <w:r>
        <w:rPr>
          <w:lang w:val="en-US"/>
        </w:rPr>
        <w:t xml:space="preserve"> Stoxx Ltd. Response to Public Consultation by the European Commission on the Regulation of Indices at p.11 (hereinafter, “Stoxx”, Nov. 29, 2012).  </w:t>
      </w:r>
      <w:r w:rsidRPr="008C2013">
        <w:rPr>
          <w:u w:val="single"/>
          <w:lang w:val="en-US"/>
        </w:rPr>
        <w:t>See also</w:t>
      </w:r>
      <w:r>
        <w:rPr>
          <w:lang w:val="en-US"/>
        </w:rPr>
        <w:t xml:space="preserve"> Response of Index Industry Association to the European Commission Consultation on the Regulation of Indices at p.3 (hereinafter “IIA”; Nov. 29, 2012).  </w:t>
      </w:r>
      <w:r w:rsidRPr="001E189A">
        <w:rPr>
          <w:u w:val="single"/>
          <w:lang w:val="en-US"/>
        </w:rPr>
        <w:t>See</w:t>
      </w:r>
      <w:r>
        <w:rPr>
          <w:lang w:val="en-US"/>
        </w:rPr>
        <w:t xml:space="preserve"> Markit at p.2.</w:t>
      </w:r>
    </w:p>
  </w:footnote>
  <w:footnote w:id="6">
    <w:p w:rsidR="00C64951" w:rsidRPr="008C2013" w:rsidRDefault="00C64951" w:rsidP="00164C0A">
      <w:pPr>
        <w:pStyle w:val="FootnoteText"/>
        <w:ind w:left="0" w:firstLine="0"/>
        <w:rPr>
          <w:lang w:val="en-US"/>
        </w:rPr>
      </w:pPr>
      <w:r>
        <w:rPr>
          <w:rStyle w:val="FootnoteReference"/>
        </w:rPr>
        <w:footnoteRef/>
      </w:r>
      <w:r>
        <w:t xml:space="preserve"> </w:t>
      </w:r>
      <w:r>
        <w:rPr>
          <w:u w:val="single"/>
          <w:lang w:val="en-US"/>
        </w:rPr>
        <w:t>Accord</w:t>
      </w:r>
      <w:r>
        <w:rPr>
          <w:lang w:val="en-US"/>
        </w:rPr>
        <w:t xml:space="preserve"> Stoxx Ltd at p.11.</w:t>
      </w:r>
    </w:p>
  </w:footnote>
  <w:footnote w:id="7">
    <w:p w:rsidR="00C64951" w:rsidRPr="009F2CFE" w:rsidRDefault="00C64951" w:rsidP="00164C0A">
      <w:pPr>
        <w:pStyle w:val="FootnoteText"/>
        <w:rPr>
          <w:lang w:val="en-US"/>
        </w:rPr>
      </w:pPr>
      <w:r>
        <w:rPr>
          <w:rStyle w:val="FootnoteReference"/>
        </w:rPr>
        <w:footnoteRef/>
      </w:r>
      <w:r>
        <w:t xml:space="preserve"> </w:t>
      </w:r>
      <w:r w:rsidRPr="00857C1C">
        <w:rPr>
          <w:u w:val="single"/>
          <w:lang w:val="en-US"/>
        </w:rPr>
        <w:t>Accord</w:t>
      </w:r>
      <w:r>
        <w:rPr>
          <w:lang w:val="en-US"/>
        </w:rPr>
        <w:t xml:space="preserve"> ICI at p.2.  </w:t>
      </w:r>
      <w:r w:rsidRPr="001E189A">
        <w:rPr>
          <w:u w:val="single"/>
          <w:lang w:val="en-US"/>
        </w:rPr>
        <w:t>See also</w:t>
      </w:r>
      <w:r>
        <w:rPr>
          <w:lang w:val="en-US"/>
        </w:rPr>
        <w:t xml:space="preserve"> Markit at p.2.</w:t>
      </w:r>
    </w:p>
  </w:footnote>
  <w:footnote w:id="8">
    <w:p w:rsidR="00C64951" w:rsidRPr="009B3572" w:rsidRDefault="00C64951" w:rsidP="000D6F31">
      <w:pPr>
        <w:pStyle w:val="FootnoteText"/>
        <w:rPr>
          <w:lang w:val="en-US"/>
        </w:rPr>
      </w:pPr>
      <w:r w:rsidRPr="003D4378">
        <w:rPr>
          <w:rStyle w:val="FootnoteReference"/>
          <w:szCs w:val="16"/>
        </w:rPr>
        <w:footnoteRef/>
      </w:r>
      <w:r w:rsidRPr="003D4378">
        <w:rPr>
          <w:szCs w:val="16"/>
        </w:rPr>
        <w:t xml:space="preserve"> F</w:t>
      </w:r>
      <w:r>
        <w:t xml:space="preserve">SA Paper </w:t>
      </w:r>
      <w:r>
        <w:rPr>
          <w:u w:val="single"/>
          <w:lang w:val="en-US"/>
        </w:rPr>
        <w:t>s</w:t>
      </w:r>
      <w:r w:rsidRPr="00857C1C">
        <w:rPr>
          <w:u w:val="single"/>
          <w:lang w:val="en-US"/>
        </w:rPr>
        <w:t>upra</w:t>
      </w:r>
      <w:r>
        <w:rPr>
          <w:lang w:val="en-US"/>
        </w:rPr>
        <w:t xml:space="preserve"> n.5.</w:t>
      </w:r>
    </w:p>
  </w:footnote>
  <w:footnote w:id="9">
    <w:p w:rsidR="00C64951" w:rsidRPr="0003411A" w:rsidRDefault="00C64951" w:rsidP="00AB03C9">
      <w:pPr>
        <w:pStyle w:val="FootnoteText"/>
        <w:ind w:left="0" w:firstLine="0"/>
        <w:rPr>
          <w:szCs w:val="16"/>
          <w:lang w:val="en-US"/>
        </w:rPr>
      </w:pPr>
      <w:r w:rsidRPr="0003411A">
        <w:rPr>
          <w:rStyle w:val="FootnoteReference"/>
          <w:szCs w:val="16"/>
        </w:rPr>
        <w:footnoteRef/>
      </w:r>
      <w:r w:rsidRPr="0003411A">
        <w:rPr>
          <w:szCs w:val="16"/>
        </w:rPr>
        <w:t xml:space="preserve"> </w:t>
      </w:r>
      <w:r w:rsidRPr="0003411A">
        <w:rPr>
          <w:szCs w:val="16"/>
          <w:u w:val="single"/>
          <w:lang w:val="en-US"/>
        </w:rPr>
        <w:t>See also</w:t>
      </w:r>
      <w:r w:rsidRPr="0003411A">
        <w:rPr>
          <w:szCs w:val="16"/>
          <w:lang w:val="en-US"/>
        </w:rPr>
        <w:t xml:space="preserve">, </w:t>
      </w:r>
      <w:r>
        <w:rPr>
          <w:lang w:val="en-US"/>
        </w:rPr>
        <w:t>Responses of CFA Institute to the European Commission Consultation on the Regulation of Indices at p.4 (hereinafter “CFA Institute”; Nov. 29, 2012)</w:t>
      </w:r>
      <w:r w:rsidRPr="0003411A">
        <w:rPr>
          <w:szCs w:val="16"/>
          <w:lang w:val="en-US"/>
        </w:rPr>
        <w:t>; IIA at p.6; Markit at p.5; MSCI Response to the EU Consultation Document on the Regulation of Indices at p.8 (hereinafter, “MSCI”, Nov. 2012).</w:t>
      </w:r>
    </w:p>
  </w:footnote>
  <w:footnote w:id="10">
    <w:p w:rsidR="00C64951" w:rsidRPr="0003411A" w:rsidRDefault="00C64951" w:rsidP="00AB03C9">
      <w:pPr>
        <w:pStyle w:val="FootnoteText"/>
        <w:ind w:left="0" w:firstLine="0"/>
        <w:rPr>
          <w:szCs w:val="16"/>
          <w:lang w:val="en-US"/>
        </w:rPr>
      </w:pPr>
      <w:r w:rsidRPr="00EA42AA">
        <w:rPr>
          <w:rStyle w:val="FootnoteReference"/>
          <w:szCs w:val="16"/>
        </w:rPr>
        <w:t>10</w:t>
      </w:r>
      <w:r w:rsidRPr="00EA42AA">
        <w:rPr>
          <w:szCs w:val="16"/>
          <w:u w:val="single"/>
        </w:rPr>
        <w:t>Acco</w:t>
      </w:r>
      <w:r w:rsidRPr="009A7E51">
        <w:rPr>
          <w:szCs w:val="16"/>
          <w:u w:val="single"/>
        </w:rPr>
        <w:t>rd</w:t>
      </w:r>
      <w:r w:rsidRPr="009A7E51">
        <w:rPr>
          <w:szCs w:val="16"/>
        </w:rPr>
        <w:t xml:space="preserve"> </w:t>
      </w:r>
      <w:r w:rsidRPr="0003411A">
        <w:rPr>
          <w:szCs w:val="16"/>
        </w:rPr>
        <w:t xml:space="preserve">BlackRock Response to </w:t>
      </w:r>
      <w:r w:rsidRPr="0003411A">
        <w:rPr>
          <w:szCs w:val="16"/>
          <w:lang w:val="en-US"/>
        </w:rPr>
        <w:t xml:space="preserve">Consultation on a Possible Framework for the Regulation of the Production and Use of Indices Serving As Benchmarks in Financial and Other Contracts at pp.6-7 (hereinafter “BlackRock”, Nov. 29, 2012). </w:t>
      </w:r>
      <w:r w:rsidRPr="0003411A">
        <w:rPr>
          <w:szCs w:val="16"/>
        </w:rPr>
        <w:t xml:space="preserve"> </w:t>
      </w:r>
      <w:r w:rsidRPr="0003411A">
        <w:rPr>
          <w:szCs w:val="16"/>
          <w:u w:val="single"/>
          <w:lang w:val="en-US"/>
        </w:rPr>
        <w:t>See also</w:t>
      </w:r>
      <w:r w:rsidRPr="0003411A">
        <w:rPr>
          <w:szCs w:val="16"/>
          <w:lang w:val="en-US"/>
        </w:rPr>
        <w:t>, IIA at pp.5-6.</w:t>
      </w:r>
    </w:p>
  </w:footnote>
  <w:footnote w:id="11">
    <w:p w:rsidR="00C64951" w:rsidRPr="00E854B3" w:rsidRDefault="00C64951" w:rsidP="008D79A6">
      <w:pPr>
        <w:pStyle w:val="FootnoteText"/>
        <w:ind w:left="0" w:firstLine="0"/>
        <w:rPr>
          <w:lang w:val="en-US"/>
        </w:rPr>
      </w:pPr>
      <w:r>
        <w:rPr>
          <w:rStyle w:val="FootnoteReference"/>
        </w:rPr>
        <w:footnoteRef/>
      </w:r>
      <w:r>
        <w:t xml:space="preserve"> </w:t>
      </w:r>
      <w:r w:rsidRPr="00857C1C">
        <w:rPr>
          <w:u w:val="single"/>
          <w:lang w:val="en-US"/>
        </w:rPr>
        <w:t>See also</w:t>
      </w:r>
      <w:r>
        <w:rPr>
          <w:lang w:val="en-US"/>
        </w:rPr>
        <w:t>, Responses of CFA Institute at pp.4-5; GFMA Consultation on a Possible Framework for the Regulation of the Production and Use of Indices Serving As Benchmarks in Financial and Other Contracts at pp.4-5 (hereinafter “GFMA”, Nov. 29, 2012); International Swap Dealer Association, Inc. at p.6 (Nov. 29, 2012).</w:t>
      </w:r>
    </w:p>
  </w:footnote>
  <w:footnote w:id="12">
    <w:p w:rsidR="00C64951" w:rsidRPr="00E64EDD" w:rsidRDefault="00C64951" w:rsidP="00C873E5">
      <w:pPr>
        <w:pStyle w:val="FootnoteText"/>
        <w:rPr>
          <w:lang w:val="en-US"/>
        </w:rPr>
      </w:pPr>
      <w:r>
        <w:rPr>
          <w:rStyle w:val="FootnoteReference"/>
        </w:rPr>
        <w:footnoteRef/>
      </w:r>
      <w:r>
        <w:t xml:space="preserve"> </w:t>
      </w:r>
      <w:r w:rsidRPr="00857C1C">
        <w:rPr>
          <w:u w:val="single"/>
          <w:lang w:val="en-US"/>
        </w:rPr>
        <w:t>See also</w:t>
      </w:r>
      <w:r>
        <w:rPr>
          <w:lang w:val="en-US"/>
        </w:rPr>
        <w:t xml:space="preserve"> Markit at pp.6-7.</w:t>
      </w:r>
    </w:p>
  </w:footnote>
  <w:footnote w:id="13">
    <w:p w:rsidR="00C64951" w:rsidRPr="00E854B3" w:rsidRDefault="00C64951" w:rsidP="008D79A6">
      <w:pPr>
        <w:pStyle w:val="FootnoteText"/>
        <w:rPr>
          <w:lang w:val="en-US"/>
        </w:rPr>
      </w:pPr>
      <w:r>
        <w:rPr>
          <w:rStyle w:val="FootnoteReference"/>
        </w:rPr>
        <w:footnoteRef/>
      </w:r>
      <w:r>
        <w:t xml:space="preserve"> </w:t>
      </w:r>
      <w:r w:rsidRPr="00857C1C">
        <w:rPr>
          <w:u w:val="single"/>
        </w:rPr>
        <w:t>See also</w:t>
      </w:r>
      <w:r>
        <w:rPr>
          <w:i/>
        </w:rPr>
        <w:t xml:space="preserve"> </w:t>
      </w:r>
      <w:r>
        <w:rPr>
          <w:lang w:val="en-US"/>
        </w:rPr>
        <w:t>CFA at pp.5-6; GFMA at p.5.</w:t>
      </w:r>
    </w:p>
  </w:footnote>
  <w:footnote w:id="14">
    <w:p w:rsidR="00C64951" w:rsidRPr="00E80893" w:rsidRDefault="00C64951" w:rsidP="008D79A6">
      <w:pPr>
        <w:pStyle w:val="FootnoteText"/>
        <w:rPr>
          <w:lang w:val="en-US"/>
        </w:rPr>
      </w:pPr>
      <w:r>
        <w:rPr>
          <w:rStyle w:val="FootnoteReference"/>
        </w:rPr>
        <w:footnoteRef/>
      </w:r>
      <w:r>
        <w:t xml:space="preserve"> </w:t>
      </w:r>
      <w:r w:rsidRPr="00857C1C">
        <w:rPr>
          <w:u w:val="single"/>
        </w:rPr>
        <w:t>See also</w:t>
      </w:r>
      <w:r>
        <w:t xml:space="preserve"> </w:t>
      </w:r>
      <w:r w:rsidRPr="00E80893">
        <w:rPr>
          <w:lang w:val="en-US"/>
        </w:rPr>
        <w:t>GFMA</w:t>
      </w:r>
      <w:r>
        <w:rPr>
          <w:lang w:val="en-US"/>
        </w:rPr>
        <w:t xml:space="preserve"> at pp.5-6.</w:t>
      </w:r>
    </w:p>
  </w:footnote>
  <w:footnote w:id="15">
    <w:p w:rsidR="00C64951" w:rsidRPr="00D8568C" w:rsidRDefault="00C64951" w:rsidP="00C873E5">
      <w:pPr>
        <w:pStyle w:val="FootnoteText"/>
        <w:rPr>
          <w:lang w:val="en-US"/>
        </w:rPr>
      </w:pPr>
      <w:r>
        <w:rPr>
          <w:rStyle w:val="FootnoteReference"/>
        </w:rPr>
        <w:footnoteRef/>
      </w:r>
      <w:r>
        <w:t xml:space="preserve"> </w:t>
      </w:r>
      <w:r w:rsidRPr="00857C1C">
        <w:rPr>
          <w:u w:val="single"/>
          <w:lang w:val="en-US"/>
        </w:rPr>
        <w:t xml:space="preserve">Accord </w:t>
      </w:r>
      <w:r>
        <w:rPr>
          <w:lang w:val="en-US"/>
        </w:rPr>
        <w:t>GFMA at p.7.</w:t>
      </w:r>
    </w:p>
  </w:footnote>
  <w:footnote w:id="16">
    <w:p w:rsidR="00C64951" w:rsidRPr="00584EAC" w:rsidRDefault="00C64951" w:rsidP="006E4C04">
      <w:pPr>
        <w:pStyle w:val="FootnoteText"/>
        <w:rPr>
          <w:lang w:val="en-US"/>
        </w:rPr>
      </w:pPr>
      <w:r>
        <w:rPr>
          <w:rStyle w:val="FootnoteReference"/>
        </w:rPr>
        <w:footnoteRef/>
      </w:r>
      <w:r>
        <w:t xml:space="preserve"> </w:t>
      </w:r>
      <w:r w:rsidRPr="00857C1C">
        <w:rPr>
          <w:u w:val="single"/>
          <w:lang w:val="en-US"/>
        </w:rPr>
        <w:t>See</w:t>
      </w:r>
      <w:r>
        <w:rPr>
          <w:lang w:val="en-US"/>
        </w:rPr>
        <w:t xml:space="preserve"> FSA Paper </w:t>
      </w:r>
      <w:r w:rsidRPr="000E15E8">
        <w:rPr>
          <w:u w:val="single"/>
          <w:lang w:val="en-US"/>
        </w:rPr>
        <w:t>supra</w:t>
      </w:r>
      <w:r>
        <w:rPr>
          <w:lang w:val="en-US"/>
        </w:rPr>
        <w:t xml:space="preserve"> n.5.</w:t>
      </w:r>
    </w:p>
  </w:footnote>
  <w:footnote w:id="17">
    <w:p w:rsidR="00C64951" w:rsidRPr="001E2C57" w:rsidRDefault="00C64951" w:rsidP="009E260C">
      <w:pPr>
        <w:pStyle w:val="FootnoteText"/>
        <w:ind w:left="0" w:firstLine="0"/>
        <w:rPr>
          <w:lang w:val="en-US"/>
        </w:rPr>
      </w:pPr>
      <w:r>
        <w:rPr>
          <w:rStyle w:val="FootnoteReference"/>
        </w:rPr>
        <w:footnoteRef/>
      </w:r>
      <w:r>
        <w:t xml:space="preserve"> </w:t>
      </w:r>
      <w:r>
        <w:rPr>
          <w:u w:val="single"/>
          <w:lang w:val="en-US"/>
        </w:rPr>
        <w:t>Accord</w:t>
      </w:r>
      <w:r>
        <w:rPr>
          <w:lang w:val="en-US"/>
        </w:rPr>
        <w:t xml:space="preserve"> EDHEC-Risk Institute Contribution to the European Commission Consultation Document on the Regulation of Indices at p..6 (hereinafter, “Edhec”, Nov. 29, 2012)</w:t>
      </w:r>
    </w:p>
  </w:footnote>
  <w:footnote w:id="18">
    <w:p w:rsidR="00C64951" w:rsidRPr="009E3EE2" w:rsidRDefault="00C64951" w:rsidP="009E260C">
      <w:pPr>
        <w:pStyle w:val="FootnoteText"/>
        <w:rPr>
          <w:lang w:val="en-US"/>
        </w:rPr>
      </w:pPr>
      <w:r>
        <w:rPr>
          <w:rStyle w:val="FootnoteReference"/>
        </w:rPr>
        <w:footnoteRef/>
      </w:r>
      <w:r>
        <w:t xml:space="preserve"> </w:t>
      </w:r>
      <w:r>
        <w:rPr>
          <w:u w:val="single"/>
          <w:lang w:val="en-US"/>
        </w:rPr>
        <w:t>See, e.g.,</w:t>
      </w:r>
      <w:r>
        <w:rPr>
          <w:lang w:val="en-US"/>
        </w:rPr>
        <w:t xml:space="preserve"> Edhec at p.7.</w:t>
      </w:r>
    </w:p>
  </w:footnote>
  <w:footnote w:id="19">
    <w:p w:rsidR="00C64951" w:rsidRPr="00D8568C" w:rsidRDefault="00C64951" w:rsidP="00F5791E">
      <w:pPr>
        <w:pStyle w:val="FootnoteText"/>
        <w:rPr>
          <w:lang w:val="en-US"/>
        </w:rPr>
      </w:pPr>
      <w:r>
        <w:rPr>
          <w:rStyle w:val="FootnoteReference"/>
        </w:rPr>
        <w:footnoteRef/>
      </w:r>
      <w:r>
        <w:t xml:space="preserve"> </w:t>
      </w:r>
      <w:r w:rsidRPr="00857C1C">
        <w:rPr>
          <w:u w:val="single"/>
          <w:lang w:val="en-US"/>
        </w:rPr>
        <w:t xml:space="preserve">Accord </w:t>
      </w:r>
      <w:r>
        <w:rPr>
          <w:lang w:val="en-US"/>
        </w:rPr>
        <w:t>GFMA at p.7.</w:t>
      </w:r>
    </w:p>
  </w:footnote>
  <w:footnote w:id="20">
    <w:p w:rsidR="00C64951" w:rsidRPr="00D8568C" w:rsidRDefault="00C64951" w:rsidP="006D0D4E">
      <w:pPr>
        <w:pStyle w:val="FootnoteText"/>
        <w:rPr>
          <w:lang w:val="en-US"/>
        </w:rPr>
      </w:pPr>
      <w:r>
        <w:rPr>
          <w:rStyle w:val="FootnoteReference"/>
        </w:rPr>
        <w:footnoteRef/>
      </w:r>
      <w:r>
        <w:t xml:space="preserve"> </w:t>
      </w:r>
      <w:r w:rsidRPr="00857C1C">
        <w:rPr>
          <w:u w:val="single"/>
          <w:lang w:val="en-US"/>
        </w:rPr>
        <w:t>Id</w:t>
      </w:r>
      <w:r>
        <w:rPr>
          <w:lang w:val="en-US"/>
        </w:rPr>
        <w:t>.</w:t>
      </w:r>
    </w:p>
  </w:footnote>
  <w:footnote w:id="21">
    <w:p w:rsidR="00C64951" w:rsidRPr="002A49F9" w:rsidRDefault="00C64951" w:rsidP="003A65FB">
      <w:pPr>
        <w:pStyle w:val="FootnoteText"/>
        <w:ind w:left="0" w:firstLine="0"/>
        <w:rPr>
          <w:szCs w:val="16"/>
          <w:lang w:val="en-US"/>
        </w:rPr>
      </w:pPr>
      <w:r>
        <w:rPr>
          <w:rStyle w:val="FootnoteReference"/>
        </w:rPr>
        <w:footnoteRef/>
      </w:r>
      <w:r>
        <w:t xml:space="preserve"> FSA Paper </w:t>
      </w:r>
      <w:r>
        <w:rPr>
          <w:u w:val="single"/>
          <w:lang w:val="en-US"/>
        </w:rPr>
        <w:t>s</w:t>
      </w:r>
      <w:r w:rsidRPr="00857C1C">
        <w:rPr>
          <w:u w:val="single"/>
          <w:lang w:val="en-US"/>
        </w:rPr>
        <w:t>upra</w:t>
      </w:r>
      <w:r>
        <w:rPr>
          <w:lang w:val="en-US"/>
        </w:rPr>
        <w:t xml:space="preserve"> n.5 at p.12.  </w:t>
      </w:r>
      <w:r w:rsidRPr="00857C1C">
        <w:rPr>
          <w:u w:val="single"/>
          <w:lang w:val="en-US"/>
        </w:rPr>
        <w:t>See</w:t>
      </w:r>
      <w:r>
        <w:rPr>
          <w:lang w:val="en-US"/>
        </w:rPr>
        <w:t xml:space="preserve"> Response of Barclays to the European Commission Consultation on the Regulation of Indices at pp.12-13 (hereinafter “Barclays”; Nov. 30, 2012); London Stock Exchange Group to the Commission Consultation on the Regulation of </w:t>
      </w:r>
      <w:r w:rsidRPr="002A49F9">
        <w:rPr>
          <w:szCs w:val="16"/>
          <w:lang w:val="en-US"/>
        </w:rPr>
        <w:t>Indices at pp. 3-4, 17 (hereinafter, “LSEG”, Nov. 29, 2012).</w:t>
      </w:r>
    </w:p>
  </w:footnote>
  <w:footnote w:id="22">
    <w:p w:rsidR="00C64951" w:rsidRPr="00525550" w:rsidRDefault="00C64951" w:rsidP="003E580C">
      <w:pPr>
        <w:pStyle w:val="FootnoteText"/>
        <w:ind w:left="0" w:firstLine="0"/>
        <w:rPr>
          <w:lang w:val="en-US"/>
        </w:rPr>
      </w:pPr>
      <w:r>
        <w:rPr>
          <w:rStyle w:val="FootnoteReference"/>
        </w:rPr>
        <w:footnoteRef/>
      </w:r>
      <w:r>
        <w:t xml:space="preserve"> </w:t>
      </w:r>
      <w:r>
        <w:rPr>
          <w:u w:val="single"/>
          <w:lang w:val="en-US"/>
        </w:rPr>
        <w:t>See, e.g.,</w:t>
      </w:r>
      <w:r>
        <w:rPr>
          <w:lang w:val="en-US"/>
        </w:rPr>
        <w:t xml:space="preserve"> 2002 ISDA Equity Derivatives Definitions (containing provisions that mitigate Index Modifications, Index Cancellations as well as adjustments to exchange traded products); ISDA Credit Support Annex at para. 13(h) (1992 Bilateral Form, NY Law; providing for alternate interest rates on collateral).</w:t>
      </w:r>
    </w:p>
  </w:footnote>
  <w:footnote w:id="23">
    <w:p w:rsidR="00C64951" w:rsidRPr="005E388C" w:rsidRDefault="00C64951" w:rsidP="003E580C">
      <w:pPr>
        <w:pStyle w:val="FootnoteText"/>
        <w:ind w:left="0" w:firstLine="0"/>
        <w:rPr>
          <w:lang w:val="en-US"/>
        </w:rPr>
      </w:pPr>
      <w:r>
        <w:rPr>
          <w:rStyle w:val="FootnoteReference"/>
        </w:rPr>
        <w:footnoteRef/>
      </w:r>
      <w:r>
        <w:t xml:space="preserve"> </w:t>
      </w:r>
      <w:r>
        <w:rPr>
          <w:u w:val="single"/>
          <w:lang w:val="en-US"/>
        </w:rPr>
        <w:t>Id</w:t>
      </w:r>
      <w:r>
        <w:rPr>
          <w:lang w:val="en-US"/>
        </w:rPr>
        <w:t>.</w:t>
      </w:r>
    </w:p>
  </w:footnote>
  <w:footnote w:id="24">
    <w:p w:rsidR="00C64951" w:rsidRPr="007244FF" w:rsidRDefault="00C64951" w:rsidP="0006297A">
      <w:pPr>
        <w:pStyle w:val="17-FootnoteCopy"/>
        <w:rPr>
          <w:color w:val="5F6062"/>
        </w:rPr>
      </w:pPr>
      <w:r w:rsidRPr="00C65602">
        <w:rPr>
          <w:rStyle w:val="FootnoteReference"/>
          <w:color w:val="5F6062"/>
          <w:szCs w:val="16"/>
        </w:rPr>
        <w:footnoteRef/>
      </w:r>
      <w:r w:rsidRPr="00C65602">
        <w:rPr>
          <w:color w:val="5F6062"/>
        </w:rPr>
        <w:t xml:space="preserve">U.S. Equity Indexes: Institutional </w:t>
      </w:r>
      <w:r w:rsidRPr="00045684">
        <w:rPr>
          <w:color w:val="5F6062"/>
        </w:rPr>
        <w:t>Benchmark</w:t>
      </w:r>
      <w:r w:rsidRPr="00C65602">
        <w:rPr>
          <w:color w:val="5F6062"/>
        </w:rPr>
        <w:t xml:space="preserve"> Survey, December </w:t>
      </w:r>
      <w:r w:rsidRPr="007244FF">
        <w:rPr>
          <w:color w:val="5F6062"/>
        </w:rPr>
        <w:t>2011</w:t>
      </w:r>
      <w:r>
        <w:rPr>
          <w:color w:val="5F6062"/>
        </w:rPr>
        <w:t>.</w:t>
      </w:r>
    </w:p>
  </w:footnote>
  <w:footnote w:id="25">
    <w:p w:rsidR="00C64951" w:rsidRDefault="00C64951" w:rsidP="0006297A">
      <w:pPr>
        <w:pStyle w:val="FootnoteText"/>
      </w:pPr>
      <w:r>
        <w:rPr>
          <w:rStyle w:val="FootnoteReference"/>
        </w:rPr>
        <w:footnoteRef/>
      </w:r>
      <w:r>
        <w:t xml:space="preserve"> Please refer the financial crisis rule found on pages 30-31 which details the circumstances by which a country can be reclassified or removed from the Russell Global Index and Russell Frontier Index outside of Russell’s standard market review process.</w:t>
      </w:r>
    </w:p>
  </w:footnote>
  <w:footnote w:id="26">
    <w:p w:rsidR="00C64951" w:rsidRDefault="00C64951" w:rsidP="0006297A">
      <w:r>
        <w:rPr>
          <w:rStyle w:val="FootnoteReference"/>
        </w:rPr>
        <w:footnoteRef/>
      </w:r>
      <w:r>
        <w:t xml:space="preserve"> </w:t>
      </w:r>
      <w:r w:rsidRPr="001565C4">
        <w:rPr>
          <w:rFonts w:ascii="Arial" w:hAnsi="Arial" w:cs="Arial"/>
          <w:color w:val="5F5F61"/>
          <w:sz w:val="14"/>
          <w:szCs w:val="14"/>
        </w:rPr>
        <w:t xml:space="preserve">When referred, </w:t>
      </w:r>
      <w:r w:rsidRPr="001565C4">
        <w:rPr>
          <w:rFonts w:ascii="Arial" w:hAnsi="Arial" w:cs="Arial"/>
          <w:b/>
          <w:color w:val="5F5F61"/>
          <w:sz w:val="14"/>
          <w:szCs w:val="14"/>
        </w:rPr>
        <w:t xml:space="preserve">two </w:t>
      </w:r>
      <w:r>
        <w:rPr>
          <w:rFonts w:ascii="Arial" w:hAnsi="Arial" w:cs="Arial"/>
          <w:b/>
          <w:color w:val="5F5F61"/>
          <w:sz w:val="14"/>
          <w:szCs w:val="14"/>
        </w:rPr>
        <w:t xml:space="preserve">full </w:t>
      </w:r>
      <w:r w:rsidRPr="001565C4">
        <w:rPr>
          <w:rFonts w:ascii="Arial" w:hAnsi="Arial" w:cs="Arial"/>
          <w:b/>
          <w:color w:val="5F5F61"/>
          <w:sz w:val="14"/>
          <w:szCs w:val="14"/>
        </w:rPr>
        <w:t>days’ notice</w:t>
      </w:r>
      <w:r w:rsidRPr="00157E69">
        <w:rPr>
          <w:rFonts w:ascii="Arial" w:hAnsi="Arial" w:cs="Arial"/>
          <w:color w:val="5F5F61"/>
          <w:sz w:val="14"/>
          <w:szCs w:val="14"/>
        </w:rPr>
        <w:t xml:space="preserve"> can be regarded as: Notification coming from Russell through the daily cumulative change files </w:t>
      </w:r>
      <w:r w:rsidRPr="001565C4">
        <w:rPr>
          <w:rFonts w:ascii="Arial" w:hAnsi="Arial" w:cs="Arial"/>
          <w:b/>
          <w:color w:val="5F5F61"/>
          <w:sz w:val="14"/>
          <w:szCs w:val="14"/>
        </w:rPr>
        <w:t>no later than the last change file three business days before the Russell effective date</w:t>
      </w:r>
      <w:r w:rsidRPr="00157E69">
        <w:rPr>
          <w:rFonts w:ascii="Arial" w:hAnsi="Arial" w:cs="Arial"/>
          <w:color w:val="5F5F61"/>
          <w:sz w:val="14"/>
          <w:szCs w:val="14"/>
        </w:rPr>
        <w:t>. For example; if an action was to be applied by Russell on a Monday, Russell would give notification of the change no later than the last daily cumulative change file on the previous Wednesday.</w:t>
      </w:r>
    </w:p>
  </w:footnote>
  <w:footnote w:id="27">
    <w:p w:rsidR="00C64951" w:rsidRDefault="00C64951" w:rsidP="0006297A">
      <w:pPr>
        <w:pStyle w:val="17-FootnoteCopy"/>
      </w:pPr>
      <w:r w:rsidRPr="00990371">
        <w:rPr>
          <w:rStyle w:val="FootnoteReference"/>
          <w:rFonts w:cs="Arial"/>
          <w:color w:val="5F6062"/>
          <w:sz w:val="16"/>
          <w:szCs w:val="16"/>
        </w:rPr>
        <w:footnoteRef/>
      </w:r>
      <w:r w:rsidRPr="00990371">
        <w:rPr>
          <w:rFonts w:cs="Arial"/>
          <w:color w:val="5F6062"/>
          <w:sz w:val="16"/>
          <w:szCs w:val="16"/>
        </w:rPr>
        <w:t xml:space="preserve"> The sector scheme used in the construction of the Russell Equal Weight Indexes is the Russell Global Sectors (RGS) classification system, which has nine sectors: Consumer Discretionary, Consumer Staples, Energy, Financial Services, Health Care, Materials &amp; Processing, Producer Durables, Technology and Utilities</w:t>
      </w:r>
      <w:r w:rsidRPr="00990371">
        <w:rPr>
          <w:rFonts w:cs="Arial"/>
          <w:b/>
          <w:color w:val="5F6062"/>
          <w:sz w:val="16"/>
          <w:szCs w:val="16"/>
        </w:rPr>
        <w:t xml:space="preserve"> </w:t>
      </w:r>
    </w:p>
  </w:footnote>
  <w:footnote w:id="28">
    <w:p w:rsidR="00C64951" w:rsidRDefault="00C64951" w:rsidP="0006297A">
      <w:pPr>
        <w:pStyle w:val="FootnoteText"/>
      </w:pPr>
      <w:r w:rsidRPr="00990371">
        <w:rPr>
          <w:rStyle w:val="FootnoteReference"/>
          <w:rFonts w:ascii="Arial" w:hAnsi="Arial" w:cs="Arial"/>
          <w:szCs w:val="16"/>
        </w:rPr>
        <w:footnoteRef/>
      </w:r>
      <w:r w:rsidRPr="00990371">
        <w:rPr>
          <w:rFonts w:ascii="Arial" w:hAnsi="Arial" w:cs="Arial"/>
          <w:szCs w:val="16"/>
        </w:rPr>
        <w:t xml:space="preserve"> </w:t>
      </w:r>
      <w:r w:rsidRPr="00990371">
        <w:rPr>
          <w:rFonts w:ascii="Arial" w:hAnsi="Arial" w:cs="Arial"/>
          <w:color w:val="5F6062"/>
          <w:szCs w:val="16"/>
        </w:rPr>
        <w:t>After securities’ weights are reset, they may change as often as daily as stock prices fluctuate.</w:t>
      </w:r>
    </w:p>
  </w:footnote>
  <w:footnote w:id="29">
    <w:p w:rsidR="00C64951" w:rsidRDefault="00C64951" w:rsidP="0006297A">
      <w:pPr>
        <w:pStyle w:val="FootnoteText"/>
      </w:pPr>
      <w:r w:rsidRPr="007D7F69">
        <w:rPr>
          <w:rFonts w:ascii="Arial" w:hAnsi="Arial" w:cs="Arial"/>
          <w:color w:val="5F6062"/>
          <w:szCs w:val="16"/>
          <w:vertAlign w:val="superscript"/>
        </w:rPr>
        <w:footnoteRef/>
      </w:r>
      <w:r w:rsidRPr="007D7F69">
        <w:rPr>
          <w:rFonts w:ascii="Arial" w:hAnsi="Arial" w:cs="Arial"/>
          <w:color w:val="5F6062"/>
          <w:szCs w:val="16"/>
        </w:rPr>
        <w:t xml:space="preserve"> Securities with larger weights will impact the market value-weighted mean and deviate only moderately from that mean. A market value-weighted standard deviation would give large weights to large capitalization stocks and produce very small standard deviations and very large Z-scores. Using an equal weighted standard deviation in the Z-score calculation reduces the impact of large cap stocks on the standardization process and results in greater normality of the Z-scores.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EE23D1" w:rsidRDefault="00962308" w:rsidP="006A7BF3">
    <w:pPr>
      <w:pStyle w:val="Header"/>
      <w:tabs>
        <w:tab w:val="clear" w:pos="7200"/>
        <w:tab w:val="left" w:pos="5400"/>
        <w:tab w:val="left" w:pos="6120"/>
        <w:tab w:val="left" w:pos="7650"/>
      </w:tabs>
      <w:spacing w:before="0" w:line="180" w:lineRule="exact"/>
      <w:ind w:left="3060"/>
      <w:rPr>
        <w:b w:val="0"/>
      </w:rPr>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0.2pt;margin-top:36.75pt;width:104.4pt;height:26.5pt;z-index:251631616;mso-position-horizontal-relative:page;mso-position-vertical-relative:page">
          <v:imagedata r:id="rId1" o:title="RusLogoBlk_onepointfour"/>
          <w10:wrap anchorx="page" anchory="page"/>
          <w10:anchorlock/>
        </v:shape>
      </w:pict>
    </w:r>
    <w:r w:rsidR="00C64951">
      <w:rPr>
        <w:b w:val="0"/>
      </w:rPr>
      <w:t>1301 Second Avenue</w:t>
    </w:r>
    <w:r w:rsidR="00C64951" w:rsidRPr="00EE23D1">
      <w:rPr>
        <w:b w:val="0"/>
      </w:rPr>
      <w:tab/>
    </w:r>
    <w:r w:rsidR="00C64951" w:rsidRPr="00EE23D1">
      <w:t>tel</w:t>
    </w:r>
    <w:r w:rsidR="00C64951" w:rsidRPr="00EE23D1">
      <w:rPr>
        <w:b w:val="0"/>
      </w:rPr>
      <w:tab/>
    </w:r>
    <w:r w:rsidR="00C64951">
      <w:rPr>
        <w:b w:val="0"/>
      </w:rPr>
      <w:t>206-505-7877</w:t>
    </w:r>
    <w:r w:rsidR="00C64951" w:rsidRPr="00EE23D1">
      <w:rPr>
        <w:b w:val="0"/>
      </w:rPr>
      <w:tab/>
    </w:r>
    <w:r w:rsidR="00C64951" w:rsidRPr="00977D20">
      <w:t>www.russell.com</w:t>
    </w:r>
  </w:p>
  <w:p w:rsidR="00C64951" w:rsidRPr="00EE23D1" w:rsidRDefault="00C64951" w:rsidP="006A7BF3">
    <w:pPr>
      <w:pStyle w:val="Header"/>
      <w:tabs>
        <w:tab w:val="clear" w:pos="7200"/>
        <w:tab w:val="left" w:pos="5400"/>
        <w:tab w:val="left" w:pos="6120"/>
        <w:tab w:val="left" w:pos="7650"/>
      </w:tabs>
      <w:spacing w:before="0" w:line="180" w:lineRule="exact"/>
      <w:ind w:left="3060"/>
      <w:rPr>
        <w:b w:val="0"/>
      </w:rPr>
    </w:pPr>
    <w:r>
      <w:rPr>
        <w:b w:val="0"/>
      </w:rPr>
      <w:t>Seattle, WA 98101</w:t>
    </w:r>
    <w:r w:rsidRPr="00EE23D1">
      <w:rPr>
        <w:b w:val="0"/>
      </w:rPr>
      <w:tab/>
    </w:r>
    <w:r w:rsidRPr="00EE23D1">
      <w:t>fax</w:t>
    </w:r>
    <w:r w:rsidRPr="00EE23D1">
      <w:rPr>
        <w:b w:val="0"/>
      </w:rPr>
      <w:tab/>
    </w:r>
    <w:r>
      <w:rPr>
        <w:b w:val="0"/>
      </w:rPr>
      <w:t>206-505-3495</w:t>
    </w:r>
  </w:p>
  <w:p w:rsidR="00C64951" w:rsidRPr="006A7BF3" w:rsidRDefault="00C64951" w:rsidP="006A7BF3">
    <w:pPr>
      <w:pStyle w:val="Header"/>
      <w:tabs>
        <w:tab w:val="clear" w:pos="7200"/>
        <w:tab w:val="left" w:pos="5400"/>
        <w:tab w:val="left" w:pos="6120"/>
        <w:tab w:val="left" w:pos="7650"/>
      </w:tabs>
      <w:spacing w:before="0" w:line="180" w:lineRule="exact"/>
      <w:ind w:left="3060"/>
      <w:rPr>
        <w:b w:val="0"/>
      </w:rPr>
    </w:pPr>
    <w:r w:rsidRPr="00EE23D1">
      <w:rPr>
        <w:b w:val="0"/>
      </w:rPr>
      <w:tab/>
    </w:r>
    <w:r w:rsidRPr="00EE23D1">
      <w:t>toll-free</w:t>
    </w:r>
    <w:r w:rsidRPr="00EE23D1">
      <w:rPr>
        <w:b w:val="0"/>
      </w:rPr>
      <w:tab/>
      <w:t>8</w:t>
    </w:r>
    <w:r>
      <w:rPr>
        <w:b w:val="0"/>
      </w:rPr>
      <w:t>00-426-7969</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tabs>
        <w:tab w:val="center" w:pos="4680"/>
        <w:tab w:val="right" w:pos="9360"/>
      </w:tabs>
      <w:spacing w:before="1220"/>
    </w:pPr>
    <w:r w:rsidRPr="009623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2087" type="#_x0000_t75" style="position:absolute;margin-left:341.3pt;margin-top:36pt;width:247.2pt;height:27.85pt;z-index:251669504;visibility:visible;mso-position-horizontal-relative:page;mso-position-vertical-relative:page">
          <v:imagedata r:id="rId1" o:title=""/>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4" type="#_x0000_t75" style="position:absolute;margin-left:341.3pt;margin-top:36pt;width:246.75pt;height:27.75pt;z-index:251645952;visibility:visible;mso-position-horizontal-relative:page;mso-position-vertical-relative:page">
          <v:imagedata r:id="rId1" o:title=""/>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2071" type="#_x0000_t75" style="position:absolute;margin-left:341.3pt;margin-top:36pt;width:246.75pt;height:27.75pt;z-index:251653120;visibility:visible;mso-position-horizontal-relative:page;mso-position-vertical-relative:page">
          <v:imagedata r:id="rId1" o:title=""/>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2082" type="#_x0000_t75" style="position:absolute;margin-left:341.3pt;margin-top:36pt;width:246.75pt;height:27.75pt;z-index:251664384;visibility:visible;mso-position-horizontal-relative:page;mso-position-vertical-relative:page">
          <v:imagedata r:id="rId1"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164C0A" w:rsidRDefault="00C64951" w:rsidP="00164C0A">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862E54" w:rsidRDefault="00962308" w:rsidP="00676CED">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353.3pt;margin-top:48pt;width:246.75pt;height:27.75pt;z-index:251676672;visibility:visible;mso-position-horizontal-relative:page;mso-position-vertical-relative:page">
          <v:imagedata r:id="rId1" o:title=""/>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Pr="00862E54" w:rsidRDefault="00962308" w:rsidP="00676CED">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alt="cover footer copy" style="position:absolute;margin-left:333.75pt;margin-top:44.25pt;width:247.2pt;height:27.75pt;z-index:251677696;visibility:visible;mso-position-horizontal-relative:page;mso-position-vertical-relative:page">
          <v:imagedata r:id="rId1" o:title="cover footer copy"/>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590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63" type="#_x0000_t75" alt="cover footer copy" style="position:absolute;margin-left:341.3pt;margin-top:36pt;width:247.2pt;height:27.85pt;z-index:251644928;visibility:visible;mso-position-horizontal-relative:page;mso-position-vertical-relative:page">
          <v:imagedata r:id="rId1" o:title="cover footer copy"/>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962308" w:rsidP="00676CED">
    <w:pPr>
      <w:pStyle w:val="Header"/>
      <w:spacing w:before="1220"/>
    </w:pPr>
    <w:r w:rsidRPr="00962308">
      <w:rPr>
        <w:b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8" type="#_x0000_t75" alt="cover footer copy" style="position:absolute;margin-left:341.3pt;margin-top:36pt;width:247.2pt;height:27.85pt;z-index:251639808;visibility:visible;mso-position-horizontal-relative:page;mso-position-vertical-relative:page">
          <v:imagedata r:id="rId1" o:title="cover footer copy"/>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51" w:rsidRDefault="00C64951" w:rsidP="00676CED">
    <w:pPr>
      <w:pStyle w:val="Header"/>
      <w:spacing w:before="12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4763DD4"/>
    <w:lvl w:ilvl="0">
      <w:start w:val="1"/>
      <w:numFmt w:val="lowerRoman"/>
      <w:pStyle w:val="ListNumber4"/>
      <w:lvlText w:val="%1."/>
      <w:lvlJc w:val="right"/>
      <w:pPr>
        <w:tabs>
          <w:tab w:val="num" w:pos="1427"/>
        </w:tabs>
        <w:ind w:left="1427" w:hanging="180"/>
      </w:pPr>
      <w:rPr>
        <w:rFonts w:hint="default"/>
        <w:caps w:val="0"/>
        <w:sz w:val="20"/>
        <w:szCs w:val="20"/>
      </w:rPr>
    </w:lvl>
  </w:abstractNum>
  <w:abstractNum w:abstractNumId="1">
    <w:nsid w:val="FFFFFF7F"/>
    <w:multiLevelType w:val="singleLevel"/>
    <w:tmpl w:val="5FDAAD66"/>
    <w:lvl w:ilvl="0">
      <w:start w:val="1"/>
      <w:numFmt w:val="decimal"/>
      <w:pStyle w:val="ListNumber2"/>
      <w:lvlText w:val="%1."/>
      <w:lvlJc w:val="left"/>
      <w:pPr>
        <w:tabs>
          <w:tab w:val="num" w:pos="720"/>
        </w:tabs>
        <w:ind w:left="720" w:hanging="360"/>
      </w:pPr>
    </w:lvl>
  </w:abstractNum>
  <w:abstractNum w:abstractNumId="2">
    <w:nsid w:val="FFFFFF82"/>
    <w:multiLevelType w:val="singleLevel"/>
    <w:tmpl w:val="49B652CA"/>
    <w:lvl w:ilvl="0">
      <w:start w:val="1"/>
      <w:numFmt w:val="bullet"/>
      <w:pStyle w:val="ListBullet3"/>
      <w:lvlText w:val=""/>
      <w:lvlJc w:val="left"/>
      <w:pPr>
        <w:tabs>
          <w:tab w:val="num" w:pos="1080"/>
        </w:tabs>
        <w:ind w:left="1080" w:hanging="360"/>
      </w:pPr>
      <w:rPr>
        <w:rFonts w:ascii="Wingdings" w:hAnsi="Wingdings" w:hint="default"/>
        <w:sz w:val="12"/>
      </w:rPr>
    </w:lvl>
  </w:abstractNum>
  <w:abstractNum w:abstractNumId="3">
    <w:nsid w:val="005C2D90"/>
    <w:multiLevelType w:val="singleLevel"/>
    <w:tmpl w:val="24EEE50C"/>
    <w:lvl w:ilvl="0">
      <w:start w:val="39"/>
      <w:numFmt w:val="decimal"/>
      <w:lvlText w:val="%1."/>
      <w:lvlJc w:val="left"/>
      <w:pPr>
        <w:tabs>
          <w:tab w:val="num" w:pos="432"/>
        </w:tabs>
        <w:ind w:left="432" w:hanging="432"/>
      </w:pPr>
      <w:rPr>
        <w:b/>
        <w:bCs/>
        <w:i/>
        <w:iCs/>
        <w:snapToGrid/>
        <w:sz w:val="24"/>
        <w:szCs w:val="24"/>
      </w:rPr>
    </w:lvl>
  </w:abstractNum>
  <w:abstractNum w:abstractNumId="4">
    <w:nsid w:val="00864C88"/>
    <w:multiLevelType w:val="singleLevel"/>
    <w:tmpl w:val="A0DED548"/>
    <w:lvl w:ilvl="0">
      <w:start w:val="35"/>
      <w:numFmt w:val="decimal"/>
      <w:lvlText w:val="%1."/>
      <w:lvlJc w:val="left"/>
      <w:pPr>
        <w:tabs>
          <w:tab w:val="num" w:pos="792"/>
        </w:tabs>
        <w:ind w:left="792" w:hanging="432"/>
      </w:pPr>
      <w:rPr>
        <w:b/>
        <w:bCs/>
        <w:i w:val="0"/>
        <w:iCs/>
        <w:snapToGrid/>
        <w:sz w:val="24"/>
        <w:szCs w:val="24"/>
      </w:rPr>
    </w:lvl>
  </w:abstractNum>
  <w:abstractNum w:abstractNumId="5">
    <w:nsid w:val="01D4B553"/>
    <w:multiLevelType w:val="singleLevel"/>
    <w:tmpl w:val="B9DE14FC"/>
    <w:lvl w:ilvl="0">
      <w:start w:val="17"/>
      <w:numFmt w:val="decimal"/>
      <w:lvlText w:val="%1."/>
      <w:lvlJc w:val="left"/>
      <w:pPr>
        <w:tabs>
          <w:tab w:val="num" w:pos="864"/>
        </w:tabs>
        <w:ind w:left="864" w:hanging="432"/>
      </w:pPr>
      <w:rPr>
        <w:b/>
        <w:bCs/>
        <w:i w:val="0"/>
        <w:iCs/>
        <w:snapToGrid/>
        <w:sz w:val="24"/>
        <w:szCs w:val="24"/>
      </w:rPr>
    </w:lvl>
  </w:abstractNum>
  <w:abstractNum w:abstractNumId="6">
    <w:nsid w:val="020A6613"/>
    <w:multiLevelType w:val="hybridMultilevel"/>
    <w:tmpl w:val="E9642020"/>
    <w:lvl w:ilvl="0" w:tplc="C27EE766">
      <w:start w:val="1"/>
      <w:numFmt w:val="bullet"/>
      <w:pStyle w:val="RI09-95ptBullet2"/>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24DC36"/>
    <w:multiLevelType w:val="singleLevel"/>
    <w:tmpl w:val="7128A802"/>
    <w:lvl w:ilvl="0">
      <w:start w:val="7"/>
      <w:numFmt w:val="decimal"/>
      <w:lvlText w:val="%1."/>
      <w:lvlJc w:val="left"/>
      <w:pPr>
        <w:tabs>
          <w:tab w:val="num" w:pos="792"/>
        </w:tabs>
        <w:ind w:left="792" w:hanging="360"/>
      </w:pPr>
      <w:rPr>
        <w:b/>
        <w:bCs/>
        <w:i w:val="0"/>
        <w:iCs/>
        <w:snapToGrid/>
        <w:sz w:val="24"/>
        <w:szCs w:val="24"/>
      </w:rPr>
    </w:lvl>
  </w:abstractNum>
  <w:abstractNum w:abstractNumId="8">
    <w:nsid w:val="04DCB9E1"/>
    <w:multiLevelType w:val="singleLevel"/>
    <w:tmpl w:val="4590F9C2"/>
    <w:lvl w:ilvl="0">
      <w:start w:val="9"/>
      <w:numFmt w:val="decimal"/>
      <w:lvlText w:val="%1."/>
      <w:lvlJc w:val="left"/>
      <w:pPr>
        <w:tabs>
          <w:tab w:val="num" w:pos="720"/>
        </w:tabs>
        <w:ind w:left="720" w:hanging="360"/>
      </w:pPr>
      <w:rPr>
        <w:b/>
        <w:bCs/>
        <w:i w:val="0"/>
        <w:iCs/>
        <w:snapToGrid/>
        <w:sz w:val="24"/>
        <w:szCs w:val="24"/>
      </w:rPr>
    </w:lvl>
  </w:abstractNum>
  <w:abstractNum w:abstractNumId="9">
    <w:nsid w:val="0655FC77"/>
    <w:multiLevelType w:val="singleLevel"/>
    <w:tmpl w:val="C54A2DBC"/>
    <w:lvl w:ilvl="0">
      <w:start w:val="11"/>
      <w:numFmt w:val="decimal"/>
      <w:lvlText w:val="%1."/>
      <w:lvlJc w:val="left"/>
      <w:pPr>
        <w:tabs>
          <w:tab w:val="num" w:pos="864"/>
        </w:tabs>
        <w:ind w:left="864" w:hanging="432"/>
      </w:pPr>
      <w:rPr>
        <w:b/>
        <w:bCs/>
        <w:i w:val="0"/>
        <w:iCs/>
        <w:snapToGrid/>
        <w:sz w:val="24"/>
        <w:szCs w:val="24"/>
      </w:rPr>
    </w:lvl>
  </w:abstractNum>
  <w:abstractNum w:abstractNumId="10">
    <w:nsid w:val="07016E1F"/>
    <w:multiLevelType w:val="hybridMultilevel"/>
    <w:tmpl w:val="F3B8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114438"/>
    <w:multiLevelType w:val="singleLevel"/>
    <w:tmpl w:val="B7606226"/>
    <w:lvl w:ilvl="0">
      <w:start w:val="30"/>
      <w:numFmt w:val="decimal"/>
      <w:lvlText w:val="%1."/>
      <w:lvlJc w:val="left"/>
      <w:pPr>
        <w:tabs>
          <w:tab w:val="num" w:pos="792"/>
        </w:tabs>
        <w:ind w:left="792" w:hanging="432"/>
      </w:pPr>
      <w:rPr>
        <w:b/>
        <w:bCs/>
        <w:i w:val="0"/>
        <w:iCs/>
        <w:snapToGrid/>
        <w:sz w:val="24"/>
        <w:szCs w:val="24"/>
      </w:rPr>
    </w:lvl>
  </w:abstractNum>
  <w:abstractNum w:abstractNumId="12">
    <w:nsid w:val="07BCFF26"/>
    <w:multiLevelType w:val="singleLevel"/>
    <w:tmpl w:val="78FE1056"/>
    <w:lvl w:ilvl="0">
      <w:start w:val="25"/>
      <w:numFmt w:val="decimal"/>
      <w:lvlText w:val="%1."/>
      <w:lvlJc w:val="left"/>
      <w:pPr>
        <w:tabs>
          <w:tab w:val="num" w:pos="432"/>
        </w:tabs>
        <w:ind w:left="432" w:hanging="432"/>
      </w:pPr>
      <w:rPr>
        <w:b/>
        <w:bCs/>
        <w:i w:val="0"/>
        <w:iCs/>
        <w:snapToGrid/>
        <w:spacing w:val="-1"/>
        <w:sz w:val="24"/>
        <w:szCs w:val="24"/>
      </w:rPr>
    </w:lvl>
  </w:abstractNum>
  <w:abstractNum w:abstractNumId="13">
    <w:nsid w:val="07C1930C"/>
    <w:multiLevelType w:val="singleLevel"/>
    <w:tmpl w:val="262270B6"/>
    <w:lvl w:ilvl="0">
      <w:start w:val="19"/>
      <w:numFmt w:val="decimal"/>
      <w:lvlText w:val="%1."/>
      <w:lvlJc w:val="left"/>
      <w:pPr>
        <w:tabs>
          <w:tab w:val="num" w:pos="864"/>
        </w:tabs>
        <w:ind w:left="864" w:hanging="432"/>
      </w:pPr>
      <w:rPr>
        <w:b/>
        <w:bCs/>
        <w:i w:val="0"/>
        <w:iCs/>
        <w:snapToGrid/>
        <w:sz w:val="24"/>
        <w:szCs w:val="24"/>
      </w:rPr>
    </w:lvl>
  </w:abstractNum>
  <w:abstractNum w:abstractNumId="14">
    <w:nsid w:val="130E2295"/>
    <w:multiLevelType w:val="hybridMultilevel"/>
    <w:tmpl w:val="D4846BBA"/>
    <w:lvl w:ilvl="0" w:tplc="B86CAF36">
      <w:start w:val="1"/>
      <w:numFmt w:val="decimal"/>
      <w:lvlText w:val="%1."/>
      <w:lvlJc w:val="left"/>
      <w:pPr>
        <w:tabs>
          <w:tab w:val="num" w:pos="720"/>
        </w:tabs>
        <w:ind w:left="720" w:hanging="360"/>
      </w:pPr>
      <w:rPr>
        <w:rFonts w:cs="Times New Roman" w:hint="default"/>
        <w:sz w:val="19"/>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7A539A4"/>
    <w:multiLevelType w:val="hybridMultilevel"/>
    <w:tmpl w:val="8A34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E84A80"/>
    <w:multiLevelType w:val="multilevel"/>
    <w:tmpl w:val="D58279D6"/>
    <w:lvl w:ilvl="0">
      <w:start w:val="1"/>
      <w:numFmt w:val="lowerRoman"/>
      <w:lvlText w:val="%1."/>
      <w:lvlJc w:val="right"/>
      <w:pPr>
        <w:tabs>
          <w:tab w:val="num" w:pos="1440"/>
        </w:tabs>
        <w:ind w:left="1440" w:hanging="360"/>
      </w:pPr>
    </w:lvl>
    <w:lvl w:ilvl="1">
      <w:start w:val="1"/>
      <w:numFmt w:val="lowerLetter"/>
      <w:pStyle w:val="ListNumber3"/>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1F03007F"/>
    <w:multiLevelType w:val="multilevel"/>
    <w:tmpl w:val="0409001F"/>
    <w:name w:val="RussellBullet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nsid w:val="25BA1461"/>
    <w:multiLevelType w:val="hybridMultilevel"/>
    <w:tmpl w:val="83804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A886290"/>
    <w:multiLevelType w:val="hybridMultilevel"/>
    <w:tmpl w:val="EBA4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1E4D43"/>
    <w:multiLevelType w:val="singleLevel"/>
    <w:tmpl w:val="A9EAEC9C"/>
    <w:name w:val="RussellSubbullet"/>
    <w:lvl w:ilvl="0">
      <w:start w:val="1"/>
      <w:numFmt w:val="bullet"/>
      <w:pStyle w:val="ListBullet2"/>
      <w:lvlText w:val=""/>
      <w:lvlJc w:val="left"/>
      <w:pPr>
        <w:tabs>
          <w:tab w:val="num" w:pos="720"/>
        </w:tabs>
        <w:ind w:left="720" w:hanging="360"/>
      </w:pPr>
      <w:rPr>
        <w:rFonts w:ascii="Wingdings" w:hAnsi="Wingdings" w:cs="Wingdings" w:hint="default"/>
        <w:sz w:val="12"/>
        <w:szCs w:val="16"/>
      </w:rPr>
    </w:lvl>
  </w:abstractNum>
  <w:abstractNum w:abstractNumId="21">
    <w:nsid w:val="35233EF9"/>
    <w:multiLevelType w:val="hybridMultilevel"/>
    <w:tmpl w:val="155C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8C6EE8"/>
    <w:multiLevelType w:val="hybridMultilevel"/>
    <w:tmpl w:val="3942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076C7E"/>
    <w:multiLevelType w:val="hybridMultilevel"/>
    <w:tmpl w:val="CCCC689E"/>
    <w:lvl w:ilvl="0" w:tplc="A6CEAFDC">
      <w:start w:val="1"/>
      <w:numFmt w:val="decimal"/>
      <w:lvlText w:val="%1."/>
      <w:lvlJc w:val="left"/>
      <w:pPr>
        <w:tabs>
          <w:tab w:val="num" w:pos="720"/>
        </w:tabs>
        <w:ind w:left="720" w:hanging="360"/>
      </w:pPr>
      <w:rPr>
        <w:rFonts w:cs="Times New Roman" w:hint="default"/>
        <w:sz w:val="19"/>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CEA2920"/>
    <w:multiLevelType w:val="hybridMultilevel"/>
    <w:tmpl w:val="DDE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F0B9F"/>
    <w:multiLevelType w:val="hybridMultilevel"/>
    <w:tmpl w:val="F336E19A"/>
    <w:name w:val="Callout Template2"/>
    <w:lvl w:ilvl="0" w:tplc="25A0C9EA">
      <w:start w:val="1"/>
      <w:numFmt w:val="decimal"/>
      <w:suff w:val="space"/>
      <w:lvlText w:val="="/>
      <w:lvlJc w:val="left"/>
      <w:pPr>
        <w:tabs>
          <w:tab w:val="num" w:pos="720"/>
        </w:tabs>
        <w:ind w:left="200" w:hanging="200"/>
      </w:pPr>
      <w:rPr>
        <w:rFonts w:ascii="Webdings" w:hAnsi="Webdings"/>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3D45A7"/>
    <w:multiLevelType w:val="singleLevel"/>
    <w:tmpl w:val="572481D8"/>
    <w:name w:val="RussellNumList"/>
    <w:lvl w:ilvl="0">
      <w:start w:val="1"/>
      <w:numFmt w:val="decimal"/>
      <w:pStyle w:val="List"/>
      <w:lvlText w:val="%1."/>
      <w:lvlJc w:val="left"/>
      <w:pPr>
        <w:tabs>
          <w:tab w:val="num" w:pos="360"/>
        </w:tabs>
        <w:ind w:left="360" w:hanging="360"/>
      </w:pPr>
      <w:rPr>
        <w:rFonts w:hint="default"/>
      </w:rPr>
    </w:lvl>
  </w:abstractNum>
  <w:abstractNum w:abstractNumId="27">
    <w:nsid w:val="4C007272"/>
    <w:multiLevelType w:val="hybridMultilevel"/>
    <w:tmpl w:val="83A4BD60"/>
    <w:lvl w:ilvl="0" w:tplc="80F0E9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D17F93"/>
    <w:multiLevelType w:val="hybridMultilevel"/>
    <w:tmpl w:val="E2CE9D44"/>
    <w:lvl w:ilvl="0" w:tplc="A9E0A920">
      <w:start w:val="1"/>
      <w:numFmt w:val="bullet"/>
      <w:pStyle w:val="ListBullet"/>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A21396"/>
    <w:multiLevelType w:val="hybridMultilevel"/>
    <w:tmpl w:val="68D2D0F4"/>
    <w:lvl w:ilvl="0" w:tplc="B184948E">
      <w:start w:val="1"/>
      <w:numFmt w:val="lowerRoman"/>
      <w:lvlText w:val="(%1)"/>
      <w:lvlJc w:val="left"/>
      <w:pPr>
        <w:ind w:left="153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FD0F40"/>
    <w:multiLevelType w:val="hybridMultilevel"/>
    <w:tmpl w:val="8F7A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5D5D21"/>
    <w:multiLevelType w:val="hybridMultilevel"/>
    <w:tmpl w:val="2B90A67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05780F"/>
    <w:multiLevelType w:val="hybridMultilevel"/>
    <w:tmpl w:val="7408E8F8"/>
    <w:lvl w:ilvl="0" w:tplc="AB08CAF8">
      <w:start w:val="1"/>
      <w:numFmt w:val="decimal"/>
      <w:lvlText w:val="%1."/>
      <w:lvlJc w:val="left"/>
      <w:pPr>
        <w:tabs>
          <w:tab w:val="num" w:pos="720"/>
        </w:tabs>
        <w:ind w:left="720" w:hanging="360"/>
      </w:pPr>
      <w:rPr>
        <w:rFonts w:cs="Times New Roman" w:hint="default"/>
        <w:sz w:val="19"/>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DF04F23"/>
    <w:multiLevelType w:val="hybridMultilevel"/>
    <w:tmpl w:val="60BA1B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74A4185F"/>
    <w:multiLevelType w:val="hybridMultilevel"/>
    <w:tmpl w:val="54A832F8"/>
    <w:lvl w:ilvl="0" w:tplc="AB08CAF8">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080"/>
        </w:tabs>
        <w:ind w:left="108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95E5F35"/>
    <w:multiLevelType w:val="hybridMultilevel"/>
    <w:tmpl w:val="6AA6C68E"/>
    <w:lvl w:ilvl="0" w:tplc="04090001">
      <w:start w:val="1"/>
      <w:numFmt w:val="decimal"/>
      <w:lvlText w:val="%1."/>
      <w:lvlJc w:val="left"/>
      <w:pPr>
        <w:tabs>
          <w:tab w:val="num" w:pos="720"/>
        </w:tabs>
        <w:ind w:left="720" w:hanging="360"/>
      </w:pPr>
      <w:rPr>
        <w:rFonts w:cs="Times New Roman" w:hint="default"/>
        <w:sz w:val="19"/>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nsid w:val="7CBE4998"/>
    <w:multiLevelType w:val="hybridMultilevel"/>
    <w:tmpl w:val="027E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
  </w:num>
  <w:num w:numId="4">
    <w:abstractNumId w:val="0"/>
  </w:num>
  <w:num w:numId="5">
    <w:abstractNumId w:val="2"/>
  </w:num>
  <w:num w:numId="6">
    <w:abstractNumId w:val="28"/>
  </w:num>
  <w:num w:numId="7">
    <w:abstractNumId w:val="16"/>
  </w:num>
  <w:num w:numId="8">
    <w:abstractNumId w:val="33"/>
  </w:num>
  <w:num w:numId="9">
    <w:abstractNumId w:val="15"/>
  </w:num>
  <w:num w:numId="10">
    <w:abstractNumId w:val="29"/>
  </w:num>
  <w:num w:numId="11">
    <w:abstractNumId w:val="18"/>
  </w:num>
  <w:num w:numId="12">
    <w:abstractNumId w:val="7"/>
  </w:num>
  <w:num w:numId="13">
    <w:abstractNumId w:val="8"/>
  </w:num>
  <w:num w:numId="14">
    <w:abstractNumId w:val="9"/>
  </w:num>
  <w:num w:numId="15">
    <w:abstractNumId w:val="5"/>
  </w:num>
  <w:num w:numId="16">
    <w:abstractNumId w:val="13"/>
  </w:num>
  <w:num w:numId="17">
    <w:abstractNumId w:val="12"/>
  </w:num>
  <w:num w:numId="18">
    <w:abstractNumId w:val="11"/>
  </w:num>
  <w:num w:numId="19">
    <w:abstractNumId w:val="4"/>
  </w:num>
  <w:num w:numId="20">
    <w:abstractNumId w:val="3"/>
  </w:num>
  <w:num w:numId="21">
    <w:abstractNumId w:val="31"/>
  </w:num>
  <w:num w:numId="22">
    <w:abstractNumId w:val="24"/>
  </w:num>
  <w:num w:numId="23">
    <w:abstractNumId w:val="21"/>
  </w:num>
  <w:num w:numId="24">
    <w:abstractNumId w:val="10"/>
  </w:num>
  <w:num w:numId="25">
    <w:abstractNumId w:val="6"/>
  </w:num>
  <w:num w:numId="26">
    <w:abstractNumId w:val="32"/>
  </w:num>
  <w:num w:numId="27">
    <w:abstractNumId w:val="34"/>
  </w:num>
  <w:num w:numId="28">
    <w:abstractNumId w:val="35"/>
  </w:num>
  <w:num w:numId="29">
    <w:abstractNumId w:val="14"/>
  </w:num>
  <w:num w:numId="30">
    <w:abstractNumId w:val="27"/>
  </w:num>
  <w:num w:numId="31">
    <w:abstractNumId w:val="23"/>
  </w:num>
  <w:num w:numId="32">
    <w:abstractNumId w:val="19"/>
  </w:num>
  <w:num w:numId="33">
    <w:abstractNumId w:val="30"/>
  </w:num>
  <w:num w:numId="34">
    <w:abstractNumId w:val="22"/>
  </w:num>
  <w:num w:numId="35">
    <w:abstractNumId w:val="3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20"/>
  <w:noPunctuationKerning/>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suppressSpBfAfterPgBrk/>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77A"/>
    <w:rsid w:val="00015BD8"/>
    <w:rsid w:val="00016065"/>
    <w:rsid w:val="000303DC"/>
    <w:rsid w:val="00032F16"/>
    <w:rsid w:val="00034897"/>
    <w:rsid w:val="00035ACA"/>
    <w:rsid w:val="00042BCC"/>
    <w:rsid w:val="000457C5"/>
    <w:rsid w:val="00060600"/>
    <w:rsid w:val="000611AD"/>
    <w:rsid w:val="0006297A"/>
    <w:rsid w:val="000645B8"/>
    <w:rsid w:val="000660C6"/>
    <w:rsid w:val="00067FB1"/>
    <w:rsid w:val="0009080A"/>
    <w:rsid w:val="000A07DC"/>
    <w:rsid w:val="000A5942"/>
    <w:rsid w:val="000A6CD8"/>
    <w:rsid w:val="000B131F"/>
    <w:rsid w:val="000D62E7"/>
    <w:rsid w:val="000D6F31"/>
    <w:rsid w:val="000E15E8"/>
    <w:rsid w:val="000E7DCB"/>
    <w:rsid w:val="000F2E51"/>
    <w:rsid w:val="000F3EE9"/>
    <w:rsid w:val="0010105A"/>
    <w:rsid w:val="0010182C"/>
    <w:rsid w:val="00107A14"/>
    <w:rsid w:val="00117CA0"/>
    <w:rsid w:val="00134278"/>
    <w:rsid w:val="00135689"/>
    <w:rsid w:val="00142CC4"/>
    <w:rsid w:val="0014360E"/>
    <w:rsid w:val="001522F1"/>
    <w:rsid w:val="00161F65"/>
    <w:rsid w:val="00163D71"/>
    <w:rsid w:val="00164702"/>
    <w:rsid w:val="00164C0A"/>
    <w:rsid w:val="00171620"/>
    <w:rsid w:val="0017758C"/>
    <w:rsid w:val="0018018A"/>
    <w:rsid w:val="00181CE4"/>
    <w:rsid w:val="00187C5F"/>
    <w:rsid w:val="00187F7D"/>
    <w:rsid w:val="00192029"/>
    <w:rsid w:val="00196F4F"/>
    <w:rsid w:val="001A2C8C"/>
    <w:rsid w:val="001B53C9"/>
    <w:rsid w:val="001B76A8"/>
    <w:rsid w:val="001C2E12"/>
    <w:rsid w:val="00205461"/>
    <w:rsid w:val="00232EB4"/>
    <w:rsid w:val="002344D8"/>
    <w:rsid w:val="00236CC5"/>
    <w:rsid w:val="002417A7"/>
    <w:rsid w:val="00245655"/>
    <w:rsid w:val="0025340B"/>
    <w:rsid w:val="00260983"/>
    <w:rsid w:val="002751AC"/>
    <w:rsid w:val="00275F4E"/>
    <w:rsid w:val="00287C61"/>
    <w:rsid w:val="00292BCF"/>
    <w:rsid w:val="0029396F"/>
    <w:rsid w:val="0029491A"/>
    <w:rsid w:val="002969F7"/>
    <w:rsid w:val="002A49F9"/>
    <w:rsid w:val="002A4B54"/>
    <w:rsid w:val="002A633D"/>
    <w:rsid w:val="002A7ADC"/>
    <w:rsid w:val="002B4145"/>
    <w:rsid w:val="002C5C26"/>
    <w:rsid w:val="002E01A8"/>
    <w:rsid w:val="002E5E6F"/>
    <w:rsid w:val="0032233C"/>
    <w:rsid w:val="00331FEF"/>
    <w:rsid w:val="00332930"/>
    <w:rsid w:val="00337B4D"/>
    <w:rsid w:val="00342A99"/>
    <w:rsid w:val="0035188D"/>
    <w:rsid w:val="00353104"/>
    <w:rsid w:val="00355018"/>
    <w:rsid w:val="00361A77"/>
    <w:rsid w:val="00362572"/>
    <w:rsid w:val="00364D74"/>
    <w:rsid w:val="00375EB4"/>
    <w:rsid w:val="00376AC7"/>
    <w:rsid w:val="003971C9"/>
    <w:rsid w:val="003A0BDD"/>
    <w:rsid w:val="003A4EDA"/>
    <w:rsid w:val="003A65FB"/>
    <w:rsid w:val="003B22E6"/>
    <w:rsid w:val="003C692A"/>
    <w:rsid w:val="003D4378"/>
    <w:rsid w:val="003D522F"/>
    <w:rsid w:val="003E087F"/>
    <w:rsid w:val="003E3279"/>
    <w:rsid w:val="003E371F"/>
    <w:rsid w:val="003E3BFF"/>
    <w:rsid w:val="003E575B"/>
    <w:rsid w:val="003E580C"/>
    <w:rsid w:val="003F38DD"/>
    <w:rsid w:val="003F5AAC"/>
    <w:rsid w:val="003F5B34"/>
    <w:rsid w:val="003F776E"/>
    <w:rsid w:val="00404430"/>
    <w:rsid w:val="00406EF5"/>
    <w:rsid w:val="0041427C"/>
    <w:rsid w:val="00420459"/>
    <w:rsid w:val="00422145"/>
    <w:rsid w:val="0042277A"/>
    <w:rsid w:val="00433AEF"/>
    <w:rsid w:val="004425CE"/>
    <w:rsid w:val="004539C7"/>
    <w:rsid w:val="004542C1"/>
    <w:rsid w:val="00455FC0"/>
    <w:rsid w:val="00470A8C"/>
    <w:rsid w:val="00474515"/>
    <w:rsid w:val="004825DF"/>
    <w:rsid w:val="00482F27"/>
    <w:rsid w:val="004A6F41"/>
    <w:rsid w:val="004A7A82"/>
    <w:rsid w:val="004B07D7"/>
    <w:rsid w:val="004B297E"/>
    <w:rsid w:val="004C5838"/>
    <w:rsid w:val="004D34F7"/>
    <w:rsid w:val="004D421A"/>
    <w:rsid w:val="004D585B"/>
    <w:rsid w:val="004E2CBC"/>
    <w:rsid w:val="004F5ED1"/>
    <w:rsid w:val="00500592"/>
    <w:rsid w:val="00502F01"/>
    <w:rsid w:val="00503D9B"/>
    <w:rsid w:val="00503E5B"/>
    <w:rsid w:val="00520ACF"/>
    <w:rsid w:val="005220AE"/>
    <w:rsid w:val="00534D20"/>
    <w:rsid w:val="005424A4"/>
    <w:rsid w:val="005811EC"/>
    <w:rsid w:val="0058160D"/>
    <w:rsid w:val="00590429"/>
    <w:rsid w:val="00591DBF"/>
    <w:rsid w:val="00595F0A"/>
    <w:rsid w:val="005962FA"/>
    <w:rsid w:val="005A2E9F"/>
    <w:rsid w:val="005A765D"/>
    <w:rsid w:val="005B700A"/>
    <w:rsid w:val="005B7CED"/>
    <w:rsid w:val="005C0BBD"/>
    <w:rsid w:val="005C2EE0"/>
    <w:rsid w:val="005C3C9E"/>
    <w:rsid w:val="005D7D1B"/>
    <w:rsid w:val="005E3F04"/>
    <w:rsid w:val="005F4F3C"/>
    <w:rsid w:val="005F6E11"/>
    <w:rsid w:val="005F7923"/>
    <w:rsid w:val="00600870"/>
    <w:rsid w:val="00605E48"/>
    <w:rsid w:val="00617EF8"/>
    <w:rsid w:val="00632908"/>
    <w:rsid w:val="00656B63"/>
    <w:rsid w:val="00666563"/>
    <w:rsid w:val="00672903"/>
    <w:rsid w:val="00676CED"/>
    <w:rsid w:val="0068333C"/>
    <w:rsid w:val="00684129"/>
    <w:rsid w:val="00685B10"/>
    <w:rsid w:val="006A390E"/>
    <w:rsid w:val="006A7BF3"/>
    <w:rsid w:val="006B210B"/>
    <w:rsid w:val="006B5492"/>
    <w:rsid w:val="006D0D4E"/>
    <w:rsid w:val="006D5BC8"/>
    <w:rsid w:val="006D73FE"/>
    <w:rsid w:val="006E444F"/>
    <w:rsid w:val="006E4C04"/>
    <w:rsid w:val="006E5784"/>
    <w:rsid w:val="00702B0D"/>
    <w:rsid w:val="007044F1"/>
    <w:rsid w:val="00710395"/>
    <w:rsid w:val="007128A8"/>
    <w:rsid w:val="0071419C"/>
    <w:rsid w:val="00715EAD"/>
    <w:rsid w:val="007370CB"/>
    <w:rsid w:val="00740375"/>
    <w:rsid w:val="00746AEA"/>
    <w:rsid w:val="00795120"/>
    <w:rsid w:val="00795BE0"/>
    <w:rsid w:val="007B4A15"/>
    <w:rsid w:val="007C0BA8"/>
    <w:rsid w:val="007C2C76"/>
    <w:rsid w:val="007C5F94"/>
    <w:rsid w:val="007C717B"/>
    <w:rsid w:val="007E142A"/>
    <w:rsid w:val="007F1C3C"/>
    <w:rsid w:val="007F3588"/>
    <w:rsid w:val="007F5A61"/>
    <w:rsid w:val="0080181F"/>
    <w:rsid w:val="008056FB"/>
    <w:rsid w:val="008102AC"/>
    <w:rsid w:val="0081347C"/>
    <w:rsid w:val="008266DD"/>
    <w:rsid w:val="0083639C"/>
    <w:rsid w:val="00843310"/>
    <w:rsid w:val="00851998"/>
    <w:rsid w:val="00854B7B"/>
    <w:rsid w:val="008571A1"/>
    <w:rsid w:val="00863380"/>
    <w:rsid w:val="00866B61"/>
    <w:rsid w:val="008701CF"/>
    <w:rsid w:val="00883711"/>
    <w:rsid w:val="00887933"/>
    <w:rsid w:val="008932E6"/>
    <w:rsid w:val="00894421"/>
    <w:rsid w:val="00896869"/>
    <w:rsid w:val="008C13B1"/>
    <w:rsid w:val="008C6EAC"/>
    <w:rsid w:val="008D30CC"/>
    <w:rsid w:val="008D3271"/>
    <w:rsid w:val="008D79A6"/>
    <w:rsid w:val="008E7E6A"/>
    <w:rsid w:val="00904F34"/>
    <w:rsid w:val="00915C1A"/>
    <w:rsid w:val="0092511C"/>
    <w:rsid w:val="00933A19"/>
    <w:rsid w:val="00951F43"/>
    <w:rsid w:val="00962308"/>
    <w:rsid w:val="00963C93"/>
    <w:rsid w:val="00963FF2"/>
    <w:rsid w:val="009A13F2"/>
    <w:rsid w:val="009B111F"/>
    <w:rsid w:val="009E260C"/>
    <w:rsid w:val="009E2947"/>
    <w:rsid w:val="00A2312E"/>
    <w:rsid w:val="00A23F6B"/>
    <w:rsid w:val="00A32AAF"/>
    <w:rsid w:val="00A4424C"/>
    <w:rsid w:val="00A56042"/>
    <w:rsid w:val="00A61EE3"/>
    <w:rsid w:val="00A70CE3"/>
    <w:rsid w:val="00A74945"/>
    <w:rsid w:val="00A77E5F"/>
    <w:rsid w:val="00A80335"/>
    <w:rsid w:val="00A90FD1"/>
    <w:rsid w:val="00AB03C9"/>
    <w:rsid w:val="00AB221B"/>
    <w:rsid w:val="00AC4F1C"/>
    <w:rsid w:val="00AF3568"/>
    <w:rsid w:val="00AF5E25"/>
    <w:rsid w:val="00B004D8"/>
    <w:rsid w:val="00B0224A"/>
    <w:rsid w:val="00B0530A"/>
    <w:rsid w:val="00B35C8A"/>
    <w:rsid w:val="00B41528"/>
    <w:rsid w:val="00B4632F"/>
    <w:rsid w:val="00B74157"/>
    <w:rsid w:val="00B863BE"/>
    <w:rsid w:val="00BA712C"/>
    <w:rsid w:val="00BB626C"/>
    <w:rsid w:val="00BC2FE1"/>
    <w:rsid w:val="00BF7A0F"/>
    <w:rsid w:val="00C02326"/>
    <w:rsid w:val="00C04203"/>
    <w:rsid w:val="00C070DE"/>
    <w:rsid w:val="00C15669"/>
    <w:rsid w:val="00C31169"/>
    <w:rsid w:val="00C41DFD"/>
    <w:rsid w:val="00C42E39"/>
    <w:rsid w:val="00C54F16"/>
    <w:rsid w:val="00C55D0A"/>
    <w:rsid w:val="00C64951"/>
    <w:rsid w:val="00C70FBE"/>
    <w:rsid w:val="00C873E5"/>
    <w:rsid w:val="00CA137B"/>
    <w:rsid w:val="00CC6DB7"/>
    <w:rsid w:val="00CD0D01"/>
    <w:rsid w:val="00CD2E41"/>
    <w:rsid w:val="00CD32FA"/>
    <w:rsid w:val="00CD5544"/>
    <w:rsid w:val="00CD6E08"/>
    <w:rsid w:val="00D0063B"/>
    <w:rsid w:val="00D02486"/>
    <w:rsid w:val="00D02D5A"/>
    <w:rsid w:val="00D047A1"/>
    <w:rsid w:val="00D0663A"/>
    <w:rsid w:val="00D114E1"/>
    <w:rsid w:val="00D33797"/>
    <w:rsid w:val="00D4213E"/>
    <w:rsid w:val="00D428A3"/>
    <w:rsid w:val="00D61A15"/>
    <w:rsid w:val="00D63531"/>
    <w:rsid w:val="00D7584F"/>
    <w:rsid w:val="00D800C9"/>
    <w:rsid w:val="00D80FE7"/>
    <w:rsid w:val="00D823F9"/>
    <w:rsid w:val="00D86A26"/>
    <w:rsid w:val="00D87CC3"/>
    <w:rsid w:val="00D948D2"/>
    <w:rsid w:val="00DA4D26"/>
    <w:rsid w:val="00DA56C8"/>
    <w:rsid w:val="00DA7181"/>
    <w:rsid w:val="00DB561E"/>
    <w:rsid w:val="00DE688F"/>
    <w:rsid w:val="00DF3608"/>
    <w:rsid w:val="00DF7C9F"/>
    <w:rsid w:val="00E00F36"/>
    <w:rsid w:val="00E01FD4"/>
    <w:rsid w:val="00E14358"/>
    <w:rsid w:val="00E15357"/>
    <w:rsid w:val="00E315A4"/>
    <w:rsid w:val="00E374FA"/>
    <w:rsid w:val="00E444AB"/>
    <w:rsid w:val="00E548C9"/>
    <w:rsid w:val="00E61FE1"/>
    <w:rsid w:val="00E63118"/>
    <w:rsid w:val="00E7144A"/>
    <w:rsid w:val="00E93D27"/>
    <w:rsid w:val="00EA42AA"/>
    <w:rsid w:val="00EB5FCD"/>
    <w:rsid w:val="00EC46CB"/>
    <w:rsid w:val="00ED236E"/>
    <w:rsid w:val="00EE3F0D"/>
    <w:rsid w:val="00EF52C3"/>
    <w:rsid w:val="00F0554A"/>
    <w:rsid w:val="00F2015E"/>
    <w:rsid w:val="00F45380"/>
    <w:rsid w:val="00F47265"/>
    <w:rsid w:val="00F5669D"/>
    <w:rsid w:val="00F5791E"/>
    <w:rsid w:val="00F6573F"/>
    <w:rsid w:val="00FA08EA"/>
    <w:rsid w:val="00FA5194"/>
    <w:rsid w:val="00FD29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2097"/>
    <o:shapelayout v:ext="edit">
      <o:idmap v:ext="edit" data="1"/>
      <o:rules v:ext="edit">
        <o:r id="V:Rule1" type="arc" idref="#_x0000_s1102"/>
        <o:r id="V:Rule2" type="arc" idref="#_x0000_s1103"/>
        <o:r id="V:Rule3" type="arc" idref="#_x0000_s1104"/>
        <o:r id="V:Rule4" type="arc" idref="#_x0000_s1105"/>
        <o:r id="V:Rule5" type="arc" idref="#_x0000_s1074"/>
        <o:r id="V:Rule6" type="arc"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Bullet"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Table Contemporary"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ONormal"/>
    <w:qFormat/>
    <w:rsid w:val="00164C0A"/>
    <w:rPr>
      <w:sz w:val="22"/>
      <w:lang w:val="en-GB"/>
    </w:rPr>
  </w:style>
  <w:style w:type="paragraph" w:styleId="Heading1">
    <w:name w:val="heading 1"/>
    <w:next w:val="Normal"/>
    <w:link w:val="Heading1Char"/>
    <w:uiPriority w:val="9"/>
    <w:qFormat/>
    <w:rsid w:val="00DA7181"/>
    <w:pPr>
      <w:keepNext/>
      <w:keepLines/>
      <w:spacing w:before="240"/>
      <w:outlineLvl w:val="0"/>
    </w:pPr>
    <w:rPr>
      <w:rFonts w:ascii="Arial" w:hAnsi="Arial" w:cs="Arial"/>
      <w:b/>
      <w:spacing w:val="-5"/>
      <w:sz w:val="28"/>
      <w:szCs w:val="28"/>
    </w:rPr>
  </w:style>
  <w:style w:type="paragraph" w:styleId="Heading2">
    <w:name w:val="heading 2"/>
    <w:next w:val="Normal"/>
    <w:link w:val="Heading2Char"/>
    <w:uiPriority w:val="99"/>
    <w:qFormat/>
    <w:rsid w:val="00DA7181"/>
    <w:pPr>
      <w:keepNext/>
      <w:keepLines/>
      <w:spacing w:before="240"/>
      <w:outlineLvl w:val="1"/>
    </w:pPr>
    <w:rPr>
      <w:rFonts w:ascii="Arial" w:hAnsi="Arial" w:cs="Arial"/>
      <w:b/>
      <w:sz w:val="24"/>
      <w:szCs w:val="24"/>
    </w:rPr>
  </w:style>
  <w:style w:type="paragraph" w:styleId="Heading3">
    <w:name w:val="heading 3"/>
    <w:next w:val="Normal"/>
    <w:link w:val="Heading3Char"/>
    <w:uiPriority w:val="99"/>
    <w:qFormat/>
    <w:rsid w:val="00DA7181"/>
    <w:pPr>
      <w:keepNext/>
      <w:keepLines/>
      <w:spacing w:before="240"/>
      <w:outlineLvl w:val="2"/>
    </w:pPr>
    <w:rPr>
      <w:rFonts w:ascii="Arial" w:hAnsi="Arial" w:cs="Arial"/>
      <w:b/>
      <w:spacing w:val="-5"/>
      <w:sz w:val="21"/>
      <w:szCs w:val="21"/>
    </w:rPr>
  </w:style>
  <w:style w:type="paragraph" w:styleId="Heading4">
    <w:name w:val="heading 4"/>
    <w:next w:val="Normal"/>
    <w:link w:val="Heading4Char"/>
    <w:uiPriority w:val="99"/>
    <w:qFormat/>
    <w:rsid w:val="008266DD"/>
    <w:pPr>
      <w:spacing w:before="240"/>
      <w:outlineLvl w:val="3"/>
    </w:pPr>
    <w:rPr>
      <w:rFonts w:ascii="Arial" w:hAnsi="Arial" w:cs="Arial"/>
      <w:sz w:val="21"/>
      <w:szCs w:val="24"/>
    </w:rPr>
  </w:style>
  <w:style w:type="paragraph" w:styleId="Heading5">
    <w:name w:val="heading 5"/>
    <w:next w:val="Normal"/>
    <w:link w:val="Heading5Char"/>
    <w:uiPriority w:val="99"/>
    <w:qFormat/>
    <w:rsid w:val="008266DD"/>
    <w:pPr>
      <w:spacing w:before="240"/>
      <w:outlineLvl w:val="4"/>
    </w:pPr>
    <w:rPr>
      <w:rFonts w:ascii="Arial" w:hAnsi="Arial" w:cs="Arial"/>
      <w:i/>
      <w:spacing w:val="-5"/>
      <w:sz w:val="18"/>
      <w:szCs w:val="21"/>
    </w:rPr>
  </w:style>
  <w:style w:type="paragraph" w:styleId="Heading6">
    <w:name w:val="heading 6"/>
    <w:next w:val="Normal"/>
    <w:link w:val="Heading6Char"/>
    <w:uiPriority w:val="99"/>
    <w:qFormat/>
    <w:rsid w:val="008266DD"/>
    <w:pPr>
      <w:spacing w:before="240"/>
      <w:contextualSpacing/>
      <w:outlineLvl w:val="5"/>
    </w:pPr>
    <w:rPr>
      <w:rFonts w:ascii="Arial" w:hAnsi="Arial"/>
      <w:bCs/>
      <w:sz w:val="16"/>
      <w:szCs w:val="22"/>
    </w:rPr>
  </w:style>
  <w:style w:type="paragraph" w:styleId="Heading7">
    <w:name w:val="heading 7"/>
    <w:basedOn w:val="Heading8"/>
    <w:next w:val="Normal"/>
    <w:link w:val="Heading7Char"/>
    <w:uiPriority w:val="99"/>
    <w:qFormat/>
    <w:rsid w:val="0006297A"/>
    <w:pPr>
      <w:outlineLvl w:val="6"/>
    </w:pPr>
  </w:style>
  <w:style w:type="paragraph" w:styleId="Heading8">
    <w:name w:val="heading 8"/>
    <w:basedOn w:val="Normal"/>
    <w:next w:val="Normal"/>
    <w:link w:val="Heading8Char"/>
    <w:uiPriority w:val="99"/>
    <w:qFormat/>
    <w:rsid w:val="0006297A"/>
    <w:pPr>
      <w:ind w:left="1418"/>
      <w:jc w:val="right"/>
      <w:outlineLvl w:val="7"/>
    </w:pPr>
    <w:rPr>
      <w:rFonts w:ascii="Calibri" w:hAnsi="Calibr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164C0A"/>
    <w:pPr>
      <w:spacing w:line="260" w:lineRule="atLeast"/>
    </w:pPr>
    <w:rPr>
      <w:rFonts w:eastAsia="SimSun"/>
      <w:sz w:val="22"/>
      <w:szCs w:val="22"/>
      <w:lang w:val="en-GB"/>
    </w:rPr>
  </w:style>
  <w:style w:type="character" w:customStyle="1" w:styleId="AONormalChar">
    <w:name w:val="AONormal Char"/>
    <w:basedOn w:val="DefaultParagraphFont"/>
    <w:link w:val="AONormal"/>
    <w:rsid w:val="00164C0A"/>
    <w:rPr>
      <w:rFonts w:eastAsia="SimSun"/>
      <w:sz w:val="22"/>
      <w:szCs w:val="22"/>
      <w:lang w:val="en-GB" w:eastAsia="en-US" w:bidi="ar-SA"/>
    </w:rPr>
  </w:style>
  <w:style w:type="character" w:customStyle="1" w:styleId="Heading1Char">
    <w:name w:val="Heading 1 Char"/>
    <w:basedOn w:val="DefaultParagraphFont"/>
    <w:link w:val="Heading1"/>
    <w:uiPriority w:val="9"/>
    <w:rsid w:val="00DA7181"/>
    <w:rPr>
      <w:rFonts w:ascii="Arial" w:hAnsi="Arial" w:cs="Arial"/>
      <w:b/>
      <w:spacing w:val="-5"/>
      <w:sz w:val="28"/>
      <w:szCs w:val="28"/>
      <w:lang w:eastAsia="en-US" w:bidi="ar-SA"/>
    </w:rPr>
  </w:style>
  <w:style w:type="character" w:customStyle="1" w:styleId="Heading2Char">
    <w:name w:val="Heading 2 Char"/>
    <w:basedOn w:val="DefaultParagraphFont"/>
    <w:link w:val="Heading2"/>
    <w:uiPriority w:val="99"/>
    <w:rsid w:val="00DA7181"/>
    <w:rPr>
      <w:rFonts w:ascii="Arial" w:hAnsi="Arial" w:cs="Arial"/>
      <w:b/>
      <w:sz w:val="24"/>
      <w:szCs w:val="24"/>
      <w:lang w:eastAsia="en-US" w:bidi="ar-SA"/>
    </w:rPr>
  </w:style>
  <w:style w:type="character" w:customStyle="1" w:styleId="Heading3Char">
    <w:name w:val="Heading 3 Char"/>
    <w:basedOn w:val="Heading1Char"/>
    <w:link w:val="Heading3"/>
    <w:uiPriority w:val="99"/>
    <w:rsid w:val="00DA7181"/>
    <w:rPr>
      <w:sz w:val="21"/>
      <w:szCs w:val="21"/>
    </w:rPr>
  </w:style>
  <w:style w:type="character" w:customStyle="1" w:styleId="Heading4Char">
    <w:name w:val="Heading 4 Char"/>
    <w:basedOn w:val="DefaultParagraphFont"/>
    <w:link w:val="Heading4"/>
    <w:uiPriority w:val="99"/>
    <w:locked/>
    <w:rsid w:val="0006297A"/>
    <w:rPr>
      <w:rFonts w:ascii="Arial" w:hAnsi="Arial" w:cs="Arial"/>
      <w:sz w:val="21"/>
      <w:szCs w:val="24"/>
      <w:lang w:eastAsia="en-US" w:bidi="ar-SA"/>
    </w:rPr>
  </w:style>
  <w:style w:type="character" w:customStyle="1" w:styleId="Heading5Char">
    <w:name w:val="Heading 5 Char"/>
    <w:basedOn w:val="DefaultParagraphFont"/>
    <w:link w:val="Heading5"/>
    <w:uiPriority w:val="99"/>
    <w:rsid w:val="008266DD"/>
    <w:rPr>
      <w:rFonts w:ascii="Arial" w:hAnsi="Arial" w:cs="Arial"/>
      <w:i/>
      <w:spacing w:val="-5"/>
      <w:sz w:val="18"/>
      <w:szCs w:val="21"/>
      <w:lang w:eastAsia="en-US" w:bidi="ar-SA"/>
    </w:rPr>
  </w:style>
  <w:style w:type="character" w:customStyle="1" w:styleId="Heading6Char">
    <w:name w:val="Heading 6 Char"/>
    <w:basedOn w:val="DefaultParagraphFont"/>
    <w:link w:val="Heading6"/>
    <w:uiPriority w:val="99"/>
    <w:locked/>
    <w:rsid w:val="0006297A"/>
    <w:rPr>
      <w:rFonts w:ascii="Arial" w:hAnsi="Arial"/>
      <w:bCs/>
      <w:sz w:val="16"/>
      <w:szCs w:val="22"/>
      <w:lang w:eastAsia="en-US" w:bidi="ar-SA"/>
    </w:rPr>
  </w:style>
  <w:style w:type="character" w:customStyle="1" w:styleId="Heading8Char">
    <w:name w:val="Heading 8 Char"/>
    <w:basedOn w:val="DefaultParagraphFont"/>
    <w:link w:val="Heading8"/>
    <w:uiPriority w:val="99"/>
    <w:rsid w:val="0006297A"/>
    <w:rPr>
      <w:rFonts w:ascii="Calibri" w:hAnsi="Calibri"/>
      <w:sz w:val="22"/>
      <w:szCs w:val="22"/>
    </w:rPr>
  </w:style>
  <w:style w:type="character" w:customStyle="1" w:styleId="Heading7Char">
    <w:name w:val="Heading 7 Char"/>
    <w:basedOn w:val="DefaultParagraphFont"/>
    <w:link w:val="Heading7"/>
    <w:uiPriority w:val="99"/>
    <w:rsid w:val="0006297A"/>
    <w:rPr>
      <w:rFonts w:ascii="Calibri" w:hAnsi="Calibri"/>
      <w:sz w:val="22"/>
      <w:szCs w:val="22"/>
    </w:rPr>
  </w:style>
  <w:style w:type="paragraph" w:styleId="Footer">
    <w:name w:val="footer"/>
    <w:basedOn w:val="Header"/>
    <w:link w:val="FooterChar"/>
    <w:uiPriority w:val="99"/>
    <w:rsid w:val="00A56042"/>
    <w:pPr>
      <w:ind w:right="338"/>
      <w:jc w:val="right"/>
    </w:pPr>
    <w:rPr>
      <w:b w:val="0"/>
    </w:rPr>
  </w:style>
  <w:style w:type="paragraph" w:styleId="Header">
    <w:name w:val="header"/>
    <w:basedOn w:val="Normal"/>
    <w:link w:val="HeaderChar"/>
    <w:uiPriority w:val="99"/>
    <w:rsid w:val="00503E5B"/>
    <w:pPr>
      <w:tabs>
        <w:tab w:val="left" w:pos="7200"/>
      </w:tabs>
      <w:spacing w:before="240"/>
    </w:pPr>
    <w:rPr>
      <w:b/>
      <w:noProof/>
      <w:color w:val="808080"/>
      <w:sz w:val="16"/>
    </w:rPr>
  </w:style>
  <w:style w:type="character" w:customStyle="1" w:styleId="HeaderChar">
    <w:name w:val="Header Char"/>
    <w:basedOn w:val="DefaultParagraphFont"/>
    <w:link w:val="Header"/>
    <w:uiPriority w:val="99"/>
    <w:rsid w:val="00503E5B"/>
    <w:rPr>
      <w:rFonts w:ascii="Arial" w:hAnsi="Arial"/>
      <w:b/>
      <w:noProof/>
      <w:color w:val="808080"/>
      <w:sz w:val="16"/>
      <w:lang w:eastAsia="en-US" w:bidi="ar-SA"/>
    </w:rPr>
  </w:style>
  <w:style w:type="character" w:customStyle="1" w:styleId="FooterChar">
    <w:name w:val="Footer Char"/>
    <w:basedOn w:val="DefaultParagraphFont"/>
    <w:link w:val="Footer"/>
    <w:uiPriority w:val="99"/>
    <w:rsid w:val="00A56042"/>
    <w:rPr>
      <w:rFonts w:ascii="Arial" w:hAnsi="Arial"/>
      <w:noProof/>
      <w:color w:val="808080"/>
      <w:sz w:val="16"/>
    </w:rPr>
  </w:style>
  <w:style w:type="paragraph" w:customStyle="1" w:styleId="Indent1">
    <w:name w:val="Indent 1"/>
    <w:basedOn w:val="Normal"/>
    <w:rsid w:val="007F5A61"/>
    <w:pPr>
      <w:ind w:left="360"/>
    </w:pPr>
    <w:rPr>
      <w:lang w:val="en-US"/>
    </w:rPr>
  </w:style>
  <w:style w:type="paragraph" w:customStyle="1" w:styleId="Indent2">
    <w:name w:val="Indent 2"/>
    <w:basedOn w:val="Normal"/>
    <w:rsid w:val="007F5A61"/>
    <w:pPr>
      <w:ind w:left="720"/>
    </w:pPr>
    <w:rPr>
      <w:lang w:val="en-US"/>
    </w:rPr>
  </w:style>
  <w:style w:type="paragraph" w:styleId="List">
    <w:name w:val="List"/>
    <w:basedOn w:val="Normal"/>
    <w:rsid w:val="004C5838"/>
    <w:pPr>
      <w:numPr>
        <w:numId w:val="1"/>
      </w:numPr>
      <w:spacing w:before="60" w:after="60"/>
      <w:ind w:left="357" w:hanging="357"/>
    </w:pPr>
    <w:rPr>
      <w:lang w:val="en-US"/>
    </w:rPr>
  </w:style>
  <w:style w:type="paragraph" w:styleId="ListBullet">
    <w:name w:val="List Bullet"/>
    <w:basedOn w:val="Normal"/>
    <w:uiPriority w:val="99"/>
    <w:rsid w:val="004C5838"/>
    <w:pPr>
      <w:numPr>
        <w:numId w:val="6"/>
      </w:numPr>
      <w:spacing w:before="60" w:after="60"/>
      <w:ind w:left="357" w:hanging="357"/>
    </w:pPr>
  </w:style>
  <w:style w:type="paragraph" w:styleId="ListBullet2">
    <w:name w:val="List Bullet 2"/>
    <w:basedOn w:val="Normal"/>
    <w:rsid w:val="004C5838"/>
    <w:pPr>
      <w:numPr>
        <w:numId w:val="2"/>
      </w:numPr>
      <w:spacing w:before="60" w:after="60"/>
      <w:ind w:left="714" w:hanging="357"/>
      <w:contextualSpacing/>
    </w:pPr>
    <w:rPr>
      <w:lang w:val="en-US"/>
    </w:rPr>
  </w:style>
  <w:style w:type="paragraph" w:styleId="DocumentMap">
    <w:name w:val="Document Map"/>
    <w:basedOn w:val="Normal"/>
    <w:link w:val="DocumentMapChar"/>
    <w:uiPriority w:val="99"/>
    <w:semiHidden/>
    <w:rsid w:val="008C13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6297A"/>
    <w:rPr>
      <w:rFonts w:ascii="Tahoma" w:hAnsi="Tahoma" w:cs="Tahoma"/>
      <w:sz w:val="22"/>
      <w:shd w:val="clear" w:color="auto" w:fill="000080"/>
      <w:lang w:val="en-GB"/>
    </w:rPr>
  </w:style>
  <w:style w:type="paragraph" w:styleId="BalloonText">
    <w:name w:val="Balloon Text"/>
    <w:basedOn w:val="Normal"/>
    <w:link w:val="BalloonTextChar"/>
    <w:uiPriority w:val="99"/>
    <w:semiHidden/>
    <w:rsid w:val="00933A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297A"/>
    <w:rPr>
      <w:rFonts w:ascii="Tahoma" w:hAnsi="Tahoma" w:cs="Tahoma"/>
      <w:sz w:val="16"/>
      <w:szCs w:val="16"/>
      <w:lang w:val="en-GB"/>
    </w:rPr>
  </w:style>
  <w:style w:type="paragraph" w:styleId="ListNumber2">
    <w:name w:val="List Number 2"/>
    <w:basedOn w:val="Normal"/>
    <w:rsid w:val="004C5838"/>
    <w:pPr>
      <w:numPr>
        <w:numId w:val="3"/>
      </w:numPr>
      <w:spacing w:before="60" w:after="60"/>
      <w:ind w:left="714" w:hanging="357"/>
    </w:pPr>
  </w:style>
  <w:style w:type="paragraph" w:styleId="TOC6">
    <w:name w:val="toc 6"/>
    <w:basedOn w:val="Normal"/>
    <w:next w:val="Normal"/>
    <w:autoRedefine/>
    <w:uiPriority w:val="39"/>
    <w:rsid w:val="00E15357"/>
    <w:pPr>
      <w:ind w:left="1000"/>
    </w:pPr>
  </w:style>
  <w:style w:type="paragraph" w:styleId="ListBullet3">
    <w:name w:val="List Bullet 3"/>
    <w:basedOn w:val="Normal"/>
    <w:rsid w:val="004C5838"/>
    <w:pPr>
      <w:numPr>
        <w:numId w:val="5"/>
      </w:numPr>
      <w:spacing w:before="60" w:after="60"/>
      <w:ind w:left="1077" w:hanging="357"/>
    </w:pPr>
  </w:style>
  <w:style w:type="paragraph" w:styleId="ListNumber3">
    <w:name w:val="List Number 3"/>
    <w:basedOn w:val="Normal"/>
    <w:rsid w:val="004C5838"/>
    <w:pPr>
      <w:numPr>
        <w:ilvl w:val="1"/>
        <w:numId w:val="7"/>
      </w:numPr>
      <w:spacing w:before="60" w:after="60"/>
      <w:ind w:left="1077" w:hanging="357"/>
    </w:pPr>
  </w:style>
  <w:style w:type="paragraph" w:styleId="ListNumber4">
    <w:name w:val="List Number 4"/>
    <w:basedOn w:val="Normal"/>
    <w:rsid w:val="004C5838"/>
    <w:pPr>
      <w:numPr>
        <w:numId w:val="4"/>
      </w:numPr>
      <w:spacing w:before="60" w:after="60"/>
      <w:ind w:left="1428" w:hanging="181"/>
    </w:pPr>
  </w:style>
  <w:style w:type="table" w:customStyle="1" w:styleId="RussellTable">
    <w:name w:val="Russell Table"/>
    <w:basedOn w:val="TableNormal"/>
    <w:rsid w:val="00590429"/>
    <w:rPr>
      <w:rFonts w:ascii="Arial" w:hAnsi="Arial"/>
      <w:b/>
    </w:rPr>
    <w:tblPr>
      <w:tblStyleRowBandSize w:val="1"/>
      <w:tblInd w:w="0" w:type="dxa"/>
      <w:tblCellMar>
        <w:top w:w="0" w:type="dxa"/>
        <w:left w:w="108" w:type="dxa"/>
        <w:bottom w:w="0" w:type="dxa"/>
        <w:right w:w="108" w:type="dxa"/>
      </w:tblCellMar>
    </w:tblPr>
    <w:tcPr>
      <w:vAlign w:val="center"/>
    </w:tcPr>
    <w:tblStylePr w:type="firstRow">
      <w:pPr>
        <w:wordWrap/>
        <w:spacing w:beforeLines="0" w:beforeAutospacing="1" w:afterLines="0" w:afterAutospacing="1" w:line="240" w:lineRule="auto"/>
        <w:ind w:leftChars="0" w:left="0" w:rightChars="0" w:right="0" w:firstLineChars="0" w:firstLine="0"/>
        <w:jc w:val="left"/>
      </w:pPr>
      <w:rPr>
        <w:rFonts w:ascii="Arial" w:hAnsi="Arial"/>
        <w:b/>
        <w:i w:val="0"/>
        <w:color w:val="FFFFFF"/>
        <w:sz w:val="20"/>
        <w:szCs w:val="21"/>
      </w:rPr>
      <w:tblPr/>
      <w:tcPr>
        <w:shd w:val="clear" w:color="auto" w:fill="606060"/>
      </w:tcPr>
    </w:tblStylePr>
    <w:tblStylePr w:type="band1Horz">
      <w:pPr>
        <w:wordWrap/>
        <w:spacing w:beforeLines="0" w:beforeAutospacing="1" w:afterLines="0" w:afterAutospacing="1" w:line="240" w:lineRule="auto"/>
        <w:ind w:leftChars="0" w:left="0" w:rightChars="0" w:right="0" w:firstLineChars="0" w:firstLine="0"/>
        <w:contextualSpacing w:val="0"/>
      </w:pPr>
      <w:rPr>
        <w:rFonts w:ascii="Arial" w:hAnsi="Arial"/>
        <w:b w:val="0"/>
        <w:i w:val="0"/>
        <w:color w:val="auto"/>
      </w:rPr>
      <w:tblPr/>
      <w:tcPr>
        <w:tcBorders>
          <w:top w:val="nil"/>
          <w:left w:val="nil"/>
          <w:bottom w:val="nil"/>
          <w:right w:val="nil"/>
          <w:insideH w:val="nil"/>
          <w:insideV w:val="nil"/>
          <w:tl2br w:val="nil"/>
          <w:tr2bl w:val="nil"/>
        </w:tcBorders>
        <w:shd w:val="clear" w:color="auto" w:fill="EBEAD5"/>
      </w:tcPr>
    </w:tblStylePr>
    <w:tblStylePr w:type="band2Horz">
      <w:pPr>
        <w:wordWrap/>
        <w:spacing w:beforeLines="0" w:beforeAutospacing="1" w:afterLines="0" w:afterAutospacing="1"/>
      </w:pPr>
      <w:rPr>
        <w:rFonts w:ascii="Arial" w:hAnsi="Arial"/>
        <w:b w:val="0"/>
        <w:i w:val="0"/>
        <w:color w:val="auto"/>
      </w:rPr>
      <w:tblPr/>
      <w:tcPr>
        <w:tcBorders>
          <w:top w:val="nil"/>
          <w:left w:val="nil"/>
          <w:bottom w:val="nil"/>
          <w:right w:val="nil"/>
          <w:insideH w:val="nil"/>
          <w:insideV w:val="nil"/>
          <w:tl2br w:val="nil"/>
          <w:tr2bl w:val="nil"/>
        </w:tcBorders>
        <w:shd w:val="clear" w:color="auto" w:fill="F7F7EF"/>
      </w:tcPr>
    </w:tblStylePr>
  </w:style>
  <w:style w:type="table" w:styleId="TableGrid">
    <w:name w:val="Table Grid"/>
    <w:basedOn w:val="TableNormal"/>
    <w:uiPriority w:val="99"/>
    <w:rsid w:val="00915C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10105A"/>
    <w:rPr>
      <w:sz w:val="24"/>
    </w:rPr>
  </w:style>
  <w:style w:type="character" w:customStyle="1" w:styleId="BodyText2Char">
    <w:name w:val="Body Text 2 Char"/>
    <w:basedOn w:val="DefaultParagraphFont"/>
    <w:link w:val="BodyText2"/>
    <w:rsid w:val="0010105A"/>
    <w:rPr>
      <w:sz w:val="24"/>
    </w:rPr>
  </w:style>
  <w:style w:type="paragraph" w:styleId="BodyText">
    <w:name w:val="Body Text"/>
    <w:basedOn w:val="Normal"/>
    <w:link w:val="BodyTextChar"/>
    <w:uiPriority w:val="99"/>
    <w:rsid w:val="0010105A"/>
    <w:pPr>
      <w:spacing w:after="120"/>
    </w:pPr>
  </w:style>
  <w:style w:type="character" w:customStyle="1" w:styleId="BodyTextChar">
    <w:name w:val="Body Text Char"/>
    <w:basedOn w:val="DefaultParagraphFont"/>
    <w:link w:val="BodyText"/>
    <w:uiPriority w:val="99"/>
    <w:rsid w:val="0010105A"/>
    <w:rPr>
      <w:rFonts w:ascii="Arial" w:hAnsi="Arial"/>
    </w:rPr>
  </w:style>
  <w:style w:type="paragraph" w:styleId="BodyTextIndent">
    <w:name w:val="Body Text Indent"/>
    <w:basedOn w:val="Normal"/>
    <w:link w:val="BodyTextIndentChar"/>
    <w:rsid w:val="0010105A"/>
    <w:pPr>
      <w:spacing w:after="120"/>
      <w:ind w:left="360"/>
    </w:pPr>
  </w:style>
  <w:style w:type="character" w:customStyle="1" w:styleId="BodyTextIndentChar">
    <w:name w:val="Body Text Indent Char"/>
    <w:basedOn w:val="DefaultParagraphFont"/>
    <w:link w:val="BodyTextIndent"/>
    <w:rsid w:val="0010105A"/>
    <w:rPr>
      <w:rFonts w:ascii="Arial" w:hAnsi="Arial"/>
    </w:rPr>
  </w:style>
  <w:style w:type="paragraph" w:styleId="BodyText3">
    <w:name w:val="Body Text 3"/>
    <w:basedOn w:val="Normal"/>
    <w:link w:val="BodyText3Char"/>
    <w:uiPriority w:val="99"/>
    <w:rsid w:val="0010105A"/>
    <w:pPr>
      <w:spacing w:after="120"/>
    </w:pPr>
    <w:rPr>
      <w:sz w:val="16"/>
      <w:szCs w:val="16"/>
    </w:rPr>
  </w:style>
  <w:style w:type="character" w:customStyle="1" w:styleId="BodyText3Char">
    <w:name w:val="Body Text 3 Char"/>
    <w:basedOn w:val="DefaultParagraphFont"/>
    <w:link w:val="BodyText3"/>
    <w:uiPriority w:val="99"/>
    <w:rsid w:val="0010105A"/>
    <w:rPr>
      <w:rFonts w:ascii="Arial" w:hAnsi="Arial"/>
      <w:sz w:val="16"/>
      <w:szCs w:val="16"/>
    </w:rPr>
  </w:style>
  <w:style w:type="paragraph" w:styleId="ListParagraph">
    <w:name w:val="List Paragraph"/>
    <w:basedOn w:val="Normal"/>
    <w:uiPriority w:val="99"/>
    <w:qFormat/>
    <w:rsid w:val="00164C0A"/>
    <w:pPr>
      <w:ind w:left="720"/>
    </w:pPr>
  </w:style>
  <w:style w:type="character" w:styleId="FootnoteReference">
    <w:name w:val="footnote reference"/>
    <w:basedOn w:val="DefaultParagraphFont"/>
    <w:uiPriority w:val="99"/>
    <w:rsid w:val="00164C0A"/>
    <w:rPr>
      <w:vertAlign w:val="superscript"/>
    </w:rPr>
  </w:style>
  <w:style w:type="paragraph" w:styleId="FootnoteText">
    <w:name w:val="footnote text"/>
    <w:basedOn w:val="AONormal"/>
    <w:link w:val="FootnoteTextChar"/>
    <w:uiPriority w:val="99"/>
    <w:rsid w:val="00164C0A"/>
    <w:pPr>
      <w:spacing w:line="240" w:lineRule="auto"/>
      <w:ind w:left="720" w:hanging="720"/>
      <w:jc w:val="both"/>
    </w:pPr>
    <w:rPr>
      <w:sz w:val="16"/>
    </w:rPr>
  </w:style>
  <w:style w:type="character" w:customStyle="1" w:styleId="FootnoteTextChar">
    <w:name w:val="Footnote Text Char"/>
    <w:basedOn w:val="DefaultParagraphFont"/>
    <w:link w:val="FootnoteText"/>
    <w:uiPriority w:val="99"/>
    <w:rsid w:val="00164C0A"/>
    <w:rPr>
      <w:rFonts w:eastAsia="SimSun"/>
      <w:sz w:val="16"/>
      <w:szCs w:val="22"/>
      <w:lang w:val="en-GB"/>
    </w:rPr>
  </w:style>
  <w:style w:type="character" w:styleId="Hyperlink">
    <w:name w:val="Hyperlink"/>
    <w:basedOn w:val="DefaultParagraphFont"/>
    <w:uiPriority w:val="99"/>
    <w:rsid w:val="00164C0A"/>
    <w:rPr>
      <w:color w:val="0000FF"/>
      <w:u w:val="single"/>
    </w:rPr>
  </w:style>
  <w:style w:type="paragraph" w:styleId="NormalWeb">
    <w:name w:val="Normal (Web)"/>
    <w:basedOn w:val="Normal"/>
    <w:uiPriority w:val="99"/>
    <w:rsid w:val="00164C0A"/>
    <w:pPr>
      <w:spacing w:before="100" w:beforeAutospacing="1" w:after="100" w:afterAutospacing="1"/>
    </w:pPr>
    <w:rPr>
      <w:sz w:val="24"/>
      <w:szCs w:val="24"/>
      <w:lang w:eastAsia="en-GB"/>
    </w:rPr>
  </w:style>
  <w:style w:type="paragraph" w:styleId="TOC1">
    <w:name w:val="toc 1"/>
    <w:basedOn w:val="Normal"/>
    <w:next w:val="Normal"/>
    <w:autoRedefine/>
    <w:uiPriority w:val="39"/>
    <w:rsid w:val="0006297A"/>
  </w:style>
  <w:style w:type="paragraph" w:styleId="TOC2">
    <w:name w:val="toc 2"/>
    <w:basedOn w:val="Normal"/>
    <w:next w:val="Normal"/>
    <w:autoRedefine/>
    <w:uiPriority w:val="39"/>
    <w:rsid w:val="0006297A"/>
    <w:pPr>
      <w:ind w:left="220"/>
    </w:pPr>
  </w:style>
  <w:style w:type="paragraph" w:customStyle="1" w:styleId="RI06-BodyCopy11pt">
    <w:name w:val="RI 06 - Body Copy 11 pt"/>
    <w:uiPriority w:val="99"/>
    <w:rsid w:val="0006297A"/>
    <w:pPr>
      <w:spacing w:after="100" w:line="280" w:lineRule="atLeast"/>
    </w:pPr>
    <w:rPr>
      <w:rFonts w:ascii="Arial" w:eastAsia="Calibri" w:hAnsi="Arial"/>
      <w:color w:val="5F6062"/>
      <w:sz w:val="22"/>
      <w:szCs w:val="22"/>
    </w:rPr>
  </w:style>
  <w:style w:type="paragraph" w:customStyle="1" w:styleId="RI07-BodyCopy95pt">
    <w:name w:val="RI 07 - Body Copy 9.5 pt"/>
    <w:link w:val="RI07-BodyCopy95ptChar"/>
    <w:uiPriority w:val="99"/>
    <w:qFormat/>
    <w:rsid w:val="0006297A"/>
    <w:pPr>
      <w:spacing w:after="100" w:line="260" w:lineRule="atLeast"/>
    </w:pPr>
    <w:rPr>
      <w:rFonts w:ascii="Arial" w:eastAsia="Calibri" w:hAnsi="Arial"/>
      <w:color w:val="5F6062"/>
      <w:sz w:val="19"/>
      <w:szCs w:val="22"/>
    </w:rPr>
  </w:style>
  <w:style w:type="character" w:customStyle="1" w:styleId="RI07-BodyCopy95ptChar">
    <w:name w:val="RI 07 - Body Copy 9.5 pt Char"/>
    <w:basedOn w:val="DefaultParagraphFont"/>
    <w:link w:val="RI07-BodyCopy95pt"/>
    <w:uiPriority w:val="99"/>
    <w:locked/>
    <w:rsid w:val="0006297A"/>
    <w:rPr>
      <w:rFonts w:ascii="Arial" w:eastAsia="Calibri" w:hAnsi="Arial"/>
      <w:color w:val="5F6062"/>
      <w:sz w:val="19"/>
      <w:szCs w:val="22"/>
      <w:lang w:eastAsia="en-US" w:bidi="ar-SA"/>
    </w:rPr>
  </w:style>
  <w:style w:type="paragraph" w:customStyle="1" w:styleId="RI01-Heading0">
    <w:name w:val="RI 01 - Heading 0"/>
    <w:link w:val="RI01-Heading0Char"/>
    <w:qFormat/>
    <w:rsid w:val="0006297A"/>
    <w:pPr>
      <w:spacing w:after="40" w:line="220" w:lineRule="exact"/>
      <w:ind w:right="3168"/>
    </w:pPr>
    <w:rPr>
      <w:rFonts w:ascii="Arial" w:eastAsia="Calibri" w:hAnsi="Arial"/>
      <w:caps/>
      <w:color w:val="5F6062"/>
      <w:szCs w:val="22"/>
    </w:rPr>
  </w:style>
  <w:style w:type="character" w:customStyle="1" w:styleId="RI01-Heading0Char">
    <w:name w:val="RI 01 - Heading 0 Char"/>
    <w:basedOn w:val="DefaultParagraphFont"/>
    <w:link w:val="RI01-Heading0"/>
    <w:locked/>
    <w:rsid w:val="0006297A"/>
    <w:rPr>
      <w:rFonts w:ascii="Arial" w:eastAsia="Calibri" w:hAnsi="Arial"/>
      <w:caps/>
      <w:color w:val="5F6062"/>
      <w:szCs w:val="22"/>
      <w:lang w:eastAsia="en-US" w:bidi="ar-SA"/>
    </w:rPr>
  </w:style>
  <w:style w:type="paragraph" w:customStyle="1" w:styleId="RI03-CoverBylineHeading">
    <w:name w:val="RI 03 - Cover Byline Heading"/>
    <w:uiPriority w:val="99"/>
    <w:rsid w:val="0006297A"/>
    <w:pPr>
      <w:spacing w:before="900" w:after="100" w:line="220" w:lineRule="exact"/>
    </w:pPr>
    <w:rPr>
      <w:rFonts w:ascii="Arial" w:eastAsia="Calibri" w:hAnsi="Arial"/>
      <w:caps/>
      <w:color w:val="5F6062"/>
      <w:sz w:val="14"/>
      <w:szCs w:val="22"/>
    </w:rPr>
  </w:style>
  <w:style w:type="paragraph" w:customStyle="1" w:styleId="RI04-CoverAuthorCompanyName">
    <w:name w:val="RI 04 - Cover Author/Company Name"/>
    <w:uiPriority w:val="99"/>
    <w:rsid w:val="0006297A"/>
    <w:pPr>
      <w:spacing w:line="280" w:lineRule="exact"/>
    </w:pPr>
    <w:rPr>
      <w:rFonts w:ascii="Arial" w:eastAsia="Calibri" w:hAnsi="Arial"/>
      <w:color w:val="5F6062"/>
      <w:sz w:val="22"/>
      <w:szCs w:val="22"/>
    </w:rPr>
  </w:style>
  <w:style w:type="paragraph" w:customStyle="1" w:styleId="RI05-TOCHeading">
    <w:name w:val="RI 05 - TOC Heading"/>
    <w:uiPriority w:val="99"/>
    <w:rsid w:val="0006297A"/>
    <w:pPr>
      <w:spacing w:before="200" w:after="100" w:line="280" w:lineRule="exact"/>
    </w:pPr>
    <w:rPr>
      <w:rFonts w:ascii="Arial" w:eastAsia="Calibri" w:hAnsi="Arial"/>
      <w:caps/>
      <w:color w:val="5F6062"/>
      <w:sz w:val="22"/>
      <w:szCs w:val="22"/>
    </w:rPr>
  </w:style>
  <w:style w:type="paragraph" w:customStyle="1" w:styleId="RI02-DocumentTitle">
    <w:name w:val="RI 02 - Document Title"/>
    <w:uiPriority w:val="99"/>
    <w:rsid w:val="0006297A"/>
    <w:pPr>
      <w:spacing w:before="120"/>
    </w:pPr>
    <w:rPr>
      <w:rFonts w:ascii="Arial" w:hAnsi="Arial"/>
      <w:bCs/>
      <w:color w:val="F38F1D"/>
      <w:spacing w:val="4"/>
      <w:kern w:val="32"/>
      <w:sz w:val="49"/>
      <w:szCs w:val="32"/>
    </w:rPr>
  </w:style>
  <w:style w:type="paragraph" w:customStyle="1" w:styleId="RI10-95ptIndent1">
    <w:name w:val="RI 10 - 9.5 pt Indent 1"/>
    <w:uiPriority w:val="99"/>
    <w:rsid w:val="0006297A"/>
    <w:pPr>
      <w:spacing w:after="100" w:line="260" w:lineRule="atLeast"/>
      <w:ind w:left="360"/>
    </w:pPr>
    <w:rPr>
      <w:rFonts w:ascii="Arial" w:eastAsia="Calibri" w:hAnsi="Arial"/>
      <w:color w:val="5F6062"/>
      <w:sz w:val="19"/>
      <w:szCs w:val="22"/>
    </w:rPr>
  </w:style>
  <w:style w:type="paragraph" w:customStyle="1" w:styleId="RI11-95ptIndent2">
    <w:name w:val="RI 11 - 9.5 pt Indent 2"/>
    <w:uiPriority w:val="99"/>
    <w:rsid w:val="0006297A"/>
    <w:pPr>
      <w:spacing w:after="100" w:line="260" w:lineRule="atLeast"/>
      <w:ind w:left="720"/>
    </w:pPr>
    <w:rPr>
      <w:rFonts w:ascii="Arial" w:eastAsia="Calibri" w:hAnsi="Arial"/>
      <w:color w:val="5F6062"/>
      <w:sz w:val="19"/>
      <w:szCs w:val="22"/>
    </w:rPr>
  </w:style>
  <w:style w:type="paragraph" w:customStyle="1" w:styleId="RI08-95ptBullet1">
    <w:name w:val="RI 08 - 9.5 pt Bullet 1"/>
    <w:basedOn w:val="RI07-BodyCopy95pt"/>
    <w:uiPriority w:val="99"/>
    <w:rsid w:val="0006297A"/>
  </w:style>
  <w:style w:type="paragraph" w:customStyle="1" w:styleId="RI09-95ptBullet2">
    <w:name w:val="RI 09 - 9.5 pt Bullet 2"/>
    <w:basedOn w:val="RI07-BodyCopy95pt"/>
    <w:uiPriority w:val="99"/>
    <w:rsid w:val="0006297A"/>
    <w:pPr>
      <w:numPr>
        <w:numId w:val="25"/>
      </w:numPr>
      <w:tabs>
        <w:tab w:val="num" w:pos="1440"/>
      </w:tabs>
      <w:ind w:left="1440"/>
    </w:pPr>
  </w:style>
  <w:style w:type="paragraph" w:customStyle="1" w:styleId="RI12-FooterPageNumber">
    <w:name w:val="RI 12 - Footer Page Number"/>
    <w:uiPriority w:val="99"/>
    <w:rsid w:val="0006297A"/>
    <w:pPr>
      <w:spacing w:before="800"/>
    </w:pPr>
    <w:rPr>
      <w:rFonts w:ascii="Arial" w:eastAsia="Calibri" w:hAnsi="Arial"/>
      <w:caps/>
      <w:noProof/>
      <w:color w:val="5F6062"/>
      <w:sz w:val="16"/>
      <w:szCs w:val="22"/>
    </w:rPr>
  </w:style>
  <w:style w:type="paragraph" w:customStyle="1" w:styleId="RI07-BodyCopy95ptSuperscript">
    <w:name w:val="RI 07 - Body Copy 9.5 pt + Superscript"/>
    <w:basedOn w:val="RI07-BodyCopy95pt"/>
    <w:link w:val="RI07-BodyCopy95ptSuperscriptChar"/>
    <w:uiPriority w:val="99"/>
    <w:rsid w:val="0006297A"/>
    <w:rPr>
      <w:vertAlign w:val="superscript"/>
    </w:rPr>
  </w:style>
  <w:style w:type="character" w:customStyle="1" w:styleId="RI07-BodyCopy95ptSuperscriptChar">
    <w:name w:val="RI 07 - Body Copy 9.5 pt + Superscript Char"/>
    <w:basedOn w:val="DefaultParagraphFont"/>
    <w:link w:val="RI07-BodyCopy95ptSuperscript"/>
    <w:uiPriority w:val="99"/>
    <w:locked/>
    <w:rsid w:val="0006297A"/>
    <w:rPr>
      <w:rFonts w:ascii="Arial" w:eastAsia="Calibri" w:hAnsi="Arial"/>
      <w:color w:val="5F6062"/>
      <w:sz w:val="19"/>
      <w:szCs w:val="22"/>
      <w:vertAlign w:val="superscript"/>
    </w:rPr>
  </w:style>
  <w:style w:type="paragraph" w:customStyle="1" w:styleId="RI06-BodyCopy11ptSuperscript">
    <w:name w:val="RI 06 - Body Copy 11 pt + Superscript"/>
    <w:link w:val="RI06-BodyCopy11ptSuperscriptChar"/>
    <w:uiPriority w:val="99"/>
    <w:rsid w:val="0006297A"/>
    <w:pPr>
      <w:spacing w:after="100" w:line="240" w:lineRule="atLeast"/>
    </w:pPr>
    <w:rPr>
      <w:rFonts w:ascii="Arial" w:eastAsia="Calibri" w:hAnsi="Arial"/>
      <w:color w:val="5F6062"/>
      <w:sz w:val="22"/>
      <w:szCs w:val="22"/>
      <w:vertAlign w:val="superscript"/>
    </w:rPr>
  </w:style>
  <w:style w:type="character" w:customStyle="1" w:styleId="RI06-BodyCopy11ptSuperscriptChar">
    <w:name w:val="RI 06 - Body Copy 11 pt + Superscript Char"/>
    <w:basedOn w:val="DefaultParagraphFont"/>
    <w:link w:val="RI06-BodyCopy11ptSuperscript"/>
    <w:uiPriority w:val="99"/>
    <w:locked/>
    <w:rsid w:val="0006297A"/>
    <w:rPr>
      <w:rFonts w:ascii="Arial" w:eastAsia="Calibri" w:hAnsi="Arial"/>
      <w:color w:val="5F6062"/>
      <w:sz w:val="22"/>
      <w:szCs w:val="22"/>
      <w:vertAlign w:val="superscript"/>
      <w:lang w:eastAsia="en-US" w:bidi="ar-SA"/>
    </w:rPr>
  </w:style>
  <w:style w:type="paragraph" w:customStyle="1" w:styleId="RI01-Heading0greyrule">
    <w:name w:val="RI 01 - Heading 0 + grey rule"/>
    <w:basedOn w:val="RI01-Heading0"/>
    <w:uiPriority w:val="99"/>
    <w:rsid w:val="0006297A"/>
    <w:pPr>
      <w:pBdr>
        <w:bottom w:val="single" w:sz="4" w:space="1" w:color="5F6062"/>
      </w:pBdr>
    </w:pPr>
    <w:rPr>
      <w:rFonts w:eastAsia="Times New Roman"/>
      <w:szCs w:val="20"/>
    </w:rPr>
  </w:style>
  <w:style w:type="paragraph" w:customStyle="1" w:styleId="text">
    <w:name w:val="text"/>
    <w:basedOn w:val="Normal"/>
    <w:uiPriority w:val="99"/>
    <w:rsid w:val="0006297A"/>
    <w:pPr>
      <w:spacing w:before="100" w:beforeAutospacing="1" w:after="100" w:afterAutospacing="1"/>
    </w:pPr>
    <w:rPr>
      <w:sz w:val="24"/>
      <w:szCs w:val="24"/>
      <w:lang w:val="en-US"/>
    </w:rPr>
  </w:style>
  <w:style w:type="character" w:customStyle="1" w:styleId="CharChar5">
    <w:name w:val="Char Char5"/>
    <w:basedOn w:val="DefaultParagraphFont"/>
    <w:uiPriority w:val="99"/>
    <w:locked/>
    <w:rsid w:val="0006297A"/>
    <w:rPr>
      <w:rFonts w:ascii="Arial" w:hAnsi="Arial" w:cs="Times New Roman"/>
      <w:bCs/>
      <w:color w:val="F38F1D"/>
      <w:spacing w:val="4"/>
      <w:kern w:val="32"/>
      <w:sz w:val="32"/>
      <w:szCs w:val="32"/>
      <w:lang w:eastAsia="en-US" w:bidi="ar-SA"/>
    </w:rPr>
  </w:style>
  <w:style w:type="character" w:customStyle="1" w:styleId="CharChar4">
    <w:name w:val="Char Char4"/>
    <w:basedOn w:val="DefaultParagraphFont"/>
    <w:uiPriority w:val="99"/>
    <w:locked/>
    <w:rsid w:val="0006297A"/>
    <w:rPr>
      <w:rFonts w:ascii="Arial" w:hAnsi="Arial" w:cs="Times New Roman"/>
      <w:b/>
      <w:color w:val="F38F1D"/>
      <w:sz w:val="22"/>
      <w:szCs w:val="22"/>
      <w:lang w:eastAsia="en-US" w:bidi="ar-SA"/>
    </w:rPr>
  </w:style>
  <w:style w:type="character" w:styleId="PageNumber">
    <w:name w:val="page number"/>
    <w:basedOn w:val="DefaultParagraphFont"/>
    <w:uiPriority w:val="99"/>
    <w:rsid w:val="0006297A"/>
    <w:rPr>
      <w:rFonts w:cs="Times New Roman"/>
    </w:rPr>
  </w:style>
  <w:style w:type="paragraph" w:customStyle="1" w:styleId="DocID">
    <w:name w:val="DocID"/>
    <w:basedOn w:val="Normal"/>
    <w:uiPriority w:val="99"/>
    <w:rsid w:val="0006297A"/>
    <w:pPr>
      <w:spacing w:before="480" w:after="120"/>
    </w:pPr>
    <w:rPr>
      <w:rFonts w:eastAsia="MS Mincho"/>
      <w:sz w:val="16"/>
      <w:lang w:val="en-US" w:eastAsia="ja-JP"/>
    </w:rPr>
  </w:style>
  <w:style w:type="paragraph" w:customStyle="1" w:styleId="author">
    <w:name w:val="author"/>
    <w:basedOn w:val="Normal"/>
    <w:next w:val="Normal"/>
    <w:uiPriority w:val="99"/>
    <w:rsid w:val="0006297A"/>
    <w:pPr>
      <w:spacing w:line="240" w:lineRule="atLeast"/>
      <w:jc w:val="center"/>
    </w:pPr>
    <w:rPr>
      <w:rFonts w:ascii="Helvetica" w:hAnsi="Helvetica"/>
      <w:lang w:val="en-US"/>
    </w:rPr>
  </w:style>
  <w:style w:type="paragraph" w:styleId="TOC5">
    <w:name w:val="toc 5"/>
    <w:basedOn w:val="Normal"/>
    <w:next w:val="Normal"/>
    <w:autoRedefine/>
    <w:uiPriority w:val="39"/>
    <w:rsid w:val="0006297A"/>
    <w:pPr>
      <w:ind w:left="960"/>
    </w:pPr>
    <w:rPr>
      <w:sz w:val="24"/>
      <w:szCs w:val="24"/>
      <w:lang w:val="en-US"/>
    </w:rPr>
  </w:style>
  <w:style w:type="table" w:styleId="TableContemporary">
    <w:name w:val="Table Contemporary"/>
    <w:aliases w:val="Table Shaded"/>
    <w:basedOn w:val="TableNormal"/>
    <w:uiPriority w:val="99"/>
    <w:rsid w:val="0006297A"/>
    <w:pPr>
      <w:jc w:val="right"/>
    </w:pPr>
    <w:rPr>
      <w:rFonts w:ascii="Arial" w:hAnsi="Arial"/>
      <w:sz w:val="18"/>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FFFFFF"/>
      </w:rPr>
      <w:tblPr/>
      <w:tcPr>
        <w:shd w:val="clear" w:color="auto" w:fill="5C5C5C"/>
      </w:tcPr>
    </w:tblStylePr>
    <w:tblStylePr w:type="band1Horz">
      <w:rPr>
        <w:rFonts w:cs="Times New Roman"/>
        <w:color w:val="auto"/>
      </w:rPr>
      <w:tblPr/>
      <w:tcPr>
        <w:shd w:val="clear" w:color="auto" w:fill="F7F7EF"/>
      </w:tcPr>
    </w:tblStylePr>
    <w:tblStylePr w:type="band2Horz">
      <w:rPr>
        <w:rFonts w:cs="Times New Roman"/>
        <w:color w:val="auto"/>
      </w:rPr>
      <w:tblPr/>
      <w:tcPr>
        <w:shd w:val="clear" w:color="auto" w:fill="EBEAD5"/>
      </w:tcPr>
    </w:tblStylePr>
  </w:style>
  <w:style w:type="character" w:customStyle="1" w:styleId="CharChar52">
    <w:name w:val="Char Char52"/>
    <w:basedOn w:val="DefaultParagraphFont"/>
    <w:uiPriority w:val="99"/>
    <w:locked/>
    <w:rsid w:val="0006297A"/>
    <w:rPr>
      <w:rFonts w:ascii="Arial" w:hAnsi="Arial" w:cs="Times New Roman"/>
      <w:bCs/>
      <w:color w:val="F38F1D"/>
      <w:spacing w:val="4"/>
      <w:kern w:val="32"/>
      <w:sz w:val="32"/>
      <w:szCs w:val="32"/>
      <w:lang w:eastAsia="en-US" w:bidi="ar-SA"/>
    </w:rPr>
  </w:style>
  <w:style w:type="character" w:customStyle="1" w:styleId="CharChar42">
    <w:name w:val="Char Char42"/>
    <w:basedOn w:val="DefaultParagraphFont"/>
    <w:uiPriority w:val="99"/>
    <w:locked/>
    <w:rsid w:val="0006297A"/>
    <w:rPr>
      <w:rFonts w:ascii="Arial" w:hAnsi="Arial" w:cs="Times New Roman"/>
      <w:b/>
      <w:color w:val="F38F1D"/>
      <w:sz w:val="22"/>
      <w:szCs w:val="22"/>
      <w:lang w:eastAsia="en-US" w:bidi="ar-SA"/>
    </w:rPr>
  </w:style>
  <w:style w:type="character" w:customStyle="1" w:styleId="CharChar51">
    <w:name w:val="Char Char51"/>
    <w:basedOn w:val="DefaultParagraphFont"/>
    <w:uiPriority w:val="99"/>
    <w:locked/>
    <w:rsid w:val="0006297A"/>
    <w:rPr>
      <w:rFonts w:ascii="Arial" w:hAnsi="Arial" w:cs="Times New Roman"/>
      <w:bCs/>
      <w:color w:val="F38F1D"/>
      <w:spacing w:val="4"/>
      <w:kern w:val="32"/>
      <w:sz w:val="32"/>
      <w:szCs w:val="32"/>
      <w:lang w:eastAsia="en-US" w:bidi="ar-SA"/>
    </w:rPr>
  </w:style>
  <w:style w:type="character" w:customStyle="1" w:styleId="CharChar41">
    <w:name w:val="Char Char41"/>
    <w:basedOn w:val="DefaultParagraphFont"/>
    <w:uiPriority w:val="99"/>
    <w:locked/>
    <w:rsid w:val="0006297A"/>
    <w:rPr>
      <w:rFonts w:ascii="Arial" w:hAnsi="Arial" w:cs="Times New Roman"/>
      <w:b/>
      <w:color w:val="F38F1D"/>
      <w:sz w:val="22"/>
      <w:szCs w:val="22"/>
      <w:lang w:eastAsia="en-US" w:bidi="ar-SA"/>
    </w:rPr>
  </w:style>
  <w:style w:type="character" w:styleId="FollowedHyperlink">
    <w:name w:val="FollowedHyperlink"/>
    <w:basedOn w:val="DefaultParagraphFont"/>
    <w:uiPriority w:val="99"/>
    <w:rsid w:val="0006297A"/>
    <w:rPr>
      <w:rFonts w:cs="Times New Roman"/>
      <w:color w:val="66AADD"/>
      <w:u w:val="single"/>
    </w:rPr>
  </w:style>
  <w:style w:type="paragraph" w:customStyle="1" w:styleId="xl34">
    <w:name w:val="xl34"/>
    <w:basedOn w:val="Normal"/>
    <w:uiPriority w:val="99"/>
    <w:rsid w:val="0006297A"/>
    <w:pPr>
      <w:spacing w:before="100" w:beforeAutospacing="1" w:after="100" w:afterAutospacing="1"/>
      <w:jc w:val="center"/>
    </w:pPr>
    <w:rPr>
      <w:rFonts w:ascii="Arial" w:hAnsi="Arial" w:cs="Arial"/>
      <w:b/>
      <w:bCs/>
      <w:color w:val="DD6600"/>
      <w:sz w:val="16"/>
      <w:szCs w:val="16"/>
      <w:lang w:val="en-US"/>
    </w:rPr>
  </w:style>
  <w:style w:type="table" w:customStyle="1" w:styleId="43">
    <w:name w:val="43"/>
    <w:uiPriority w:val="99"/>
    <w:rsid w:val="0006297A"/>
    <w:pPr>
      <w:autoSpaceDE w:val="0"/>
      <w:autoSpaceDN w:val="0"/>
      <w:adjustRightInd w:val="0"/>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MultiRowShaded">
    <w:name w:val="Multi Row Shaded"/>
    <w:basedOn w:val="TableContemporary"/>
    <w:uiPriority w:val="99"/>
    <w:rsid w:val="0006297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FFFFFF"/>
      </w:rPr>
      <w:tblPr/>
      <w:tcPr>
        <w:shd w:val="clear" w:color="auto" w:fill="5C5C5C"/>
      </w:tcPr>
    </w:tblStylePr>
    <w:tblStylePr w:type="band1Horz">
      <w:rPr>
        <w:rFonts w:cs="Times New Roman"/>
        <w:color w:val="auto"/>
      </w:rPr>
      <w:tblPr/>
      <w:tcPr>
        <w:shd w:val="clear" w:color="auto" w:fill="F7F7EF"/>
      </w:tcPr>
    </w:tblStylePr>
    <w:tblStylePr w:type="band2Horz">
      <w:rPr>
        <w:rFonts w:cs="Times New Roman"/>
        <w:color w:val="auto"/>
      </w:rPr>
      <w:tblPr/>
      <w:tcPr>
        <w:shd w:val="clear" w:color="auto" w:fill="EBEAD5"/>
      </w:tcPr>
    </w:tblStylePr>
  </w:style>
  <w:style w:type="paragraph" w:styleId="TOC3">
    <w:name w:val="toc 3"/>
    <w:basedOn w:val="Normal"/>
    <w:next w:val="Normal"/>
    <w:autoRedefine/>
    <w:uiPriority w:val="39"/>
    <w:rsid w:val="0006297A"/>
    <w:pPr>
      <w:ind w:left="440"/>
      <w:jc w:val="right"/>
    </w:pPr>
    <w:rPr>
      <w:rFonts w:ascii="Arial" w:eastAsia="Calibri" w:hAnsi="Arial"/>
      <w:sz w:val="18"/>
      <w:szCs w:val="22"/>
      <w:lang w:val="en-US"/>
    </w:rPr>
  </w:style>
  <w:style w:type="character" w:customStyle="1" w:styleId="CharChar53">
    <w:name w:val="Char Char53"/>
    <w:basedOn w:val="DefaultParagraphFont"/>
    <w:uiPriority w:val="99"/>
    <w:locked/>
    <w:rsid w:val="0006297A"/>
    <w:rPr>
      <w:rFonts w:ascii="Arial" w:hAnsi="Arial" w:cs="Times New Roman"/>
      <w:bCs/>
      <w:color w:val="F38F1D"/>
      <w:spacing w:val="4"/>
      <w:kern w:val="32"/>
      <w:sz w:val="32"/>
      <w:szCs w:val="32"/>
      <w:lang w:eastAsia="en-US" w:bidi="ar-SA"/>
    </w:rPr>
  </w:style>
  <w:style w:type="character" w:customStyle="1" w:styleId="CharChar43">
    <w:name w:val="Char Char43"/>
    <w:basedOn w:val="DefaultParagraphFont"/>
    <w:uiPriority w:val="99"/>
    <w:locked/>
    <w:rsid w:val="0006297A"/>
    <w:rPr>
      <w:rFonts w:ascii="Arial" w:hAnsi="Arial" w:cs="Times New Roman"/>
      <w:b/>
      <w:color w:val="F38F1D"/>
      <w:sz w:val="22"/>
      <w:szCs w:val="22"/>
      <w:lang w:eastAsia="en-US" w:bidi="ar-SA"/>
    </w:rPr>
  </w:style>
  <w:style w:type="paragraph" w:customStyle="1" w:styleId="font5">
    <w:name w:val="font5"/>
    <w:basedOn w:val="Normal"/>
    <w:uiPriority w:val="99"/>
    <w:rsid w:val="0006297A"/>
    <w:pPr>
      <w:spacing w:before="100" w:beforeAutospacing="1" w:after="100" w:afterAutospacing="1"/>
    </w:pPr>
    <w:rPr>
      <w:rFonts w:ascii="Arial" w:hAnsi="Arial" w:cs="Arial"/>
      <w:color w:val="DD6600"/>
      <w:sz w:val="16"/>
      <w:szCs w:val="16"/>
      <w:lang w:val="en-US"/>
    </w:rPr>
  </w:style>
  <w:style w:type="paragraph" w:customStyle="1" w:styleId="xl24">
    <w:name w:val="xl24"/>
    <w:basedOn w:val="Normal"/>
    <w:uiPriority w:val="99"/>
    <w:rsid w:val="0006297A"/>
    <w:pPr>
      <w:spacing w:before="100" w:beforeAutospacing="1" w:after="100" w:afterAutospacing="1"/>
    </w:pPr>
    <w:rPr>
      <w:rFonts w:ascii="Arial" w:hAnsi="Arial" w:cs="Arial"/>
      <w:sz w:val="16"/>
      <w:szCs w:val="16"/>
      <w:lang w:val="en-US"/>
    </w:rPr>
  </w:style>
  <w:style w:type="paragraph" w:customStyle="1" w:styleId="xl25">
    <w:name w:val="xl25"/>
    <w:basedOn w:val="Normal"/>
    <w:uiPriority w:val="99"/>
    <w:rsid w:val="0006297A"/>
    <w:pPr>
      <w:shd w:val="clear" w:color="auto" w:fill="DDDDBB"/>
      <w:spacing w:before="100" w:beforeAutospacing="1" w:after="100" w:afterAutospacing="1"/>
    </w:pPr>
    <w:rPr>
      <w:rFonts w:ascii="Arial" w:hAnsi="Arial" w:cs="Arial"/>
      <w:b/>
      <w:bCs/>
      <w:sz w:val="16"/>
      <w:szCs w:val="16"/>
      <w:lang w:val="en-US"/>
    </w:rPr>
  </w:style>
  <w:style w:type="paragraph" w:customStyle="1" w:styleId="xl26">
    <w:name w:val="xl26"/>
    <w:basedOn w:val="Normal"/>
    <w:uiPriority w:val="99"/>
    <w:rsid w:val="0006297A"/>
    <w:pPr>
      <w:shd w:val="clear" w:color="auto" w:fill="5C5C5C"/>
      <w:spacing w:before="100" w:beforeAutospacing="1" w:after="100" w:afterAutospacing="1"/>
      <w:jc w:val="center"/>
    </w:pPr>
    <w:rPr>
      <w:rFonts w:ascii="Arial" w:hAnsi="Arial" w:cs="Arial"/>
      <w:b/>
      <w:bCs/>
      <w:color w:val="FFFFFF"/>
      <w:sz w:val="16"/>
      <w:szCs w:val="16"/>
      <w:lang w:val="en-US"/>
    </w:rPr>
  </w:style>
  <w:style w:type="paragraph" w:customStyle="1" w:styleId="xl27">
    <w:name w:val="xl27"/>
    <w:basedOn w:val="Normal"/>
    <w:uiPriority w:val="99"/>
    <w:rsid w:val="0006297A"/>
    <w:pPr>
      <w:shd w:val="clear" w:color="auto" w:fill="DDDDBB"/>
      <w:spacing w:before="100" w:beforeAutospacing="1" w:after="100" w:afterAutospacing="1"/>
      <w:jc w:val="center"/>
    </w:pPr>
    <w:rPr>
      <w:rFonts w:ascii="Arial" w:hAnsi="Arial" w:cs="Arial"/>
      <w:sz w:val="16"/>
      <w:szCs w:val="16"/>
      <w:lang w:val="en-US"/>
    </w:rPr>
  </w:style>
  <w:style w:type="paragraph" w:customStyle="1" w:styleId="xl28">
    <w:name w:val="xl28"/>
    <w:basedOn w:val="Normal"/>
    <w:uiPriority w:val="99"/>
    <w:rsid w:val="0006297A"/>
    <w:pPr>
      <w:spacing w:before="100" w:beforeAutospacing="1" w:after="100" w:afterAutospacing="1"/>
      <w:jc w:val="center"/>
    </w:pPr>
    <w:rPr>
      <w:rFonts w:ascii="Arial" w:hAnsi="Arial" w:cs="Arial"/>
      <w:sz w:val="16"/>
      <w:szCs w:val="16"/>
      <w:lang w:val="en-US"/>
    </w:rPr>
  </w:style>
  <w:style w:type="paragraph" w:customStyle="1" w:styleId="xl29">
    <w:name w:val="xl29"/>
    <w:basedOn w:val="Normal"/>
    <w:uiPriority w:val="99"/>
    <w:rsid w:val="0006297A"/>
    <w:pPr>
      <w:shd w:val="clear" w:color="auto" w:fill="5C5C5C"/>
      <w:spacing w:before="100" w:beforeAutospacing="1" w:after="100" w:afterAutospacing="1"/>
      <w:jc w:val="center"/>
    </w:pPr>
    <w:rPr>
      <w:rFonts w:ascii="Arial" w:hAnsi="Arial" w:cs="Arial"/>
      <w:b/>
      <w:bCs/>
      <w:color w:val="FFFFFF"/>
      <w:sz w:val="16"/>
      <w:szCs w:val="16"/>
      <w:lang w:val="en-US"/>
    </w:rPr>
  </w:style>
  <w:style w:type="paragraph" w:customStyle="1" w:styleId="xl30">
    <w:name w:val="xl30"/>
    <w:basedOn w:val="Normal"/>
    <w:uiPriority w:val="99"/>
    <w:rsid w:val="0006297A"/>
    <w:pPr>
      <w:shd w:val="clear" w:color="auto" w:fill="DDDDBB"/>
      <w:spacing w:before="100" w:beforeAutospacing="1" w:after="100" w:afterAutospacing="1"/>
      <w:jc w:val="center"/>
    </w:pPr>
    <w:rPr>
      <w:rFonts w:ascii="Arial" w:hAnsi="Arial" w:cs="Arial"/>
      <w:sz w:val="16"/>
      <w:szCs w:val="16"/>
      <w:lang w:val="en-US"/>
    </w:rPr>
  </w:style>
  <w:style w:type="paragraph" w:customStyle="1" w:styleId="xl31">
    <w:name w:val="xl31"/>
    <w:basedOn w:val="Normal"/>
    <w:uiPriority w:val="99"/>
    <w:rsid w:val="0006297A"/>
    <w:pPr>
      <w:spacing w:before="100" w:beforeAutospacing="1" w:after="100" w:afterAutospacing="1"/>
      <w:jc w:val="center"/>
    </w:pPr>
    <w:rPr>
      <w:rFonts w:ascii="Arial" w:hAnsi="Arial" w:cs="Arial"/>
      <w:b/>
      <w:bCs/>
      <w:sz w:val="16"/>
      <w:szCs w:val="16"/>
      <w:lang w:val="en-US"/>
    </w:rPr>
  </w:style>
  <w:style w:type="paragraph" w:customStyle="1" w:styleId="xl32">
    <w:name w:val="xl32"/>
    <w:basedOn w:val="Normal"/>
    <w:uiPriority w:val="99"/>
    <w:rsid w:val="0006297A"/>
    <w:pPr>
      <w:shd w:val="clear" w:color="auto" w:fill="DDDDBB"/>
      <w:spacing w:before="100" w:beforeAutospacing="1" w:after="100" w:afterAutospacing="1"/>
    </w:pPr>
    <w:rPr>
      <w:rFonts w:ascii="Arial" w:hAnsi="Arial" w:cs="Arial"/>
      <w:sz w:val="16"/>
      <w:szCs w:val="16"/>
      <w:lang w:val="en-US"/>
    </w:rPr>
  </w:style>
  <w:style w:type="paragraph" w:customStyle="1" w:styleId="xl33">
    <w:name w:val="xl33"/>
    <w:basedOn w:val="Normal"/>
    <w:uiPriority w:val="99"/>
    <w:rsid w:val="0006297A"/>
    <w:pPr>
      <w:spacing w:before="100" w:beforeAutospacing="1" w:after="100" w:afterAutospacing="1"/>
      <w:jc w:val="center"/>
    </w:pPr>
    <w:rPr>
      <w:rFonts w:ascii="Arial" w:hAnsi="Arial" w:cs="Arial"/>
      <w:sz w:val="16"/>
      <w:szCs w:val="16"/>
      <w:lang w:val="en-US"/>
    </w:rPr>
  </w:style>
  <w:style w:type="paragraph" w:customStyle="1" w:styleId="xl35">
    <w:name w:val="xl35"/>
    <w:basedOn w:val="Normal"/>
    <w:uiPriority w:val="99"/>
    <w:rsid w:val="0006297A"/>
    <w:pPr>
      <w:shd w:val="clear" w:color="auto" w:fill="66AADD"/>
      <w:spacing w:before="100" w:beforeAutospacing="1" w:after="100" w:afterAutospacing="1"/>
    </w:pPr>
    <w:rPr>
      <w:rFonts w:ascii="Arial" w:hAnsi="Arial" w:cs="Arial"/>
      <w:b/>
      <w:bCs/>
      <w:color w:val="FFFFFF"/>
      <w:sz w:val="18"/>
      <w:szCs w:val="18"/>
      <w:lang w:val="en-US"/>
    </w:rPr>
  </w:style>
  <w:style w:type="paragraph" w:customStyle="1" w:styleId="xl36">
    <w:name w:val="xl36"/>
    <w:basedOn w:val="Normal"/>
    <w:uiPriority w:val="99"/>
    <w:rsid w:val="0006297A"/>
    <w:pPr>
      <w:shd w:val="clear" w:color="auto" w:fill="66AADD"/>
      <w:spacing w:before="100" w:beforeAutospacing="1" w:after="100" w:afterAutospacing="1"/>
    </w:pPr>
    <w:rPr>
      <w:rFonts w:ascii="Arial" w:hAnsi="Arial" w:cs="Arial"/>
      <w:b/>
      <w:bCs/>
      <w:color w:val="FFFFFF"/>
      <w:sz w:val="18"/>
      <w:szCs w:val="18"/>
      <w:lang w:val="en-US"/>
    </w:rPr>
  </w:style>
  <w:style w:type="paragraph" w:customStyle="1" w:styleId="xl37">
    <w:name w:val="xl37"/>
    <w:basedOn w:val="Normal"/>
    <w:uiPriority w:val="99"/>
    <w:rsid w:val="0006297A"/>
    <w:pPr>
      <w:shd w:val="clear" w:color="auto" w:fill="66AADD"/>
      <w:spacing w:before="100" w:beforeAutospacing="1" w:after="100" w:afterAutospacing="1"/>
      <w:jc w:val="center"/>
    </w:pPr>
    <w:rPr>
      <w:rFonts w:ascii="Arial" w:hAnsi="Arial" w:cs="Arial"/>
      <w:color w:val="FFFFFF"/>
      <w:sz w:val="18"/>
      <w:szCs w:val="18"/>
      <w:lang w:val="en-US"/>
    </w:rPr>
  </w:style>
  <w:style w:type="paragraph" w:customStyle="1" w:styleId="xl38">
    <w:name w:val="xl38"/>
    <w:basedOn w:val="Normal"/>
    <w:uiPriority w:val="99"/>
    <w:rsid w:val="0006297A"/>
    <w:pPr>
      <w:shd w:val="clear" w:color="auto" w:fill="66AADD"/>
      <w:spacing w:before="100" w:beforeAutospacing="1" w:after="100" w:afterAutospacing="1"/>
    </w:pPr>
    <w:rPr>
      <w:rFonts w:ascii="Arial" w:hAnsi="Arial" w:cs="Arial"/>
      <w:color w:val="FFFFFF"/>
      <w:sz w:val="18"/>
      <w:szCs w:val="18"/>
      <w:lang w:val="en-US"/>
    </w:rPr>
  </w:style>
  <w:style w:type="paragraph" w:customStyle="1" w:styleId="xl39">
    <w:name w:val="xl39"/>
    <w:basedOn w:val="Normal"/>
    <w:uiPriority w:val="99"/>
    <w:rsid w:val="0006297A"/>
    <w:pPr>
      <w:spacing w:before="100" w:beforeAutospacing="1" w:after="100" w:afterAutospacing="1"/>
      <w:jc w:val="center"/>
      <w:textAlignment w:val="center"/>
    </w:pPr>
    <w:rPr>
      <w:rFonts w:ascii="Arial" w:hAnsi="Arial" w:cs="Arial"/>
      <w:b/>
      <w:bCs/>
      <w:color w:val="DD6600"/>
      <w:sz w:val="24"/>
      <w:szCs w:val="24"/>
      <w:lang w:val="en-US"/>
    </w:rPr>
  </w:style>
  <w:style w:type="paragraph" w:customStyle="1" w:styleId="StyleHeading2Before2ptAfter2pt">
    <w:name w:val="Style Heading 2 + Before:  2 pt After:  2 pt"/>
    <w:basedOn w:val="Heading2"/>
    <w:uiPriority w:val="99"/>
    <w:rsid w:val="0006297A"/>
    <w:pPr>
      <w:keepNext w:val="0"/>
      <w:keepLines w:val="0"/>
      <w:tabs>
        <w:tab w:val="left" w:pos="360"/>
      </w:tabs>
      <w:spacing w:before="40" w:after="40" w:line="260" w:lineRule="atLeast"/>
    </w:pPr>
    <w:rPr>
      <w:rFonts w:cs="Times New Roman"/>
      <w:bCs/>
      <w:color w:val="F38F1D"/>
      <w:sz w:val="19"/>
      <w:szCs w:val="20"/>
    </w:rPr>
  </w:style>
  <w:style w:type="paragraph" w:customStyle="1" w:styleId="ri06-bodycopy11pt0">
    <w:name w:val="ri06-bodycopy11pt"/>
    <w:basedOn w:val="Normal"/>
    <w:uiPriority w:val="99"/>
    <w:rsid w:val="0006297A"/>
    <w:pPr>
      <w:spacing w:after="100" w:line="280" w:lineRule="atLeast"/>
    </w:pPr>
    <w:rPr>
      <w:rFonts w:ascii="Arial" w:hAnsi="Arial" w:cs="Arial"/>
      <w:color w:val="5F6062"/>
      <w:szCs w:val="22"/>
      <w:lang w:val="en-US"/>
    </w:rPr>
  </w:style>
  <w:style w:type="table" w:customStyle="1" w:styleId="432">
    <w:name w:val="432"/>
    <w:uiPriority w:val="99"/>
    <w:rsid w:val="0006297A"/>
    <w:pPr>
      <w:autoSpaceDE w:val="0"/>
      <w:autoSpaceDN w:val="0"/>
      <w:adjustRightInd w:val="0"/>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TOC7">
    <w:name w:val="toc 7"/>
    <w:basedOn w:val="Normal"/>
    <w:next w:val="Normal"/>
    <w:autoRedefine/>
    <w:uiPriority w:val="39"/>
    <w:rsid w:val="0006297A"/>
    <w:pPr>
      <w:ind w:left="1440"/>
    </w:pPr>
    <w:rPr>
      <w:rFonts w:eastAsia="MS Mincho"/>
      <w:sz w:val="24"/>
      <w:szCs w:val="24"/>
      <w:lang w:val="en-US" w:eastAsia="ja-JP"/>
    </w:rPr>
  </w:style>
  <w:style w:type="character" w:customStyle="1" w:styleId="CharChar1">
    <w:name w:val="Char Char1"/>
    <w:basedOn w:val="DefaultParagraphFont"/>
    <w:uiPriority w:val="99"/>
    <w:semiHidden/>
    <w:locked/>
    <w:rsid w:val="0006297A"/>
    <w:rPr>
      <w:rFonts w:ascii="Calibri" w:hAnsi="Calibri" w:cs="Times New Roman"/>
      <w:sz w:val="22"/>
      <w:szCs w:val="22"/>
      <w:lang w:eastAsia="en-US" w:bidi="ar-SA"/>
    </w:rPr>
  </w:style>
  <w:style w:type="character" w:customStyle="1" w:styleId="CharChar54">
    <w:name w:val="Char Char54"/>
    <w:basedOn w:val="DefaultParagraphFont"/>
    <w:uiPriority w:val="99"/>
    <w:locked/>
    <w:rsid w:val="0006297A"/>
    <w:rPr>
      <w:rFonts w:ascii="Arial" w:hAnsi="Arial" w:cs="Times New Roman"/>
      <w:bCs/>
      <w:color w:val="F38F1D"/>
      <w:spacing w:val="4"/>
      <w:kern w:val="32"/>
      <w:sz w:val="32"/>
      <w:szCs w:val="32"/>
      <w:lang w:eastAsia="en-US" w:bidi="ar-SA"/>
    </w:rPr>
  </w:style>
  <w:style w:type="character" w:customStyle="1" w:styleId="CharChar44">
    <w:name w:val="Char Char44"/>
    <w:basedOn w:val="DefaultParagraphFont"/>
    <w:uiPriority w:val="99"/>
    <w:locked/>
    <w:rsid w:val="0006297A"/>
    <w:rPr>
      <w:rFonts w:ascii="Arial" w:hAnsi="Arial" w:cs="Times New Roman"/>
      <w:b/>
      <w:color w:val="F38F1D"/>
      <w:sz w:val="22"/>
      <w:szCs w:val="22"/>
      <w:lang w:eastAsia="en-US" w:bidi="ar-SA"/>
    </w:rPr>
  </w:style>
  <w:style w:type="table" w:customStyle="1" w:styleId="Tableshaded">
    <w:name w:val="Table shaded"/>
    <w:basedOn w:val="TableContemporary"/>
    <w:uiPriority w:val="99"/>
    <w:rsid w:val="0006297A"/>
    <w:rPr>
      <w:sz w:val="16"/>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pPr>
        <w:jc w:val="left"/>
      </w:pPr>
      <w:rPr>
        <w:rFonts w:ascii="Arial" w:hAnsi="Arial" w:cs="Times New Roman"/>
        <w:b/>
        <w:bCs/>
        <w:color w:val="FFFFFF"/>
        <w:sz w:val="16"/>
      </w:rPr>
      <w:tblPr/>
      <w:tcPr>
        <w:shd w:val="clear" w:color="auto" w:fill="5C5C5C"/>
      </w:tcPr>
    </w:tblStylePr>
    <w:tblStylePr w:type="lastRow">
      <w:rPr>
        <w:rFonts w:ascii="Arial" w:hAnsi="Arial" w:cs="Times New Roman"/>
        <w:color w:val="000000"/>
        <w:sz w:val="16"/>
      </w:rPr>
      <w:tblPr/>
      <w:tcPr>
        <w:shd w:val="clear" w:color="auto" w:fill="EBEAD5"/>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tblStylePr w:type="nwCell">
      <w:rPr>
        <w:rFonts w:ascii="Arial" w:hAnsi="Arial" w:cs="Times New Roman"/>
        <w:b/>
        <w:color w:val="FFFFFF"/>
        <w:sz w:val="16"/>
      </w:rPr>
      <w:tblPr/>
      <w:tcPr>
        <w:shd w:val="clear" w:color="auto" w:fill="5C5C5C"/>
      </w:tcPr>
    </w:tblStylePr>
  </w:style>
  <w:style w:type="table" w:customStyle="1" w:styleId="433">
    <w:name w:val="433"/>
    <w:uiPriority w:val="99"/>
    <w:rsid w:val="0006297A"/>
    <w:pPr>
      <w:autoSpaceDE w:val="0"/>
      <w:autoSpaceDN w:val="0"/>
      <w:adjustRightInd w:val="0"/>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TOC4">
    <w:name w:val="toc 4"/>
    <w:basedOn w:val="Normal"/>
    <w:next w:val="Normal"/>
    <w:autoRedefine/>
    <w:uiPriority w:val="39"/>
    <w:rsid w:val="0006297A"/>
    <w:pPr>
      <w:ind w:left="720"/>
    </w:pPr>
    <w:rPr>
      <w:rFonts w:eastAsia="MS Mincho"/>
      <w:sz w:val="24"/>
      <w:szCs w:val="24"/>
      <w:lang w:val="en-US" w:eastAsia="ja-JP"/>
    </w:rPr>
  </w:style>
  <w:style w:type="paragraph" w:styleId="TOC8">
    <w:name w:val="toc 8"/>
    <w:basedOn w:val="Normal"/>
    <w:next w:val="Normal"/>
    <w:autoRedefine/>
    <w:uiPriority w:val="39"/>
    <w:rsid w:val="0006297A"/>
    <w:pPr>
      <w:ind w:left="1680"/>
    </w:pPr>
    <w:rPr>
      <w:rFonts w:eastAsia="MS Mincho"/>
      <w:sz w:val="24"/>
      <w:szCs w:val="24"/>
      <w:lang w:val="en-US" w:eastAsia="ja-JP"/>
    </w:rPr>
  </w:style>
  <w:style w:type="paragraph" w:styleId="TOC9">
    <w:name w:val="toc 9"/>
    <w:basedOn w:val="Normal"/>
    <w:next w:val="Normal"/>
    <w:autoRedefine/>
    <w:uiPriority w:val="39"/>
    <w:rsid w:val="0006297A"/>
    <w:pPr>
      <w:ind w:left="1920"/>
    </w:pPr>
    <w:rPr>
      <w:rFonts w:eastAsia="MS Mincho"/>
      <w:sz w:val="24"/>
      <w:szCs w:val="24"/>
      <w:lang w:val="en-US" w:eastAsia="ja-JP"/>
    </w:rPr>
  </w:style>
  <w:style w:type="table" w:customStyle="1" w:styleId="431">
    <w:name w:val="431"/>
    <w:uiPriority w:val="99"/>
    <w:rsid w:val="0006297A"/>
    <w:pPr>
      <w:autoSpaceDE w:val="0"/>
      <w:autoSpaceDN w:val="0"/>
      <w:adjustRightInd w:val="0"/>
    </w:pPr>
    <w:rPr>
      <w:sz w:val="24"/>
      <w:szCs w:val="24"/>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character" w:styleId="CommentReference">
    <w:name w:val="annotation reference"/>
    <w:basedOn w:val="DefaultParagraphFont"/>
    <w:uiPriority w:val="99"/>
    <w:rsid w:val="0006297A"/>
    <w:rPr>
      <w:rFonts w:cs="Times New Roman"/>
      <w:sz w:val="16"/>
      <w:szCs w:val="16"/>
    </w:rPr>
  </w:style>
  <w:style w:type="paragraph" w:styleId="CommentText">
    <w:name w:val="annotation text"/>
    <w:basedOn w:val="Normal"/>
    <w:link w:val="CommentTextChar"/>
    <w:uiPriority w:val="99"/>
    <w:rsid w:val="0006297A"/>
    <w:pPr>
      <w:jc w:val="right"/>
    </w:pPr>
    <w:rPr>
      <w:rFonts w:ascii="Calibri" w:eastAsia="Calibri" w:hAnsi="Calibri"/>
      <w:sz w:val="20"/>
      <w:lang w:val="en-US"/>
    </w:rPr>
  </w:style>
  <w:style w:type="character" w:customStyle="1" w:styleId="CommentTextChar">
    <w:name w:val="Comment Text Char"/>
    <w:basedOn w:val="DefaultParagraphFont"/>
    <w:link w:val="CommentText"/>
    <w:uiPriority w:val="99"/>
    <w:rsid w:val="0006297A"/>
    <w:rPr>
      <w:rFonts w:ascii="Calibri" w:eastAsia="Calibri" w:hAnsi="Calibri"/>
    </w:rPr>
  </w:style>
  <w:style w:type="paragraph" w:styleId="CommentSubject">
    <w:name w:val="annotation subject"/>
    <w:basedOn w:val="CommentText"/>
    <w:next w:val="CommentText"/>
    <w:link w:val="CommentSubjectChar"/>
    <w:uiPriority w:val="99"/>
    <w:rsid w:val="0006297A"/>
    <w:rPr>
      <w:b/>
      <w:bCs/>
    </w:rPr>
  </w:style>
  <w:style w:type="character" w:customStyle="1" w:styleId="CommentSubjectChar">
    <w:name w:val="Comment Subject Char"/>
    <w:basedOn w:val="CommentTextChar"/>
    <w:link w:val="CommentSubject"/>
    <w:uiPriority w:val="99"/>
    <w:rsid w:val="0006297A"/>
    <w:rPr>
      <w:b/>
      <w:bCs/>
    </w:rPr>
  </w:style>
  <w:style w:type="table" w:customStyle="1" w:styleId="434">
    <w:name w:val="434"/>
    <w:uiPriority w:val="99"/>
    <w:rsid w:val="0006297A"/>
    <w:pPr>
      <w:widowControl w:val="0"/>
      <w:autoSpaceDE w:val="0"/>
      <w:autoSpaceDN w:val="0"/>
      <w:adjustRightInd w:val="0"/>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Default">
    <w:name w:val="Default"/>
    <w:rsid w:val="0006297A"/>
    <w:pPr>
      <w:autoSpaceDE w:val="0"/>
      <w:autoSpaceDN w:val="0"/>
      <w:adjustRightInd w:val="0"/>
    </w:pPr>
    <w:rPr>
      <w:color w:val="000000"/>
      <w:sz w:val="24"/>
      <w:szCs w:val="24"/>
    </w:rPr>
  </w:style>
  <w:style w:type="paragraph" w:customStyle="1" w:styleId="17-FootnoteCopy">
    <w:name w:val="17 - Footnote Copy"/>
    <w:basedOn w:val="Normal"/>
    <w:uiPriority w:val="99"/>
    <w:rsid w:val="0006297A"/>
    <w:pPr>
      <w:framePr w:wrap="around" w:vAnchor="page" w:hAnchor="page" w:x="9361" w:y="3241"/>
      <w:spacing w:before="120"/>
      <w:suppressOverlap/>
    </w:pPr>
    <w:rPr>
      <w:rFonts w:ascii="Arial" w:eastAsia="Calibri" w:hAnsi="Arial"/>
      <w:sz w:val="15"/>
      <w:szCs w:val="18"/>
      <w:lang w:val="en-US"/>
    </w:rPr>
  </w:style>
  <w:style w:type="paragraph" w:styleId="Revision">
    <w:name w:val="Revision"/>
    <w:hidden/>
    <w:uiPriority w:val="99"/>
    <w:semiHidden/>
    <w:rsid w:val="0006297A"/>
    <w:rPr>
      <w:rFonts w:ascii="Calibri" w:eastAsia="Calibri" w:hAnsi="Calibri"/>
      <w:sz w:val="22"/>
      <w:szCs w:val="22"/>
    </w:rPr>
  </w:style>
  <w:style w:type="paragraph" w:customStyle="1" w:styleId="Tablecolumnheadings">
    <w:name w:val="Table column headings"/>
    <w:basedOn w:val="Normal"/>
    <w:uiPriority w:val="99"/>
    <w:rsid w:val="0006297A"/>
    <w:pPr>
      <w:spacing w:before="120" w:beforeAutospacing="1" w:after="120" w:afterAutospacing="1"/>
    </w:pPr>
    <w:rPr>
      <w:rFonts w:ascii="Arial" w:hAnsi="Arial"/>
      <w:b/>
      <w:color w:val="FFFFFF"/>
      <w:sz w:val="20"/>
      <w:szCs w:val="21"/>
      <w:lang w:val="en-US"/>
    </w:rPr>
  </w:style>
  <w:style w:type="paragraph" w:styleId="PlainText">
    <w:name w:val="Plain Text"/>
    <w:basedOn w:val="Normal"/>
    <w:link w:val="PlainTextChar"/>
    <w:uiPriority w:val="99"/>
    <w:rsid w:val="0006297A"/>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06297A"/>
    <w:rPr>
      <w:rFonts w:ascii="Consolas" w:eastAsia="Calibri" w:hAnsi="Consolas"/>
      <w:sz w:val="21"/>
      <w:szCs w:val="21"/>
    </w:rPr>
  </w:style>
  <w:style w:type="table" w:customStyle="1" w:styleId="435">
    <w:name w:val="435"/>
    <w:uiPriority w:val="99"/>
    <w:rsid w:val="0006297A"/>
    <w:pPr>
      <w:widowControl w:val="0"/>
      <w:autoSpaceDE w:val="0"/>
      <w:autoSpaceDN w:val="0"/>
      <w:adjustRightInd w:val="0"/>
    </w:pPr>
    <w:rPr>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19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13" Type="http://schemas.openxmlformats.org/officeDocument/2006/relationships/hyperlink" Target="mailto:ecohen@Russell.com"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image" Target="media/image6.png"/><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image" Target="media/image9.png"/><Relationship Id="rId47" Type="http://schemas.openxmlformats.org/officeDocument/2006/relationships/oleObject" Target="embeddings/oleObject1.bin"/><Relationship Id="rId50" Type="http://schemas.openxmlformats.org/officeDocument/2006/relationships/image" Target="media/image15.wmf"/><Relationship Id="rId55" Type="http://schemas.openxmlformats.org/officeDocument/2006/relationships/oleObject" Target="embeddings/oleObject6.bin"/><Relationship Id="rId63" Type="http://schemas.openxmlformats.org/officeDocument/2006/relationships/header" Target="header13.xml"/><Relationship Id="rId68" Type="http://schemas.openxmlformats.org/officeDocument/2006/relationships/header" Target="header16.xml"/><Relationship Id="rId76" Type="http://schemas.openxmlformats.org/officeDocument/2006/relationships/header" Target="header21.xml"/><Relationship Id="rId84" Type="http://schemas.openxmlformats.org/officeDocument/2006/relationships/header" Target="header25.xml"/><Relationship Id="rId7" Type="http://schemas.openxmlformats.org/officeDocument/2006/relationships/numbering" Target="numbering.xml"/><Relationship Id="rId71"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financial-dictionary.thefreedictionary.com/Shareholder" TargetMode="Externa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hyperlink" Target="http://financial-dictionary.thefreedictionary.com/Stock" TargetMode="External"/><Relationship Id="rId37" Type="http://schemas.openxmlformats.org/officeDocument/2006/relationships/header" Target="header11.xml"/><Relationship Id="rId40" Type="http://schemas.openxmlformats.org/officeDocument/2006/relationships/image" Target="media/image7.png"/><Relationship Id="rId45" Type="http://schemas.openxmlformats.org/officeDocument/2006/relationships/image" Target="media/image12.png"/><Relationship Id="rId53" Type="http://schemas.openxmlformats.org/officeDocument/2006/relationships/image" Target="media/image16.wmf"/><Relationship Id="rId58" Type="http://schemas.openxmlformats.org/officeDocument/2006/relationships/image" Target="media/image18.emf"/><Relationship Id="rId66" Type="http://schemas.openxmlformats.org/officeDocument/2006/relationships/header" Target="header15.xml"/><Relationship Id="rId74" Type="http://schemas.openxmlformats.org/officeDocument/2006/relationships/footer" Target="footer14.xml"/><Relationship Id="rId79" Type="http://schemas.openxmlformats.org/officeDocument/2006/relationships/header" Target="header23.xml"/><Relationship Id="rId87"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0.wmf"/><Relationship Id="rId82" Type="http://schemas.openxmlformats.org/officeDocument/2006/relationships/header" Target="header24.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http://financial-dictionary.thefreedictionary.com/Buy" TargetMode="External"/><Relationship Id="rId35" Type="http://schemas.openxmlformats.org/officeDocument/2006/relationships/header" Target="header10.xml"/><Relationship Id="rId43" Type="http://schemas.openxmlformats.org/officeDocument/2006/relationships/image" Target="media/image10.png"/><Relationship Id="rId48" Type="http://schemas.openxmlformats.org/officeDocument/2006/relationships/image" Target="media/image14.wmf"/><Relationship Id="rId56" Type="http://schemas.openxmlformats.org/officeDocument/2006/relationships/image" Target="media/image17.wmf"/><Relationship Id="rId64" Type="http://schemas.openxmlformats.org/officeDocument/2006/relationships/header" Target="header14.xml"/><Relationship Id="rId69" Type="http://schemas.openxmlformats.org/officeDocument/2006/relationships/header" Target="header17.xml"/><Relationship Id="rId77" Type="http://schemas.openxmlformats.org/officeDocument/2006/relationships/footer" Target="footer15.xml"/><Relationship Id="rId8" Type="http://schemas.openxmlformats.org/officeDocument/2006/relationships/styles" Target="styles.xml"/><Relationship Id="rId51" Type="http://schemas.openxmlformats.org/officeDocument/2006/relationships/oleObject" Target="embeddings/oleObject3.bin"/><Relationship Id="rId72" Type="http://schemas.openxmlformats.org/officeDocument/2006/relationships/footer" Target="footer13.xml"/><Relationship Id="rId80" Type="http://schemas.openxmlformats.org/officeDocument/2006/relationships/footer" Target="footer16.xml"/><Relationship Id="rId85"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image" Target="media/image13.wmf"/><Relationship Id="rId59" Type="http://schemas.openxmlformats.org/officeDocument/2006/relationships/image" Target="media/image19.wmf"/><Relationship Id="rId67" Type="http://schemas.openxmlformats.org/officeDocument/2006/relationships/footer" Target="footer11.xml"/><Relationship Id="rId20" Type="http://schemas.openxmlformats.org/officeDocument/2006/relationships/header" Target="header4.xml"/><Relationship Id="rId41" Type="http://schemas.openxmlformats.org/officeDocument/2006/relationships/image" Target="media/image8.png"/><Relationship Id="rId54" Type="http://schemas.openxmlformats.org/officeDocument/2006/relationships/oleObject" Target="embeddings/oleObject5.bin"/><Relationship Id="rId62" Type="http://schemas.openxmlformats.org/officeDocument/2006/relationships/oleObject" Target="embeddings/oleObject9.bin"/><Relationship Id="rId70" Type="http://schemas.openxmlformats.org/officeDocument/2006/relationships/footer" Target="footer12.xml"/><Relationship Id="rId75" Type="http://schemas.openxmlformats.org/officeDocument/2006/relationships/header" Target="header20.xml"/><Relationship Id="rId83"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oleObject" Target="embeddings/oleObject2.bin"/><Relationship Id="rId57" Type="http://schemas.openxmlformats.org/officeDocument/2006/relationships/oleObject" Target="embeddings/oleObject7.bin"/><Relationship Id="rId10" Type="http://schemas.openxmlformats.org/officeDocument/2006/relationships/webSettings" Target="webSettings.xml"/><Relationship Id="rId31" Type="http://schemas.openxmlformats.org/officeDocument/2006/relationships/hyperlink" Target="http://financial-dictionary.thefreedictionary.com/Shares" TargetMode="External"/><Relationship Id="rId44" Type="http://schemas.openxmlformats.org/officeDocument/2006/relationships/image" Target="media/image11.png"/><Relationship Id="rId52" Type="http://schemas.openxmlformats.org/officeDocument/2006/relationships/oleObject" Target="embeddings/oleObject4.bin"/><Relationship Id="rId60" Type="http://schemas.openxmlformats.org/officeDocument/2006/relationships/oleObject" Target="embeddings/oleObject8.bin"/><Relationship Id="rId65" Type="http://schemas.openxmlformats.org/officeDocument/2006/relationships/footer" Target="footer10.xml"/><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footer" Target="footer17.xml"/><Relationship Id="rId86"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1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4.png"/></Relationships>
</file>

<file path=word/_rels/footer13.xml.rels><?xml version="1.0" encoding="UTF-8" standalone="yes"?>
<Relationships xmlns="http://schemas.openxmlformats.org/package/2006/relationships"><Relationship Id="rId1" Type="http://schemas.openxmlformats.org/officeDocument/2006/relationships/image" Target="media/image4.png"/></Relationships>
</file>

<file path=word/_rels/footer14.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4.png"/></Relationships>
</file>

<file path=word/_rels/footer16.xml.rels><?xml version="1.0" encoding="UTF-8" standalone="yes"?>
<Relationships xmlns="http://schemas.openxmlformats.org/package/2006/relationships"><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1" Type="http://schemas.openxmlformats.org/officeDocument/2006/relationships/image" Target="media/image4.png"/></Relationships>
</file>

<file path=word/_rels/footer1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1.png"/></Relationships>
</file>

<file path=word/_rels/footer19.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5.emf"/></Relationships>
</file>

<file path=word/_rels/header15.xml.rels><?xml version="1.0" encoding="UTF-8" standalone="yes"?>
<Relationships xmlns="http://schemas.openxmlformats.org/package/2006/relationships"><Relationship Id="rId1" Type="http://schemas.openxmlformats.org/officeDocument/2006/relationships/image" Target="media/image5.emf"/></Relationships>
</file>

<file path=word/_rels/header19.xml.rels><?xml version="1.0" encoding="UTF-8" standalone="yes"?>
<Relationships xmlns="http://schemas.openxmlformats.org/package/2006/relationships"><Relationship Id="rId1" Type="http://schemas.openxmlformats.org/officeDocument/2006/relationships/image" Target="media/image5.emf"/></Relationships>
</file>

<file path=word/_rels/header21.xml.rels><?xml version="1.0" encoding="UTF-8" standalone="yes"?>
<Relationships xmlns="http://schemas.openxmlformats.org/package/2006/relationships"><Relationship Id="rId1" Type="http://schemas.openxmlformats.org/officeDocument/2006/relationships/image" Target="media/image5.emf"/></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amo\Desktop\Templates%20and%20Forms\Seattle%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Document_x0020_Type xmlns="49936261-61c1-4f33-a1df-c216aa57d129">Letter</Document_x0020_Type>
    <City xmlns="872d3d5a-7c43-4be2-8d28-3ca4db6ff68d">Tacoma</City>
    <Application xmlns="49936261-61c1-4f33-a1df-c216aa57d129">Word</Application>
    <Region xmlns="872d3d5a-7c43-4be2-8d28-3ca4db6ff68d">Americas</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69E0D5A3DE34CB9A882C071D5CD93" ma:contentTypeVersion="6" ma:contentTypeDescription="Create a new document." ma:contentTypeScope="" ma:versionID="5549845ae1ba0168694dcd83c901ffff">
  <xsd:schema xmlns:xsd="http://www.w3.org/2001/XMLSchema" xmlns:p="http://schemas.microsoft.com/office/2006/metadata/properties" xmlns:ns2="49936261-61c1-4f33-a1df-c216aa57d129" xmlns:ns3="872d3d5a-7c43-4be2-8d28-3ca4db6ff68d" targetNamespace="http://schemas.microsoft.com/office/2006/metadata/properties" ma:root="true" ma:fieldsID="206029d1c82a75f289eaa7a2948b24d2" ns2:_="" ns3:_="">
    <xsd:import namespace="49936261-61c1-4f33-a1df-c216aa57d129"/>
    <xsd:import namespace="872d3d5a-7c43-4be2-8d28-3ca4db6ff68d"/>
    <xsd:element name="properties">
      <xsd:complexType>
        <xsd:sequence>
          <xsd:element name="documentManagement">
            <xsd:complexType>
              <xsd:all>
                <xsd:element ref="ns2:Application"/>
                <xsd:element ref="ns2:Document_x0020_Type" minOccurs="0"/>
                <xsd:element ref="ns3:City" minOccurs="0"/>
                <xsd:element ref="ns3:Region" minOccurs="0"/>
              </xsd:all>
            </xsd:complexType>
          </xsd:element>
        </xsd:sequence>
      </xsd:complexType>
    </xsd:element>
  </xsd:schema>
  <xsd:schema xmlns:xsd="http://www.w3.org/2001/XMLSchema" xmlns:dms="http://schemas.microsoft.com/office/2006/documentManagement/types" targetNamespace="49936261-61c1-4f33-a1df-c216aa57d129" elementFormDefault="qualified">
    <xsd:import namespace="http://schemas.microsoft.com/office/2006/documentManagement/types"/>
    <xsd:element name="Application" ma:index="8" ma:displayName="Application" ma:default="All" ma:description="Software application to which this item applies." ma:format="Dropdown" ma:internalName="Application">
      <xsd:simpleType>
        <xsd:restriction base="dms:Choice">
          <xsd:enumeration value="All"/>
          <xsd:enumeration value="Excel"/>
          <xsd:enumeration value="PowerPoint"/>
          <xsd:enumeration value="Word"/>
        </xsd:restriction>
      </xsd:simpleType>
    </xsd:element>
    <xsd:element name="Document_x0020_Type" ma:index="9" nillable="true" ma:displayName="Document Type" ma:default="" ma:description="Type of document, such as memo or letter." ma:format="Dropdown" ma:internalName="Document_x0020_Type" ma:readOnly="false">
      <xsd:simpleType>
        <xsd:union memberTypes="dms:Text">
          <xsd:simpleType>
            <xsd:restriction base="dms:Choice">
              <xsd:enumeration value="Agenda"/>
              <xsd:enumeration value="Fax"/>
              <xsd:enumeration value="Memo"/>
              <xsd:enumeration value="Letter"/>
              <xsd:enumeration value="Presentation"/>
              <xsd:enumeration value="Bio"/>
              <xsd:enumeration value="Itinerary"/>
              <xsd:enumeration value="Name Tag"/>
              <xsd:enumeration value="Table Tent"/>
              <xsd:enumeration value="Label"/>
              <xsd:enumeration value="Spreadsheet"/>
            </xsd:restriction>
          </xsd:simpleType>
        </xsd:union>
      </xsd:simpleType>
    </xsd:element>
  </xsd:schema>
  <xsd:schema xmlns:xsd="http://www.w3.org/2001/XMLSchema" xmlns:dms="http://schemas.microsoft.com/office/2006/documentManagement/types" targetNamespace="872d3d5a-7c43-4be2-8d28-3ca4db6ff68d" elementFormDefault="qualified">
    <xsd:import namespace="http://schemas.microsoft.com/office/2006/documentManagement/types"/>
    <xsd:element name="City" ma:index="10" nillable="true" ma:displayName="City" ma:description="Assign the city that the template applies to." ma:format="Dropdown" ma:internalName="City">
      <xsd:simpleType>
        <xsd:restriction base="dms:Choice">
          <xsd:enumeration value="All"/>
          <xsd:enumeration value="Amsterdam"/>
          <xsd:enumeration value="Auckland"/>
          <xsd:enumeration value="Brisbane"/>
          <xsd:enumeration value="Chicago"/>
          <xsd:enumeration value="Geneva"/>
          <xsd:enumeration value="Johannesburg"/>
          <xsd:enumeration value="London"/>
          <xsd:enumeration value="Melbourne"/>
          <xsd:enumeration value="Milwaukee"/>
          <xsd:enumeration value="New York"/>
          <xsd:enumeration value="Paris"/>
          <xsd:enumeration value="Perth"/>
          <xsd:enumeration value="San Diego"/>
          <xsd:enumeration value="Singapore"/>
          <xsd:enumeration value="Sydney"/>
          <xsd:enumeration value="Tacoma"/>
          <xsd:enumeration value="Tampa"/>
          <xsd:enumeration value="Tokyo"/>
          <xsd:enumeration value="Toronto"/>
          <xsd:enumeration value="US cities"/>
        </xsd:restriction>
      </xsd:simpleType>
    </xsd:element>
    <xsd:element name="Region" ma:index="11" nillable="true" ma:displayName="Region" ma:default="" ma:format="Dropdown" ma:internalName="Region">
      <xsd:simpleType>
        <xsd:restriction base="dms:Choice">
          <xsd:enumeration value="All"/>
          <xsd:enumeration value="Americas"/>
          <xsd:enumeration value="Australasia"/>
          <xsd:enumeration value="EMEA"/>
          <xsd:enumeration value="Japan"/>
          <xsd:enumeration value="Australasia/EME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4B0F-7E78-4559-8667-B24ED3B6C751}">
  <ds:schemaRefs>
    <ds:schemaRef ds:uri="http://schemas.microsoft.com/office/2006/metadata/properties"/>
    <ds:schemaRef ds:uri="49936261-61c1-4f33-a1df-c216aa57d129"/>
    <ds:schemaRef ds:uri="872d3d5a-7c43-4be2-8d28-3ca4db6ff68d"/>
  </ds:schemaRefs>
</ds:datastoreItem>
</file>

<file path=customXml/itemProps2.xml><?xml version="1.0" encoding="utf-8"?>
<ds:datastoreItem xmlns:ds="http://schemas.openxmlformats.org/officeDocument/2006/customXml" ds:itemID="{F3412368-953C-4591-8201-12913CDC7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36261-61c1-4f33-a1df-c216aa57d129"/>
    <ds:schemaRef ds:uri="872d3d5a-7c43-4be2-8d28-3ca4db6ff68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B89F5A-5E86-43A6-B685-D2CC91C70A10}">
  <ds:schemaRefs>
    <ds:schemaRef ds:uri="http://schemas.microsoft.com/sharepoint/v3/contenttype/forms"/>
  </ds:schemaRefs>
</ds:datastoreItem>
</file>

<file path=customXml/itemProps4.xml><?xml version="1.0" encoding="utf-8"?>
<ds:datastoreItem xmlns:ds="http://schemas.openxmlformats.org/officeDocument/2006/customXml" ds:itemID="{356856F6-F420-435B-8F35-7A69171C5FB2}">
  <ds:schemaRefs>
    <ds:schemaRef ds:uri="http://schemas.microsoft.com/office/2006/metadata/customXsn"/>
  </ds:schemaRefs>
</ds:datastoreItem>
</file>

<file path=customXml/itemProps5.xml><?xml version="1.0" encoding="utf-8"?>
<ds:datastoreItem xmlns:ds="http://schemas.openxmlformats.org/officeDocument/2006/customXml" ds:itemID="{A7E72974-117E-4FB9-8E59-D004AFC93184}">
  <ds:schemaRefs>
    <ds:schemaRef ds:uri="http://schemas.microsoft.com/office/2006/metadata/longProperties"/>
  </ds:schemaRefs>
</ds:datastoreItem>
</file>

<file path=customXml/itemProps6.xml><?xml version="1.0" encoding="utf-8"?>
<ds:datastoreItem xmlns:ds="http://schemas.openxmlformats.org/officeDocument/2006/customXml" ds:itemID="{F3978E2F-AC1E-4D7C-9BC5-10B0F04E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Seattle Letter.dot</Template>
  <TotalTime>4</TotalTime>
  <Pages>104</Pages>
  <Words>34127</Words>
  <Characters>204213</Characters>
  <Application>Microsoft Office Word</Application>
  <DocSecurity>0</DocSecurity>
  <Lines>1701</Lines>
  <Paragraphs>475</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Introduction</vt:lpstr>
      <vt:lpstr>    Available indexes</vt:lpstr>
      <vt:lpstr>Defining the total stock universe </vt:lpstr>
      <vt:lpstr>    Steps in constructing the investable equities universe and the Russell Global In</vt:lpstr>
      <vt:lpstr>    Total universe securities types</vt:lpstr>
      <vt:lpstr>    Excluded securities</vt:lpstr>
      <vt:lpstr>    Depositary receipt exceptions</vt:lpstr>
      <vt:lpstr>    Universe minimum size requirement </vt:lpstr>
      <vt:lpstr>    Universe country eligibility</vt:lpstr>
      <vt:lpstr>    Country risk</vt:lpstr>
      <vt:lpstr>    Trading risks/challenges</vt:lpstr>
      <vt:lpstr>    No Domestic Exchange (NDE) and Benefit Driven Incorporation (BDI) countries</vt:lpstr>
      <vt:lpstr>    Universe liquidity screen</vt:lpstr>
      <vt:lpstr>    Capturing 98% of the eligible universe</vt:lpstr>
      <vt:lpstr>Assigning securities to countries</vt:lpstr>
      <vt:lpstr>    Home country indicators (HCIs)</vt:lpstr>
      <vt:lpstr>    Hong Kong/Macao</vt:lpstr>
      <vt:lpstr>    Tax rates</vt:lpstr>
      <vt:lpstr>Russell Global Index membership</vt:lpstr>
      <vt:lpstr>    Global large cap and small cap indexes construction</vt:lpstr>
      <vt:lpstr>    Research summary</vt:lpstr>
      <vt:lpstr>    Construction rules</vt:lpstr>
      <vt:lpstr>    Countries without critical mass </vt:lpstr>
      <vt:lpstr>    Global SMID construction</vt:lpstr>
      <vt:lpstr>    Historical construction rules </vt:lpstr>
      <vt:lpstr>    Regional and country indexes</vt:lpstr>
      <vt:lpstr>    Emerging and developed markets </vt:lpstr>
      <vt:lpstr>    Economic criteria</vt:lpstr>
      <vt:lpstr>    Market criteria</vt:lpstr>
      <vt:lpstr>    Moving between developed and emerging markets</vt:lpstr>
      <vt:lpstr>Float-adjusted weighting </vt:lpstr>
      <vt:lpstr>    Step 1: Remove unavailable shares</vt:lpstr>
      <vt:lpstr>    Step 2: Apply foreign ownership limit adjustment</vt:lpstr>
      <vt:lpstr>    Step 3: Reflect special depositary receipts</vt:lpstr>
      <vt:lpstr>Determining style</vt:lpstr>
      <vt:lpstr>    Russell Growth and Value Indexes</vt:lpstr>
      <vt:lpstr>    Russell Defensive and Dynamic Indexes</vt:lpstr>
      <vt:lpstr>    Quality score (comprises 50% of the overall stability probability)</vt:lpstr>
    </vt:vector>
  </TitlesOfParts>
  <Company>Russell Investments</Company>
  <LinksUpToDate>false</LinksUpToDate>
  <CharactersWithSpaces>237865</CharactersWithSpaces>
  <SharedDoc>false</SharedDoc>
  <HLinks>
    <vt:vector size="972" baseType="variant">
      <vt:variant>
        <vt:i4>1769500</vt:i4>
      </vt:variant>
      <vt:variant>
        <vt:i4>975</vt:i4>
      </vt:variant>
      <vt:variant>
        <vt:i4>0</vt:i4>
      </vt:variant>
      <vt:variant>
        <vt:i4>5</vt:i4>
      </vt:variant>
      <vt:variant>
        <vt:lpwstr/>
      </vt:variant>
      <vt:variant>
        <vt:lpwstr>_ADDTV_Median</vt:lpwstr>
      </vt:variant>
      <vt:variant>
        <vt:i4>7602234</vt:i4>
      </vt:variant>
      <vt:variant>
        <vt:i4>939</vt:i4>
      </vt:variant>
      <vt:variant>
        <vt:i4>0</vt:i4>
      </vt:variant>
      <vt:variant>
        <vt:i4>5</vt:i4>
      </vt:variant>
      <vt:variant>
        <vt:lpwstr>http://financial-dictionary.thefreedictionary.com/Stock</vt:lpwstr>
      </vt:variant>
      <vt:variant>
        <vt:lpwstr/>
      </vt:variant>
      <vt:variant>
        <vt:i4>655441</vt:i4>
      </vt:variant>
      <vt:variant>
        <vt:i4>936</vt:i4>
      </vt:variant>
      <vt:variant>
        <vt:i4>0</vt:i4>
      </vt:variant>
      <vt:variant>
        <vt:i4>5</vt:i4>
      </vt:variant>
      <vt:variant>
        <vt:lpwstr>http://financial-dictionary.thefreedictionary.com/Shares</vt:lpwstr>
      </vt:variant>
      <vt:variant>
        <vt:lpwstr/>
      </vt:variant>
      <vt:variant>
        <vt:i4>1441860</vt:i4>
      </vt:variant>
      <vt:variant>
        <vt:i4>933</vt:i4>
      </vt:variant>
      <vt:variant>
        <vt:i4>0</vt:i4>
      </vt:variant>
      <vt:variant>
        <vt:i4>5</vt:i4>
      </vt:variant>
      <vt:variant>
        <vt:lpwstr>http://financial-dictionary.thefreedictionary.com/Buy</vt:lpwstr>
      </vt:variant>
      <vt:variant>
        <vt:lpwstr/>
      </vt:variant>
      <vt:variant>
        <vt:i4>1572954</vt:i4>
      </vt:variant>
      <vt:variant>
        <vt:i4>930</vt:i4>
      </vt:variant>
      <vt:variant>
        <vt:i4>0</vt:i4>
      </vt:variant>
      <vt:variant>
        <vt:i4>5</vt:i4>
      </vt:variant>
      <vt:variant>
        <vt:lpwstr>http://financial-dictionary.thefreedictionary.com/Shareholder</vt:lpwstr>
      </vt:variant>
      <vt:variant>
        <vt:lpwstr/>
      </vt:variant>
      <vt:variant>
        <vt:i4>558301241</vt:i4>
      </vt:variant>
      <vt:variant>
        <vt:i4>924</vt:i4>
      </vt:variant>
      <vt:variant>
        <vt:i4>0</vt:i4>
      </vt:variant>
      <vt:variant>
        <vt:i4>5</vt:i4>
      </vt:variant>
      <vt:variant>
        <vt:lpwstr/>
      </vt:variant>
      <vt:variant>
        <vt:lpwstr>_Russell_Frontier™_Index</vt:lpwstr>
      </vt:variant>
      <vt:variant>
        <vt:i4>6946830</vt:i4>
      </vt:variant>
      <vt:variant>
        <vt:i4>921</vt:i4>
      </vt:variant>
      <vt:variant>
        <vt:i4>0</vt:i4>
      </vt:variant>
      <vt:variant>
        <vt:i4>5</vt:i4>
      </vt:variant>
      <vt:variant>
        <vt:lpwstr/>
      </vt:variant>
      <vt:variant>
        <vt:lpwstr>_Russell_Global_Indexes:</vt:lpwstr>
      </vt:variant>
      <vt:variant>
        <vt:i4>5242976</vt:i4>
      </vt:variant>
      <vt:variant>
        <vt:i4>918</vt:i4>
      </vt:variant>
      <vt:variant>
        <vt:i4>0</vt:i4>
      </vt:variant>
      <vt:variant>
        <vt:i4>5</vt:i4>
      </vt:variant>
      <vt:variant>
        <vt:lpwstr/>
      </vt:variant>
      <vt:variant>
        <vt:lpwstr>_Country_assignment_methodology</vt:lpwstr>
      </vt:variant>
      <vt:variant>
        <vt:i4>558301241</vt:i4>
      </vt:variant>
      <vt:variant>
        <vt:i4>915</vt:i4>
      </vt:variant>
      <vt:variant>
        <vt:i4>0</vt:i4>
      </vt:variant>
      <vt:variant>
        <vt:i4>5</vt:i4>
      </vt:variant>
      <vt:variant>
        <vt:lpwstr/>
      </vt:variant>
      <vt:variant>
        <vt:lpwstr>_Russell_Frontier™_Index</vt:lpwstr>
      </vt:variant>
      <vt:variant>
        <vt:i4>6946830</vt:i4>
      </vt:variant>
      <vt:variant>
        <vt:i4>912</vt:i4>
      </vt:variant>
      <vt:variant>
        <vt:i4>0</vt:i4>
      </vt:variant>
      <vt:variant>
        <vt:i4>5</vt:i4>
      </vt:variant>
      <vt:variant>
        <vt:lpwstr/>
      </vt:variant>
      <vt:variant>
        <vt:lpwstr>_Russell_Global_Indexes:</vt:lpwstr>
      </vt:variant>
      <vt:variant>
        <vt:i4>1048639</vt:i4>
      </vt:variant>
      <vt:variant>
        <vt:i4>905</vt:i4>
      </vt:variant>
      <vt:variant>
        <vt:i4>0</vt:i4>
      </vt:variant>
      <vt:variant>
        <vt:i4>5</vt:i4>
      </vt:variant>
      <vt:variant>
        <vt:lpwstr/>
      </vt:variant>
      <vt:variant>
        <vt:lpwstr>_Toc343682774</vt:lpwstr>
      </vt:variant>
      <vt:variant>
        <vt:i4>1048639</vt:i4>
      </vt:variant>
      <vt:variant>
        <vt:i4>899</vt:i4>
      </vt:variant>
      <vt:variant>
        <vt:i4>0</vt:i4>
      </vt:variant>
      <vt:variant>
        <vt:i4>5</vt:i4>
      </vt:variant>
      <vt:variant>
        <vt:lpwstr/>
      </vt:variant>
      <vt:variant>
        <vt:lpwstr>_Toc343682773</vt:lpwstr>
      </vt:variant>
      <vt:variant>
        <vt:i4>1048639</vt:i4>
      </vt:variant>
      <vt:variant>
        <vt:i4>893</vt:i4>
      </vt:variant>
      <vt:variant>
        <vt:i4>0</vt:i4>
      </vt:variant>
      <vt:variant>
        <vt:i4>5</vt:i4>
      </vt:variant>
      <vt:variant>
        <vt:lpwstr/>
      </vt:variant>
      <vt:variant>
        <vt:lpwstr>_Toc343682772</vt:lpwstr>
      </vt:variant>
      <vt:variant>
        <vt:i4>1048639</vt:i4>
      </vt:variant>
      <vt:variant>
        <vt:i4>887</vt:i4>
      </vt:variant>
      <vt:variant>
        <vt:i4>0</vt:i4>
      </vt:variant>
      <vt:variant>
        <vt:i4>5</vt:i4>
      </vt:variant>
      <vt:variant>
        <vt:lpwstr/>
      </vt:variant>
      <vt:variant>
        <vt:lpwstr>_Toc343682771</vt:lpwstr>
      </vt:variant>
      <vt:variant>
        <vt:i4>1048639</vt:i4>
      </vt:variant>
      <vt:variant>
        <vt:i4>881</vt:i4>
      </vt:variant>
      <vt:variant>
        <vt:i4>0</vt:i4>
      </vt:variant>
      <vt:variant>
        <vt:i4>5</vt:i4>
      </vt:variant>
      <vt:variant>
        <vt:lpwstr/>
      </vt:variant>
      <vt:variant>
        <vt:lpwstr>_Toc343682770</vt:lpwstr>
      </vt:variant>
      <vt:variant>
        <vt:i4>1114175</vt:i4>
      </vt:variant>
      <vt:variant>
        <vt:i4>875</vt:i4>
      </vt:variant>
      <vt:variant>
        <vt:i4>0</vt:i4>
      </vt:variant>
      <vt:variant>
        <vt:i4>5</vt:i4>
      </vt:variant>
      <vt:variant>
        <vt:lpwstr/>
      </vt:variant>
      <vt:variant>
        <vt:lpwstr>_Toc343682769</vt:lpwstr>
      </vt:variant>
      <vt:variant>
        <vt:i4>1114175</vt:i4>
      </vt:variant>
      <vt:variant>
        <vt:i4>869</vt:i4>
      </vt:variant>
      <vt:variant>
        <vt:i4>0</vt:i4>
      </vt:variant>
      <vt:variant>
        <vt:i4>5</vt:i4>
      </vt:variant>
      <vt:variant>
        <vt:lpwstr/>
      </vt:variant>
      <vt:variant>
        <vt:lpwstr>_Toc343682768</vt:lpwstr>
      </vt:variant>
      <vt:variant>
        <vt:i4>1114175</vt:i4>
      </vt:variant>
      <vt:variant>
        <vt:i4>863</vt:i4>
      </vt:variant>
      <vt:variant>
        <vt:i4>0</vt:i4>
      </vt:variant>
      <vt:variant>
        <vt:i4>5</vt:i4>
      </vt:variant>
      <vt:variant>
        <vt:lpwstr/>
      </vt:variant>
      <vt:variant>
        <vt:lpwstr>_Toc343682767</vt:lpwstr>
      </vt:variant>
      <vt:variant>
        <vt:i4>1114175</vt:i4>
      </vt:variant>
      <vt:variant>
        <vt:i4>857</vt:i4>
      </vt:variant>
      <vt:variant>
        <vt:i4>0</vt:i4>
      </vt:variant>
      <vt:variant>
        <vt:i4>5</vt:i4>
      </vt:variant>
      <vt:variant>
        <vt:lpwstr/>
      </vt:variant>
      <vt:variant>
        <vt:lpwstr>_Toc343682766</vt:lpwstr>
      </vt:variant>
      <vt:variant>
        <vt:i4>1114175</vt:i4>
      </vt:variant>
      <vt:variant>
        <vt:i4>851</vt:i4>
      </vt:variant>
      <vt:variant>
        <vt:i4>0</vt:i4>
      </vt:variant>
      <vt:variant>
        <vt:i4>5</vt:i4>
      </vt:variant>
      <vt:variant>
        <vt:lpwstr/>
      </vt:variant>
      <vt:variant>
        <vt:lpwstr>_Toc343682765</vt:lpwstr>
      </vt:variant>
      <vt:variant>
        <vt:i4>1114175</vt:i4>
      </vt:variant>
      <vt:variant>
        <vt:i4>845</vt:i4>
      </vt:variant>
      <vt:variant>
        <vt:i4>0</vt:i4>
      </vt:variant>
      <vt:variant>
        <vt:i4>5</vt:i4>
      </vt:variant>
      <vt:variant>
        <vt:lpwstr/>
      </vt:variant>
      <vt:variant>
        <vt:lpwstr>_Toc343682764</vt:lpwstr>
      </vt:variant>
      <vt:variant>
        <vt:i4>1114175</vt:i4>
      </vt:variant>
      <vt:variant>
        <vt:i4>839</vt:i4>
      </vt:variant>
      <vt:variant>
        <vt:i4>0</vt:i4>
      </vt:variant>
      <vt:variant>
        <vt:i4>5</vt:i4>
      </vt:variant>
      <vt:variant>
        <vt:lpwstr/>
      </vt:variant>
      <vt:variant>
        <vt:lpwstr>_Toc343682763</vt:lpwstr>
      </vt:variant>
      <vt:variant>
        <vt:i4>1114175</vt:i4>
      </vt:variant>
      <vt:variant>
        <vt:i4>833</vt:i4>
      </vt:variant>
      <vt:variant>
        <vt:i4>0</vt:i4>
      </vt:variant>
      <vt:variant>
        <vt:i4>5</vt:i4>
      </vt:variant>
      <vt:variant>
        <vt:lpwstr/>
      </vt:variant>
      <vt:variant>
        <vt:lpwstr>_Toc343682762</vt:lpwstr>
      </vt:variant>
      <vt:variant>
        <vt:i4>1114175</vt:i4>
      </vt:variant>
      <vt:variant>
        <vt:i4>827</vt:i4>
      </vt:variant>
      <vt:variant>
        <vt:i4>0</vt:i4>
      </vt:variant>
      <vt:variant>
        <vt:i4>5</vt:i4>
      </vt:variant>
      <vt:variant>
        <vt:lpwstr/>
      </vt:variant>
      <vt:variant>
        <vt:lpwstr>_Toc343682761</vt:lpwstr>
      </vt:variant>
      <vt:variant>
        <vt:i4>1114175</vt:i4>
      </vt:variant>
      <vt:variant>
        <vt:i4>821</vt:i4>
      </vt:variant>
      <vt:variant>
        <vt:i4>0</vt:i4>
      </vt:variant>
      <vt:variant>
        <vt:i4>5</vt:i4>
      </vt:variant>
      <vt:variant>
        <vt:lpwstr/>
      </vt:variant>
      <vt:variant>
        <vt:lpwstr>_Toc343682760</vt:lpwstr>
      </vt:variant>
      <vt:variant>
        <vt:i4>1179711</vt:i4>
      </vt:variant>
      <vt:variant>
        <vt:i4>815</vt:i4>
      </vt:variant>
      <vt:variant>
        <vt:i4>0</vt:i4>
      </vt:variant>
      <vt:variant>
        <vt:i4>5</vt:i4>
      </vt:variant>
      <vt:variant>
        <vt:lpwstr/>
      </vt:variant>
      <vt:variant>
        <vt:lpwstr>_Toc343682759</vt:lpwstr>
      </vt:variant>
      <vt:variant>
        <vt:i4>1179711</vt:i4>
      </vt:variant>
      <vt:variant>
        <vt:i4>809</vt:i4>
      </vt:variant>
      <vt:variant>
        <vt:i4>0</vt:i4>
      </vt:variant>
      <vt:variant>
        <vt:i4>5</vt:i4>
      </vt:variant>
      <vt:variant>
        <vt:lpwstr/>
      </vt:variant>
      <vt:variant>
        <vt:lpwstr>_Toc343682758</vt:lpwstr>
      </vt:variant>
      <vt:variant>
        <vt:i4>1179711</vt:i4>
      </vt:variant>
      <vt:variant>
        <vt:i4>803</vt:i4>
      </vt:variant>
      <vt:variant>
        <vt:i4>0</vt:i4>
      </vt:variant>
      <vt:variant>
        <vt:i4>5</vt:i4>
      </vt:variant>
      <vt:variant>
        <vt:lpwstr/>
      </vt:variant>
      <vt:variant>
        <vt:lpwstr>_Toc343682757</vt:lpwstr>
      </vt:variant>
      <vt:variant>
        <vt:i4>1179711</vt:i4>
      </vt:variant>
      <vt:variant>
        <vt:i4>797</vt:i4>
      </vt:variant>
      <vt:variant>
        <vt:i4>0</vt:i4>
      </vt:variant>
      <vt:variant>
        <vt:i4>5</vt:i4>
      </vt:variant>
      <vt:variant>
        <vt:lpwstr/>
      </vt:variant>
      <vt:variant>
        <vt:lpwstr>_Toc343682756</vt:lpwstr>
      </vt:variant>
      <vt:variant>
        <vt:i4>1179711</vt:i4>
      </vt:variant>
      <vt:variant>
        <vt:i4>791</vt:i4>
      </vt:variant>
      <vt:variant>
        <vt:i4>0</vt:i4>
      </vt:variant>
      <vt:variant>
        <vt:i4>5</vt:i4>
      </vt:variant>
      <vt:variant>
        <vt:lpwstr/>
      </vt:variant>
      <vt:variant>
        <vt:lpwstr>_Toc343682755</vt:lpwstr>
      </vt:variant>
      <vt:variant>
        <vt:i4>1179711</vt:i4>
      </vt:variant>
      <vt:variant>
        <vt:i4>785</vt:i4>
      </vt:variant>
      <vt:variant>
        <vt:i4>0</vt:i4>
      </vt:variant>
      <vt:variant>
        <vt:i4>5</vt:i4>
      </vt:variant>
      <vt:variant>
        <vt:lpwstr/>
      </vt:variant>
      <vt:variant>
        <vt:lpwstr>_Toc343682754</vt:lpwstr>
      </vt:variant>
      <vt:variant>
        <vt:i4>1179711</vt:i4>
      </vt:variant>
      <vt:variant>
        <vt:i4>779</vt:i4>
      </vt:variant>
      <vt:variant>
        <vt:i4>0</vt:i4>
      </vt:variant>
      <vt:variant>
        <vt:i4>5</vt:i4>
      </vt:variant>
      <vt:variant>
        <vt:lpwstr/>
      </vt:variant>
      <vt:variant>
        <vt:lpwstr>_Toc343682753</vt:lpwstr>
      </vt:variant>
      <vt:variant>
        <vt:i4>1179711</vt:i4>
      </vt:variant>
      <vt:variant>
        <vt:i4>773</vt:i4>
      </vt:variant>
      <vt:variant>
        <vt:i4>0</vt:i4>
      </vt:variant>
      <vt:variant>
        <vt:i4>5</vt:i4>
      </vt:variant>
      <vt:variant>
        <vt:lpwstr/>
      </vt:variant>
      <vt:variant>
        <vt:lpwstr>_Toc343682752</vt:lpwstr>
      </vt:variant>
      <vt:variant>
        <vt:i4>1179711</vt:i4>
      </vt:variant>
      <vt:variant>
        <vt:i4>767</vt:i4>
      </vt:variant>
      <vt:variant>
        <vt:i4>0</vt:i4>
      </vt:variant>
      <vt:variant>
        <vt:i4>5</vt:i4>
      </vt:variant>
      <vt:variant>
        <vt:lpwstr/>
      </vt:variant>
      <vt:variant>
        <vt:lpwstr>_Toc343682751</vt:lpwstr>
      </vt:variant>
      <vt:variant>
        <vt:i4>1179711</vt:i4>
      </vt:variant>
      <vt:variant>
        <vt:i4>761</vt:i4>
      </vt:variant>
      <vt:variant>
        <vt:i4>0</vt:i4>
      </vt:variant>
      <vt:variant>
        <vt:i4>5</vt:i4>
      </vt:variant>
      <vt:variant>
        <vt:lpwstr/>
      </vt:variant>
      <vt:variant>
        <vt:lpwstr>_Toc343682750</vt:lpwstr>
      </vt:variant>
      <vt:variant>
        <vt:i4>1245247</vt:i4>
      </vt:variant>
      <vt:variant>
        <vt:i4>755</vt:i4>
      </vt:variant>
      <vt:variant>
        <vt:i4>0</vt:i4>
      </vt:variant>
      <vt:variant>
        <vt:i4>5</vt:i4>
      </vt:variant>
      <vt:variant>
        <vt:lpwstr/>
      </vt:variant>
      <vt:variant>
        <vt:lpwstr>_Toc343682749</vt:lpwstr>
      </vt:variant>
      <vt:variant>
        <vt:i4>1245247</vt:i4>
      </vt:variant>
      <vt:variant>
        <vt:i4>749</vt:i4>
      </vt:variant>
      <vt:variant>
        <vt:i4>0</vt:i4>
      </vt:variant>
      <vt:variant>
        <vt:i4>5</vt:i4>
      </vt:variant>
      <vt:variant>
        <vt:lpwstr/>
      </vt:variant>
      <vt:variant>
        <vt:lpwstr>_Toc343682748</vt:lpwstr>
      </vt:variant>
      <vt:variant>
        <vt:i4>1245247</vt:i4>
      </vt:variant>
      <vt:variant>
        <vt:i4>743</vt:i4>
      </vt:variant>
      <vt:variant>
        <vt:i4>0</vt:i4>
      </vt:variant>
      <vt:variant>
        <vt:i4>5</vt:i4>
      </vt:variant>
      <vt:variant>
        <vt:lpwstr/>
      </vt:variant>
      <vt:variant>
        <vt:lpwstr>_Toc343682747</vt:lpwstr>
      </vt:variant>
      <vt:variant>
        <vt:i4>1245247</vt:i4>
      </vt:variant>
      <vt:variant>
        <vt:i4>737</vt:i4>
      </vt:variant>
      <vt:variant>
        <vt:i4>0</vt:i4>
      </vt:variant>
      <vt:variant>
        <vt:i4>5</vt:i4>
      </vt:variant>
      <vt:variant>
        <vt:lpwstr/>
      </vt:variant>
      <vt:variant>
        <vt:lpwstr>_Toc343682746</vt:lpwstr>
      </vt:variant>
      <vt:variant>
        <vt:i4>1245247</vt:i4>
      </vt:variant>
      <vt:variant>
        <vt:i4>731</vt:i4>
      </vt:variant>
      <vt:variant>
        <vt:i4>0</vt:i4>
      </vt:variant>
      <vt:variant>
        <vt:i4>5</vt:i4>
      </vt:variant>
      <vt:variant>
        <vt:lpwstr/>
      </vt:variant>
      <vt:variant>
        <vt:lpwstr>_Toc343682745</vt:lpwstr>
      </vt:variant>
      <vt:variant>
        <vt:i4>1245247</vt:i4>
      </vt:variant>
      <vt:variant>
        <vt:i4>725</vt:i4>
      </vt:variant>
      <vt:variant>
        <vt:i4>0</vt:i4>
      </vt:variant>
      <vt:variant>
        <vt:i4>5</vt:i4>
      </vt:variant>
      <vt:variant>
        <vt:lpwstr/>
      </vt:variant>
      <vt:variant>
        <vt:lpwstr>_Toc343682744</vt:lpwstr>
      </vt:variant>
      <vt:variant>
        <vt:i4>1245247</vt:i4>
      </vt:variant>
      <vt:variant>
        <vt:i4>719</vt:i4>
      </vt:variant>
      <vt:variant>
        <vt:i4>0</vt:i4>
      </vt:variant>
      <vt:variant>
        <vt:i4>5</vt:i4>
      </vt:variant>
      <vt:variant>
        <vt:lpwstr/>
      </vt:variant>
      <vt:variant>
        <vt:lpwstr>_Toc343682743</vt:lpwstr>
      </vt:variant>
      <vt:variant>
        <vt:i4>1245247</vt:i4>
      </vt:variant>
      <vt:variant>
        <vt:i4>713</vt:i4>
      </vt:variant>
      <vt:variant>
        <vt:i4>0</vt:i4>
      </vt:variant>
      <vt:variant>
        <vt:i4>5</vt:i4>
      </vt:variant>
      <vt:variant>
        <vt:lpwstr/>
      </vt:variant>
      <vt:variant>
        <vt:lpwstr>_Toc343682742</vt:lpwstr>
      </vt:variant>
      <vt:variant>
        <vt:i4>1245247</vt:i4>
      </vt:variant>
      <vt:variant>
        <vt:i4>707</vt:i4>
      </vt:variant>
      <vt:variant>
        <vt:i4>0</vt:i4>
      </vt:variant>
      <vt:variant>
        <vt:i4>5</vt:i4>
      </vt:variant>
      <vt:variant>
        <vt:lpwstr/>
      </vt:variant>
      <vt:variant>
        <vt:lpwstr>_Toc343682741</vt:lpwstr>
      </vt:variant>
      <vt:variant>
        <vt:i4>1245247</vt:i4>
      </vt:variant>
      <vt:variant>
        <vt:i4>701</vt:i4>
      </vt:variant>
      <vt:variant>
        <vt:i4>0</vt:i4>
      </vt:variant>
      <vt:variant>
        <vt:i4>5</vt:i4>
      </vt:variant>
      <vt:variant>
        <vt:lpwstr/>
      </vt:variant>
      <vt:variant>
        <vt:lpwstr>_Toc343682740</vt:lpwstr>
      </vt:variant>
      <vt:variant>
        <vt:i4>1310783</vt:i4>
      </vt:variant>
      <vt:variant>
        <vt:i4>695</vt:i4>
      </vt:variant>
      <vt:variant>
        <vt:i4>0</vt:i4>
      </vt:variant>
      <vt:variant>
        <vt:i4>5</vt:i4>
      </vt:variant>
      <vt:variant>
        <vt:lpwstr/>
      </vt:variant>
      <vt:variant>
        <vt:lpwstr>_Toc343682739</vt:lpwstr>
      </vt:variant>
      <vt:variant>
        <vt:i4>1310783</vt:i4>
      </vt:variant>
      <vt:variant>
        <vt:i4>689</vt:i4>
      </vt:variant>
      <vt:variant>
        <vt:i4>0</vt:i4>
      </vt:variant>
      <vt:variant>
        <vt:i4>5</vt:i4>
      </vt:variant>
      <vt:variant>
        <vt:lpwstr/>
      </vt:variant>
      <vt:variant>
        <vt:lpwstr>_Toc343682738</vt:lpwstr>
      </vt:variant>
      <vt:variant>
        <vt:i4>1310783</vt:i4>
      </vt:variant>
      <vt:variant>
        <vt:i4>683</vt:i4>
      </vt:variant>
      <vt:variant>
        <vt:i4>0</vt:i4>
      </vt:variant>
      <vt:variant>
        <vt:i4>5</vt:i4>
      </vt:variant>
      <vt:variant>
        <vt:lpwstr/>
      </vt:variant>
      <vt:variant>
        <vt:lpwstr>_Toc343682737</vt:lpwstr>
      </vt:variant>
      <vt:variant>
        <vt:i4>1310783</vt:i4>
      </vt:variant>
      <vt:variant>
        <vt:i4>677</vt:i4>
      </vt:variant>
      <vt:variant>
        <vt:i4>0</vt:i4>
      </vt:variant>
      <vt:variant>
        <vt:i4>5</vt:i4>
      </vt:variant>
      <vt:variant>
        <vt:lpwstr/>
      </vt:variant>
      <vt:variant>
        <vt:lpwstr>_Toc343682736</vt:lpwstr>
      </vt:variant>
      <vt:variant>
        <vt:i4>1310783</vt:i4>
      </vt:variant>
      <vt:variant>
        <vt:i4>671</vt:i4>
      </vt:variant>
      <vt:variant>
        <vt:i4>0</vt:i4>
      </vt:variant>
      <vt:variant>
        <vt:i4>5</vt:i4>
      </vt:variant>
      <vt:variant>
        <vt:lpwstr/>
      </vt:variant>
      <vt:variant>
        <vt:lpwstr>_Toc343682735</vt:lpwstr>
      </vt:variant>
      <vt:variant>
        <vt:i4>1310783</vt:i4>
      </vt:variant>
      <vt:variant>
        <vt:i4>665</vt:i4>
      </vt:variant>
      <vt:variant>
        <vt:i4>0</vt:i4>
      </vt:variant>
      <vt:variant>
        <vt:i4>5</vt:i4>
      </vt:variant>
      <vt:variant>
        <vt:lpwstr/>
      </vt:variant>
      <vt:variant>
        <vt:lpwstr>_Toc343682734</vt:lpwstr>
      </vt:variant>
      <vt:variant>
        <vt:i4>1310783</vt:i4>
      </vt:variant>
      <vt:variant>
        <vt:i4>659</vt:i4>
      </vt:variant>
      <vt:variant>
        <vt:i4>0</vt:i4>
      </vt:variant>
      <vt:variant>
        <vt:i4>5</vt:i4>
      </vt:variant>
      <vt:variant>
        <vt:lpwstr/>
      </vt:variant>
      <vt:variant>
        <vt:lpwstr>_Toc343682733</vt:lpwstr>
      </vt:variant>
      <vt:variant>
        <vt:i4>1310783</vt:i4>
      </vt:variant>
      <vt:variant>
        <vt:i4>653</vt:i4>
      </vt:variant>
      <vt:variant>
        <vt:i4>0</vt:i4>
      </vt:variant>
      <vt:variant>
        <vt:i4>5</vt:i4>
      </vt:variant>
      <vt:variant>
        <vt:lpwstr/>
      </vt:variant>
      <vt:variant>
        <vt:lpwstr>_Toc343682732</vt:lpwstr>
      </vt:variant>
      <vt:variant>
        <vt:i4>1310783</vt:i4>
      </vt:variant>
      <vt:variant>
        <vt:i4>647</vt:i4>
      </vt:variant>
      <vt:variant>
        <vt:i4>0</vt:i4>
      </vt:variant>
      <vt:variant>
        <vt:i4>5</vt:i4>
      </vt:variant>
      <vt:variant>
        <vt:lpwstr/>
      </vt:variant>
      <vt:variant>
        <vt:lpwstr>_Toc343682731</vt:lpwstr>
      </vt:variant>
      <vt:variant>
        <vt:i4>1310783</vt:i4>
      </vt:variant>
      <vt:variant>
        <vt:i4>641</vt:i4>
      </vt:variant>
      <vt:variant>
        <vt:i4>0</vt:i4>
      </vt:variant>
      <vt:variant>
        <vt:i4>5</vt:i4>
      </vt:variant>
      <vt:variant>
        <vt:lpwstr/>
      </vt:variant>
      <vt:variant>
        <vt:lpwstr>_Toc343682730</vt:lpwstr>
      </vt:variant>
      <vt:variant>
        <vt:i4>1376319</vt:i4>
      </vt:variant>
      <vt:variant>
        <vt:i4>635</vt:i4>
      </vt:variant>
      <vt:variant>
        <vt:i4>0</vt:i4>
      </vt:variant>
      <vt:variant>
        <vt:i4>5</vt:i4>
      </vt:variant>
      <vt:variant>
        <vt:lpwstr/>
      </vt:variant>
      <vt:variant>
        <vt:lpwstr>_Toc343682729</vt:lpwstr>
      </vt:variant>
      <vt:variant>
        <vt:i4>1376319</vt:i4>
      </vt:variant>
      <vt:variant>
        <vt:i4>629</vt:i4>
      </vt:variant>
      <vt:variant>
        <vt:i4>0</vt:i4>
      </vt:variant>
      <vt:variant>
        <vt:i4>5</vt:i4>
      </vt:variant>
      <vt:variant>
        <vt:lpwstr/>
      </vt:variant>
      <vt:variant>
        <vt:lpwstr>_Toc343682728</vt:lpwstr>
      </vt:variant>
      <vt:variant>
        <vt:i4>1376319</vt:i4>
      </vt:variant>
      <vt:variant>
        <vt:i4>623</vt:i4>
      </vt:variant>
      <vt:variant>
        <vt:i4>0</vt:i4>
      </vt:variant>
      <vt:variant>
        <vt:i4>5</vt:i4>
      </vt:variant>
      <vt:variant>
        <vt:lpwstr/>
      </vt:variant>
      <vt:variant>
        <vt:lpwstr>_Toc343682727</vt:lpwstr>
      </vt:variant>
      <vt:variant>
        <vt:i4>1376319</vt:i4>
      </vt:variant>
      <vt:variant>
        <vt:i4>617</vt:i4>
      </vt:variant>
      <vt:variant>
        <vt:i4>0</vt:i4>
      </vt:variant>
      <vt:variant>
        <vt:i4>5</vt:i4>
      </vt:variant>
      <vt:variant>
        <vt:lpwstr/>
      </vt:variant>
      <vt:variant>
        <vt:lpwstr>_Toc343682726</vt:lpwstr>
      </vt:variant>
      <vt:variant>
        <vt:i4>1376319</vt:i4>
      </vt:variant>
      <vt:variant>
        <vt:i4>611</vt:i4>
      </vt:variant>
      <vt:variant>
        <vt:i4>0</vt:i4>
      </vt:variant>
      <vt:variant>
        <vt:i4>5</vt:i4>
      </vt:variant>
      <vt:variant>
        <vt:lpwstr/>
      </vt:variant>
      <vt:variant>
        <vt:lpwstr>_Toc343682725</vt:lpwstr>
      </vt:variant>
      <vt:variant>
        <vt:i4>1376319</vt:i4>
      </vt:variant>
      <vt:variant>
        <vt:i4>605</vt:i4>
      </vt:variant>
      <vt:variant>
        <vt:i4>0</vt:i4>
      </vt:variant>
      <vt:variant>
        <vt:i4>5</vt:i4>
      </vt:variant>
      <vt:variant>
        <vt:lpwstr/>
      </vt:variant>
      <vt:variant>
        <vt:lpwstr>_Toc343682724</vt:lpwstr>
      </vt:variant>
      <vt:variant>
        <vt:i4>1376319</vt:i4>
      </vt:variant>
      <vt:variant>
        <vt:i4>599</vt:i4>
      </vt:variant>
      <vt:variant>
        <vt:i4>0</vt:i4>
      </vt:variant>
      <vt:variant>
        <vt:i4>5</vt:i4>
      </vt:variant>
      <vt:variant>
        <vt:lpwstr/>
      </vt:variant>
      <vt:variant>
        <vt:lpwstr>_Toc343682723</vt:lpwstr>
      </vt:variant>
      <vt:variant>
        <vt:i4>1376319</vt:i4>
      </vt:variant>
      <vt:variant>
        <vt:i4>593</vt:i4>
      </vt:variant>
      <vt:variant>
        <vt:i4>0</vt:i4>
      </vt:variant>
      <vt:variant>
        <vt:i4>5</vt:i4>
      </vt:variant>
      <vt:variant>
        <vt:lpwstr/>
      </vt:variant>
      <vt:variant>
        <vt:lpwstr>_Toc343682722</vt:lpwstr>
      </vt:variant>
      <vt:variant>
        <vt:i4>1376319</vt:i4>
      </vt:variant>
      <vt:variant>
        <vt:i4>587</vt:i4>
      </vt:variant>
      <vt:variant>
        <vt:i4>0</vt:i4>
      </vt:variant>
      <vt:variant>
        <vt:i4>5</vt:i4>
      </vt:variant>
      <vt:variant>
        <vt:lpwstr/>
      </vt:variant>
      <vt:variant>
        <vt:lpwstr>_Toc343682721</vt:lpwstr>
      </vt:variant>
      <vt:variant>
        <vt:i4>1376319</vt:i4>
      </vt:variant>
      <vt:variant>
        <vt:i4>581</vt:i4>
      </vt:variant>
      <vt:variant>
        <vt:i4>0</vt:i4>
      </vt:variant>
      <vt:variant>
        <vt:i4>5</vt:i4>
      </vt:variant>
      <vt:variant>
        <vt:lpwstr/>
      </vt:variant>
      <vt:variant>
        <vt:lpwstr>_Toc343682720</vt:lpwstr>
      </vt:variant>
      <vt:variant>
        <vt:i4>1441855</vt:i4>
      </vt:variant>
      <vt:variant>
        <vt:i4>575</vt:i4>
      </vt:variant>
      <vt:variant>
        <vt:i4>0</vt:i4>
      </vt:variant>
      <vt:variant>
        <vt:i4>5</vt:i4>
      </vt:variant>
      <vt:variant>
        <vt:lpwstr/>
      </vt:variant>
      <vt:variant>
        <vt:lpwstr>_Toc343682719</vt:lpwstr>
      </vt:variant>
      <vt:variant>
        <vt:i4>1441855</vt:i4>
      </vt:variant>
      <vt:variant>
        <vt:i4>569</vt:i4>
      </vt:variant>
      <vt:variant>
        <vt:i4>0</vt:i4>
      </vt:variant>
      <vt:variant>
        <vt:i4>5</vt:i4>
      </vt:variant>
      <vt:variant>
        <vt:lpwstr/>
      </vt:variant>
      <vt:variant>
        <vt:lpwstr>_Toc343682718</vt:lpwstr>
      </vt:variant>
      <vt:variant>
        <vt:i4>1441855</vt:i4>
      </vt:variant>
      <vt:variant>
        <vt:i4>563</vt:i4>
      </vt:variant>
      <vt:variant>
        <vt:i4>0</vt:i4>
      </vt:variant>
      <vt:variant>
        <vt:i4>5</vt:i4>
      </vt:variant>
      <vt:variant>
        <vt:lpwstr/>
      </vt:variant>
      <vt:variant>
        <vt:lpwstr>_Toc343682717</vt:lpwstr>
      </vt:variant>
      <vt:variant>
        <vt:i4>1441855</vt:i4>
      </vt:variant>
      <vt:variant>
        <vt:i4>557</vt:i4>
      </vt:variant>
      <vt:variant>
        <vt:i4>0</vt:i4>
      </vt:variant>
      <vt:variant>
        <vt:i4>5</vt:i4>
      </vt:variant>
      <vt:variant>
        <vt:lpwstr/>
      </vt:variant>
      <vt:variant>
        <vt:lpwstr>_Toc343682716</vt:lpwstr>
      </vt:variant>
      <vt:variant>
        <vt:i4>1441855</vt:i4>
      </vt:variant>
      <vt:variant>
        <vt:i4>551</vt:i4>
      </vt:variant>
      <vt:variant>
        <vt:i4>0</vt:i4>
      </vt:variant>
      <vt:variant>
        <vt:i4>5</vt:i4>
      </vt:variant>
      <vt:variant>
        <vt:lpwstr/>
      </vt:variant>
      <vt:variant>
        <vt:lpwstr>_Toc343682715</vt:lpwstr>
      </vt:variant>
      <vt:variant>
        <vt:i4>1441855</vt:i4>
      </vt:variant>
      <vt:variant>
        <vt:i4>545</vt:i4>
      </vt:variant>
      <vt:variant>
        <vt:i4>0</vt:i4>
      </vt:variant>
      <vt:variant>
        <vt:i4>5</vt:i4>
      </vt:variant>
      <vt:variant>
        <vt:lpwstr/>
      </vt:variant>
      <vt:variant>
        <vt:lpwstr>_Toc343682714</vt:lpwstr>
      </vt:variant>
      <vt:variant>
        <vt:i4>1441855</vt:i4>
      </vt:variant>
      <vt:variant>
        <vt:i4>539</vt:i4>
      </vt:variant>
      <vt:variant>
        <vt:i4>0</vt:i4>
      </vt:variant>
      <vt:variant>
        <vt:i4>5</vt:i4>
      </vt:variant>
      <vt:variant>
        <vt:lpwstr/>
      </vt:variant>
      <vt:variant>
        <vt:lpwstr>_Toc343682713</vt:lpwstr>
      </vt:variant>
      <vt:variant>
        <vt:i4>1441855</vt:i4>
      </vt:variant>
      <vt:variant>
        <vt:i4>533</vt:i4>
      </vt:variant>
      <vt:variant>
        <vt:i4>0</vt:i4>
      </vt:variant>
      <vt:variant>
        <vt:i4>5</vt:i4>
      </vt:variant>
      <vt:variant>
        <vt:lpwstr/>
      </vt:variant>
      <vt:variant>
        <vt:lpwstr>_Toc343682712</vt:lpwstr>
      </vt:variant>
      <vt:variant>
        <vt:i4>1441855</vt:i4>
      </vt:variant>
      <vt:variant>
        <vt:i4>527</vt:i4>
      </vt:variant>
      <vt:variant>
        <vt:i4>0</vt:i4>
      </vt:variant>
      <vt:variant>
        <vt:i4>5</vt:i4>
      </vt:variant>
      <vt:variant>
        <vt:lpwstr/>
      </vt:variant>
      <vt:variant>
        <vt:lpwstr>_Toc343682711</vt:lpwstr>
      </vt:variant>
      <vt:variant>
        <vt:i4>1441855</vt:i4>
      </vt:variant>
      <vt:variant>
        <vt:i4>521</vt:i4>
      </vt:variant>
      <vt:variant>
        <vt:i4>0</vt:i4>
      </vt:variant>
      <vt:variant>
        <vt:i4>5</vt:i4>
      </vt:variant>
      <vt:variant>
        <vt:lpwstr/>
      </vt:variant>
      <vt:variant>
        <vt:lpwstr>_Toc343682710</vt:lpwstr>
      </vt:variant>
      <vt:variant>
        <vt:i4>1507391</vt:i4>
      </vt:variant>
      <vt:variant>
        <vt:i4>515</vt:i4>
      </vt:variant>
      <vt:variant>
        <vt:i4>0</vt:i4>
      </vt:variant>
      <vt:variant>
        <vt:i4>5</vt:i4>
      </vt:variant>
      <vt:variant>
        <vt:lpwstr/>
      </vt:variant>
      <vt:variant>
        <vt:lpwstr>_Toc343682709</vt:lpwstr>
      </vt:variant>
      <vt:variant>
        <vt:i4>1507391</vt:i4>
      </vt:variant>
      <vt:variant>
        <vt:i4>509</vt:i4>
      </vt:variant>
      <vt:variant>
        <vt:i4>0</vt:i4>
      </vt:variant>
      <vt:variant>
        <vt:i4>5</vt:i4>
      </vt:variant>
      <vt:variant>
        <vt:lpwstr/>
      </vt:variant>
      <vt:variant>
        <vt:lpwstr>_Toc343682708</vt:lpwstr>
      </vt:variant>
      <vt:variant>
        <vt:i4>1507391</vt:i4>
      </vt:variant>
      <vt:variant>
        <vt:i4>503</vt:i4>
      </vt:variant>
      <vt:variant>
        <vt:i4>0</vt:i4>
      </vt:variant>
      <vt:variant>
        <vt:i4>5</vt:i4>
      </vt:variant>
      <vt:variant>
        <vt:lpwstr/>
      </vt:variant>
      <vt:variant>
        <vt:lpwstr>_Toc343682707</vt:lpwstr>
      </vt:variant>
      <vt:variant>
        <vt:i4>1507391</vt:i4>
      </vt:variant>
      <vt:variant>
        <vt:i4>497</vt:i4>
      </vt:variant>
      <vt:variant>
        <vt:i4>0</vt:i4>
      </vt:variant>
      <vt:variant>
        <vt:i4>5</vt:i4>
      </vt:variant>
      <vt:variant>
        <vt:lpwstr/>
      </vt:variant>
      <vt:variant>
        <vt:lpwstr>_Toc343682706</vt:lpwstr>
      </vt:variant>
      <vt:variant>
        <vt:i4>1507391</vt:i4>
      </vt:variant>
      <vt:variant>
        <vt:i4>491</vt:i4>
      </vt:variant>
      <vt:variant>
        <vt:i4>0</vt:i4>
      </vt:variant>
      <vt:variant>
        <vt:i4>5</vt:i4>
      </vt:variant>
      <vt:variant>
        <vt:lpwstr/>
      </vt:variant>
      <vt:variant>
        <vt:lpwstr>_Toc343682705</vt:lpwstr>
      </vt:variant>
      <vt:variant>
        <vt:i4>1507391</vt:i4>
      </vt:variant>
      <vt:variant>
        <vt:i4>485</vt:i4>
      </vt:variant>
      <vt:variant>
        <vt:i4>0</vt:i4>
      </vt:variant>
      <vt:variant>
        <vt:i4>5</vt:i4>
      </vt:variant>
      <vt:variant>
        <vt:lpwstr/>
      </vt:variant>
      <vt:variant>
        <vt:lpwstr>_Toc343682704</vt:lpwstr>
      </vt:variant>
      <vt:variant>
        <vt:i4>1507391</vt:i4>
      </vt:variant>
      <vt:variant>
        <vt:i4>479</vt:i4>
      </vt:variant>
      <vt:variant>
        <vt:i4>0</vt:i4>
      </vt:variant>
      <vt:variant>
        <vt:i4>5</vt:i4>
      </vt:variant>
      <vt:variant>
        <vt:lpwstr/>
      </vt:variant>
      <vt:variant>
        <vt:lpwstr>_Toc343682703</vt:lpwstr>
      </vt:variant>
      <vt:variant>
        <vt:i4>1507391</vt:i4>
      </vt:variant>
      <vt:variant>
        <vt:i4>473</vt:i4>
      </vt:variant>
      <vt:variant>
        <vt:i4>0</vt:i4>
      </vt:variant>
      <vt:variant>
        <vt:i4>5</vt:i4>
      </vt:variant>
      <vt:variant>
        <vt:lpwstr/>
      </vt:variant>
      <vt:variant>
        <vt:lpwstr>_Toc343682702</vt:lpwstr>
      </vt:variant>
      <vt:variant>
        <vt:i4>1507391</vt:i4>
      </vt:variant>
      <vt:variant>
        <vt:i4>467</vt:i4>
      </vt:variant>
      <vt:variant>
        <vt:i4>0</vt:i4>
      </vt:variant>
      <vt:variant>
        <vt:i4>5</vt:i4>
      </vt:variant>
      <vt:variant>
        <vt:lpwstr/>
      </vt:variant>
      <vt:variant>
        <vt:lpwstr>_Toc343682701</vt:lpwstr>
      </vt:variant>
      <vt:variant>
        <vt:i4>1507391</vt:i4>
      </vt:variant>
      <vt:variant>
        <vt:i4>461</vt:i4>
      </vt:variant>
      <vt:variant>
        <vt:i4>0</vt:i4>
      </vt:variant>
      <vt:variant>
        <vt:i4>5</vt:i4>
      </vt:variant>
      <vt:variant>
        <vt:lpwstr/>
      </vt:variant>
      <vt:variant>
        <vt:lpwstr>_Toc343682700</vt:lpwstr>
      </vt:variant>
      <vt:variant>
        <vt:i4>1966142</vt:i4>
      </vt:variant>
      <vt:variant>
        <vt:i4>455</vt:i4>
      </vt:variant>
      <vt:variant>
        <vt:i4>0</vt:i4>
      </vt:variant>
      <vt:variant>
        <vt:i4>5</vt:i4>
      </vt:variant>
      <vt:variant>
        <vt:lpwstr/>
      </vt:variant>
      <vt:variant>
        <vt:lpwstr>_Toc343682699</vt:lpwstr>
      </vt:variant>
      <vt:variant>
        <vt:i4>1966142</vt:i4>
      </vt:variant>
      <vt:variant>
        <vt:i4>449</vt:i4>
      </vt:variant>
      <vt:variant>
        <vt:i4>0</vt:i4>
      </vt:variant>
      <vt:variant>
        <vt:i4>5</vt:i4>
      </vt:variant>
      <vt:variant>
        <vt:lpwstr/>
      </vt:variant>
      <vt:variant>
        <vt:lpwstr>_Toc343682698</vt:lpwstr>
      </vt:variant>
      <vt:variant>
        <vt:i4>1966142</vt:i4>
      </vt:variant>
      <vt:variant>
        <vt:i4>443</vt:i4>
      </vt:variant>
      <vt:variant>
        <vt:i4>0</vt:i4>
      </vt:variant>
      <vt:variant>
        <vt:i4>5</vt:i4>
      </vt:variant>
      <vt:variant>
        <vt:lpwstr/>
      </vt:variant>
      <vt:variant>
        <vt:lpwstr>_Toc343682697</vt:lpwstr>
      </vt:variant>
      <vt:variant>
        <vt:i4>1966142</vt:i4>
      </vt:variant>
      <vt:variant>
        <vt:i4>437</vt:i4>
      </vt:variant>
      <vt:variant>
        <vt:i4>0</vt:i4>
      </vt:variant>
      <vt:variant>
        <vt:i4>5</vt:i4>
      </vt:variant>
      <vt:variant>
        <vt:lpwstr/>
      </vt:variant>
      <vt:variant>
        <vt:lpwstr>_Toc343682696</vt:lpwstr>
      </vt:variant>
      <vt:variant>
        <vt:i4>1966142</vt:i4>
      </vt:variant>
      <vt:variant>
        <vt:i4>431</vt:i4>
      </vt:variant>
      <vt:variant>
        <vt:i4>0</vt:i4>
      </vt:variant>
      <vt:variant>
        <vt:i4>5</vt:i4>
      </vt:variant>
      <vt:variant>
        <vt:lpwstr/>
      </vt:variant>
      <vt:variant>
        <vt:lpwstr>_Toc343682695</vt:lpwstr>
      </vt:variant>
      <vt:variant>
        <vt:i4>1966142</vt:i4>
      </vt:variant>
      <vt:variant>
        <vt:i4>425</vt:i4>
      </vt:variant>
      <vt:variant>
        <vt:i4>0</vt:i4>
      </vt:variant>
      <vt:variant>
        <vt:i4>5</vt:i4>
      </vt:variant>
      <vt:variant>
        <vt:lpwstr/>
      </vt:variant>
      <vt:variant>
        <vt:lpwstr>_Toc343682694</vt:lpwstr>
      </vt:variant>
      <vt:variant>
        <vt:i4>1966142</vt:i4>
      </vt:variant>
      <vt:variant>
        <vt:i4>419</vt:i4>
      </vt:variant>
      <vt:variant>
        <vt:i4>0</vt:i4>
      </vt:variant>
      <vt:variant>
        <vt:i4>5</vt:i4>
      </vt:variant>
      <vt:variant>
        <vt:lpwstr/>
      </vt:variant>
      <vt:variant>
        <vt:lpwstr>_Toc343682693</vt:lpwstr>
      </vt:variant>
      <vt:variant>
        <vt:i4>1966142</vt:i4>
      </vt:variant>
      <vt:variant>
        <vt:i4>413</vt:i4>
      </vt:variant>
      <vt:variant>
        <vt:i4>0</vt:i4>
      </vt:variant>
      <vt:variant>
        <vt:i4>5</vt:i4>
      </vt:variant>
      <vt:variant>
        <vt:lpwstr/>
      </vt:variant>
      <vt:variant>
        <vt:lpwstr>_Toc343682692</vt:lpwstr>
      </vt:variant>
      <vt:variant>
        <vt:i4>1966142</vt:i4>
      </vt:variant>
      <vt:variant>
        <vt:i4>407</vt:i4>
      </vt:variant>
      <vt:variant>
        <vt:i4>0</vt:i4>
      </vt:variant>
      <vt:variant>
        <vt:i4>5</vt:i4>
      </vt:variant>
      <vt:variant>
        <vt:lpwstr/>
      </vt:variant>
      <vt:variant>
        <vt:lpwstr>_Toc343682691</vt:lpwstr>
      </vt:variant>
      <vt:variant>
        <vt:i4>1966142</vt:i4>
      </vt:variant>
      <vt:variant>
        <vt:i4>401</vt:i4>
      </vt:variant>
      <vt:variant>
        <vt:i4>0</vt:i4>
      </vt:variant>
      <vt:variant>
        <vt:i4>5</vt:i4>
      </vt:variant>
      <vt:variant>
        <vt:lpwstr/>
      </vt:variant>
      <vt:variant>
        <vt:lpwstr>_Toc343682690</vt:lpwstr>
      </vt:variant>
      <vt:variant>
        <vt:i4>2031678</vt:i4>
      </vt:variant>
      <vt:variant>
        <vt:i4>395</vt:i4>
      </vt:variant>
      <vt:variant>
        <vt:i4>0</vt:i4>
      </vt:variant>
      <vt:variant>
        <vt:i4>5</vt:i4>
      </vt:variant>
      <vt:variant>
        <vt:lpwstr/>
      </vt:variant>
      <vt:variant>
        <vt:lpwstr>_Toc343682689</vt:lpwstr>
      </vt:variant>
      <vt:variant>
        <vt:i4>2031678</vt:i4>
      </vt:variant>
      <vt:variant>
        <vt:i4>389</vt:i4>
      </vt:variant>
      <vt:variant>
        <vt:i4>0</vt:i4>
      </vt:variant>
      <vt:variant>
        <vt:i4>5</vt:i4>
      </vt:variant>
      <vt:variant>
        <vt:lpwstr/>
      </vt:variant>
      <vt:variant>
        <vt:lpwstr>_Toc343682688</vt:lpwstr>
      </vt:variant>
      <vt:variant>
        <vt:i4>2031678</vt:i4>
      </vt:variant>
      <vt:variant>
        <vt:i4>383</vt:i4>
      </vt:variant>
      <vt:variant>
        <vt:i4>0</vt:i4>
      </vt:variant>
      <vt:variant>
        <vt:i4>5</vt:i4>
      </vt:variant>
      <vt:variant>
        <vt:lpwstr/>
      </vt:variant>
      <vt:variant>
        <vt:lpwstr>_Toc343682687</vt:lpwstr>
      </vt:variant>
      <vt:variant>
        <vt:i4>2031678</vt:i4>
      </vt:variant>
      <vt:variant>
        <vt:i4>377</vt:i4>
      </vt:variant>
      <vt:variant>
        <vt:i4>0</vt:i4>
      </vt:variant>
      <vt:variant>
        <vt:i4>5</vt:i4>
      </vt:variant>
      <vt:variant>
        <vt:lpwstr/>
      </vt:variant>
      <vt:variant>
        <vt:lpwstr>_Toc343682686</vt:lpwstr>
      </vt:variant>
      <vt:variant>
        <vt:i4>2031678</vt:i4>
      </vt:variant>
      <vt:variant>
        <vt:i4>371</vt:i4>
      </vt:variant>
      <vt:variant>
        <vt:i4>0</vt:i4>
      </vt:variant>
      <vt:variant>
        <vt:i4>5</vt:i4>
      </vt:variant>
      <vt:variant>
        <vt:lpwstr/>
      </vt:variant>
      <vt:variant>
        <vt:lpwstr>_Toc343682685</vt:lpwstr>
      </vt:variant>
      <vt:variant>
        <vt:i4>2031678</vt:i4>
      </vt:variant>
      <vt:variant>
        <vt:i4>365</vt:i4>
      </vt:variant>
      <vt:variant>
        <vt:i4>0</vt:i4>
      </vt:variant>
      <vt:variant>
        <vt:i4>5</vt:i4>
      </vt:variant>
      <vt:variant>
        <vt:lpwstr/>
      </vt:variant>
      <vt:variant>
        <vt:lpwstr>_Toc343682684</vt:lpwstr>
      </vt:variant>
      <vt:variant>
        <vt:i4>2031678</vt:i4>
      </vt:variant>
      <vt:variant>
        <vt:i4>359</vt:i4>
      </vt:variant>
      <vt:variant>
        <vt:i4>0</vt:i4>
      </vt:variant>
      <vt:variant>
        <vt:i4>5</vt:i4>
      </vt:variant>
      <vt:variant>
        <vt:lpwstr/>
      </vt:variant>
      <vt:variant>
        <vt:lpwstr>_Toc343682683</vt:lpwstr>
      </vt:variant>
      <vt:variant>
        <vt:i4>2031678</vt:i4>
      </vt:variant>
      <vt:variant>
        <vt:i4>353</vt:i4>
      </vt:variant>
      <vt:variant>
        <vt:i4>0</vt:i4>
      </vt:variant>
      <vt:variant>
        <vt:i4>5</vt:i4>
      </vt:variant>
      <vt:variant>
        <vt:lpwstr/>
      </vt:variant>
      <vt:variant>
        <vt:lpwstr>_Toc343682682</vt:lpwstr>
      </vt:variant>
      <vt:variant>
        <vt:i4>2031678</vt:i4>
      </vt:variant>
      <vt:variant>
        <vt:i4>347</vt:i4>
      </vt:variant>
      <vt:variant>
        <vt:i4>0</vt:i4>
      </vt:variant>
      <vt:variant>
        <vt:i4>5</vt:i4>
      </vt:variant>
      <vt:variant>
        <vt:lpwstr/>
      </vt:variant>
      <vt:variant>
        <vt:lpwstr>_Toc343682681</vt:lpwstr>
      </vt:variant>
      <vt:variant>
        <vt:i4>2031678</vt:i4>
      </vt:variant>
      <vt:variant>
        <vt:i4>341</vt:i4>
      </vt:variant>
      <vt:variant>
        <vt:i4>0</vt:i4>
      </vt:variant>
      <vt:variant>
        <vt:i4>5</vt:i4>
      </vt:variant>
      <vt:variant>
        <vt:lpwstr/>
      </vt:variant>
      <vt:variant>
        <vt:lpwstr>_Toc343682680</vt:lpwstr>
      </vt:variant>
      <vt:variant>
        <vt:i4>1048638</vt:i4>
      </vt:variant>
      <vt:variant>
        <vt:i4>335</vt:i4>
      </vt:variant>
      <vt:variant>
        <vt:i4>0</vt:i4>
      </vt:variant>
      <vt:variant>
        <vt:i4>5</vt:i4>
      </vt:variant>
      <vt:variant>
        <vt:lpwstr/>
      </vt:variant>
      <vt:variant>
        <vt:lpwstr>_Toc343682679</vt:lpwstr>
      </vt:variant>
      <vt:variant>
        <vt:i4>1048638</vt:i4>
      </vt:variant>
      <vt:variant>
        <vt:i4>329</vt:i4>
      </vt:variant>
      <vt:variant>
        <vt:i4>0</vt:i4>
      </vt:variant>
      <vt:variant>
        <vt:i4>5</vt:i4>
      </vt:variant>
      <vt:variant>
        <vt:lpwstr/>
      </vt:variant>
      <vt:variant>
        <vt:lpwstr>_Toc343682678</vt:lpwstr>
      </vt:variant>
      <vt:variant>
        <vt:i4>1048638</vt:i4>
      </vt:variant>
      <vt:variant>
        <vt:i4>323</vt:i4>
      </vt:variant>
      <vt:variant>
        <vt:i4>0</vt:i4>
      </vt:variant>
      <vt:variant>
        <vt:i4>5</vt:i4>
      </vt:variant>
      <vt:variant>
        <vt:lpwstr/>
      </vt:variant>
      <vt:variant>
        <vt:lpwstr>_Toc343682677</vt:lpwstr>
      </vt:variant>
      <vt:variant>
        <vt:i4>1048638</vt:i4>
      </vt:variant>
      <vt:variant>
        <vt:i4>317</vt:i4>
      </vt:variant>
      <vt:variant>
        <vt:i4>0</vt:i4>
      </vt:variant>
      <vt:variant>
        <vt:i4>5</vt:i4>
      </vt:variant>
      <vt:variant>
        <vt:lpwstr/>
      </vt:variant>
      <vt:variant>
        <vt:lpwstr>_Toc343682676</vt:lpwstr>
      </vt:variant>
      <vt:variant>
        <vt:i4>1048638</vt:i4>
      </vt:variant>
      <vt:variant>
        <vt:i4>311</vt:i4>
      </vt:variant>
      <vt:variant>
        <vt:i4>0</vt:i4>
      </vt:variant>
      <vt:variant>
        <vt:i4>5</vt:i4>
      </vt:variant>
      <vt:variant>
        <vt:lpwstr/>
      </vt:variant>
      <vt:variant>
        <vt:lpwstr>_Toc343682675</vt:lpwstr>
      </vt:variant>
      <vt:variant>
        <vt:i4>1048638</vt:i4>
      </vt:variant>
      <vt:variant>
        <vt:i4>305</vt:i4>
      </vt:variant>
      <vt:variant>
        <vt:i4>0</vt:i4>
      </vt:variant>
      <vt:variant>
        <vt:i4>5</vt:i4>
      </vt:variant>
      <vt:variant>
        <vt:lpwstr/>
      </vt:variant>
      <vt:variant>
        <vt:lpwstr>_Toc343682674</vt:lpwstr>
      </vt:variant>
      <vt:variant>
        <vt:i4>1048638</vt:i4>
      </vt:variant>
      <vt:variant>
        <vt:i4>299</vt:i4>
      </vt:variant>
      <vt:variant>
        <vt:i4>0</vt:i4>
      </vt:variant>
      <vt:variant>
        <vt:i4>5</vt:i4>
      </vt:variant>
      <vt:variant>
        <vt:lpwstr/>
      </vt:variant>
      <vt:variant>
        <vt:lpwstr>_Toc343682673</vt:lpwstr>
      </vt:variant>
      <vt:variant>
        <vt:i4>1048638</vt:i4>
      </vt:variant>
      <vt:variant>
        <vt:i4>293</vt:i4>
      </vt:variant>
      <vt:variant>
        <vt:i4>0</vt:i4>
      </vt:variant>
      <vt:variant>
        <vt:i4>5</vt:i4>
      </vt:variant>
      <vt:variant>
        <vt:lpwstr/>
      </vt:variant>
      <vt:variant>
        <vt:lpwstr>_Toc343682672</vt:lpwstr>
      </vt:variant>
      <vt:variant>
        <vt:i4>1048638</vt:i4>
      </vt:variant>
      <vt:variant>
        <vt:i4>287</vt:i4>
      </vt:variant>
      <vt:variant>
        <vt:i4>0</vt:i4>
      </vt:variant>
      <vt:variant>
        <vt:i4>5</vt:i4>
      </vt:variant>
      <vt:variant>
        <vt:lpwstr/>
      </vt:variant>
      <vt:variant>
        <vt:lpwstr>_Toc343682671</vt:lpwstr>
      </vt:variant>
      <vt:variant>
        <vt:i4>1048638</vt:i4>
      </vt:variant>
      <vt:variant>
        <vt:i4>281</vt:i4>
      </vt:variant>
      <vt:variant>
        <vt:i4>0</vt:i4>
      </vt:variant>
      <vt:variant>
        <vt:i4>5</vt:i4>
      </vt:variant>
      <vt:variant>
        <vt:lpwstr/>
      </vt:variant>
      <vt:variant>
        <vt:lpwstr>_Toc343682670</vt:lpwstr>
      </vt:variant>
      <vt:variant>
        <vt:i4>1114174</vt:i4>
      </vt:variant>
      <vt:variant>
        <vt:i4>275</vt:i4>
      </vt:variant>
      <vt:variant>
        <vt:i4>0</vt:i4>
      </vt:variant>
      <vt:variant>
        <vt:i4>5</vt:i4>
      </vt:variant>
      <vt:variant>
        <vt:lpwstr/>
      </vt:variant>
      <vt:variant>
        <vt:lpwstr>_Toc343682669</vt:lpwstr>
      </vt:variant>
      <vt:variant>
        <vt:i4>1114174</vt:i4>
      </vt:variant>
      <vt:variant>
        <vt:i4>269</vt:i4>
      </vt:variant>
      <vt:variant>
        <vt:i4>0</vt:i4>
      </vt:variant>
      <vt:variant>
        <vt:i4>5</vt:i4>
      </vt:variant>
      <vt:variant>
        <vt:lpwstr/>
      </vt:variant>
      <vt:variant>
        <vt:lpwstr>_Toc343682668</vt:lpwstr>
      </vt:variant>
      <vt:variant>
        <vt:i4>1114174</vt:i4>
      </vt:variant>
      <vt:variant>
        <vt:i4>263</vt:i4>
      </vt:variant>
      <vt:variant>
        <vt:i4>0</vt:i4>
      </vt:variant>
      <vt:variant>
        <vt:i4>5</vt:i4>
      </vt:variant>
      <vt:variant>
        <vt:lpwstr/>
      </vt:variant>
      <vt:variant>
        <vt:lpwstr>_Toc343682667</vt:lpwstr>
      </vt:variant>
      <vt:variant>
        <vt:i4>1114174</vt:i4>
      </vt:variant>
      <vt:variant>
        <vt:i4>257</vt:i4>
      </vt:variant>
      <vt:variant>
        <vt:i4>0</vt:i4>
      </vt:variant>
      <vt:variant>
        <vt:i4>5</vt:i4>
      </vt:variant>
      <vt:variant>
        <vt:lpwstr/>
      </vt:variant>
      <vt:variant>
        <vt:lpwstr>_Toc343682666</vt:lpwstr>
      </vt:variant>
      <vt:variant>
        <vt:i4>1114174</vt:i4>
      </vt:variant>
      <vt:variant>
        <vt:i4>251</vt:i4>
      </vt:variant>
      <vt:variant>
        <vt:i4>0</vt:i4>
      </vt:variant>
      <vt:variant>
        <vt:i4>5</vt:i4>
      </vt:variant>
      <vt:variant>
        <vt:lpwstr/>
      </vt:variant>
      <vt:variant>
        <vt:lpwstr>_Toc343682665</vt:lpwstr>
      </vt:variant>
      <vt:variant>
        <vt:i4>1114174</vt:i4>
      </vt:variant>
      <vt:variant>
        <vt:i4>245</vt:i4>
      </vt:variant>
      <vt:variant>
        <vt:i4>0</vt:i4>
      </vt:variant>
      <vt:variant>
        <vt:i4>5</vt:i4>
      </vt:variant>
      <vt:variant>
        <vt:lpwstr/>
      </vt:variant>
      <vt:variant>
        <vt:lpwstr>_Toc343682664</vt:lpwstr>
      </vt:variant>
      <vt:variant>
        <vt:i4>1114174</vt:i4>
      </vt:variant>
      <vt:variant>
        <vt:i4>239</vt:i4>
      </vt:variant>
      <vt:variant>
        <vt:i4>0</vt:i4>
      </vt:variant>
      <vt:variant>
        <vt:i4>5</vt:i4>
      </vt:variant>
      <vt:variant>
        <vt:lpwstr/>
      </vt:variant>
      <vt:variant>
        <vt:lpwstr>_Toc343682663</vt:lpwstr>
      </vt:variant>
      <vt:variant>
        <vt:i4>1114174</vt:i4>
      </vt:variant>
      <vt:variant>
        <vt:i4>233</vt:i4>
      </vt:variant>
      <vt:variant>
        <vt:i4>0</vt:i4>
      </vt:variant>
      <vt:variant>
        <vt:i4>5</vt:i4>
      </vt:variant>
      <vt:variant>
        <vt:lpwstr/>
      </vt:variant>
      <vt:variant>
        <vt:lpwstr>_Toc343682662</vt:lpwstr>
      </vt:variant>
      <vt:variant>
        <vt:i4>1114174</vt:i4>
      </vt:variant>
      <vt:variant>
        <vt:i4>227</vt:i4>
      </vt:variant>
      <vt:variant>
        <vt:i4>0</vt:i4>
      </vt:variant>
      <vt:variant>
        <vt:i4>5</vt:i4>
      </vt:variant>
      <vt:variant>
        <vt:lpwstr/>
      </vt:variant>
      <vt:variant>
        <vt:lpwstr>_Toc343682661</vt:lpwstr>
      </vt:variant>
      <vt:variant>
        <vt:i4>1114174</vt:i4>
      </vt:variant>
      <vt:variant>
        <vt:i4>221</vt:i4>
      </vt:variant>
      <vt:variant>
        <vt:i4>0</vt:i4>
      </vt:variant>
      <vt:variant>
        <vt:i4>5</vt:i4>
      </vt:variant>
      <vt:variant>
        <vt:lpwstr/>
      </vt:variant>
      <vt:variant>
        <vt:lpwstr>_Toc343682660</vt:lpwstr>
      </vt:variant>
      <vt:variant>
        <vt:i4>1179710</vt:i4>
      </vt:variant>
      <vt:variant>
        <vt:i4>215</vt:i4>
      </vt:variant>
      <vt:variant>
        <vt:i4>0</vt:i4>
      </vt:variant>
      <vt:variant>
        <vt:i4>5</vt:i4>
      </vt:variant>
      <vt:variant>
        <vt:lpwstr/>
      </vt:variant>
      <vt:variant>
        <vt:lpwstr>_Toc343682659</vt:lpwstr>
      </vt:variant>
      <vt:variant>
        <vt:i4>1179710</vt:i4>
      </vt:variant>
      <vt:variant>
        <vt:i4>209</vt:i4>
      </vt:variant>
      <vt:variant>
        <vt:i4>0</vt:i4>
      </vt:variant>
      <vt:variant>
        <vt:i4>5</vt:i4>
      </vt:variant>
      <vt:variant>
        <vt:lpwstr/>
      </vt:variant>
      <vt:variant>
        <vt:lpwstr>_Toc343682658</vt:lpwstr>
      </vt:variant>
      <vt:variant>
        <vt:i4>1179710</vt:i4>
      </vt:variant>
      <vt:variant>
        <vt:i4>203</vt:i4>
      </vt:variant>
      <vt:variant>
        <vt:i4>0</vt:i4>
      </vt:variant>
      <vt:variant>
        <vt:i4>5</vt:i4>
      </vt:variant>
      <vt:variant>
        <vt:lpwstr/>
      </vt:variant>
      <vt:variant>
        <vt:lpwstr>_Toc343682657</vt:lpwstr>
      </vt:variant>
      <vt:variant>
        <vt:i4>1179710</vt:i4>
      </vt:variant>
      <vt:variant>
        <vt:i4>197</vt:i4>
      </vt:variant>
      <vt:variant>
        <vt:i4>0</vt:i4>
      </vt:variant>
      <vt:variant>
        <vt:i4>5</vt:i4>
      </vt:variant>
      <vt:variant>
        <vt:lpwstr/>
      </vt:variant>
      <vt:variant>
        <vt:lpwstr>_Toc343682656</vt:lpwstr>
      </vt:variant>
      <vt:variant>
        <vt:i4>1179710</vt:i4>
      </vt:variant>
      <vt:variant>
        <vt:i4>191</vt:i4>
      </vt:variant>
      <vt:variant>
        <vt:i4>0</vt:i4>
      </vt:variant>
      <vt:variant>
        <vt:i4>5</vt:i4>
      </vt:variant>
      <vt:variant>
        <vt:lpwstr/>
      </vt:variant>
      <vt:variant>
        <vt:lpwstr>_Toc343682655</vt:lpwstr>
      </vt:variant>
      <vt:variant>
        <vt:i4>1179710</vt:i4>
      </vt:variant>
      <vt:variant>
        <vt:i4>185</vt:i4>
      </vt:variant>
      <vt:variant>
        <vt:i4>0</vt:i4>
      </vt:variant>
      <vt:variant>
        <vt:i4>5</vt:i4>
      </vt:variant>
      <vt:variant>
        <vt:lpwstr/>
      </vt:variant>
      <vt:variant>
        <vt:lpwstr>_Toc343682654</vt:lpwstr>
      </vt:variant>
      <vt:variant>
        <vt:i4>1179710</vt:i4>
      </vt:variant>
      <vt:variant>
        <vt:i4>179</vt:i4>
      </vt:variant>
      <vt:variant>
        <vt:i4>0</vt:i4>
      </vt:variant>
      <vt:variant>
        <vt:i4>5</vt:i4>
      </vt:variant>
      <vt:variant>
        <vt:lpwstr/>
      </vt:variant>
      <vt:variant>
        <vt:lpwstr>_Toc343682653</vt:lpwstr>
      </vt:variant>
      <vt:variant>
        <vt:i4>1179710</vt:i4>
      </vt:variant>
      <vt:variant>
        <vt:i4>173</vt:i4>
      </vt:variant>
      <vt:variant>
        <vt:i4>0</vt:i4>
      </vt:variant>
      <vt:variant>
        <vt:i4>5</vt:i4>
      </vt:variant>
      <vt:variant>
        <vt:lpwstr/>
      </vt:variant>
      <vt:variant>
        <vt:lpwstr>_Toc343682652</vt:lpwstr>
      </vt:variant>
      <vt:variant>
        <vt:i4>1179710</vt:i4>
      </vt:variant>
      <vt:variant>
        <vt:i4>167</vt:i4>
      </vt:variant>
      <vt:variant>
        <vt:i4>0</vt:i4>
      </vt:variant>
      <vt:variant>
        <vt:i4>5</vt:i4>
      </vt:variant>
      <vt:variant>
        <vt:lpwstr/>
      </vt:variant>
      <vt:variant>
        <vt:lpwstr>_Toc343682651</vt:lpwstr>
      </vt:variant>
      <vt:variant>
        <vt:i4>1179710</vt:i4>
      </vt:variant>
      <vt:variant>
        <vt:i4>161</vt:i4>
      </vt:variant>
      <vt:variant>
        <vt:i4>0</vt:i4>
      </vt:variant>
      <vt:variant>
        <vt:i4>5</vt:i4>
      </vt:variant>
      <vt:variant>
        <vt:lpwstr/>
      </vt:variant>
      <vt:variant>
        <vt:lpwstr>_Toc343682650</vt:lpwstr>
      </vt:variant>
      <vt:variant>
        <vt:i4>1245246</vt:i4>
      </vt:variant>
      <vt:variant>
        <vt:i4>155</vt:i4>
      </vt:variant>
      <vt:variant>
        <vt:i4>0</vt:i4>
      </vt:variant>
      <vt:variant>
        <vt:i4>5</vt:i4>
      </vt:variant>
      <vt:variant>
        <vt:lpwstr/>
      </vt:variant>
      <vt:variant>
        <vt:lpwstr>_Toc343682649</vt:lpwstr>
      </vt:variant>
      <vt:variant>
        <vt:i4>1245246</vt:i4>
      </vt:variant>
      <vt:variant>
        <vt:i4>149</vt:i4>
      </vt:variant>
      <vt:variant>
        <vt:i4>0</vt:i4>
      </vt:variant>
      <vt:variant>
        <vt:i4>5</vt:i4>
      </vt:variant>
      <vt:variant>
        <vt:lpwstr/>
      </vt:variant>
      <vt:variant>
        <vt:lpwstr>_Toc343682648</vt:lpwstr>
      </vt:variant>
      <vt:variant>
        <vt:i4>1245246</vt:i4>
      </vt:variant>
      <vt:variant>
        <vt:i4>143</vt:i4>
      </vt:variant>
      <vt:variant>
        <vt:i4>0</vt:i4>
      </vt:variant>
      <vt:variant>
        <vt:i4>5</vt:i4>
      </vt:variant>
      <vt:variant>
        <vt:lpwstr/>
      </vt:variant>
      <vt:variant>
        <vt:lpwstr>_Toc343682647</vt:lpwstr>
      </vt:variant>
      <vt:variant>
        <vt:i4>1245246</vt:i4>
      </vt:variant>
      <vt:variant>
        <vt:i4>137</vt:i4>
      </vt:variant>
      <vt:variant>
        <vt:i4>0</vt:i4>
      </vt:variant>
      <vt:variant>
        <vt:i4>5</vt:i4>
      </vt:variant>
      <vt:variant>
        <vt:lpwstr/>
      </vt:variant>
      <vt:variant>
        <vt:lpwstr>_Toc343682646</vt:lpwstr>
      </vt:variant>
      <vt:variant>
        <vt:i4>1245246</vt:i4>
      </vt:variant>
      <vt:variant>
        <vt:i4>131</vt:i4>
      </vt:variant>
      <vt:variant>
        <vt:i4>0</vt:i4>
      </vt:variant>
      <vt:variant>
        <vt:i4>5</vt:i4>
      </vt:variant>
      <vt:variant>
        <vt:lpwstr/>
      </vt:variant>
      <vt:variant>
        <vt:lpwstr>_Toc343682645</vt:lpwstr>
      </vt:variant>
      <vt:variant>
        <vt:i4>1245246</vt:i4>
      </vt:variant>
      <vt:variant>
        <vt:i4>125</vt:i4>
      </vt:variant>
      <vt:variant>
        <vt:i4>0</vt:i4>
      </vt:variant>
      <vt:variant>
        <vt:i4>5</vt:i4>
      </vt:variant>
      <vt:variant>
        <vt:lpwstr/>
      </vt:variant>
      <vt:variant>
        <vt:lpwstr>_Toc343682644</vt:lpwstr>
      </vt:variant>
      <vt:variant>
        <vt:i4>1245246</vt:i4>
      </vt:variant>
      <vt:variant>
        <vt:i4>119</vt:i4>
      </vt:variant>
      <vt:variant>
        <vt:i4>0</vt:i4>
      </vt:variant>
      <vt:variant>
        <vt:i4>5</vt:i4>
      </vt:variant>
      <vt:variant>
        <vt:lpwstr/>
      </vt:variant>
      <vt:variant>
        <vt:lpwstr>_Toc343682643</vt:lpwstr>
      </vt:variant>
      <vt:variant>
        <vt:i4>1245246</vt:i4>
      </vt:variant>
      <vt:variant>
        <vt:i4>113</vt:i4>
      </vt:variant>
      <vt:variant>
        <vt:i4>0</vt:i4>
      </vt:variant>
      <vt:variant>
        <vt:i4>5</vt:i4>
      </vt:variant>
      <vt:variant>
        <vt:lpwstr/>
      </vt:variant>
      <vt:variant>
        <vt:lpwstr>_Toc343682642</vt:lpwstr>
      </vt:variant>
      <vt:variant>
        <vt:i4>1245246</vt:i4>
      </vt:variant>
      <vt:variant>
        <vt:i4>107</vt:i4>
      </vt:variant>
      <vt:variant>
        <vt:i4>0</vt:i4>
      </vt:variant>
      <vt:variant>
        <vt:i4>5</vt:i4>
      </vt:variant>
      <vt:variant>
        <vt:lpwstr/>
      </vt:variant>
      <vt:variant>
        <vt:lpwstr>_Toc343682641</vt:lpwstr>
      </vt:variant>
      <vt:variant>
        <vt:i4>1245246</vt:i4>
      </vt:variant>
      <vt:variant>
        <vt:i4>101</vt:i4>
      </vt:variant>
      <vt:variant>
        <vt:i4>0</vt:i4>
      </vt:variant>
      <vt:variant>
        <vt:i4>5</vt:i4>
      </vt:variant>
      <vt:variant>
        <vt:lpwstr/>
      </vt:variant>
      <vt:variant>
        <vt:lpwstr>_Toc343682640</vt:lpwstr>
      </vt:variant>
      <vt:variant>
        <vt:i4>1310782</vt:i4>
      </vt:variant>
      <vt:variant>
        <vt:i4>95</vt:i4>
      </vt:variant>
      <vt:variant>
        <vt:i4>0</vt:i4>
      </vt:variant>
      <vt:variant>
        <vt:i4>5</vt:i4>
      </vt:variant>
      <vt:variant>
        <vt:lpwstr/>
      </vt:variant>
      <vt:variant>
        <vt:lpwstr>_Toc343682639</vt:lpwstr>
      </vt:variant>
      <vt:variant>
        <vt:i4>1310782</vt:i4>
      </vt:variant>
      <vt:variant>
        <vt:i4>89</vt:i4>
      </vt:variant>
      <vt:variant>
        <vt:i4>0</vt:i4>
      </vt:variant>
      <vt:variant>
        <vt:i4>5</vt:i4>
      </vt:variant>
      <vt:variant>
        <vt:lpwstr/>
      </vt:variant>
      <vt:variant>
        <vt:lpwstr>_Toc343682638</vt:lpwstr>
      </vt:variant>
      <vt:variant>
        <vt:i4>1310782</vt:i4>
      </vt:variant>
      <vt:variant>
        <vt:i4>83</vt:i4>
      </vt:variant>
      <vt:variant>
        <vt:i4>0</vt:i4>
      </vt:variant>
      <vt:variant>
        <vt:i4>5</vt:i4>
      </vt:variant>
      <vt:variant>
        <vt:lpwstr/>
      </vt:variant>
      <vt:variant>
        <vt:lpwstr>_Toc343682637</vt:lpwstr>
      </vt:variant>
      <vt:variant>
        <vt:i4>1310782</vt:i4>
      </vt:variant>
      <vt:variant>
        <vt:i4>77</vt:i4>
      </vt:variant>
      <vt:variant>
        <vt:i4>0</vt:i4>
      </vt:variant>
      <vt:variant>
        <vt:i4>5</vt:i4>
      </vt:variant>
      <vt:variant>
        <vt:lpwstr/>
      </vt:variant>
      <vt:variant>
        <vt:lpwstr>_Toc343682636</vt:lpwstr>
      </vt:variant>
      <vt:variant>
        <vt:i4>1310782</vt:i4>
      </vt:variant>
      <vt:variant>
        <vt:i4>71</vt:i4>
      </vt:variant>
      <vt:variant>
        <vt:i4>0</vt:i4>
      </vt:variant>
      <vt:variant>
        <vt:i4>5</vt:i4>
      </vt:variant>
      <vt:variant>
        <vt:lpwstr/>
      </vt:variant>
      <vt:variant>
        <vt:lpwstr>_Toc343682635</vt:lpwstr>
      </vt:variant>
      <vt:variant>
        <vt:i4>1310782</vt:i4>
      </vt:variant>
      <vt:variant>
        <vt:i4>65</vt:i4>
      </vt:variant>
      <vt:variant>
        <vt:i4>0</vt:i4>
      </vt:variant>
      <vt:variant>
        <vt:i4>5</vt:i4>
      </vt:variant>
      <vt:variant>
        <vt:lpwstr/>
      </vt:variant>
      <vt:variant>
        <vt:lpwstr>_Toc343682634</vt:lpwstr>
      </vt:variant>
      <vt:variant>
        <vt:i4>1310782</vt:i4>
      </vt:variant>
      <vt:variant>
        <vt:i4>59</vt:i4>
      </vt:variant>
      <vt:variant>
        <vt:i4>0</vt:i4>
      </vt:variant>
      <vt:variant>
        <vt:i4>5</vt:i4>
      </vt:variant>
      <vt:variant>
        <vt:lpwstr/>
      </vt:variant>
      <vt:variant>
        <vt:lpwstr>_Toc343682633</vt:lpwstr>
      </vt:variant>
      <vt:variant>
        <vt:i4>1310782</vt:i4>
      </vt:variant>
      <vt:variant>
        <vt:i4>53</vt:i4>
      </vt:variant>
      <vt:variant>
        <vt:i4>0</vt:i4>
      </vt:variant>
      <vt:variant>
        <vt:i4>5</vt:i4>
      </vt:variant>
      <vt:variant>
        <vt:lpwstr/>
      </vt:variant>
      <vt:variant>
        <vt:lpwstr>_Toc343682632</vt:lpwstr>
      </vt:variant>
      <vt:variant>
        <vt:i4>1310782</vt:i4>
      </vt:variant>
      <vt:variant>
        <vt:i4>47</vt:i4>
      </vt:variant>
      <vt:variant>
        <vt:i4>0</vt:i4>
      </vt:variant>
      <vt:variant>
        <vt:i4>5</vt:i4>
      </vt:variant>
      <vt:variant>
        <vt:lpwstr/>
      </vt:variant>
      <vt:variant>
        <vt:lpwstr>_Toc343682631</vt:lpwstr>
      </vt:variant>
      <vt:variant>
        <vt:i4>1310782</vt:i4>
      </vt:variant>
      <vt:variant>
        <vt:i4>41</vt:i4>
      </vt:variant>
      <vt:variant>
        <vt:i4>0</vt:i4>
      </vt:variant>
      <vt:variant>
        <vt:i4>5</vt:i4>
      </vt:variant>
      <vt:variant>
        <vt:lpwstr/>
      </vt:variant>
      <vt:variant>
        <vt:lpwstr>_Toc343682630</vt:lpwstr>
      </vt:variant>
      <vt:variant>
        <vt:i4>1376318</vt:i4>
      </vt:variant>
      <vt:variant>
        <vt:i4>35</vt:i4>
      </vt:variant>
      <vt:variant>
        <vt:i4>0</vt:i4>
      </vt:variant>
      <vt:variant>
        <vt:i4>5</vt:i4>
      </vt:variant>
      <vt:variant>
        <vt:lpwstr/>
      </vt:variant>
      <vt:variant>
        <vt:lpwstr>_Toc343682629</vt:lpwstr>
      </vt:variant>
      <vt:variant>
        <vt:i4>1376318</vt:i4>
      </vt:variant>
      <vt:variant>
        <vt:i4>29</vt:i4>
      </vt:variant>
      <vt:variant>
        <vt:i4>0</vt:i4>
      </vt:variant>
      <vt:variant>
        <vt:i4>5</vt:i4>
      </vt:variant>
      <vt:variant>
        <vt:lpwstr/>
      </vt:variant>
      <vt:variant>
        <vt:lpwstr>_Toc343682628</vt:lpwstr>
      </vt:variant>
      <vt:variant>
        <vt:i4>1376318</vt:i4>
      </vt:variant>
      <vt:variant>
        <vt:i4>23</vt:i4>
      </vt:variant>
      <vt:variant>
        <vt:i4>0</vt:i4>
      </vt:variant>
      <vt:variant>
        <vt:i4>5</vt:i4>
      </vt:variant>
      <vt:variant>
        <vt:lpwstr/>
      </vt:variant>
      <vt:variant>
        <vt:lpwstr>_Toc343682627</vt:lpwstr>
      </vt:variant>
      <vt:variant>
        <vt:i4>1376318</vt:i4>
      </vt:variant>
      <vt:variant>
        <vt:i4>17</vt:i4>
      </vt:variant>
      <vt:variant>
        <vt:i4>0</vt:i4>
      </vt:variant>
      <vt:variant>
        <vt:i4>5</vt:i4>
      </vt:variant>
      <vt:variant>
        <vt:lpwstr/>
      </vt:variant>
      <vt:variant>
        <vt:lpwstr>_Toc343682626</vt:lpwstr>
      </vt:variant>
      <vt:variant>
        <vt:i4>1376318</vt:i4>
      </vt:variant>
      <vt:variant>
        <vt:i4>11</vt:i4>
      </vt:variant>
      <vt:variant>
        <vt:i4>0</vt:i4>
      </vt:variant>
      <vt:variant>
        <vt:i4>5</vt:i4>
      </vt:variant>
      <vt:variant>
        <vt:lpwstr/>
      </vt:variant>
      <vt:variant>
        <vt:lpwstr>_Toc343682625</vt:lpwstr>
      </vt:variant>
      <vt:variant>
        <vt:i4>1376318</vt:i4>
      </vt:variant>
      <vt:variant>
        <vt:i4>5</vt:i4>
      </vt:variant>
      <vt:variant>
        <vt:i4>0</vt:i4>
      </vt:variant>
      <vt:variant>
        <vt:i4>5</vt:i4>
      </vt:variant>
      <vt:variant>
        <vt:lpwstr/>
      </vt:variant>
      <vt:variant>
        <vt:lpwstr>_Toc343682624</vt:lpwstr>
      </vt:variant>
      <vt:variant>
        <vt:i4>6684740</vt:i4>
      </vt:variant>
      <vt:variant>
        <vt:i4>0</vt:i4>
      </vt:variant>
      <vt:variant>
        <vt:i4>0</vt:i4>
      </vt:variant>
      <vt:variant>
        <vt:i4>5</vt:i4>
      </vt:variant>
      <vt:variant>
        <vt:lpwstr>mailto:ecohen@Russell.com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Adamo</dc:creator>
  <cp:lastModifiedBy>Elliot Cohen</cp:lastModifiedBy>
  <cp:revision>2</cp:revision>
  <cp:lastPrinted>2013-02-15T21:39:00Z</cp:lastPrinted>
  <dcterms:created xsi:type="dcterms:W3CDTF">2013-02-15T21:59:00Z</dcterms:created>
  <dcterms:modified xsi:type="dcterms:W3CDTF">2013-02-15T21:59:00Z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17400.0000000000</vt:lpwstr>
  </property>
  <property fmtid="{D5CDD505-2E9C-101B-9397-08002B2CF9AE}" pid="4" name="Description0">
    <vt:lpwstr>For reports, general docs, etc. Can be used with Russell Electronic Cover.</vt:lpwstr>
  </property>
  <property fmtid="{D5CDD505-2E9C-101B-9397-08002B2CF9AE}" pid="5" name="Paper Size">
    <vt:lpwstr>8 1/2 x 11</vt:lpwstr>
  </property>
</Properties>
</file>