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1F46" w:rsidRPr="00593375" w:rsidRDefault="003C1F46" w:rsidP="00593375">
      <w:pPr>
        <w:pStyle w:val="Default"/>
        <w:jc w:val="center"/>
        <w:rPr>
          <w:rFonts w:ascii="Albertus MT" w:hAnsi="Albertus MT"/>
          <w:b/>
          <w:bCs/>
          <w:sz w:val="28"/>
          <w:szCs w:val="22"/>
        </w:rPr>
      </w:pPr>
      <w:r w:rsidRPr="00593375">
        <w:rPr>
          <w:rFonts w:ascii="Albertus MT" w:hAnsi="Albertus MT"/>
          <w:b/>
          <w:bCs/>
          <w:sz w:val="28"/>
          <w:szCs w:val="22"/>
        </w:rPr>
        <w:t>ESMA DP MARKET ABUSE REGULATION</w:t>
      </w:r>
    </w:p>
    <w:p w:rsidR="003C1F46" w:rsidRPr="00593375" w:rsidRDefault="003C1F46" w:rsidP="00593375">
      <w:pPr>
        <w:pStyle w:val="Default"/>
        <w:rPr>
          <w:rFonts w:ascii="Albertus MT" w:hAnsi="Albertus MT"/>
          <w:b/>
          <w:bCs/>
          <w:sz w:val="22"/>
          <w:szCs w:val="22"/>
        </w:rPr>
      </w:pPr>
    </w:p>
    <w:p w:rsidR="0037132E" w:rsidRPr="00593375" w:rsidRDefault="0037132E" w:rsidP="00593375">
      <w:pPr>
        <w:pStyle w:val="Default"/>
        <w:rPr>
          <w:rFonts w:ascii="Albertus MT" w:hAnsi="Albertus MT"/>
          <w:sz w:val="28"/>
          <w:szCs w:val="22"/>
        </w:rPr>
      </w:pPr>
      <w:r w:rsidRPr="00593375">
        <w:rPr>
          <w:rFonts w:ascii="Albertus MT" w:hAnsi="Albertus MT"/>
          <w:b/>
          <w:bCs/>
          <w:sz w:val="28"/>
          <w:szCs w:val="22"/>
        </w:rPr>
        <w:t xml:space="preserve">Buyback programmes and stabilisation (Article 3 of MAR) </w:t>
      </w:r>
    </w:p>
    <w:p w:rsidR="003D3444" w:rsidRPr="00593375" w:rsidRDefault="003D3444" w:rsidP="00593375">
      <w:pPr>
        <w:pStyle w:val="Default"/>
        <w:rPr>
          <w:rFonts w:ascii="Albertus MT" w:hAnsi="Albertus MT"/>
          <w:b/>
          <w:bCs/>
          <w:i/>
          <w:iCs/>
          <w:sz w:val="22"/>
          <w:szCs w:val="22"/>
        </w:rPr>
      </w:pPr>
    </w:p>
    <w:p w:rsidR="0037132E" w:rsidRPr="00593375" w:rsidRDefault="0037132E" w:rsidP="00593375">
      <w:pPr>
        <w:pStyle w:val="Default"/>
        <w:rPr>
          <w:rFonts w:ascii="Albertus MT" w:hAnsi="Albertus MT"/>
          <w:b/>
          <w:bCs/>
          <w:i/>
          <w:iCs/>
          <w:sz w:val="28"/>
          <w:szCs w:val="22"/>
        </w:rPr>
      </w:pPr>
      <w:r w:rsidRPr="00593375">
        <w:rPr>
          <w:rFonts w:ascii="Albertus MT" w:hAnsi="Albertus MT"/>
          <w:b/>
          <w:bCs/>
          <w:i/>
          <w:iCs/>
          <w:sz w:val="28"/>
          <w:szCs w:val="22"/>
        </w:rPr>
        <w:t xml:space="preserve">Buyback programmes </w:t>
      </w:r>
    </w:p>
    <w:p w:rsidR="00931A55" w:rsidRPr="00593375" w:rsidRDefault="00931A55" w:rsidP="00593375">
      <w:pPr>
        <w:pStyle w:val="Default"/>
        <w:rPr>
          <w:rFonts w:ascii="Albertus MT" w:hAnsi="Albertus MT"/>
          <w:sz w:val="22"/>
          <w:szCs w:val="22"/>
        </w:rPr>
      </w:pPr>
    </w:p>
    <w:p w:rsidR="0037132E" w:rsidRPr="00593375" w:rsidRDefault="0037132E" w:rsidP="00593375">
      <w:pPr>
        <w:pStyle w:val="Default"/>
        <w:ind w:left="567" w:hanging="567"/>
        <w:rPr>
          <w:rFonts w:ascii="Albertus MT" w:hAnsi="Albertus MT"/>
          <w:sz w:val="22"/>
          <w:szCs w:val="22"/>
        </w:rPr>
      </w:pPr>
      <w:r w:rsidRPr="00593375">
        <w:rPr>
          <w:rFonts w:ascii="Albertus MT" w:hAnsi="Albertus MT"/>
          <w:sz w:val="22"/>
          <w:szCs w:val="22"/>
        </w:rPr>
        <w:t xml:space="preserve">Q1: </w:t>
      </w:r>
      <w:r w:rsidR="00931A55" w:rsidRPr="00593375">
        <w:rPr>
          <w:rFonts w:ascii="Albertus MT" w:hAnsi="Albertus MT"/>
          <w:sz w:val="22"/>
          <w:szCs w:val="22"/>
        </w:rPr>
        <w:tab/>
      </w:r>
      <w:r w:rsidRPr="00593375">
        <w:rPr>
          <w:rFonts w:ascii="Albertus MT" w:hAnsi="Albertus MT"/>
          <w:sz w:val="22"/>
          <w:szCs w:val="22"/>
        </w:rPr>
        <w:t xml:space="preserve">Do you agree that the mechanism used in the Transparency Directive or comparable mechanism should be used for public disclosure regarding buy-backs? </w:t>
      </w:r>
    </w:p>
    <w:p w:rsidR="00931A55" w:rsidRPr="00593375" w:rsidRDefault="00931A55" w:rsidP="00593375">
      <w:pPr>
        <w:pStyle w:val="Default"/>
        <w:ind w:left="567" w:hanging="567"/>
        <w:rPr>
          <w:rFonts w:ascii="Albertus MT" w:hAnsi="Albertus MT"/>
          <w:sz w:val="22"/>
          <w:szCs w:val="22"/>
        </w:rPr>
      </w:pPr>
    </w:p>
    <w:p w:rsidR="00931A55" w:rsidRPr="00593375" w:rsidRDefault="00931A55" w:rsidP="00593375">
      <w:pPr>
        <w:pStyle w:val="Default"/>
        <w:ind w:left="567" w:hanging="567"/>
        <w:rPr>
          <w:rFonts w:ascii="Albertus MT" w:hAnsi="Albertus MT"/>
          <w:b/>
          <w:sz w:val="22"/>
          <w:szCs w:val="22"/>
        </w:rPr>
      </w:pPr>
      <w:r w:rsidRPr="00593375">
        <w:rPr>
          <w:rFonts w:ascii="Albertus MT" w:hAnsi="Albertus MT"/>
          <w:sz w:val="22"/>
          <w:szCs w:val="22"/>
        </w:rPr>
        <w:tab/>
      </w:r>
      <w:r w:rsidRPr="00593375">
        <w:rPr>
          <w:rFonts w:ascii="Albertus MT" w:hAnsi="Albertus MT"/>
          <w:b/>
          <w:sz w:val="22"/>
          <w:szCs w:val="22"/>
        </w:rPr>
        <w:t>We agree.</w:t>
      </w:r>
    </w:p>
    <w:p w:rsidR="00931A55" w:rsidRPr="00593375" w:rsidRDefault="00931A55" w:rsidP="00593375">
      <w:pPr>
        <w:pStyle w:val="Default"/>
        <w:rPr>
          <w:rFonts w:ascii="Albertus MT" w:hAnsi="Albertus MT"/>
          <w:sz w:val="22"/>
          <w:szCs w:val="22"/>
        </w:rPr>
      </w:pPr>
      <w:r w:rsidRPr="00593375">
        <w:rPr>
          <w:rFonts w:ascii="Albertus MT" w:hAnsi="Albertus MT"/>
          <w:sz w:val="22"/>
          <w:szCs w:val="22"/>
        </w:rPr>
        <w:tab/>
      </w:r>
    </w:p>
    <w:p w:rsidR="0037132E" w:rsidRPr="00593375" w:rsidRDefault="0037132E" w:rsidP="00593375">
      <w:pPr>
        <w:pStyle w:val="Default"/>
        <w:ind w:left="567" w:hanging="567"/>
        <w:rPr>
          <w:rFonts w:ascii="Albertus MT" w:hAnsi="Albertus MT"/>
          <w:sz w:val="22"/>
          <w:szCs w:val="22"/>
        </w:rPr>
      </w:pPr>
      <w:r w:rsidRPr="00593375">
        <w:rPr>
          <w:rFonts w:ascii="Albertus MT" w:hAnsi="Albertus MT"/>
          <w:sz w:val="22"/>
          <w:szCs w:val="22"/>
        </w:rPr>
        <w:t xml:space="preserve">Q2: </w:t>
      </w:r>
      <w:r w:rsidR="00FB5499" w:rsidRPr="00593375">
        <w:rPr>
          <w:rFonts w:ascii="Albertus MT" w:hAnsi="Albertus MT"/>
          <w:sz w:val="22"/>
          <w:szCs w:val="22"/>
        </w:rPr>
        <w:tab/>
      </w:r>
      <w:r w:rsidRPr="00593375">
        <w:rPr>
          <w:rFonts w:ascii="Albertus MT" w:hAnsi="Albertus MT"/>
          <w:sz w:val="22"/>
          <w:szCs w:val="22"/>
        </w:rPr>
        <w:t xml:space="preserve">Do you agree that aggregated figures on a daily basis would be sufficient for the public disclosure of buy-back measures? If so, should then the details of the transactions be disclosed on the issuer’s web site? </w:t>
      </w:r>
    </w:p>
    <w:p w:rsidR="00931A55" w:rsidRPr="00593375" w:rsidRDefault="00931A55" w:rsidP="00593375">
      <w:pPr>
        <w:pStyle w:val="Default"/>
        <w:rPr>
          <w:rFonts w:ascii="Albertus MT" w:hAnsi="Albertus MT"/>
          <w:sz w:val="22"/>
          <w:szCs w:val="22"/>
        </w:rPr>
      </w:pPr>
    </w:p>
    <w:p w:rsidR="00931A55" w:rsidRPr="00593375" w:rsidRDefault="00931A55" w:rsidP="00593375">
      <w:pPr>
        <w:pStyle w:val="Default"/>
        <w:ind w:left="567" w:hanging="567"/>
        <w:rPr>
          <w:rFonts w:ascii="Albertus MT" w:hAnsi="Albertus MT"/>
          <w:b/>
          <w:szCs w:val="22"/>
        </w:rPr>
      </w:pPr>
      <w:r w:rsidRPr="00593375">
        <w:rPr>
          <w:rFonts w:ascii="Albertus MT" w:hAnsi="Albertus MT"/>
          <w:sz w:val="22"/>
          <w:szCs w:val="22"/>
        </w:rPr>
        <w:tab/>
      </w:r>
      <w:r w:rsidRPr="00593375">
        <w:rPr>
          <w:rFonts w:ascii="Albertus MT" w:hAnsi="Albertus MT"/>
          <w:b/>
          <w:sz w:val="22"/>
          <w:szCs w:val="22"/>
        </w:rPr>
        <w:t xml:space="preserve">We agree that </w:t>
      </w:r>
      <w:r w:rsidR="00512346" w:rsidRPr="00593375">
        <w:rPr>
          <w:rFonts w:ascii="Albertus MT" w:hAnsi="Albertus MT"/>
          <w:b/>
          <w:sz w:val="22"/>
          <w:szCs w:val="22"/>
        </w:rPr>
        <w:t>an aggregated figure</w:t>
      </w:r>
      <w:r w:rsidRPr="00593375">
        <w:rPr>
          <w:rFonts w:ascii="Albertus MT" w:hAnsi="Albertus MT"/>
          <w:b/>
          <w:sz w:val="22"/>
          <w:szCs w:val="22"/>
        </w:rPr>
        <w:t xml:space="preserve"> is adequate for daily public disclosure.</w:t>
      </w:r>
      <w:r w:rsidR="002E2D0E" w:rsidRPr="00593375">
        <w:rPr>
          <w:rFonts w:ascii="Albertus MT" w:hAnsi="Albertus MT"/>
          <w:b/>
          <w:sz w:val="22"/>
          <w:szCs w:val="22"/>
        </w:rPr>
        <w:t xml:space="preserve"> It would be acceptable if the reporting stabilizer would have details available </w:t>
      </w:r>
      <w:r w:rsidR="002E2D0E" w:rsidRPr="00593375">
        <w:rPr>
          <w:rFonts w:ascii="Albertus MT" w:hAnsi="Albertus MT"/>
          <w:b/>
          <w:szCs w:val="22"/>
        </w:rPr>
        <w:t xml:space="preserve">to satisfy inquiries by competent authorities. </w:t>
      </w:r>
      <w:r w:rsidR="00391EDC" w:rsidRPr="00593375">
        <w:rPr>
          <w:rFonts w:ascii="Albertus MT" w:hAnsi="Albertus MT"/>
          <w:b/>
          <w:szCs w:val="22"/>
        </w:rPr>
        <w:t xml:space="preserve">Disclosure details should be </w:t>
      </w:r>
      <w:r w:rsidR="00716F10" w:rsidRPr="00593375">
        <w:rPr>
          <w:rFonts w:ascii="Albertus MT" w:hAnsi="Albertus MT"/>
          <w:b/>
          <w:szCs w:val="22"/>
        </w:rPr>
        <w:t>identical on the RIS and the issuer’s website.</w:t>
      </w:r>
    </w:p>
    <w:p w:rsidR="00931A55" w:rsidRPr="00593375" w:rsidRDefault="00931A55" w:rsidP="00593375">
      <w:pPr>
        <w:pStyle w:val="Default"/>
        <w:rPr>
          <w:rFonts w:ascii="Albertus MT" w:hAnsi="Albertus MT"/>
          <w:sz w:val="22"/>
          <w:szCs w:val="22"/>
        </w:rPr>
      </w:pPr>
    </w:p>
    <w:p w:rsidR="0037132E" w:rsidRPr="00593375" w:rsidRDefault="0037132E" w:rsidP="00593375">
      <w:pPr>
        <w:pStyle w:val="Default"/>
        <w:ind w:left="567" w:hanging="567"/>
        <w:rPr>
          <w:rFonts w:ascii="Albertus MT" w:hAnsi="Albertus MT"/>
          <w:sz w:val="22"/>
          <w:szCs w:val="22"/>
        </w:rPr>
      </w:pPr>
      <w:r w:rsidRPr="00593375">
        <w:rPr>
          <w:rFonts w:ascii="Albertus MT" w:hAnsi="Albertus MT"/>
          <w:sz w:val="22"/>
          <w:szCs w:val="22"/>
        </w:rPr>
        <w:t xml:space="preserve">Q3: </w:t>
      </w:r>
      <w:r w:rsidR="00FB5499" w:rsidRPr="00593375">
        <w:rPr>
          <w:rFonts w:ascii="Albertus MT" w:hAnsi="Albertus MT"/>
          <w:sz w:val="22"/>
          <w:szCs w:val="22"/>
        </w:rPr>
        <w:tab/>
      </w:r>
      <w:r w:rsidRPr="00593375">
        <w:rPr>
          <w:rFonts w:ascii="Albertus MT" w:hAnsi="Albertus MT"/>
          <w:sz w:val="22"/>
          <w:szCs w:val="22"/>
        </w:rPr>
        <w:t xml:space="preserve">Do you agree to keep the deadline of 7 market sessions for public disclosure or to reduce it? </w:t>
      </w:r>
    </w:p>
    <w:p w:rsidR="00931A55" w:rsidRPr="00593375" w:rsidRDefault="00931A55" w:rsidP="00593375">
      <w:pPr>
        <w:pStyle w:val="Default"/>
        <w:rPr>
          <w:rFonts w:ascii="Albertus MT" w:hAnsi="Albertus MT"/>
          <w:sz w:val="22"/>
          <w:szCs w:val="22"/>
        </w:rPr>
      </w:pPr>
    </w:p>
    <w:p w:rsidR="00931A55" w:rsidRPr="00593375" w:rsidRDefault="00931A55" w:rsidP="00593375">
      <w:pPr>
        <w:pStyle w:val="Default"/>
        <w:ind w:left="567" w:hanging="567"/>
        <w:rPr>
          <w:rFonts w:ascii="Albertus MT" w:hAnsi="Albertus MT"/>
          <w:b/>
          <w:sz w:val="22"/>
          <w:szCs w:val="22"/>
        </w:rPr>
      </w:pPr>
      <w:r w:rsidRPr="00593375">
        <w:rPr>
          <w:rFonts w:ascii="Albertus MT" w:hAnsi="Albertus MT"/>
          <w:sz w:val="22"/>
          <w:szCs w:val="22"/>
        </w:rPr>
        <w:tab/>
      </w:r>
      <w:r w:rsidRPr="00593375">
        <w:rPr>
          <w:rFonts w:ascii="Albertus MT" w:hAnsi="Albertus MT"/>
          <w:b/>
          <w:sz w:val="22"/>
          <w:szCs w:val="22"/>
        </w:rPr>
        <w:t xml:space="preserve">We agree that the deadline of 7 market sessions </w:t>
      </w:r>
      <w:r w:rsidR="00512346" w:rsidRPr="00593375">
        <w:rPr>
          <w:rFonts w:ascii="Albertus MT" w:hAnsi="Albertus MT"/>
          <w:b/>
          <w:sz w:val="22"/>
          <w:szCs w:val="22"/>
        </w:rPr>
        <w:t xml:space="preserve">should </w:t>
      </w:r>
      <w:r w:rsidRPr="00593375">
        <w:rPr>
          <w:rFonts w:ascii="Albertus MT" w:hAnsi="Albertus MT"/>
          <w:b/>
          <w:sz w:val="22"/>
          <w:szCs w:val="22"/>
        </w:rPr>
        <w:t>be retained.</w:t>
      </w:r>
    </w:p>
    <w:p w:rsidR="00931A55" w:rsidRPr="00593375" w:rsidRDefault="00931A55" w:rsidP="00593375">
      <w:pPr>
        <w:pStyle w:val="Default"/>
        <w:rPr>
          <w:rFonts w:ascii="Albertus MT" w:hAnsi="Albertus MT"/>
          <w:sz w:val="22"/>
          <w:szCs w:val="22"/>
        </w:rPr>
      </w:pPr>
    </w:p>
    <w:p w:rsidR="0037132E" w:rsidRPr="00593375" w:rsidRDefault="0037132E" w:rsidP="00593375">
      <w:pPr>
        <w:pStyle w:val="Default"/>
        <w:ind w:left="567" w:hanging="567"/>
        <w:rPr>
          <w:rFonts w:ascii="Albertus MT" w:hAnsi="Albertus MT"/>
          <w:sz w:val="22"/>
          <w:szCs w:val="22"/>
        </w:rPr>
      </w:pPr>
      <w:r w:rsidRPr="00593375">
        <w:rPr>
          <w:rFonts w:ascii="Albertus MT" w:hAnsi="Albertus MT"/>
          <w:sz w:val="22"/>
          <w:szCs w:val="22"/>
        </w:rPr>
        <w:t xml:space="preserve">Q4: </w:t>
      </w:r>
      <w:r w:rsidR="00FB5499" w:rsidRPr="00593375">
        <w:rPr>
          <w:rFonts w:ascii="Albertus MT" w:hAnsi="Albertus MT"/>
          <w:sz w:val="22"/>
          <w:szCs w:val="22"/>
        </w:rPr>
        <w:tab/>
      </w:r>
      <w:r w:rsidRPr="00593375">
        <w:rPr>
          <w:rFonts w:ascii="Albertus MT" w:hAnsi="Albertus MT"/>
          <w:sz w:val="22"/>
          <w:szCs w:val="22"/>
        </w:rPr>
        <w:t xml:space="preserve">Do you agree to use the same deadline as the one chosen for public disclosure for disclosure towards competent authorities? </w:t>
      </w:r>
    </w:p>
    <w:p w:rsidR="00931A55" w:rsidRPr="00593375" w:rsidRDefault="00931A55" w:rsidP="00593375">
      <w:pPr>
        <w:pStyle w:val="Default"/>
        <w:rPr>
          <w:rFonts w:ascii="Albertus MT" w:hAnsi="Albertus MT"/>
          <w:sz w:val="22"/>
          <w:szCs w:val="22"/>
        </w:rPr>
      </w:pPr>
    </w:p>
    <w:p w:rsidR="00931A55" w:rsidRPr="00593375" w:rsidRDefault="00931A55" w:rsidP="00593375">
      <w:pPr>
        <w:pStyle w:val="Default"/>
        <w:ind w:left="567" w:hanging="567"/>
        <w:rPr>
          <w:rFonts w:ascii="Albertus MT" w:hAnsi="Albertus MT"/>
          <w:b/>
          <w:sz w:val="22"/>
          <w:szCs w:val="22"/>
        </w:rPr>
      </w:pPr>
      <w:r w:rsidRPr="00593375">
        <w:rPr>
          <w:rFonts w:ascii="Albertus MT" w:hAnsi="Albertus MT"/>
          <w:sz w:val="22"/>
          <w:szCs w:val="22"/>
        </w:rPr>
        <w:tab/>
      </w:r>
      <w:r w:rsidRPr="00593375">
        <w:rPr>
          <w:rFonts w:ascii="Albertus MT" w:hAnsi="Albertus MT"/>
          <w:b/>
          <w:sz w:val="22"/>
          <w:szCs w:val="22"/>
        </w:rPr>
        <w:t>Yes, we agree that the disclosure deadline should be the same for disclosures to the public and to the competent authority.</w:t>
      </w:r>
    </w:p>
    <w:p w:rsidR="00931A55" w:rsidRPr="00593375" w:rsidRDefault="00931A55" w:rsidP="00593375">
      <w:pPr>
        <w:pStyle w:val="Default"/>
        <w:rPr>
          <w:rFonts w:ascii="Albertus MT" w:hAnsi="Albertus MT"/>
          <w:sz w:val="22"/>
          <w:szCs w:val="22"/>
        </w:rPr>
      </w:pPr>
    </w:p>
    <w:p w:rsidR="0037132E" w:rsidRPr="00593375" w:rsidRDefault="0037132E" w:rsidP="00593375">
      <w:pPr>
        <w:pStyle w:val="Default"/>
        <w:ind w:left="567" w:hanging="567"/>
        <w:rPr>
          <w:rFonts w:ascii="Albertus MT" w:hAnsi="Albertus MT"/>
          <w:sz w:val="22"/>
          <w:szCs w:val="22"/>
        </w:rPr>
      </w:pPr>
      <w:r w:rsidRPr="00593375">
        <w:rPr>
          <w:rFonts w:ascii="Albertus MT" w:hAnsi="Albertus MT"/>
          <w:sz w:val="22"/>
          <w:szCs w:val="22"/>
        </w:rPr>
        <w:t xml:space="preserve">Q5: </w:t>
      </w:r>
      <w:r w:rsidR="00FB5499" w:rsidRPr="00593375">
        <w:rPr>
          <w:rFonts w:ascii="Albertus MT" w:hAnsi="Albertus MT"/>
          <w:sz w:val="22"/>
          <w:szCs w:val="22"/>
        </w:rPr>
        <w:tab/>
      </w:r>
      <w:r w:rsidRPr="00593375">
        <w:rPr>
          <w:rFonts w:ascii="Albertus MT" w:hAnsi="Albertus MT"/>
          <w:sz w:val="22"/>
          <w:szCs w:val="22"/>
        </w:rPr>
        <w:t xml:space="preserve">Do you think that a single competent authority should be determined for the purpose of buy-back transactions reporting when the concerned share is traded on trading venues in different Member States? If so, what are your views on the proposed options? </w:t>
      </w:r>
    </w:p>
    <w:p w:rsidR="00931A55" w:rsidRPr="00593375" w:rsidRDefault="00931A55" w:rsidP="00593375">
      <w:pPr>
        <w:pStyle w:val="Default"/>
        <w:rPr>
          <w:rFonts w:ascii="Albertus MT" w:hAnsi="Albertus MT"/>
          <w:sz w:val="22"/>
          <w:szCs w:val="22"/>
        </w:rPr>
      </w:pPr>
    </w:p>
    <w:p w:rsidR="00931A55" w:rsidRPr="00593375" w:rsidRDefault="00931A55" w:rsidP="00593375">
      <w:pPr>
        <w:pStyle w:val="Default"/>
        <w:ind w:left="567" w:hanging="567"/>
        <w:rPr>
          <w:rFonts w:ascii="Albertus MT" w:hAnsi="Albertus MT"/>
          <w:b/>
          <w:sz w:val="22"/>
          <w:szCs w:val="22"/>
        </w:rPr>
      </w:pPr>
      <w:r w:rsidRPr="00593375">
        <w:rPr>
          <w:rFonts w:ascii="Albertus MT" w:hAnsi="Albertus MT"/>
          <w:sz w:val="22"/>
          <w:szCs w:val="22"/>
        </w:rPr>
        <w:tab/>
      </w:r>
      <w:r w:rsidR="00512346" w:rsidRPr="00593375">
        <w:rPr>
          <w:rFonts w:ascii="Albertus MT" w:hAnsi="Albertus MT"/>
          <w:b/>
          <w:sz w:val="22"/>
          <w:szCs w:val="22"/>
        </w:rPr>
        <w:t>When a concerned share is traded on more than one venue, w</w:t>
      </w:r>
      <w:r w:rsidRPr="00593375">
        <w:rPr>
          <w:rFonts w:ascii="Albertus MT" w:hAnsi="Albertus MT"/>
          <w:b/>
          <w:sz w:val="22"/>
          <w:szCs w:val="22"/>
        </w:rPr>
        <w:t xml:space="preserve">e think that the </w:t>
      </w:r>
      <w:r w:rsidR="00512346" w:rsidRPr="00593375">
        <w:rPr>
          <w:rFonts w:ascii="Albertus MT" w:hAnsi="Albertus MT"/>
          <w:b/>
          <w:sz w:val="22"/>
          <w:szCs w:val="22"/>
        </w:rPr>
        <w:t xml:space="preserve">home </w:t>
      </w:r>
      <w:r w:rsidRPr="00593375">
        <w:rPr>
          <w:rFonts w:ascii="Albertus MT" w:hAnsi="Albertus MT"/>
          <w:b/>
          <w:sz w:val="22"/>
          <w:szCs w:val="22"/>
        </w:rPr>
        <w:t>competent authority of the issuer according to the P</w:t>
      </w:r>
      <w:r w:rsidR="003C1F46" w:rsidRPr="00593375">
        <w:rPr>
          <w:rFonts w:ascii="Albertus MT" w:hAnsi="Albertus MT"/>
          <w:b/>
          <w:sz w:val="22"/>
          <w:szCs w:val="22"/>
        </w:rPr>
        <w:t xml:space="preserve">rospectus </w:t>
      </w:r>
      <w:r w:rsidRPr="00593375">
        <w:rPr>
          <w:rFonts w:ascii="Albertus MT" w:hAnsi="Albertus MT"/>
          <w:b/>
          <w:sz w:val="22"/>
          <w:szCs w:val="22"/>
        </w:rPr>
        <w:t>D</w:t>
      </w:r>
      <w:r w:rsidR="003C1F46" w:rsidRPr="00593375">
        <w:rPr>
          <w:rFonts w:ascii="Albertus MT" w:hAnsi="Albertus MT"/>
          <w:b/>
          <w:sz w:val="22"/>
          <w:szCs w:val="22"/>
        </w:rPr>
        <w:t>irective</w:t>
      </w:r>
      <w:r w:rsidRPr="00593375">
        <w:rPr>
          <w:rFonts w:ascii="Albertus MT" w:hAnsi="Albertus MT"/>
          <w:b/>
          <w:sz w:val="22"/>
          <w:szCs w:val="22"/>
        </w:rPr>
        <w:t xml:space="preserve"> </w:t>
      </w:r>
      <w:r w:rsidR="00512346" w:rsidRPr="00593375">
        <w:rPr>
          <w:rFonts w:ascii="Albertus MT" w:hAnsi="Albertus MT"/>
          <w:b/>
          <w:sz w:val="22"/>
          <w:szCs w:val="22"/>
        </w:rPr>
        <w:t xml:space="preserve">should be </w:t>
      </w:r>
      <w:r w:rsidRPr="00593375">
        <w:rPr>
          <w:rFonts w:ascii="Albertus MT" w:hAnsi="Albertus MT"/>
          <w:b/>
          <w:sz w:val="22"/>
          <w:szCs w:val="22"/>
        </w:rPr>
        <w:t>the single competent authority for buy-back transaction reporting. It would be helpful if ESMA would maintain a master list</w:t>
      </w:r>
      <w:r w:rsidR="002E2D0E" w:rsidRPr="00593375">
        <w:rPr>
          <w:rFonts w:ascii="Albertus MT" w:hAnsi="Albertus MT"/>
          <w:b/>
          <w:sz w:val="22"/>
          <w:szCs w:val="22"/>
        </w:rPr>
        <w:t xml:space="preserve"> by issuer</w:t>
      </w:r>
      <w:r w:rsidRPr="00593375">
        <w:rPr>
          <w:rFonts w:ascii="Albertus MT" w:hAnsi="Albertus MT"/>
          <w:b/>
          <w:sz w:val="22"/>
          <w:szCs w:val="22"/>
        </w:rPr>
        <w:t xml:space="preserve"> for disclosure purposes.</w:t>
      </w:r>
      <w:r w:rsidR="00716F10" w:rsidRPr="00593375">
        <w:rPr>
          <w:rFonts w:ascii="Albertus MT" w:hAnsi="Albertus MT"/>
          <w:b/>
          <w:sz w:val="22"/>
          <w:szCs w:val="22"/>
        </w:rPr>
        <w:t xml:space="preserve"> Where a share is traded also on a non-EEA venue,</w:t>
      </w:r>
      <w:r w:rsidR="00F71019" w:rsidRPr="00593375">
        <w:rPr>
          <w:rFonts w:ascii="Albertus MT" w:hAnsi="Albertus MT"/>
          <w:b/>
          <w:sz w:val="22"/>
          <w:szCs w:val="22"/>
        </w:rPr>
        <w:t xml:space="preserve"> </w:t>
      </w:r>
      <w:r w:rsidR="00716F10" w:rsidRPr="00593375">
        <w:rPr>
          <w:rFonts w:ascii="Albertus MT" w:hAnsi="Albertus MT"/>
          <w:b/>
          <w:sz w:val="22"/>
          <w:szCs w:val="22"/>
        </w:rPr>
        <w:t>addit</w:t>
      </w:r>
      <w:r w:rsidR="00F71019" w:rsidRPr="00593375">
        <w:rPr>
          <w:rFonts w:ascii="Albertus MT" w:hAnsi="Albertus MT"/>
          <w:b/>
          <w:sz w:val="22"/>
          <w:szCs w:val="22"/>
        </w:rPr>
        <w:t xml:space="preserve">ional </w:t>
      </w:r>
      <w:r w:rsidR="00716F10" w:rsidRPr="00593375">
        <w:rPr>
          <w:rFonts w:ascii="Albertus MT" w:hAnsi="Albertus MT"/>
          <w:b/>
          <w:sz w:val="22"/>
          <w:szCs w:val="22"/>
        </w:rPr>
        <w:t xml:space="preserve">reporting requirements may apply </w:t>
      </w:r>
      <w:proofErr w:type="spellStart"/>
      <w:proofErr w:type="gramStart"/>
      <w:r w:rsidR="00716F10" w:rsidRPr="00593375">
        <w:rPr>
          <w:rFonts w:ascii="Albertus MT" w:hAnsi="Albertus MT"/>
          <w:b/>
          <w:sz w:val="22"/>
          <w:szCs w:val="22"/>
        </w:rPr>
        <w:t>vis</w:t>
      </w:r>
      <w:proofErr w:type="spellEnd"/>
      <w:proofErr w:type="gramEnd"/>
      <w:r w:rsidR="00716F10" w:rsidRPr="00593375">
        <w:rPr>
          <w:rFonts w:ascii="Albertus MT" w:hAnsi="Albertus MT"/>
          <w:b/>
          <w:sz w:val="22"/>
          <w:szCs w:val="22"/>
        </w:rPr>
        <w:t xml:space="preserve"> a </w:t>
      </w:r>
      <w:proofErr w:type="spellStart"/>
      <w:r w:rsidR="00716F10" w:rsidRPr="00593375">
        <w:rPr>
          <w:rFonts w:ascii="Albertus MT" w:hAnsi="Albertus MT"/>
          <w:b/>
          <w:sz w:val="22"/>
          <w:szCs w:val="22"/>
        </w:rPr>
        <w:t>vis</w:t>
      </w:r>
      <w:proofErr w:type="spellEnd"/>
      <w:r w:rsidR="00716F10" w:rsidRPr="00593375">
        <w:rPr>
          <w:rFonts w:ascii="Albertus MT" w:hAnsi="Albertus MT"/>
          <w:b/>
          <w:sz w:val="22"/>
          <w:szCs w:val="22"/>
        </w:rPr>
        <w:t xml:space="preserve"> the venue’s competent authority.</w:t>
      </w:r>
    </w:p>
    <w:p w:rsidR="00931A55" w:rsidRPr="00593375" w:rsidRDefault="00931A55" w:rsidP="00593375">
      <w:pPr>
        <w:pStyle w:val="Default"/>
        <w:rPr>
          <w:rFonts w:ascii="Albertus MT" w:hAnsi="Albertus MT"/>
          <w:sz w:val="22"/>
          <w:szCs w:val="22"/>
        </w:rPr>
      </w:pPr>
    </w:p>
    <w:p w:rsidR="0037132E" w:rsidRPr="00593375" w:rsidRDefault="0037132E" w:rsidP="00593375">
      <w:pPr>
        <w:pStyle w:val="Default"/>
        <w:ind w:left="567" w:hanging="567"/>
        <w:rPr>
          <w:rFonts w:ascii="Albertus MT" w:hAnsi="Albertus MT"/>
          <w:sz w:val="22"/>
          <w:szCs w:val="22"/>
        </w:rPr>
      </w:pPr>
      <w:r w:rsidRPr="00593375">
        <w:rPr>
          <w:rFonts w:ascii="Albertus MT" w:hAnsi="Albertus MT"/>
          <w:sz w:val="22"/>
          <w:szCs w:val="22"/>
        </w:rPr>
        <w:t xml:space="preserve">Q6: </w:t>
      </w:r>
      <w:r w:rsidR="00FB5499" w:rsidRPr="00593375">
        <w:rPr>
          <w:rFonts w:ascii="Albertus MT" w:hAnsi="Albertus MT"/>
          <w:sz w:val="22"/>
          <w:szCs w:val="22"/>
        </w:rPr>
        <w:tab/>
      </w:r>
      <w:r w:rsidRPr="00593375">
        <w:rPr>
          <w:rFonts w:ascii="Albertus MT" w:hAnsi="Albertus MT"/>
          <w:sz w:val="22"/>
          <w:szCs w:val="22"/>
        </w:rPr>
        <w:t xml:space="preserve">Do you agree that with multi-listed shares the price should not be higher than the last traded price or last current bid on the most liquid market? </w:t>
      </w:r>
    </w:p>
    <w:p w:rsidR="000547F7" w:rsidRPr="00593375" w:rsidRDefault="000547F7" w:rsidP="00593375">
      <w:pPr>
        <w:pStyle w:val="Default"/>
        <w:rPr>
          <w:rFonts w:ascii="Albertus MT" w:hAnsi="Albertus MT"/>
          <w:sz w:val="22"/>
          <w:szCs w:val="22"/>
        </w:rPr>
      </w:pPr>
    </w:p>
    <w:p w:rsidR="000547F7" w:rsidRPr="00593375" w:rsidRDefault="000547F7" w:rsidP="00593375">
      <w:pPr>
        <w:pStyle w:val="Default"/>
        <w:ind w:left="567" w:hanging="567"/>
        <w:rPr>
          <w:rFonts w:ascii="Albertus MT" w:hAnsi="Albertus MT"/>
          <w:b/>
          <w:sz w:val="22"/>
          <w:szCs w:val="22"/>
        </w:rPr>
      </w:pPr>
      <w:r w:rsidRPr="00593375">
        <w:rPr>
          <w:rFonts w:ascii="Albertus MT" w:hAnsi="Albertus MT"/>
          <w:sz w:val="22"/>
          <w:szCs w:val="22"/>
        </w:rPr>
        <w:tab/>
      </w:r>
      <w:r w:rsidRPr="00593375">
        <w:rPr>
          <w:rFonts w:ascii="Albertus MT" w:hAnsi="Albertus MT"/>
          <w:b/>
          <w:sz w:val="22"/>
          <w:szCs w:val="22"/>
        </w:rPr>
        <w:t xml:space="preserve">We do not agree that buy-backs should be restricted to being at a price which is equal to or lower than the last traded price or last current bid on the most liquid market. The best execution rule should apply. The price restriction </w:t>
      </w:r>
      <w:r w:rsidRPr="00593375">
        <w:rPr>
          <w:rFonts w:ascii="Albertus MT" w:hAnsi="Albertus MT"/>
          <w:b/>
          <w:sz w:val="22"/>
          <w:szCs w:val="22"/>
        </w:rPr>
        <w:lastRenderedPageBreak/>
        <w:t>proposed would be too complicated to a</w:t>
      </w:r>
      <w:r w:rsidR="00FA6B75" w:rsidRPr="00593375">
        <w:rPr>
          <w:rFonts w:ascii="Albertus MT" w:hAnsi="Albertus MT"/>
          <w:b/>
          <w:sz w:val="22"/>
          <w:szCs w:val="22"/>
        </w:rPr>
        <w:t xml:space="preserve">pply where a share is traded on </w:t>
      </w:r>
      <w:r w:rsidRPr="00593375">
        <w:rPr>
          <w:rFonts w:ascii="Albertus MT" w:hAnsi="Albertus MT"/>
          <w:b/>
          <w:sz w:val="22"/>
          <w:szCs w:val="22"/>
        </w:rPr>
        <w:t>multiple venues.</w:t>
      </w:r>
      <w:r w:rsidR="00716F10" w:rsidRPr="00593375">
        <w:rPr>
          <w:rFonts w:ascii="Albertus MT" w:hAnsi="Albertus MT"/>
          <w:b/>
          <w:sz w:val="22"/>
          <w:szCs w:val="22"/>
        </w:rPr>
        <w:t xml:space="preserve"> The price limit should be applied to the execution venue on which the shares are purchased.</w:t>
      </w:r>
      <w:r w:rsidR="002E2D0E" w:rsidRPr="00593375">
        <w:rPr>
          <w:rFonts w:ascii="Albertus MT" w:hAnsi="Albertus MT"/>
          <w:b/>
          <w:sz w:val="22"/>
          <w:szCs w:val="22"/>
        </w:rPr>
        <w:t xml:space="preserve"> </w:t>
      </w:r>
    </w:p>
    <w:p w:rsidR="000547F7" w:rsidRPr="00593375" w:rsidRDefault="000547F7" w:rsidP="00593375">
      <w:pPr>
        <w:pStyle w:val="Default"/>
        <w:rPr>
          <w:rFonts w:ascii="Albertus MT" w:hAnsi="Albertus MT"/>
          <w:sz w:val="22"/>
          <w:szCs w:val="22"/>
        </w:rPr>
      </w:pPr>
    </w:p>
    <w:p w:rsidR="0037132E" w:rsidRPr="00593375" w:rsidRDefault="0037132E" w:rsidP="00593375">
      <w:pPr>
        <w:pStyle w:val="Default"/>
        <w:ind w:left="567" w:hanging="567"/>
        <w:rPr>
          <w:rFonts w:ascii="Albertus MT" w:hAnsi="Albertus MT"/>
          <w:sz w:val="22"/>
          <w:szCs w:val="22"/>
        </w:rPr>
      </w:pPr>
      <w:r w:rsidRPr="00593375">
        <w:rPr>
          <w:rFonts w:ascii="Albertus MT" w:hAnsi="Albertus MT"/>
          <w:sz w:val="22"/>
          <w:szCs w:val="22"/>
        </w:rPr>
        <w:t xml:space="preserve">Q7: </w:t>
      </w:r>
      <w:r w:rsidR="00FB5499" w:rsidRPr="00593375">
        <w:rPr>
          <w:rFonts w:ascii="Albertus MT" w:hAnsi="Albertus MT"/>
          <w:sz w:val="22"/>
          <w:szCs w:val="22"/>
        </w:rPr>
        <w:tab/>
      </w:r>
      <w:r w:rsidRPr="00593375">
        <w:rPr>
          <w:rFonts w:ascii="Albertus MT" w:hAnsi="Albertus MT"/>
          <w:sz w:val="22"/>
          <w:szCs w:val="22"/>
        </w:rPr>
        <w:t xml:space="preserve">Do you agree that during the last third of the regular (fixed) time of an auction the issuer must not enter any orders to purchase shares? </w:t>
      </w:r>
    </w:p>
    <w:p w:rsidR="000547F7" w:rsidRPr="00593375" w:rsidRDefault="000547F7" w:rsidP="00593375">
      <w:pPr>
        <w:pStyle w:val="Default"/>
        <w:rPr>
          <w:rFonts w:ascii="Albertus MT" w:hAnsi="Albertus MT"/>
          <w:sz w:val="22"/>
          <w:szCs w:val="22"/>
        </w:rPr>
      </w:pPr>
    </w:p>
    <w:p w:rsidR="000547F7" w:rsidRPr="00593375" w:rsidRDefault="000547F7" w:rsidP="00593375">
      <w:pPr>
        <w:pStyle w:val="Default"/>
        <w:ind w:left="567" w:hanging="567"/>
        <w:rPr>
          <w:rFonts w:ascii="Albertus MT" w:hAnsi="Albertus MT"/>
          <w:b/>
          <w:sz w:val="22"/>
          <w:szCs w:val="22"/>
        </w:rPr>
      </w:pPr>
      <w:r w:rsidRPr="00593375">
        <w:rPr>
          <w:rFonts w:ascii="Albertus MT" w:hAnsi="Albertus MT"/>
          <w:sz w:val="22"/>
          <w:szCs w:val="22"/>
        </w:rPr>
        <w:tab/>
      </w:r>
      <w:r w:rsidRPr="00593375">
        <w:rPr>
          <w:rFonts w:ascii="Albertus MT" w:hAnsi="Albertus MT"/>
          <w:b/>
          <w:color w:val="000000" w:themeColor="text1"/>
          <w:sz w:val="22"/>
          <w:szCs w:val="22"/>
        </w:rPr>
        <w:t>We think that a restriction is unnecessary.</w:t>
      </w:r>
      <w:r w:rsidR="00716F10" w:rsidRPr="00593375">
        <w:rPr>
          <w:rFonts w:ascii="Albertus MT" w:hAnsi="Albertus MT"/>
          <w:b/>
          <w:color w:val="000000" w:themeColor="text1"/>
          <w:sz w:val="22"/>
          <w:szCs w:val="22"/>
        </w:rPr>
        <w:t xml:space="preserve"> </w:t>
      </w:r>
      <w:r w:rsidR="00716F10" w:rsidRPr="00593375">
        <w:rPr>
          <w:rFonts w:ascii="Albertus MT" w:hAnsi="Albertus MT" w:cs="Calibri"/>
          <w:b/>
          <w:color w:val="000000" w:themeColor="text1"/>
          <w:sz w:val="22"/>
          <w:szCs w:val="22"/>
        </w:rPr>
        <w:t xml:space="preserve">The final auction price is driven by the largest orders. The proposed restriction not to enter </w:t>
      </w:r>
      <w:r w:rsidR="00716F10" w:rsidRPr="00593375">
        <w:rPr>
          <w:rFonts w:ascii="Albertus MT" w:hAnsi="Albertus MT"/>
          <w:b/>
          <w:color w:val="000000" w:themeColor="text1"/>
          <w:sz w:val="22"/>
          <w:szCs w:val="22"/>
        </w:rPr>
        <w:t>any orders to purchase shares</w:t>
      </w:r>
      <w:r w:rsidR="00716F10" w:rsidRPr="00593375">
        <w:rPr>
          <w:rFonts w:ascii="Albertus MT" w:hAnsi="Albertus MT" w:cs="Calibri"/>
          <w:b/>
          <w:color w:val="000000" w:themeColor="text1"/>
          <w:sz w:val="22"/>
          <w:szCs w:val="22"/>
        </w:rPr>
        <w:t xml:space="preserve"> during the last third of the regular (fixed) time of an auction will not achieve the designed outcome.</w:t>
      </w:r>
    </w:p>
    <w:p w:rsidR="000547F7" w:rsidRPr="00593375" w:rsidRDefault="000547F7" w:rsidP="00593375">
      <w:pPr>
        <w:pStyle w:val="Default"/>
        <w:rPr>
          <w:rFonts w:ascii="Albertus MT" w:hAnsi="Albertus MT"/>
          <w:sz w:val="22"/>
          <w:szCs w:val="22"/>
        </w:rPr>
      </w:pPr>
    </w:p>
    <w:p w:rsidR="0037132E" w:rsidRPr="00593375" w:rsidRDefault="0037132E" w:rsidP="00593375">
      <w:pPr>
        <w:pStyle w:val="Default"/>
        <w:ind w:left="567" w:hanging="567"/>
        <w:rPr>
          <w:rFonts w:ascii="Albertus MT" w:hAnsi="Albertus MT"/>
          <w:sz w:val="22"/>
          <w:szCs w:val="22"/>
        </w:rPr>
      </w:pPr>
      <w:r w:rsidRPr="00593375">
        <w:rPr>
          <w:rFonts w:ascii="Albertus MT" w:hAnsi="Albertus MT"/>
          <w:sz w:val="22"/>
          <w:szCs w:val="22"/>
        </w:rPr>
        <w:t xml:space="preserve">Q8: </w:t>
      </w:r>
      <w:r w:rsidR="00FB5499" w:rsidRPr="00593375">
        <w:rPr>
          <w:rFonts w:ascii="Albertus MT" w:hAnsi="Albertus MT"/>
          <w:sz w:val="22"/>
          <w:szCs w:val="22"/>
        </w:rPr>
        <w:tab/>
      </w:r>
      <w:r w:rsidRPr="00593375">
        <w:rPr>
          <w:rFonts w:ascii="Albertus MT" w:hAnsi="Albertus MT"/>
          <w:sz w:val="22"/>
          <w:szCs w:val="22"/>
        </w:rPr>
        <w:t xml:space="preserve">Do you agree with the above mentioned cumulative criteria for extreme low liquidity? If not, please explain and, if possible, provide alternative criteria to consider. </w:t>
      </w:r>
    </w:p>
    <w:p w:rsidR="000547F7" w:rsidRPr="00593375" w:rsidRDefault="000547F7" w:rsidP="00593375">
      <w:pPr>
        <w:pStyle w:val="Default"/>
        <w:rPr>
          <w:rFonts w:ascii="Albertus MT" w:hAnsi="Albertus MT"/>
          <w:sz w:val="22"/>
          <w:szCs w:val="22"/>
        </w:rPr>
      </w:pPr>
    </w:p>
    <w:p w:rsidR="00716F10" w:rsidRPr="00593375" w:rsidRDefault="000547F7" w:rsidP="00593375">
      <w:pPr>
        <w:pStyle w:val="Default"/>
        <w:ind w:left="567" w:hanging="567"/>
        <w:rPr>
          <w:rFonts w:ascii="Albertus MT" w:hAnsi="Albertus MT"/>
          <w:b/>
          <w:sz w:val="22"/>
          <w:szCs w:val="22"/>
        </w:rPr>
      </w:pPr>
      <w:r w:rsidRPr="00593375">
        <w:rPr>
          <w:rFonts w:ascii="Albertus MT" w:hAnsi="Albertus MT"/>
          <w:sz w:val="22"/>
          <w:szCs w:val="22"/>
        </w:rPr>
        <w:tab/>
      </w:r>
      <w:r w:rsidR="00512346" w:rsidRPr="00593375">
        <w:rPr>
          <w:rFonts w:ascii="Albertus MT" w:hAnsi="Albertus MT"/>
          <w:b/>
          <w:sz w:val="22"/>
          <w:szCs w:val="22"/>
        </w:rPr>
        <w:t>Before legislating specific trigger levels, w</w:t>
      </w:r>
      <w:r w:rsidRPr="00593375">
        <w:rPr>
          <w:rFonts w:ascii="Albertus MT" w:hAnsi="Albertus MT"/>
          <w:b/>
          <w:sz w:val="22"/>
          <w:szCs w:val="22"/>
        </w:rPr>
        <w:t xml:space="preserve">e are concerned that there needs to be a statistical review of </w:t>
      </w:r>
      <w:r w:rsidR="00512346" w:rsidRPr="00593375">
        <w:rPr>
          <w:rFonts w:ascii="Albertus MT" w:hAnsi="Albertus MT"/>
          <w:b/>
          <w:sz w:val="22"/>
          <w:szCs w:val="22"/>
        </w:rPr>
        <w:t xml:space="preserve">prices/volumes of </w:t>
      </w:r>
      <w:r w:rsidRPr="00593375">
        <w:rPr>
          <w:rFonts w:ascii="Albertus MT" w:hAnsi="Albertus MT"/>
          <w:b/>
          <w:sz w:val="22"/>
          <w:szCs w:val="22"/>
        </w:rPr>
        <w:t>permitted buy-backs</w:t>
      </w:r>
      <w:r w:rsidR="00512346" w:rsidRPr="00593375">
        <w:rPr>
          <w:rFonts w:ascii="Albertus MT" w:hAnsi="Albertus MT"/>
          <w:b/>
          <w:sz w:val="22"/>
          <w:szCs w:val="22"/>
        </w:rPr>
        <w:t>.</w:t>
      </w:r>
      <w:r w:rsidRPr="00593375">
        <w:rPr>
          <w:rFonts w:ascii="Albertus MT" w:hAnsi="Albertus MT"/>
          <w:b/>
          <w:sz w:val="22"/>
          <w:szCs w:val="22"/>
        </w:rPr>
        <w:t xml:space="preserve"> There needs to be an appreciation of the likely impact of such a regulation. In the meantime, no new rule needs to be imposed.</w:t>
      </w:r>
      <w:r w:rsidR="00716F10" w:rsidRPr="00593375">
        <w:rPr>
          <w:rFonts w:ascii="Albertus MT" w:hAnsi="Albertus MT"/>
          <w:b/>
          <w:sz w:val="22"/>
          <w:szCs w:val="22"/>
        </w:rPr>
        <w:t xml:space="preserve"> Whilst clarity on what is understood by “extreme low liquidity” is desired, the proposed test could produce anomalous results. </w:t>
      </w:r>
    </w:p>
    <w:p w:rsidR="000547F7" w:rsidRPr="00593375" w:rsidRDefault="000547F7" w:rsidP="00593375">
      <w:pPr>
        <w:pStyle w:val="Default"/>
        <w:rPr>
          <w:rFonts w:ascii="Albertus MT" w:hAnsi="Albertus MT"/>
          <w:sz w:val="22"/>
          <w:szCs w:val="22"/>
        </w:rPr>
      </w:pPr>
    </w:p>
    <w:p w:rsidR="0037132E" w:rsidRPr="00593375" w:rsidRDefault="0037132E" w:rsidP="00593375">
      <w:pPr>
        <w:pStyle w:val="Default"/>
        <w:ind w:left="567" w:hanging="567"/>
        <w:rPr>
          <w:rFonts w:ascii="Albertus MT" w:hAnsi="Albertus MT"/>
          <w:sz w:val="22"/>
          <w:szCs w:val="22"/>
        </w:rPr>
      </w:pPr>
      <w:r w:rsidRPr="00593375">
        <w:rPr>
          <w:rFonts w:ascii="Albertus MT" w:hAnsi="Albertus MT"/>
          <w:sz w:val="22"/>
          <w:szCs w:val="22"/>
        </w:rPr>
        <w:t xml:space="preserve">Q9: </w:t>
      </w:r>
      <w:r w:rsidR="00FB5499" w:rsidRPr="00593375">
        <w:rPr>
          <w:rFonts w:ascii="Albertus MT" w:hAnsi="Albertus MT"/>
          <w:sz w:val="22"/>
          <w:szCs w:val="22"/>
        </w:rPr>
        <w:tab/>
      </w:r>
      <w:r w:rsidRPr="00593375">
        <w:rPr>
          <w:rFonts w:ascii="Albertus MT" w:hAnsi="Albertus MT"/>
          <w:sz w:val="22"/>
          <w:szCs w:val="22"/>
        </w:rPr>
        <w:t xml:space="preserve">Do you think that the volume-limitation for liquid shares should be lowered and three different thresholds regarding liquid, illiquid and shares with extreme low liquidity should be introduced? </w:t>
      </w:r>
    </w:p>
    <w:p w:rsidR="000547F7" w:rsidRPr="00593375" w:rsidRDefault="000547F7" w:rsidP="00593375">
      <w:pPr>
        <w:pStyle w:val="Default"/>
        <w:rPr>
          <w:rFonts w:ascii="Albertus MT" w:hAnsi="Albertus MT"/>
          <w:sz w:val="22"/>
          <w:szCs w:val="22"/>
        </w:rPr>
      </w:pPr>
    </w:p>
    <w:p w:rsidR="000547F7" w:rsidRPr="00593375" w:rsidRDefault="000547F7" w:rsidP="00593375">
      <w:pPr>
        <w:pStyle w:val="Default"/>
        <w:ind w:left="567" w:hanging="567"/>
        <w:rPr>
          <w:rFonts w:ascii="Albertus MT" w:hAnsi="Albertus MT"/>
          <w:b/>
          <w:sz w:val="22"/>
          <w:szCs w:val="22"/>
        </w:rPr>
      </w:pPr>
      <w:r w:rsidRPr="00593375">
        <w:rPr>
          <w:rFonts w:ascii="Albertus MT" w:hAnsi="Albertus MT"/>
          <w:sz w:val="22"/>
          <w:szCs w:val="22"/>
        </w:rPr>
        <w:tab/>
      </w:r>
      <w:r w:rsidRPr="00593375">
        <w:rPr>
          <w:rFonts w:ascii="Albertus MT" w:hAnsi="Albertus MT"/>
          <w:b/>
          <w:sz w:val="22"/>
          <w:szCs w:val="22"/>
        </w:rPr>
        <w:t xml:space="preserve">We do not see the need at this time to complicate the regulatory requirements. </w:t>
      </w:r>
      <w:r w:rsidR="00716F10" w:rsidRPr="00593375">
        <w:rPr>
          <w:rFonts w:ascii="Albertus MT" w:hAnsi="Albertus MT"/>
          <w:b/>
          <w:sz w:val="22"/>
          <w:szCs w:val="22"/>
        </w:rPr>
        <w:t xml:space="preserve">It would be difficult to highlight any example where the 25% rule has meant market disruption.  </w:t>
      </w:r>
      <w:r w:rsidRPr="00593375">
        <w:rPr>
          <w:rFonts w:ascii="Albertus MT" w:hAnsi="Albertus MT"/>
          <w:b/>
          <w:sz w:val="22"/>
          <w:szCs w:val="22"/>
        </w:rPr>
        <w:t xml:space="preserve">See our answer to </w:t>
      </w:r>
      <w:r w:rsidR="00716F10" w:rsidRPr="00593375">
        <w:rPr>
          <w:rFonts w:ascii="Albertus MT" w:hAnsi="Albertus MT"/>
          <w:b/>
          <w:sz w:val="22"/>
          <w:szCs w:val="22"/>
        </w:rPr>
        <w:t>Q.</w:t>
      </w:r>
      <w:r w:rsidRPr="00593375">
        <w:rPr>
          <w:rFonts w:ascii="Albertus MT" w:hAnsi="Albertus MT"/>
          <w:b/>
          <w:sz w:val="22"/>
          <w:szCs w:val="22"/>
        </w:rPr>
        <w:t xml:space="preserve"> 8.</w:t>
      </w:r>
    </w:p>
    <w:p w:rsidR="000547F7" w:rsidRPr="00593375" w:rsidRDefault="000547F7" w:rsidP="00593375">
      <w:pPr>
        <w:pStyle w:val="Default"/>
        <w:rPr>
          <w:rFonts w:ascii="Albertus MT" w:hAnsi="Albertus MT"/>
          <w:sz w:val="22"/>
          <w:szCs w:val="22"/>
        </w:rPr>
      </w:pPr>
    </w:p>
    <w:p w:rsidR="0037132E" w:rsidRPr="00593375" w:rsidRDefault="0037132E" w:rsidP="00593375">
      <w:pPr>
        <w:pStyle w:val="Default"/>
        <w:ind w:left="567" w:hanging="567"/>
        <w:rPr>
          <w:rFonts w:ascii="Albertus MT" w:hAnsi="Albertus MT"/>
          <w:sz w:val="22"/>
          <w:szCs w:val="22"/>
        </w:rPr>
      </w:pPr>
      <w:r w:rsidRPr="00593375">
        <w:rPr>
          <w:rFonts w:ascii="Albertus MT" w:hAnsi="Albertus MT"/>
          <w:sz w:val="22"/>
          <w:szCs w:val="22"/>
        </w:rPr>
        <w:t xml:space="preserve">Q10: </w:t>
      </w:r>
      <w:r w:rsidR="00FB5499" w:rsidRPr="00593375">
        <w:rPr>
          <w:rFonts w:ascii="Albertus MT" w:hAnsi="Albertus MT"/>
          <w:sz w:val="22"/>
          <w:szCs w:val="22"/>
        </w:rPr>
        <w:tab/>
      </w:r>
      <w:r w:rsidRPr="00593375">
        <w:rPr>
          <w:rFonts w:ascii="Albertus MT" w:hAnsi="Albertus MT"/>
          <w:sz w:val="22"/>
          <w:szCs w:val="22"/>
        </w:rPr>
        <w:t xml:space="preserve">Do you think that for the calculation of the volume limit the significant volumes on all trading venues should be taken into account and that issuers are best placed to perform calculations? </w:t>
      </w:r>
    </w:p>
    <w:p w:rsidR="000547F7" w:rsidRPr="00593375" w:rsidRDefault="000547F7" w:rsidP="00593375">
      <w:pPr>
        <w:pStyle w:val="Default"/>
        <w:rPr>
          <w:rFonts w:ascii="Albertus MT" w:hAnsi="Albertus MT"/>
          <w:sz w:val="22"/>
          <w:szCs w:val="22"/>
        </w:rPr>
      </w:pPr>
    </w:p>
    <w:p w:rsidR="00716F10" w:rsidRPr="00593375" w:rsidRDefault="00336EB5" w:rsidP="00593375">
      <w:pPr>
        <w:pStyle w:val="Default"/>
        <w:ind w:left="567"/>
        <w:rPr>
          <w:rFonts w:ascii="Albertus MT" w:hAnsi="Albertus MT"/>
          <w:b/>
          <w:sz w:val="22"/>
          <w:szCs w:val="22"/>
        </w:rPr>
      </w:pPr>
      <w:r w:rsidRPr="00593375">
        <w:rPr>
          <w:rFonts w:ascii="Albertus MT" w:hAnsi="Albertus MT"/>
          <w:b/>
          <w:sz w:val="22"/>
          <w:szCs w:val="22"/>
        </w:rPr>
        <w:t>Yes, the significant volumes on all trading venues should be included in the calculation of aggregate trading. It seems appropriate to ask issuers to specify their calculations</w:t>
      </w:r>
      <w:r w:rsidR="002E2D0E" w:rsidRPr="00593375">
        <w:rPr>
          <w:rFonts w:ascii="Albertus MT" w:hAnsi="Albertus MT"/>
          <w:b/>
          <w:sz w:val="22"/>
          <w:szCs w:val="22"/>
        </w:rPr>
        <w:t>, but they should be allowed to delegate the task to their agents while retaining final responsibility.</w:t>
      </w:r>
      <w:r w:rsidR="00716F10" w:rsidRPr="00593375">
        <w:rPr>
          <w:rFonts w:ascii="Albertus MT" w:hAnsi="Albertus MT"/>
          <w:b/>
          <w:sz w:val="22"/>
          <w:szCs w:val="22"/>
        </w:rPr>
        <w:t xml:space="preserve"> We also note that it is unclear what is meant by “significant” volumes, using the term without further clarity will be create uncertainty.  </w:t>
      </w:r>
    </w:p>
    <w:p w:rsidR="000547F7" w:rsidRPr="00593375" w:rsidRDefault="000547F7" w:rsidP="00593375">
      <w:pPr>
        <w:pStyle w:val="Default"/>
        <w:ind w:left="567"/>
        <w:rPr>
          <w:rFonts w:ascii="Albertus MT" w:hAnsi="Albertus MT"/>
          <w:b/>
          <w:sz w:val="22"/>
          <w:szCs w:val="22"/>
        </w:rPr>
      </w:pPr>
    </w:p>
    <w:p w:rsidR="0037132E" w:rsidRPr="00593375" w:rsidRDefault="0037132E" w:rsidP="00593375">
      <w:pPr>
        <w:pStyle w:val="Default"/>
        <w:ind w:left="567" w:hanging="567"/>
        <w:rPr>
          <w:rFonts w:ascii="Albertus MT" w:hAnsi="Albertus MT"/>
          <w:sz w:val="22"/>
          <w:szCs w:val="22"/>
        </w:rPr>
      </w:pPr>
      <w:r w:rsidRPr="00593375">
        <w:rPr>
          <w:rFonts w:ascii="Albertus MT" w:hAnsi="Albertus MT"/>
          <w:sz w:val="22"/>
          <w:szCs w:val="22"/>
        </w:rPr>
        <w:t>Q11:</w:t>
      </w:r>
      <w:r w:rsidR="00FB5499" w:rsidRPr="00593375">
        <w:rPr>
          <w:rFonts w:ascii="Albertus MT" w:hAnsi="Albertus MT"/>
          <w:sz w:val="22"/>
          <w:szCs w:val="22"/>
        </w:rPr>
        <w:tab/>
      </w:r>
      <w:r w:rsidRPr="00593375">
        <w:rPr>
          <w:rFonts w:ascii="Albertus MT" w:hAnsi="Albertus MT"/>
          <w:sz w:val="22"/>
          <w:szCs w:val="22"/>
        </w:rPr>
        <w:t xml:space="preserve">Do you agree with the approach suggested to maintain the trading and selling restrictions during the buy-back and the related exemptions? If not, please explain. </w:t>
      </w:r>
    </w:p>
    <w:p w:rsidR="00336EB5" w:rsidRPr="00593375" w:rsidRDefault="00336EB5" w:rsidP="00593375">
      <w:pPr>
        <w:pStyle w:val="Default"/>
        <w:rPr>
          <w:rFonts w:ascii="Albertus MT" w:hAnsi="Albertus MT"/>
          <w:b/>
          <w:bCs/>
          <w:i/>
          <w:iCs/>
          <w:sz w:val="22"/>
          <w:szCs w:val="22"/>
        </w:rPr>
      </w:pPr>
    </w:p>
    <w:p w:rsidR="00336EB5" w:rsidRPr="00593375" w:rsidRDefault="00336EB5" w:rsidP="00593375">
      <w:pPr>
        <w:pStyle w:val="Default"/>
        <w:ind w:left="567" w:hanging="567"/>
        <w:rPr>
          <w:rFonts w:ascii="Albertus MT" w:hAnsi="Albertus MT"/>
          <w:b/>
          <w:bCs/>
          <w:iCs/>
          <w:sz w:val="22"/>
          <w:szCs w:val="22"/>
        </w:rPr>
      </w:pPr>
      <w:r w:rsidRPr="00593375">
        <w:rPr>
          <w:rFonts w:ascii="Albertus MT" w:hAnsi="Albertus MT"/>
          <w:b/>
          <w:bCs/>
          <w:iCs/>
          <w:sz w:val="22"/>
          <w:szCs w:val="22"/>
        </w:rPr>
        <w:tab/>
        <w:t>We agree that it is advisable to maintain the trading and selling restrictions during buy-back and related exemptions.</w:t>
      </w:r>
    </w:p>
    <w:p w:rsidR="00336EB5" w:rsidRPr="00593375" w:rsidRDefault="00336EB5" w:rsidP="00593375">
      <w:pPr>
        <w:pStyle w:val="Default"/>
        <w:rPr>
          <w:rFonts w:ascii="Albertus MT" w:hAnsi="Albertus MT"/>
          <w:b/>
          <w:bCs/>
          <w:i/>
          <w:iCs/>
          <w:sz w:val="22"/>
          <w:szCs w:val="22"/>
        </w:rPr>
      </w:pPr>
    </w:p>
    <w:p w:rsidR="00593375" w:rsidRPr="00593375" w:rsidRDefault="00593375" w:rsidP="00593375">
      <w:pPr>
        <w:pStyle w:val="Default"/>
        <w:rPr>
          <w:rFonts w:ascii="Albertus MT" w:hAnsi="Albertus MT"/>
          <w:b/>
          <w:bCs/>
          <w:i/>
          <w:iCs/>
          <w:sz w:val="28"/>
          <w:szCs w:val="22"/>
        </w:rPr>
      </w:pPr>
    </w:p>
    <w:p w:rsidR="00593375" w:rsidRPr="00593375" w:rsidRDefault="00593375" w:rsidP="00593375">
      <w:pPr>
        <w:pStyle w:val="Default"/>
        <w:rPr>
          <w:rFonts w:ascii="Albertus MT" w:hAnsi="Albertus MT"/>
          <w:b/>
          <w:bCs/>
          <w:i/>
          <w:iCs/>
          <w:sz w:val="28"/>
          <w:szCs w:val="22"/>
        </w:rPr>
      </w:pPr>
    </w:p>
    <w:p w:rsidR="00593375" w:rsidRPr="00593375" w:rsidRDefault="00593375" w:rsidP="00593375">
      <w:pPr>
        <w:pStyle w:val="Default"/>
        <w:rPr>
          <w:rFonts w:ascii="Albertus MT" w:hAnsi="Albertus MT"/>
          <w:b/>
          <w:bCs/>
          <w:i/>
          <w:iCs/>
          <w:sz w:val="28"/>
          <w:szCs w:val="22"/>
        </w:rPr>
      </w:pPr>
    </w:p>
    <w:p w:rsidR="0037132E" w:rsidRPr="00593375" w:rsidRDefault="0037132E" w:rsidP="00593375">
      <w:pPr>
        <w:pStyle w:val="Default"/>
        <w:rPr>
          <w:rFonts w:ascii="Albertus MT" w:hAnsi="Albertus MT"/>
          <w:b/>
          <w:bCs/>
          <w:i/>
          <w:iCs/>
          <w:sz w:val="28"/>
          <w:szCs w:val="22"/>
        </w:rPr>
      </w:pPr>
      <w:r w:rsidRPr="00593375">
        <w:rPr>
          <w:rFonts w:ascii="Albertus MT" w:hAnsi="Albertus MT"/>
          <w:b/>
          <w:bCs/>
          <w:i/>
          <w:iCs/>
          <w:sz w:val="28"/>
          <w:szCs w:val="22"/>
        </w:rPr>
        <w:lastRenderedPageBreak/>
        <w:t xml:space="preserve">Stabilisation measures </w:t>
      </w:r>
    </w:p>
    <w:p w:rsidR="003D3444" w:rsidRPr="00593375" w:rsidRDefault="003D3444" w:rsidP="00593375">
      <w:pPr>
        <w:pStyle w:val="Default"/>
        <w:rPr>
          <w:rFonts w:ascii="Albertus MT" w:hAnsi="Albertus MT"/>
          <w:sz w:val="22"/>
          <w:szCs w:val="22"/>
        </w:rPr>
      </w:pPr>
    </w:p>
    <w:p w:rsidR="0037132E" w:rsidRPr="00593375" w:rsidRDefault="0037132E" w:rsidP="00593375">
      <w:pPr>
        <w:pStyle w:val="Default"/>
        <w:ind w:left="567" w:hanging="567"/>
        <w:rPr>
          <w:rFonts w:ascii="Albertus MT" w:hAnsi="Albertus MT"/>
          <w:sz w:val="22"/>
          <w:szCs w:val="22"/>
        </w:rPr>
      </w:pPr>
      <w:r w:rsidRPr="00593375">
        <w:rPr>
          <w:rFonts w:ascii="Albertus MT" w:hAnsi="Albertus MT"/>
          <w:sz w:val="22"/>
          <w:szCs w:val="22"/>
        </w:rPr>
        <w:t>Q12: Do you agree with the above mentioned specifications of duration and calculation</w:t>
      </w:r>
      <w:r w:rsidR="00225A0C">
        <w:rPr>
          <w:rFonts w:ascii="Albertus MT" w:hAnsi="Albertus MT"/>
          <w:sz w:val="22"/>
          <w:szCs w:val="22"/>
        </w:rPr>
        <w:t xml:space="preserve"> of the stabilisation period? </w:t>
      </w:r>
      <w:r w:rsidRPr="00593375">
        <w:rPr>
          <w:rFonts w:ascii="Albertus MT" w:hAnsi="Albertus MT"/>
          <w:sz w:val="22"/>
          <w:szCs w:val="22"/>
        </w:rPr>
        <w:t xml:space="preserve"> </w:t>
      </w:r>
    </w:p>
    <w:p w:rsidR="00336EB5" w:rsidRPr="00593375" w:rsidRDefault="00336EB5" w:rsidP="00593375">
      <w:pPr>
        <w:pStyle w:val="Default"/>
        <w:ind w:left="567" w:hanging="567"/>
        <w:rPr>
          <w:rFonts w:ascii="Albertus MT" w:hAnsi="Albertus MT"/>
          <w:sz w:val="22"/>
          <w:szCs w:val="22"/>
        </w:rPr>
      </w:pPr>
    </w:p>
    <w:p w:rsidR="00336EB5" w:rsidRPr="00593375" w:rsidRDefault="00336EB5" w:rsidP="00593375">
      <w:pPr>
        <w:pStyle w:val="Default"/>
        <w:ind w:left="567"/>
        <w:rPr>
          <w:rFonts w:ascii="Albertus MT" w:hAnsi="Albertus MT"/>
          <w:b/>
          <w:sz w:val="22"/>
          <w:szCs w:val="22"/>
        </w:rPr>
      </w:pPr>
      <w:r w:rsidRPr="00593375">
        <w:rPr>
          <w:rFonts w:ascii="Albertus MT" w:hAnsi="Albertus MT"/>
          <w:b/>
          <w:sz w:val="22"/>
          <w:szCs w:val="22"/>
        </w:rPr>
        <w:t>We agree with the specifications of duration and calculation of the stabilisation period.</w:t>
      </w:r>
      <w:r w:rsidR="00716F10" w:rsidRPr="00593375">
        <w:rPr>
          <w:rFonts w:ascii="Albertus MT" w:hAnsi="Albertus MT"/>
          <w:b/>
          <w:sz w:val="22"/>
          <w:szCs w:val="22"/>
        </w:rPr>
        <w:t xml:space="preserve"> However with respect to stabilisation for straight bonds issuances, it would be helpful if the definition of the beginning of the offer period (defined as “the date of adequate public disclosure of the terms of the offer of the relevant securities (i.e. including the spread to the benchmark, if any, once it has been fixed)” be extended to refer to the pre-stabilisation public notice (i.e. the stabilization period should start upon publication of the pre-</w:t>
      </w:r>
      <w:proofErr w:type="spellStart"/>
      <w:r w:rsidR="00716F10" w:rsidRPr="00593375">
        <w:rPr>
          <w:rFonts w:ascii="Albertus MT" w:hAnsi="Albertus MT"/>
          <w:b/>
          <w:sz w:val="22"/>
          <w:szCs w:val="22"/>
        </w:rPr>
        <w:t>stablisation</w:t>
      </w:r>
      <w:proofErr w:type="spellEnd"/>
      <w:r w:rsidR="00716F10" w:rsidRPr="00593375">
        <w:rPr>
          <w:rFonts w:ascii="Albertus MT" w:hAnsi="Albertus MT"/>
          <w:b/>
          <w:sz w:val="22"/>
          <w:szCs w:val="22"/>
        </w:rPr>
        <w:t xml:space="preserve"> public notice). </w:t>
      </w:r>
    </w:p>
    <w:p w:rsidR="00336EB5" w:rsidRPr="00593375" w:rsidRDefault="00336EB5" w:rsidP="00593375">
      <w:pPr>
        <w:pStyle w:val="Default"/>
        <w:rPr>
          <w:rFonts w:ascii="Albertus MT" w:hAnsi="Albertus MT"/>
          <w:sz w:val="22"/>
          <w:szCs w:val="22"/>
        </w:rPr>
      </w:pPr>
    </w:p>
    <w:p w:rsidR="0037132E" w:rsidRPr="00593375" w:rsidRDefault="0037132E" w:rsidP="00593375">
      <w:pPr>
        <w:pStyle w:val="Default"/>
        <w:ind w:left="567" w:hanging="567"/>
        <w:rPr>
          <w:rFonts w:ascii="Albertus MT" w:hAnsi="Albertus MT"/>
          <w:color w:val="auto"/>
          <w:sz w:val="22"/>
          <w:szCs w:val="22"/>
        </w:rPr>
      </w:pPr>
      <w:r w:rsidRPr="00593375">
        <w:rPr>
          <w:rFonts w:ascii="Albertus MT" w:hAnsi="Albertus MT"/>
          <w:color w:val="auto"/>
          <w:sz w:val="22"/>
          <w:szCs w:val="22"/>
        </w:rPr>
        <w:t>Q13:</w:t>
      </w:r>
      <w:r w:rsidR="003D3444" w:rsidRPr="00593375">
        <w:rPr>
          <w:rFonts w:ascii="Albertus MT" w:hAnsi="Albertus MT"/>
          <w:color w:val="auto"/>
          <w:sz w:val="22"/>
          <w:szCs w:val="22"/>
        </w:rPr>
        <w:tab/>
      </w:r>
      <w:r w:rsidRPr="00593375">
        <w:rPr>
          <w:rFonts w:ascii="Albertus MT" w:hAnsi="Albertus MT"/>
          <w:color w:val="auto"/>
          <w:sz w:val="22"/>
          <w:szCs w:val="22"/>
        </w:rPr>
        <w:t xml:space="preserve">Do you believe that the disclosure provided for under the Prospectus Directive is sufficient or should there be additional communication to the market? </w:t>
      </w:r>
    </w:p>
    <w:p w:rsidR="00336EB5" w:rsidRPr="00593375" w:rsidRDefault="00336EB5" w:rsidP="00593375">
      <w:pPr>
        <w:pStyle w:val="Default"/>
        <w:rPr>
          <w:rFonts w:ascii="Albertus MT" w:hAnsi="Albertus MT"/>
          <w:color w:val="auto"/>
          <w:sz w:val="22"/>
          <w:szCs w:val="22"/>
        </w:rPr>
      </w:pPr>
    </w:p>
    <w:p w:rsidR="00F9044E" w:rsidRPr="00593375" w:rsidRDefault="00336EB5" w:rsidP="00593375">
      <w:pPr>
        <w:pStyle w:val="Default"/>
        <w:ind w:left="567" w:hanging="567"/>
        <w:rPr>
          <w:rFonts w:ascii="Albertus MT" w:hAnsi="Albertus MT"/>
          <w:b/>
          <w:color w:val="auto"/>
          <w:sz w:val="22"/>
          <w:szCs w:val="22"/>
        </w:rPr>
      </w:pPr>
      <w:r w:rsidRPr="00593375">
        <w:rPr>
          <w:rFonts w:ascii="Albertus MT" w:hAnsi="Albertus MT"/>
          <w:color w:val="auto"/>
          <w:sz w:val="22"/>
          <w:szCs w:val="22"/>
        </w:rPr>
        <w:tab/>
      </w:r>
      <w:r w:rsidRPr="00593375">
        <w:rPr>
          <w:rFonts w:ascii="Albertus MT" w:hAnsi="Albertus MT"/>
          <w:b/>
          <w:color w:val="auto"/>
          <w:sz w:val="22"/>
          <w:szCs w:val="22"/>
        </w:rPr>
        <w:t>Disclosure provided under the Prospectus Directive is sufficient.</w:t>
      </w:r>
    </w:p>
    <w:p w:rsidR="00F71019" w:rsidRPr="00593375" w:rsidRDefault="00F71019" w:rsidP="00593375">
      <w:pPr>
        <w:pStyle w:val="Default"/>
        <w:ind w:left="567" w:hanging="567"/>
        <w:rPr>
          <w:rFonts w:ascii="Albertus MT" w:hAnsi="Albertus MT"/>
          <w:b/>
          <w:color w:val="auto"/>
          <w:sz w:val="22"/>
          <w:szCs w:val="22"/>
        </w:rPr>
      </w:pPr>
    </w:p>
    <w:p w:rsidR="0037132E" w:rsidRPr="00593375" w:rsidRDefault="0037132E" w:rsidP="00593375">
      <w:pPr>
        <w:pStyle w:val="Default"/>
        <w:ind w:left="567" w:hanging="567"/>
        <w:rPr>
          <w:rFonts w:ascii="Albertus MT" w:hAnsi="Albertus MT"/>
          <w:color w:val="auto"/>
          <w:sz w:val="22"/>
          <w:szCs w:val="22"/>
        </w:rPr>
      </w:pPr>
      <w:r w:rsidRPr="00593375">
        <w:rPr>
          <w:rFonts w:ascii="Albertus MT" w:hAnsi="Albertus MT"/>
          <w:color w:val="auto"/>
          <w:sz w:val="22"/>
          <w:szCs w:val="22"/>
        </w:rPr>
        <w:t xml:space="preserve">Q14: </w:t>
      </w:r>
      <w:r w:rsidR="00FA6B75" w:rsidRPr="00593375">
        <w:rPr>
          <w:rFonts w:ascii="Albertus MT" w:hAnsi="Albertus MT"/>
          <w:color w:val="auto"/>
          <w:sz w:val="22"/>
          <w:szCs w:val="22"/>
        </w:rPr>
        <w:tab/>
      </w:r>
      <w:r w:rsidRPr="00593375">
        <w:rPr>
          <w:rFonts w:ascii="Albertus MT" w:hAnsi="Albertus MT"/>
          <w:color w:val="auto"/>
          <w:sz w:val="22"/>
          <w:szCs w:val="22"/>
        </w:rPr>
        <w:t xml:space="preserve">Do you agree with these above mentioned details which have to be disclosed? </w:t>
      </w:r>
    </w:p>
    <w:p w:rsidR="00336EB5" w:rsidRPr="00593375" w:rsidRDefault="00336EB5" w:rsidP="00593375">
      <w:pPr>
        <w:pStyle w:val="Default"/>
        <w:rPr>
          <w:rFonts w:ascii="Albertus MT" w:hAnsi="Albertus MT"/>
          <w:color w:val="auto"/>
          <w:sz w:val="22"/>
          <w:szCs w:val="22"/>
        </w:rPr>
      </w:pPr>
    </w:p>
    <w:p w:rsidR="00FA0466" w:rsidRDefault="00FA0466" w:rsidP="00FA0466">
      <w:pPr>
        <w:spacing w:after="0" w:line="240" w:lineRule="auto"/>
        <w:ind w:left="567"/>
        <w:rPr>
          <w:rFonts w:ascii="Albertus MT" w:hAnsi="Albertus MT"/>
          <w:b/>
        </w:rPr>
      </w:pPr>
      <w:r w:rsidRPr="00FA0466">
        <w:rPr>
          <w:rFonts w:ascii="Albertus MT" w:hAnsi="Albertus MT"/>
          <w:b/>
          <w:bCs/>
        </w:rPr>
        <w:t xml:space="preserve">We agree with the proposed disclosure details. </w:t>
      </w:r>
      <w:r w:rsidR="00735280">
        <w:rPr>
          <w:rFonts w:ascii="Albertus MT" w:hAnsi="Albertus MT"/>
          <w:b/>
          <w:bCs/>
        </w:rPr>
        <w:t>We do not believe that such disclosure of stabilization</w:t>
      </w:r>
      <w:r w:rsidR="006B1B67">
        <w:rPr>
          <w:rFonts w:ascii="Albertus MT" w:hAnsi="Albertus MT"/>
          <w:b/>
          <w:bCs/>
        </w:rPr>
        <w:t xml:space="preserve"> should be required for </w:t>
      </w:r>
      <w:r w:rsidR="00735280">
        <w:rPr>
          <w:rFonts w:ascii="Albertus MT" w:hAnsi="Albertus MT"/>
          <w:b/>
          <w:bCs/>
        </w:rPr>
        <w:t>offers</w:t>
      </w:r>
      <w:r w:rsidR="006B1B67">
        <w:rPr>
          <w:rFonts w:ascii="Albertus MT" w:hAnsi="Albertus MT"/>
          <w:b/>
          <w:bCs/>
        </w:rPr>
        <w:t xml:space="preserve"> of high yield securities</w:t>
      </w:r>
      <w:r w:rsidR="00735280">
        <w:rPr>
          <w:rFonts w:ascii="Albertus MT" w:hAnsi="Albertus MT"/>
          <w:b/>
          <w:bCs/>
        </w:rPr>
        <w:t xml:space="preserve"> which do not require a prospectus and which are not liste</w:t>
      </w:r>
      <w:r w:rsidR="006B1B67">
        <w:rPr>
          <w:rFonts w:ascii="Albertus MT" w:hAnsi="Albertus MT"/>
          <w:b/>
          <w:bCs/>
        </w:rPr>
        <w:t>d on a regulated market because there has not bee</w:t>
      </w:r>
      <w:r w:rsidR="0048544D">
        <w:rPr>
          <w:rFonts w:ascii="Albertus MT" w:hAnsi="Albertus MT"/>
          <w:b/>
          <w:bCs/>
        </w:rPr>
        <w:t>n a market failure</w:t>
      </w:r>
      <w:r w:rsidR="006B1B67">
        <w:rPr>
          <w:rFonts w:ascii="Albertus MT" w:hAnsi="Albertus MT"/>
          <w:b/>
          <w:bCs/>
        </w:rPr>
        <w:t xml:space="preserve">. </w:t>
      </w:r>
      <w:r w:rsidRPr="00FA0466">
        <w:rPr>
          <w:rFonts w:ascii="Albertus MT" w:hAnsi="Albertus MT"/>
          <w:b/>
        </w:rPr>
        <w:t>However,</w:t>
      </w:r>
      <w:r w:rsidR="006B1B67">
        <w:rPr>
          <w:rFonts w:ascii="Albertus MT" w:hAnsi="Albertus MT"/>
          <w:b/>
        </w:rPr>
        <w:t xml:space="preserve"> for other types of securities,</w:t>
      </w:r>
      <w:r w:rsidRPr="00FA0466">
        <w:rPr>
          <w:rFonts w:ascii="Albertus MT" w:hAnsi="Albertus MT"/>
          <w:b/>
        </w:rPr>
        <w:t xml:space="preserve"> we note that paragraph 38 in the discussion paper envisages that for offers that do not fall under the scope of the PD, public disclosure of the fact that </w:t>
      </w:r>
      <w:proofErr w:type="spellStart"/>
      <w:r w:rsidRPr="00FA0466">
        <w:rPr>
          <w:rFonts w:ascii="Albertus MT" w:hAnsi="Albertus MT"/>
          <w:b/>
        </w:rPr>
        <w:t>stabilisation</w:t>
      </w:r>
      <w:proofErr w:type="spellEnd"/>
      <w:r w:rsidRPr="00FA0466">
        <w:rPr>
          <w:rFonts w:ascii="Albertus MT" w:hAnsi="Albertus MT"/>
          <w:b/>
        </w:rPr>
        <w:t xml:space="preserve"> measures would be undertaken should be made "right before the opening of the offer period".  We believe that there may be some uncertainty about when the offer period formally commences.  As a matter of general practice, disclosure of </w:t>
      </w:r>
      <w:proofErr w:type="spellStart"/>
      <w:r w:rsidRPr="00FA0466">
        <w:rPr>
          <w:rFonts w:ascii="Albertus MT" w:hAnsi="Albertus MT"/>
          <w:b/>
        </w:rPr>
        <w:t>stabilisation</w:t>
      </w:r>
      <w:proofErr w:type="spellEnd"/>
      <w:r w:rsidRPr="00FA0466">
        <w:rPr>
          <w:rFonts w:ascii="Albertus MT" w:hAnsi="Albertus MT"/>
          <w:b/>
        </w:rPr>
        <w:t xml:space="preserve"> measures is made either simultaneously with the launch document or launch press release, or immediately following publication of the pricing notice.   It would</w:t>
      </w:r>
      <w:r w:rsidR="006B1B67">
        <w:rPr>
          <w:rFonts w:ascii="Albertus MT" w:hAnsi="Albertus MT"/>
          <w:b/>
        </w:rPr>
        <w:t xml:space="preserve"> be helpful if ESMA acknowledges</w:t>
      </w:r>
      <w:r w:rsidRPr="00FA0466">
        <w:rPr>
          <w:rFonts w:ascii="Albertus MT" w:hAnsi="Albertus MT"/>
          <w:b/>
        </w:rPr>
        <w:t xml:space="preserve"> in guidance that this practice conforms </w:t>
      </w:r>
      <w:r w:rsidR="006B1B67">
        <w:rPr>
          <w:rFonts w:ascii="Albertus MT" w:hAnsi="Albertus MT"/>
          <w:b/>
        </w:rPr>
        <w:t>to its expectations or clarifies</w:t>
      </w:r>
      <w:r w:rsidRPr="00FA0466">
        <w:rPr>
          <w:rFonts w:ascii="Albertus MT" w:hAnsi="Albertus MT"/>
          <w:b/>
        </w:rPr>
        <w:t xml:space="preserve"> explicitly the timing and process it expected. </w:t>
      </w:r>
    </w:p>
    <w:p w:rsidR="00FA0466" w:rsidRPr="00FA0466" w:rsidRDefault="00FA0466" w:rsidP="00FA0466">
      <w:pPr>
        <w:spacing w:after="0" w:line="240" w:lineRule="auto"/>
        <w:rPr>
          <w:rFonts w:ascii="Albertus MT" w:hAnsi="Albertus MT"/>
          <w:b/>
        </w:rPr>
      </w:pPr>
    </w:p>
    <w:p w:rsidR="00716F10" w:rsidRPr="00FA0466" w:rsidRDefault="00716F10" w:rsidP="00593375">
      <w:pPr>
        <w:pStyle w:val="ListParagraph"/>
        <w:spacing w:after="0" w:line="240" w:lineRule="auto"/>
        <w:ind w:left="567"/>
        <w:contextualSpacing w:val="0"/>
        <w:rPr>
          <w:rFonts w:ascii="Albertus MT" w:hAnsi="Albertus MT" w:cs="Arial"/>
          <w:b/>
          <w:color w:val="000000" w:themeColor="text1"/>
          <w:sz w:val="22"/>
          <w:szCs w:val="22"/>
        </w:rPr>
      </w:pPr>
      <w:r w:rsidRPr="00FA0466">
        <w:rPr>
          <w:rFonts w:ascii="Albertus MT" w:hAnsi="Albertus MT" w:cs="Arial"/>
          <w:b/>
          <w:color w:val="000000" w:themeColor="text1"/>
          <w:sz w:val="22"/>
          <w:szCs w:val="22"/>
        </w:rPr>
        <w:t xml:space="preserve">With respect to paragraph 41, it is worth considering whether there is any substantive benefit of disclosures when </w:t>
      </w:r>
      <w:proofErr w:type="spellStart"/>
      <w:r w:rsidRPr="00FA0466">
        <w:rPr>
          <w:rFonts w:ascii="Albertus MT" w:hAnsi="Albertus MT" w:cs="Arial"/>
          <w:b/>
          <w:color w:val="000000" w:themeColor="text1"/>
          <w:sz w:val="22"/>
          <w:szCs w:val="22"/>
        </w:rPr>
        <w:t>stabilisation</w:t>
      </w:r>
      <w:proofErr w:type="spellEnd"/>
      <w:r w:rsidRPr="00FA0466">
        <w:rPr>
          <w:rFonts w:ascii="Albertus MT" w:hAnsi="Albertus MT" w:cs="Arial"/>
          <w:b/>
          <w:color w:val="000000" w:themeColor="text1"/>
          <w:sz w:val="22"/>
          <w:szCs w:val="22"/>
        </w:rPr>
        <w:t xml:space="preserve"> measures are not undertaken and whether references to price range for each day are helpful.</w:t>
      </w:r>
    </w:p>
    <w:p w:rsidR="00336EB5" w:rsidRPr="00593375" w:rsidRDefault="00336EB5" w:rsidP="00593375">
      <w:pPr>
        <w:pStyle w:val="Default"/>
        <w:rPr>
          <w:rFonts w:ascii="Albertus MT" w:hAnsi="Albertus MT"/>
          <w:color w:val="auto"/>
          <w:sz w:val="22"/>
          <w:szCs w:val="22"/>
        </w:rPr>
      </w:pPr>
    </w:p>
    <w:p w:rsidR="0037132E" w:rsidRPr="00593375" w:rsidRDefault="0037132E" w:rsidP="00593375">
      <w:pPr>
        <w:pStyle w:val="Default"/>
        <w:ind w:left="567" w:hanging="567"/>
        <w:rPr>
          <w:rFonts w:ascii="Albertus MT" w:hAnsi="Albertus MT"/>
          <w:color w:val="auto"/>
          <w:sz w:val="22"/>
          <w:szCs w:val="22"/>
        </w:rPr>
      </w:pPr>
      <w:r w:rsidRPr="00593375">
        <w:rPr>
          <w:rFonts w:ascii="Albertus MT" w:hAnsi="Albertus MT"/>
          <w:color w:val="auto"/>
          <w:sz w:val="22"/>
          <w:szCs w:val="22"/>
        </w:rPr>
        <w:t xml:space="preserve">Q15: </w:t>
      </w:r>
      <w:r w:rsidR="003D3444" w:rsidRPr="00593375">
        <w:rPr>
          <w:rFonts w:ascii="Albertus MT" w:hAnsi="Albertus MT"/>
          <w:color w:val="auto"/>
          <w:sz w:val="22"/>
          <w:szCs w:val="22"/>
        </w:rPr>
        <w:tab/>
      </w:r>
      <w:r w:rsidRPr="00593375">
        <w:rPr>
          <w:rFonts w:ascii="Albertus MT" w:hAnsi="Albertus MT"/>
          <w:color w:val="auto"/>
          <w:sz w:val="22"/>
          <w:szCs w:val="22"/>
        </w:rPr>
        <w:t xml:space="preserve">Do you agree that there should be an exclusive responsibility with regard to transparency requirements? Who should be responsible to comply with the transparency obligations: the issuer, the </w:t>
      </w:r>
      <w:proofErr w:type="spellStart"/>
      <w:r w:rsidRPr="00593375">
        <w:rPr>
          <w:rFonts w:ascii="Albertus MT" w:hAnsi="Albertus MT"/>
          <w:color w:val="auto"/>
          <w:sz w:val="22"/>
          <w:szCs w:val="22"/>
        </w:rPr>
        <w:t>offeror</w:t>
      </w:r>
      <w:proofErr w:type="spellEnd"/>
      <w:r w:rsidRPr="00593375">
        <w:rPr>
          <w:rFonts w:ascii="Albertus MT" w:hAnsi="Albertus MT"/>
          <w:color w:val="auto"/>
          <w:sz w:val="22"/>
          <w:szCs w:val="22"/>
        </w:rPr>
        <w:t xml:space="preserve"> or the entity which is actually undertaking the stabilisation? </w:t>
      </w:r>
    </w:p>
    <w:p w:rsidR="00336EB5" w:rsidRPr="00FA0466" w:rsidRDefault="00336EB5" w:rsidP="00FA0466">
      <w:pPr>
        <w:pStyle w:val="Default"/>
        <w:ind w:left="567"/>
        <w:rPr>
          <w:rFonts w:ascii="Albertus MT" w:hAnsi="Albertus MT"/>
          <w:b/>
          <w:color w:val="auto"/>
        </w:rPr>
      </w:pPr>
    </w:p>
    <w:p w:rsidR="00F6503B" w:rsidRPr="00FA0466" w:rsidRDefault="00F6503B" w:rsidP="00FA0466">
      <w:pPr>
        <w:spacing w:after="0" w:line="240" w:lineRule="auto"/>
        <w:ind w:left="567"/>
        <w:rPr>
          <w:rFonts w:ascii="Albertus MT" w:hAnsi="Albertus MT"/>
          <w:b/>
        </w:rPr>
      </w:pPr>
      <w:r w:rsidRPr="00FA0466">
        <w:rPr>
          <w:rFonts w:ascii="Albertus MT" w:hAnsi="Albertus MT"/>
          <w:b/>
        </w:rPr>
        <w:t xml:space="preserve">It is important to distinguish here between responsibility for disclosure of proposed </w:t>
      </w:r>
      <w:proofErr w:type="spellStart"/>
      <w:r w:rsidRPr="00FA0466">
        <w:rPr>
          <w:rFonts w:ascii="Albertus MT" w:hAnsi="Albertus MT"/>
          <w:b/>
        </w:rPr>
        <w:t>stabilisation</w:t>
      </w:r>
      <w:proofErr w:type="spellEnd"/>
      <w:r w:rsidRPr="00FA0466">
        <w:rPr>
          <w:rFonts w:ascii="Albertus MT" w:hAnsi="Albertus MT"/>
          <w:b/>
        </w:rPr>
        <w:t xml:space="preserve"> measures and for disclosure of the measures actually undertaken.  For offers that fall under the scope of the PD, the </w:t>
      </w:r>
      <w:r w:rsidRPr="00FA0466">
        <w:rPr>
          <w:rFonts w:ascii="Albertus MT" w:hAnsi="Albertus MT"/>
          <w:b/>
        </w:rPr>
        <w:lastRenderedPageBreak/>
        <w:t xml:space="preserve">issuer should remain responsible for the contents of the prospectus, including the disclosures required under the implementing Regulation 2004/809.  For offers that fall outside the scope of the PD, responsibility for disclosure of proposed </w:t>
      </w:r>
      <w:proofErr w:type="spellStart"/>
      <w:r w:rsidRPr="00FA0466">
        <w:rPr>
          <w:rFonts w:ascii="Albertus MT" w:hAnsi="Albertus MT"/>
          <w:b/>
        </w:rPr>
        <w:t>stabilisation</w:t>
      </w:r>
      <w:proofErr w:type="spellEnd"/>
      <w:r w:rsidRPr="00FA0466">
        <w:rPr>
          <w:rFonts w:ascii="Albertus MT" w:hAnsi="Albertus MT"/>
          <w:b/>
        </w:rPr>
        <w:t xml:space="preserve"> activity could be assigned either to the issuer or to the </w:t>
      </w:r>
      <w:proofErr w:type="spellStart"/>
      <w:r w:rsidRPr="00FA0466">
        <w:rPr>
          <w:rFonts w:ascii="Albertus MT" w:hAnsi="Albertus MT"/>
          <w:b/>
        </w:rPr>
        <w:t>stabilisation</w:t>
      </w:r>
      <w:proofErr w:type="spellEnd"/>
      <w:r w:rsidRPr="00FA0466">
        <w:rPr>
          <w:rFonts w:ascii="Albertus MT" w:hAnsi="Albertus MT"/>
          <w:b/>
        </w:rPr>
        <w:t xml:space="preserve"> manager.   </w:t>
      </w:r>
    </w:p>
    <w:p w:rsidR="00F71019" w:rsidRPr="00593375" w:rsidRDefault="00F6503B" w:rsidP="00FA0466">
      <w:pPr>
        <w:pStyle w:val="Default"/>
        <w:ind w:left="567"/>
        <w:rPr>
          <w:rFonts w:ascii="Albertus MT" w:hAnsi="Albertus MT"/>
          <w:b/>
          <w:sz w:val="22"/>
          <w:szCs w:val="22"/>
        </w:rPr>
      </w:pPr>
      <w:r w:rsidRPr="00FA0466">
        <w:rPr>
          <w:rFonts w:ascii="Albertus MT" w:hAnsi="Albertus MT" w:cstheme="minorBidi"/>
          <w:b/>
          <w:color w:val="auto"/>
          <w:lang w:val="en-US"/>
        </w:rPr>
        <w:t xml:space="preserve">In our view, responsibility for disclosure of </w:t>
      </w:r>
      <w:proofErr w:type="spellStart"/>
      <w:r w:rsidRPr="00FA0466">
        <w:rPr>
          <w:rFonts w:ascii="Albertus MT" w:hAnsi="Albertus MT" w:cstheme="minorBidi"/>
          <w:b/>
          <w:color w:val="auto"/>
          <w:lang w:val="en-US"/>
        </w:rPr>
        <w:t>stabilisation</w:t>
      </w:r>
      <w:proofErr w:type="spellEnd"/>
      <w:r w:rsidRPr="00FA0466">
        <w:rPr>
          <w:rFonts w:ascii="Albertus MT" w:hAnsi="Albertus MT" w:cstheme="minorBidi"/>
          <w:b/>
          <w:color w:val="auto"/>
          <w:lang w:val="en-US"/>
        </w:rPr>
        <w:t xml:space="preserve"> transactions could rest with the </w:t>
      </w:r>
      <w:proofErr w:type="spellStart"/>
      <w:r w:rsidRPr="00FA0466">
        <w:rPr>
          <w:rFonts w:ascii="Albertus MT" w:hAnsi="Albertus MT" w:cstheme="minorBidi"/>
          <w:b/>
          <w:color w:val="auto"/>
          <w:lang w:val="en-US"/>
        </w:rPr>
        <w:t>stabilisation</w:t>
      </w:r>
      <w:proofErr w:type="spellEnd"/>
      <w:r w:rsidRPr="00FA0466">
        <w:rPr>
          <w:rFonts w:ascii="Albertus MT" w:hAnsi="Albertus MT" w:cstheme="minorBidi"/>
          <w:b/>
          <w:color w:val="auto"/>
          <w:lang w:val="en-US"/>
        </w:rPr>
        <w:t xml:space="preserve"> manager i.e. the entity/entities which is/are actually undertaking the </w:t>
      </w:r>
      <w:proofErr w:type="spellStart"/>
      <w:r w:rsidRPr="00FA0466">
        <w:rPr>
          <w:rFonts w:ascii="Albertus MT" w:hAnsi="Albertus MT" w:cstheme="minorBidi"/>
          <w:b/>
          <w:color w:val="auto"/>
          <w:lang w:val="en-US"/>
        </w:rPr>
        <w:t>stabilisation</w:t>
      </w:r>
      <w:proofErr w:type="spellEnd"/>
      <w:r w:rsidRPr="00FA0466">
        <w:rPr>
          <w:rFonts w:ascii="Albertus MT" w:hAnsi="Albertus MT" w:cstheme="minorBidi"/>
          <w:b/>
          <w:color w:val="auto"/>
          <w:lang w:val="en-US"/>
        </w:rPr>
        <w:t>.  However</w:t>
      </w:r>
      <w:r>
        <w:rPr>
          <w:rFonts w:asciiTheme="majorHAnsi" w:hAnsiTheme="majorHAnsi" w:cstheme="minorBidi"/>
          <w:color w:val="auto"/>
          <w:lang w:val="en-US"/>
        </w:rPr>
        <w:t xml:space="preserve">, </w:t>
      </w:r>
      <w:r>
        <w:rPr>
          <w:rFonts w:ascii="Albertus MT" w:hAnsi="Albertus MT"/>
          <w:b/>
          <w:sz w:val="22"/>
          <w:szCs w:val="22"/>
        </w:rPr>
        <w:t xml:space="preserve"> i</w:t>
      </w:r>
      <w:r w:rsidR="000A3C80" w:rsidRPr="00593375">
        <w:rPr>
          <w:rFonts w:ascii="Albertus MT" w:hAnsi="Albertus MT"/>
          <w:b/>
          <w:sz w:val="22"/>
          <w:szCs w:val="22"/>
        </w:rPr>
        <w:t xml:space="preserve">t might be more appropriate for a stabilisation manager to be responsible for co-ordination, rather than “exclusively responsible” – e.g. stabilisation manager should not be responsible for acts of other banks involved on the transaction; and to the extent another bank stabilises,  this should not automatically render the stabilisation activities outside the safe harbour.  </w:t>
      </w:r>
    </w:p>
    <w:p w:rsidR="000A3C80" w:rsidRPr="00593375" w:rsidRDefault="000A3C80" w:rsidP="00593375">
      <w:pPr>
        <w:pStyle w:val="Default"/>
        <w:ind w:left="567" w:hanging="567"/>
        <w:rPr>
          <w:rFonts w:ascii="Albertus MT" w:hAnsi="Albertus MT"/>
          <w:b/>
          <w:color w:val="auto"/>
          <w:sz w:val="22"/>
          <w:szCs w:val="22"/>
        </w:rPr>
      </w:pPr>
    </w:p>
    <w:p w:rsidR="0037132E" w:rsidRPr="00593375" w:rsidRDefault="0037132E" w:rsidP="00593375">
      <w:pPr>
        <w:pStyle w:val="Default"/>
        <w:ind w:left="567" w:hanging="567"/>
        <w:rPr>
          <w:rFonts w:ascii="Albertus MT" w:hAnsi="Albertus MT"/>
          <w:color w:val="auto"/>
          <w:sz w:val="22"/>
          <w:szCs w:val="22"/>
        </w:rPr>
      </w:pPr>
      <w:r w:rsidRPr="00593375">
        <w:rPr>
          <w:rFonts w:ascii="Albertus MT" w:hAnsi="Albertus MT"/>
          <w:color w:val="auto"/>
          <w:sz w:val="22"/>
          <w:szCs w:val="22"/>
        </w:rPr>
        <w:t>Q16:</w:t>
      </w:r>
      <w:r w:rsidR="003D3444" w:rsidRPr="00593375">
        <w:rPr>
          <w:rFonts w:ascii="Albertus MT" w:hAnsi="Albertus MT"/>
          <w:color w:val="auto"/>
          <w:sz w:val="22"/>
          <w:szCs w:val="22"/>
        </w:rPr>
        <w:tab/>
      </w:r>
      <w:r w:rsidRPr="00593375">
        <w:rPr>
          <w:rFonts w:ascii="Albertus MT" w:hAnsi="Albertus MT"/>
          <w:color w:val="auto"/>
          <w:sz w:val="22"/>
          <w:szCs w:val="22"/>
        </w:rPr>
        <w:t xml:space="preserve">Do you agree that there should be an exclusive responsibility with regard to reporting obligations? Who should be responsible for complying with the reporting requirements: the issuer, the </w:t>
      </w:r>
      <w:proofErr w:type="spellStart"/>
      <w:r w:rsidRPr="00593375">
        <w:rPr>
          <w:rFonts w:ascii="Albertus MT" w:hAnsi="Albertus MT"/>
          <w:color w:val="auto"/>
          <w:sz w:val="22"/>
          <w:szCs w:val="22"/>
        </w:rPr>
        <w:t>offeror</w:t>
      </w:r>
      <w:proofErr w:type="spellEnd"/>
      <w:r w:rsidRPr="00593375">
        <w:rPr>
          <w:rFonts w:ascii="Albertus MT" w:hAnsi="Albertus MT"/>
          <w:color w:val="auto"/>
          <w:sz w:val="22"/>
          <w:szCs w:val="22"/>
        </w:rPr>
        <w:t xml:space="preserve"> or the entity, which is actually undertaking the stabilisation? </w:t>
      </w:r>
    </w:p>
    <w:p w:rsidR="00336EB5" w:rsidRPr="00593375" w:rsidRDefault="00336EB5" w:rsidP="00593375">
      <w:pPr>
        <w:pStyle w:val="Default"/>
        <w:rPr>
          <w:rFonts w:ascii="Albertus MT" w:hAnsi="Albertus MT"/>
          <w:color w:val="auto"/>
          <w:sz w:val="22"/>
          <w:szCs w:val="22"/>
        </w:rPr>
      </w:pPr>
    </w:p>
    <w:p w:rsidR="00387590" w:rsidRPr="00593375" w:rsidRDefault="00336EB5" w:rsidP="00593375">
      <w:pPr>
        <w:pStyle w:val="Default"/>
        <w:ind w:left="567" w:hanging="567"/>
        <w:rPr>
          <w:rFonts w:ascii="Albertus MT" w:hAnsi="Albertus MT"/>
          <w:b/>
          <w:color w:val="auto"/>
          <w:sz w:val="22"/>
          <w:szCs w:val="22"/>
        </w:rPr>
      </w:pPr>
      <w:r w:rsidRPr="00593375">
        <w:rPr>
          <w:rFonts w:ascii="Albertus MT" w:hAnsi="Albertus MT"/>
          <w:b/>
          <w:color w:val="auto"/>
          <w:sz w:val="22"/>
          <w:szCs w:val="22"/>
        </w:rPr>
        <w:tab/>
      </w:r>
      <w:r w:rsidR="00FB5499" w:rsidRPr="00593375">
        <w:rPr>
          <w:rFonts w:ascii="Albertus MT" w:hAnsi="Albertus MT"/>
          <w:b/>
          <w:color w:val="auto"/>
          <w:sz w:val="22"/>
          <w:szCs w:val="22"/>
        </w:rPr>
        <w:t xml:space="preserve">The stabilisation manager </w:t>
      </w:r>
      <w:r w:rsidR="000A3C80" w:rsidRPr="00593375">
        <w:rPr>
          <w:rFonts w:ascii="Albertus MT" w:hAnsi="Albertus MT"/>
          <w:b/>
          <w:color w:val="auto"/>
          <w:sz w:val="22"/>
          <w:szCs w:val="22"/>
        </w:rPr>
        <w:t>is usually</w:t>
      </w:r>
      <w:r w:rsidR="00FB5499" w:rsidRPr="00593375">
        <w:rPr>
          <w:rFonts w:ascii="Albertus MT" w:hAnsi="Albertus MT"/>
          <w:b/>
          <w:color w:val="auto"/>
          <w:sz w:val="22"/>
          <w:szCs w:val="22"/>
        </w:rPr>
        <w:t xml:space="preserve"> be responsible</w:t>
      </w:r>
      <w:r w:rsidR="000A3C80" w:rsidRPr="00593375">
        <w:rPr>
          <w:rFonts w:ascii="Albertus MT" w:hAnsi="Albertus MT"/>
          <w:b/>
          <w:color w:val="auto"/>
          <w:sz w:val="22"/>
          <w:szCs w:val="22"/>
        </w:rPr>
        <w:t xml:space="preserve"> for coordination of stabilisation efforts</w:t>
      </w:r>
      <w:r w:rsidR="00387590" w:rsidRPr="00593375">
        <w:rPr>
          <w:rFonts w:ascii="Albertus MT" w:hAnsi="Albertus MT"/>
          <w:b/>
          <w:color w:val="auto"/>
          <w:sz w:val="22"/>
          <w:szCs w:val="22"/>
        </w:rPr>
        <w:t>, but the disclosure obligations should be refined to be clear and simple to comply with.</w:t>
      </w:r>
      <w:r w:rsidR="000A3C80" w:rsidRPr="00593375">
        <w:rPr>
          <w:rFonts w:ascii="Albertus MT" w:hAnsi="Albertus MT"/>
          <w:b/>
          <w:color w:val="auto"/>
          <w:sz w:val="22"/>
          <w:szCs w:val="22"/>
        </w:rPr>
        <w:t xml:space="preserve"> See response to Q. 15</w:t>
      </w:r>
    </w:p>
    <w:p w:rsidR="003D3444" w:rsidRPr="00593375" w:rsidRDefault="003D3444" w:rsidP="00593375">
      <w:pPr>
        <w:pStyle w:val="Default"/>
        <w:ind w:left="567" w:hanging="567"/>
        <w:rPr>
          <w:rFonts w:ascii="Albertus MT" w:hAnsi="Albertus MT"/>
          <w:b/>
          <w:color w:val="auto"/>
          <w:sz w:val="22"/>
          <w:szCs w:val="22"/>
        </w:rPr>
      </w:pPr>
    </w:p>
    <w:p w:rsidR="0037132E" w:rsidRPr="00593375" w:rsidRDefault="0037132E" w:rsidP="00593375">
      <w:pPr>
        <w:pStyle w:val="Default"/>
        <w:ind w:left="567" w:hanging="567"/>
        <w:rPr>
          <w:rFonts w:ascii="Albertus MT" w:hAnsi="Albertus MT"/>
          <w:color w:val="auto"/>
          <w:sz w:val="22"/>
          <w:szCs w:val="22"/>
        </w:rPr>
      </w:pPr>
      <w:r w:rsidRPr="00593375">
        <w:rPr>
          <w:rFonts w:ascii="Albertus MT" w:hAnsi="Albertus MT"/>
          <w:color w:val="auto"/>
          <w:sz w:val="22"/>
          <w:szCs w:val="22"/>
        </w:rPr>
        <w:t>Q17</w:t>
      </w:r>
      <w:r w:rsidR="00FA6B75" w:rsidRPr="00593375">
        <w:rPr>
          <w:rFonts w:ascii="Albertus MT" w:hAnsi="Albertus MT"/>
          <w:color w:val="auto"/>
          <w:sz w:val="22"/>
          <w:szCs w:val="22"/>
        </w:rPr>
        <w:t>:</w:t>
      </w:r>
      <w:r w:rsidRPr="00593375">
        <w:rPr>
          <w:rFonts w:ascii="Albertus MT" w:hAnsi="Albertus MT"/>
          <w:color w:val="auto"/>
          <w:sz w:val="22"/>
          <w:szCs w:val="22"/>
        </w:rPr>
        <w:t xml:space="preserve"> </w:t>
      </w:r>
      <w:r w:rsidR="003D3444" w:rsidRPr="00593375">
        <w:rPr>
          <w:rFonts w:ascii="Albertus MT" w:hAnsi="Albertus MT"/>
          <w:color w:val="auto"/>
          <w:sz w:val="22"/>
          <w:szCs w:val="22"/>
        </w:rPr>
        <w:tab/>
      </w:r>
      <w:r w:rsidRPr="00593375">
        <w:rPr>
          <w:rFonts w:ascii="Albertus MT" w:hAnsi="Albertus MT"/>
          <w:color w:val="auto"/>
          <w:sz w:val="22"/>
          <w:szCs w:val="22"/>
        </w:rPr>
        <w:t xml:space="preserve">Do you think that in the case of bi- or multinational stabilisation measures a centralised reporting regime should be established to exclusively one competent authority? If so, what are your views on the proposed options? </w:t>
      </w:r>
    </w:p>
    <w:p w:rsidR="00FB5499" w:rsidRPr="00593375" w:rsidRDefault="00FB5499" w:rsidP="00593375">
      <w:pPr>
        <w:pStyle w:val="Default"/>
        <w:rPr>
          <w:rFonts w:ascii="Albertus MT" w:hAnsi="Albertus MT"/>
          <w:color w:val="auto"/>
          <w:sz w:val="22"/>
          <w:szCs w:val="22"/>
        </w:rPr>
      </w:pPr>
    </w:p>
    <w:p w:rsidR="00FB5499" w:rsidRPr="00593375" w:rsidRDefault="00FB5499" w:rsidP="00593375">
      <w:pPr>
        <w:pStyle w:val="Default"/>
        <w:ind w:left="567" w:hanging="567"/>
        <w:rPr>
          <w:rFonts w:ascii="Albertus MT" w:hAnsi="Albertus MT"/>
          <w:b/>
          <w:color w:val="auto"/>
          <w:sz w:val="22"/>
          <w:szCs w:val="22"/>
        </w:rPr>
      </w:pPr>
      <w:r w:rsidRPr="00593375">
        <w:rPr>
          <w:rFonts w:ascii="Albertus MT" w:hAnsi="Albertus MT"/>
          <w:color w:val="auto"/>
          <w:sz w:val="22"/>
          <w:szCs w:val="22"/>
        </w:rPr>
        <w:tab/>
      </w:r>
      <w:r w:rsidRPr="00593375">
        <w:rPr>
          <w:rFonts w:ascii="Albertus MT" w:hAnsi="Albertus MT"/>
          <w:b/>
          <w:color w:val="auto"/>
          <w:sz w:val="22"/>
          <w:szCs w:val="22"/>
        </w:rPr>
        <w:t>Yes, as determined by reference to the Prospectus Directive</w:t>
      </w:r>
      <w:r w:rsidR="000A3C80" w:rsidRPr="00593375">
        <w:rPr>
          <w:rFonts w:ascii="Albertus MT" w:hAnsi="Albertus MT"/>
          <w:b/>
          <w:color w:val="auto"/>
          <w:sz w:val="22"/>
          <w:szCs w:val="22"/>
        </w:rPr>
        <w:t xml:space="preserve"> for securities traded on </w:t>
      </w:r>
      <w:proofErr w:type="spellStart"/>
      <w:r w:rsidR="000A3C80" w:rsidRPr="00593375">
        <w:rPr>
          <w:rFonts w:ascii="Albertus MT" w:hAnsi="Albertus MT"/>
          <w:b/>
          <w:color w:val="auto"/>
          <w:sz w:val="22"/>
          <w:szCs w:val="22"/>
        </w:rPr>
        <w:t>RMs</w:t>
      </w:r>
      <w:r w:rsidR="00225A0C">
        <w:rPr>
          <w:rFonts w:ascii="Albertus MT" w:hAnsi="Albertus MT"/>
          <w:b/>
          <w:color w:val="auto"/>
          <w:sz w:val="22"/>
          <w:szCs w:val="22"/>
        </w:rPr>
        <w:t>.</w:t>
      </w:r>
      <w:proofErr w:type="spellEnd"/>
      <w:r w:rsidR="00225A0C">
        <w:rPr>
          <w:rFonts w:ascii="Albertus MT" w:hAnsi="Albertus MT"/>
          <w:b/>
          <w:color w:val="auto"/>
          <w:sz w:val="22"/>
          <w:szCs w:val="22"/>
        </w:rPr>
        <w:t xml:space="preserve"> </w:t>
      </w:r>
      <w:r w:rsidR="000A3C80" w:rsidRPr="00593375">
        <w:rPr>
          <w:rFonts w:ascii="Albertus MT" w:hAnsi="Albertus MT"/>
          <w:color w:val="auto"/>
          <w:sz w:val="22"/>
          <w:szCs w:val="22"/>
        </w:rPr>
        <w:t xml:space="preserve"> </w:t>
      </w:r>
      <w:r w:rsidR="00225A0C">
        <w:rPr>
          <w:rFonts w:ascii="Albertus MT" w:hAnsi="Albertus MT"/>
          <w:b/>
          <w:color w:val="auto"/>
          <w:sz w:val="22"/>
          <w:szCs w:val="22"/>
        </w:rPr>
        <w:t xml:space="preserve">Reporting with respect to offers of high yield securities should not be mandated. </w:t>
      </w:r>
    </w:p>
    <w:p w:rsidR="00FB5499" w:rsidRPr="00593375" w:rsidRDefault="00FB5499" w:rsidP="00593375">
      <w:pPr>
        <w:pStyle w:val="Default"/>
        <w:rPr>
          <w:rFonts w:ascii="Albertus MT" w:hAnsi="Albertus MT"/>
          <w:color w:val="auto"/>
          <w:sz w:val="22"/>
          <w:szCs w:val="22"/>
        </w:rPr>
      </w:pPr>
    </w:p>
    <w:p w:rsidR="0037132E" w:rsidRPr="00593375" w:rsidRDefault="0037132E" w:rsidP="00593375">
      <w:pPr>
        <w:pStyle w:val="Default"/>
        <w:ind w:left="567" w:hanging="567"/>
        <w:rPr>
          <w:rFonts w:ascii="Albertus MT" w:hAnsi="Albertus MT"/>
          <w:color w:val="auto"/>
          <w:sz w:val="22"/>
          <w:szCs w:val="22"/>
        </w:rPr>
      </w:pPr>
      <w:r w:rsidRPr="00593375">
        <w:rPr>
          <w:rFonts w:ascii="Albertus MT" w:hAnsi="Albertus MT"/>
          <w:color w:val="auto"/>
          <w:sz w:val="22"/>
          <w:szCs w:val="22"/>
        </w:rPr>
        <w:t xml:space="preserve">Q18: </w:t>
      </w:r>
      <w:r w:rsidR="003D3444" w:rsidRPr="00593375">
        <w:rPr>
          <w:rFonts w:ascii="Albertus MT" w:hAnsi="Albertus MT"/>
          <w:color w:val="auto"/>
          <w:sz w:val="22"/>
          <w:szCs w:val="22"/>
        </w:rPr>
        <w:tab/>
      </w:r>
      <w:r w:rsidRPr="00593375">
        <w:rPr>
          <w:rFonts w:ascii="Albertus MT" w:hAnsi="Albertus MT"/>
          <w:color w:val="auto"/>
          <w:sz w:val="22"/>
          <w:szCs w:val="22"/>
        </w:rPr>
        <w:t xml:space="preserve">Do you agree with these price conditions for shares/other securities equivalent to shares) and for securitised debt convertible or exchangeable of shares/other securities equivalent to share? </w:t>
      </w:r>
    </w:p>
    <w:p w:rsidR="00FB5499" w:rsidRPr="00593375" w:rsidRDefault="00FB5499" w:rsidP="00593375">
      <w:pPr>
        <w:pStyle w:val="Default"/>
        <w:rPr>
          <w:rFonts w:ascii="Albertus MT" w:hAnsi="Albertus MT"/>
          <w:color w:val="auto"/>
          <w:sz w:val="22"/>
          <w:szCs w:val="22"/>
        </w:rPr>
      </w:pPr>
    </w:p>
    <w:p w:rsidR="00FB5499" w:rsidRPr="00593375" w:rsidRDefault="00FB5499" w:rsidP="00593375">
      <w:pPr>
        <w:pStyle w:val="Default"/>
        <w:ind w:left="567" w:hanging="567"/>
        <w:rPr>
          <w:rFonts w:ascii="Albertus MT" w:hAnsi="Albertus MT"/>
          <w:b/>
          <w:color w:val="auto"/>
          <w:sz w:val="22"/>
          <w:szCs w:val="22"/>
        </w:rPr>
      </w:pPr>
      <w:r w:rsidRPr="00593375">
        <w:rPr>
          <w:rFonts w:ascii="Albertus MT" w:hAnsi="Albertus MT"/>
          <w:color w:val="auto"/>
          <w:sz w:val="22"/>
          <w:szCs w:val="22"/>
        </w:rPr>
        <w:tab/>
      </w:r>
      <w:r w:rsidRPr="00593375">
        <w:rPr>
          <w:rFonts w:ascii="Albertus MT" w:hAnsi="Albertus MT"/>
          <w:b/>
          <w:color w:val="auto"/>
          <w:sz w:val="22"/>
          <w:szCs w:val="22"/>
        </w:rPr>
        <w:t>Yes.</w:t>
      </w:r>
      <w:r w:rsidR="000A3C80" w:rsidRPr="00593375">
        <w:rPr>
          <w:rFonts w:ascii="Albertus MT" w:hAnsi="Albertus MT"/>
          <w:b/>
          <w:color w:val="auto"/>
          <w:sz w:val="22"/>
          <w:szCs w:val="22"/>
        </w:rPr>
        <w:t xml:space="preserve"> It would be helpful if clarity is provided on the meaning of the term “securities equivalent to shares”. Is this intended to capture contingent-convertible capital instruments?</w:t>
      </w:r>
    </w:p>
    <w:p w:rsidR="00FB5499" w:rsidRPr="00593375" w:rsidRDefault="00FB5499" w:rsidP="00593375">
      <w:pPr>
        <w:pStyle w:val="Default"/>
        <w:rPr>
          <w:rFonts w:ascii="Albertus MT" w:hAnsi="Albertus MT"/>
          <w:color w:val="auto"/>
          <w:sz w:val="22"/>
          <w:szCs w:val="22"/>
        </w:rPr>
      </w:pPr>
    </w:p>
    <w:p w:rsidR="0037132E" w:rsidRPr="00593375" w:rsidRDefault="0037132E" w:rsidP="00593375">
      <w:pPr>
        <w:pStyle w:val="Default"/>
        <w:ind w:left="567" w:hanging="567"/>
        <w:rPr>
          <w:rFonts w:ascii="Albertus MT" w:hAnsi="Albertus MT"/>
          <w:color w:val="auto"/>
          <w:sz w:val="22"/>
          <w:szCs w:val="22"/>
        </w:rPr>
      </w:pPr>
      <w:r w:rsidRPr="00593375">
        <w:rPr>
          <w:rFonts w:ascii="Albertus MT" w:hAnsi="Albertus MT"/>
          <w:color w:val="auto"/>
          <w:sz w:val="22"/>
          <w:szCs w:val="22"/>
        </w:rPr>
        <w:t xml:space="preserve">Q19: </w:t>
      </w:r>
      <w:r w:rsidR="003D3444" w:rsidRPr="00593375">
        <w:rPr>
          <w:rFonts w:ascii="Albertus MT" w:hAnsi="Albertus MT"/>
          <w:color w:val="auto"/>
          <w:sz w:val="22"/>
          <w:szCs w:val="22"/>
        </w:rPr>
        <w:tab/>
      </w:r>
      <w:r w:rsidRPr="00593375">
        <w:rPr>
          <w:rFonts w:ascii="Albertus MT" w:hAnsi="Albertus MT"/>
          <w:color w:val="auto"/>
          <w:sz w:val="22"/>
          <w:szCs w:val="22"/>
        </w:rPr>
        <w:t xml:space="preserve">Do you consider that there should be price conditions for debt instruments other than securitised debt convertible or exchangeable of shares/other securities equivalent to share? </w:t>
      </w:r>
    </w:p>
    <w:p w:rsidR="00FB5499" w:rsidRPr="00593375" w:rsidRDefault="00FB5499" w:rsidP="00593375">
      <w:pPr>
        <w:pStyle w:val="Default"/>
        <w:rPr>
          <w:rFonts w:ascii="Albertus MT" w:hAnsi="Albertus MT"/>
          <w:color w:val="auto"/>
          <w:sz w:val="22"/>
          <w:szCs w:val="22"/>
        </w:rPr>
      </w:pPr>
    </w:p>
    <w:p w:rsidR="00FB5499" w:rsidRPr="00593375" w:rsidRDefault="00FB5499" w:rsidP="00593375">
      <w:pPr>
        <w:pStyle w:val="Default"/>
        <w:ind w:left="567" w:hanging="567"/>
        <w:rPr>
          <w:rFonts w:ascii="Albertus MT" w:hAnsi="Albertus MT"/>
          <w:b/>
          <w:color w:val="auto"/>
          <w:sz w:val="22"/>
          <w:szCs w:val="22"/>
        </w:rPr>
      </w:pPr>
      <w:r w:rsidRPr="00593375">
        <w:rPr>
          <w:rFonts w:ascii="Albertus MT" w:hAnsi="Albertus MT"/>
          <w:color w:val="auto"/>
          <w:sz w:val="22"/>
          <w:szCs w:val="22"/>
        </w:rPr>
        <w:tab/>
      </w:r>
      <w:r w:rsidRPr="00593375">
        <w:rPr>
          <w:rFonts w:ascii="Albertus MT" w:hAnsi="Albertus MT"/>
          <w:b/>
          <w:color w:val="auto"/>
          <w:sz w:val="22"/>
          <w:szCs w:val="22"/>
        </w:rPr>
        <w:t>We do not feel that price conditions per se would be practical.</w:t>
      </w:r>
      <w:r w:rsidR="000A3C80" w:rsidRPr="00593375">
        <w:rPr>
          <w:rFonts w:ascii="Albertus MT" w:hAnsi="Albertus MT"/>
          <w:b/>
          <w:color w:val="auto"/>
          <w:sz w:val="22"/>
          <w:szCs w:val="22"/>
        </w:rPr>
        <w:t xml:space="preserve"> . Stabilisation is currently defined under the Stabilisation Regulation inter alia as being purchases (or offers to purchase) “exclusively for supporting the market price [...] due to a selling pressure”. This already suggests that safe harbour stabilisation occurs by reference to the price at which the securities were initially issued to the market – in the case of bonds being their yield relative to the rest of the market (for example their spread over various ‘low’ risk benchmarks such treasuries or bunds).</w:t>
      </w:r>
    </w:p>
    <w:p w:rsidR="00FB5499" w:rsidRPr="00593375" w:rsidRDefault="00FB5499" w:rsidP="00593375">
      <w:pPr>
        <w:pStyle w:val="Default"/>
        <w:rPr>
          <w:rFonts w:ascii="Albertus MT" w:hAnsi="Albertus MT"/>
          <w:color w:val="auto"/>
          <w:sz w:val="22"/>
          <w:szCs w:val="22"/>
        </w:rPr>
      </w:pPr>
    </w:p>
    <w:p w:rsidR="0037132E" w:rsidRPr="00593375" w:rsidRDefault="0037132E" w:rsidP="00593375">
      <w:pPr>
        <w:pStyle w:val="Default"/>
        <w:ind w:left="567" w:hanging="567"/>
        <w:rPr>
          <w:rFonts w:ascii="Albertus MT" w:hAnsi="Albertus MT"/>
          <w:color w:val="auto"/>
          <w:sz w:val="22"/>
          <w:szCs w:val="22"/>
        </w:rPr>
      </w:pPr>
      <w:r w:rsidRPr="00593375">
        <w:rPr>
          <w:rFonts w:ascii="Albertus MT" w:hAnsi="Albertus MT"/>
          <w:color w:val="auto"/>
          <w:sz w:val="22"/>
          <w:szCs w:val="22"/>
        </w:rPr>
        <w:lastRenderedPageBreak/>
        <w:t xml:space="preserve">Q20: Do you agree with these conditions for ancillary stabilisation? </w:t>
      </w:r>
    </w:p>
    <w:p w:rsidR="003D3444" w:rsidRPr="00593375" w:rsidRDefault="003D3444" w:rsidP="00593375">
      <w:pPr>
        <w:pStyle w:val="Default"/>
        <w:ind w:left="567" w:hanging="567"/>
        <w:rPr>
          <w:rFonts w:ascii="Albertus MT" w:hAnsi="Albertus MT"/>
          <w:color w:val="auto"/>
          <w:sz w:val="22"/>
          <w:szCs w:val="22"/>
        </w:rPr>
      </w:pPr>
    </w:p>
    <w:p w:rsidR="000A3C80" w:rsidRPr="00593375" w:rsidRDefault="000A3C80" w:rsidP="00593375">
      <w:pPr>
        <w:pStyle w:val="Default"/>
        <w:ind w:left="567" w:hanging="567"/>
        <w:rPr>
          <w:rFonts w:ascii="Albertus MT" w:hAnsi="Albertus MT"/>
          <w:b/>
          <w:color w:val="auto"/>
          <w:sz w:val="22"/>
          <w:szCs w:val="22"/>
        </w:rPr>
      </w:pPr>
      <w:r w:rsidRPr="00593375">
        <w:rPr>
          <w:rFonts w:ascii="Albertus MT" w:hAnsi="Albertus MT"/>
          <w:b/>
          <w:color w:val="auto"/>
          <w:sz w:val="22"/>
          <w:szCs w:val="22"/>
        </w:rPr>
        <w:t xml:space="preserve"> </w:t>
      </w:r>
      <w:r w:rsidR="00F71019" w:rsidRPr="00593375">
        <w:rPr>
          <w:rFonts w:ascii="Albertus MT" w:hAnsi="Albertus MT"/>
          <w:b/>
          <w:color w:val="auto"/>
          <w:sz w:val="22"/>
          <w:szCs w:val="22"/>
        </w:rPr>
        <w:tab/>
      </w:r>
      <w:r w:rsidRPr="00593375">
        <w:rPr>
          <w:rFonts w:ascii="Albertus MT" w:hAnsi="Albertus MT"/>
          <w:b/>
          <w:color w:val="auto"/>
          <w:sz w:val="22"/>
          <w:szCs w:val="22"/>
        </w:rPr>
        <w:t>With respect to the requirement that the overallotment facility not covered by the “</w:t>
      </w:r>
      <w:proofErr w:type="spellStart"/>
      <w:r w:rsidRPr="00593375">
        <w:rPr>
          <w:rFonts w:ascii="Albertus MT" w:hAnsi="Albertus MT"/>
          <w:b/>
          <w:color w:val="auto"/>
          <w:sz w:val="22"/>
          <w:szCs w:val="22"/>
        </w:rPr>
        <w:t>greenshoe</w:t>
      </w:r>
      <w:proofErr w:type="spellEnd"/>
      <w:r w:rsidRPr="00593375">
        <w:rPr>
          <w:rFonts w:ascii="Albertus MT" w:hAnsi="Albertus MT"/>
          <w:b/>
          <w:color w:val="auto"/>
          <w:sz w:val="22"/>
          <w:szCs w:val="22"/>
        </w:rPr>
        <w:t xml:space="preserve"> option” must not exceed 5% of the original offer, it is worth noting that in the debt markets, stabilisation operates without a </w:t>
      </w:r>
      <w:proofErr w:type="spellStart"/>
      <w:r w:rsidRPr="00593375">
        <w:rPr>
          <w:rFonts w:ascii="Albertus MT" w:hAnsi="Albertus MT"/>
          <w:b/>
          <w:color w:val="auto"/>
          <w:sz w:val="22"/>
          <w:szCs w:val="22"/>
        </w:rPr>
        <w:t>greenshoe</w:t>
      </w:r>
      <w:proofErr w:type="spellEnd"/>
      <w:r w:rsidRPr="00593375">
        <w:rPr>
          <w:rFonts w:ascii="Albertus MT" w:hAnsi="Albertus MT"/>
          <w:b/>
          <w:color w:val="auto"/>
          <w:sz w:val="22"/>
          <w:szCs w:val="22"/>
        </w:rPr>
        <w:t xml:space="preserve">. There may be circumstance where it is appropriate to </w:t>
      </w:r>
      <w:proofErr w:type="spellStart"/>
      <w:r w:rsidRPr="00593375">
        <w:rPr>
          <w:rFonts w:ascii="Albertus MT" w:hAnsi="Albertus MT"/>
          <w:b/>
          <w:color w:val="auto"/>
          <w:sz w:val="22"/>
          <w:szCs w:val="22"/>
        </w:rPr>
        <w:t>overallot</w:t>
      </w:r>
      <w:proofErr w:type="spellEnd"/>
      <w:r w:rsidRPr="00593375">
        <w:rPr>
          <w:rFonts w:ascii="Albertus MT" w:hAnsi="Albertus MT"/>
          <w:b/>
          <w:color w:val="auto"/>
          <w:sz w:val="22"/>
          <w:szCs w:val="22"/>
        </w:rPr>
        <w:t xml:space="preserve"> more than 5% of the offer. These circumstances have been recognised by the UK regulator (please see FSA Market Watch, Issue No.14 December 2005). Market participants would benefit from guidance and clarification as to the circumstances permitting over-</w:t>
      </w:r>
      <w:proofErr w:type="spellStart"/>
      <w:r w:rsidRPr="00593375">
        <w:rPr>
          <w:rFonts w:ascii="Albertus MT" w:hAnsi="Albertus MT"/>
          <w:b/>
          <w:color w:val="auto"/>
          <w:sz w:val="22"/>
          <w:szCs w:val="22"/>
        </w:rPr>
        <w:t>alloting</w:t>
      </w:r>
      <w:proofErr w:type="spellEnd"/>
      <w:r w:rsidRPr="00593375">
        <w:rPr>
          <w:rFonts w:ascii="Albertus MT" w:hAnsi="Albertus MT"/>
          <w:b/>
          <w:color w:val="auto"/>
          <w:sz w:val="22"/>
          <w:szCs w:val="22"/>
        </w:rPr>
        <w:t xml:space="preserve"> beyond 5% in order to remain within safe harbour. </w:t>
      </w:r>
    </w:p>
    <w:p w:rsidR="003D3444" w:rsidRPr="00593375" w:rsidRDefault="003D3444" w:rsidP="00593375">
      <w:pPr>
        <w:pStyle w:val="Default"/>
        <w:ind w:left="567" w:hanging="567"/>
        <w:rPr>
          <w:rFonts w:ascii="Albertus MT" w:hAnsi="Albertus MT"/>
          <w:b/>
          <w:color w:val="auto"/>
          <w:sz w:val="22"/>
          <w:szCs w:val="22"/>
        </w:rPr>
      </w:pPr>
    </w:p>
    <w:p w:rsidR="0037132E" w:rsidRPr="00593375" w:rsidRDefault="0037132E" w:rsidP="00593375">
      <w:pPr>
        <w:pStyle w:val="Default"/>
        <w:ind w:left="567" w:hanging="567"/>
        <w:rPr>
          <w:rFonts w:ascii="Albertus MT" w:hAnsi="Albertus MT"/>
          <w:color w:val="auto"/>
          <w:sz w:val="22"/>
          <w:szCs w:val="22"/>
        </w:rPr>
      </w:pPr>
      <w:r w:rsidRPr="00593375">
        <w:rPr>
          <w:rFonts w:ascii="Albertus MT" w:hAnsi="Albertus MT"/>
          <w:color w:val="auto"/>
          <w:sz w:val="22"/>
          <w:szCs w:val="22"/>
        </w:rPr>
        <w:t xml:space="preserve">Q21: </w:t>
      </w:r>
      <w:r w:rsidR="003D3444" w:rsidRPr="00593375">
        <w:rPr>
          <w:rFonts w:ascii="Albertus MT" w:hAnsi="Albertus MT"/>
          <w:color w:val="auto"/>
          <w:sz w:val="22"/>
          <w:szCs w:val="22"/>
        </w:rPr>
        <w:tab/>
      </w:r>
      <w:r w:rsidRPr="00593375">
        <w:rPr>
          <w:rFonts w:ascii="Albertus MT" w:hAnsi="Albertus MT"/>
          <w:color w:val="auto"/>
          <w:sz w:val="22"/>
          <w:szCs w:val="22"/>
        </w:rPr>
        <w:t xml:space="preserve">Do you share ESMA’s point of view that sell side trading cannot be subject to the exemption provided by Article 3(1) of MAR and that therefore “refreshing the green shoe” does not fall under the safe harbour? </w:t>
      </w:r>
    </w:p>
    <w:p w:rsidR="003D3444" w:rsidRPr="00593375" w:rsidRDefault="003D3444" w:rsidP="00593375">
      <w:pPr>
        <w:pStyle w:val="Default"/>
        <w:ind w:left="567" w:hanging="567"/>
        <w:rPr>
          <w:rFonts w:ascii="Albertus MT" w:hAnsi="Albertus MT"/>
          <w:color w:val="auto"/>
          <w:sz w:val="22"/>
          <w:szCs w:val="22"/>
        </w:rPr>
      </w:pPr>
    </w:p>
    <w:p w:rsidR="003D3444" w:rsidRPr="00593375" w:rsidRDefault="00A70D92" w:rsidP="00593375">
      <w:pPr>
        <w:pStyle w:val="Default"/>
        <w:ind w:left="567" w:hanging="567"/>
        <w:rPr>
          <w:rFonts w:ascii="Albertus MT" w:hAnsi="Albertus MT"/>
          <w:b/>
          <w:color w:val="auto"/>
          <w:sz w:val="22"/>
          <w:szCs w:val="22"/>
        </w:rPr>
      </w:pPr>
      <w:r w:rsidRPr="00593375">
        <w:rPr>
          <w:rFonts w:ascii="Albertus MT" w:hAnsi="Albertus MT"/>
          <w:color w:val="auto"/>
          <w:sz w:val="22"/>
          <w:szCs w:val="22"/>
        </w:rPr>
        <w:tab/>
      </w:r>
      <w:r w:rsidRPr="00593375">
        <w:rPr>
          <w:rFonts w:ascii="Albertus MT" w:hAnsi="Albertus MT"/>
          <w:b/>
          <w:color w:val="auto"/>
          <w:sz w:val="22"/>
          <w:szCs w:val="22"/>
        </w:rPr>
        <w:t>We believe that “refreshing the green shoe” should fall within the safe harbour for stabilisation to provide cover for volatile markets during the stabilisation period.</w:t>
      </w:r>
      <w:r w:rsidR="00451BB8" w:rsidRPr="00593375">
        <w:rPr>
          <w:rFonts w:ascii="Albertus MT" w:hAnsi="Albertus MT"/>
          <w:b/>
          <w:color w:val="auto"/>
          <w:sz w:val="22"/>
          <w:szCs w:val="22"/>
        </w:rPr>
        <w:t xml:space="preserve"> If this is not possible, we propose that guidance indicate that refreshing the green shoe is not deemed to be market abuse merely because it falls outside the safe harbour.</w:t>
      </w:r>
    </w:p>
    <w:p w:rsidR="003D3444" w:rsidRPr="00593375" w:rsidRDefault="003D3444" w:rsidP="00593375">
      <w:pPr>
        <w:pStyle w:val="Default"/>
        <w:ind w:left="567" w:hanging="567"/>
        <w:rPr>
          <w:rFonts w:ascii="Albertus MT" w:hAnsi="Albertus MT"/>
          <w:color w:val="auto"/>
          <w:sz w:val="22"/>
          <w:szCs w:val="22"/>
        </w:rPr>
      </w:pPr>
    </w:p>
    <w:p w:rsidR="0037132E" w:rsidRPr="00593375" w:rsidRDefault="0037132E" w:rsidP="00593375">
      <w:pPr>
        <w:pStyle w:val="Default"/>
        <w:ind w:left="567" w:hanging="567"/>
        <w:rPr>
          <w:rFonts w:ascii="Albertus MT" w:hAnsi="Albertus MT"/>
          <w:color w:val="auto"/>
          <w:sz w:val="22"/>
          <w:szCs w:val="22"/>
        </w:rPr>
      </w:pPr>
      <w:r w:rsidRPr="00593375">
        <w:rPr>
          <w:rFonts w:ascii="Albertus MT" w:hAnsi="Albertus MT"/>
          <w:color w:val="auto"/>
          <w:sz w:val="22"/>
          <w:szCs w:val="22"/>
        </w:rPr>
        <w:t xml:space="preserve">Q22: </w:t>
      </w:r>
      <w:r w:rsidR="003D3444" w:rsidRPr="00593375">
        <w:rPr>
          <w:rFonts w:ascii="Albertus MT" w:hAnsi="Albertus MT"/>
          <w:color w:val="auto"/>
          <w:sz w:val="22"/>
          <w:szCs w:val="22"/>
        </w:rPr>
        <w:tab/>
      </w:r>
      <w:r w:rsidRPr="00593375">
        <w:rPr>
          <w:rFonts w:ascii="Albertus MT" w:hAnsi="Albertus MT"/>
          <w:color w:val="auto"/>
          <w:sz w:val="22"/>
          <w:szCs w:val="22"/>
        </w:rPr>
        <w:t xml:space="preserve">Do you agree that “block-trades” cannot be subject to the exemption provided by Article 3(1) of MAR? </w:t>
      </w:r>
    </w:p>
    <w:p w:rsidR="003D3444" w:rsidRPr="00593375" w:rsidRDefault="003D3444" w:rsidP="00593375">
      <w:pPr>
        <w:pStyle w:val="Default"/>
        <w:ind w:left="567" w:hanging="567"/>
        <w:rPr>
          <w:rFonts w:ascii="Albertus MT" w:hAnsi="Albertus MT"/>
          <w:color w:val="auto"/>
          <w:sz w:val="22"/>
          <w:szCs w:val="22"/>
        </w:rPr>
      </w:pPr>
    </w:p>
    <w:p w:rsidR="003D3444" w:rsidRPr="00593375" w:rsidRDefault="00A70D92" w:rsidP="00593375">
      <w:pPr>
        <w:pStyle w:val="Default"/>
        <w:ind w:left="567" w:hanging="567"/>
        <w:rPr>
          <w:rFonts w:ascii="Albertus MT" w:hAnsi="Albertus MT"/>
          <w:b/>
          <w:color w:val="auto"/>
          <w:sz w:val="22"/>
          <w:szCs w:val="22"/>
        </w:rPr>
      </w:pPr>
      <w:r w:rsidRPr="00593375">
        <w:rPr>
          <w:rFonts w:ascii="Albertus MT" w:hAnsi="Albertus MT"/>
          <w:color w:val="auto"/>
          <w:sz w:val="22"/>
          <w:szCs w:val="22"/>
        </w:rPr>
        <w:tab/>
      </w:r>
      <w:r w:rsidRPr="00593375">
        <w:rPr>
          <w:rFonts w:ascii="Albertus MT" w:hAnsi="Albertus MT"/>
          <w:b/>
          <w:color w:val="auto"/>
          <w:sz w:val="22"/>
          <w:szCs w:val="22"/>
        </w:rPr>
        <w:t xml:space="preserve">We are concerned that the view being expressed conflates two very different types of block trades. Where a large block is traded between two parties, it might be appropriate to disallow a </w:t>
      </w:r>
      <w:r w:rsidR="002853CF" w:rsidRPr="00593375">
        <w:rPr>
          <w:rFonts w:ascii="Albertus MT" w:hAnsi="Albertus MT"/>
          <w:b/>
          <w:color w:val="auto"/>
          <w:sz w:val="22"/>
          <w:szCs w:val="22"/>
        </w:rPr>
        <w:t>stabilisation</w:t>
      </w:r>
      <w:r w:rsidRPr="00593375">
        <w:rPr>
          <w:rFonts w:ascii="Albertus MT" w:hAnsi="Albertus MT"/>
          <w:b/>
          <w:color w:val="auto"/>
          <w:sz w:val="22"/>
          <w:szCs w:val="22"/>
        </w:rPr>
        <w:t xml:space="preserve"> exemption. Where an issuer or a large shareholder is selling a large block of shares to a large number of purchasers and where there is </w:t>
      </w:r>
      <w:r w:rsidR="00E76B71" w:rsidRPr="00593375">
        <w:rPr>
          <w:rFonts w:ascii="Albertus MT" w:hAnsi="Albertus MT"/>
          <w:b/>
          <w:color w:val="auto"/>
          <w:sz w:val="22"/>
          <w:szCs w:val="22"/>
        </w:rPr>
        <w:t xml:space="preserve">underwriting </w:t>
      </w:r>
      <w:r w:rsidRPr="00593375">
        <w:rPr>
          <w:rFonts w:ascii="Albertus MT" w:hAnsi="Albertus MT"/>
          <w:b/>
          <w:color w:val="auto"/>
          <w:sz w:val="22"/>
          <w:szCs w:val="22"/>
        </w:rPr>
        <w:t xml:space="preserve">or </w:t>
      </w:r>
      <w:r w:rsidR="00E76B71" w:rsidRPr="00593375">
        <w:rPr>
          <w:rFonts w:ascii="Albertus MT" w:hAnsi="Albertus MT"/>
          <w:b/>
          <w:color w:val="auto"/>
          <w:sz w:val="22"/>
          <w:szCs w:val="22"/>
        </w:rPr>
        <w:t xml:space="preserve">a </w:t>
      </w:r>
      <w:r w:rsidRPr="00593375">
        <w:rPr>
          <w:rFonts w:ascii="Albertus MT" w:hAnsi="Albertus MT"/>
          <w:b/>
          <w:color w:val="auto"/>
          <w:sz w:val="22"/>
          <w:szCs w:val="22"/>
        </w:rPr>
        <w:t xml:space="preserve">selling </w:t>
      </w:r>
      <w:r w:rsidR="002853CF" w:rsidRPr="00593375">
        <w:rPr>
          <w:rFonts w:ascii="Albertus MT" w:hAnsi="Albertus MT"/>
          <w:b/>
          <w:color w:val="auto"/>
          <w:sz w:val="22"/>
          <w:szCs w:val="22"/>
        </w:rPr>
        <w:t>group</w:t>
      </w:r>
      <w:r w:rsidRPr="00593375">
        <w:rPr>
          <w:rFonts w:ascii="Albertus MT" w:hAnsi="Albertus MT"/>
          <w:b/>
          <w:color w:val="auto"/>
          <w:sz w:val="22"/>
          <w:szCs w:val="22"/>
        </w:rPr>
        <w:t>, it would be appropriate to allow stabilisation under the exemption to protect existing shareholders and new purchasers alike.</w:t>
      </w:r>
    </w:p>
    <w:p w:rsidR="003D3444" w:rsidRPr="00593375" w:rsidRDefault="003D3444" w:rsidP="00593375">
      <w:pPr>
        <w:pStyle w:val="Default"/>
        <w:ind w:left="567" w:hanging="567"/>
        <w:rPr>
          <w:rFonts w:ascii="Albertus MT" w:hAnsi="Albertus MT"/>
          <w:color w:val="auto"/>
          <w:sz w:val="22"/>
          <w:szCs w:val="22"/>
        </w:rPr>
      </w:pPr>
    </w:p>
    <w:p w:rsidR="00FB5499" w:rsidRDefault="0037132E" w:rsidP="00593375">
      <w:pPr>
        <w:spacing w:after="0" w:line="240" w:lineRule="auto"/>
        <w:rPr>
          <w:rFonts w:ascii="Albertus MT" w:hAnsi="Albertus MT"/>
          <w:b/>
          <w:bCs/>
          <w:i/>
          <w:sz w:val="28"/>
          <w:szCs w:val="22"/>
        </w:rPr>
      </w:pPr>
      <w:r w:rsidRPr="00593375">
        <w:rPr>
          <w:rFonts w:ascii="Albertus MT" w:hAnsi="Albertus MT"/>
          <w:b/>
          <w:bCs/>
          <w:i/>
          <w:sz w:val="28"/>
          <w:szCs w:val="22"/>
        </w:rPr>
        <w:t>Market soundings (Article 7c of MAR</w:t>
      </w:r>
      <w:r w:rsidR="003D3444" w:rsidRPr="00593375">
        <w:rPr>
          <w:rFonts w:ascii="Albertus MT" w:hAnsi="Albertus MT"/>
          <w:b/>
          <w:bCs/>
          <w:i/>
          <w:sz w:val="28"/>
          <w:szCs w:val="22"/>
        </w:rPr>
        <w:t>)</w:t>
      </w:r>
    </w:p>
    <w:p w:rsidR="00593375" w:rsidRPr="00593375" w:rsidRDefault="00593375" w:rsidP="00593375">
      <w:pPr>
        <w:spacing w:after="0" w:line="240" w:lineRule="auto"/>
        <w:rPr>
          <w:rFonts w:ascii="Albertus MT" w:hAnsi="Albertus MT"/>
          <w:b/>
          <w:bCs/>
          <w:i/>
          <w:sz w:val="28"/>
          <w:szCs w:val="22"/>
        </w:rPr>
      </w:pPr>
    </w:p>
    <w:p w:rsidR="00FB5499" w:rsidRDefault="00FB5499" w:rsidP="00593375">
      <w:pPr>
        <w:spacing w:after="0" w:line="240" w:lineRule="auto"/>
        <w:ind w:left="567" w:hanging="567"/>
        <w:rPr>
          <w:rFonts w:ascii="Albertus MT" w:hAnsi="Albertus MT"/>
          <w:sz w:val="22"/>
          <w:szCs w:val="22"/>
        </w:rPr>
      </w:pPr>
      <w:r w:rsidRPr="00593375">
        <w:rPr>
          <w:rFonts w:ascii="Albertus MT" w:hAnsi="Albertus MT"/>
          <w:sz w:val="22"/>
          <w:szCs w:val="22"/>
        </w:rPr>
        <w:t xml:space="preserve">Q23: </w:t>
      </w:r>
      <w:r w:rsidR="003D3444" w:rsidRPr="00593375">
        <w:rPr>
          <w:rFonts w:ascii="Albertus MT" w:hAnsi="Albertus MT"/>
          <w:sz w:val="22"/>
          <w:szCs w:val="22"/>
        </w:rPr>
        <w:tab/>
      </w:r>
      <w:r w:rsidRPr="00593375">
        <w:rPr>
          <w:rFonts w:ascii="Albertus MT" w:hAnsi="Albertus MT"/>
          <w:sz w:val="22"/>
          <w:szCs w:val="22"/>
        </w:rPr>
        <w:t xml:space="preserve">Do you agree with ESMA’s proposals for the standards that should apply prior to conducting a market sounding? </w:t>
      </w:r>
    </w:p>
    <w:p w:rsidR="00593375" w:rsidRPr="00593375" w:rsidRDefault="00593375" w:rsidP="00593375">
      <w:pPr>
        <w:spacing w:after="0" w:line="240" w:lineRule="auto"/>
        <w:ind w:left="567" w:hanging="567"/>
        <w:rPr>
          <w:rFonts w:ascii="Albertus MT" w:hAnsi="Albertus MT"/>
          <w:sz w:val="22"/>
          <w:szCs w:val="22"/>
        </w:rPr>
      </w:pPr>
    </w:p>
    <w:p w:rsidR="00451BB8" w:rsidRDefault="00A70D92" w:rsidP="00593375">
      <w:pPr>
        <w:spacing w:after="0" w:line="240" w:lineRule="auto"/>
        <w:ind w:left="567" w:hanging="567"/>
        <w:rPr>
          <w:rFonts w:ascii="Albertus MT" w:hAnsi="Albertus MT"/>
          <w:b/>
          <w:sz w:val="22"/>
          <w:szCs w:val="22"/>
        </w:rPr>
      </w:pPr>
      <w:r w:rsidRPr="00593375">
        <w:rPr>
          <w:rFonts w:ascii="Albertus MT" w:hAnsi="Albertus MT"/>
          <w:sz w:val="22"/>
          <w:szCs w:val="22"/>
        </w:rPr>
        <w:tab/>
      </w:r>
      <w:r w:rsidRPr="00593375">
        <w:rPr>
          <w:rFonts w:ascii="Albertus MT" w:hAnsi="Albertus MT"/>
          <w:b/>
          <w:sz w:val="22"/>
          <w:szCs w:val="22"/>
        </w:rPr>
        <w:t xml:space="preserve">Generally we do agree with ESMA’s proposals of standards that should apply prior to conducting </w:t>
      </w:r>
      <w:proofErr w:type="gramStart"/>
      <w:r w:rsidRPr="00593375">
        <w:rPr>
          <w:rFonts w:ascii="Albertus MT" w:hAnsi="Albertus MT"/>
          <w:b/>
          <w:sz w:val="22"/>
          <w:szCs w:val="22"/>
        </w:rPr>
        <w:t>a markets soundings</w:t>
      </w:r>
      <w:proofErr w:type="gramEnd"/>
      <w:r w:rsidRPr="00593375">
        <w:rPr>
          <w:rFonts w:ascii="Albertus MT" w:hAnsi="Albertus MT"/>
          <w:b/>
          <w:sz w:val="22"/>
          <w:szCs w:val="22"/>
        </w:rPr>
        <w:t xml:space="preserve">. However, </w:t>
      </w:r>
      <w:r w:rsidR="00451BB8" w:rsidRPr="00593375">
        <w:rPr>
          <w:rFonts w:ascii="Albertus MT" w:hAnsi="Albertus MT"/>
          <w:b/>
          <w:sz w:val="22"/>
          <w:szCs w:val="22"/>
        </w:rPr>
        <w:t xml:space="preserve">we would suggest replacing the words “should include” in the fifth line of paragraph 59 with the words “should be limited to”. It is also important to clarify that the sounding procedures should apply solely to the team at a third party which is acting at the request of the issuer. This is consistent with Article </w:t>
      </w:r>
      <w:proofErr w:type="gramStart"/>
      <w:r w:rsidR="00451BB8" w:rsidRPr="00593375">
        <w:rPr>
          <w:rFonts w:ascii="Albertus MT" w:hAnsi="Albertus MT"/>
          <w:b/>
          <w:sz w:val="22"/>
          <w:szCs w:val="22"/>
        </w:rPr>
        <w:t>7c(</w:t>
      </w:r>
      <w:proofErr w:type="gramEnd"/>
      <w:r w:rsidR="00451BB8" w:rsidRPr="00593375">
        <w:rPr>
          <w:rFonts w:ascii="Albertus MT" w:hAnsi="Albertus MT"/>
          <w:b/>
          <w:sz w:val="22"/>
          <w:szCs w:val="22"/>
        </w:rPr>
        <w:t xml:space="preserve">1)(d) which establishes that a market </w:t>
      </w:r>
      <w:r w:rsidR="00197534" w:rsidRPr="00593375">
        <w:rPr>
          <w:rFonts w:ascii="Albertus MT" w:hAnsi="Albertus MT"/>
          <w:b/>
          <w:sz w:val="22"/>
          <w:szCs w:val="22"/>
        </w:rPr>
        <w:t>sounding takes place after a possible transaction has been discussed by the issuer with a sounder.</w:t>
      </w:r>
      <w:r w:rsidR="00451BB8" w:rsidRPr="00593375">
        <w:rPr>
          <w:rFonts w:ascii="Albertus MT" w:hAnsi="Albertus MT"/>
          <w:b/>
          <w:sz w:val="22"/>
          <w:szCs w:val="22"/>
        </w:rPr>
        <w:t xml:space="preserve"> For example, the sounding procedures should not apply to public side employees at investment banks (such as sales and trading teams) who have not been wall-crossed on the transaction. Such public side employees, as part of their function, may have frequent discussions with the investors and may be gauging investors’ potential interests and market demand in any potential transactions. The role of such public side employees is to maintain market intelligence and feed their </w:t>
      </w:r>
      <w:r w:rsidR="00451BB8" w:rsidRPr="00593375">
        <w:rPr>
          <w:rFonts w:ascii="Albertus MT" w:hAnsi="Albertus MT"/>
          <w:b/>
          <w:sz w:val="22"/>
          <w:szCs w:val="22"/>
        </w:rPr>
        <w:lastRenderedPageBreak/>
        <w:t xml:space="preserve">feedback to the private side employees. Given that such public side employees would not be in possession of inside information, there is no risk of dissemination of inside information. Banks should be able to rely in this respect on their internal Chinese Walls/information barriers. Similarly there may be other teams at the organization of the third party who may have discussions with potential investors but who are unaware of any instruction or mandate by the issuer to conduct sounding and any discussions with investors undertaken by such teams, unrelated to the mandate, should not be subject to the market sounding procedures. </w:t>
      </w:r>
    </w:p>
    <w:p w:rsidR="00593375" w:rsidRPr="00593375" w:rsidRDefault="00593375" w:rsidP="00593375">
      <w:pPr>
        <w:spacing w:after="0" w:line="240" w:lineRule="auto"/>
        <w:ind w:left="567" w:hanging="567"/>
        <w:rPr>
          <w:rFonts w:ascii="Albertus MT" w:hAnsi="Albertus MT"/>
          <w:b/>
          <w:sz w:val="22"/>
          <w:szCs w:val="22"/>
        </w:rPr>
      </w:pPr>
    </w:p>
    <w:p w:rsidR="007861B4" w:rsidRPr="00593375" w:rsidRDefault="00451BB8" w:rsidP="00593375">
      <w:pPr>
        <w:spacing w:after="0" w:line="240" w:lineRule="auto"/>
        <w:ind w:left="567"/>
        <w:rPr>
          <w:rFonts w:ascii="Albertus MT" w:hAnsi="Albertus MT"/>
          <w:b/>
          <w:sz w:val="22"/>
          <w:szCs w:val="22"/>
        </w:rPr>
      </w:pPr>
      <w:r w:rsidRPr="00593375">
        <w:rPr>
          <w:rFonts w:ascii="Albertus MT" w:hAnsi="Albertus MT"/>
          <w:b/>
          <w:sz w:val="22"/>
          <w:szCs w:val="22"/>
        </w:rPr>
        <w:t xml:space="preserve">Further, </w:t>
      </w:r>
      <w:r w:rsidR="00A70D92" w:rsidRPr="00593375">
        <w:rPr>
          <w:rFonts w:ascii="Albertus MT" w:hAnsi="Albertus MT"/>
          <w:b/>
          <w:sz w:val="22"/>
          <w:szCs w:val="22"/>
        </w:rPr>
        <w:t>we do not consider that it is appropriate or practical to make the disclosing market participant responsible for ensuring that the same potential investor is not contacted by more than one syndicate member.</w:t>
      </w:r>
      <w:r w:rsidR="009B04F2" w:rsidRPr="00593375">
        <w:rPr>
          <w:rFonts w:ascii="Albertus MT" w:hAnsi="Albertus MT"/>
          <w:b/>
          <w:sz w:val="22"/>
          <w:szCs w:val="22"/>
        </w:rPr>
        <w:t xml:space="preserve"> This would be impractical given the need for prompt action and the number of active participants. The managing book-runners will set general sounding </w:t>
      </w:r>
      <w:proofErr w:type="spellStart"/>
      <w:r w:rsidR="009B04F2" w:rsidRPr="00593375">
        <w:rPr>
          <w:rFonts w:ascii="Albertus MT" w:hAnsi="Albertus MT"/>
          <w:b/>
          <w:sz w:val="22"/>
          <w:szCs w:val="22"/>
        </w:rPr>
        <w:t>perameters</w:t>
      </w:r>
      <w:proofErr w:type="spellEnd"/>
      <w:r w:rsidR="009B04F2" w:rsidRPr="00593375">
        <w:rPr>
          <w:rFonts w:ascii="Albertus MT" w:hAnsi="Albertus MT"/>
          <w:b/>
          <w:sz w:val="22"/>
          <w:szCs w:val="22"/>
        </w:rPr>
        <w:t xml:space="preserve"> often with the issuer and/or issuer’s advisor, but the syndicate members must be responsible </w:t>
      </w:r>
      <w:r w:rsidR="00BC3EC9" w:rsidRPr="00593375">
        <w:rPr>
          <w:rFonts w:ascii="Albertus MT" w:hAnsi="Albertus MT"/>
          <w:b/>
          <w:sz w:val="22"/>
          <w:szCs w:val="22"/>
        </w:rPr>
        <w:t xml:space="preserve">to act reasonably. Market discipline will tend to discourage unwanted approaches by would be </w:t>
      </w:r>
      <w:proofErr w:type="spellStart"/>
      <w:r w:rsidR="00BC3EC9" w:rsidRPr="00593375">
        <w:rPr>
          <w:rFonts w:ascii="Albertus MT" w:hAnsi="Albertus MT"/>
          <w:b/>
          <w:sz w:val="22"/>
          <w:szCs w:val="22"/>
        </w:rPr>
        <w:t>soundees</w:t>
      </w:r>
      <w:proofErr w:type="spellEnd"/>
      <w:r w:rsidR="00BC3EC9" w:rsidRPr="00593375">
        <w:rPr>
          <w:rFonts w:ascii="Albertus MT" w:hAnsi="Albertus MT"/>
          <w:b/>
          <w:sz w:val="22"/>
          <w:szCs w:val="22"/>
        </w:rPr>
        <w:t>.</w:t>
      </w:r>
    </w:p>
    <w:p w:rsidR="007861B4" w:rsidRPr="00593375" w:rsidRDefault="007861B4" w:rsidP="00593375">
      <w:pPr>
        <w:spacing w:after="0" w:line="240" w:lineRule="auto"/>
        <w:ind w:left="567" w:hanging="567"/>
        <w:rPr>
          <w:rFonts w:ascii="Albertus MT" w:hAnsi="Albertus MT"/>
          <w:b/>
          <w:sz w:val="22"/>
          <w:szCs w:val="22"/>
        </w:rPr>
      </w:pPr>
      <w:r w:rsidRPr="00593375">
        <w:rPr>
          <w:rFonts w:ascii="Albertus MT" w:hAnsi="Albertus MT"/>
          <w:b/>
          <w:sz w:val="22"/>
          <w:szCs w:val="22"/>
        </w:rPr>
        <w:t xml:space="preserve">       </w:t>
      </w:r>
      <w:r w:rsidR="00F9044E" w:rsidRPr="00593375">
        <w:rPr>
          <w:rFonts w:ascii="Albertus MT" w:hAnsi="Albertus MT"/>
          <w:b/>
          <w:sz w:val="22"/>
          <w:szCs w:val="22"/>
        </w:rPr>
        <w:tab/>
      </w:r>
    </w:p>
    <w:p w:rsidR="00197534" w:rsidRDefault="00197534" w:rsidP="00593375">
      <w:pPr>
        <w:spacing w:after="0" w:line="240" w:lineRule="auto"/>
        <w:ind w:left="567"/>
        <w:rPr>
          <w:rFonts w:ascii="Albertus MT" w:hAnsi="Albertus MT"/>
          <w:b/>
          <w:sz w:val="22"/>
          <w:szCs w:val="22"/>
        </w:rPr>
      </w:pPr>
      <w:r w:rsidRPr="00593375">
        <w:rPr>
          <w:rFonts w:ascii="Albertus MT" w:hAnsi="Albertus MT"/>
          <w:b/>
          <w:sz w:val="22"/>
          <w:szCs w:val="22"/>
        </w:rPr>
        <w:t>With respect to paragraphs 74-76, we would propose to clarify that communications with the issuer (and member of the syndicate) regarding the type and number of investors to be sounded may take place orally and do not need to be recorded or confirmed in writing. We would also request clarification as to how the assessment of the type and number of investors relates to the appraisal of whether or not the disclosure is “improper and therefore in breach of Article [7b]”</w:t>
      </w:r>
      <w:bookmarkStart w:id="0" w:name="_GoBack"/>
      <w:bookmarkEnd w:id="0"/>
      <w:r w:rsidRPr="00593375">
        <w:rPr>
          <w:rFonts w:ascii="Albertus MT" w:hAnsi="Albertus MT"/>
          <w:b/>
          <w:sz w:val="22"/>
          <w:szCs w:val="22"/>
        </w:rPr>
        <w:t>.</w:t>
      </w:r>
    </w:p>
    <w:p w:rsidR="00593375" w:rsidRDefault="00593375" w:rsidP="00593375">
      <w:pPr>
        <w:spacing w:after="0" w:line="240" w:lineRule="auto"/>
        <w:ind w:left="567"/>
        <w:rPr>
          <w:rFonts w:ascii="Albertus MT" w:hAnsi="Albertus MT"/>
          <w:b/>
          <w:sz w:val="22"/>
          <w:szCs w:val="22"/>
        </w:rPr>
      </w:pPr>
    </w:p>
    <w:p w:rsidR="00593375" w:rsidRPr="00593375" w:rsidRDefault="00593375" w:rsidP="00593375">
      <w:pPr>
        <w:spacing w:after="0" w:line="240" w:lineRule="auto"/>
        <w:ind w:left="567"/>
        <w:rPr>
          <w:rFonts w:ascii="Albertus MT" w:hAnsi="Albertus MT"/>
          <w:b/>
          <w:sz w:val="22"/>
          <w:szCs w:val="22"/>
        </w:rPr>
      </w:pPr>
    </w:p>
    <w:p w:rsidR="00FB5499" w:rsidRDefault="00FB5499" w:rsidP="00593375">
      <w:pPr>
        <w:spacing w:after="0" w:line="240" w:lineRule="auto"/>
        <w:ind w:left="567" w:hanging="567"/>
        <w:rPr>
          <w:rFonts w:ascii="Albertus MT" w:hAnsi="Albertus MT"/>
          <w:sz w:val="22"/>
          <w:szCs w:val="22"/>
        </w:rPr>
      </w:pPr>
      <w:r w:rsidRPr="00593375">
        <w:rPr>
          <w:rFonts w:ascii="Albertus MT" w:hAnsi="Albertus MT"/>
          <w:sz w:val="22"/>
          <w:szCs w:val="22"/>
        </w:rPr>
        <w:t xml:space="preserve">Q24: </w:t>
      </w:r>
      <w:r w:rsidR="003D3444" w:rsidRPr="00593375">
        <w:rPr>
          <w:rFonts w:ascii="Albertus MT" w:hAnsi="Albertus MT"/>
          <w:sz w:val="22"/>
          <w:szCs w:val="22"/>
        </w:rPr>
        <w:tab/>
      </w:r>
      <w:r w:rsidRPr="00593375">
        <w:rPr>
          <w:rFonts w:ascii="Albertus MT" w:hAnsi="Albertus MT"/>
          <w:sz w:val="22"/>
          <w:szCs w:val="22"/>
        </w:rPr>
        <w:t xml:space="preserve">Do you have any view on the above? </w:t>
      </w:r>
    </w:p>
    <w:p w:rsidR="00593375" w:rsidRPr="00593375" w:rsidRDefault="00593375" w:rsidP="00593375">
      <w:pPr>
        <w:spacing w:after="0" w:line="240" w:lineRule="auto"/>
        <w:ind w:left="567" w:hanging="567"/>
        <w:rPr>
          <w:rFonts w:ascii="Albertus MT" w:hAnsi="Albertus MT"/>
          <w:sz w:val="22"/>
          <w:szCs w:val="22"/>
        </w:rPr>
      </w:pPr>
    </w:p>
    <w:p w:rsidR="003D3444" w:rsidRPr="00593375" w:rsidRDefault="00A70D92" w:rsidP="00593375">
      <w:pPr>
        <w:pStyle w:val="Default"/>
        <w:ind w:left="567" w:hanging="567"/>
        <w:rPr>
          <w:rFonts w:ascii="Albertus MT" w:hAnsi="Albertus MT"/>
          <w:b/>
          <w:sz w:val="22"/>
          <w:szCs w:val="22"/>
        </w:rPr>
      </w:pPr>
      <w:r w:rsidRPr="00593375">
        <w:rPr>
          <w:rFonts w:ascii="Albertus MT" w:hAnsi="Albertus MT"/>
          <w:sz w:val="22"/>
          <w:szCs w:val="22"/>
        </w:rPr>
        <w:tab/>
      </w:r>
      <w:r w:rsidR="00197534" w:rsidRPr="00593375">
        <w:rPr>
          <w:rFonts w:ascii="Albertus MT" w:hAnsi="Albertus MT"/>
          <w:b/>
          <w:sz w:val="22"/>
          <w:szCs w:val="22"/>
        </w:rPr>
        <w:t xml:space="preserve">Paragraph 78 is not </w:t>
      </w:r>
      <w:proofErr w:type="spellStart"/>
      <w:r w:rsidR="00197534" w:rsidRPr="00593375">
        <w:rPr>
          <w:rFonts w:ascii="Albertus MT" w:hAnsi="Albertus MT"/>
          <w:b/>
          <w:sz w:val="22"/>
          <w:szCs w:val="22"/>
        </w:rPr>
        <w:t>practical.</w:t>
      </w:r>
      <w:r w:rsidRPr="00593375">
        <w:rPr>
          <w:rFonts w:ascii="Albertus MT" w:hAnsi="Albertus MT"/>
          <w:b/>
          <w:sz w:val="22"/>
          <w:szCs w:val="22"/>
        </w:rPr>
        <w:t>We</w:t>
      </w:r>
      <w:proofErr w:type="spellEnd"/>
      <w:r w:rsidRPr="00593375">
        <w:rPr>
          <w:rFonts w:ascii="Albertus MT" w:hAnsi="Albertus MT"/>
          <w:b/>
          <w:sz w:val="22"/>
          <w:szCs w:val="22"/>
        </w:rPr>
        <w:t xml:space="preserve"> agree </w:t>
      </w:r>
      <w:proofErr w:type="gramStart"/>
      <w:r w:rsidRPr="00593375">
        <w:rPr>
          <w:rFonts w:ascii="Albertus MT" w:hAnsi="Albertus MT"/>
          <w:b/>
          <w:sz w:val="22"/>
          <w:szCs w:val="22"/>
        </w:rPr>
        <w:t>with  paragraph</w:t>
      </w:r>
      <w:proofErr w:type="gramEnd"/>
      <w:r w:rsidRPr="00593375">
        <w:rPr>
          <w:rFonts w:ascii="Albertus MT" w:hAnsi="Albertus MT"/>
          <w:b/>
          <w:sz w:val="22"/>
          <w:szCs w:val="22"/>
        </w:rPr>
        <w:t xml:space="preserve"> 79 that it would not be practical </w:t>
      </w:r>
      <w:r w:rsidR="00473A8E" w:rsidRPr="00593375">
        <w:rPr>
          <w:rFonts w:ascii="Albertus MT" w:hAnsi="Albertus MT"/>
          <w:b/>
          <w:sz w:val="22"/>
          <w:szCs w:val="22"/>
        </w:rPr>
        <w:t xml:space="preserve">or advisable to </w:t>
      </w:r>
      <w:r w:rsidR="002853CF" w:rsidRPr="00593375">
        <w:rPr>
          <w:rFonts w:ascii="Albertus MT" w:hAnsi="Albertus MT"/>
          <w:b/>
          <w:sz w:val="22"/>
          <w:szCs w:val="22"/>
        </w:rPr>
        <w:t>restrict</w:t>
      </w:r>
      <w:r w:rsidR="00473A8E" w:rsidRPr="00593375">
        <w:rPr>
          <w:rFonts w:ascii="Albertus MT" w:hAnsi="Albertus MT"/>
          <w:b/>
          <w:sz w:val="22"/>
          <w:szCs w:val="22"/>
        </w:rPr>
        <w:t xml:space="preserve"> the permitted time frames for market soundings.</w:t>
      </w:r>
      <w:r w:rsidR="00BC3EC9" w:rsidRPr="00593375">
        <w:rPr>
          <w:rFonts w:ascii="Albertus MT" w:hAnsi="Albertus MT"/>
          <w:b/>
          <w:sz w:val="22"/>
          <w:szCs w:val="22"/>
        </w:rPr>
        <w:t xml:space="preserve"> Flexibility is required given the need to accommodate changing market circumstances.</w:t>
      </w:r>
    </w:p>
    <w:p w:rsidR="003D3444" w:rsidRPr="00593375" w:rsidRDefault="00A70D92" w:rsidP="00593375">
      <w:pPr>
        <w:pStyle w:val="Default"/>
        <w:ind w:left="567" w:hanging="567"/>
        <w:rPr>
          <w:rFonts w:ascii="Albertus MT" w:hAnsi="Albertus MT"/>
          <w:sz w:val="22"/>
          <w:szCs w:val="22"/>
        </w:rPr>
      </w:pPr>
      <w:r w:rsidRPr="00593375">
        <w:rPr>
          <w:rFonts w:ascii="Albertus MT" w:hAnsi="Albertus MT"/>
          <w:sz w:val="22"/>
          <w:szCs w:val="22"/>
        </w:rPr>
        <w:tab/>
      </w:r>
    </w:p>
    <w:p w:rsidR="00FB5499" w:rsidRPr="00593375" w:rsidRDefault="00FB5499" w:rsidP="00593375">
      <w:pPr>
        <w:pStyle w:val="Default"/>
        <w:ind w:left="567" w:hanging="567"/>
        <w:rPr>
          <w:rFonts w:ascii="Albertus MT" w:hAnsi="Albertus MT"/>
          <w:sz w:val="22"/>
          <w:szCs w:val="22"/>
        </w:rPr>
      </w:pPr>
      <w:r w:rsidRPr="00593375">
        <w:rPr>
          <w:rFonts w:ascii="Albertus MT" w:hAnsi="Albertus MT"/>
          <w:sz w:val="22"/>
          <w:szCs w:val="22"/>
        </w:rPr>
        <w:t xml:space="preserve">Q25: </w:t>
      </w:r>
      <w:r w:rsidR="003D3444" w:rsidRPr="00593375">
        <w:rPr>
          <w:rFonts w:ascii="Albertus MT" w:hAnsi="Albertus MT"/>
          <w:sz w:val="22"/>
          <w:szCs w:val="22"/>
        </w:rPr>
        <w:tab/>
      </w:r>
      <w:r w:rsidRPr="00593375">
        <w:rPr>
          <w:rFonts w:ascii="Albertus MT" w:hAnsi="Albertus MT"/>
          <w:sz w:val="22"/>
          <w:szCs w:val="22"/>
        </w:rPr>
        <w:t xml:space="preserve">Which of the 3 options described above in paragraph 82 do you think should apply? Should any other options be considered? </w:t>
      </w:r>
    </w:p>
    <w:p w:rsidR="003D3444" w:rsidRPr="00593375" w:rsidRDefault="003D3444" w:rsidP="00593375">
      <w:pPr>
        <w:pStyle w:val="Default"/>
        <w:ind w:left="567" w:hanging="567"/>
        <w:rPr>
          <w:rFonts w:ascii="Albertus MT" w:hAnsi="Albertus MT"/>
          <w:sz w:val="22"/>
          <w:szCs w:val="22"/>
        </w:rPr>
      </w:pPr>
    </w:p>
    <w:p w:rsidR="003D3444" w:rsidRPr="00593375" w:rsidRDefault="00473A8E" w:rsidP="00593375">
      <w:pPr>
        <w:pStyle w:val="Default"/>
        <w:ind w:left="567" w:hanging="567"/>
        <w:rPr>
          <w:rFonts w:ascii="Albertus MT" w:hAnsi="Albertus MT"/>
          <w:b/>
          <w:sz w:val="22"/>
          <w:szCs w:val="22"/>
        </w:rPr>
      </w:pPr>
      <w:r w:rsidRPr="00593375">
        <w:rPr>
          <w:rFonts w:ascii="Albertus MT" w:hAnsi="Albertus MT"/>
          <w:sz w:val="22"/>
          <w:szCs w:val="22"/>
        </w:rPr>
        <w:tab/>
      </w:r>
      <w:r w:rsidRPr="00593375">
        <w:rPr>
          <w:rFonts w:ascii="Albertus MT" w:hAnsi="Albertus MT"/>
          <w:b/>
          <w:sz w:val="22"/>
          <w:szCs w:val="22"/>
        </w:rPr>
        <w:t>We are strongly in favour o</w:t>
      </w:r>
      <w:r w:rsidR="001435B3" w:rsidRPr="00593375">
        <w:rPr>
          <w:rFonts w:ascii="Albertus MT" w:hAnsi="Albertus MT"/>
          <w:b/>
          <w:sz w:val="22"/>
          <w:szCs w:val="22"/>
        </w:rPr>
        <w:t>f Option 1 which envisions wall-c</w:t>
      </w:r>
      <w:r w:rsidRPr="00593375">
        <w:rPr>
          <w:rFonts w:ascii="Albertus MT" w:hAnsi="Albertus MT"/>
          <w:b/>
          <w:sz w:val="22"/>
          <w:szCs w:val="22"/>
        </w:rPr>
        <w:t>rossings on an individual bas</w:t>
      </w:r>
      <w:r w:rsidR="002C3245" w:rsidRPr="00593375">
        <w:rPr>
          <w:rFonts w:ascii="Albertus MT" w:hAnsi="Albertus MT"/>
          <w:b/>
          <w:sz w:val="22"/>
          <w:szCs w:val="22"/>
        </w:rPr>
        <w:t>i</w:t>
      </w:r>
      <w:r w:rsidRPr="00593375">
        <w:rPr>
          <w:rFonts w:ascii="Albertus MT" w:hAnsi="Albertus MT"/>
          <w:b/>
          <w:sz w:val="22"/>
          <w:szCs w:val="22"/>
        </w:rPr>
        <w:t xml:space="preserve">s. Option 2 and 3 are not advisable or practical. </w:t>
      </w:r>
      <w:r w:rsidR="007861B4" w:rsidRPr="00593375">
        <w:rPr>
          <w:rFonts w:ascii="Albertus MT" w:hAnsi="Albertus MT"/>
          <w:b/>
          <w:sz w:val="22"/>
          <w:szCs w:val="22"/>
        </w:rPr>
        <w:t xml:space="preserve">Many </w:t>
      </w:r>
      <w:proofErr w:type="gramStart"/>
      <w:r w:rsidR="007861B4" w:rsidRPr="00593375">
        <w:rPr>
          <w:rFonts w:ascii="Albertus MT" w:hAnsi="Albertus MT"/>
          <w:b/>
          <w:sz w:val="22"/>
          <w:szCs w:val="22"/>
        </w:rPr>
        <w:t>lists</w:t>
      </w:r>
      <w:r w:rsidRPr="00593375">
        <w:rPr>
          <w:rFonts w:ascii="Albertus MT" w:hAnsi="Albertus MT"/>
          <w:b/>
          <w:sz w:val="22"/>
          <w:szCs w:val="22"/>
        </w:rPr>
        <w:t xml:space="preserve">  of</w:t>
      </w:r>
      <w:proofErr w:type="gramEnd"/>
      <w:r w:rsidRPr="00593375">
        <w:rPr>
          <w:rFonts w:ascii="Albertus MT" w:hAnsi="Albertus MT"/>
          <w:b/>
          <w:sz w:val="22"/>
          <w:szCs w:val="22"/>
        </w:rPr>
        <w:t xml:space="preserve"> buy-side firms which d</w:t>
      </w:r>
      <w:r w:rsidR="001435B3" w:rsidRPr="00593375">
        <w:rPr>
          <w:rFonts w:ascii="Albertus MT" w:hAnsi="Albertus MT"/>
          <w:b/>
          <w:sz w:val="22"/>
          <w:szCs w:val="22"/>
        </w:rPr>
        <w:t>o not wish to be wall-</w:t>
      </w:r>
      <w:r w:rsidRPr="00593375">
        <w:rPr>
          <w:rFonts w:ascii="Albertus MT" w:hAnsi="Albertus MT"/>
          <w:b/>
          <w:sz w:val="22"/>
          <w:szCs w:val="22"/>
        </w:rPr>
        <w:t>crossed would very quickly be outdated as firms change views, strategies</w:t>
      </w:r>
      <w:r w:rsidR="00197534" w:rsidRPr="00593375">
        <w:rPr>
          <w:rFonts w:ascii="Albertus MT" w:hAnsi="Albertus MT"/>
          <w:b/>
          <w:sz w:val="22"/>
          <w:szCs w:val="22"/>
        </w:rPr>
        <w:t xml:space="preserve">, </w:t>
      </w:r>
      <w:r w:rsidRPr="00593375">
        <w:rPr>
          <w:rFonts w:ascii="Albertus MT" w:hAnsi="Albertus MT"/>
          <w:b/>
          <w:sz w:val="22"/>
          <w:szCs w:val="22"/>
        </w:rPr>
        <w:t xml:space="preserve"> procedures</w:t>
      </w:r>
      <w:r w:rsidR="00197534" w:rsidRPr="00593375">
        <w:rPr>
          <w:rFonts w:ascii="Albertus MT" w:hAnsi="Albertus MT"/>
          <w:b/>
          <w:sz w:val="22"/>
          <w:szCs w:val="22"/>
        </w:rPr>
        <w:t>, and personnel</w:t>
      </w:r>
      <w:r w:rsidRPr="00593375">
        <w:rPr>
          <w:rFonts w:ascii="Albertus MT" w:hAnsi="Albertus MT"/>
          <w:b/>
          <w:sz w:val="22"/>
          <w:szCs w:val="22"/>
        </w:rPr>
        <w:t>.</w:t>
      </w:r>
      <w:r w:rsidR="008B24AA" w:rsidRPr="00593375">
        <w:rPr>
          <w:rFonts w:ascii="Albertus MT" w:hAnsi="Albertus MT"/>
          <w:b/>
          <w:sz w:val="22"/>
          <w:szCs w:val="22"/>
        </w:rPr>
        <w:t xml:space="preserve"> </w:t>
      </w:r>
    </w:p>
    <w:p w:rsidR="003D3444" w:rsidRPr="00593375" w:rsidRDefault="003D3444" w:rsidP="00593375">
      <w:pPr>
        <w:pStyle w:val="Default"/>
        <w:ind w:left="567" w:hanging="567"/>
        <w:rPr>
          <w:rFonts w:ascii="Albertus MT" w:hAnsi="Albertus MT"/>
          <w:sz w:val="22"/>
          <w:szCs w:val="22"/>
        </w:rPr>
      </w:pPr>
    </w:p>
    <w:p w:rsidR="00FB5499" w:rsidRDefault="00FB5499" w:rsidP="00593375">
      <w:pPr>
        <w:spacing w:after="0" w:line="240" w:lineRule="auto"/>
        <w:ind w:left="567" w:hanging="567"/>
        <w:rPr>
          <w:rFonts w:ascii="Albertus MT" w:hAnsi="Albertus MT"/>
          <w:sz w:val="22"/>
          <w:szCs w:val="22"/>
        </w:rPr>
      </w:pPr>
      <w:r w:rsidRPr="00593375">
        <w:rPr>
          <w:rFonts w:ascii="Albertus MT" w:hAnsi="Albertus MT"/>
          <w:sz w:val="22"/>
          <w:szCs w:val="22"/>
        </w:rPr>
        <w:t xml:space="preserve">Q26: </w:t>
      </w:r>
      <w:r w:rsidR="003D3444" w:rsidRPr="00593375">
        <w:rPr>
          <w:rFonts w:ascii="Albertus MT" w:hAnsi="Albertus MT"/>
          <w:sz w:val="22"/>
          <w:szCs w:val="22"/>
        </w:rPr>
        <w:tab/>
      </w:r>
      <w:r w:rsidRPr="00593375">
        <w:rPr>
          <w:rFonts w:ascii="Albertus MT" w:hAnsi="Albertus MT"/>
          <w:sz w:val="22"/>
          <w:szCs w:val="22"/>
        </w:rPr>
        <w:t>Do you agree with these proposals for scripts? Are there any other elements that you think should be included?</w:t>
      </w:r>
    </w:p>
    <w:p w:rsidR="00593375" w:rsidRPr="00593375" w:rsidRDefault="00593375" w:rsidP="00593375">
      <w:pPr>
        <w:spacing w:after="0" w:line="240" w:lineRule="auto"/>
        <w:ind w:left="567" w:hanging="567"/>
        <w:rPr>
          <w:rFonts w:ascii="Albertus MT" w:hAnsi="Albertus MT"/>
          <w:sz w:val="22"/>
          <w:szCs w:val="22"/>
        </w:rPr>
      </w:pPr>
    </w:p>
    <w:p w:rsidR="00D5674D" w:rsidRDefault="00473A8E" w:rsidP="00593375">
      <w:pPr>
        <w:spacing w:after="0" w:line="240" w:lineRule="auto"/>
        <w:ind w:left="567" w:hanging="567"/>
        <w:rPr>
          <w:rFonts w:ascii="Albertus MT" w:hAnsi="Albertus MT"/>
          <w:b/>
          <w:sz w:val="22"/>
          <w:szCs w:val="22"/>
        </w:rPr>
      </w:pPr>
      <w:r w:rsidRPr="00593375">
        <w:rPr>
          <w:rFonts w:ascii="Albertus MT" w:hAnsi="Albertus MT"/>
          <w:sz w:val="22"/>
          <w:szCs w:val="22"/>
        </w:rPr>
        <w:tab/>
      </w:r>
      <w:r w:rsidRPr="00593375">
        <w:rPr>
          <w:rFonts w:ascii="Albertus MT" w:hAnsi="Albertus MT"/>
          <w:b/>
          <w:sz w:val="22"/>
          <w:szCs w:val="22"/>
        </w:rPr>
        <w:t>We are concerned that there are record-keeping requirements</w:t>
      </w:r>
      <w:r w:rsidR="00387590" w:rsidRPr="00593375">
        <w:rPr>
          <w:rFonts w:ascii="Albertus MT" w:hAnsi="Albertus MT"/>
          <w:b/>
          <w:sz w:val="22"/>
          <w:szCs w:val="22"/>
        </w:rPr>
        <w:t xml:space="preserve"> and requirements for </w:t>
      </w:r>
      <w:proofErr w:type="spellStart"/>
      <w:r w:rsidR="00387590" w:rsidRPr="00593375">
        <w:rPr>
          <w:rFonts w:ascii="Albertus MT" w:hAnsi="Albertus MT"/>
          <w:b/>
          <w:sz w:val="22"/>
          <w:szCs w:val="22"/>
        </w:rPr>
        <w:t>standardised</w:t>
      </w:r>
      <w:proofErr w:type="spellEnd"/>
      <w:r w:rsidR="00387590" w:rsidRPr="00593375">
        <w:rPr>
          <w:rFonts w:ascii="Albertus MT" w:hAnsi="Albertus MT"/>
          <w:b/>
          <w:sz w:val="22"/>
          <w:szCs w:val="22"/>
        </w:rPr>
        <w:t xml:space="preserve"> </w:t>
      </w:r>
      <w:proofErr w:type="gramStart"/>
      <w:r w:rsidR="00387590" w:rsidRPr="00593375">
        <w:rPr>
          <w:rFonts w:ascii="Albertus MT" w:hAnsi="Albertus MT"/>
          <w:b/>
          <w:sz w:val="22"/>
          <w:szCs w:val="22"/>
        </w:rPr>
        <w:t>scripts</w:t>
      </w:r>
      <w:r w:rsidR="002C3245" w:rsidRPr="00593375">
        <w:rPr>
          <w:rFonts w:ascii="Albertus MT" w:hAnsi="Albertus MT"/>
          <w:b/>
          <w:sz w:val="22"/>
          <w:szCs w:val="22"/>
        </w:rPr>
        <w:t xml:space="preserve"> </w:t>
      </w:r>
      <w:r w:rsidRPr="00593375">
        <w:rPr>
          <w:rFonts w:ascii="Albertus MT" w:hAnsi="Albertus MT"/>
          <w:b/>
          <w:sz w:val="22"/>
          <w:szCs w:val="22"/>
        </w:rPr>
        <w:t xml:space="preserve"> for</w:t>
      </w:r>
      <w:proofErr w:type="gramEnd"/>
      <w:r w:rsidRPr="00593375">
        <w:rPr>
          <w:rFonts w:ascii="Albertus MT" w:hAnsi="Albertus MT"/>
          <w:b/>
          <w:sz w:val="22"/>
          <w:szCs w:val="22"/>
        </w:rPr>
        <w:t xml:space="preserve"> soundings which will not include any disclosure of inside information</w:t>
      </w:r>
      <w:r w:rsidR="00387590" w:rsidRPr="00593375">
        <w:rPr>
          <w:rFonts w:ascii="Albertus MT" w:hAnsi="Albertus MT"/>
          <w:b/>
          <w:sz w:val="22"/>
          <w:szCs w:val="22"/>
        </w:rPr>
        <w:t xml:space="preserve">. </w:t>
      </w:r>
      <w:r w:rsidR="00D75E4F" w:rsidRPr="00593375">
        <w:rPr>
          <w:rFonts w:ascii="Albertus MT" w:hAnsi="Albertus MT"/>
          <w:b/>
          <w:sz w:val="22"/>
          <w:szCs w:val="22"/>
        </w:rPr>
        <w:t>In our view, either there is an intended disclosure of inside information and wall-crossing scripts are used</w:t>
      </w:r>
      <w:r w:rsidR="006620AE" w:rsidRPr="00593375">
        <w:rPr>
          <w:rFonts w:ascii="Albertus MT" w:hAnsi="Albertus MT"/>
          <w:b/>
          <w:sz w:val="22"/>
          <w:szCs w:val="22"/>
        </w:rPr>
        <w:t>; or there is no intention to disclose inside information</w:t>
      </w:r>
      <w:r w:rsidR="00D75E4F" w:rsidRPr="00593375">
        <w:rPr>
          <w:rFonts w:ascii="Albertus MT" w:hAnsi="Albertus MT"/>
          <w:b/>
          <w:sz w:val="22"/>
          <w:szCs w:val="22"/>
        </w:rPr>
        <w:t xml:space="preserve"> and no obligations should be imposed. </w:t>
      </w:r>
      <w:r w:rsidR="0020163D" w:rsidRPr="00593375">
        <w:rPr>
          <w:rFonts w:ascii="Albertus MT" w:hAnsi="Albertus MT"/>
          <w:b/>
          <w:sz w:val="22"/>
          <w:szCs w:val="22"/>
        </w:rPr>
        <w:t>In the absence of a wall crossing, s</w:t>
      </w:r>
      <w:r w:rsidR="00387590" w:rsidRPr="00593375">
        <w:rPr>
          <w:rFonts w:ascii="Albertus MT" w:hAnsi="Albertus MT"/>
          <w:b/>
          <w:sz w:val="22"/>
          <w:szCs w:val="22"/>
        </w:rPr>
        <w:t>uch requirements are burdensome and unnecessary.</w:t>
      </w:r>
      <w:r w:rsidR="000B2D43" w:rsidRPr="00593375">
        <w:rPr>
          <w:rFonts w:ascii="Albertus MT" w:hAnsi="Albertus MT"/>
          <w:b/>
          <w:sz w:val="22"/>
          <w:szCs w:val="22"/>
        </w:rPr>
        <w:t xml:space="preserve"> </w:t>
      </w:r>
      <w:r w:rsidR="00D75E4F" w:rsidRPr="00593375">
        <w:rPr>
          <w:rFonts w:ascii="Albertus MT" w:hAnsi="Albertus MT"/>
          <w:b/>
          <w:sz w:val="22"/>
          <w:szCs w:val="22"/>
        </w:rPr>
        <w:t xml:space="preserve">We propose that the </w:t>
      </w:r>
      <w:r w:rsidR="000B2D43" w:rsidRPr="00593375">
        <w:rPr>
          <w:rFonts w:ascii="Albertus MT" w:hAnsi="Albertus MT"/>
          <w:b/>
          <w:sz w:val="22"/>
          <w:szCs w:val="22"/>
        </w:rPr>
        <w:t xml:space="preserve">buy-side should be required to advise </w:t>
      </w:r>
      <w:r w:rsidR="000B2D43" w:rsidRPr="00593375">
        <w:rPr>
          <w:rFonts w:ascii="Albertus MT" w:hAnsi="Albertus MT"/>
          <w:b/>
          <w:sz w:val="22"/>
          <w:szCs w:val="22"/>
        </w:rPr>
        <w:lastRenderedPageBreak/>
        <w:t>the sounder as well as the competent authority if it has</w:t>
      </w:r>
      <w:r w:rsidR="00D75E4F" w:rsidRPr="00593375">
        <w:rPr>
          <w:rFonts w:ascii="Albertus MT" w:hAnsi="Albertus MT"/>
          <w:b/>
          <w:sz w:val="22"/>
          <w:szCs w:val="22"/>
        </w:rPr>
        <w:t xml:space="preserve"> </w:t>
      </w:r>
      <w:proofErr w:type="gramStart"/>
      <w:r w:rsidR="00D75E4F" w:rsidRPr="00593375">
        <w:rPr>
          <w:rFonts w:ascii="Albertus MT" w:hAnsi="Albertus MT"/>
          <w:b/>
          <w:sz w:val="22"/>
          <w:szCs w:val="22"/>
        </w:rPr>
        <w:t>received</w:t>
      </w:r>
      <w:r w:rsidR="000B2D43" w:rsidRPr="00593375">
        <w:rPr>
          <w:rFonts w:ascii="Albertus MT" w:hAnsi="Albertus MT"/>
          <w:b/>
          <w:sz w:val="22"/>
          <w:szCs w:val="22"/>
        </w:rPr>
        <w:t xml:space="preserve">  inside</w:t>
      </w:r>
      <w:proofErr w:type="gramEnd"/>
      <w:r w:rsidR="000B2D43" w:rsidRPr="00593375">
        <w:rPr>
          <w:rFonts w:ascii="Albertus MT" w:hAnsi="Albertus MT"/>
          <w:b/>
          <w:sz w:val="22"/>
          <w:szCs w:val="22"/>
        </w:rPr>
        <w:t xml:space="preserve"> information </w:t>
      </w:r>
      <w:r w:rsidR="00197534" w:rsidRPr="00593375">
        <w:rPr>
          <w:rFonts w:ascii="Albertus MT" w:hAnsi="Albertus MT"/>
          <w:b/>
          <w:sz w:val="22"/>
          <w:szCs w:val="22"/>
        </w:rPr>
        <w:t>without being informed by the sell-side of its intention to wall-cross the buy-side</w:t>
      </w:r>
      <w:r w:rsidR="006620AE" w:rsidRPr="00593375">
        <w:rPr>
          <w:rFonts w:ascii="Albertus MT" w:hAnsi="Albertus MT"/>
          <w:b/>
          <w:sz w:val="22"/>
          <w:szCs w:val="22"/>
        </w:rPr>
        <w:t xml:space="preserve"> </w:t>
      </w:r>
      <w:r w:rsidR="000B2D43" w:rsidRPr="00593375">
        <w:rPr>
          <w:rFonts w:ascii="Albertus MT" w:hAnsi="Albertus MT"/>
          <w:b/>
          <w:sz w:val="22"/>
          <w:szCs w:val="22"/>
        </w:rPr>
        <w:t>.</w:t>
      </w:r>
      <w:r w:rsidRPr="00593375">
        <w:rPr>
          <w:rFonts w:ascii="Albertus MT" w:hAnsi="Albertus MT"/>
          <w:b/>
          <w:sz w:val="22"/>
          <w:szCs w:val="22"/>
        </w:rPr>
        <w:t xml:space="preserve"> </w:t>
      </w:r>
      <w:r w:rsidR="00D75E4F" w:rsidRPr="00593375">
        <w:rPr>
          <w:rFonts w:ascii="Albertus MT" w:hAnsi="Albertus MT"/>
          <w:b/>
          <w:sz w:val="22"/>
          <w:szCs w:val="22"/>
        </w:rPr>
        <w:t>This should reduce substantially any r</w:t>
      </w:r>
      <w:r w:rsidR="006620AE" w:rsidRPr="00593375">
        <w:rPr>
          <w:rFonts w:ascii="Albertus MT" w:hAnsi="Albertus MT"/>
          <w:b/>
          <w:sz w:val="22"/>
          <w:szCs w:val="22"/>
        </w:rPr>
        <w:t>isk of inside information being</w:t>
      </w:r>
      <w:r w:rsidR="00D75E4F" w:rsidRPr="00593375">
        <w:rPr>
          <w:rFonts w:ascii="Albertus MT" w:hAnsi="Albertus MT"/>
          <w:b/>
          <w:sz w:val="22"/>
          <w:szCs w:val="22"/>
        </w:rPr>
        <w:t xml:space="preserve"> passed inadvertently.</w:t>
      </w:r>
      <w:r w:rsidR="006620AE" w:rsidRPr="00593375">
        <w:rPr>
          <w:rFonts w:ascii="Albertus MT" w:hAnsi="Albertus MT"/>
          <w:b/>
          <w:sz w:val="22"/>
          <w:szCs w:val="22"/>
        </w:rPr>
        <w:t xml:space="preserve"> </w:t>
      </w:r>
      <w:r w:rsidR="00197534" w:rsidRPr="00593375">
        <w:rPr>
          <w:rFonts w:ascii="Albertus MT" w:hAnsi="Albertus MT"/>
          <w:b/>
          <w:sz w:val="22"/>
          <w:szCs w:val="22"/>
        </w:rPr>
        <w:t>We also note that banks’ internal policies require employees to immediately notify compliance if they believe they have inadvertently provided inside information in a non-wall crossed conversation. Using a script for non-wall-crossed soundings may also lead to confusion on the buy-side whether they have actually been wall-crossed.</w:t>
      </w:r>
      <w:r w:rsidR="00D5674D" w:rsidRPr="00593375">
        <w:rPr>
          <w:rFonts w:ascii="Albertus MT" w:hAnsi="Albertus MT"/>
          <w:b/>
          <w:sz w:val="22"/>
          <w:szCs w:val="22"/>
        </w:rPr>
        <w:t xml:space="preserve"> We do not believe that prescriptive guidance on the exact content of the script is necessary. In addition</w:t>
      </w:r>
      <w:r w:rsidRPr="00593375">
        <w:rPr>
          <w:rFonts w:ascii="Albertus MT" w:hAnsi="Albertus MT"/>
          <w:b/>
          <w:sz w:val="22"/>
          <w:szCs w:val="22"/>
        </w:rPr>
        <w:t xml:space="preserve"> we do not agree with</w:t>
      </w:r>
      <w:r w:rsidR="000B2D43" w:rsidRPr="00593375">
        <w:rPr>
          <w:rFonts w:ascii="Albertus MT" w:hAnsi="Albertus MT"/>
          <w:b/>
          <w:sz w:val="22"/>
          <w:szCs w:val="22"/>
        </w:rPr>
        <w:t xml:space="preserve"> </w:t>
      </w:r>
      <w:proofErr w:type="spellStart"/>
      <w:r w:rsidR="000B2D43" w:rsidRPr="00593375">
        <w:rPr>
          <w:rFonts w:ascii="Albertus MT" w:hAnsi="Albertus MT"/>
          <w:b/>
          <w:sz w:val="22"/>
          <w:szCs w:val="22"/>
        </w:rPr>
        <w:t>para</w:t>
      </w:r>
      <w:proofErr w:type="spellEnd"/>
      <w:r w:rsidR="000B2D43" w:rsidRPr="00593375">
        <w:rPr>
          <w:rFonts w:ascii="Albertus MT" w:hAnsi="Albertus MT"/>
          <w:b/>
          <w:sz w:val="22"/>
          <w:szCs w:val="22"/>
        </w:rPr>
        <w:t xml:space="preserve"> 84</w:t>
      </w:r>
      <w:r w:rsidRPr="00593375">
        <w:rPr>
          <w:rFonts w:ascii="Albertus MT" w:hAnsi="Albertus MT"/>
          <w:b/>
          <w:sz w:val="22"/>
          <w:szCs w:val="22"/>
        </w:rPr>
        <w:t xml:space="preserve"> (</w:t>
      </w:r>
      <w:proofErr w:type="spellStart"/>
      <w:r w:rsidRPr="00593375">
        <w:rPr>
          <w:rFonts w:ascii="Albertus MT" w:hAnsi="Albertus MT"/>
          <w:b/>
          <w:sz w:val="22"/>
          <w:szCs w:val="22"/>
        </w:rPr>
        <w:t>a.ii</w:t>
      </w:r>
      <w:proofErr w:type="spellEnd"/>
      <w:r w:rsidRPr="00593375">
        <w:rPr>
          <w:rFonts w:ascii="Albertus MT" w:hAnsi="Albertus MT"/>
          <w:b/>
          <w:sz w:val="22"/>
          <w:szCs w:val="22"/>
        </w:rPr>
        <w:t xml:space="preserve">) which </w:t>
      </w:r>
      <w:r w:rsidR="00E76B71" w:rsidRPr="00593375">
        <w:rPr>
          <w:rFonts w:ascii="Albertus MT" w:hAnsi="Albertus MT"/>
          <w:b/>
          <w:sz w:val="22"/>
          <w:szCs w:val="22"/>
        </w:rPr>
        <w:t xml:space="preserve">describes a risk </w:t>
      </w:r>
      <w:r w:rsidRPr="00593375">
        <w:rPr>
          <w:rFonts w:ascii="Albertus MT" w:hAnsi="Albertus MT"/>
          <w:b/>
          <w:sz w:val="22"/>
          <w:szCs w:val="22"/>
        </w:rPr>
        <w:t>that the disclosing market participant may err by inadvertently disclos</w:t>
      </w:r>
      <w:r w:rsidR="00E76B71" w:rsidRPr="00593375">
        <w:rPr>
          <w:rFonts w:ascii="Albertus MT" w:hAnsi="Albertus MT"/>
          <w:b/>
          <w:sz w:val="22"/>
          <w:szCs w:val="22"/>
        </w:rPr>
        <w:t xml:space="preserve">ing inside information. This caveat would </w:t>
      </w:r>
      <w:r w:rsidRPr="00593375">
        <w:rPr>
          <w:rFonts w:ascii="Albertus MT" w:hAnsi="Albertus MT"/>
          <w:b/>
          <w:sz w:val="22"/>
          <w:szCs w:val="22"/>
        </w:rPr>
        <w:t>undermine the process</w:t>
      </w:r>
      <w:r w:rsidR="006620AE" w:rsidRPr="00593375">
        <w:rPr>
          <w:rFonts w:ascii="Albertus MT" w:hAnsi="Albertus MT"/>
          <w:b/>
          <w:sz w:val="22"/>
          <w:szCs w:val="22"/>
        </w:rPr>
        <w:t xml:space="preserve"> and confuse the parties</w:t>
      </w:r>
      <w:r w:rsidRPr="00593375">
        <w:rPr>
          <w:rFonts w:ascii="Albertus MT" w:hAnsi="Albertus MT"/>
          <w:b/>
          <w:sz w:val="22"/>
          <w:szCs w:val="22"/>
        </w:rPr>
        <w:t xml:space="preserve">. </w:t>
      </w:r>
      <w:r w:rsidR="00D5674D" w:rsidRPr="00593375">
        <w:rPr>
          <w:rFonts w:ascii="Albertus MT" w:hAnsi="Albertus MT"/>
          <w:b/>
          <w:sz w:val="22"/>
          <w:szCs w:val="22"/>
        </w:rPr>
        <w:t xml:space="preserve">To the extent there is a requirement for a script, such script should </w:t>
      </w:r>
      <w:proofErr w:type="gramStart"/>
      <w:r w:rsidR="00D5674D" w:rsidRPr="00593375">
        <w:rPr>
          <w:rFonts w:ascii="Albertus MT" w:hAnsi="Albertus MT"/>
          <w:b/>
          <w:sz w:val="22"/>
          <w:szCs w:val="22"/>
        </w:rPr>
        <w:t xml:space="preserve">rather </w:t>
      </w:r>
      <w:r w:rsidR="000B2D43" w:rsidRPr="00593375">
        <w:rPr>
          <w:rFonts w:ascii="Albertus MT" w:hAnsi="Albertus MT"/>
          <w:b/>
          <w:sz w:val="22"/>
          <w:szCs w:val="22"/>
        </w:rPr>
        <w:t xml:space="preserve"> include</w:t>
      </w:r>
      <w:proofErr w:type="gramEnd"/>
      <w:r w:rsidRPr="00593375">
        <w:rPr>
          <w:rFonts w:ascii="Albertus MT" w:hAnsi="Albertus MT"/>
          <w:b/>
          <w:sz w:val="22"/>
          <w:szCs w:val="22"/>
        </w:rPr>
        <w:t xml:space="preserve"> a simple statement that the buy-side will have to consider for itself whether any conveyed info is inside information.</w:t>
      </w:r>
      <w:r w:rsidR="00D5674D" w:rsidRPr="00593375">
        <w:rPr>
          <w:rFonts w:ascii="Albertus MT" w:hAnsi="Albertus MT"/>
          <w:b/>
          <w:sz w:val="22"/>
          <w:szCs w:val="22"/>
        </w:rPr>
        <w:t xml:space="preserve"> Further, to the extent scripts for non-wall-crossings are </w:t>
      </w:r>
      <w:proofErr w:type="gramStart"/>
      <w:r w:rsidR="00D5674D" w:rsidRPr="00593375">
        <w:rPr>
          <w:rFonts w:ascii="Albertus MT" w:hAnsi="Albertus MT"/>
          <w:b/>
          <w:sz w:val="22"/>
          <w:szCs w:val="22"/>
        </w:rPr>
        <w:t>required,</w:t>
      </w:r>
      <w:proofErr w:type="gramEnd"/>
      <w:r w:rsidR="00D5674D" w:rsidRPr="00593375">
        <w:rPr>
          <w:rFonts w:ascii="Albertus MT" w:hAnsi="Albertus MT"/>
          <w:b/>
          <w:sz w:val="22"/>
          <w:szCs w:val="22"/>
        </w:rPr>
        <w:t xml:space="preserve"> we would strongly recommend that any such scripts are adopted as an industry standard in an annual notification to investors rather than for each sounding.</w:t>
      </w:r>
    </w:p>
    <w:p w:rsidR="00593375" w:rsidRPr="00593375" w:rsidRDefault="00593375" w:rsidP="00593375">
      <w:pPr>
        <w:spacing w:after="0" w:line="240" w:lineRule="auto"/>
        <w:ind w:left="567" w:hanging="567"/>
        <w:rPr>
          <w:rFonts w:ascii="Albertus MT" w:hAnsi="Albertus MT"/>
          <w:b/>
          <w:sz w:val="22"/>
          <w:szCs w:val="22"/>
        </w:rPr>
      </w:pPr>
    </w:p>
    <w:p w:rsidR="00D5674D" w:rsidRDefault="00473A8E" w:rsidP="00593375">
      <w:pPr>
        <w:spacing w:after="0" w:line="240" w:lineRule="auto"/>
        <w:ind w:left="567" w:hanging="567"/>
        <w:rPr>
          <w:rFonts w:ascii="Albertus MT" w:hAnsi="Albertus MT"/>
          <w:b/>
          <w:sz w:val="22"/>
          <w:szCs w:val="22"/>
        </w:rPr>
      </w:pPr>
      <w:r w:rsidRPr="00593375">
        <w:rPr>
          <w:rFonts w:ascii="Albertus MT" w:hAnsi="Albertus MT"/>
          <w:b/>
          <w:sz w:val="22"/>
          <w:szCs w:val="22"/>
        </w:rPr>
        <w:tab/>
        <w:t xml:space="preserve">With respect to </w:t>
      </w:r>
      <w:r w:rsidR="000B2D43" w:rsidRPr="00593375">
        <w:rPr>
          <w:rFonts w:ascii="Albertus MT" w:hAnsi="Albertus MT"/>
          <w:b/>
          <w:sz w:val="22"/>
          <w:szCs w:val="22"/>
        </w:rPr>
        <w:t>84</w:t>
      </w:r>
      <w:r w:rsidRPr="00593375">
        <w:rPr>
          <w:rFonts w:ascii="Albertus MT" w:hAnsi="Albertus MT"/>
          <w:b/>
          <w:sz w:val="22"/>
          <w:szCs w:val="22"/>
        </w:rPr>
        <w:t>b.iii, since there may not be a specific cleansing strategy at the time of wall</w:t>
      </w:r>
      <w:r w:rsidR="001435B3" w:rsidRPr="00593375">
        <w:rPr>
          <w:rFonts w:ascii="Albertus MT" w:hAnsi="Albertus MT"/>
          <w:b/>
          <w:sz w:val="22"/>
          <w:szCs w:val="22"/>
        </w:rPr>
        <w:t>-</w:t>
      </w:r>
      <w:r w:rsidRPr="00593375">
        <w:rPr>
          <w:rFonts w:ascii="Albertus MT" w:hAnsi="Albertus MT"/>
          <w:b/>
          <w:sz w:val="22"/>
          <w:szCs w:val="22"/>
        </w:rPr>
        <w:t>crossing, the script should inform the buy-side party regarding</w:t>
      </w:r>
      <w:r w:rsidR="00D5674D" w:rsidRPr="00593375">
        <w:rPr>
          <w:rFonts w:ascii="Albertus MT" w:hAnsi="Albertus MT"/>
          <w:b/>
          <w:sz w:val="22"/>
          <w:szCs w:val="22"/>
        </w:rPr>
        <w:t xml:space="preserve"> the anticipated time (if any) when the disclosing market participant expects the information to cease to be inside information</w:t>
      </w:r>
      <w:r w:rsidRPr="00593375">
        <w:rPr>
          <w:rFonts w:ascii="Albertus MT" w:hAnsi="Albertus MT"/>
          <w:b/>
          <w:sz w:val="22"/>
          <w:szCs w:val="22"/>
        </w:rPr>
        <w:t xml:space="preserve">  </w:t>
      </w:r>
      <w:r w:rsidR="00E76B71" w:rsidRPr="00593375">
        <w:rPr>
          <w:rFonts w:ascii="Albertus MT" w:hAnsi="Albertus MT"/>
          <w:b/>
          <w:sz w:val="22"/>
          <w:szCs w:val="22"/>
        </w:rPr>
        <w:t xml:space="preserve"> </w:t>
      </w:r>
      <w:r w:rsidRPr="00593375">
        <w:rPr>
          <w:rFonts w:ascii="Albertus MT" w:hAnsi="Albertus MT"/>
          <w:b/>
          <w:sz w:val="22"/>
          <w:szCs w:val="22"/>
        </w:rPr>
        <w:t>while noting that there may be changes in circum</w:t>
      </w:r>
      <w:r w:rsidR="00F97226" w:rsidRPr="00593375">
        <w:rPr>
          <w:rFonts w:ascii="Albertus MT" w:hAnsi="Albertus MT"/>
          <w:b/>
          <w:sz w:val="22"/>
          <w:szCs w:val="22"/>
        </w:rPr>
        <w:t>stances which could affect cleansing.</w:t>
      </w:r>
      <w:r w:rsidR="000B2D43" w:rsidRPr="00593375">
        <w:rPr>
          <w:rFonts w:ascii="Albertus MT" w:hAnsi="Albertus MT"/>
          <w:b/>
          <w:sz w:val="22"/>
          <w:szCs w:val="22"/>
        </w:rPr>
        <w:t xml:space="preserve"> As the DP indicates, there is no obligation to agree a cleansing strategy.</w:t>
      </w:r>
      <w:r w:rsidR="00D5674D" w:rsidRPr="00593375">
        <w:rPr>
          <w:rFonts w:ascii="Albertus MT" w:hAnsi="Albertus MT"/>
          <w:b/>
          <w:sz w:val="22"/>
          <w:szCs w:val="22"/>
        </w:rPr>
        <w:t xml:space="preserve"> The sounder should not be required to disclose any further details of the cleaning strategy or arrangements with the issuer.  Details of such arrangements by itself may constitute additional inside information.</w:t>
      </w:r>
    </w:p>
    <w:p w:rsidR="00FA0466" w:rsidRPr="00593375" w:rsidRDefault="00FA0466" w:rsidP="00593375">
      <w:pPr>
        <w:spacing w:after="0" w:line="240" w:lineRule="auto"/>
        <w:ind w:left="567" w:hanging="567"/>
        <w:rPr>
          <w:rFonts w:ascii="Albertus MT" w:hAnsi="Albertus MT"/>
          <w:b/>
          <w:sz w:val="22"/>
          <w:szCs w:val="22"/>
        </w:rPr>
      </w:pPr>
    </w:p>
    <w:p w:rsidR="00FB5499" w:rsidRPr="00593375" w:rsidRDefault="00FB5499" w:rsidP="00593375">
      <w:pPr>
        <w:pStyle w:val="Default"/>
        <w:ind w:left="567" w:hanging="567"/>
        <w:rPr>
          <w:rFonts w:ascii="Albertus MT" w:hAnsi="Albertus MT"/>
          <w:sz w:val="22"/>
          <w:szCs w:val="22"/>
        </w:rPr>
      </w:pPr>
      <w:r w:rsidRPr="00593375">
        <w:rPr>
          <w:rFonts w:ascii="Albertus MT" w:hAnsi="Albertus MT"/>
          <w:sz w:val="22"/>
          <w:szCs w:val="22"/>
        </w:rPr>
        <w:t xml:space="preserve">Q27: </w:t>
      </w:r>
      <w:r w:rsidR="003D3444" w:rsidRPr="00593375">
        <w:rPr>
          <w:rFonts w:ascii="Albertus MT" w:hAnsi="Albertus MT"/>
          <w:sz w:val="22"/>
          <w:szCs w:val="22"/>
        </w:rPr>
        <w:tab/>
      </w:r>
      <w:r w:rsidRPr="00593375">
        <w:rPr>
          <w:rFonts w:ascii="Albertus MT" w:hAnsi="Albertus MT"/>
          <w:sz w:val="22"/>
          <w:szCs w:val="22"/>
        </w:rPr>
        <w:t xml:space="preserve">Do you agree with these proposals regarding sounding lists? </w:t>
      </w:r>
    </w:p>
    <w:p w:rsidR="001D09F5" w:rsidRPr="00593375" w:rsidRDefault="001D09F5" w:rsidP="00593375">
      <w:pPr>
        <w:pStyle w:val="Default"/>
        <w:ind w:left="567" w:hanging="567"/>
        <w:rPr>
          <w:rFonts w:ascii="Albertus MT" w:hAnsi="Albertus MT"/>
          <w:sz w:val="22"/>
          <w:szCs w:val="22"/>
        </w:rPr>
      </w:pPr>
    </w:p>
    <w:p w:rsidR="001D09F5" w:rsidRPr="00593375" w:rsidRDefault="00F97226" w:rsidP="00593375">
      <w:pPr>
        <w:pStyle w:val="Default"/>
        <w:ind w:left="567" w:hanging="567"/>
        <w:rPr>
          <w:rFonts w:ascii="Albertus MT" w:hAnsi="Albertus MT"/>
          <w:sz w:val="22"/>
          <w:szCs w:val="22"/>
        </w:rPr>
      </w:pPr>
      <w:r w:rsidRPr="00593375">
        <w:rPr>
          <w:rFonts w:ascii="Albertus MT" w:hAnsi="Albertus MT"/>
          <w:sz w:val="22"/>
          <w:szCs w:val="22"/>
        </w:rPr>
        <w:tab/>
      </w:r>
      <w:r w:rsidRPr="00593375">
        <w:rPr>
          <w:rFonts w:ascii="Albertus MT" w:hAnsi="Albertus MT"/>
          <w:b/>
          <w:sz w:val="22"/>
          <w:szCs w:val="22"/>
        </w:rPr>
        <w:t>In general, we agree with the proposals regarding sounding lists</w:t>
      </w:r>
      <w:r w:rsidR="00D5674D" w:rsidRPr="00593375">
        <w:rPr>
          <w:rFonts w:ascii="Albertus MT" w:hAnsi="Albertus MT"/>
          <w:b/>
          <w:sz w:val="22"/>
          <w:szCs w:val="22"/>
        </w:rPr>
        <w:t xml:space="preserve"> for wall-crossed soundings</w:t>
      </w:r>
      <w:r w:rsidRPr="00593375">
        <w:rPr>
          <w:rFonts w:ascii="Albertus MT" w:hAnsi="Albertus MT"/>
          <w:b/>
          <w:sz w:val="22"/>
          <w:szCs w:val="22"/>
        </w:rPr>
        <w:t>.</w:t>
      </w:r>
      <w:r w:rsidR="009439B2" w:rsidRPr="00593375">
        <w:rPr>
          <w:rFonts w:ascii="Albertus MT" w:hAnsi="Albertus MT"/>
          <w:b/>
          <w:sz w:val="22"/>
          <w:szCs w:val="22"/>
        </w:rPr>
        <w:t xml:space="preserve"> The distribution of the inside information within the buy-side after sounding must be its own responsibility although there appears to be no articulation of that responsibility in the regulation.</w:t>
      </w:r>
      <w:r w:rsidR="00D5674D" w:rsidRPr="00593375">
        <w:rPr>
          <w:rFonts w:ascii="Albertus MT" w:hAnsi="Albertus MT"/>
          <w:b/>
          <w:sz w:val="22"/>
          <w:szCs w:val="22"/>
        </w:rPr>
        <w:t xml:space="preserve"> </w:t>
      </w:r>
      <w:r w:rsidR="00E9279E" w:rsidRPr="00593375">
        <w:rPr>
          <w:rFonts w:ascii="Albertus MT" w:hAnsi="Albertus MT"/>
          <w:b/>
          <w:sz w:val="22"/>
          <w:szCs w:val="22"/>
        </w:rPr>
        <w:t>We do not see a need for a sounding list to be kept for non-wall-crossed soundings.</w:t>
      </w:r>
      <w:r w:rsidR="00473A8E" w:rsidRPr="00593375">
        <w:rPr>
          <w:rFonts w:ascii="Albertus MT" w:hAnsi="Albertus MT"/>
          <w:sz w:val="22"/>
          <w:szCs w:val="22"/>
        </w:rPr>
        <w:tab/>
      </w:r>
    </w:p>
    <w:p w:rsidR="001D09F5" w:rsidRPr="00593375" w:rsidRDefault="001D09F5" w:rsidP="00593375">
      <w:pPr>
        <w:pStyle w:val="Default"/>
        <w:ind w:left="567" w:hanging="567"/>
        <w:rPr>
          <w:rFonts w:ascii="Albertus MT" w:hAnsi="Albertus MT"/>
          <w:sz w:val="22"/>
          <w:szCs w:val="22"/>
        </w:rPr>
      </w:pPr>
    </w:p>
    <w:p w:rsidR="00FB5499" w:rsidRPr="00593375" w:rsidRDefault="00FB5499" w:rsidP="00593375">
      <w:pPr>
        <w:pStyle w:val="Default"/>
        <w:ind w:left="567" w:hanging="567"/>
        <w:rPr>
          <w:rFonts w:ascii="Albertus MT" w:hAnsi="Albertus MT"/>
          <w:sz w:val="22"/>
          <w:szCs w:val="22"/>
        </w:rPr>
      </w:pPr>
      <w:r w:rsidRPr="00593375">
        <w:rPr>
          <w:rFonts w:ascii="Albertus MT" w:hAnsi="Albertus MT"/>
          <w:sz w:val="22"/>
          <w:szCs w:val="22"/>
        </w:rPr>
        <w:t xml:space="preserve">Q28: </w:t>
      </w:r>
      <w:r w:rsidR="003D3444" w:rsidRPr="00593375">
        <w:rPr>
          <w:rFonts w:ascii="Albertus MT" w:hAnsi="Albertus MT"/>
          <w:sz w:val="22"/>
          <w:szCs w:val="22"/>
        </w:rPr>
        <w:tab/>
      </w:r>
      <w:r w:rsidRPr="00593375">
        <w:rPr>
          <w:rFonts w:ascii="Albertus MT" w:hAnsi="Albertus MT"/>
          <w:sz w:val="22"/>
          <w:szCs w:val="22"/>
        </w:rPr>
        <w:t>Do you agree with the requirement for disclosing market participants set out in paragraph 89?</w:t>
      </w:r>
    </w:p>
    <w:p w:rsidR="001D09F5" w:rsidRPr="00593375" w:rsidRDefault="001D09F5" w:rsidP="00593375">
      <w:pPr>
        <w:pStyle w:val="Default"/>
        <w:ind w:left="567" w:hanging="567"/>
        <w:rPr>
          <w:rFonts w:ascii="Albertus MT" w:hAnsi="Albertus MT"/>
          <w:sz w:val="22"/>
          <w:szCs w:val="22"/>
        </w:rPr>
      </w:pPr>
    </w:p>
    <w:p w:rsidR="001D09F5" w:rsidRPr="00593375" w:rsidRDefault="00F97226" w:rsidP="00593375">
      <w:pPr>
        <w:pStyle w:val="Default"/>
        <w:ind w:left="567" w:hanging="567"/>
        <w:rPr>
          <w:rFonts w:ascii="Albertus MT" w:hAnsi="Albertus MT"/>
          <w:b/>
          <w:sz w:val="22"/>
          <w:szCs w:val="22"/>
        </w:rPr>
      </w:pPr>
      <w:r w:rsidRPr="00593375">
        <w:rPr>
          <w:rFonts w:ascii="Albertus MT" w:hAnsi="Albertus MT"/>
          <w:sz w:val="22"/>
          <w:szCs w:val="22"/>
        </w:rPr>
        <w:tab/>
      </w:r>
      <w:r w:rsidRPr="00593375">
        <w:rPr>
          <w:rFonts w:ascii="Albertus MT" w:hAnsi="Albertus MT"/>
          <w:b/>
          <w:sz w:val="22"/>
          <w:szCs w:val="22"/>
        </w:rPr>
        <w:t>We do not consider it advisable or practical to require a disclosing market participant to keep a record of a designated person at each buy-side firm</w:t>
      </w:r>
      <w:r w:rsidR="002853CF" w:rsidRPr="00593375">
        <w:rPr>
          <w:rFonts w:ascii="Albertus MT" w:hAnsi="Albertus MT"/>
          <w:b/>
          <w:sz w:val="22"/>
          <w:szCs w:val="22"/>
        </w:rPr>
        <w:t>.</w:t>
      </w:r>
      <w:r w:rsidRPr="00593375">
        <w:rPr>
          <w:rFonts w:ascii="Albertus MT" w:hAnsi="Albertus MT"/>
          <w:b/>
          <w:sz w:val="22"/>
          <w:szCs w:val="22"/>
        </w:rPr>
        <w:t xml:space="preserve"> This </w:t>
      </w:r>
      <w:r w:rsidR="002853CF" w:rsidRPr="00593375">
        <w:rPr>
          <w:rFonts w:ascii="Albertus MT" w:hAnsi="Albertus MT"/>
          <w:b/>
          <w:sz w:val="22"/>
          <w:szCs w:val="22"/>
        </w:rPr>
        <w:t>is a</w:t>
      </w:r>
      <w:r w:rsidR="009B5E55" w:rsidRPr="00593375">
        <w:rPr>
          <w:rFonts w:ascii="Albertus MT" w:hAnsi="Albertus MT"/>
          <w:b/>
          <w:sz w:val="22"/>
          <w:szCs w:val="22"/>
        </w:rPr>
        <w:t xml:space="preserve"> practical</w:t>
      </w:r>
      <w:r w:rsidRPr="00593375">
        <w:rPr>
          <w:rFonts w:ascii="Albertus MT" w:hAnsi="Albertus MT"/>
          <w:b/>
          <w:sz w:val="22"/>
          <w:szCs w:val="22"/>
        </w:rPr>
        <w:t xml:space="preserve"> process which is managed between firms and which does not require regulatory guidance o</w:t>
      </w:r>
      <w:r w:rsidR="00E76B71" w:rsidRPr="00593375">
        <w:rPr>
          <w:rFonts w:ascii="Albertus MT" w:hAnsi="Albertus MT"/>
          <w:b/>
          <w:sz w:val="22"/>
          <w:szCs w:val="22"/>
        </w:rPr>
        <w:t>r</w:t>
      </w:r>
      <w:r w:rsidRPr="00593375">
        <w:rPr>
          <w:rFonts w:ascii="Albertus MT" w:hAnsi="Albertus MT"/>
          <w:b/>
          <w:sz w:val="22"/>
          <w:szCs w:val="22"/>
        </w:rPr>
        <w:t xml:space="preserve"> rules.</w:t>
      </w:r>
      <w:r w:rsidR="009B5E55" w:rsidRPr="00593375">
        <w:rPr>
          <w:rFonts w:ascii="Albertus MT" w:hAnsi="Albertus MT"/>
          <w:b/>
          <w:sz w:val="22"/>
          <w:szCs w:val="22"/>
        </w:rPr>
        <w:t xml:space="preserve"> </w:t>
      </w:r>
      <w:r w:rsidRPr="00593375">
        <w:rPr>
          <w:rFonts w:ascii="Albertus MT" w:hAnsi="Albertus MT"/>
          <w:b/>
          <w:sz w:val="22"/>
          <w:szCs w:val="22"/>
        </w:rPr>
        <w:t xml:space="preserve"> </w:t>
      </w:r>
    </w:p>
    <w:p w:rsidR="001D09F5" w:rsidRPr="00593375" w:rsidRDefault="001D09F5" w:rsidP="00593375">
      <w:pPr>
        <w:pStyle w:val="Default"/>
        <w:ind w:left="567" w:hanging="567"/>
        <w:rPr>
          <w:rFonts w:ascii="Albertus MT" w:hAnsi="Albertus MT"/>
          <w:sz w:val="22"/>
          <w:szCs w:val="22"/>
        </w:rPr>
      </w:pPr>
    </w:p>
    <w:p w:rsidR="00FB5499" w:rsidRPr="00593375" w:rsidRDefault="00FB5499" w:rsidP="00593375">
      <w:pPr>
        <w:pStyle w:val="Default"/>
        <w:ind w:left="567" w:hanging="567"/>
        <w:rPr>
          <w:rFonts w:ascii="Albertus MT" w:hAnsi="Albertus MT"/>
          <w:sz w:val="22"/>
          <w:szCs w:val="22"/>
        </w:rPr>
      </w:pPr>
      <w:r w:rsidRPr="00593375">
        <w:rPr>
          <w:rFonts w:ascii="Albertus MT" w:hAnsi="Albertus MT"/>
          <w:sz w:val="22"/>
          <w:szCs w:val="22"/>
        </w:rPr>
        <w:t xml:space="preserve">Q29: </w:t>
      </w:r>
      <w:r w:rsidR="003D3444" w:rsidRPr="00593375">
        <w:rPr>
          <w:rFonts w:ascii="Albertus MT" w:hAnsi="Albertus MT"/>
          <w:sz w:val="22"/>
          <w:szCs w:val="22"/>
        </w:rPr>
        <w:tab/>
      </w:r>
      <w:r w:rsidRPr="00593375">
        <w:rPr>
          <w:rFonts w:ascii="Albertus MT" w:hAnsi="Albertus MT"/>
          <w:sz w:val="22"/>
          <w:szCs w:val="22"/>
        </w:rPr>
        <w:t xml:space="preserve">Do you agree with these proposals regarding recorded lines? </w:t>
      </w:r>
    </w:p>
    <w:p w:rsidR="001D09F5" w:rsidRPr="00593375" w:rsidRDefault="001D09F5" w:rsidP="00593375">
      <w:pPr>
        <w:pStyle w:val="Default"/>
        <w:ind w:left="567" w:hanging="567"/>
        <w:rPr>
          <w:rFonts w:ascii="Albertus MT" w:hAnsi="Albertus MT"/>
          <w:sz w:val="22"/>
          <w:szCs w:val="22"/>
        </w:rPr>
      </w:pPr>
    </w:p>
    <w:p w:rsidR="00FA0466" w:rsidRDefault="00F97226" w:rsidP="00593375">
      <w:pPr>
        <w:pStyle w:val="Default"/>
        <w:ind w:left="567" w:hanging="567"/>
        <w:rPr>
          <w:rFonts w:ascii="Albertus MT" w:hAnsi="Albertus MT" w:cs="Arial"/>
          <w:b/>
          <w:iCs/>
          <w:sz w:val="22"/>
          <w:szCs w:val="22"/>
        </w:rPr>
      </w:pPr>
      <w:r w:rsidRPr="00593375">
        <w:rPr>
          <w:rFonts w:ascii="Albertus MT" w:hAnsi="Albertus MT"/>
          <w:sz w:val="22"/>
          <w:szCs w:val="22"/>
        </w:rPr>
        <w:tab/>
      </w:r>
      <w:r w:rsidR="003260B1" w:rsidRPr="00593375">
        <w:rPr>
          <w:rFonts w:ascii="Albertus MT" w:hAnsi="Albertus MT" w:cs="Arial"/>
          <w:b/>
          <w:iCs/>
          <w:sz w:val="22"/>
          <w:szCs w:val="22"/>
        </w:rPr>
        <w:t xml:space="preserve">We are concerned about the record retention requirements on the recorded tapes. While we agree that all market sounding conversations should be conducted on recorded lines, it is unclear from paragraph 90 on whether record retention requirements for 5 years are applied to recorded telephone conversations as well as other record such as documents and emails. If that was the case keeping record of tapes for a period of at least 5 years would go </w:t>
      </w:r>
      <w:proofErr w:type="gramStart"/>
      <w:r w:rsidR="003260B1" w:rsidRPr="00593375">
        <w:rPr>
          <w:rFonts w:ascii="Albertus MT" w:hAnsi="Albertus MT" w:cs="Arial"/>
          <w:b/>
          <w:iCs/>
          <w:sz w:val="22"/>
          <w:szCs w:val="22"/>
        </w:rPr>
        <w:lastRenderedPageBreak/>
        <w:t>w</w:t>
      </w:r>
      <w:r w:rsidR="00E9279E" w:rsidRPr="00593375">
        <w:rPr>
          <w:rFonts w:ascii="Albertus MT" w:hAnsi="Albertus MT" w:cs="Arial"/>
          <w:b/>
          <w:iCs/>
          <w:sz w:val="22"/>
          <w:szCs w:val="22"/>
        </w:rPr>
        <w:t xml:space="preserve">ell </w:t>
      </w:r>
      <w:r w:rsidR="003260B1" w:rsidRPr="00593375">
        <w:rPr>
          <w:rFonts w:ascii="Albertus MT" w:hAnsi="Albertus MT" w:cs="Arial"/>
          <w:b/>
          <w:iCs/>
          <w:sz w:val="22"/>
          <w:szCs w:val="22"/>
        </w:rPr>
        <w:t xml:space="preserve"> beyond</w:t>
      </w:r>
      <w:proofErr w:type="gramEnd"/>
      <w:r w:rsidR="003260B1" w:rsidRPr="00593375">
        <w:rPr>
          <w:rFonts w:ascii="Albertus MT" w:hAnsi="Albertus MT" w:cs="Arial"/>
          <w:b/>
          <w:iCs/>
          <w:sz w:val="22"/>
          <w:szCs w:val="22"/>
        </w:rPr>
        <w:t xml:space="preserve"> the current requirements under Directive 2004/39/EC (where retention rules should be in conformity with national law). The current UK requirement under COBS 11.8.10R is to retain tape-recorded conversations for 6 months. If this is not a mistake, then we strongly believe it necessary to perform a cost-benefit analysis</w:t>
      </w:r>
      <w:r w:rsidR="00E9279E" w:rsidRPr="00593375">
        <w:rPr>
          <w:rFonts w:ascii="Albertus MT" w:hAnsi="Albertus MT" w:cs="Arial"/>
          <w:b/>
          <w:iCs/>
          <w:sz w:val="22"/>
          <w:szCs w:val="22"/>
        </w:rPr>
        <w:t>.</w:t>
      </w:r>
    </w:p>
    <w:p w:rsidR="00FA0466" w:rsidRDefault="00FA0466" w:rsidP="00593375">
      <w:pPr>
        <w:pStyle w:val="Default"/>
        <w:ind w:left="567" w:hanging="567"/>
        <w:rPr>
          <w:rFonts w:ascii="Albertus MT" w:hAnsi="Albertus MT" w:cs="Arial"/>
          <w:b/>
          <w:iCs/>
          <w:sz w:val="22"/>
          <w:szCs w:val="22"/>
        </w:rPr>
      </w:pPr>
    </w:p>
    <w:p w:rsidR="00FB5499" w:rsidRPr="00593375" w:rsidRDefault="00FA0466" w:rsidP="00FA0466">
      <w:pPr>
        <w:pStyle w:val="Default"/>
        <w:ind w:left="567" w:hanging="567"/>
        <w:rPr>
          <w:rFonts w:ascii="Albertus MT" w:hAnsi="Albertus MT"/>
          <w:sz w:val="22"/>
          <w:szCs w:val="22"/>
        </w:rPr>
      </w:pPr>
      <w:r>
        <w:rPr>
          <w:rFonts w:ascii="Albertus MT" w:hAnsi="Albertus MT"/>
          <w:sz w:val="22"/>
          <w:szCs w:val="22"/>
        </w:rPr>
        <w:t>Q30:</w:t>
      </w:r>
      <w:r>
        <w:rPr>
          <w:rFonts w:ascii="Albertus MT" w:hAnsi="Albertus MT"/>
          <w:sz w:val="22"/>
          <w:szCs w:val="22"/>
        </w:rPr>
        <w:tab/>
      </w:r>
      <w:r w:rsidR="00FB5499" w:rsidRPr="00593375">
        <w:rPr>
          <w:rFonts w:ascii="Albertus MT" w:hAnsi="Albertus MT"/>
          <w:sz w:val="22"/>
          <w:szCs w:val="22"/>
        </w:rPr>
        <w:t xml:space="preserve">Are you in favour of an ex post confirmation procedure? If so, do you agree with its proposed form and contents? </w:t>
      </w:r>
    </w:p>
    <w:p w:rsidR="001D09F5" w:rsidRPr="00593375" w:rsidRDefault="001D09F5" w:rsidP="00593375">
      <w:pPr>
        <w:pStyle w:val="Default"/>
        <w:ind w:left="567" w:hanging="567"/>
        <w:rPr>
          <w:rFonts w:ascii="Albertus MT" w:hAnsi="Albertus MT"/>
          <w:sz w:val="22"/>
          <w:szCs w:val="22"/>
        </w:rPr>
      </w:pPr>
    </w:p>
    <w:p w:rsidR="001D09F5" w:rsidRPr="00593375" w:rsidRDefault="00F97226" w:rsidP="00593375">
      <w:pPr>
        <w:pStyle w:val="Default"/>
        <w:ind w:left="567" w:hanging="567"/>
        <w:rPr>
          <w:rFonts w:ascii="Albertus MT" w:hAnsi="Albertus MT"/>
          <w:b/>
          <w:sz w:val="22"/>
          <w:szCs w:val="22"/>
        </w:rPr>
      </w:pPr>
      <w:r w:rsidRPr="00593375">
        <w:rPr>
          <w:rFonts w:ascii="Albertus MT" w:hAnsi="Albertus MT"/>
          <w:sz w:val="22"/>
          <w:szCs w:val="22"/>
        </w:rPr>
        <w:tab/>
      </w:r>
      <w:r w:rsidR="00E9279E" w:rsidRPr="00593375">
        <w:rPr>
          <w:rFonts w:ascii="Albertus MT" w:hAnsi="Albertus MT"/>
          <w:b/>
          <w:sz w:val="22"/>
          <w:szCs w:val="22"/>
        </w:rPr>
        <w:t>As a general matter, we agree with the approach whereby the confirmation is provided in the form of a one-way notice to the investor recording the fact that such investor has agreed to be wall-crossed. It is too onerous to require the sounder to</w:t>
      </w:r>
      <w:r w:rsidR="00A62276" w:rsidRPr="00593375">
        <w:rPr>
          <w:rFonts w:ascii="Albertus MT" w:hAnsi="Albertus MT"/>
          <w:b/>
          <w:sz w:val="22"/>
          <w:szCs w:val="22"/>
        </w:rPr>
        <w:t xml:space="preserve"> then</w:t>
      </w:r>
      <w:r w:rsidR="00E9279E" w:rsidRPr="00593375">
        <w:rPr>
          <w:rFonts w:ascii="Albertus MT" w:hAnsi="Albertus MT"/>
          <w:b/>
          <w:sz w:val="22"/>
          <w:szCs w:val="22"/>
        </w:rPr>
        <w:t xml:space="preserve"> obtain a written confirmation from the wall-crossed investor of their agreement to be wall-crossed. Any onus should be upon the buy-side </w:t>
      </w:r>
      <w:proofErr w:type="gramStart"/>
      <w:r w:rsidR="00E9279E" w:rsidRPr="00593375">
        <w:rPr>
          <w:rFonts w:ascii="Albertus MT" w:hAnsi="Albertus MT"/>
          <w:b/>
          <w:sz w:val="22"/>
          <w:szCs w:val="22"/>
        </w:rPr>
        <w:t>to  confirm</w:t>
      </w:r>
      <w:proofErr w:type="gramEnd"/>
      <w:r w:rsidR="00E9279E" w:rsidRPr="00593375">
        <w:rPr>
          <w:rFonts w:ascii="Albertus MT" w:hAnsi="Albertus MT"/>
          <w:b/>
          <w:sz w:val="22"/>
          <w:szCs w:val="22"/>
        </w:rPr>
        <w:t xml:space="preserve">, although a failure to confirm should not obviate the buy-side’s agreement. </w:t>
      </w:r>
      <w:r w:rsidRPr="00593375">
        <w:rPr>
          <w:rFonts w:ascii="Albertus MT" w:hAnsi="Albertus MT"/>
          <w:b/>
          <w:sz w:val="22"/>
          <w:szCs w:val="22"/>
        </w:rPr>
        <w:t>We have the following suggestion</w:t>
      </w:r>
      <w:r w:rsidR="00C03A9C" w:rsidRPr="00593375">
        <w:rPr>
          <w:rFonts w:ascii="Albertus MT" w:hAnsi="Albertus MT"/>
          <w:b/>
          <w:sz w:val="22"/>
          <w:szCs w:val="22"/>
        </w:rPr>
        <w:t>s regarding the proposals:-</w:t>
      </w:r>
    </w:p>
    <w:p w:rsidR="00C03A9C" w:rsidRPr="00593375" w:rsidRDefault="00C03A9C" w:rsidP="00593375">
      <w:pPr>
        <w:pStyle w:val="Default"/>
        <w:ind w:left="567" w:hanging="567"/>
        <w:rPr>
          <w:rFonts w:ascii="Albertus MT" w:hAnsi="Albertus MT"/>
          <w:b/>
          <w:sz w:val="22"/>
          <w:szCs w:val="22"/>
        </w:rPr>
      </w:pPr>
    </w:p>
    <w:p w:rsidR="00C03A9C" w:rsidRPr="00593375" w:rsidRDefault="00C03A9C" w:rsidP="00593375">
      <w:pPr>
        <w:pStyle w:val="Default"/>
        <w:numPr>
          <w:ilvl w:val="0"/>
          <w:numId w:val="1"/>
        </w:numPr>
        <w:rPr>
          <w:rFonts w:ascii="Albertus MT" w:hAnsi="Albertus MT"/>
          <w:b/>
          <w:sz w:val="22"/>
          <w:szCs w:val="22"/>
        </w:rPr>
      </w:pPr>
      <w:r w:rsidRPr="00593375">
        <w:rPr>
          <w:rFonts w:ascii="Albertus MT" w:hAnsi="Albertus MT"/>
          <w:b/>
          <w:sz w:val="22"/>
          <w:szCs w:val="22"/>
        </w:rPr>
        <w:t>Para 94 should refer to a</w:t>
      </w:r>
      <w:r w:rsidR="00E9279E" w:rsidRPr="00593375">
        <w:rPr>
          <w:rFonts w:ascii="Albertus MT" w:hAnsi="Albertus MT"/>
          <w:b/>
          <w:sz w:val="22"/>
          <w:szCs w:val="22"/>
        </w:rPr>
        <w:t>s soon as practicable</w:t>
      </w:r>
      <w:proofErr w:type="gramStart"/>
      <w:r w:rsidR="00E9279E" w:rsidRPr="00593375">
        <w:rPr>
          <w:rFonts w:ascii="Albertus MT" w:hAnsi="Albertus MT"/>
          <w:b/>
          <w:sz w:val="22"/>
          <w:szCs w:val="22"/>
        </w:rPr>
        <w:t xml:space="preserve">” </w:t>
      </w:r>
      <w:r w:rsidRPr="00593375">
        <w:rPr>
          <w:rFonts w:ascii="Albertus MT" w:hAnsi="Albertus MT"/>
          <w:b/>
          <w:sz w:val="22"/>
          <w:szCs w:val="22"/>
        </w:rPr>
        <w:t xml:space="preserve"> rather</w:t>
      </w:r>
      <w:proofErr w:type="gramEnd"/>
      <w:r w:rsidRPr="00593375">
        <w:rPr>
          <w:rFonts w:ascii="Albertus MT" w:hAnsi="Albertus MT"/>
          <w:b/>
          <w:sz w:val="22"/>
          <w:szCs w:val="22"/>
        </w:rPr>
        <w:t xml:space="preserve"> than “the shortest possible time” after the market soundings.</w:t>
      </w:r>
    </w:p>
    <w:p w:rsidR="009B5E55" w:rsidRPr="00593375" w:rsidRDefault="009B5E55" w:rsidP="00593375">
      <w:pPr>
        <w:pStyle w:val="Default"/>
        <w:numPr>
          <w:ilvl w:val="0"/>
          <w:numId w:val="1"/>
        </w:numPr>
        <w:rPr>
          <w:rFonts w:ascii="Albertus MT" w:hAnsi="Albertus MT"/>
          <w:b/>
          <w:sz w:val="22"/>
          <w:szCs w:val="22"/>
        </w:rPr>
      </w:pPr>
      <w:r w:rsidRPr="00593375">
        <w:rPr>
          <w:rFonts w:ascii="Albertus MT" w:hAnsi="Albertus MT"/>
          <w:b/>
          <w:sz w:val="22"/>
          <w:szCs w:val="22"/>
        </w:rPr>
        <w:t xml:space="preserve"> Note that other trade associations</w:t>
      </w:r>
      <w:r w:rsidR="00A62276" w:rsidRPr="00593375">
        <w:rPr>
          <w:rFonts w:ascii="Albertus MT" w:hAnsi="Albertus MT"/>
          <w:b/>
          <w:sz w:val="22"/>
          <w:szCs w:val="22"/>
        </w:rPr>
        <w:t xml:space="preserve"> also</w:t>
      </w:r>
      <w:r w:rsidRPr="00593375">
        <w:rPr>
          <w:rFonts w:ascii="Albertus MT" w:hAnsi="Albertus MT"/>
          <w:b/>
          <w:sz w:val="22"/>
          <w:szCs w:val="22"/>
        </w:rPr>
        <w:t xml:space="preserve"> take a view that non-wall-crossed soundings should not have record keeping requirements.</w:t>
      </w:r>
    </w:p>
    <w:p w:rsidR="00A62276" w:rsidRPr="00593375" w:rsidRDefault="00A62276" w:rsidP="00593375">
      <w:pPr>
        <w:pStyle w:val="Default"/>
        <w:numPr>
          <w:ilvl w:val="0"/>
          <w:numId w:val="1"/>
        </w:numPr>
        <w:rPr>
          <w:rFonts w:ascii="Albertus MT" w:hAnsi="Albertus MT"/>
          <w:b/>
          <w:sz w:val="22"/>
          <w:szCs w:val="22"/>
        </w:rPr>
      </w:pPr>
      <w:r w:rsidRPr="00593375">
        <w:rPr>
          <w:rFonts w:ascii="Albertus MT" w:hAnsi="Albertus MT"/>
          <w:b/>
          <w:sz w:val="22"/>
          <w:szCs w:val="22"/>
        </w:rPr>
        <w:t xml:space="preserve">As noted above, it should also be made clearer with respect to the ex-post confirmation procedure, that there is no requirement imposed on the sell-side to receive any confirmation or response from the buy-side to the confirmatory email. It should be sufficient for the email to be “one-way” only. </w:t>
      </w:r>
    </w:p>
    <w:p w:rsidR="00A62276" w:rsidRPr="00593375" w:rsidRDefault="00A62276" w:rsidP="00593375">
      <w:pPr>
        <w:pStyle w:val="Default"/>
        <w:numPr>
          <w:ilvl w:val="0"/>
          <w:numId w:val="1"/>
        </w:numPr>
        <w:rPr>
          <w:rFonts w:ascii="Albertus MT" w:hAnsi="Albertus MT"/>
          <w:b/>
          <w:sz w:val="22"/>
          <w:szCs w:val="22"/>
        </w:rPr>
      </w:pPr>
    </w:p>
    <w:p w:rsidR="001D09F5" w:rsidRPr="00593375" w:rsidRDefault="001D09F5" w:rsidP="00593375">
      <w:pPr>
        <w:pStyle w:val="Default"/>
        <w:ind w:left="567" w:hanging="567"/>
        <w:rPr>
          <w:rFonts w:ascii="Albertus MT" w:hAnsi="Albertus MT"/>
          <w:sz w:val="22"/>
          <w:szCs w:val="22"/>
        </w:rPr>
      </w:pPr>
    </w:p>
    <w:p w:rsidR="00FB5499" w:rsidRPr="00593375" w:rsidRDefault="00FB5499" w:rsidP="00593375">
      <w:pPr>
        <w:pStyle w:val="Default"/>
        <w:ind w:left="567" w:hanging="567"/>
        <w:rPr>
          <w:rFonts w:ascii="Albertus MT" w:hAnsi="Albertus MT"/>
          <w:sz w:val="22"/>
          <w:szCs w:val="22"/>
        </w:rPr>
      </w:pPr>
      <w:r w:rsidRPr="00593375">
        <w:rPr>
          <w:rFonts w:ascii="Albertus MT" w:hAnsi="Albertus MT"/>
          <w:sz w:val="22"/>
          <w:szCs w:val="22"/>
        </w:rPr>
        <w:t xml:space="preserve">Q31: </w:t>
      </w:r>
      <w:r w:rsidR="003D3444" w:rsidRPr="00593375">
        <w:rPr>
          <w:rFonts w:ascii="Albertus MT" w:hAnsi="Albertus MT"/>
          <w:sz w:val="22"/>
          <w:szCs w:val="22"/>
        </w:rPr>
        <w:tab/>
      </w:r>
      <w:r w:rsidRPr="00593375">
        <w:rPr>
          <w:rFonts w:ascii="Albertus MT" w:hAnsi="Albertus MT"/>
          <w:sz w:val="22"/>
          <w:szCs w:val="22"/>
        </w:rPr>
        <w:t xml:space="preserve">Do you agree with the approach described above in paragraph 96 with regard to confirmation by investors of their prior agreement to be wall-crossed? </w:t>
      </w:r>
    </w:p>
    <w:p w:rsidR="001D09F5" w:rsidRPr="00593375" w:rsidRDefault="001D09F5" w:rsidP="00593375">
      <w:pPr>
        <w:pStyle w:val="Default"/>
        <w:ind w:left="567" w:hanging="567"/>
        <w:rPr>
          <w:rFonts w:ascii="Albertus MT" w:hAnsi="Albertus MT"/>
          <w:sz w:val="22"/>
          <w:szCs w:val="22"/>
        </w:rPr>
      </w:pPr>
    </w:p>
    <w:p w:rsidR="00C87BC3" w:rsidRPr="00593375" w:rsidRDefault="00C03A9C" w:rsidP="00593375">
      <w:pPr>
        <w:pStyle w:val="Default"/>
        <w:ind w:left="567" w:hanging="567"/>
        <w:rPr>
          <w:rFonts w:ascii="Albertus MT" w:hAnsi="Albertus MT"/>
          <w:b/>
          <w:sz w:val="22"/>
          <w:szCs w:val="22"/>
        </w:rPr>
      </w:pPr>
      <w:r w:rsidRPr="00593375">
        <w:rPr>
          <w:rFonts w:ascii="Albertus MT" w:hAnsi="Albertus MT"/>
          <w:sz w:val="22"/>
          <w:szCs w:val="22"/>
        </w:rPr>
        <w:tab/>
      </w:r>
      <w:r w:rsidR="00A62276" w:rsidRPr="00593375">
        <w:rPr>
          <w:rFonts w:ascii="Albertus MT" w:hAnsi="Albertus MT"/>
          <w:b/>
          <w:sz w:val="22"/>
          <w:szCs w:val="22"/>
        </w:rPr>
        <w:t>We note the recording by the sounder of the oral consent provided by the buy-side is sufficient confirmation of the agreement to be wall-crossed</w:t>
      </w:r>
      <w:r w:rsidR="00C87BC3" w:rsidRPr="00593375">
        <w:rPr>
          <w:rFonts w:ascii="Albertus MT" w:hAnsi="Albertus MT"/>
          <w:b/>
          <w:sz w:val="22"/>
          <w:szCs w:val="22"/>
        </w:rPr>
        <w:t>. We consider that such notice would be combined with a (generally verbal) confirmation from the investor that they agree to be wall crossed prior to such wall crossing taking place.</w:t>
      </w:r>
    </w:p>
    <w:p w:rsidR="00F71019" w:rsidRPr="00593375" w:rsidRDefault="00A62276" w:rsidP="00593375">
      <w:pPr>
        <w:pStyle w:val="Default"/>
        <w:ind w:left="567" w:hanging="567"/>
        <w:rPr>
          <w:rFonts w:ascii="Albertus MT" w:hAnsi="Albertus MT"/>
          <w:b/>
          <w:sz w:val="22"/>
          <w:szCs w:val="22"/>
        </w:rPr>
      </w:pPr>
      <w:r w:rsidRPr="00593375">
        <w:rPr>
          <w:rFonts w:ascii="Albertus MT" w:hAnsi="Albertus MT"/>
          <w:b/>
          <w:sz w:val="22"/>
          <w:szCs w:val="22"/>
        </w:rPr>
        <w:t xml:space="preserve"> </w:t>
      </w:r>
    </w:p>
    <w:p w:rsidR="00A62276" w:rsidRPr="00593375" w:rsidRDefault="00C03A9C" w:rsidP="00593375">
      <w:pPr>
        <w:pStyle w:val="Default"/>
        <w:ind w:left="567"/>
        <w:rPr>
          <w:rFonts w:ascii="Albertus MT" w:hAnsi="Albertus MT"/>
          <w:b/>
          <w:sz w:val="22"/>
          <w:szCs w:val="22"/>
        </w:rPr>
      </w:pPr>
      <w:r w:rsidRPr="00593375">
        <w:rPr>
          <w:rFonts w:ascii="Albertus MT" w:hAnsi="Albertus MT"/>
          <w:b/>
          <w:sz w:val="22"/>
          <w:szCs w:val="22"/>
        </w:rPr>
        <w:t>We would suggest that the onus should be upon the buy</w:t>
      </w:r>
      <w:r w:rsidR="001435B3" w:rsidRPr="00593375">
        <w:rPr>
          <w:rFonts w:ascii="Albertus MT" w:hAnsi="Albertus MT"/>
          <w:b/>
          <w:sz w:val="22"/>
          <w:szCs w:val="22"/>
        </w:rPr>
        <w:t>-side party which has been wall-</w:t>
      </w:r>
      <w:r w:rsidRPr="00593375">
        <w:rPr>
          <w:rFonts w:ascii="Albertus MT" w:hAnsi="Albertus MT"/>
          <w:b/>
          <w:sz w:val="22"/>
          <w:szCs w:val="22"/>
        </w:rPr>
        <w:t xml:space="preserve">crossed to confirm that fact to the disclosing market participant </w:t>
      </w:r>
      <w:r w:rsidR="00A62276" w:rsidRPr="00593375">
        <w:rPr>
          <w:rFonts w:ascii="Albertus MT" w:hAnsi="Albertus MT"/>
          <w:b/>
          <w:sz w:val="22"/>
          <w:szCs w:val="22"/>
        </w:rPr>
        <w:t xml:space="preserve">as soon as practicable </w:t>
      </w:r>
      <w:proofErr w:type="gramStart"/>
      <w:r w:rsidR="00A62276" w:rsidRPr="00593375">
        <w:rPr>
          <w:rFonts w:ascii="Albertus MT" w:hAnsi="Albertus MT"/>
          <w:b/>
          <w:sz w:val="22"/>
          <w:szCs w:val="22"/>
        </w:rPr>
        <w:t xml:space="preserve">after </w:t>
      </w:r>
      <w:r w:rsidRPr="00593375">
        <w:rPr>
          <w:rFonts w:ascii="Albertus MT" w:hAnsi="Albertus MT"/>
          <w:b/>
          <w:sz w:val="22"/>
          <w:szCs w:val="22"/>
        </w:rPr>
        <w:t xml:space="preserve"> receiving</w:t>
      </w:r>
      <w:proofErr w:type="gramEnd"/>
      <w:r w:rsidRPr="00593375">
        <w:rPr>
          <w:rFonts w:ascii="Albertus MT" w:hAnsi="Albertus MT"/>
          <w:b/>
          <w:sz w:val="22"/>
          <w:szCs w:val="22"/>
        </w:rPr>
        <w:t xml:space="preserve"> the latter’s confirmation of wall</w:t>
      </w:r>
      <w:r w:rsidR="001435B3" w:rsidRPr="00593375">
        <w:rPr>
          <w:rFonts w:ascii="Albertus MT" w:hAnsi="Albertus MT"/>
          <w:b/>
          <w:sz w:val="22"/>
          <w:szCs w:val="22"/>
        </w:rPr>
        <w:t>-</w:t>
      </w:r>
      <w:r w:rsidRPr="00593375">
        <w:rPr>
          <w:rFonts w:ascii="Albertus MT" w:hAnsi="Albertus MT"/>
          <w:b/>
          <w:sz w:val="22"/>
          <w:szCs w:val="22"/>
        </w:rPr>
        <w:t>crossing.</w:t>
      </w:r>
      <w:r w:rsidR="006620AE" w:rsidRPr="00593375">
        <w:rPr>
          <w:rFonts w:ascii="Albertus MT" w:hAnsi="Albertus MT"/>
          <w:b/>
          <w:sz w:val="22"/>
          <w:szCs w:val="22"/>
        </w:rPr>
        <w:t xml:space="preserve"> There should be no need to maintain a record of non-wall-crossed soundings.</w:t>
      </w:r>
      <w:r w:rsidR="00A62276" w:rsidRPr="00593375">
        <w:rPr>
          <w:rFonts w:ascii="Albertus MT" w:hAnsi="Albertus MT"/>
          <w:b/>
          <w:sz w:val="22"/>
          <w:szCs w:val="22"/>
        </w:rPr>
        <w:t xml:space="preserve"> Lack of receipt of such confirmation by the sell-side should not create any breach of the sounding procedure by the sell-side.</w:t>
      </w:r>
    </w:p>
    <w:p w:rsidR="001D09F5" w:rsidRPr="00593375" w:rsidRDefault="001D09F5" w:rsidP="00593375">
      <w:pPr>
        <w:pStyle w:val="Default"/>
        <w:ind w:left="567" w:hanging="567"/>
        <w:rPr>
          <w:rFonts w:ascii="Albertus MT" w:hAnsi="Albertus MT"/>
          <w:sz w:val="22"/>
          <w:szCs w:val="22"/>
        </w:rPr>
      </w:pPr>
    </w:p>
    <w:p w:rsidR="00FB5499" w:rsidRPr="00593375" w:rsidRDefault="00FB5499" w:rsidP="00593375">
      <w:pPr>
        <w:pStyle w:val="Default"/>
        <w:ind w:left="567" w:hanging="567"/>
        <w:rPr>
          <w:rFonts w:ascii="Albertus MT" w:hAnsi="Albertus MT"/>
          <w:sz w:val="22"/>
          <w:szCs w:val="22"/>
        </w:rPr>
      </w:pPr>
      <w:r w:rsidRPr="00593375">
        <w:rPr>
          <w:rFonts w:ascii="Albertus MT" w:hAnsi="Albertus MT"/>
          <w:sz w:val="22"/>
          <w:szCs w:val="22"/>
        </w:rPr>
        <w:t xml:space="preserve">Q32: </w:t>
      </w:r>
      <w:r w:rsidR="003D3444" w:rsidRPr="00593375">
        <w:rPr>
          <w:rFonts w:ascii="Albertus MT" w:hAnsi="Albertus MT"/>
          <w:sz w:val="22"/>
          <w:szCs w:val="22"/>
        </w:rPr>
        <w:tab/>
      </w:r>
      <w:r w:rsidRPr="00593375">
        <w:rPr>
          <w:rFonts w:ascii="Albertus MT" w:hAnsi="Albertus MT"/>
          <w:sz w:val="22"/>
          <w:szCs w:val="22"/>
        </w:rPr>
        <w:t xml:space="preserve">Do you agree with these proposals regarding disclosing market participants’ internal processes and controls? </w:t>
      </w:r>
    </w:p>
    <w:p w:rsidR="001D09F5" w:rsidRPr="00593375" w:rsidRDefault="001D09F5" w:rsidP="00593375">
      <w:pPr>
        <w:pStyle w:val="Default"/>
        <w:ind w:left="567" w:hanging="567"/>
        <w:rPr>
          <w:rFonts w:ascii="Albertus MT" w:hAnsi="Albertus MT"/>
          <w:sz w:val="22"/>
          <w:szCs w:val="22"/>
        </w:rPr>
      </w:pPr>
    </w:p>
    <w:p w:rsidR="00C87BC3" w:rsidRPr="00593375" w:rsidRDefault="00C03A9C" w:rsidP="00593375">
      <w:pPr>
        <w:pStyle w:val="Default"/>
        <w:ind w:left="567" w:hanging="567"/>
        <w:rPr>
          <w:rFonts w:ascii="Albertus MT" w:hAnsi="Albertus MT"/>
          <w:b/>
          <w:sz w:val="22"/>
          <w:szCs w:val="22"/>
        </w:rPr>
      </w:pPr>
      <w:r w:rsidRPr="00593375">
        <w:rPr>
          <w:rFonts w:ascii="Albertus MT" w:hAnsi="Albertus MT"/>
          <w:sz w:val="22"/>
          <w:szCs w:val="22"/>
        </w:rPr>
        <w:tab/>
      </w:r>
      <w:r w:rsidRPr="00593375">
        <w:rPr>
          <w:rFonts w:ascii="Albertus MT" w:hAnsi="Albertus MT"/>
          <w:b/>
          <w:sz w:val="22"/>
          <w:szCs w:val="22"/>
        </w:rPr>
        <w:t xml:space="preserve">We propose that </w:t>
      </w:r>
      <w:proofErr w:type="spellStart"/>
      <w:r w:rsidRPr="00593375">
        <w:rPr>
          <w:rFonts w:ascii="Albertus MT" w:hAnsi="Albertus MT"/>
          <w:b/>
          <w:sz w:val="22"/>
          <w:szCs w:val="22"/>
        </w:rPr>
        <w:t>para</w:t>
      </w:r>
      <w:proofErr w:type="spellEnd"/>
      <w:r w:rsidRPr="00593375">
        <w:rPr>
          <w:rFonts w:ascii="Albertus MT" w:hAnsi="Albertus MT"/>
          <w:b/>
          <w:sz w:val="22"/>
          <w:szCs w:val="22"/>
        </w:rPr>
        <w:t xml:space="preserve"> 99, second bullet, should refer to reducing time interval “as much as practicable” rather than “possible”.</w:t>
      </w:r>
      <w:r w:rsidR="00C87BC3" w:rsidRPr="00593375">
        <w:rPr>
          <w:rFonts w:ascii="Albertus MT" w:hAnsi="Albertus MT"/>
          <w:b/>
          <w:sz w:val="22"/>
          <w:szCs w:val="22"/>
        </w:rPr>
        <w:t xml:space="preserve"> Any timing restrictions should not apply to non-wall-crossed soundings. </w:t>
      </w:r>
    </w:p>
    <w:p w:rsidR="00C87BC3" w:rsidRPr="00593375" w:rsidRDefault="00C87BC3" w:rsidP="00593375">
      <w:pPr>
        <w:pStyle w:val="Default"/>
        <w:ind w:left="567" w:hanging="567"/>
        <w:rPr>
          <w:rFonts w:ascii="Albertus MT" w:hAnsi="Albertus MT"/>
          <w:b/>
          <w:sz w:val="22"/>
          <w:szCs w:val="22"/>
        </w:rPr>
      </w:pPr>
    </w:p>
    <w:p w:rsidR="00C87BC3" w:rsidRPr="00593375" w:rsidRDefault="00C87BC3" w:rsidP="00593375">
      <w:pPr>
        <w:pStyle w:val="Default"/>
        <w:ind w:left="567"/>
        <w:rPr>
          <w:rFonts w:ascii="Albertus MT" w:hAnsi="Albertus MT"/>
          <w:b/>
          <w:sz w:val="22"/>
          <w:szCs w:val="22"/>
        </w:rPr>
      </w:pPr>
      <w:r w:rsidRPr="00593375">
        <w:rPr>
          <w:rFonts w:ascii="Albertus MT" w:hAnsi="Albertus MT"/>
          <w:b/>
          <w:sz w:val="22"/>
          <w:szCs w:val="22"/>
        </w:rPr>
        <w:lastRenderedPageBreak/>
        <w:t>We also consider that the establishment of full Chinese walls between private side individuals is a disproportionate and unnecessary requirement, give that inside information is only shared within the private side on a need-to-know basis.</w:t>
      </w:r>
    </w:p>
    <w:p w:rsidR="001D09F5" w:rsidRPr="00593375" w:rsidRDefault="001D09F5" w:rsidP="00593375">
      <w:pPr>
        <w:pStyle w:val="Default"/>
        <w:ind w:left="567" w:hanging="567"/>
        <w:rPr>
          <w:rFonts w:ascii="Albertus MT" w:hAnsi="Albertus MT"/>
          <w:b/>
          <w:sz w:val="22"/>
          <w:szCs w:val="22"/>
        </w:rPr>
      </w:pPr>
    </w:p>
    <w:p w:rsidR="00FB5499" w:rsidRPr="00593375" w:rsidRDefault="00FB5499" w:rsidP="00593375">
      <w:pPr>
        <w:pStyle w:val="Default"/>
        <w:ind w:left="567" w:hanging="567"/>
        <w:rPr>
          <w:rFonts w:ascii="Albertus MT" w:hAnsi="Albertus MT"/>
          <w:sz w:val="22"/>
          <w:szCs w:val="22"/>
        </w:rPr>
      </w:pPr>
      <w:r w:rsidRPr="00593375">
        <w:rPr>
          <w:rFonts w:ascii="Albertus MT" w:hAnsi="Albertus MT"/>
          <w:sz w:val="22"/>
          <w:szCs w:val="22"/>
        </w:rPr>
        <w:t xml:space="preserve">Q33: </w:t>
      </w:r>
      <w:r w:rsidR="003D3444" w:rsidRPr="00593375">
        <w:rPr>
          <w:rFonts w:ascii="Albertus MT" w:hAnsi="Albertus MT"/>
          <w:sz w:val="22"/>
          <w:szCs w:val="22"/>
        </w:rPr>
        <w:tab/>
      </w:r>
      <w:r w:rsidRPr="00593375">
        <w:rPr>
          <w:rFonts w:ascii="Albertus MT" w:hAnsi="Albertus MT"/>
          <w:sz w:val="22"/>
          <w:szCs w:val="22"/>
        </w:rPr>
        <w:t xml:space="preserve">Do you have any views on the proposals in paragraphs 102 to 104 above? </w:t>
      </w:r>
    </w:p>
    <w:p w:rsidR="001D09F5" w:rsidRPr="00593375" w:rsidRDefault="001D09F5" w:rsidP="00593375">
      <w:pPr>
        <w:pStyle w:val="Default"/>
        <w:ind w:left="567" w:hanging="567"/>
        <w:rPr>
          <w:rFonts w:ascii="Albertus MT" w:hAnsi="Albertus MT"/>
          <w:sz w:val="22"/>
          <w:szCs w:val="22"/>
        </w:rPr>
      </w:pPr>
    </w:p>
    <w:p w:rsidR="00492621" w:rsidRPr="00593375" w:rsidRDefault="00C03A9C" w:rsidP="00593375">
      <w:pPr>
        <w:pStyle w:val="Default"/>
        <w:ind w:left="567" w:hanging="567"/>
        <w:rPr>
          <w:rFonts w:ascii="Albertus MT" w:hAnsi="Albertus MT"/>
          <w:b/>
          <w:sz w:val="22"/>
          <w:szCs w:val="22"/>
        </w:rPr>
      </w:pPr>
      <w:r w:rsidRPr="00593375">
        <w:rPr>
          <w:rFonts w:ascii="Albertus MT" w:hAnsi="Albertus MT"/>
          <w:sz w:val="22"/>
          <w:szCs w:val="22"/>
        </w:rPr>
        <w:tab/>
      </w:r>
      <w:r w:rsidRPr="00593375">
        <w:rPr>
          <w:rFonts w:ascii="Albertus MT" w:hAnsi="Albertus MT"/>
          <w:b/>
          <w:sz w:val="22"/>
          <w:szCs w:val="22"/>
        </w:rPr>
        <w:t xml:space="preserve">We strongly support </w:t>
      </w:r>
      <w:proofErr w:type="spellStart"/>
      <w:r w:rsidRPr="00593375">
        <w:rPr>
          <w:rFonts w:ascii="Albertus MT" w:hAnsi="Albertus MT"/>
          <w:b/>
          <w:sz w:val="22"/>
          <w:szCs w:val="22"/>
        </w:rPr>
        <w:t>para</w:t>
      </w:r>
      <w:proofErr w:type="spellEnd"/>
      <w:r w:rsidRPr="00593375">
        <w:rPr>
          <w:rFonts w:ascii="Albertus MT" w:hAnsi="Albertus MT"/>
          <w:b/>
          <w:sz w:val="22"/>
          <w:szCs w:val="22"/>
        </w:rPr>
        <w:t xml:space="preserve"> 104</w:t>
      </w:r>
      <w:r w:rsidR="00492621" w:rsidRPr="00593375">
        <w:rPr>
          <w:rFonts w:ascii="Albertus MT" w:hAnsi="Albertus MT"/>
          <w:b/>
          <w:sz w:val="22"/>
          <w:szCs w:val="22"/>
        </w:rPr>
        <w:t xml:space="preserve"> which underlines the buy-side’s independent duty to form own view whether any supplied information is inside information.</w:t>
      </w:r>
    </w:p>
    <w:p w:rsidR="00F9044E" w:rsidRPr="00593375" w:rsidRDefault="00F9044E" w:rsidP="00593375">
      <w:pPr>
        <w:pStyle w:val="Default"/>
        <w:ind w:left="567"/>
        <w:rPr>
          <w:rFonts w:ascii="Albertus MT" w:hAnsi="Albertus MT"/>
          <w:b/>
          <w:sz w:val="22"/>
          <w:szCs w:val="22"/>
        </w:rPr>
      </w:pPr>
    </w:p>
    <w:p w:rsidR="001D09F5" w:rsidRPr="00593375" w:rsidRDefault="00492621" w:rsidP="00593375">
      <w:pPr>
        <w:pStyle w:val="Default"/>
        <w:ind w:left="567"/>
        <w:rPr>
          <w:rFonts w:ascii="Albertus MT" w:hAnsi="Albertus MT"/>
          <w:b/>
          <w:sz w:val="22"/>
          <w:szCs w:val="22"/>
        </w:rPr>
      </w:pPr>
      <w:r w:rsidRPr="00593375">
        <w:rPr>
          <w:rFonts w:ascii="Albertus MT" w:hAnsi="Albertus MT"/>
          <w:b/>
          <w:sz w:val="22"/>
          <w:szCs w:val="22"/>
        </w:rPr>
        <w:t xml:space="preserve">Where the buy-side firm gives notice that it does not wish to be wall crossed, it will still have the obligation to determine whether it has been given inside information during any sounding. It might be more appropriate for a buy side firm to refuse all soundings so as to remove all risk of being restricted. It should also be remembered that confidential information--which not inside information –may also be conveyed </w:t>
      </w:r>
      <w:r w:rsidR="0078189F" w:rsidRPr="00593375">
        <w:rPr>
          <w:rFonts w:ascii="Albertus MT" w:hAnsi="Albertus MT"/>
          <w:b/>
          <w:sz w:val="22"/>
          <w:szCs w:val="22"/>
        </w:rPr>
        <w:t>during a sounding which the issuer may not wish to be disclosed or traded upon. Thus, it would be more practical for an investor to decline all soundings.</w:t>
      </w:r>
    </w:p>
    <w:p w:rsidR="00C87BC3" w:rsidRPr="00593375" w:rsidRDefault="00C87BC3" w:rsidP="00593375">
      <w:pPr>
        <w:pStyle w:val="Default"/>
        <w:ind w:left="567"/>
        <w:rPr>
          <w:rFonts w:ascii="Albertus MT" w:hAnsi="Albertus MT"/>
          <w:b/>
          <w:sz w:val="22"/>
          <w:szCs w:val="22"/>
        </w:rPr>
      </w:pPr>
    </w:p>
    <w:p w:rsidR="00C87BC3" w:rsidRPr="00593375" w:rsidRDefault="00C87BC3" w:rsidP="00593375">
      <w:pPr>
        <w:pStyle w:val="Default"/>
        <w:ind w:left="567"/>
        <w:rPr>
          <w:rFonts w:ascii="Albertus MT" w:hAnsi="Albertus MT"/>
          <w:sz w:val="22"/>
          <w:szCs w:val="22"/>
        </w:rPr>
      </w:pPr>
      <w:r w:rsidRPr="00593375">
        <w:rPr>
          <w:rFonts w:ascii="Albertus MT" w:hAnsi="Albertus MT"/>
          <w:b/>
          <w:sz w:val="22"/>
          <w:szCs w:val="22"/>
        </w:rPr>
        <w:t>Where an investor wishes to decline all soundings, it should be the investor’s responsibility to ensure that the communication to the sell-side regarding its refusal with respect to all soundings is clear, explicit and in writing</w:t>
      </w:r>
    </w:p>
    <w:p w:rsidR="00FB5499" w:rsidRPr="00593375" w:rsidRDefault="00FB5499" w:rsidP="00593375">
      <w:pPr>
        <w:pStyle w:val="Default"/>
        <w:rPr>
          <w:rFonts w:ascii="Albertus MT" w:hAnsi="Albertus MT"/>
          <w:sz w:val="22"/>
          <w:szCs w:val="22"/>
        </w:rPr>
      </w:pPr>
    </w:p>
    <w:p w:rsidR="00FB5499" w:rsidRPr="00593375" w:rsidRDefault="00FB5499" w:rsidP="00593375">
      <w:pPr>
        <w:pStyle w:val="Default"/>
        <w:ind w:left="567" w:hanging="567"/>
        <w:rPr>
          <w:rFonts w:ascii="Albertus MT" w:hAnsi="Albertus MT"/>
          <w:sz w:val="22"/>
          <w:szCs w:val="22"/>
        </w:rPr>
      </w:pPr>
      <w:r w:rsidRPr="00593375">
        <w:rPr>
          <w:rFonts w:ascii="Albertus MT" w:hAnsi="Albertus MT"/>
          <w:sz w:val="22"/>
          <w:szCs w:val="22"/>
        </w:rPr>
        <w:t xml:space="preserve">Q34: </w:t>
      </w:r>
      <w:r w:rsidR="003D3444" w:rsidRPr="00593375">
        <w:rPr>
          <w:rFonts w:ascii="Albertus MT" w:hAnsi="Albertus MT"/>
          <w:sz w:val="22"/>
          <w:szCs w:val="22"/>
        </w:rPr>
        <w:tab/>
      </w:r>
      <w:r w:rsidRPr="00593375">
        <w:rPr>
          <w:rFonts w:ascii="Albertus MT" w:hAnsi="Albertus MT"/>
          <w:sz w:val="22"/>
          <w:szCs w:val="22"/>
        </w:rPr>
        <w:t xml:space="preserve">Do you agree with this proposal regarding discrepancies of opinion? </w:t>
      </w:r>
    </w:p>
    <w:p w:rsidR="00F9044E" w:rsidRPr="00593375" w:rsidRDefault="00F9044E" w:rsidP="00593375">
      <w:pPr>
        <w:pStyle w:val="Default"/>
        <w:ind w:left="567" w:hanging="567"/>
        <w:rPr>
          <w:rFonts w:ascii="Albertus MT" w:hAnsi="Albertus MT"/>
          <w:sz w:val="22"/>
          <w:szCs w:val="22"/>
        </w:rPr>
      </w:pPr>
    </w:p>
    <w:p w:rsidR="0078189F" w:rsidRPr="00593375" w:rsidRDefault="0078189F" w:rsidP="00593375">
      <w:pPr>
        <w:pStyle w:val="Default"/>
        <w:ind w:left="567" w:hanging="567"/>
        <w:rPr>
          <w:rFonts w:ascii="Albertus MT" w:hAnsi="Albertus MT"/>
          <w:b/>
          <w:sz w:val="22"/>
          <w:szCs w:val="22"/>
        </w:rPr>
      </w:pPr>
      <w:r w:rsidRPr="00593375">
        <w:rPr>
          <w:rFonts w:ascii="Albertus MT" w:hAnsi="Albertus MT"/>
          <w:sz w:val="22"/>
          <w:szCs w:val="22"/>
        </w:rPr>
        <w:t xml:space="preserve">       </w:t>
      </w:r>
      <w:r w:rsidR="00F9044E" w:rsidRPr="00593375">
        <w:rPr>
          <w:rFonts w:ascii="Albertus MT" w:hAnsi="Albertus MT"/>
          <w:sz w:val="22"/>
          <w:szCs w:val="22"/>
        </w:rPr>
        <w:tab/>
      </w:r>
      <w:r w:rsidRPr="00593375">
        <w:rPr>
          <w:rFonts w:ascii="Albertus MT" w:hAnsi="Albertus MT"/>
          <w:b/>
          <w:sz w:val="22"/>
          <w:szCs w:val="22"/>
        </w:rPr>
        <w:t>We do not agree that an investor will</w:t>
      </w:r>
      <w:r w:rsidR="00E0737F" w:rsidRPr="00593375">
        <w:rPr>
          <w:rFonts w:ascii="Albertus MT" w:hAnsi="Albertus MT"/>
          <w:b/>
          <w:sz w:val="22"/>
          <w:szCs w:val="22"/>
        </w:rPr>
        <w:t xml:space="preserve"> necessarily</w:t>
      </w:r>
      <w:r w:rsidRPr="00593375">
        <w:rPr>
          <w:rFonts w:ascii="Albertus MT" w:hAnsi="Albertus MT"/>
          <w:b/>
          <w:sz w:val="22"/>
          <w:szCs w:val="22"/>
        </w:rPr>
        <w:t xml:space="preserve"> avoid trading restrictions if it disagrees that information is inside information as characterised by the sounder. Where the sounder does not agree that the information is public after reviewing the documentation/arguments asserted </w:t>
      </w:r>
      <w:r w:rsidR="00E0737F" w:rsidRPr="00593375">
        <w:rPr>
          <w:rFonts w:ascii="Albertus MT" w:hAnsi="Albertus MT"/>
          <w:b/>
          <w:sz w:val="22"/>
          <w:szCs w:val="22"/>
        </w:rPr>
        <w:t>by the investor, the investor may</w:t>
      </w:r>
      <w:r w:rsidRPr="00593375">
        <w:rPr>
          <w:rFonts w:ascii="Albertus MT" w:hAnsi="Albertus MT"/>
          <w:b/>
          <w:sz w:val="22"/>
          <w:szCs w:val="22"/>
        </w:rPr>
        <w:t xml:space="preserve"> still</w:t>
      </w:r>
      <w:r w:rsidR="00E0737F" w:rsidRPr="00593375">
        <w:rPr>
          <w:rFonts w:ascii="Albertus MT" w:hAnsi="Albertus MT"/>
          <w:b/>
          <w:sz w:val="22"/>
          <w:szCs w:val="22"/>
        </w:rPr>
        <w:t xml:space="preserve"> be</w:t>
      </w:r>
      <w:r w:rsidRPr="00593375">
        <w:rPr>
          <w:rFonts w:ascii="Albertus MT" w:hAnsi="Albertus MT"/>
          <w:b/>
          <w:sz w:val="22"/>
          <w:szCs w:val="22"/>
        </w:rPr>
        <w:t xml:space="preserve"> bound by its agreement to keep confidential and not trade on the information provided whether it is inside information or sensitive</w:t>
      </w:r>
      <w:r w:rsidR="00F71019" w:rsidRPr="00593375">
        <w:rPr>
          <w:rFonts w:ascii="Albertus MT" w:hAnsi="Albertus MT"/>
          <w:b/>
          <w:sz w:val="22"/>
          <w:szCs w:val="22"/>
        </w:rPr>
        <w:t xml:space="preserve">, </w:t>
      </w:r>
      <w:r w:rsidRPr="00593375">
        <w:rPr>
          <w:rFonts w:ascii="Albertus MT" w:hAnsi="Albertus MT"/>
          <w:b/>
          <w:sz w:val="22"/>
          <w:szCs w:val="22"/>
        </w:rPr>
        <w:t>confidential information(but not inside information).</w:t>
      </w:r>
      <w:r w:rsidR="00E0737F" w:rsidRPr="00593375">
        <w:rPr>
          <w:rFonts w:ascii="Albertus MT" w:hAnsi="Albertus MT"/>
          <w:b/>
          <w:sz w:val="22"/>
          <w:szCs w:val="22"/>
        </w:rPr>
        <w:t xml:space="preserve"> At issue here is the nature of the undertaking given by the investor in accepting a sounding. If an investor takes the view that specified information is not inside or confidential information, it will have liability if its judgement is determined to be erroneous.</w:t>
      </w:r>
    </w:p>
    <w:p w:rsidR="00FB5499" w:rsidRPr="00593375" w:rsidRDefault="00FB5499" w:rsidP="00593375">
      <w:pPr>
        <w:pStyle w:val="Default"/>
        <w:rPr>
          <w:rFonts w:ascii="Albertus MT" w:hAnsi="Albertus MT"/>
          <w:sz w:val="22"/>
          <w:szCs w:val="22"/>
        </w:rPr>
      </w:pPr>
    </w:p>
    <w:p w:rsidR="00FB5499" w:rsidRPr="00593375" w:rsidRDefault="00FB5499" w:rsidP="00593375">
      <w:pPr>
        <w:pStyle w:val="Default"/>
        <w:ind w:left="567" w:hanging="567"/>
        <w:rPr>
          <w:rFonts w:ascii="Albertus MT" w:hAnsi="Albertus MT"/>
          <w:sz w:val="22"/>
          <w:szCs w:val="22"/>
        </w:rPr>
      </w:pPr>
      <w:r w:rsidRPr="00593375">
        <w:rPr>
          <w:rFonts w:ascii="Albertus MT" w:hAnsi="Albertus MT"/>
          <w:sz w:val="22"/>
          <w:szCs w:val="22"/>
        </w:rPr>
        <w:t xml:space="preserve">Q35: </w:t>
      </w:r>
      <w:r w:rsidR="003D3444" w:rsidRPr="00593375">
        <w:rPr>
          <w:rFonts w:ascii="Albertus MT" w:hAnsi="Albertus MT"/>
          <w:sz w:val="22"/>
          <w:szCs w:val="22"/>
        </w:rPr>
        <w:tab/>
      </w:r>
      <w:r w:rsidRPr="00593375">
        <w:rPr>
          <w:rFonts w:ascii="Albertus MT" w:hAnsi="Albertus MT"/>
          <w:sz w:val="22"/>
          <w:szCs w:val="22"/>
        </w:rPr>
        <w:t xml:space="preserve">Do you think that the buy-side should or should not also inform the disclosing market participant when it thinks it has been given inside information by the disclosing market participant but the disclosing market participant has not indicated that it is inside information? </w:t>
      </w:r>
    </w:p>
    <w:p w:rsidR="00E0737F" w:rsidRPr="00593375" w:rsidRDefault="00E0737F" w:rsidP="00593375">
      <w:pPr>
        <w:pStyle w:val="Default"/>
        <w:ind w:left="567" w:hanging="567"/>
        <w:rPr>
          <w:rFonts w:ascii="Albertus MT" w:hAnsi="Albertus MT"/>
          <w:sz w:val="22"/>
          <w:szCs w:val="22"/>
        </w:rPr>
      </w:pPr>
    </w:p>
    <w:p w:rsidR="001D09F5" w:rsidRPr="00FA0466" w:rsidRDefault="00E0737F" w:rsidP="00593375">
      <w:pPr>
        <w:pStyle w:val="Default"/>
        <w:ind w:left="567"/>
        <w:rPr>
          <w:rFonts w:ascii="Albertus MT" w:hAnsi="Albertus MT"/>
          <w:b/>
          <w:sz w:val="22"/>
          <w:szCs w:val="22"/>
        </w:rPr>
      </w:pPr>
      <w:r w:rsidRPr="00593375">
        <w:rPr>
          <w:rFonts w:ascii="Albertus MT" w:hAnsi="Albertus MT"/>
          <w:b/>
          <w:sz w:val="22"/>
          <w:szCs w:val="22"/>
        </w:rPr>
        <w:t>The buy-side should also inform the sounder when it considers that the sell-side has failed to characterise inside information as such before a sounding. Only in this way can the ramifications of any error be contained. In such cases the buy-side should be required to provide its evidence and arguments concerning the matter to the sounder</w:t>
      </w:r>
      <w:r w:rsidR="007B20FD" w:rsidRPr="00593375">
        <w:rPr>
          <w:rFonts w:ascii="Albertus MT" w:hAnsi="Albertus MT"/>
          <w:b/>
          <w:sz w:val="22"/>
          <w:szCs w:val="22"/>
        </w:rPr>
        <w:t xml:space="preserve"> and vice-versa</w:t>
      </w:r>
      <w:r w:rsidR="00F71019" w:rsidRPr="00593375">
        <w:rPr>
          <w:rFonts w:ascii="Albertus MT" w:hAnsi="Albertus MT"/>
          <w:sz w:val="22"/>
          <w:szCs w:val="22"/>
        </w:rPr>
        <w:t>.</w:t>
      </w:r>
      <w:r w:rsidR="002531A8">
        <w:rPr>
          <w:rFonts w:ascii="Albertus MT" w:hAnsi="Albertus MT"/>
          <w:sz w:val="22"/>
          <w:szCs w:val="22"/>
        </w:rPr>
        <w:t xml:space="preserve"> </w:t>
      </w:r>
      <w:r w:rsidR="002531A8" w:rsidRPr="00FA0466">
        <w:rPr>
          <w:rFonts w:ascii="Albertus MT" w:hAnsi="Albertus MT"/>
          <w:b/>
          <w:sz w:val="22"/>
          <w:szCs w:val="22"/>
        </w:rPr>
        <w:t xml:space="preserve">Note that, where the information conveyed by the sell-side does not itself constitute inside information, there has been no failure by the sell-side if the buy-side combines that information with other information in its possession to form inside information (puzzle effect). </w:t>
      </w:r>
    </w:p>
    <w:p w:rsidR="00FB5499" w:rsidRPr="00593375" w:rsidRDefault="00FB5499" w:rsidP="00593375">
      <w:pPr>
        <w:pStyle w:val="Default"/>
        <w:rPr>
          <w:rFonts w:ascii="Albertus MT" w:hAnsi="Albertus MT"/>
          <w:sz w:val="22"/>
          <w:szCs w:val="22"/>
        </w:rPr>
      </w:pPr>
    </w:p>
    <w:p w:rsidR="00FB5499" w:rsidRPr="00593375" w:rsidRDefault="00FB5499" w:rsidP="00593375">
      <w:pPr>
        <w:pStyle w:val="Default"/>
        <w:ind w:left="567" w:hanging="567"/>
        <w:rPr>
          <w:rFonts w:ascii="Albertus MT" w:hAnsi="Albertus MT"/>
          <w:sz w:val="22"/>
          <w:szCs w:val="22"/>
        </w:rPr>
      </w:pPr>
      <w:r w:rsidRPr="00593375">
        <w:rPr>
          <w:rFonts w:ascii="Albertus MT" w:hAnsi="Albertus MT"/>
          <w:sz w:val="22"/>
          <w:szCs w:val="22"/>
        </w:rPr>
        <w:lastRenderedPageBreak/>
        <w:t xml:space="preserve">Q36: </w:t>
      </w:r>
      <w:r w:rsidR="003D3444" w:rsidRPr="00593375">
        <w:rPr>
          <w:rFonts w:ascii="Albertus MT" w:hAnsi="Albertus MT"/>
          <w:sz w:val="22"/>
          <w:szCs w:val="22"/>
        </w:rPr>
        <w:tab/>
      </w:r>
      <w:r w:rsidRPr="00593375">
        <w:rPr>
          <w:rFonts w:ascii="Albertus MT" w:hAnsi="Albertus MT"/>
          <w:sz w:val="22"/>
          <w:szCs w:val="22"/>
        </w:rPr>
        <w:t xml:space="preserve">Do you agree with the proposal for the buy side to report to the competent authorities when they suspect improper disclosure of inside information, particularly to capture situations where such an obligation does not already otherwise arise under the Market Abuse Regulation? </w:t>
      </w:r>
    </w:p>
    <w:p w:rsidR="007B20FD" w:rsidRPr="00593375" w:rsidRDefault="007B20FD" w:rsidP="00593375">
      <w:pPr>
        <w:pStyle w:val="Default"/>
        <w:ind w:left="567" w:hanging="567"/>
        <w:rPr>
          <w:rFonts w:ascii="Albertus MT" w:hAnsi="Albertus MT"/>
          <w:b/>
          <w:sz w:val="22"/>
          <w:szCs w:val="22"/>
        </w:rPr>
      </w:pPr>
    </w:p>
    <w:p w:rsidR="007B20FD" w:rsidRPr="00593375" w:rsidRDefault="00F9044E" w:rsidP="00593375">
      <w:pPr>
        <w:pStyle w:val="Default"/>
        <w:ind w:left="567" w:hanging="567"/>
        <w:rPr>
          <w:rFonts w:ascii="Albertus MT" w:hAnsi="Albertus MT"/>
          <w:b/>
          <w:sz w:val="22"/>
          <w:szCs w:val="22"/>
        </w:rPr>
      </w:pPr>
      <w:r w:rsidRPr="00593375">
        <w:rPr>
          <w:rFonts w:ascii="Albertus MT" w:hAnsi="Albertus MT"/>
          <w:b/>
          <w:sz w:val="22"/>
          <w:szCs w:val="22"/>
        </w:rPr>
        <w:tab/>
      </w:r>
      <w:r w:rsidR="007B20FD" w:rsidRPr="00593375">
        <w:rPr>
          <w:rFonts w:ascii="Albertus MT" w:hAnsi="Albertus MT"/>
          <w:b/>
          <w:sz w:val="22"/>
          <w:szCs w:val="22"/>
        </w:rPr>
        <w:t xml:space="preserve">A report to the competent authorities by the buy-side should only occur after it has informed the sell-side of the discrepancy and attempted to resolve their differing views. If it cannot be agreed that the information in question is not inside information, </w:t>
      </w:r>
      <w:proofErr w:type="gramStart"/>
      <w:r w:rsidR="007B20FD" w:rsidRPr="00593375">
        <w:rPr>
          <w:rFonts w:ascii="Albertus MT" w:hAnsi="Albertus MT"/>
          <w:b/>
          <w:sz w:val="22"/>
          <w:szCs w:val="22"/>
        </w:rPr>
        <w:t>the a</w:t>
      </w:r>
      <w:proofErr w:type="gramEnd"/>
      <w:r w:rsidR="007B20FD" w:rsidRPr="00593375">
        <w:rPr>
          <w:rFonts w:ascii="Albertus MT" w:hAnsi="Albertus MT"/>
          <w:b/>
          <w:sz w:val="22"/>
          <w:szCs w:val="22"/>
        </w:rPr>
        <w:t xml:space="preserve"> report should be made to competent authorities. Any report to the competent authorities should be made contemporaneously to the sounder.</w:t>
      </w:r>
    </w:p>
    <w:p w:rsidR="00FB5499" w:rsidRPr="00593375" w:rsidRDefault="00FB5499" w:rsidP="00593375">
      <w:pPr>
        <w:pStyle w:val="Default"/>
        <w:rPr>
          <w:rFonts w:ascii="Albertus MT" w:hAnsi="Albertus MT"/>
          <w:sz w:val="22"/>
          <w:szCs w:val="22"/>
        </w:rPr>
      </w:pPr>
    </w:p>
    <w:p w:rsidR="00FB5499" w:rsidRPr="00593375" w:rsidRDefault="00FB5499" w:rsidP="00593375">
      <w:pPr>
        <w:pStyle w:val="Default"/>
        <w:ind w:left="567" w:hanging="567"/>
        <w:rPr>
          <w:rFonts w:ascii="Albertus MT" w:hAnsi="Albertus MT"/>
          <w:sz w:val="22"/>
          <w:szCs w:val="22"/>
        </w:rPr>
      </w:pPr>
      <w:r w:rsidRPr="00593375">
        <w:rPr>
          <w:rFonts w:ascii="Albertus MT" w:hAnsi="Albertus MT"/>
          <w:sz w:val="22"/>
          <w:szCs w:val="22"/>
        </w:rPr>
        <w:t xml:space="preserve">Q37: </w:t>
      </w:r>
      <w:r w:rsidR="003D3444" w:rsidRPr="00593375">
        <w:rPr>
          <w:rFonts w:ascii="Albertus MT" w:hAnsi="Albertus MT"/>
          <w:sz w:val="22"/>
          <w:szCs w:val="22"/>
        </w:rPr>
        <w:tab/>
      </w:r>
      <w:r w:rsidRPr="00593375">
        <w:rPr>
          <w:rFonts w:ascii="Albertus MT" w:hAnsi="Albertus MT"/>
          <w:sz w:val="22"/>
          <w:szCs w:val="22"/>
        </w:rPr>
        <w:t xml:space="preserve">Do you have any views on the proposals in paragraphs 113 to 115 above? </w:t>
      </w:r>
    </w:p>
    <w:p w:rsidR="00F9044E" w:rsidRPr="00593375" w:rsidRDefault="0040554B" w:rsidP="00593375">
      <w:pPr>
        <w:pStyle w:val="Default"/>
        <w:ind w:left="567" w:hanging="567"/>
        <w:rPr>
          <w:rFonts w:ascii="Albertus MT" w:hAnsi="Albertus MT"/>
          <w:sz w:val="22"/>
          <w:szCs w:val="22"/>
        </w:rPr>
      </w:pPr>
      <w:r w:rsidRPr="00593375">
        <w:rPr>
          <w:rFonts w:ascii="Albertus MT" w:hAnsi="Albertus MT"/>
          <w:sz w:val="22"/>
          <w:szCs w:val="22"/>
        </w:rPr>
        <w:t xml:space="preserve"> </w:t>
      </w:r>
    </w:p>
    <w:p w:rsidR="001D09F5" w:rsidRPr="00593375" w:rsidRDefault="0040554B" w:rsidP="00593375">
      <w:pPr>
        <w:pStyle w:val="Default"/>
        <w:ind w:left="567"/>
        <w:rPr>
          <w:rFonts w:ascii="Albertus MT" w:hAnsi="Albertus MT"/>
          <w:b/>
          <w:sz w:val="22"/>
          <w:szCs w:val="22"/>
        </w:rPr>
      </w:pPr>
      <w:r w:rsidRPr="00593375">
        <w:rPr>
          <w:rFonts w:ascii="Albertus MT" w:hAnsi="Albertus MT"/>
          <w:b/>
          <w:sz w:val="22"/>
          <w:szCs w:val="22"/>
        </w:rPr>
        <w:t xml:space="preserve">We </w:t>
      </w:r>
      <w:r w:rsidR="00C87BC3" w:rsidRPr="00593375">
        <w:rPr>
          <w:rFonts w:ascii="Albertus MT" w:hAnsi="Albertus MT"/>
          <w:b/>
          <w:sz w:val="22"/>
          <w:szCs w:val="22"/>
        </w:rPr>
        <w:t xml:space="preserve">have no objection to </w:t>
      </w:r>
      <w:proofErr w:type="spellStart"/>
      <w:r w:rsidRPr="00593375">
        <w:rPr>
          <w:rFonts w:ascii="Albertus MT" w:hAnsi="Albertus MT"/>
          <w:b/>
          <w:sz w:val="22"/>
          <w:szCs w:val="22"/>
        </w:rPr>
        <w:t>paras</w:t>
      </w:r>
      <w:proofErr w:type="spellEnd"/>
      <w:r w:rsidRPr="00593375">
        <w:rPr>
          <w:rFonts w:ascii="Albertus MT" w:hAnsi="Albertus MT"/>
          <w:b/>
          <w:sz w:val="22"/>
          <w:szCs w:val="22"/>
        </w:rPr>
        <w:t xml:space="preserve"> 113-115.</w:t>
      </w:r>
    </w:p>
    <w:p w:rsidR="00FB5499" w:rsidRPr="00593375" w:rsidRDefault="00FB5499" w:rsidP="00593375">
      <w:pPr>
        <w:pStyle w:val="Default"/>
        <w:rPr>
          <w:rFonts w:ascii="Albertus MT" w:hAnsi="Albertus MT"/>
          <w:b/>
          <w:sz w:val="22"/>
          <w:szCs w:val="22"/>
        </w:rPr>
      </w:pPr>
    </w:p>
    <w:p w:rsidR="00FB5499" w:rsidRPr="00593375" w:rsidRDefault="00FB5499" w:rsidP="00593375">
      <w:pPr>
        <w:pStyle w:val="Default"/>
        <w:ind w:left="567" w:hanging="567"/>
        <w:rPr>
          <w:rFonts w:ascii="Albertus MT" w:hAnsi="Albertus MT"/>
          <w:sz w:val="22"/>
          <w:szCs w:val="22"/>
        </w:rPr>
      </w:pPr>
      <w:r w:rsidRPr="00593375">
        <w:rPr>
          <w:rFonts w:ascii="Albertus MT" w:hAnsi="Albertus MT"/>
          <w:sz w:val="22"/>
          <w:szCs w:val="22"/>
        </w:rPr>
        <w:t xml:space="preserve">Q38: </w:t>
      </w:r>
      <w:r w:rsidR="003D3444" w:rsidRPr="00593375">
        <w:rPr>
          <w:rFonts w:ascii="Albertus MT" w:hAnsi="Albertus MT"/>
          <w:sz w:val="22"/>
          <w:szCs w:val="22"/>
        </w:rPr>
        <w:tab/>
      </w:r>
      <w:r w:rsidRPr="00593375">
        <w:rPr>
          <w:rFonts w:ascii="Albertus MT" w:hAnsi="Albertus MT"/>
          <w:sz w:val="22"/>
          <w:szCs w:val="22"/>
        </w:rPr>
        <w:t xml:space="preserve">Do you think there are any other issues that should be included in ESMA guidelines for the buy-side? </w:t>
      </w:r>
    </w:p>
    <w:p w:rsidR="001D09F5" w:rsidRPr="00593375" w:rsidRDefault="001D09F5" w:rsidP="00593375">
      <w:pPr>
        <w:pStyle w:val="Default"/>
        <w:ind w:left="567" w:hanging="567"/>
        <w:rPr>
          <w:rFonts w:ascii="Albertus MT" w:hAnsi="Albertus MT"/>
          <w:sz w:val="22"/>
          <w:szCs w:val="22"/>
        </w:rPr>
      </w:pPr>
    </w:p>
    <w:p w:rsidR="001D09F5" w:rsidRPr="00593375" w:rsidRDefault="001D09F5" w:rsidP="00593375">
      <w:pPr>
        <w:pStyle w:val="Default"/>
        <w:ind w:left="567" w:hanging="567"/>
        <w:rPr>
          <w:rFonts w:ascii="Albertus MT" w:hAnsi="Albertus MT"/>
          <w:sz w:val="22"/>
          <w:szCs w:val="22"/>
        </w:rPr>
      </w:pPr>
    </w:p>
    <w:p w:rsidR="001D09F5" w:rsidRPr="00593375" w:rsidRDefault="001D09F5" w:rsidP="00593375">
      <w:pPr>
        <w:pStyle w:val="Default"/>
        <w:ind w:left="567" w:hanging="567"/>
        <w:rPr>
          <w:rFonts w:ascii="Albertus MT" w:hAnsi="Albertus MT"/>
          <w:sz w:val="22"/>
          <w:szCs w:val="22"/>
        </w:rPr>
      </w:pPr>
    </w:p>
    <w:p w:rsidR="001D09F5" w:rsidRPr="00593375" w:rsidRDefault="001D09F5" w:rsidP="00593375">
      <w:pPr>
        <w:pStyle w:val="Default"/>
        <w:ind w:left="567" w:hanging="567"/>
        <w:rPr>
          <w:rFonts w:ascii="Albertus MT" w:hAnsi="Albertus MT"/>
          <w:sz w:val="22"/>
          <w:szCs w:val="22"/>
        </w:rPr>
      </w:pPr>
    </w:p>
    <w:p w:rsidR="00FB5499" w:rsidRPr="00593375" w:rsidRDefault="00FB5499" w:rsidP="00593375">
      <w:pPr>
        <w:pStyle w:val="Default"/>
        <w:rPr>
          <w:rFonts w:ascii="Albertus MT" w:hAnsi="Albertus MT"/>
          <w:sz w:val="22"/>
          <w:szCs w:val="22"/>
        </w:rPr>
      </w:pPr>
    </w:p>
    <w:p w:rsidR="00FB5499" w:rsidRDefault="00FB5499" w:rsidP="00593375">
      <w:pPr>
        <w:spacing w:after="0" w:line="240" w:lineRule="auto"/>
        <w:ind w:left="567" w:hanging="567"/>
        <w:rPr>
          <w:rFonts w:ascii="Albertus MT" w:hAnsi="Albertus MT"/>
          <w:sz w:val="22"/>
          <w:szCs w:val="22"/>
        </w:rPr>
      </w:pPr>
      <w:r w:rsidRPr="00593375">
        <w:rPr>
          <w:rFonts w:ascii="Albertus MT" w:hAnsi="Albertus MT"/>
          <w:sz w:val="22"/>
          <w:szCs w:val="22"/>
        </w:rPr>
        <w:t xml:space="preserve">Q39: </w:t>
      </w:r>
      <w:r w:rsidR="003D3444" w:rsidRPr="00593375">
        <w:rPr>
          <w:rFonts w:ascii="Albertus MT" w:hAnsi="Albertus MT"/>
          <w:sz w:val="22"/>
          <w:szCs w:val="22"/>
        </w:rPr>
        <w:tab/>
      </w:r>
      <w:r w:rsidRPr="00593375">
        <w:rPr>
          <w:rFonts w:ascii="Albertus MT" w:hAnsi="Albertus MT"/>
          <w:sz w:val="22"/>
          <w:szCs w:val="22"/>
        </w:rPr>
        <w:t>What are your views on these options?</w:t>
      </w:r>
    </w:p>
    <w:p w:rsidR="00FA0466" w:rsidRPr="00593375" w:rsidRDefault="00FA0466" w:rsidP="00593375">
      <w:pPr>
        <w:spacing w:after="0" w:line="240" w:lineRule="auto"/>
        <w:ind w:left="567" w:hanging="567"/>
        <w:rPr>
          <w:rFonts w:ascii="Albertus MT" w:hAnsi="Albertus MT"/>
          <w:sz w:val="22"/>
          <w:szCs w:val="22"/>
        </w:rPr>
      </w:pPr>
    </w:p>
    <w:p w:rsidR="00593375" w:rsidRDefault="009C0714" w:rsidP="00593375">
      <w:pPr>
        <w:kinsoku w:val="0"/>
        <w:overflowPunct w:val="0"/>
        <w:spacing w:after="0" w:line="240" w:lineRule="auto"/>
        <w:ind w:left="567" w:right="72"/>
        <w:jc w:val="both"/>
        <w:textAlignment w:val="baseline"/>
        <w:rPr>
          <w:rFonts w:ascii="Albertus MT" w:hAnsi="Albertus MT" w:cs="Georgia"/>
          <w:b/>
          <w:color w:val="000000"/>
          <w:sz w:val="22"/>
          <w:szCs w:val="22"/>
          <w:lang w:val="en-GB"/>
        </w:rPr>
      </w:pPr>
      <w:r w:rsidRPr="00593375">
        <w:rPr>
          <w:rFonts w:ascii="Albertus MT" w:hAnsi="Albertus MT"/>
          <w:b/>
          <w:sz w:val="22"/>
          <w:szCs w:val="22"/>
        </w:rPr>
        <w:t>Although an early discussion around cleansing with buy-side may be helpful, we consider that a requirement for an agreement on this issue is unlikely to be workable in practice.  The ability or desire</w:t>
      </w:r>
      <w:r w:rsidRPr="00593375">
        <w:rPr>
          <w:rFonts w:ascii="Albertus MT" w:hAnsi="Albertus MT" w:cs="Georgia"/>
          <w:b/>
          <w:color w:val="000000"/>
          <w:sz w:val="22"/>
          <w:szCs w:val="22"/>
          <w:lang w:val="en-GB"/>
        </w:rPr>
        <w:t xml:space="preserve"> to agree in advance to a cleansing strategy will need to be assessed on a case-by-case basis given the different facts and circumstances of each deal and it may not always be possible to achieve clarity at the outset.  Any cleansing strategy and timing could be affected by structural changes to the deal following pre-sounding feedback. There is also a risk of “tipping off” as a result of a detailed cleansing strategy. The greater the number of investors who are approached, the greater the risk that different strategies, may be preferred which will also impact on the ability to agree a cleansing strategy.</w:t>
      </w:r>
    </w:p>
    <w:p w:rsidR="00593375" w:rsidRDefault="00593375" w:rsidP="00593375">
      <w:pPr>
        <w:kinsoku w:val="0"/>
        <w:overflowPunct w:val="0"/>
        <w:spacing w:after="0" w:line="240" w:lineRule="auto"/>
        <w:ind w:left="567" w:right="72"/>
        <w:jc w:val="both"/>
        <w:textAlignment w:val="baseline"/>
        <w:rPr>
          <w:rFonts w:ascii="Albertus MT" w:hAnsi="Albertus MT"/>
          <w:b/>
          <w:sz w:val="22"/>
          <w:szCs w:val="22"/>
        </w:rPr>
      </w:pPr>
    </w:p>
    <w:p w:rsidR="009C0714" w:rsidRPr="00593375" w:rsidRDefault="003C1279" w:rsidP="00593375">
      <w:pPr>
        <w:kinsoku w:val="0"/>
        <w:overflowPunct w:val="0"/>
        <w:spacing w:after="0" w:line="240" w:lineRule="auto"/>
        <w:ind w:left="567" w:right="72"/>
        <w:jc w:val="both"/>
        <w:textAlignment w:val="baseline"/>
        <w:rPr>
          <w:rFonts w:ascii="Albertus MT" w:hAnsi="Albertus MT"/>
          <w:b/>
          <w:sz w:val="22"/>
          <w:szCs w:val="22"/>
        </w:rPr>
      </w:pPr>
      <w:r w:rsidRPr="00593375">
        <w:rPr>
          <w:rFonts w:ascii="Albertus MT" w:hAnsi="Albertus MT"/>
          <w:b/>
          <w:sz w:val="22"/>
          <w:szCs w:val="22"/>
        </w:rPr>
        <w:t xml:space="preserve">We support Option 2 over </w:t>
      </w:r>
      <w:proofErr w:type="gramStart"/>
      <w:r w:rsidRPr="00593375">
        <w:rPr>
          <w:rFonts w:ascii="Albertus MT" w:hAnsi="Albertus MT"/>
          <w:b/>
          <w:sz w:val="22"/>
          <w:szCs w:val="22"/>
        </w:rPr>
        <w:t>Option  1</w:t>
      </w:r>
      <w:proofErr w:type="gramEnd"/>
      <w:r w:rsidRPr="00593375">
        <w:rPr>
          <w:rFonts w:ascii="Albertus MT" w:hAnsi="Albertus MT"/>
          <w:b/>
          <w:sz w:val="22"/>
          <w:szCs w:val="22"/>
        </w:rPr>
        <w:t>, provided that it takes the form of a recommendation. This is appropriate because there are situations where the buy-side does not need to nail down a specific cleansing strategy. Where the buy-side has concerns, it should raise them with the sounder who should respond as is possible, given the issuer’s decisions.</w:t>
      </w:r>
      <w:r w:rsidR="009C0714" w:rsidRPr="00593375">
        <w:rPr>
          <w:rFonts w:ascii="Albertus MT" w:hAnsi="Albertus MT"/>
          <w:b/>
          <w:sz w:val="22"/>
          <w:szCs w:val="22"/>
        </w:rPr>
        <w:t xml:space="preserve"> If more than one investor is sounded</w:t>
      </w:r>
      <w:r w:rsidR="00D65930" w:rsidRPr="00593375">
        <w:rPr>
          <w:rFonts w:ascii="Albertus MT" w:hAnsi="Albertus MT"/>
          <w:b/>
          <w:sz w:val="22"/>
          <w:szCs w:val="22"/>
        </w:rPr>
        <w:t xml:space="preserve">, there is a high likelihood that the </w:t>
      </w:r>
      <w:proofErr w:type="spellStart"/>
      <w:r w:rsidR="00D65930" w:rsidRPr="00593375">
        <w:rPr>
          <w:rFonts w:ascii="Albertus MT" w:hAnsi="Albertus MT"/>
          <w:b/>
          <w:sz w:val="22"/>
          <w:szCs w:val="22"/>
        </w:rPr>
        <w:t>soundees</w:t>
      </w:r>
      <w:proofErr w:type="spellEnd"/>
      <w:r w:rsidR="00D65930" w:rsidRPr="00593375">
        <w:rPr>
          <w:rFonts w:ascii="Albertus MT" w:hAnsi="Albertus MT"/>
          <w:b/>
          <w:sz w:val="22"/>
          <w:szCs w:val="22"/>
        </w:rPr>
        <w:t xml:space="preserve"> will have different views on any strategy that will be difficult to combine and implement</w:t>
      </w:r>
      <w:r w:rsidRPr="00593375">
        <w:rPr>
          <w:rFonts w:ascii="Albertus MT" w:hAnsi="Albertus MT"/>
          <w:b/>
          <w:sz w:val="22"/>
          <w:szCs w:val="22"/>
        </w:rPr>
        <w:t xml:space="preserve"> </w:t>
      </w:r>
    </w:p>
    <w:p w:rsidR="009C0714" w:rsidRPr="00593375" w:rsidRDefault="003C1279" w:rsidP="00593375">
      <w:pPr>
        <w:spacing w:after="0" w:line="240" w:lineRule="auto"/>
        <w:ind w:left="567"/>
        <w:rPr>
          <w:rFonts w:ascii="Albertus MT" w:hAnsi="Albertus MT"/>
          <w:b/>
          <w:sz w:val="22"/>
          <w:szCs w:val="22"/>
        </w:rPr>
      </w:pPr>
      <w:r w:rsidRPr="00593375">
        <w:rPr>
          <w:rFonts w:ascii="Albertus MT" w:hAnsi="Albertus MT"/>
          <w:b/>
          <w:sz w:val="22"/>
          <w:szCs w:val="22"/>
        </w:rPr>
        <w:t>Where the</w:t>
      </w:r>
      <w:r w:rsidR="00343768" w:rsidRPr="00593375">
        <w:rPr>
          <w:rFonts w:ascii="Albertus MT" w:hAnsi="Albertus MT"/>
          <w:b/>
          <w:sz w:val="22"/>
          <w:szCs w:val="22"/>
        </w:rPr>
        <w:t xml:space="preserve"> only</w:t>
      </w:r>
      <w:r w:rsidRPr="00593375">
        <w:rPr>
          <w:rFonts w:ascii="Albertus MT" w:hAnsi="Albertus MT"/>
          <w:b/>
          <w:sz w:val="22"/>
          <w:szCs w:val="22"/>
        </w:rPr>
        <w:t xml:space="preserve"> inside </w:t>
      </w:r>
      <w:r w:rsidR="00343768" w:rsidRPr="00593375">
        <w:rPr>
          <w:rFonts w:ascii="Albertus MT" w:hAnsi="Albertus MT"/>
          <w:b/>
          <w:sz w:val="22"/>
          <w:szCs w:val="22"/>
        </w:rPr>
        <w:t>information is the possibility of an</w:t>
      </w:r>
      <w:r w:rsidRPr="00593375">
        <w:rPr>
          <w:rFonts w:ascii="Albertus MT" w:hAnsi="Albertus MT"/>
          <w:b/>
          <w:sz w:val="22"/>
          <w:szCs w:val="22"/>
        </w:rPr>
        <w:t xml:space="preserve"> issuance or takeover</w:t>
      </w:r>
      <w:r w:rsidR="00343768" w:rsidRPr="00593375">
        <w:rPr>
          <w:rFonts w:ascii="Albertus MT" w:hAnsi="Albertus MT"/>
          <w:b/>
          <w:sz w:val="22"/>
          <w:szCs w:val="22"/>
        </w:rPr>
        <w:t xml:space="preserve"> itself, it would be helpful to have guidance that the fact that a transaction has not taken place after soundings may</w:t>
      </w:r>
      <w:r w:rsidRPr="00593375">
        <w:rPr>
          <w:rFonts w:ascii="Albertus MT" w:hAnsi="Albertus MT"/>
          <w:b/>
          <w:sz w:val="22"/>
          <w:szCs w:val="22"/>
        </w:rPr>
        <w:t xml:space="preserve"> not</w:t>
      </w:r>
      <w:r w:rsidR="00343768" w:rsidRPr="00593375">
        <w:rPr>
          <w:rFonts w:ascii="Albertus MT" w:hAnsi="Albertus MT"/>
          <w:b/>
          <w:sz w:val="22"/>
          <w:szCs w:val="22"/>
        </w:rPr>
        <w:t xml:space="preserve"> constitute inside information about the company so much as market intelligence</w:t>
      </w:r>
      <w:r w:rsidR="00E35193" w:rsidRPr="00593375">
        <w:rPr>
          <w:rFonts w:ascii="Albertus MT" w:hAnsi="Albertus MT"/>
          <w:b/>
          <w:sz w:val="22"/>
          <w:szCs w:val="22"/>
        </w:rPr>
        <w:t xml:space="preserve"> about investor appetites gleaned from soundings.</w:t>
      </w:r>
      <w:r w:rsidR="00343768" w:rsidRPr="00593375">
        <w:rPr>
          <w:rFonts w:ascii="Albertus MT" w:hAnsi="Albertus MT"/>
          <w:b/>
          <w:sz w:val="22"/>
          <w:szCs w:val="22"/>
        </w:rPr>
        <w:t xml:space="preserve"> </w:t>
      </w:r>
      <w:r w:rsidR="009C0714" w:rsidRPr="00593375">
        <w:rPr>
          <w:rFonts w:ascii="Albertus MT" w:hAnsi="Albertus MT"/>
          <w:b/>
          <w:sz w:val="22"/>
          <w:szCs w:val="22"/>
        </w:rPr>
        <w:t>In such cases, it is common to rely on the fact that the timing of the transaction is no longer specific enough to constitute inside information.</w:t>
      </w:r>
    </w:p>
    <w:p w:rsidR="003C1279" w:rsidRPr="00593375" w:rsidRDefault="003C1279" w:rsidP="00593375">
      <w:pPr>
        <w:spacing w:after="0" w:line="240" w:lineRule="auto"/>
        <w:ind w:left="567"/>
        <w:rPr>
          <w:rFonts w:ascii="Albertus MT" w:hAnsi="Albertus MT"/>
          <w:b/>
          <w:sz w:val="22"/>
          <w:szCs w:val="22"/>
        </w:rPr>
      </w:pPr>
    </w:p>
    <w:p w:rsidR="00E51B0E" w:rsidRPr="00593375" w:rsidRDefault="00E51B0E" w:rsidP="00593375">
      <w:pPr>
        <w:spacing w:after="0" w:line="240" w:lineRule="auto"/>
        <w:ind w:left="567" w:hanging="567"/>
        <w:rPr>
          <w:rFonts w:ascii="Albertus MT" w:hAnsi="Albertus MT"/>
          <w:sz w:val="22"/>
          <w:szCs w:val="22"/>
        </w:rPr>
      </w:pPr>
    </w:p>
    <w:p w:rsidR="00E51B0E" w:rsidRPr="00593375" w:rsidRDefault="00E51B0E" w:rsidP="00593375">
      <w:pPr>
        <w:pStyle w:val="Default"/>
        <w:rPr>
          <w:rFonts w:ascii="Albertus MT" w:hAnsi="Albertus MT"/>
          <w:b/>
          <w:bCs/>
          <w:sz w:val="28"/>
          <w:szCs w:val="22"/>
        </w:rPr>
      </w:pPr>
      <w:r w:rsidRPr="00593375">
        <w:rPr>
          <w:rFonts w:ascii="Albertus MT" w:hAnsi="Albertus MT"/>
          <w:b/>
          <w:bCs/>
          <w:sz w:val="28"/>
          <w:szCs w:val="22"/>
        </w:rPr>
        <w:lastRenderedPageBreak/>
        <w:t xml:space="preserve">Specification of the indicators of market manipulation laid down in Annex I of MAR (Article 8(5) of MAR) </w:t>
      </w:r>
    </w:p>
    <w:p w:rsidR="00E51B0E" w:rsidRPr="00593375" w:rsidRDefault="00E51B0E" w:rsidP="00593375">
      <w:pPr>
        <w:pStyle w:val="Default"/>
        <w:rPr>
          <w:rFonts w:ascii="Albertus MT" w:hAnsi="Albertus MT"/>
          <w:b/>
          <w:bCs/>
          <w:sz w:val="28"/>
          <w:szCs w:val="22"/>
        </w:rPr>
      </w:pPr>
    </w:p>
    <w:p w:rsidR="0016255D" w:rsidRPr="00593375" w:rsidRDefault="00E51B0E" w:rsidP="00593375">
      <w:pPr>
        <w:pStyle w:val="Default"/>
        <w:ind w:left="567" w:hanging="567"/>
        <w:rPr>
          <w:rFonts w:ascii="Albertus MT" w:hAnsi="Albertus MT"/>
          <w:sz w:val="22"/>
          <w:szCs w:val="22"/>
        </w:rPr>
      </w:pPr>
      <w:r w:rsidRPr="00593375">
        <w:rPr>
          <w:rFonts w:ascii="Albertus MT" w:hAnsi="Albertus MT"/>
          <w:sz w:val="22"/>
          <w:szCs w:val="22"/>
        </w:rPr>
        <w:t>Q40: Which practices do you think are more related to manipulation of benchmarks?</w:t>
      </w:r>
    </w:p>
    <w:p w:rsidR="0016255D" w:rsidRPr="00593375" w:rsidRDefault="0016255D" w:rsidP="00593375">
      <w:pPr>
        <w:pStyle w:val="Default"/>
        <w:ind w:left="567" w:hanging="567"/>
        <w:rPr>
          <w:rFonts w:ascii="Albertus MT" w:hAnsi="Albertus MT"/>
          <w:sz w:val="22"/>
          <w:szCs w:val="22"/>
        </w:rPr>
      </w:pPr>
    </w:p>
    <w:p w:rsidR="0016255D" w:rsidRPr="00593375" w:rsidRDefault="0016255D" w:rsidP="00593375">
      <w:pPr>
        <w:pStyle w:val="Default"/>
        <w:ind w:left="567" w:hanging="567"/>
        <w:rPr>
          <w:rFonts w:ascii="Albertus MT" w:hAnsi="Albertus MT"/>
          <w:b/>
          <w:sz w:val="22"/>
          <w:szCs w:val="22"/>
        </w:rPr>
      </w:pPr>
      <w:r w:rsidRPr="00593375">
        <w:rPr>
          <w:rFonts w:ascii="Albertus MT" w:hAnsi="Albertus MT"/>
          <w:sz w:val="22"/>
          <w:szCs w:val="22"/>
        </w:rPr>
        <w:t xml:space="preserve">       </w:t>
      </w:r>
      <w:r w:rsidR="00F71019" w:rsidRPr="00593375">
        <w:rPr>
          <w:rFonts w:ascii="Albertus MT" w:hAnsi="Albertus MT"/>
          <w:sz w:val="22"/>
          <w:szCs w:val="22"/>
        </w:rPr>
        <w:tab/>
      </w:r>
      <w:r w:rsidRPr="00593375">
        <w:rPr>
          <w:rFonts w:ascii="Albertus MT" w:hAnsi="Albertus MT"/>
          <w:sz w:val="22"/>
          <w:szCs w:val="22"/>
        </w:rPr>
        <w:t>Using the numbering in Annex III</w:t>
      </w:r>
      <w:proofErr w:type="gramStart"/>
      <w:r w:rsidRPr="00593375">
        <w:rPr>
          <w:rFonts w:ascii="Albertus MT" w:hAnsi="Albertus MT"/>
          <w:sz w:val="22"/>
          <w:szCs w:val="22"/>
        </w:rPr>
        <w:t>,  it</w:t>
      </w:r>
      <w:proofErr w:type="gramEnd"/>
      <w:r w:rsidRPr="00593375">
        <w:rPr>
          <w:rFonts w:ascii="Albertus MT" w:hAnsi="Albertus MT"/>
          <w:sz w:val="22"/>
          <w:szCs w:val="22"/>
        </w:rPr>
        <w:t xml:space="preserve"> appears that </w:t>
      </w:r>
      <w:proofErr w:type="spellStart"/>
      <w:r w:rsidRPr="00593375">
        <w:rPr>
          <w:rFonts w:ascii="Albertus MT" w:hAnsi="Albertus MT"/>
          <w:sz w:val="22"/>
          <w:szCs w:val="22"/>
        </w:rPr>
        <w:t>I.a</w:t>
      </w:r>
      <w:proofErr w:type="spellEnd"/>
      <w:r w:rsidRPr="00593375">
        <w:rPr>
          <w:rFonts w:ascii="Albertus MT" w:hAnsi="Albertus MT"/>
          <w:sz w:val="22"/>
          <w:szCs w:val="22"/>
        </w:rPr>
        <w:t xml:space="preserve">., </w:t>
      </w:r>
      <w:proofErr w:type="spellStart"/>
      <w:r w:rsidRPr="00593375">
        <w:rPr>
          <w:rFonts w:ascii="Albertus MT" w:hAnsi="Albertus MT"/>
          <w:sz w:val="22"/>
          <w:szCs w:val="22"/>
        </w:rPr>
        <w:t>II.e</w:t>
      </w:r>
      <w:proofErr w:type="spellEnd"/>
      <w:r w:rsidRPr="00593375">
        <w:rPr>
          <w:rFonts w:ascii="Albertus MT" w:hAnsi="Albertus MT"/>
          <w:sz w:val="22"/>
          <w:szCs w:val="22"/>
        </w:rPr>
        <w:t xml:space="preserve">., </w:t>
      </w:r>
      <w:proofErr w:type="spellStart"/>
      <w:r w:rsidRPr="00593375">
        <w:rPr>
          <w:rFonts w:ascii="Albertus MT" w:hAnsi="Albertus MT"/>
          <w:sz w:val="22"/>
          <w:szCs w:val="22"/>
        </w:rPr>
        <w:t>II.i</w:t>
      </w:r>
      <w:proofErr w:type="spellEnd"/>
      <w:r w:rsidRPr="00593375">
        <w:rPr>
          <w:rFonts w:ascii="Albertus MT" w:hAnsi="Albertus MT"/>
          <w:sz w:val="22"/>
          <w:szCs w:val="22"/>
        </w:rPr>
        <w:t xml:space="preserve">.; </w:t>
      </w:r>
      <w:proofErr w:type="spellStart"/>
      <w:r w:rsidRPr="00593375">
        <w:rPr>
          <w:rFonts w:ascii="Albertus MT" w:hAnsi="Albertus MT"/>
          <w:sz w:val="22"/>
          <w:szCs w:val="22"/>
        </w:rPr>
        <w:t>III.n</w:t>
      </w:r>
      <w:proofErr w:type="spellEnd"/>
      <w:r w:rsidRPr="00593375">
        <w:rPr>
          <w:rFonts w:ascii="Albertus MT" w:hAnsi="Albertus MT"/>
          <w:sz w:val="22"/>
          <w:szCs w:val="22"/>
        </w:rPr>
        <w:t xml:space="preserve">.;, and </w:t>
      </w:r>
      <w:proofErr w:type="spellStart"/>
      <w:r w:rsidRPr="00593375">
        <w:rPr>
          <w:rFonts w:ascii="Albertus MT" w:hAnsi="Albertus MT"/>
          <w:sz w:val="22"/>
          <w:szCs w:val="22"/>
        </w:rPr>
        <w:t>III.q</w:t>
      </w:r>
      <w:proofErr w:type="spellEnd"/>
      <w:r w:rsidRPr="00593375">
        <w:rPr>
          <w:rFonts w:ascii="Albertus MT" w:hAnsi="Albertus MT"/>
          <w:sz w:val="22"/>
          <w:szCs w:val="22"/>
        </w:rPr>
        <w:t xml:space="preserve">. </w:t>
      </w:r>
      <w:proofErr w:type="gramStart"/>
      <w:r w:rsidRPr="00593375">
        <w:rPr>
          <w:rFonts w:ascii="Albertus MT" w:hAnsi="Albertus MT"/>
          <w:sz w:val="22"/>
          <w:szCs w:val="22"/>
        </w:rPr>
        <w:t>would</w:t>
      </w:r>
      <w:proofErr w:type="gramEnd"/>
      <w:r w:rsidRPr="00593375">
        <w:rPr>
          <w:rFonts w:ascii="Albertus MT" w:hAnsi="Albertus MT"/>
          <w:sz w:val="22"/>
          <w:szCs w:val="22"/>
        </w:rPr>
        <w:t xml:space="preserve"> apply</w:t>
      </w:r>
      <w:r w:rsidR="00D65930" w:rsidRPr="00593375">
        <w:rPr>
          <w:rFonts w:ascii="Albertus MT" w:hAnsi="Albertus MT"/>
          <w:sz w:val="22"/>
          <w:szCs w:val="22"/>
        </w:rPr>
        <w:t>. We suggest that the guidance include a discussion of factors which tend to establish manipulation and factors which tend to establish no manipulation in each category.</w:t>
      </w:r>
    </w:p>
    <w:p w:rsidR="0016255D" w:rsidRPr="00593375" w:rsidRDefault="0016255D" w:rsidP="00593375">
      <w:pPr>
        <w:pStyle w:val="Default"/>
        <w:ind w:left="567"/>
        <w:rPr>
          <w:rFonts w:ascii="Albertus MT" w:hAnsi="Albertus MT"/>
          <w:b/>
          <w:sz w:val="22"/>
          <w:szCs w:val="22"/>
        </w:rPr>
      </w:pPr>
    </w:p>
    <w:p w:rsidR="0068402C" w:rsidRPr="00593375" w:rsidRDefault="00FA328B" w:rsidP="00593375">
      <w:pPr>
        <w:pStyle w:val="Default"/>
        <w:ind w:left="567"/>
        <w:rPr>
          <w:rFonts w:ascii="Albertus MT" w:hAnsi="Albertus MT"/>
          <w:b/>
          <w:sz w:val="22"/>
          <w:szCs w:val="22"/>
        </w:rPr>
      </w:pPr>
      <w:r w:rsidRPr="00593375">
        <w:rPr>
          <w:rFonts w:ascii="Albertus MT" w:hAnsi="Albertus MT"/>
          <w:b/>
          <w:sz w:val="22"/>
          <w:szCs w:val="22"/>
        </w:rPr>
        <w:t>We are concerned that there seems to be</w:t>
      </w:r>
      <w:r w:rsidR="004A2228" w:rsidRPr="00593375">
        <w:rPr>
          <w:rFonts w:ascii="Albertus MT" w:hAnsi="Albertus MT"/>
          <w:b/>
          <w:sz w:val="22"/>
          <w:szCs w:val="22"/>
        </w:rPr>
        <w:t xml:space="preserve"> too</w:t>
      </w:r>
      <w:r w:rsidRPr="00593375">
        <w:rPr>
          <w:rFonts w:ascii="Albertus MT" w:hAnsi="Albertus MT"/>
          <w:b/>
          <w:sz w:val="22"/>
          <w:szCs w:val="22"/>
        </w:rPr>
        <w:t xml:space="preserve"> little emphasis on intent in the summary discussion. </w:t>
      </w:r>
      <w:r w:rsidR="004A2228" w:rsidRPr="00593375">
        <w:rPr>
          <w:rFonts w:ascii="Albertus MT" w:hAnsi="Albertus MT"/>
          <w:b/>
          <w:sz w:val="22"/>
          <w:szCs w:val="22"/>
        </w:rPr>
        <w:t xml:space="preserve">To manipulate is to “control or influence a </w:t>
      </w:r>
      <w:proofErr w:type="gramStart"/>
      <w:r w:rsidR="004A2228" w:rsidRPr="00593375">
        <w:rPr>
          <w:rFonts w:ascii="Albertus MT" w:hAnsi="Albertus MT"/>
          <w:b/>
          <w:sz w:val="22"/>
          <w:szCs w:val="22"/>
        </w:rPr>
        <w:t>person  or</w:t>
      </w:r>
      <w:proofErr w:type="gramEnd"/>
      <w:r w:rsidR="004A2228" w:rsidRPr="00593375">
        <w:rPr>
          <w:rFonts w:ascii="Albertus MT" w:hAnsi="Albertus MT"/>
          <w:b/>
          <w:sz w:val="22"/>
          <w:szCs w:val="22"/>
        </w:rPr>
        <w:t xml:space="preserve"> situation cleverly or unscrupulously”.  </w:t>
      </w:r>
      <w:r w:rsidRPr="00593375">
        <w:rPr>
          <w:rFonts w:ascii="Albertus MT" w:hAnsi="Albertus MT"/>
          <w:b/>
          <w:sz w:val="22"/>
          <w:szCs w:val="22"/>
        </w:rPr>
        <w:t>Manipulation</w:t>
      </w:r>
      <w:r w:rsidR="004A2228" w:rsidRPr="00593375">
        <w:rPr>
          <w:rFonts w:ascii="Albertus MT" w:hAnsi="Albertus MT"/>
          <w:b/>
          <w:sz w:val="22"/>
          <w:szCs w:val="22"/>
        </w:rPr>
        <w:t xml:space="preserve"> </w:t>
      </w:r>
      <w:proofErr w:type="gramStart"/>
      <w:r w:rsidR="004A2228" w:rsidRPr="00593375">
        <w:rPr>
          <w:rFonts w:ascii="Albertus MT" w:hAnsi="Albertus MT"/>
          <w:b/>
          <w:sz w:val="22"/>
          <w:szCs w:val="22"/>
        </w:rPr>
        <w:t>thus</w:t>
      </w:r>
      <w:r w:rsidRPr="00593375">
        <w:rPr>
          <w:rFonts w:ascii="Albertus MT" w:hAnsi="Albertus MT"/>
          <w:b/>
          <w:sz w:val="22"/>
          <w:szCs w:val="22"/>
        </w:rPr>
        <w:t xml:space="preserve">  requires</w:t>
      </w:r>
      <w:proofErr w:type="gramEnd"/>
      <w:r w:rsidRPr="00593375">
        <w:rPr>
          <w:rFonts w:ascii="Albertus MT" w:hAnsi="Albertus MT"/>
          <w:b/>
          <w:sz w:val="22"/>
          <w:szCs w:val="22"/>
        </w:rPr>
        <w:t xml:space="preserve"> purpose or intent</w:t>
      </w:r>
      <w:r w:rsidR="003515B5" w:rsidRPr="00593375">
        <w:rPr>
          <w:rFonts w:ascii="Albertus MT" w:hAnsi="Albertus MT"/>
          <w:b/>
          <w:sz w:val="22"/>
          <w:szCs w:val="22"/>
        </w:rPr>
        <w:t xml:space="preserve"> beyond the transaction itself and the transaction’s profit or loss</w:t>
      </w:r>
      <w:r w:rsidR="004A2228" w:rsidRPr="00593375">
        <w:rPr>
          <w:rFonts w:ascii="Albertus MT" w:hAnsi="Albertus MT"/>
          <w:b/>
          <w:sz w:val="22"/>
          <w:szCs w:val="22"/>
        </w:rPr>
        <w:t xml:space="preserve"> i.e. an extended intent or purpose</w:t>
      </w:r>
      <w:r w:rsidRPr="00593375">
        <w:rPr>
          <w:rFonts w:ascii="Albertus MT" w:hAnsi="Albertus MT"/>
          <w:b/>
          <w:sz w:val="22"/>
          <w:szCs w:val="22"/>
        </w:rPr>
        <w:t xml:space="preserve">. </w:t>
      </w:r>
      <w:r w:rsidR="004A2228" w:rsidRPr="00593375">
        <w:rPr>
          <w:rFonts w:ascii="Albertus MT" w:hAnsi="Albertus MT"/>
          <w:b/>
          <w:sz w:val="22"/>
          <w:szCs w:val="22"/>
        </w:rPr>
        <w:t xml:space="preserve">One cannot manipulate a person or situation inadvertently. </w:t>
      </w:r>
      <w:r w:rsidRPr="00593375">
        <w:rPr>
          <w:rFonts w:ascii="Albertus MT" w:hAnsi="Albertus MT"/>
          <w:b/>
          <w:sz w:val="22"/>
          <w:szCs w:val="22"/>
        </w:rPr>
        <w:t xml:space="preserve">The element of </w:t>
      </w:r>
      <w:r w:rsidR="004A2228" w:rsidRPr="00593375">
        <w:rPr>
          <w:rFonts w:ascii="Albertus MT" w:hAnsi="Albertus MT"/>
          <w:b/>
          <w:sz w:val="22"/>
          <w:szCs w:val="22"/>
        </w:rPr>
        <w:t xml:space="preserve">an extended </w:t>
      </w:r>
      <w:r w:rsidRPr="00593375">
        <w:rPr>
          <w:rFonts w:ascii="Albertus MT" w:hAnsi="Albertus MT"/>
          <w:b/>
          <w:sz w:val="22"/>
          <w:szCs w:val="22"/>
        </w:rPr>
        <w:t>intent</w:t>
      </w:r>
      <w:r w:rsidR="003515B5" w:rsidRPr="00593375">
        <w:rPr>
          <w:rFonts w:ascii="Albertus MT" w:hAnsi="Albertus MT"/>
          <w:b/>
          <w:sz w:val="22"/>
          <w:szCs w:val="22"/>
        </w:rPr>
        <w:t xml:space="preserve"> or purpose</w:t>
      </w:r>
      <w:r w:rsidRPr="00593375">
        <w:rPr>
          <w:rFonts w:ascii="Albertus MT" w:hAnsi="Albertus MT"/>
          <w:b/>
          <w:sz w:val="22"/>
          <w:szCs w:val="22"/>
        </w:rPr>
        <w:t xml:space="preserve"> should be articulated clearly in </w:t>
      </w:r>
      <w:proofErr w:type="gramStart"/>
      <w:r w:rsidR="004A2228" w:rsidRPr="00593375">
        <w:rPr>
          <w:rFonts w:ascii="Albertus MT" w:hAnsi="Albertus MT"/>
          <w:b/>
          <w:sz w:val="22"/>
          <w:szCs w:val="22"/>
        </w:rPr>
        <w:t xml:space="preserve">cases </w:t>
      </w:r>
      <w:r w:rsidRPr="00593375">
        <w:rPr>
          <w:rFonts w:ascii="Albertus MT" w:hAnsi="Albertus MT"/>
          <w:b/>
          <w:sz w:val="22"/>
          <w:szCs w:val="22"/>
        </w:rPr>
        <w:t xml:space="preserve"> of</w:t>
      </w:r>
      <w:proofErr w:type="gramEnd"/>
      <w:r w:rsidRPr="00593375">
        <w:rPr>
          <w:rFonts w:ascii="Albertus MT" w:hAnsi="Albertus MT"/>
          <w:b/>
          <w:sz w:val="22"/>
          <w:szCs w:val="22"/>
        </w:rPr>
        <w:t xml:space="preserve"> manipulation. The inference of</w:t>
      </w:r>
      <w:r w:rsidR="003515B5" w:rsidRPr="00593375">
        <w:rPr>
          <w:rFonts w:ascii="Albertus MT" w:hAnsi="Albertus MT"/>
          <w:b/>
          <w:sz w:val="22"/>
          <w:szCs w:val="22"/>
        </w:rPr>
        <w:t xml:space="preserve"> an extended</w:t>
      </w:r>
      <w:r w:rsidRPr="00593375">
        <w:rPr>
          <w:rFonts w:ascii="Albertus MT" w:hAnsi="Albertus MT"/>
          <w:b/>
          <w:sz w:val="22"/>
          <w:szCs w:val="22"/>
        </w:rPr>
        <w:t xml:space="preserve"> intent should also be discussed.</w:t>
      </w:r>
      <w:r w:rsidR="00D8764F" w:rsidRPr="00593375">
        <w:rPr>
          <w:rFonts w:ascii="Albertus MT" w:hAnsi="Albertus MT"/>
          <w:b/>
          <w:sz w:val="22"/>
          <w:szCs w:val="22"/>
        </w:rPr>
        <w:t xml:space="preserve"> </w:t>
      </w:r>
    </w:p>
    <w:p w:rsidR="004A2228" w:rsidRPr="00593375" w:rsidRDefault="004A2228" w:rsidP="00593375">
      <w:pPr>
        <w:pStyle w:val="Default"/>
        <w:ind w:left="567"/>
        <w:rPr>
          <w:rFonts w:ascii="Albertus MT" w:hAnsi="Albertus MT"/>
          <w:b/>
          <w:sz w:val="22"/>
          <w:szCs w:val="22"/>
        </w:rPr>
      </w:pPr>
    </w:p>
    <w:p w:rsidR="004A2228" w:rsidRPr="00593375" w:rsidRDefault="000B35A5" w:rsidP="00593375">
      <w:pPr>
        <w:pStyle w:val="Default"/>
        <w:ind w:left="567"/>
        <w:rPr>
          <w:rFonts w:ascii="Albertus MT" w:hAnsi="Albertus MT"/>
          <w:b/>
          <w:sz w:val="22"/>
          <w:szCs w:val="22"/>
        </w:rPr>
      </w:pPr>
      <w:r w:rsidRPr="00593375">
        <w:rPr>
          <w:rFonts w:ascii="Albertus MT" w:hAnsi="Albertus MT"/>
          <w:b/>
          <w:sz w:val="22"/>
          <w:szCs w:val="22"/>
        </w:rPr>
        <w:t>For these</w:t>
      </w:r>
      <w:r w:rsidR="004A2228" w:rsidRPr="00593375">
        <w:rPr>
          <w:rFonts w:ascii="Albertus MT" w:hAnsi="Albertus MT"/>
          <w:b/>
          <w:sz w:val="22"/>
          <w:szCs w:val="22"/>
        </w:rPr>
        <w:t xml:space="preserve"> reason</w:t>
      </w:r>
      <w:r w:rsidRPr="00593375">
        <w:rPr>
          <w:rFonts w:ascii="Albertus MT" w:hAnsi="Albertus MT"/>
          <w:b/>
          <w:sz w:val="22"/>
          <w:szCs w:val="22"/>
        </w:rPr>
        <w:t>s</w:t>
      </w:r>
      <w:r w:rsidR="004A2228" w:rsidRPr="00593375">
        <w:rPr>
          <w:rFonts w:ascii="Albertus MT" w:hAnsi="Albertus MT"/>
          <w:b/>
          <w:sz w:val="22"/>
          <w:szCs w:val="22"/>
        </w:rPr>
        <w:t xml:space="preserve"> we are concerned that Annex III </w:t>
      </w:r>
      <w:r w:rsidR="00D8764F" w:rsidRPr="00593375">
        <w:rPr>
          <w:rFonts w:ascii="Albertus MT" w:hAnsi="Albertus MT"/>
          <w:b/>
          <w:sz w:val="22"/>
          <w:szCs w:val="22"/>
        </w:rPr>
        <w:t xml:space="preserve">now </w:t>
      </w:r>
      <w:r w:rsidR="004A2228" w:rsidRPr="00593375">
        <w:rPr>
          <w:rFonts w:ascii="Albertus MT" w:hAnsi="Albertus MT"/>
          <w:b/>
          <w:sz w:val="22"/>
          <w:szCs w:val="22"/>
        </w:rPr>
        <w:t>includes language that the definition of manipulative conduct might not exclude</w:t>
      </w:r>
      <w:r w:rsidR="0068402C" w:rsidRPr="00593375">
        <w:rPr>
          <w:rFonts w:ascii="Albertus MT" w:hAnsi="Albertus MT"/>
          <w:b/>
          <w:sz w:val="22"/>
          <w:szCs w:val="22"/>
        </w:rPr>
        <w:t xml:space="preserve"> non-intentional conduct. </w:t>
      </w:r>
      <w:r w:rsidR="00D8764F" w:rsidRPr="00593375">
        <w:rPr>
          <w:rFonts w:ascii="Albertus MT" w:hAnsi="Albertus MT"/>
          <w:b/>
          <w:sz w:val="22"/>
          <w:szCs w:val="22"/>
        </w:rPr>
        <w:t>This language should be removed</w:t>
      </w:r>
      <w:r w:rsidR="00D65930" w:rsidRPr="00593375">
        <w:rPr>
          <w:rFonts w:ascii="Albertus MT" w:hAnsi="Albertus MT"/>
          <w:b/>
          <w:sz w:val="22"/>
          <w:szCs w:val="22"/>
        </w:rPr>
        <w:t xml:space="preserve"> or qualified with examples of unintentional market manipulation</w:t>
      </w:r>
      <w:r w:rsidR="00D8764F" w:rsidRPr="00593375">
        <w:rPr>
          <w:rFonts w:ascii="Albertus MT" w:hAnsi="Albertus MT"/>
          <w:b/>
          <w:sz w:val="22"/>
          <w:szCs w:val="22"/>
        </w:rPr>
        <w:t>. Further, we propose that it be made clear</w:t>
      </w:r>
      <w:r w:rsidR="00682237" w:rsidRPr="00593375">
        <w:rPr>
          <w:rFonts w:ascii="Albertus MT" w:hAnsi="Albertus MT"/>
          <w:b/>
          <w:sz w:val="22"/>
          <w:szCs w:val="22"/>
        </w:rPr>
        <w:t xml:space="preserve"> in Annex III</w:t>
      </w:r>
      <w:r w:rsidR="00D8764F" w:rsidRPr="00593375">
        <w:rPr>
          <w:rFonts w:ascii="Albertus MT" w:hAnsi="Albertus MT"/>
          <w:b/>
          <w:sz w:val="22"/>
          <w:szCs w:val="22"/>
        </w:rPr>
        <w:t xml:space="preserve"> that the statutory element under which each example is given be stipulated as an element of the manipulation described. Thus, all examples in “I. False or misleading signals” would include language to the effect of “with the intent or purpose of creating false or misleading signals”. </w:t>
      </w:r>
    </w:p>
    <w:p w:rsidR="00E51B0E" w:rsidRPr="00593375" w:rsidRDefault="00E51B0E" w:rsidP="00593375">
      <w:pPr>
        <w:pStyle w:val="Default"/>
        <w:rPr>
          <w:rFonts w:ascii="Albertus MT" w:hAnsi="Albertus MT"/>
          <w:sz w:val="22"/>
          <w:szCs w:val="22"/>
        </w:rPr>
      </w:pPr>
    </w:p>
    <w:p w:rsidR="00E51B0E" w:rsidRDefault="00E51B0E" w:rsidP="00593375">
      <w:pPr>
        <w:spacing w:after="0" w:line="240" w:lineRule="auto"/>
        <w:ind w:left="567" w:hanging="567"/>
        <w:rPr>
          <w:rFonts w:ascii="Albertus MT" w:hAnsi="Albertus MT"/>
          <w:sz w:val="22"/>
          <w:szCs w:val="22"/>
        </w:rPr>
      </w:pPr>
      <w:r w:rsidRPr="00593375">
        <w:rPr>
          <w:rFonts w:ascii="Albertus MT" w:hAnsi="Albertus MT"/>
          <w:sz w:val="22"/>
          <w:szCs w:val="22"/>
        </w:rPr>
        <w:t xml:space="preserve">Q41: </w:t>
      </w:r>
      <w:r w:rsidRPr="00593375">
        <w:rPr>
          <w:rFonts w:ascii="Albertus MT" w:hAnsi="Albertus MT"/>
          <w:sz w:val="22"/>
          <w:szCs w:val="22"/>
        </w:rPr>
        <w:tab/>
        <w:t>Are there other examples of practices of market manipulation that should be added to the list presented in Annex III, that are more focused, for instance, on OTC derivatives, spot commodity contracts or auctioned products based on emission allowances or that are more related with persons who act in collaboration with others to commit market manipulation?</w:t>
      </w:r>
    </w:p>
    <w:p w:rsidR="00593375" w:rsidRPr="00593375" w:rsidRDefault="00593375" w:rsidP="00593375">
      <w:pPr>
        <w:spacing w:after="0" w:line="240" w:lineRule="auto"/>
        <w:ind w:left="567" w:hanging="567"/>
        <w:rPr>
          <w:rFonts w:ascii="Albertus MT" w:hAnsi="Albertus MT"/>
          <w:sz w:val="22"/>
          <w:szCs w:val="22"/>
        </w:rPr>
      </w:pPr>
    </w:p>
    <w:p w:rsidR="00E51B0E" w:rsidRDefault="00FA328B" w:rsidP="00593375">
      <w:pPr>
        <w:spacing w:after="0" w:line="240" w:lineRule="auto"/>
        <w:ind w:left="567"/>
        <w:rPr>
          <w:rFonts w:ascii="Albertus MT" w:hAnsi="Albertus MT"/>
          <w:b/>
          <w:sz w:val="22"/>
          <w:szCs w:val="22"/>
        </w:rPr>
      </w:pPr>
      <w:r w:rsidRPr="00593375">
        <w:rPr>
          <w:rFonts w:ascii="Albertus MT" w:hAnsi="Albertus MT"/>
          <w:b/>
          <w:sz w:val="22"/>
          <w:szCs w:val="22"/>
        </w:rPr>
        <w:t>We believe that the guidance around manipulation should include examples and trade patterns and should include the element of</w:t>
      </w:r>
      <w:r w:rsidR="0068402C" w:rsidRPr="00593375">
        <w:rPr>
          <w:rFonts w:ascii="Albertus MT" w:hAnsi="Albertus MT"/>
          <w:b/>
          <w:sz w:val="22"/>
          <w:szCs w:val="22"/>
        </w:rPr>
        <w:t xml:space="preserve"> </w:t>
      </w:r>
      <w:r w:rsidRPr="00593375">
        <w:rPr>
          <w:rFonts w:ascii="Albertus MT" w:hAnsi="Albertus MT"/>
          <w:b/>
          <w:sz w:val="22"/>
          <w:szCs w:val="22"/>
        </w:rPr>
        <w:t>intent</w:t>
      </w:r>
      <w:r w:rsidR="003515B5" w:rsidRPr="00593375">
        <w:rPr>
          <w:rFonts w:ascii="Albertus MT" w:hAnsi="Albertus MT"/>
          <w:b/>
          <w:sz w:val="22"/>
          <w:szCs w:val="22"/>
        </w:rPr>
        <w:t>/purpose</w:t>
      </w:r>
      <w:r w:rsidRPr="00593375">
        <w:rPr>
          <w:rFonts w:ascii="Albertus MT" w:hAnsi="Albertus MT"/>
          <w:b/>
          <w:sz w:val="22"/>
          <w:szCs w:val="22"/>
        </w:rPr>
        <w:t>. The rationale for the manipulative practices should be discussed.</w:t>
      </w:r>
    </w:p>
    <w:p w:rsidR="00593375" w:rsidRPr="00593375" w:rsidRDefault="00593375" w:rsidP="00593375">
      <w:pPr>
        <w:spacing w:after="0" w:line="240" w:lineRule="auto"/>
        <w:ind w:left="567"/>
        <w:rPr>
          <w:rFonts w:ascii="Albertus MT" w:hAnsi="Albertus MT"/>
          <w:sz w:val="22"/>
          <w:szCs w:val="22"/>
        </w:rPr>
      </w:pPr>
    </w:p>
    <w:p w:rsidR="00E51B0E" w:rsidRPr="00593375" w:rsidRDefault="00E51B0E" w:rsidP="00593375">
      <w:pPr>
        <w:pStyle w:val="Default"/>
        <w:ind w:left="567" w:hanging="567"/>
        <w:rPr>
          <w:rFonts w:ascii="Albertus MT" w:hAnsi="Albertus MT"/>
          <w:sz w:val="22"/>
          <w:szCs w:val="22"/>
        </w:rPr>
      </w:pPr>
      <w:r w:rsidRPr="00593375">
        <w:rPr>
          <w:rFonts w:ascii="Albertus MT" w:hAnsi="Albertus MT"/>
          <w:sz w:val="22"/>
          <w:szCs w:val="22"/>
        </w:rPr>
        <w:t xml:space="preserve">Q42: </w:t>
      </w:r>
      <w:r w:rsidRPr="00593375">
        <w:rPr>
          <w:rFonts w:ascii="Albertus MT" w:hAnsi="Albertus MT"/>
          <w:sz w:val="22"/>
          <w:szCs w:val="22"/>
        </w:rPr>
        <w:tab/>
        <w:t xml:space="preserve">In your view, what other ways exist to measure order cancellations? </w:t>
      </w:r>
    </w:p>
    <w:p w:rsidR="00E51B0E" w:rsidRPr="00593375" w:rsidRDefault="00E51B0E" w:rsidP="00593375">
      <w:pPr>
        <w:pStyle w:val="Default"/>
        <w:ind w:left="567" w:hanging="567"/>
        <w:rPr>
          <w:rFonts w:ascii="Albertus MT" w:hAnsi="Albertus MT"/>
          <w:sz w:val="22"/>
          <w:szCs w:val="22"/>
        </w:rPr>
      </w:pPr>
    </w:p>
    <w:p w:rsidR="00E51B0E" w:rsidRPr="00593375" w:rsidRDefault="00E51B0E" w:rsidP="00593375">
      <w:pPr>
        <w:pStyle w:val="Default"/>
        <w:ind w:left="567" w:hanging="567"/>
        <w:rPr>
          <w:rFonts w:ascii="Albertus MT" w:hAnsi="Albertus MT"/>
          <w:sz w:val="22"/>
          <w:szCs w:val="22"/>
        </w:rPr>
      </w:pPr>
    </w:p>
    <w:p w:rsidR="00E51B0E" w:rsidRPr="00593375" w:rsidRDefault="00E51B0E" w:rsidP="00593375">
      <w:pPr>
        <w:pStyle w:val="Default"/>
        <w:ind w:left="567" w:hanging="567"/>
        <w:rPr>
          <w:rFonts w:ascii="Albertus MT" w:hAnsi="Albertus MT"/>
          <w:sz w:val="22"/>
          <w:szCs w:val="22"/>
        </w:rPr>
      </w:pPr>
    </w:p>
    <w:p w:rsidR="00E51B0E" w:rsidRPr="00593375" w:rsidRDefault="00E51B0E" w:rsidP="00593375">
      <w:pPr>
        <w:pStyle w:val="Default"/>
        <w:ind w:left="567" w:hanging="567"/>
        <w:rPr>
          <w:rFonts w:ascii="Albertus MT" w:hAnsi="Albertus MT"/>
          <w:sz w:val="22"/>
          <w:szCs w:val="22"/>
        </w:rPr>
      </w:pPr>
      <w:r w:rsidRPr="00593375">
        <w:rPr>
          <w:rFonts w:ascii="Albertus MT" w:hAnsi="Albertus MT"/>
          <w:sz w:val="22"/>
          <w:szCs w:val="22"/>
        </w:rPr>
        <w:t xml:space="preserve">Q43: What indicators are the most pertinent to detect cross-venue or cross-product manipulation and which would cover the greatest number of situations? </w:t>
      </w:r>
    </w:p>
    <w:p w:rsidR="00E51B0E" w:rsidRPr="00593375" w:rsidRDefault="00E51B0E" w:rsidP="00593375">
      <w:pPr>
        <w:pStyle w:val="Default"/>
        <w:ind w:left="567" w:hanging="567"/>
        <w:rPr>
          <w:rFonts w:ascii="Albertus MT" w:hAnsi="Albertus MT"/>
          <w:sz w:val="22"/>
          <w:szCs w:val="22"/>
        </w:rPr>
      </w:pPr>
    </w:p>
    <w:p w:rsidR="00E51B0E" w:rsidRPr="00593375" w:rsidRDefault="00E51B0E" w:rsidP="00593375">
      <w:pPr>
        <w:pStyle w:val="Default"/>
        <w:ind w:left="567" w:hanging="567"/>
        <w:rPr>
          <w:rFonts w:ascii="Albertus MT" w:hAnsi="Albertus MT"/>
          <w:sz w:val="22"/>
          <w:szCs w:val="22"/>
        </w:rPr>
      </w:pPr>
    </w:p>
    <w:p w:rsidR="00E51B0E" w:rsidRPr="00593375" w:rsidRDefault="00E51B0E" w:rsidP="00593375">
      <w:pPr>
        <w:pStyle w:val="Default"/>
        <w:ind w:left="567" w:hanging="567"/>
        <w:rPr>
          <w:rFonts w:ascii="Albertus MT" w:hAnsi="Albertus MT"/>
          <w:sz w:val="22"/>
          <w:szCs w:val="22"/>
        </w:rPr>
      </w:pPr>
    </w:p>
    <w:p w:rsidR="00E51B0E" w:rsidRPr="00593375" w:rsidRDefault="00E51B0E" w:rsidP="00593375">
      <w:pPr>
        <w:pStyle w:val="Default"/>
        <w:ind w:left="567" w:hanging="567"/>
        <w:rPr>
          <w:rFonts w:ascii="Albertus MT" w:hAnsi="Albertus MT"/>
          <w:sz w:val="22"/>
          <w:szCs w:val="22"/>
        </w:rPr>
      </w:pPr>
      <w:r w:rsidRPr="00593375">
        <w:rPr>
          <w:rFonts w:ascii="Albertus MT" w:hAnsi="Albertus MT"/>
          <w:sz w:val="22"/>
          <w:szCs w:val="22"/>
        </w:rPr>
        <w:t xml:space="preserve">Q44: Are there other indicators/signals of market manipulation that should usefully be added to this list appearing in Annex IV? </w:t>
      </w:r>
    </w:p>
    <w:p w:rsidR="00E51B0E" w:rsidRPr="00593375" w:rsidRDefault="00E51B0E" w:rsidP="00593375">
      <w:pPr>
        <w:pStyle w:val="Default"/>
        <w:ind w:left="567" w:hanging="567"/>
        <w:rPr>
          <w:rFonts w:ascii="Albertus MT" w:hAnsi="Albertus MT"/>
          <w:sz w:val="22"/>
          <w:szCs w:val="22"/>
        </w:rPr>
      </w:pPr>
    </w:p>
    <w:p w:rsidR="00E51B0E" w:rsidRPr="00593375" w:rsidRDefault="00E51B0E" w:rsidP="00593375">
      <w:pPr>
        <w:pStyle w:val="Default"/>
        <w:ind w:left="567" w:hanging="567"/>
        <w:rPr>
          <w:rFonts w:ascii="Albertus MT" w:hAnsi="Albertus MT"/>
          <w:sz w:val="22"/>
          <w:szCs w:val="22"/>
        </w:rPr>
      </w:pPr>
    </w:p>
    <w:p w:rsidR="00E51B0E" w:rsidRPr="00593375" w:rsidRDefault="00E51B0E" w:rsidP="00593375">
      <w:pPr>
        <w:pStyle w:val="Default"/>
        <w:ind w:left="567" w:hanging="567"/>
        <w:rPr>
          <w:rFonts w:ascii="Albertus MT" w:hAnsi="Albertus MT"/>
          <w:sz w:val="22"/>
          <w:szCs w:val="22"/>
        </w:rPr>
      </w:pPr>
    </w:p>
    <w:p w:rsidR="00E51B0E" w:rsidRPr="00593375" w:rsidRDefault="00E51B0E" w:rsidP="00593375">
      <w:pPr>
        <w:pStyle w:val="Default"/>
        <w:ind w:left="567" w:hanging="567"/>
        <w:rPr>
          <w:rFonts w:ascii="Albertus MT" w:hAnsi="Albertus MT"/>
          <w:sz w:val="22"/>
          <w:szCs w:val="22"/>
        </w:rPr>
      </w:pPr>
      <w:r w:rsidRPr="00593375">
        <w:rPr>
          <w:rFonts w:ascii="Albertus MT" w:hAnsi="Albertus MT"/>
          <w:sz w:val="22"/>
          <w:szCs w:val="22"/>
        </w:rPr>
        <w:t xml:space="preserve">Q45: </w:t>
      </w:r>
      <w:r w:rsidRPr="00593375">
        <w:rPr>
          <w:rFonts w:ascii="Albertus MT" w:hAnsi="Albertus MT"/>
          <w:sz w:val="22"/>
          <w:szCs w:val="22"/>
        </w:rPr>
        <w:tab/>
        <w:t xml:space="preserve">Which of the indicators of manipulative behaviour manipulation in an automated environment listed in Annex IV would you consider to be the most difficult to detect? Are there other indicators/signals of market that should be added to the list? Please explain. </w:t>
      </w:r>
    </w:p>
    <w:p w:rsidR="00E51B0E" w:rsidRPr="00593375" w:rsidRDefault="00E51B0E" w:rsidP="00593375">
      <w:pPr>
        <w:pStyle w:val="Default"/>
        <w:ind w:left="567" w:hanging="567"/>
        <w:rPr>
          <w:rFonts w:ascii="Albertus MT" w:hAnsi="Albertus MT"/>
          <w:sz w:val="22"/>
          <w:szCs w:val="22"/>
        </w:rPr>
      </w:pPr>
    </w:p>
    <w:p w:rsidR="00E51B0E" w:rsidRPr="00593375" w:rsidRDefault="00E51B0E" w:rsidP="00593375">
      <w:pPr>
        <w:pStyle w:val="Default"/>
        <w:ind w:left="567" w:hanging="567"/>
        <w:rPr>
          <w:rFonts w:ascii="Albertus MT" w:hAnsi="Albertus MT"/>
          <w:sz w:val="22"/>
          <w:szCs w:val="22"/>
        </w:rPr>
      </w:pPr>
    </w:p>
    <w:p w:rsidR="00E51B0E" w:rsidRPr="00593375" w:rsidRDefault="00E51B0E" w:rsidP="00593375">
      <w:pPr>
        <w:pStyle w:val="Default"/>
        <w:ind w:left="567" w:hanging="567"/>
        <w:rPr>
          <w:rFonts w:ascii="Albertus MT" w:hAnsi="Albertus MT"/>
          <w:sz w:val="22"/>
          <w:szCs w:val="22"/>
        </w:rPr>
      </w:pPr>
    </w:p>
    <w:p w:rsidR="00E51B0E" w:rsidRPr="00593375" w:rsidRDefault="00E51B0E" w:rsidP="00593375">
      <w:pPr>
        <w:pStyle w:val="Default"/>
        <w:ind w:left="567" w:hanging="567"/>
        <w:rPr>
          <w:rFonts w:ascii="Albertus MT" w:hAnsi="Albertus MT"/>
          <w:sz w:val="22"/>
          <w:szCs w:val="22"/>
        </w:rPr>
      </w:pPr>
    </w:p>
    <w:p w:rsidR="00E51B0E" w:rsidRPr="00593375" w:rsidRDefault="00E51B0E" w:rsidP="00593375">
      <w:pPr>
        <w:pStyle w:val="Default"/>
        <w:ind w:left="567" w:hanging="567"/>
        <w:rPr>
          <w:rFonts w:ascii="Albertus MT" w:hAnsi="Albertus MT"/>
          <w:sz w:val="22"/>
          <w:szCs w:val="22"/>
        </w:rPr>
      </w:pPr>
      <w:r w:rsidRPr="00593375">
        <w:rPr>
          <w:rFonts w:ascii="Albertus MT" w:hAnsi="Albertus MT"/>
          <w:sz w:val="22"/>
          <w:szCs w:val="22"/>
        </w:rPr>
        <w:t xml:space="preserve">Q46: </w:t>
      </w:r>
      <w:r w:rsidRPr="00593375">
        <w:rPr>
          <w:rFonts w:ascii="Albertus MT" w:hAnsi="Albertus MT"/>
          <w:sz w:val="22"/>
          <w:szCs w:val="22"/>
        </w:rPr>
        <w:tab/>
        <w:t xml:space="preserve">From what moment does an inflow of orders become difficult to analyse and thus potentially constitute an indicator of quote stuffing? </w:t>
      </w:r>
    </w:p>
    <w:p w:rsidR="00F71019" w:rsidRPr="00593375" w:rsidRDefault="00F71019" w:rsidP="00593375">
      <w:pPr>
        <w:pStyle w:val="Default"/>
        <w:ind w:left="567" w:hanging="567"/>
        <w:rPr>
          <w:rFonts w:ascii="Albertus MT" w:hAnsi="Albertus MT" w:cs="Times New Roman"/>
          <w:color w:val="365F91" w:themeColor="accent1" w:themeShade="BF"/>
        </w:rPr>
      </w:pPr>
    </w:p>
    <w:p w:rsidR="00E51B0E" w:rsidRPr="00593375" w:rsidRDefault="00F71019" w:rsidP="00593375">
      <w:pPr>
        <w:pStyle w:val="Default"/>
        <w:ind w:left="567" w:hanging="567"/>
        <w:rPr>
          <w:rFonts w:ascii="Albertus MT" w:hAnsi="Albertus MT"/>
          <w:sz w:val="22"/>
          <w:szCs w:val="22"/>
        </w:rPr>
      </w:pPr>
      <w:r w:rsidRPr="00593375">
        <w:rPr>
          <w:rFonts w:ascii="Albertus MT" w:hAnsi="Albertus MT" w:cs="Times New Roman"/>
          <w:color w:val="365F91" w:themeColor="accent1" w:themeShade="BF"/>
        </w:rPr>
        <w:tab/>
      </w:r>
      <w:r w:rsidR="0016255D" w:rsidRPr="00593375">
        <w:rPr>
          <w:rFonts w:ascii="Albertus MT" w:hAnsi="Albertus MT" w:cs="Times New Roman"/>
          <w:b/>
          <w:color w:val="000000" w:themeColor="text1"/>
        </w:rPr>
        <w:t>This is difficult to quantify and will ultimately be driven by a combination of factors including the structure of the platform, the market, the type of market participant and whether the trading is manual or automated.</w:t>
      </w:r>
    </w:p>
    <w:p w:rsidR="00E51B0E" w:rsidRPr="00593375" w:rsidRDefault="00E51B0E" w:rsidP="00593375">
      <w:pPr>
        <w:pStyle w:val="Default"/>
        <w:ind w:left="567" w:hanging="567"/>
        <w:rPr>
          <w:rFonts w:ascii="Albertus MT" w:hAnsi="Albertus MT"/>
          <w:sz w:val="22"/>
          <w:szCs w:val="22"/>
        </w:rPr>
      </w:pPr>
    </w:p>
    <w:p w:rsidR="00E51B0E" w:rsidRDefault="00E51B0E" w:rsidP="00593375">
      <w:pPr>
        <w:spacing w:after="0" w:line="240" w:lineRule="auto"/>
        <w:ind w:left="567" w:hanging="567"/>
        <w:rPr>
          <w:rFonts w:ascii="Albertus MT" w:hAnsi="Albertus MT"/>
          <w:sz w:val="22"/>
          <w:szCs w:val="22"/>
        </w:rPr>
      </w:pPr>
      <w:r w:rsidRPr="00593375">
        <w:rPr>
          <w:rFonts w:ascii="Albertus MT" w:hAnsi="Albertus MT"/>
          <w:sz w:val="22"/>
          <w:szCs w:val="22"/>
        </w:rPr>
        <w:t xml:space="preserve">Q47: </w:t>
      </w:r>
      <w:r w:rsidRPr="00593375">
        <w:rPr>
          <w:rFonts w:ascii="Albertus MT" w:hAnsi="Albertus MT"/>
          <w:sz w:val="22"/>
          <w:szCs w:val="22"/>
        </w:rPr>
        <w:tab/>
        <w:t xml:space="preserve">What tools should be used or developed in order to allow for a better detection of the indicators of manipulative </w:t>
      </w:r>
      <w:proofErr w:type="spellStart"/>
      <w:r w:rsidRPr="00593375">
        <w:rPr>
          <w:rFonts w:ascii="Albertus MT" w:hAnsi="Albertus MT"/>
          <w:sz w:val="22"/>
          <w:szCs w:val="22"/>
        </w:rPr>
        <w:t>behaviour</w:t>
      </w:r>
      <w:proofErr w:type="spellEnd"/>
      <w:r w:rsidRPr="00593375">
        <w:rPr>
          <w:rFonts w:ascii="Albertus MT" w:hAnsi="Albertus MT"/>
          <w:sz w:val="22"/>
          <w:szCs w:val="22"/>
        </w:rPr>
        <w:t xml:space="preserve"> in an automated trading environment?</w:t>
      </w:r>
    </w:p>
    <w:p w:rsidR="00593375" w:rsidRPr="00593375" w:rsidRDefault="00593375" w:rsidP="00593375">
      <w:pPr>
        <w:spacing w:after="0" w:line="240" w:lineRule="auto"/>
        <w:ind w:left="567" w:hanging="567"/>
        <w:rPr>
          <w:rFonts w:ascii="Albertus MT" w:hAnsi="Albertus MT"/>
          <w:sz w:val="22"/>
          <w:szCs w:val="22"/>
        </w:rPr>
      </w:pPr>
    </w:p>
    <w:p w:rsidR="0016255D" w:rsidRPr="00593375" w:rsidRDefault="0016255D" w:rsidP="00593375">
      <w:pPr>
        <w:spacing w:after="0" w:line="240" w:lineRule="auto"/>
        <w:ind w:left="567"/>
        <w:rPr>
          <w:rFonts w:ascii="Albertus MT" w:hAnsi="Albertus MT"/>
          <w:b/>
          <w:color w:val="000000" w:themeColor="text1"/>
          <w:sz w:val="22"/>
          <w:szCs w:val="22"/>
        </w:rPr>
      </w:pPr>
      <w:r w:rsidRPr="00593375">
        <w:rPr>
          <w:rFonts w:ascii="Albertus MT" w:hAnsi="Albertus MT" w:cs="Times New Roman"/>
          <w:b/>
          <w:color w:val="000000" w:themeColor="text1"/>
        </w:rPr>
        <w:t>We would suggest focusing on trend/pattern analysis as opposed to aiming to generate individual exceptions for surveillance of an automated trading environment.</w:t>
      </w:r>
    </w:p>
    <w:p w:rsidR="00F71019" w:rsidRPr="00593375" w:rsidRDefault="00F71019" w:rsidP="00593375">
      <w:pPr>
        <w:pStyle w:val="Default"/>
        <w:rPr>
          <w:rFonts w:ascii="Albertus MT" w:hAnsi="Albertus MT"/>
          <w:b/>
          <w:bCs/>
          <w:i/>
          <w:sz w:val="28"/>
          <w:szCs w:val="28"/>
        </w:rPr>
      </w:pPr>
    </w:p>
    <w:p w:rsidR="00E51B0E" w:rsidRPr="00593375" w:rsidRDefault="00E51B0E" w:rsidP="00593375">
      <w:pPr>
        <w:pStyle w:val="Default"/>
        <w:rPr>
          <w:rFonts w:ascii="Albertus MT" w:hAnsi="Albertus MT"/>
          <w:b/>
          <w:bCs/>
          <w:i/>
          <w:sz w:val="28"/>
          <w:szCs w:val="28"/>
        </w:rPr>
      </w:pPr>
      <w:r w:rsidRPr="00593375">
        <w:rPr>
          <w:rFonts w:ascii="Albertus MT" w:hAnsi="Albertus MT"/>
          <w:b/>
          <w:bCs/>
          <w:i/>
          <w:sz w:val="28"/>
          <w:szCs w:val="28"/>
        </w:rPr>
        <w:t xml:space="preserve">Accepted Market Practices (Article </w:t>
      </w:r>
      <w:proofErr w:type="gramStart"/>
      <w:r w:rsidRPr="00593375">
        <w:rPr>
          <w:rFonts w:ascii="Albertus MT" w:hAnsi="Albertus MT"/>
          <w:b/>
          <w:bCs/>
          <w:i/>
          <w:sz w:val="28"/>
          <w:szCs w:val="28"/>
        </w:rPr>
        <w:t>8a(</w:t>
      </w:r>
      <w:proofErr w:type="gramEnd"/>
      <w:r w:rsidRPr="00593375">
        <w:rPr>
          <w:rFonts w:ascii="Albertus MT" w:hAnsi="Albertus MT"/>
          <w:b/>
          <w:bCs/>
          <w:i/>
          <w:sz w:val="28"/>
          <w:szCs w:val="28"/>
        </w:rPr>
        <w:t xml:space="preserve">5) of MAR) </w:t>
      </w:r>
    </w:p>
    <w:p w:rsidR="00E51B0E" w:rsidRPr="00593375" w:rsidRDefault="00E51B0E" w:rsidP="00593375">
      <w:pPr>
        <w:pStyle w:val="Default"/>
        <w:rPr>
          <w:rFonts w:ascii="Albertus MT" w:hAnsi="Albertus MT"/>
          <w:sz w:val="22"/>
          <w:szCs w:val="22"/>
        </w:rPr>
      </w:pPr>
    </w:p>
    <w:p w:rsidR="00E51B0E" w:rsidRPr="00593375" w:rsidRDefault="00E51B0E" w:rsidP="00593375">
      <w:pPr>
        <w:pStyle w:val="Default"/>
        <w:ind w:left="567" w:hanging="567"/>
        <w:rPr>
          <w:rFonts w:ascii="Albertus MT" w:hAnsi="Albertus MT"/>
          <w:sz w:val="22"/>
          <w:szCs w:val="22"/>
        </w:rPr>
      </w:pPr>
      <w:r w:rsidRPr="00593375">
        <w:rPr>
          <w:rFonts w:ascii="Albertus MT" w:hAnsi="Albertus MT"/>
          <w:sz w:val="22"/>
          <w:szCs w:val="22"/>
        </w:rPr>
        <w:t xml:space="preserve">Q48: </w:t>
      </w:r>
      <w:r w:rsidRPr="00593375">
        <w:rPr>
          <w:rFonts w:ascii="Albertus MT" w:hAnsi="Albertus MT"/>
          <w:sz w:val="22"/>
          <w:szCs w:val="22"/>
        </w:rPr>
        <w:tab/>
        <w:t>Do you agree with the approach suggested in relation to OTC trading?</w:t>
      </w:r>
    </w:p>
    <w:p w:rsidR="000E14EA" w:rsidRPr="00593375" w:rsidRDefault="000E14EA" w:rsidP="00593375">
      <w:pPr>
        <w:pStyle w:val="Default"/>
        <w:ind w:left="567" w:hanging="567"/>
        <w:rPr>
          <w:rFonts w:ascii="Albertus MT" w:hAnsi="Albertus MT"/>
          <w:sz w:val="22"/>
          <w:szCs w:val="22"/>
        </w:rPr>
      </w:pPr>
    </w:p>
    <w:p w:rsidR="000E14EA" w:rsidRPr="00593375" w:rsidRDefault="000E14EA" w:rsidP="00593375">
      <w:pPr>
        <w:pStyle w:val="Default"/>
        <w:ind w:left="567"/>
        <w:rPr>
          <w:rFonts w:ascii="Albertus MT" w:hAnsi="Albertus MT"/>
          <w:b/>
          <w:sz w:val="22"/>
          <w:szCs w:val="22"/>
        </w:rPr>
      </w:pPr>
      <w:r w:rsidRPr="00593375">
        <w:rPr>
          <w:rFonts w:ascii="Albertus MT" w:hAnsi="Albertus MT"/>
          <w:b/>
          <w:sz w:val="22"/>
          <w:szCs w:val="22"/>
        </w:rPr>
        <w:t>We have no objection to due consideration of whether a given OTC proposed AMP meets the transparency requirements for AMPs.</w:t>
      </w:r>
    </w:p>
    <w:p w:rsidR="00E51B0E" w:rsidRPr="00593375" w:rsidRDefault="00E51B0E" w:rsidP="00593375">
      <w:pPr>
        <w:pStyle w:val="Default"/>
        <w:ind w:left="567" w:hanging="567"/>
        <w:rPr>
          <w:rFonts w:ascii="Albertus MT" w:hAnsi="Albertus MT"/>
          <w:sz w:val="22"/>
          <w:szCs w:val="22"/>
        </w:rPr>
      </w:pPr>
    </w:p>
    <w:p w:rsidR="00E51B0E" w:rsidRPr="00593375" w:rsidRDefault="00E51B0E" w:rsidP="00593375">
      <w:pPr>
        <w:pStyle w:val="Default"/>
        <w:ind w:left="567" w:hanging="567"/>
        <w:rPr>
          <w:rFonts w:ascii="Albertus MT" w:hAnsi="Albertus MT"/>
          <w:sz w:val="22"/>
          <w:szCs w:val="22"/>
        </w:rPr>
      </w:pPr>
      <w:r w:rsidRPr="00593375">
        <w:rPr>
          <w:rFonts w:ascii="Albertus MT" w:hAnsi="Albertus MT"/>
          <w:sz w:val="22"/>
          <w:szCs w:val="22"/>
        </w:rPr>
        <w:t xml:space="preserve">Q49: </w:t>
      </w:r>
      <w:r w:rsidRPr="00593375">
        <w:rPr>
          <w:rFonts w:ascii="Albertus MT" w:hAnsi="Albertus MT"/>
          <w:sz w:val="22"/>
          <w:szCs w:val="22"/>
        </w:rPr>
        <w:tab/>
        <w:t xml:space="preserve">Do you agree with ESMA’s approach in relation to entity which can perform or execute an AMP? </w:t>
      </w:r>
    </w:p>
    <w:p w:rsidR="000E14EA" w:rsidRPr="00593375" w:rsidRDefault="000E14EA" w:rsidP="00593375">
      <w:pPr>
        <w:pStyle w:val="Default"/>
        <w:ind w:left="567" w:hanging="567"/>
        <w:rPr>
          <w:rFonts w:ascii="Albertus MT" w:hAnsi="Albertus MT"/>
          <w:sz w:val="22"/>
          <w:szCs w:val="22"/>
        </w:rPr>
      </w:pPr>
    </w:p>
    <w:p w:rsidR="000E14EA" w:rsidRPr="00593375" w:rsidRDefault="000E14EA" w:rsidP="00593375">
      <w:pPr>
        <w:pStyle w:val="Default"/>
        <w:ind w:left="567"/>
        <w:rPr>
          <w:rFonts w:ascii="Albertus MT" w:hAnsi="Albertus MT"/>
          <w:sz w:val="22"/>
          <w:szCs w:val="22"/>
        </w:rPr>
      </w:pPr>
      <w:r w:rsidRPr="00593375">
        <w:rPr>
          <w:rFonts w:ascii="Albertus MT" w:hAnsi="Albertus MT"/>
          <w:b/>
          <w:sz w:val="22"/>
          <w:szCs w:val="22"/>
        </w:rPr>
        <w:t xml:space="preserve">Yes---we agree that AMPs be executed by </w:t>
      </w:r>
      <w:r w:rsidR="001903D1" w:rsidRPr="00593375">
        <w:rPr>
          <w:rFonts w:ascii="Albertus MT" w:hAnsi="Albertus MT"/>
          <w:b/>
          <w:sz w:val="22"/>
          <w:szCs w:val="22"/>
        </w:rPr>
        <w:t xml:space="preserve">EEA </w:t>
      </w:r>
      <w:r w:rsidRPr="00593375">
        <w:rPr>
          <w:rFonts w:ascii="Albertus MT" w:hAnsi="Albertus MT"/>
          <w:b/>
          <w:sz w:val="22"/>
          <w:szCs w:val="22"/>
        </w:rPr>
        <w:t>regulated firms</w:t>
      </w:r>
      <w:r w:rsidR="001903D1" w:rsidRPr="00593375">
        <w:rPr>
          <w:rFonts w:ascii="Albertus MT" w:hAnsi="Albertus MT"/>
          <w:b/>
          <w:sz w:val="22"/>
          <w:szCs w:val="22"/>
        </w:rPr>
        <w:t xml:space="preserve"> and firms regulated by comparable non-EEA regulators. </w:t>
      </w:r>
      <w:r w:rsidRPr="00593375">
        <w:rPr>
          <w:rFonts w:ascii="Albertus MT" w:hAnsi="Albertus MT"/>
          <w:sz w:val="22"/>
          <w:szCs w:val="22"/>
        </w:rPr>
        <w:t>.</w:t>
      </w:r>
    </w:p>
    <w:p w:rsidR="00E51B0E" w:rsidRPr="00593375" w:rsidRDefault="00E51B0E" w:rsidP="00593375">
      <w:pPr>
        <w:pStyle w:val="Default"/>
        <w:ind w:left="567" w:hanging="567"/>
        <w:rPr>
          <w:rFonts w:ascii="Albertus MT" w:hAnsi="Albertus MT"/>
          <w:sz w:val="22"/>
          <w:szCs w:val="22"/>
        </w:rPr>
      </w:pPr>
    </w:p>
    <w:p w:rsidR="00E51B0E" w:rsidRPr="00593375" w:rsidRDefault="00E51B0E" w:rsidP="00593375">
      <w:pPr>
        <w:pStyle w:val="Default"/>
        <w:ind w:left="567" w:hanging="567"/>
        <w:rPr>
          <w:rFonts w:ascii="Albertus MT" w:hAnsi="Albertus MT"/>
          <w:sz w:val="22"/>
          <w:szCs w:val="22"/>
        </w:rPr>
      </w:pPr>
      <w:r w:rsidRPr="00593375">
        <w:rPr>
          <w:rFonts w:ascii="Albertus MT" w:hAnsi="Albertus MT"/>
          <w:sz w:val="22"/>
          <w:szCs w:val="22"/>
        </w:rPr>
        <w:t xml:space="preserve">Q50: </w:t>
      </w:r>
      <w:r w:rsidRPr="00593375">
        <w:rPr>
          <w:rFonts w:ascii="Albertus MT" w:hAnsi="Albertus MT"/>
          <w:sz w:val="22"/>
          <w:szCs w:val="22"/>
        </w:rPr>
        <w:tab/>
        <w:t xml:space="preserve">Does ESMA need to account for situations where some disclosure obligations might be exempted? </w:t>
      </w:r>
    </w:p>
    <w:p w:rsidR="000E14EA" w:rsidRPr="00593375" w:rsidRDefault="000E14EA" w:rsidP="00593375">
      <w:pPr>
        <w:pStyle w:val="Default"/>
        <w:ind w:left="567" w:hanging="567"/>
        <w:rPr>
          <w:rFonts w:ascii="Albertus MT" w:hAnsi="Albertus MT"/>
          <w:sz w:val="22"/>
          <w:szCs w:val="22"/>
        </w:rPr>
      </w:pPr>
    </w:p>
    <w:p w:rsidR="000E14EA" w:rsidRPr="00593375" w:rsidRDefault="00FA328B" w:rsidP="00593375">
      <w:pPr>
        <w:pStyle w:val="Default"/>
        <w:ind w:left="567"/>
        <w:rPr>
          <w:rFonts w:ascii="Albertus MT" w:hAnsi="Albertus MT"/>
          <w:b/>
          <w:sz w:val="22"/>
          <w:szCs w:val="22"/>
        </w:rPr>
      </w:pPr>
      <w:r w:rsidRPr="00593375">
        <w:rPr>
          <w:rFonts w:ascii="Albertus MT" w:hAnsi="Albertus MT"/>
          <w:b/>
          <w:sz w:val="22"/>
          <w:szCs w:val="22"/>
        </w:rPr>
        <w:t xml:space="preserve">Yes. </w:t>
      </w:r>
      <w:r w:rsidR="000E14EA" w:rsidRPr="00593375">
        <w:rPr>
          <w:rFonts w:ascii="Albertus MT" w:hAnsi="Albertus MT"/>
          <w:b/>
          <w:sz w:val="22"/>
          <w:szCs w:val="22"/>
        </w:rPr>
        <w:t>National authorities should have the discretion to approve AMPs where some disclosure obligations are waived, provided there is adequate safeguard that investors will not be disadvantaged while market liquidity will be enhanced</w:t>
      </w:r>
      <w:r w:rsidR="00B426F8" w:rsidRPr="00593375">
        <w:rPr>
          <w:rFonts w:ascii="Albertus MT" w:hAnsi="Albertus MT"/>
          <w:b/>
          <w:sz w:val="22"/>
          <w:szCs w:val="22"/>
        </w:rPr>
        <w:t xml:space="preserve"> or volatility reduced.</w:t>
      </w:r>
    </w:p>
    <w:p w:rsidR="00E51B0E" w:rsidRPr="00593375" w:rsidRDefault="00E51B0E" w:rsidP="00593375">
      <w:pPr>
        <w:pStyle w:val="Default"/>
        <w:ind w:left="567" w:hanging="567"/>
        <w:rPr>
          <w:rFonts w:ascii="Albertus MT" w:hAnsi="Albertus MT"/>
          <w:sz w:val="22"/>
          <w:szCs w:val="22"/>
        </w:rPr>
      </w:pPr>
    </w:p>
    <w:p w:rsidR="00E51B0E" w:rsidRPr="00593375" w:rsidRDefault="00E51B0E" w:rsidP="00593375">
      <w:pPr>
        <w:pStyle w:val="Default"/>
        <w:ind w:left="567" w:hanging="567"/>
        <w:rPr>
          <w:rFonts w:ascii="Albertus MT" w:hAnsi="Albertus MT"/>
          <w:sz w:val="22"/>
          <w:szCs w:val="22"/>
        </w:rPr>
      </w:pPr>
      <w:r w:rsidRPr="00593375">
        <w:rPr>
          <w:rFonts w:ascii="Albertus MT" w:hAnsi="Albertus MT"/>
          <w:sz w:val="22"/>
          <w:szCs w:val="22"/>
        </w:rPr>
        <w:t xml:space="preserve">Q51: </w:t>
      </w:r>
      <w:r w:rsidRPr="00593375">
        <w:rPr>
          <w:rFonts w:ascii="Albertus MT" w:hAnsi="Albertus MT"/>
          <w:sz w:val="22"/>
          <w:szCs w:val="22"/>
        </w:rPr>
        <w:tab/>
        <w:t xml:space="preserve">Do you consider there is specific additional information that should be disclosed when executing an AMP? </w:t>
      </w:r>
    </w:p>
    <w:p w:rsidR="00B426F8" w:rsidRPr="00593375" w:rsidRDefault="00B426F8" w:rsidP="00593375">
      <w:pPr>
        <w:pStyle w:val="Default"/>
        <w:ind w:left="567" w:hanging="567"/>
        <w:rPr>
          <w:rFonts w:ascii="Albertus MT" w:hAnsi="Albertus MT"/>
          <w:sz w:val="22"/>
          <w:szCs w:val="22"/>
        </w:rPr>
      </w:pPr>
    </w:p>
    <w:p w:rsidR="00B426F8" w:rsidRPr="00593375" w:rsidRDefault="00B426F8" w:rsidP="00593375">
      <w:pPr>
        <w:pStyle w:val="Default"/>
        <w:ind w:left="567"/>
        <w:rPr>
          <w:rFonts w:ascii="Albertus MT" w:hAnsi="Albertus MT"/>
          <w:b/>
          <w:sz w:val="22"/>
          <w:szCs w:val="22"/>
        </w:rPr>
      </w:pPr>
      <w:proofErr w:type="gramStart"/>
      <w:r w:rsidRPr="00593375">
        <w:rPr>
          <w:rFonts w:ascii="Albertus MT" w:hAnsi="Albertus MT"/>
          <w:b/>
          <w:sz w:val="22"/>
          <w:szCs w:val="22"/>
        </w:rPr>
        <w:t>We  have</w:t>
      </w:r>
      <w:proofErr w:type="gramEnd"/>
      <w:r w:rsidRPr="00593375">
        <w:rPr>
          <w:rFonts w:ascii="Albertus MT" w:hAnsi="Albertus MT"/>
          <w:b/>
          <w:sz w:val="22"/>
          <w:szCs w:val="22"/>
        </w:rPr>
        <w:t xml:space="preserve"> no proposal for this at this time.</w:t>
      </w:r>
    </w:p>
    <w:p w:rsidR="00E51B0E" w:rsidRPr="00593375" w:rsidRDefault="00E51B0E" w:rsidP="00593375">
      <w:pPr>
        <w:pStyle w:val="Default"/>
        <w:ind w:left="567" w:hanging="567"/>
        <w:rPr>
          <w:rFonts w:ascii="Albertus MT" w:hAnsi="Albertus MT"/>
          <w:sz w:val="22"/>
          <w:szCs w:val="22"/>
        </w:rPr>
      </w:pPr>
    </w:p>
    <w:p w:rsidR="00E51B0E" w:rsidRPr="00593375" w:rsidRDefault="00E51B0E" w:rsidP="00593375">
      <w:pPr>
        <w:pStyle w:val="Default"/>
        <w:ind w:left="567" w:hanging="567"/>
        <w:rPr>
          <w:rFonts w:ascii="Albertus MT" w:hAnsi="Albertus MT"/>
          <w:sz w:val="22"/>
          <w:szCs w:val="22"/>
        </w:rPr>
      </w:pPr>
      <w:r w:rsidRPr="00593375">
        <w:rPr>
          <w:rFonts w:ascii="Albertus MT" w:hAnsi="Albertus MT"/>
          <w:sz w:val="22"/>
          <w:szCs w:val="22"/>
        </w:rPr>
        <w:lastRenderedPageBreak/>
        <w:t xml:space="preserve">Q52: </w:t>
      </w:r>
      <w:r w:rsidRPr="00593375">
        <w:rPr>
          <w:rFonts w:ascii="Albertus MT" w:hAnsi="Albertus MT"/>
          <w:sz w:val="22"/>
          <w:szCs w:val="22"/>
        </w:rPr>
        <w:tab/>
        <w:t xml:space="preserve">Do you agree that the factors listed seek to ensure a high degree of safeguards and proper interplay of forces of supply and demand? </w:t>
      </w:r>
    </w:p>
    <w:p w:rsidR="00E51B0E" w:rsidRPr="00593375" w:rsidRDefault="00E51B0E" w:rsidP="00593375">
      <w:pPr>
        <w:pStyle w:val="Default"/>
        <w:ind w:left="567" w:hanging="567"/>
        <w:rPr>
          <w:rFonts w:ascii="Albertus MT" w:hAnsi="Albertus MT"/>
          <w:sz w:val="22"/>
          <w:szCs w:val="22"/>
        </w:rPr>
      </w:pPr>
    </w:p>
    <w:p w:rsidR="00E51B0E" w:rsidRPr="00593375" w:rsidRDefault="00E51B0E" w:rsidP="00593375">
      <w:pPr>
        <w:pStyle w:val="Default"/>
        <w:ind w:left="567" w:hanging="567"/>
        <w:rPr>
          <w:rFonts w:ascii="Albertus MT" w:hAnsi="Albertus MT"/>
          <w:sz w:val="22"/>
          <w:szCs w:val="22"/>
        </w:rPr>
      </w:pPr>
    </w:p>
    <w:p w:rsidR="00E51B0E" w:rsidRPr="00593375" w:rsidRDefault="00E51B0E" w:rsidP="00593375">
      <w:pPr>
        <w:pStyle w:val="Default"/>
        <w:ind w:left="567" w:hanging="567"/>
        <w:rPr>
          <w:rFonts w:ascii="Albertus MT" w:hAnsi="Albertus MT"/>
          <w:sz w:val="22"/>
          <w:szCs w:val="22"/>
        </w:rPr>
      </w:pPr>
    </w:p>
    <w:p w:rsidR="00E51B0E" w:rsidRPr="00593375" w:rsidRDefault="00E51B0E" w:rsidP="00593375">
      <w:pPr>
        <w:pStyle w:val="Default"/>
        <w:ind w:left="567" w:hanging="567"/>
        <w:rPr>
          <w:rFonts w:ascii="Albertus MT" w:hAnsi="Albertus MT"/>
          <w:sz w:val="22"/>
          <w:szCs w:val="22"/>
        </w:rPr>
      </w:pPr>
    </w:p>
    <w:p w:rsidR="00E51B0E" w:rsidRPr="00593375" w:rsidRDefault="00E51B0E" w:rsidP="00593375">
      <w:pPr>
        <w:pStyle w:val="Default"/>
        <w:ind w:left="567" w:hanging="567"/>
        <w:rPr>
          <w:rFonts w:ascii="Albertus MT" w:hAnsi="Albertus MT"/>
          <w:sz w:val="22"/>
          <w:szCs w:val="22"/>
        </w:rPr>
      </w:pPr>
      <w:r w:rsidRPr="00593375">
        <w:rPr>
          <w:rFonts w:ascii="Albertus MT" w:hAnsi="Albertus MT"/>
          <w:sz w:val="22"/>
          <w:szCs w:val="22"/>
        </w:rPr>
        <w:t xml:space="preserve">Q53: </w:t>
      </w:r>
      <w:r w:rsidRPr="00593375">
        <w:rPr>
          <w:rFonts w:ascii="Albertus MT" w:hAnsi="Albertus MT"/>
          <w:sz w:val="22"/>
          <w:szCs w:val="22"/>
        </w:rPr>
        <w:tab/>
        <w:t xml:space="preserve">Do you agree with the fact that AMPs may in some instances protect specific market participants (retail clients)? </w:t>
      </w:r>
    </w:p>
    <w:p w:rsidR="00B426F8" w:rsidRPr="00593375" w:rsidRDefault="00B426F8" w:rsidP="00593375">
      <w:pPr>
        <w:pStyle w:val="Default"/>
        <w:ind w:left="567" w:hanging="567"/>
        <w:rPr>
          <w:rFonts w:ascii="Albertus MT" w:hAnsi="Albertus MT"/>
          <w:sz w:val="22"/>
          <w:szCs w:val="22"/>
        </w:rPr>
      </w:pPr>
    </w:p>
    <w:p w:rsidR="00B426F8" w:rsidRPr="00593375" w:rsidRDefault="00B426F8" w:rsidP="00593375">
      <w:pPr>
        <w:pStyle w:val="Default"/>
        <w:ind w:left="567"/>
        <w:rPr>
          <w:rFonts w:ascii="Albertus MT" w:hAnsi="Albertus MT"/>
          <w:b/>
          <w:sz w:val="22"/>
          <w:szCs w:val="22"/>
        </w:rPr>
      </w:pPr>
      <w:r w:rsidRPr="00593375">
        <w:rPr>
          <w:rFonts w:ascii="Albertus MT" w:hAnsi="Albertus MT"/>
          <w:b/>
          <w:sz w:val="22"/>
          <w:szCs w:val="22"/>
        </w:rPr>
        <w:t>We agree.</w:t>
      </w:r>
    </w:p>
    <w:p w:rsidR="00E51B0E" w:rsidRPr="00593375" w:rsidRDefault="00E51B0E" w:rsidP="00593375">
      <w:pPr>
        <w:pStyle w:val="Default"/>
        <w:ind w:left="567" w:hanging="567"/>
        <w:rPr>
          <w:rFonts w:ascii="Albertus MT" w:hAnsi="Albertus MT"/>
          <w:sz w:val="22"/>
          <w:szCs w:val="22"/>
        </w:rPr>
      </w:pPr>
    </w:p>
    <w:p w:rsidR="00E51B0E" w:rsidRDefault="00E51B0E" w:rsidP="00593375">
      <w:pPr>
        <w:spacing w:after="0" w:line="240" w:lineRule="auto"/>
        <w:ind w:left="567" w:hanging="567"/>
        <w:rPr>
          <w:rFonts w:ascii="Albertus MT" w:hAnsi="Albertus MT"/>
          <w:sz w:val="22"/>
          <w:szCs w:val="22"/>
        </w:rPr>
      </w:pPr>
      <w:r w:rsidRPr="00593375">
        <w:rPr>
          <w:rFonts w:ascii="Albertus MT" w:hAnsi="Albertus MT"/>
          <w:sz w:val="22"/>
          <w:szCs w:val="22"/>
        </w:rPr>
        <w:t xml:space="preserve">Q54: </w:t>
      </w:r>
      <w:r w:rsidRPr="00593375">
        <w:rPr>
          <w:rFonts w:ascii="Albertus MT" w:hAnsi="Albertus MT"/>
          <w:sz w:val="22"/>
          <w:szCs w:val="22"/>
        </w:rPr>
        <w:tab/>
        <w:t>Do you agree with the principle of persons performing AMP to act independently? In which situations should this principle be adapted?</w:t>
      </w:r>
    </w:p>
    <w:p w:rsidR="00593375" w:rsidRPr="00593375" w:rsidRDefault="00593375" w:rsidP="00593375">
      <w:pPr>
        <w:spacing w:after="0" w:line="240" w:lineRule="auto"/>
        <w:ind w:left="567" w:hanging="567"/>
        <w:rPr>
          <w:rFonts w:ascii="Albertus MT" w:hAnsi="Albertus MT"/>
          <w:sz w:val="22"/>
          <w:szCs w:val="22"/>
        </w:rPr>
      </w:pPr>
    </w:p>
    <w:p w:rsidR="00B426F8" w:rsidRDefault="00B426F8" w:rsidP="00593375">
      <w:pPr>
        <w:spacing w:after="0" w:line="240" w:lineRule="auto"/>
        <w:ind w:left="567"/>
        <w:rPr>
          <w:rFonts w:ascii="Albertus MT" w:hAnsi="Albertus MT"/>
          <w:b/>
          <w:sz w:val="22"/>
          <w:szCs w:val="22"/>
        </w:rPr>
      </w:pPr>
      <w:r w:rsidRPr="00593375">
        <w:rPr>
          <w:rFonts w:ascii="Albertus MT" w:hAnsi="Albertus MT"/>
          <w:b/>
          <w:sz w:val="22"/>
          <w:szCs w:val="22"/>
        </w:rPr>
        <w:t>We agree that there are cases where the AMP executer should be allowed to be influenced by an issuer or interested parties where there are safeguards for investors.</w:t>
      </w:r>
    </w:p>
    <w:p w:rsidR="00593375" w:rsidRPr="00593375" w:rsidRDefault="00593375" w:rsidP="00593375">
      <w:pPr>
        <w:spacing w:after="0" w:line="240" w:lineRule="auto"/>
        <w:ind w:left="567"/>
        <w:rPr>
          <w:rFonts w:ascii="Albertus MT" w:hAnsi="Albertus MT"/>
          <w:b/>
          <w:sz w:val="22"/>
          <w:szCs w:val="22"/>
        </w:rPr>
      </w:pPr>
    </w:p>
    <w:p w:rsidR="00E51B0E" w:rsidRPr="00593375" w:rsidRDefault="00E51B0E" w:rsidP="00593375">
      <w:pPr>
        <w:pStyle w:val="Default"/>
        <w:ind w:left="567" w:hanging="567"/>
        <w:rPr>
          <w:rFonts w:ascii="Albertus MT" w:hAnsi="Albertus MT"/>
          <w:sz w:val="22"/>
          <w:szCs w:val="22"/>
        </w:rPr>
      </w:pPr>
      <w:r w:rsidRPr="00593375">
        <w:rPr>
          <w:rFonts w:ascii="Albertus MT" w:hAnsi="Albertus MT"/>
          <w:sz w:val="22"/>
          <w:szCs w:val="22"/>
        </w:rPr>
        <w:t xml:space="preserve">Q55: </w:t>
      </w:r>
      <w:r w:rsidRPr="00593375">
        <w:rPr>
          <w:rFonts w:ascii="Albertus MT" w:hAnsi="Albertus MT"/>
          <w:sz w:val="22"/>
          <w:szCs w:val="22"/>
        </w:rPr>
        <w:tab/>
        <w:t xml:space="preserve">Do you think persons performing AMPs should be members of the trading venue in which they execute the AMP? </w:t>
      </w:r>
    </w:p>
    <w:p w:rsidR="004A1B63" w:rsidRPr="00593375" w:rsidRDefault="004A1B63" w:rsidP="00593375">
      <w:pPr>
        <w:pStyle w:val="Default"/>
        <w:ind w:left="567" w:hanging="567"/>
        <w:rPr>
          <w:rFonts w:ascii="Albertus MT" w:hAnsi="Albertus MT"/>
          <w:sz w:val="22"/>
          <w:szCs w:val="22"/>
        </w:rPr>
      </w:pPr>
    </w:p>
    <w:p w:rsidR="004A1B63" w:rsidRPr="00593375" w:rsidRDefault="004A1B63" w:rsidP="00593375">
      <w:pPr>
        <w:pStyle w:val="Default"/>
        <w:ind w:left="567"/>
        <w:rPr>
          <w:rFonts w:ascii="Albertus MT" w:hAnsi="Albertus MT"/>
          <w:b/>
          <w:sz w:val="22"/>
          <w:szCs w:val="22"/>
        </w:rPr>
      </w:pPr>
      <w:r w:rsidRPr="00593375">
        <w:rPr>
          <w:rFonts w:ascii="Albertus MT" w:hAnsi="Albertus MT"/>
          <w:b/>
          <w:sz w:val="22"/>
          <w:szCs w:val="22"/>
        </w:rPr>
        <w:t xml:space="preserve">Exceptions should be allowed </w:t>
      </w:r>
      <w:proofErr w:type="gramStart"/>
      <w:r w:rsidRPr="00593375">
        <w:rPr>
          <w:rFonts w:ascii="Albertus MT" w:hAnsi="Albertus MT"/>
          <w:b/>
          <w:sz w:val="22"/>
          <w:szCs w:val="22"/>
        </w:rPr>
        <w:t>where  the</w:t>
      </w:r>
      <w:proofErr w:type="gramEnd"/>
      <w:r w:rsidRPr="00593375">
        <w:rPr>
          <w:rFonts w:ascii="Albertus MT" w:hAnsi="Albertus MT"/>
          <w:b/>
          <w:sz w:val="22"/>
          <w:szCs w:val="22"/>
        </w:rPr>
        <w:t xml:space="preserve"> executer is a regulated party and undertakes to abide by venue rules.</w:t>
      </w:r>
    </w:p>
    <w:p w:rsidR="00E51B0E" w:rsidRPr="00593375" w:rsidRDefault="00E51B0E" w:rsidP="00593375">
      <w:pPr>
        <w:pStyle w:val="Default"/>
        <w:ind w:left="567" w:hanging="567"/>
        <w:rPr>
          <w:rFonts w:ascii="Albertus MT" w:hAnsi="Albertus MT"/>
          <w:b/>
          <w:sz w:val="22"/>
          <w:szCs w:val="22"/>
        </w:rPr>
      </w:pPr>
    </w:p>
    <w:p w:rsidR="00E51B0E" w:rsidRPr="00593375" w:rsidRDefault="00E51B0E" w:rsidP="00593375">
      <w:pPr>
        <w:pStyle w:val="Default"/>
        <w:ind w:left="567" w:hanging="567"/>
        <w:rPr>
          <w:rFonts w:ascii="Albertus MT" w:hAnsi="Albertus MT"/>
          <w:sz w:val="22"/>
          <w:szCs w:val="22"/>
        </w:rPr>
      </w:pPr>
      <w:r w:rsidRPr="00593375">
        <w:rPr>
          <w:rFonts w:ascii="Albertus MT" w:hAnsi="Albertus MT"/>
          <w:sz w:val="22"/>
          <w:szCs w:val="22"/>
        </w:rPr>
        <w:t xml:space="preserve">Q56: </w:t>
      </w:r>
      <w:r w:rsidRPr="00593375">
        <w:rPr>
          <w:rFonts w:ascii="Albertus MT" w:hAnsi="Albertus MT"/>
          <w:sz w:val="22"/>
          <w:szCs w:val="22"/>
        </w:rPr>
        <w:tab/>
        <w:t xml:space="preserve">Should an ex ante list of situations when the AMP should be temporarily suspended or restricted be established (e.g. takeover bids)? </w:t>
      </w:r>
    </w:p>
    <w:p w:rsidR="004A1B63" w:rsidRPr="00593375" w:rsidRDefault="004A1B63" w:rsidP="00593375">
      <w:pPr>
        <w:pStyle w:val="Default"/>
        <w:ind w:left="567" w:hanging="567"/>
        <w:rPr>
          <w:rFonts w:ascii="Albertus MT" w:hAnsi="Albertus MT"/>
          <w:sz w:val="22"/>
          <w:szCs w:val="22"/>
        </w:rPr>
      </w:pPr>
    </w:p>
    <w:p w:rsidR="004A1B63" w:rsidRPr="00593375" w:rsidRDefault="004A1B63" w:rsidP="00593375">
      <w:pPr>
        <w:pStyle w:val="Default"/>
        <w:ind w:left="567"/>
        <w:rPr>
          <w:rFonts w:ascii="Albertus MT" w:hAnsi="Albertus MT"/>
          <w:b/>
          <w:sz w:val="22"/>
          <w:szCs w:val="22"/>
        </w:rPr>
      </w:pPr>
      <w:r w:rsidRPr="00593375">
        <w:rPr>
          <w:rFonts w:ascii="Albertus MT" w:hAnsi="Albertus MT"/>
          <w:b/>
          <w:sz w:val="22"/>
          <w:szCs w:val="22"/>
        </w:rPr>
        <w:t>We do not oppose such a list of restrictions on a</w:t>
      </w:r>
      <w:r w:rsidR="0061549C" w:rsidRPr="00593375">
        <w:rPr>
          <w:rFonts w:ascii="Albertus MT" w:hAnsi="Albertus MT"/>
          <w:b/>
          <w:sz w:val="22"/>
          <w:szCs w:val="22"/>
        </w:rPr>
        <w:t>n articulated reasonable basis.</w:t>
      </w:r>
    </w:p>
    <w:p w:rsidR="00E51B0E" w:rsidRPr="00593375" w:rsidRDefault="00E51B0E" w:rsidP="00593375">
      <w:pPr>
        <w:pStyle w:val="Default"/>
        <w:ind w:left="567" w:hanging="567"/>
        <w:rPr>
          <w:rFonts w:ascii="Albertus MT" w:hAnsi="Albertus MT"/>
          <w:sz w:val="22"/>
          <w:szCs w:val="22"/>
        </w:rPr>
      </w:pPr>
    </w:p>
    <w:p w:rsidR="00E51B0E" w:rsidRDefault="00E51B0E" w:rsidP="00593375">
      <w:pPr>
        <w:spacing w:after="0" w:line="240" w:lineRule="auto"/>
        <w:ind w:left="567" w:hanging="567"/>
        <w:rPr>
          <w:rFonts w:ascii="Albertus MT" w:hAnsi="Albertus MT"/>
          <w:sz w:val="22"/>
          <w:szCs w:val="22"/>
        </w:rPr>
      </w:pPr>
      <w:r w:rsidRPr="00593375">
        <w:rPr>
          <w:rFonts w:ascii="Albertus MT" w:hAnsi="Albertus MT"/>
          <w:sz w:val="22"/>
          <w:szCs w:val="22"/>
        </w:rPr>
        <w:t xml:space="preserve">Q57: </w:t>
      </w:r>
      <w:r w:rsidRPr="00593375">
        <w:rPr>
          <w:rFonts w:ascii="Albertus MT" w:hAnsi="Albertus MT"/>
          <w:sz w:val="22"/>
          <w:szCs w:val="22"/>
        </w:rPr>
        <w:tab/>
        <w:t>Do you agree with the above mentioned principles that seek to ensure that AMPs do not create risks for the integrity of related markets and would you consider adding others?</w:t>
      </w:r>
    </w:p>
    <w:p w:rsidR="00593375" w:rsidRPr="00593375" w:rsidRDefault="00593375" w:rsidP="00593375">
      <w:pPr>
        <w:spacing w:after="0" w:line="240" w:lineRule="auto"/>
        <w:ind w:left="567" w:hanging="567"/>
        <w:rPr>
          <w:rFonts w:ascii="Albertus MT" w:hAnsi="Albertus MT"/>
          <w:sz w:val="22"/>
          <w:szCs w:val="22"/>
        </w:rPr>
      </w:pPr>
    </w:p>
    <w:p w:rsidR="007C2131" w:rsidRDefault="007C2131" w:rsidP="00593375">
      <w:pPr>
        <w:spacing w:after="0" w:line="240" w:lineRule="auto"/>
        <w:ind w:left="567"/>
        <w:rPr>
          <w:rFonts w:ascii="Albertus MT" w:hAnsi="Albertus MT"/>
          <w:b/>
          <w:sz w:val="22"/>
          <w:szCs w:val="22"/>
        </w:rPr>
      </w:pPr>
      <w:r w:rsidRPr="00593375">
        <w:rPr>
          <w:rFonts w:ascii="Albertus MT" w:hAnsi="Albertus MT"/>
          <w:b/>
          <w:sz w:val="22"/>
          <w:szCs w:val="22"/>
        </w:rPr>
        <w:t>These seem reasonable in the abstract, but it would be helpful if following consultations include a list of AMPs recognized in Member States now.</w:t>
      </w:r>
    </w:p>
    <w:p w:rsidR="00593375" w:rsidRPr="00593375" w:rsidRDefault="00593375" w:rsidP="00593375">
      <w:pPr>
        <w:spacing w:after="0" w:line="240" w:lineRule="auto"/>
        <w:ind w:left="567"/>
        <w:rPr>
          <w:rFonts w:ascii="Albertus MT" w:hAnsi="Albertus MT"/>
          <w:b/>
          <w:sz w:val="22"/>
          <w:szCs w:val="22"/>
        </w:rPr>
      </w:pPr>
    </w:p>
    <w:p w:rsidR="00E51B0E" w:rsidRPr="00593375" w:rsidRDefault="00E51B0E" w:rsidP="00593375">
      <w:pPr>
        <w:pStyle w:val="Default"/>
        <w:ind w:left="567" w:hanging="567"/>
        <w:rPr>
          <w:rFonts w:ascii="Albertus MT" w:hAnsi="Albertus MT"/>
          <w:sz w:val="22"/>
          <w:szCs w:val="22"/>
        </w:rPr>
      </w:pPr>
      <w:r w:rsidRPr="00593375">
        <w:rPr>
          <w:rFonts w:ascii="Albertus MT" w:hAnsi="Albertus MT"/>
          <w:sz w:val="22"/>
          <w:szCs w:val="22"/>
        </w:rPr>
        <w:t xml:space="preserve">Q58: </w:t>
      </w:r>
      <w:r w:rsidRPr="00593375">
        <w:rPr>
          <w:rFonts w:ascii="Albertus MT" w:hAnsi="Albertus MT"/>
          <w:sz w:val="22"/>
          <w:szCs w:val="22"/>
        </w:rPr>
        <w:tab/>
        <w:t xml:space="preserve">What kind of records of orders, transactions etc. should a person that performs an AMP have? </w:t>
      </w:r>
    </w:p>
    <w:p w:rsidR="00E51B0E" w:rsidRPr="00593375" w:rsidRDefault="00E51B0E" w:rsidP="00593375">
      <w:pPr>
        <w:pStyle w:val="Default"/>
        <w:ind w:left="567" w:hanging="567"/>
        <w:rPr>
          <w:rFonts w:ascii="Albertus MT" w:hAnsi="Albertus MT"/>
          <w:sz w:val="22"/>
          <w:szCs w:val="22"/>
        </w:rPr>
      </w:pPr>
    </w:p>
    <w:p w:rsidR="00E51B0E" w:rsidRPr="00593375" w:rsidRDefault="00E51B0E" w:rsidP="00593375">
      <w:pPr>
        <w:pStyle w:val="Default"/>
        <w:ind w:left="567" w:hanging="567"/>
        <w:rPr>
          <w:rFonts w:ascii="Albertus MT" w:hAnsi="Albertus MT"/>
          <w:sz w:val="22"/>
          <w:szCs w:val="22"/>
        </w:rPr>
      </w:pPr>
    </w:p>
    <w:p w:rsidR="00E51B0E" w:rsidRPr="00593375" w:rsidRDefault="00E51B0E" w:rsidP="00593375">
      <w:pPr>
        <w:pStyle w:val="Default"/>
        <w:ind w:left="567" w:hanging="567"/>
        <w:rPr>
          <w:rFonts w:ascii="Albertus MT" w:hAnsi="Albertus MT"/>
          <w:sz w:val="22"/>
          <w:szCs w:val="22"/>
        </w:rPr>
      </w:pPr>
    </w:p>
    <w:p w:rsidR="00E51B0E" w:rsidRDefault="00E51B0E" w:rsidP="00593375">
      <w:pPr>
        <w:spacing w:after="0" w:line="240" w:lineRule="auto"/>
        <w:ind w:left="567" w:hanging="567"/>
        <w:rPr>
          <w:rFonts w:ascii="Albertus MT" w:hAnsi="Albertus MT"/>
          <w:sz w:val="22"/>
          <w:szCs w:val="22"/>
        </w:rPr>
      </w:pPr>
      <w:r w:rsidRPr="00593375">
        <w:rPr>
          <w:rFonts w:ascii="Albertus MT" w:hAnsi="Albertus MT"/>
          <w:sz w:val="22"/>
          <w:szCs w:val="22"/>
        </w:rPr>
        <w:t xml:space="preserve">Q59: </w:t>
      </w:r>
      <w:r w:rsidRPr="00593375">
        <w:rPr>
          <w:rFonts w:ascii="Albertus MT" w:hAnsi="Albertus MT"/>
          <w:sz w:val="22"/>
          <w:szCs w:val="22"/>
        </w:rPr>
        <w:tab/>
        <w:t>Do you agree with the above mentioned principles that take into account the retail investors’ participation in the relevant market? Would you consider adding others?</w:t>
      </w:r>
    </w:p>
    <w:p w:rsidR="00593375" w:rsidRPr="00593375" w:rsidRDefault="00593375" w:rsidP="00593375">
      <w:pPr>
        <w:spacing w:after="0" w:line="240" w:lineRule="auto"/>
        <w:ind w:left="567" w:hanging="567"/>
        <w:rPr>
          <w:rFonts w:ascii="Albertus MT" w:hAnsi="Albertus MT"/>
          <w:sz w:val="22"/>
          <w:szCs w:val="22"/>
        </w:rPr>
      </w:pPr>
    </w:p>
    <w:p w:rsidR="007C2131" w:rsidRDefault="007C2131" w:rsidP="00593375">
      <w:pPr>
        <w:spacing w:after="0" w:line="240" w:lineRule="auto"/>
        <w:ind w:left="567"/>
        <w:rPr>
          <w:rFonts w:ascii="Albertus MT" w:hAnsi="Albertus MT"/>
          <w:b/>
          <w:sz w:val="22"/>
          <w:szCs w:val="22"/>
        </w:rPr>
      </w:pPr>
      <w:r w:rsidRPr="00593375">
        <w:rPr>
          <w:rFonts w:ascii="Albertus MT" w:hAnsi="Albertus MT"/>
          <w:b/>
          <w:sz w:val="22"/>
          <w:szCs w:val="22"/>
        </w:rPr>
        <w:t>SME’s may be another class which would benefit from particular AMPs.</w:t>
      </w:r>
    </w:p>
    <w:p w:rsidR="00593375" w:rsidRDefault="00593375" w:rsidP="00593375">
      <w:pPr>
        <w:spacing w:after="0" w:line="240" w:lineRule="auto"/>
        <w:ind w:left="567"/>
        <w:rPr>
          <w:rFonts w:ascii="Albertus MT" w:hAnsi="Albertus MT"/>
          <w:b/>
          <w:sz w:val="22"/>
          <w:szCs w:val="22"/>
        </w:rPr>
      </w:pPr>
    </w:p>
    <w:p w:rsidR="00593375" w:rsidRPr="00593375" w:rsidRDefault="00593375" w:rsidP="00593375">
      <w:pPr>
        <w:spacing w:after="0" w:line="240" w:lineRule="auto"/>
        <w:ind w:left="567"/>
        <w:rPr>
          <w:rFonts w:ascii="Albertus MT" w:hAnsi="Albertus MT"/>
          <w:b/>
          <w:sz w:val="22"/>
          <w:szCs w:val="22"/>
        </w:rPr>
      </w:pPr>
    </w:p>
    <w:p w:rsidR="00E51B0E" w:rsidRPr="00593375" w:rsidRDefault="00E51B0E" w:rsidP="00593375">
      <w:pPr>
        <w:pStyle w:val="Default"/>
        <w:rPr>
          <w:rFonts w:ascii="Albertus MT" w:hAnsi="Albertus MT"/>
          <w:b/>
          <w:bCs/>
          <w:i/>
          <w:sz w:val="28"/>
          <w:szCs w:val="28"/>
        </w:rPr>
      </w:pPr>
      <w:r w:rsidRPr="00593375">
        <w:rPr>
          <w:rFonts w:ascii="Albertus MT" w:hAnsi="Albertus MT"/>
          <w:b/>
          <w:bCs/>
          <w:i/>
          <w:sz w:val="28"/>
          <w:szCs w:val="28"/>
        </w:rPr>
        <w:t xml:space="preserve">Suspicious Transaction and Order Reports (Article 11 of MAR) </w:t>
      </w:r>
    </w:p>
    <w:p w:rsidR="00E51B0E" w:rsidRPr="00593375" w:rsidRDefault="00E51B0E" w:rsidP="00593375">
      <w:pPr>
        <w:pStyle w:val="Default"/>
        <w:rPr>
          <w:rFonts w:ascii="Albertus MT" w:hAnsi="Albertus MT"/>
          <w:sz w:val="22"/>
          <w:szCs w:val="22"/>
        </w:rPr>
      </w:pPr>
    </w:p>
    <w:p w:rsidR="007667D8" w:rsidRPr="00593375" w:rsidRDefault="00E51B0E" w:rsidP="00593375">
      <w:pPr>
        <w:pStyle w:val="Default"/>
        <w:ind w:left="567" w:hanging="567"/>
        <w:rPr>
          <w:rFonts w:ascii="Albertus MT" w:hAnsi="Albertus MT"/>
          <w:sz w:val="22"/>
          <w:szCs w:val="22"/>
        </w:rPr>
      </w:pPr>
      <w:r w:rsidRPr="00593375">
        <w:rPr>
          <w:rFonts w:ascii="Albertus MT" w:hAnsi="Albertus MT"/>
          <w:sz w:val="22"/>
          <w:szCs w:val="22"/>
        </w:rPr>
        <w:t xml:space="preserve">Q60: </w:t>
      </w:r>
      <w:r w:rsidRPr="00593375">
        <w:rPr>
          <w:rFonts w:ascii="Albertus MT" w:hAnsi="Albertus MT"/>
          <w:sz w:val="22"/>
          <w:szCs w:val="22"/>
        </w:rPr>
        <w:tab/>
        <w:t>Do you agree with this analysis? Do you have any additional views on reporting suspicious orders which have not been executed?</w:t>
      </w:r>
    </w:p>
    <w:p w:rsidR="007667D8" w:rsidRPr="00593375" w:rsidRDefault="007667D8" w:rsidP="00593375">
      <w:pPr>
        <w:pStyle w:val="Default"/>
        <w:ind w:left="567" w:hanging="567"/>
        <w:rPr>
          <w:rFonts w:ascii="Albertus MT" w:hAnsi="Albertus MT"/>
          <w:sz w:val="22"/>
          <w:szCs w:val="22"/>
        </w:rPr>
      </w:pPr>
    </w:p>
    <w:p w:rsidR="00E51B0E" w:rsidRPr="00593375" w:rsidRDefault="007667D8" w:rsidP="00593375">
      <w:pPr>
        <w:pStyle w:val="Default"/>
        <w:ind w:left="567"/>
        <w:rPr>
          <w:rFonts w:ascii="Albertus MT" w:hAnsi="Albertus MT"/>
          <w:sz w:val="22"/>
          <w:szCs w:val="22"/>
        </w:rPr>
      </w:pPr>
      <w:r w:rsidRPr="00593375">
        <w:rPr>
          <w:rFonts w:ascii="Albertus MT" w:hAnsi="Albertus MT"/>
          <w:b/>
          <w:sz w:val="22"/>
          <w:szCs w:val="22"/>
        </w:rPr>
        <w:t>We</w:t>
      </w:r>
      <w:r w:rsidRPr="00593375">
        <w:rPr>
          <w:rFonts w:ascii="Albertus MT" w:hAnsi="Albertus MT"/>
          <w:sz w:val="22"/>
          <w:szCs w:val="22"/>
        </w:rPr>
        <w:t xml:space="preserve"> </w:t>
      </w:r>
      <w:r w:rsidRPr="00593375">
        <w:rPr>
          <w:rFonts w:ascii="Albertus MT" w:hAnsi="Albertus MT"/>
          <w:b/>
          <w:sz w:val="22"/>
          <w:szCs w:val="22"/>
        </w:rPr>
        <w:t>agree in general. The reference in para192 to a need to report any transaction that “might constitute market abuse or attempted...” is too broad. There should be no need to downpl</w:t>
      </w:r>
      <w:r w:rsidR="007444A5" w:rsidRPr="00593375">
        <w:rPr>
          <w:rFonts w:ascii="Albertus MT" w:hAnsi="Albertus MT"/>
          <w:b/>
          <w:sz w:val="22"/>
          <w:szCs w:val="22"/>
        </w:rPr>
        <w:t>a</w:t>
      </w:r>
      <w:r w:rsidRPr="00593375">
        <w:rPr>
          <w:rFonts w:ascii="Albertus MT" w:hAnsi="Albertus MT"/>
          <w:b/>
          <w:sz w:val="22"/>
          <w:szCs w:val="22"/>
        </w:rPr>
        <w:t xml:space="preserve">y the problem of over-reporting as in </w:t>
      </w:r>
      <w:proofErr w:type="spellStart"/>
      <w:r w:rsidRPr="00593375">
        <w:rPr>
          <w:rFonts w:ascii="Albertus MT" w:hAnsi="Albertus MT"/>
          <w:b/>
          <w:sz w:val="22"/>
          <w:szCs w:val="22"/>
        </w:rPr>
        <w:t>para</w:t>
      </w:r>
      <w:proofErr w:type="spellEnd"/>
      <w:r w:rsidRPr="00593375">
        <w:rPr>
          <w:rFonts w:ascii="Albertus MT" w:hAnsi="Albertus MT"/>
          <w:b/>
          <w:sz w:val="22"/>
          <w:szCs w:val="22"/>
        </w:rPr>
        <w:t xml:space="preserve"> 192. </w:t>
      </w:r>
      <w:r w:rsidR="007444A5" w:rsidRPr="00593375">
        <w:rPr>
          <w:rFonts w:ascii="Albertus MT" w:hAnsi="Albertus MT"/>
          <w:b/>
          <w:sz w:val="22"/>
          <w:szCs w:val="22"/>
        </w:rPr>
        <w:t xml:space="preserve">It would be helpful to </w:t>
      </w:r>
      <w:proofErr w:type="gramStart"/>
      <w:r w:rsidR="007444A5" w:rsidRPr="00593375">
        <w:rPr>
          <w:rFonts w:ascii="Albertus MT" w:hAnsi="Albertus MT"/>
          <w:b/>
          <w:sz w:val="22"/>
          <w:szCs w:val="22"/>
        </w:rPr>
        <w:t>see  references</w:t>
      </w:r>
      <w:proofErr w:type="gramEnd"/>
      <w:r w:rsidR="007444A5" w:rsidRPr="00593375">
        <w:rPr>
          <w:rFonts w:ascii="Albertus MT" w:hAnsi="Albertus MT"/>
          <w:b/>
          <w:sz w:val="22"/>
          <w:szCs w:val="22"/>
        </w:rPr>
        <w:t xml:space="preserve"> to specific failures to report suspicious transactions as reported by competent authorities.</w:t>
      </w:r>
      <w:r w:rsidRPr="00593375">
        <w:rPr>
          <w:rFonts w:ascii="Albertus MT" w:hAnsi="Albertus MT"/>
          <w:b/>
          <w:sz w:val="22"/>
          <w:szCs w:val="22"/>
        </w:rPr>
        <w:t xml:space="preserve"> </w:t>
      </w:r>
      <w:r w:rsidR="00E51B0E" w:rsidRPr="00593375">
        <w:rPr>
          <w:rFonts w:ascii="Albertus MT" w:hAnsi="Albertus MT"/>
          <w:b/>
          <w:sz w:val="22"/>
          <w:szCs w:val="22"/>
        </w:rPr>
        <w:t xml:space="preserve"> </w:t>
      </w:r>
    </w:p>
    <w:p w:rsidR="00E51B0E" w:rsidRPr="00593375" w:rsidRDefault="00E51B0E" w:rsidP="00593375">
      <w:pPr>
        <w:pStyle w:val="Default"/>
        <w:ind w:left="567" w:hanging="567"/>
        <w:rPr>
          <w:rFonts w:ascii="Albertus MT" w:hAnsi="Albertus MT"/>
          <w:sz w:val="22"/>
          <w:szCs w:val="22"/>
        </w:rPr>
      </w:pPr>
      <w:r w:rsidRPr="00593375">
        <w:rPr>
          <w:rFonts w:ascii="Albertus MT" w:hAnsi="Albertus MT"/>
          <w:sz w:val="22"/>
          <w:szCs w:val="22"/>
        </w:rPr>
        <w:tab/>
      </w:r>
    </w:p>
    <w:p w:rsidR="00E51B0E" w:rsidRPr="00593375" w:rsidRDefault="00E51B0E" w:rsidP="00593375">
      <w:pPr>
        <w:pStyle w:val="Default"/>
        <w:ind w:left="567" w:hanging="567"/>
        <w:rPr>
          <w:rFonts w:ascii="Albertus MT" w:hAnsi="Albertus MT"/>
          <w:sz w:val="22"/>
          <w:szCs w:val="22"/>
        </w:rPr>
      </w:pPr>
      <w:r w:rsidRPr="00593375">
        <w:rPr>
          <w:rFonts w:ascii="Albertus MT" w:hAnsi="Albertus MT"/>
          <w:sz w:val="22"/>
          <w:szCs w:val="22"/>
        </w:rPr>
        <w:t xml:space="preserve">Q61: </w:t>
      </w:r>
      <w:r w:rsidRPr="00593375">
        <w:rPr>
          <w:rFonts w:ascii="Albertus MT" w:hAnsi="Albertus MT"/>
          <w:sz w:val="22"/>
          <w:szCs w:val="22"/>
        </w:rPr>
        <w:tab/>
        <w:t xml:space="preserve">Do you agree that the above approach to timing of STR reporting strikes the right balance in practice? </w:t>
      </w:r>
    </w:p>
    <w:p w:rsidR="007667D8" w:rsidRPr="00593375" w:rsidRDefault="007667D8" w:rsidP="00593375">
      <w:pPr>
        <w:pStyle w:val="Default"/>
        <w:ind w:left="567" w:hanging="567"/>
        <w:rPr>
          <w:rFonts w:ascii="Albertus MT" w:hAnsi="Albertus MT"/>
          <w:sz w:val="22"/>
          <w:szCs w:val="22"/>
        </w:rPr>
      </w:pPr>
    </w:p>
    <w:p w:rsidR="007667D8" w:rsidRPr="00593375" w:rsidRDefault="007667D8" w:rsidP="00593375">
      <w:pPr>
        <w:pStyle w:val="Default"/>
        <w:ind w:left="567"/>
        <w:rPr>
          <w:rFonts w:ascii="Albertus MT" w:hAnsi="Albertus MT"/>
          <w:b/>
          <w:sz w:val="22"/>
          <w:szCs w:val="22"/>
        </w:rPr>
      </w:pPr>
      <w:r w:rsidRPr="00593375">
        <w:rPr>
          <w:rFonts w:ascii="Albertus MT" w:hAnsi="Albertus MT"/>
          <w:b/>
          <w:sz w:val="22"/>
          <w:szCs w:val="22"/>
        </w:rPr>
        <w:t>We believe there needs to be a more substantive discussion of the nature of a reasonable suspicion</w:t>
      </w:r>
      <w:r w:rsidR="007444A5" w:rsidRPr="00593375">
        <w:rPr>
          <w:rFonts w:ascii="Albertus MT" w:hAnsi="Albertus MT"/>
          <w:b/>
          <w:sz w:val="22"/>
          <w:szCs w:val="22"/>
        </w:rPr>
        <w:t>. There should be a practical flexibility in the concept which should not be susceptible to ex post facto second guessing.</w:t>
      </w:r>
    </w:p>
    <w:p w:rsidR="00577808" w:rsidRPr="00593375" w:rsidRDefault="00577808" w:rsidP="00593375">
      <w:pPr>
        <w:pStyle w:val="Default"/>
        <w:ind w:left="567"/>
        <w:rPr>
          <w:rFonts w:ascii="Albertus MT" w:hAnsi="Albertus MT"/>
          <w:b/>
          <w:sz w:val="22"/>
          <w:szCs w:val="22"/>
        </w:rPr>
      </w:pPr>
    </w:p>
    <w:p w:rsidR="00577808" w:rsidRPr="00593375" w:rsidRDefault="00577808" w:rsidP="00593375">
      <w:pPr>
        <w:pStyle w:val="Default"/>
        <w:ind w:left="567"/>
        <w:rPr>
          <w:rFonts w:ascii="Albertus MT" w:hAnsi="Albertus MT"/>
          <w:b/>
          <w:sz w:val="22"/>
          <w:szCs w:val="22"/>
        </w:rPr>
      </w:pPr>
      <w:r w:rsidRPr="00593375">
        <w:rPr>
          <w:rFonts w:ascii="Albertus MT" w:hAnsi="Albertus MT" w:cs="Arial"/>
          <w:b/>
          <w:color w:val="000000" w:themeColor="text1"/>
          <w:sz w:val="22"/>
          <w:szCs w:val="22"/>
        </w:rPr>
        <w:t>Often suspicion builds over time through the observation of a pattern of activity, rather than from a single event. The first event in the pattern may not, by itself, trigger suspicion and it is possible that the pattern will not become apparent until the activity has repeated over a period of days or weeks. Given the proposed requirement that a firm may be held to account for not reporting the original event within two weeks we would recommend taking account of the above explanation of how patterns can slowly emerge</w:t>
      </w:r>
      <w:r w:rsidR="00F71019" w:rsidRPr="00593375">
        <w:rPr>
          <w:rFonts w:ascii="Albertus MT" w:hAnsi="Albertus MT" w:cs="Arial"/>
          <w:b/>
          <w:color w:val="000000" w:themeColor="text1"/>
          <w:sz w:val="22"/>
          <w:szCs w:val="22"/>
        </w:rPr>
        <w:t>.</w:t>
      </w:r>
    </w:p>
    <w:p w:rsidR="00E51B0E" w:rsidRPr="00593375" w:rsidRDefault="00E51B0E" w:rsidP="00593375">
      <w:pPr>
        <w:pStyle w:val="Default"/>
        <w:ind w:left="567" w:hanging="567"/>
        <w:rPr>
          <w:rFonts w:ascii="Albertus MT" w:hAnsi="Albertus MT"/>
          <w:sz w:val="22"/>
          <w:szCs w:val="22"/>
        </w:rPr>
      </w:pPr>
    </w:p>
    <w:p w:rsidR="00E51B0E" w:rsidRPr="00593375" w:rsidRDefault="00E51B0E" w:rsidP="00593375">
      <w:pPr>
        <w:pStyle w:val="Default"/>
        <w:ind w:left="567" w:hanging="567"/>
        <w:rPr>
          <w:rFonts w:ascii="Albertus MT" w:hAnsi="Albertus MT"/>
          <w:sz w:val="22"/>
          <w:szCs w:val="22"/>
        </w:rPr>
      </w:pPr>
      <w:r w:rsidRPr="00593375">
        <w:rPr>
          <w:rFonts w:ascii="Albertus MT" w:hAnsi="Albertus MT"/>
          <w:sz w:val="22"/>
          <w:szCs w:val="22"/>
        </w:rPr>
        <w:t xml:space="preserve">Q62: </w:t>
      </w:r>
      <w:r w:rsidRPr="00593375">
        <w:rPr>
          <w:rFonts w:ascii="Albertus MT" w:hAnsi="Albertus MT"/>
          <w:sz w:val="22"/>
          <w:szCs w:val="22"/>
        </w:rPr>
        <w:tab/>
        <w:t xml:space="preserve">Do you agree that institutions should generally base their decision on what they see and not make unreasonable presumption unless there is good reason to do so? </w:t>
      </w:r>
    </w:p>
    <w:p w:rsidR="008643CA" w:rsidRPr="00593375" w:rsidRDefault="008643CA" w:rsidP="00593375">
      <w:pPr>
        <w:pStyle w:val="Default"/>
        <w:ind w:left="567" w:hanging="567"/>
        <w:rPr>
          <w:rFonts w:ascii="Albertus MT" w:hAnsi="Albertus MT"/>
          <w:sz w:val="22"/>
          <w:szCs w:val="22"/>
        </w:rPr>
      </w:pPr>
    </w:p>
    <w:p w:rsidR="007444A5" w:rsidRPr="00593375" w:rsidRDefault="007444A5" w:rsidP="00593375">
      <w:pPr>
        <w:pStyle w:val="Default"/>
        <w:ind w:left="567"/>
        <w:rPr>
          <w:rFonts w:ascii="Albertus MT" w:hAnsi="Albertus MT"/>
          <w:b/>
          <w:sz w:val="22"/>
          <w:szCs w:val="22"/>
        </w:rPr>
      </w:pPr>
      <w:r w:rsidRPr="00593375">
        <w:rPr>
          <w:rFonts w:ascii="Albertus MT" w:hAnsi="Albertus MT"/>
          <w:b/>
          <w:sz w:val="22"/>
          <w:szCs w:val="22"/>
        </w:rPr>
        <w:t>There is never a good reason to make an unreasonable presumption. As we indicate above, a more substantive discussion of the nature of a reasonable suspicion would be helpful.</w:t>
      </w:r>
    </w:p>
    <w:p w:rsidR="00E51B0E" w:rsidRPr="00593375" w:rsidRDefault="00E51B0E" w:rsidP="00593375">
      <w:pPr>
        <w:pStyle w:val="Default"/>
        <w:ind w:left="567" w:hanging="567"/>
        <w:rPr>
          <w:rFonts w:ascii="Albertus MT" w:hAnsi="Albertus MT"/>
          <w:sz w:val="22"/>
          <w:szCs w:val="22"/>
        </w:rPr>
      </w:pPr>
    </w:p>
    <w:p w:rsidR="00E51B0E" w:rsidRPr="00593375" w:rsidRDefault="00E51B0E" w:rsidP="00593375">
      <w:pPr>
        <w:pStyle w:val="Default"/>
        <w:ind w:left="567" w:hanging="567"/>
        <w:rPr>
          <w:rFonts w:ascii="Albertus MT" w:hAnsi="Albertus MT"/>
          <w:sz w:val="22"/>
          <w:szCs w:val="22"/>
        </w:rPr>
      </w:pPr>
      <w:r w:rsidRPr="00593375">
        <w:rPr>
          <w:rFonts w:ascii="Albertus MT" w:hAnsi="Albertus MT"/>
          <w:sz w:val="22"/>
          <w:szCs w:val="22"/>
        </w:rPr>
        <w:t xml:space="preserve">Q63: </w:t>
      </w:r>
      <w:r w:rsidRPr="00593375">
        <w:rPr>
          <w:rFonts w:ascii="Albertus MT" w:hAnsi="Albertus MT"/>
          <w:sz w:val="22"/>
          <w:szCs w:val="22"/>
        </w:rPr>
        <w:tab/>
        <w:t xml:space="preserve">Do you have any views on what those reasons could be? </w:t>
      </w:r>
    </w:p>
    <w:p w:rsidR="007444A5" w:rsidRPr="00593375" w:rsidRDefault="007444A5" w:rsidP="00593375">
      <w:pPr>
        <w:pStyle w:val="Default"/>
        <w:ind w:left="567" w:hanging="567"/>
        <w:rPr>
          <w:rFonts w:ascii="Albertus MT" w:hAnsi="Albertus MT"/>
          <w:sz w:val="22"/>
          <w:szCs w:val="22"/>
        </w:rPr>
      </w:pPr>
    </w:p>
    <w:p w:rsidR="007444A5" w:rsidRPr="00593375" w:rsidRDefault="007444A5" w:rsidP="00593375">
      <w:pPr>
        <w:pStyle w:val="Default"/>
        <w:ind w:left="567"/>
        <w:rPr>
          <w:rFonts w:ascii="Albertus MT" w:hAnsi="Albertus MT"/>
          <w:b/>
          <w:sz w:val="22"/>
          <w:szCs w:val="22"/>
        </w:rPr>
      </w:pPr>
      <w:r w:rsidRPr="00593375">
        <w:rPr>
          <w:rFonts w:ascii="Albertus MT" w:hAnsi="Albertus MT"/>
          <w:b/>
          <w:sz w:val="22"/>
          <w:szCs w:val="22"/>
        </w:rPr>
        <w:t>There are no good reasons to report an unreasonable presumption.</w:t>
      </w:r>
    </w:p>
    <w:p w:rsidR="00E51B0E" w:rsidRPr="00593375" w:rsidRDefault="00E51B0E" w:rsidP="00593375">
      <w:pPr>
        <w:pStyle w:val="Default"/>
        <w:ind w:left="567" w:hanging="567"/>
        <w:rPr>
          <w:rFonts w:ascii="Albertus MT" w:hAnsi="Albertus MT"/>
          <w:b/>
          <w:sz w:val="22"/>
          <w:szCs w:val="22"/>
        </w:rPr>
      </w:pPr>
    </w:p>
    <w:p w:rsidR="00E51B0E" w:rsidRPr="00593375" w:rsidRDefault="00E51B0E" w:rsidP="00593375">
      <w:pPr>
        <w:pStyle w:val="Default"/>
        <w:ind w:left="567" w:hanging="567"/>
        <w:rPr>
          <w:rFonts w:ascii="Albertus MT" w:hAnsi="Albertus MT"/>
          <w:sz w:val="22"/>
          <w:szCs w:val="22"/>
        </w:rPr>
      </w:pPr>
      <w:r w:rsidRPr="00593375">
        <w:rPr>
          <w:rFonts w:ascii="Albertus MT" w:hAnsi="Albertus MT"/>
          <w:sz w:val="22"/>
          <w:szCs w:val="22"/>
        </w:rPr>
        <w:t xml:space="preserve">Q64: </w:t>
      </w:r>
      <w:r w:rsidRPr="00593375">
        <w:rPr>
          <w:rFonts w:ascii="Albertus MT" w:hAnsi="Albertus MT"/>
          <w:sz w:val="22"/>
          <w:szCs w:val="22"/>
        </w:rPr>
        <w:tab/>
        <w:t xml:space="preserve">Do you have a view on whether entities subject to the reporting obligation of Article 11 should or shouldn’t be subject to a requirement to establish automated surveillance systems and, if so, which firms? What features as a minimum should such systems cover? </w:t>
      </w:r>
    </w:p>
    <w:p w:rsidR="00682D26" w:rsidRPr="00593375" w:rsidRDefault="00682D26" w:rsidP="00593375">
      <w:pPr>
        <w:pStyle w:val="Default"/>
        <w:ind w:left="567" w:hanging="567"/>
        <w:rPr>
          <w:rFonts w:ascii="Albertus MT" w:hAnsi="Albertus MT"/>
          <w:sz w:val="22"/>
          <w:szCs w:val="22"/>
        </w:rPr>
      </w:pPr>
    </w:p>
    <w:p w:rsidR="00682D26" w:rsidRPr="00593375" w:rsidRDefault="00682D26" w:rsidP="00593375">
      <w:pPr>
        <w:pStyle w:val="Default"/>
        <w:ind w:left="567" w:hanging="567"/>
        <w:rPr>
          <w:rFonts w:ascii="Albertus MT" w:hAnsi="Albertus MT"/>
          <w:sz w:val="22"/>
          <w:szCs w:val="22"/>
        </w:rPr>
      </w:pPr>
      <w:r w:rsidRPr="00593375">
        <w:rPr>
          <w:rFonts w:ascii="Albertus MT" w:hAnsi="Albertus MT" w:cs="Times New Roman"/>
          <w:color w:val="365F91" w:themeColor="accent1" w:themeShade="BF"/>
        </w:rPr>
        <w:t>.</w:t>
      </w:r>
    </w:p>
    <w:p w:rsidR="00E51B0E" w:rsidRPr="00593375" w:rsidRDefault="00E51B0E" w:rsidP="00593375">
      <w:pPr>
        <w:pStyle w:val="Default"/>
        <w:ind w:left="567" w:hanging="567"/>
        <w:rPr>
          <w:rFonts w:ascii="Albertus MT" w:hAnsi="Albertus MT"/>
          <w:sz w:val="22"/>
          <w:szCs w:val="22"/>
        </w:rPr>
      </w:pPr>
    </w:p>
    <w:p w:rsidR="00E51B0E" w:rsidRPr="00593375" w:rsidRDefault="00E51B0E" w:rsidP="00593375">
      <w:pPr>
        <w:pStyle w:val="Default"/>
        <w:ind w:left="567" w:hanging="567"/>
        <w:rPr>
          <w:rFonts w:ascii="Albertus MT" w:hAnsi="Albertus MT"/>
          <w:sz w:val="22"/>
          <w:szCs w:val="22"/>
        </w:rPr>
      </w:pPr>
      <w:r w:rsidRPr="00593375">
        <w:rPr>
          <w:rFonts w:ascii="Albertus MT" w:hAnsi="Albertus MT"/>
          <w:sz w:val="22"/>
          <w:szCs w:val="22"/>
        </w:rPr>
        <w:t xml:space="preserve">Q65: </w:t>
      </w:r>
      <w:r w:rsidRPr="00593375">
        <w:rPr>
          <w:rFonts w:ascii="Albertus MT" w:hAnsi="Albertus MT"/>
          <w:sz w:val="22"/>
          <w:szCs w:val="22"/>
        </w:rPr>
        <w:tab/>
        <w:t xml:space="preserve">Do you consider that trading venues should be required to have an IT system allowing ex post reading and analysis of the order book? If not, please explain. </w:t>
      </w:r>
    </w:p>
    <w:p w:rsidR="003B496C" w:rsidRPr="00593375" w:rsidRDefault="003B496C" w:rsidP="00593375">
      <w:pPr>
        <w:pStyle w:val="Default"/>
        <w:ind w:left="567" w:hanging="567"/>
        <w:rPr>
          <w:rFonts w:ascii="Albertus MT" w:hAnsi="Albertus MT"/>
          <w:sz w:val="22"/>
          <w:szCs w:val="22"/>
        </w:rPr>
      </w:pPr>
    </w:p>
    <w:p w:rsidR="00E51B0E" w:rsidRPr="00593375" w:rsidRDefault="00E51B0E" w:rsidP="00593375">
      <w:pPr>
        <w:pStyle w:val="Default"/>
        <w:ind w:left="567" w:hanging="567"/>
        <w:rPr>
          <w:rFonts w:ascii="Albertus MT" w:hAnsi="Albertus MT"/>
          <w:sz w:val="22"/>
          <w:szCs w:val="22"/>
        </w:rPr>
      </w:pPr>
    </w:p>
    <w:p w:rsidR="00E51B0E" w:rsidRPr="00593375" w:rsidRDefault="00E51B0E" w:rsidP="00593375">
      <w:pPr>
        <w:pStyle w:val="Default"/>
        <w:ind w:left="567" w:hanging="567"/>
        <w:rPr>
          <w:rFonts w:ascii="Albertus MT" w:hAnsi="Albertus MT"/>
          <w:sz w:val="22"/>
          <w:szCs w:val="22"/>
        </w:rPr>
      </w:pPr>
      <w:r w:rsidRPr="00593375">
        <w:rPr>
          <w:rFonts w:ascii="Albertus MT" w:hAnsi="Albertus MT"/>
          <w:sz w:val="22"/>
          <w:szCs w:val="22"/>
        </w:rPr>
        <w:t xml:space="preserve">Q66: </w:t>
      </w:r>
      <w:r w:rsidRPr="00593375">
        <w:rPr>
          <w:rFonts w:ascii="Albertus MT" w:hAnsi="Albertus MT"/>
          <w:sz w:val="22"/>
          <w:szCs w:val="22"/>
        </w:rPr>
        <w:tab/>
        <w:t xml:space="preserve">Do you have views on the level of training that should be provided to staff to effectively detect and report suspicious orders and transactions? </w:t>
      </w:r>
    </w:p>
    <w:p w:rsidR="00E51B0E" w:rsidRPr="00593375" w:rsidRDefault="00E51B0E" w:rsidP="00593375">
      <w:pPr>
        <w:pStyle w:val="Default"/>
        <w:ind w:left="567" w:hanging="567"/>
        <w:rPr>
          <w:rFonts w:ascii="Albertus MT" w:hAnsi="Albertus MT"/>
          <w:sz w:val="22"/>
          <w:szCs w:val="22"/>
        </w:rPr>
      </w:pPr>
    </w:p>
    <w:p w:rsidR="00E51B0E" w:rsidRPr="00593375" w:rsidRDefault="00E51B0E" w:rsidP="00593375">
      <w:pPr>
        <w:pStyle w:val="Default"/>
        <w:ind w:left="567" w:hanging="567"/>
        <w:rPr>
          <w:rFonts w:ascii="Albertus MT" w:hAnsi="Albertus MT"/>
          <w:sz w:val="22"/>
          <w:szCs w:val="22"/>
        </w:rPr>
      </w:pPr>
    </w:p>
    <w:p w:rsidR="00E51B0E" w:rsidRPr="00593375" w:rsidRDefault="00E51B0E" w:rsidP="00593375">
      <w:pPr>
        <w:pStyle w:val="Default"/>
        <w:ind w:left="567" w:hanging="567"/>
        <w:rPr>
          <w:rFonts w:ascii="Albertus MT" w:hAnsi="Albertus MT"/>
          <w:sz w:val="22"/>
          <w:szCs w:val="22"/>
        </w:rPr>
      </w:pPr>
    </w:p>
    <w:p w:rsidR="00E51B0E" w:rsidRPr="00593375" w:rsidRDefault="00E51B0E" w:rsidP="00593375">
      <w:pPr>
        <w:pStyle w:val="Default"/>
        <w:ind w:left="567" w:hanging="567"/>
        <w:rPr>
          <w:rFonts w:ascii="Albertus MT" w:hAnsi="Albertus MT"/>
          <w:sz w:val="22"/>
          <w:szCs w:val="22"/>
        </w:rPr>
      </w:pPr>
    </w:p>
    <w:p w:rsidR="00E51B0E" w:rsidRDefault="00E51B0E" w:rsidP="00593375">
      <w:pPr>
        <w:spacing w:after="0" w:line="240" w:lineRule="auto"/>
        <w:ind w:left="567" w:hanging="567"/>
        <w:rPr>
          <w:rFonts w:ascii="Albertus MT" w:hAnsi="Albertus MT"/>
          <w:sz w:val="22"/>
          <w:szCs w:val="22"/>
        </w:rPr>
      </w:pPr>
      <w:r w:rsidRPr="00593375">
        <w:rPr>
          <w:rFonts w:ascii="Albertus MT" w:hAnsi="Albertus MT"/>
          <w:sz w:val="22"/>
          <w:szCs w:val="22"/>
        </w:rPr>
        <w:lastRenderedPageBreak/>
        <w:t xml:space="preserve">Q67: </w:t>
      </w:r>
      <w:r w:rsidRPr="00593375">
        <w:rPr>
          <w:rFonts w:ascii="Albertus MT" w:hAnsi="Albertus MT"/>
          <w:sz w:val="22"/>
          <w:szCs w:val="22"/>
        </w:rPr>
        <w:tab/>
        <w:t>Do you agree with the proposed information to be included in, and the overall layout of the STRs?</w:t>
      </w:r>
    </w:p>
    <w:p w:rsidR="00593375" w:rsidRPr="00593375" w:rsidRDefault="00593375" w:rsidP="00593375">
      <w:pPr>
        <w:spacing w:after="0" w:line="240" w:lineRule="auto"/>
        <w:ind w:left="567" w:hanging="567"/>
        <w:rPr>
          <w:rFonts w:ascii="Albertus MT" w:hAnsi="Albertus MT"/>
          <w:sz w:val="22"/>
          <w:szCs w:val="22"/>
        </w:rPr>
      </w:pPr>
    </w:p>
    <w:p w:rsidR="00E51B0E" w:rsidRDefault="00237F5B" w:rsidP="00593375">
      <w:pPr>
        <w:spacing w:after="0" w:line="240" w:lineRule="auto"/>
        <w:ind w:left="567"/>
        <w:rPr>
          <w:rFonts w:ascii="Albertus MT" w:hAnsi="Albertus MT"/>
          <w:b/>
          <w:sz w:val="22"/>
          <w:szCs w:val="22"/>
        </w:rPr>
      </w:pPr>
      <w:r w:rsidRPr="00593375">
        <w:rPr>
          <w:rFonts w:ascii="Albertus MT" w:hAnsi="Albertus MT"/>
          <w:b/>
          <w:sz w:val="22"/>
          <w:szCs w:val="22"/>
        </w:rPr>
        <w:t xml:space="preserve">We agree. </w:t>
      </w:r>
    </w:p>
    <w:p w:rsidR="00593375" w:rsidRPr="00593375" w:rsidRDefault="00593375" w:rsidP="00593375">
      <w:pPr>
        <w:spacing w:after="0" w:line="240" w:lineRule="auto"/>
        <w:ind w:left="567"/>
        <w:rPr>
          <w:rFonts w:ascii="Albertus MT" w:hAnsi="Albertus MT"/>
          <w:sz w:val="22"/>
          <w:szCs w:val="22"/>
        </w:rPr>
      </w:pPr>
    </w:p>
    <w:p w:rsidR="00237F5B" w:rsidRPr="00593375" w:rsidRDefault="00E51B0E" w:rsidP="00593375">
      <w:pPr>
        <w:pStyle w:val="Default"/>
        <w:ind w:left="567" w:hanging="567"/>
        <w:rPr>
          <w:rFonts w:ascii="Albertus MT" w:hAnsi="Albertus MT"/>
          <w:sz w:val="22"/>
          <w:szCs w:val="22"/>
        </w:rPr>
      </w:pPr>
      <w:r w:rsidRPr="00593375">
        <w:rPr>
          <w:rFonts w:ascii="Albertus MT" w:hAnsi="Albertus MT"/>
          <w:sz w:val="22"/>
          <w:szCs w:val="22"/>
        </w:rPr>
        <w:t xml:space="preserve">Q68: </w:t>
      </w:r>
      <w:r w:rsidRPr="00593375">
        <w:rPr>
          <w:rFonts w:ascii="Albertus MT" w:hAnsi="Albertus MT"/>
          <w:sz w:val="22"/>
          <w:szCs w:val="22"/>
        </w:rPr>
        <w:tab/>
        <w:t>Do you agree that ESMA should substantially revise existing STR templates and develop a common electronic template? Do you have any views on what ESMA should consider when developing these templates?</w:t>
      </w:r>
    </w:p>
    <w:p w:rsidR="00E51B0E" w:rsidRPr="00593375" w:rsidRDefault="00E51B0E" w:rsidP="00593375">
      <w:pPr>
        <w:pStyle w:val="Default"/>
        <w:ind w:left="567" w:hanging="567"/>
        <w:rPr>
          <w:rFonts w:ascii="Albertus MT" w:hAnsi="Albertus MT"/>
          <w:sz w:val="22"/>
          <w:szCs w:val="22"/>
        </w:rPr>
      </w:pPr>
      <w:r w:rsidRPr="00593375">
        <w:rPr>
          <w:rFonts w:ascii="Albertus MT" w:hAnsi="Albertus MT"/>
          <w:sz w:val="22"/>
          <w:szCs w:val="22"/>
        </w:rPr>
        <w:t xml:space="preserve"> </w:t>
      </w:r>
    </w:p>
    <w:p w:rsidR="00E51B0E" w:rsidRPr="00593375" w:rsidRDefault="00237F5B" w:rsidP="00593375">
      <w:pPr>
        <w:pStyle w:val="Default"/>
        <w:ind w:left="567"/>
        <w:rPr>
          <w:rFonts w:ascii="Albertus MT" w:hAnsi="Albertus MT"/>
          <w:sz w:val="22"/>
          <w:szCs w:val="22"/>
        </w:rPr>
      </w:pPr>
      <w:r w:rsidRPr="00593375">
        <w:rPr>
          <w:rFonts w:ascii="Albertus MT" w:hAnsi="Albertus MT"/>
          <w:b/>
          <w:sz w:val="22"/>
          <w:szCs w:val="22"/>
        </w:rPr>
        <w:t>We agree. The templates should be simple as possible.</w:t>
      </w:r>
    </w:p>
    <w:p w:rsidR="00E51B0E" w:rsidRPr="00593375" w:rsidRDefault="00E51B0E" w:rsidP="00593375">
      <w:pPr>
        <w:pStyle w:val="Default"/>
        <w:ind w:left="567" w:hanging="567"/>
        <w:rPr>
          <w:rFonts w:ascii="Albertus MT" w:hAnsi="Albertus MT"/>
          <w:sz w:val="22"/>
          <w:szCs w:val="22"/>
        </w:rPr>
      </w:pPr>
    </w:p>
    <w:p w:rsidR="00E51B0E" w:rsidRPr="00593375" w:rsidRDefault="00E51B0E" w:rsidP="00593375">
      <w:pPr>
        <w:spacing w:after="0" w:line="240" w:lineRule="auto"/>
        <w:ind w:left="567" w:hanging="567"/>
        <w:rPr>
          <w:rFonts w:ascii="Albertus MT" w:hAnsi="Albertus MT"/>
          <w:sz w:val="22"/>
          <w:szCs w:val="22"/>
        </w:rPr>
      </w:pPr>
      <w:r w:rsidRPr="00593375">
        <w:rPr>
          <w:rFonts w:ascii="Albertus MT" w:hAnsi="Albertus MT"/>
          <w:sz w:val="22"/>
          <w:szCs w:val="22"/>
        </w:rPr>
        <w:t xml:space="preserve">Q69: </w:t>
      </w:r>
      <w:r w:rsidRPr="00593375">
        <w:rPr>
          <w:rFonts w:ascii="Albertus MT" w:hAnsi="Albertus MT"/>
          <w:sz w:val="22"/>
          <w:szCs w:val="22"/>
        </w:rPr>
        <w:tab/>
        <w:t>Do you agree with ESMA’s view for a five year record-keeping requirement, and that this should also apply to decisions regarding “near misses”?</w:t>
      </w:r>
    </w:p>
    <w:p w:rsidR="00E51B0E" w:rsidRPr="00593375" w:rsidRDefault="00E51B0E" w:rsidP="00593375">
      <w:pPr>
        <w:pStyle w:val="Default"/>
        <w:rPr>
          <w:rFonts w:ascii="Albertus MT" w:hAnsi="Albertus MT"/>
          <w:b/>
          <w:bCs/>
          <w:sz w:val="28"/>
          <w:szCs w:val="28"/>
        </w:rPr>
      </w:pPr>
    </w:p>
    <w:p w:rsidR="008643CA" w:rsidRPr="00593375" w:rsidRDefault="008643CA" w:rsidP="00593375">
      <w:pPr>
        <w:pStyle w:val="Default"/>
        <w:rPr>
          <w:rFonts w:ascii="Albertus MT" w:hAnsi="Albertus MT"/>
          <w:b/>
          <w:bCs/>
          <w:sz w:val="28"/>
          <w:szCs w:val="28"/>
        </w:rPr>
      </w:pPr>
    </w:p>
    <w:p w:rsidR="008643CA" w:rsidRPr="00593375" w:rsidRDefault="008643CA" w:rsidP="00593375">
      <w:pPr>
        <w:pStyle w:val="Default"/>
        <w:rPr>
          <w:rFonts w:ascii="Albertus MT" w:hAnsi="Albertus MT"/>
          <w:b/>
          <w:bCs/>
          <w:sz w:val="28"/>
          <w:szCs w:val="28"/>
        </w:rPr>
      </w:pPr>
    </w:p>
    <w:p w:rsidR="008643CA" w:rsidRPr="00593375" w:rsidRDefault="008643CA" w:rsidP="00593375">
      <w:pPr>
        <w:pStyle w:val="Default"/>
        <w:rPr>
          <w:rFonts w:ascii="Albertus MT" w:hAnsi="Albertus MT"/>
          <w:b/>
          <w:bCs/>
          <w:sz w:val="28"/>
          <w:szCs w:val="28"/>
        </w:rPr>
      </w:pPr>
    </w:p>
    <w:p w:rsidR="008643CA" w:rsidRPr="00593375" w:rsidRDefault="008643CA" w:rsidP="00593375">
      <w:pPr>
        <w:pStyle w:val="Default"/>
        <w:rPr>
          <w:rFonts w:ascii="Albertus MT" w:hAnsi="Albertus MT"/>
          <w:b/>
          <w:bCs/>
          <w:sz w:val="28"/>
          <w:szCs w:val="28"/>
        </w:rPr>
      </w:pPr>
    </w:p>
    <w:p w:rsidR="008643CA" w:rsidRPr="00593375" w:rsidRDefault="008643CA" w:rsidP="00593375">
      <w:pPr>
        <w:pStyle w:val="Default"/>
        <w:rPr>
          <w:rFonts w:ascii="Albertus MT" w:hAnsi="Albertus MT"/>
          <w:b/>
          <w:bCs/>
          <w:sz w:val="28"/>
          <w:szCs w:val="28"/>
        </w:rPr>
      </w:pPr>
    </w:p>
    <w:p w:rsidR="008643CA" w:rsidRPr="00593375" w:rsidRDefault="008643CA" w:rsidP="00593375">
      <w:pPr>
        <w:pStyle w:val="Default"/>
        <w:rPr>
          <w:rFonts w:ascii="Albertus MT" w:hAnsi="Albertus MT"/>
          <w:b/>
          <w:bCs/>
          <w:sz w:val="28"/>
          <w:szCs w:val="28"/>
        </w:rPr>
      </w:pPr>
    </w:p>
    <w:p w:rsidR="008643CA" w:rsidRPr="00593375" w:rsidRDefault="008643CA" w:rsidP="00593375">
      <w:pPr>
        <w:pStyle w:val="Default"/>
        <w:rPr>
          <w:rFonts w:ascii="Albertus MT" w:hAnsi="Albertus MT"/>
          <w:b/>
          <w:bCs/>
          <w:sz w:val="28"/>
          <w:szCs w:val="28"/>
        </w:rPr>
      </w:pPr>
    </w:p>
    <w:p w:rsidR="008643CA" w:rsidRPr="00593375" w:rsidRDefault="008643CA" w:rsidP="00593375">
      <w:pPr>
        <w:pStyle w:val="Default"/>
        <w:rPr>
          <w:rFonts w:ascii="Albertus MT" w:hAnsi="Albertus MT"/>
          <w:b/>
          <w:bCs/>
          <w:sz w:val="28"/>
          <w:szCs w:val="28"/>
        </w:rPr>
      </w:pPr>
    </w:p>
    <w:p w:rsidR="008643CA" w:rsidRPr="00593375" w:rsidRDefault="008643CA" w:rsidP="00593375">
      <w:pPr>
        <w:pStyle w:val="Default"/>
        <w:rPr>
          <w:rFonts w:ascii="Albertus MT" w:hAnsi="Albertus MT"/>
          <w:b/>
          <w:bCs/>
          <w:sz w:val="28"/>
          <w:szCs w:val="28"/>
        </w:rPr>
      </w:pPr>
    </w:p>
    <w:p w:rsidR="008643CA" w:rsidRPr="00593375" w:rsidRDefault="008643CA" w:rsidP="00593375">
      <w:pPr>
        <w:pStyle w:val="Default"/>
        <w:rPr>
          <w:rFonts w:ascii="Albertus MT" w:hAnsi="Albertus MT"/>
          <w:b/>
          <w:bCs/>
          <w:sz w:val="28"/>
          <w:szCs w:val="28"/>
        </w:rPr>
      </w:pPr>
    </w:p>
    <w:p w:rsidR="00FA0466" w:rsidRDefault="00FA0466">
      <w:pPr>
        <w:rPr>
          <w:rFonts w:ascii="Albertus MT" w:hAnsi="Albertus MT" w:cs="Georgia"/>
          <w:b/>
          <w:bCs/>
          <w:color w:val="000000"/>
          <w:sz w:val="28"/>
          <w:szCs w:val="28"/>
          <w:lang w:val="en-GB"/>
        </w:rPr>
      </w:pPr>
      <w:r>
        <w:rPr>
          <w:rFonts w:ascii="Albertus MT" w:hAnsi="Albertus MT"/>
          <w:b/>
          <w:bCs/>
          <w:sz w:val="28"/>
          <w:szCs w:val="28"/>
        </w:rPr>
        <w:br w:type="page"/>
      </w:r>
    </w:p>
    <w:p w:rsidR="00E51B0E" w:rsidRPr="00593375" w:rsidRDefault="00E51B0E" w:rsidP="00593375">
      <w:pPr>
        <w:pStyle w:val="Default"/>
        <w:rPr>
          <w:rFonts w:ascii="Albertus MT" w:hAnsi="Albertus MT"/>
          <w:b/>
          <w:bCs/>
          <w:sz w:val="28"/>
          <w:szCs w:val="28"/>
        </w:rPr>
      </w:pPr>
      <w:r w:rsidRPr="00593375">
        <w:rPr>
          <w:rFonts w:ascii="Albertus MT" w:hAnsi="Albertus MT"/>
          <w:b/>
          <w:bCs/>
          <w:sz w:val="28"/>
          <w:szCs w:val="28"/>
        </w:rPr>
        <w:lastRenderedPageBreak/>
        <w:t xml:space="preserve">Public disclosure of inside information and delays (Article 12 of MAR) </w:t>
      </w:r>
    </w:p>
    <w:p w:rsidR="00E51B0E" w:rsidRPr="00593375" w:rsidRDefault="00E51B0E" w:rsidP="00593375">
      <w:pPr>
        <w:pStyle w:val="Default"/>
        <w:rPr>
          <w:rFonts w:ascii="Albertus MT" w:hAnsi="Albertus MT"/>
          <w:sz w:val="22"/>
          <w:szCs w:val="22"/>
        </w:rPr>
      </w:pPr>
    </w:p>
    <w:p w:rsidR="00E51B0E" w:rsidRPr="00593375" w:rsidRDefault="00E51B0E" w:rsidP="00593375">
      <w:pPr>
        <w:pStyle w:val="Default"/>
        <w:ind w:left="567" w:hanging="567"/>
        <w:rPr>
          <w:rFonts w:ascii="Albertus MT" w:hAnsi="Albertus MT"/>
          <w:sz w:val="22"/>
          <w:szCs w:val="22"/>
        </w:rPr>
      </w:pPr>
      <w:r w:rsidRPr="00593375">
        <w:rPr>
          <w:rFonts w:ascii="Albertus MT" w:hAnsi="Albertus MT"/>
          <w:sz w:val="22"/>
          <w:szCs w:val="22"/>
        </w:rPr>
        <w:t xml:space="preserve">Q70: </w:t>
      </w:r>
      <w:r w:rsidRPr="00593375">
        <w:rPr>
          <w:rFonts w:ascii="Albertus MT" w:hAnsi="Albertus MT"/>
          <w:sz w:val="22"/>
          <w:szCs w:val="22"/>
        </w:rPr>
        <w:tab/>
        <w:t xml:space="preserve">Do you agree with this general approach? If not, please provide an explanation. </w:t>
      </w:r>
    </w:p>
    <w:p w:rsidR="00D11555" w:rsidRPr="00593375" w:rsidRDefault="00D11555" w:rsidP="00593375">
      <w:pPr>
        <w:pStyle w:val="Default"/>
        <w:ind w:left="567" w:hanging="567"/>
        <w:rPr>
          <w:rFonts w:ascii="Albertus MT" w:hAnsi="Albertus MT"/>
          <w:sz w:val="22"/>
          <w:szCs w:val="22"/>
        </w:rPr>
      </w:pPr>
    </w:p>
    <w:p w:rsidR="00D11555" w:rsidRPr="00593375" w:rsidRDefault="00D11555" w:rsidP="00593375">
      <w:pPr>
        <w:pStyle w:val="Default"/>
        <w:ind w:left="567"/>
        <w:rPr>
          <w:rFonts w:ascii="Albertus MT" w:hAnsi="Albertus MT"/>
          <w:b/>
          <w:sz w:val="22"/>
          <w:szCs w:val="22"/>
        </w:rPr>
      </w:pPr>
      <w:r w:rsidRPr="00593375">
        <w:rPr>
          <w:rFonts w:ascii="Albertus MT" w:hAnsi="Albertus MT"/>
          <w:b/>
          <w:sz w:val="22"/>
          <w:szCs w:val="22"/>
        </w:rPr>
        <w:t>We agree.</w:t>
      </w:r>
    </w:p>
    <w:p w:rsidR="00E51B0E" w:rsidRPr="00593375" w:rsidRDefault="00E51B0E" w:rsidP="00593375">
      <w:pPr>
        <w:pStyle w:val="Default"/>
        <w:ind w:left="567" w:hanging="567"/>
        <w:rPr>
          <w:rFonts w:ascii="Albertus MT" w:hAnsi="Albertus MT"/>
          <w:sz w:val="22"/>
          <w:szCs w:val="22"/>
        </w:rPr>
      </w:pPr>
    </w:p>
    <w:p w:rsidR="00E51B0E" w:rsidRPr="00593375" w:rsidRDefault="00E51B0E" w:rsidP="00593375">
      <w:pPr>
        <w:pStyle w:val="Default"/>
        <w:ind w:left="567" w:hanging="567"/>
        <w:rPr>
          <w:rFonts w:ascii="Albertus MT" w:hAnsi="Albertus MT"/>
          <w:color w:val="auto"/>
          <w:sz w:val="22"/>
          <w:szCs w:val="22"/>
        </w:rPr>
      </w:pPr>
      <w:r w:rsidRPr="00593375">
        <w:rPr>
          <w:rFonts w:ascii="Albertus MT" w:hAnsi="Albertus MT"/>
          <w:sz w:val="22"/>
          <w:szCs w:val="22"/>
        </w:rPr>
        <w:t xml:space="preserve">Q71: </w:t>
      </w:r>
      <w:r w:rsidRPr="00593375">
        <w:rPr>
          <w:rFonts w:ascii="Albertus MT" w:hAnsi="Albertus MT"/>
          <w:sz w:val="22"/>
          <w:szCs w:val="22"/>
        </w:rPr>
        <w:tab/>
        <w:t xml:space="preserve">Do you agree that, in order to ensure an appropriate dissemination of inside information to the public (i.e. enabling a fast access and a complete, correct and timely assessment of 96 </w:t>
      </w:r>
      <w:r w:rsidRPr="00593375">
        <w:rPr>
          <w:rFonts w:ascii="Albertus MT" w:hAnsi="Albertus MT"/>
          <w:color w:val="auto"/>
          <w:sz w:val="22"/>
          <w:szCs w:val="22"/>
        </w:rPr>
        <w:t xml:space="preserve">the information), applying similar requirements to those set out in the TD for the dissemination of information to all issuers of RM/MTF/OTF financial instruments would be adequate? If not, please explain and, if possible, provide alternative approaches to consider in due respect of article 12 paragraph 1 of MAR. </w:t>
      </w:r>
    </w:p>
    <w:p w:rsidR="00D11555" w:rsidRPr="00593375" w:rsidRDefault="00D11555" w:rsidP="00593375">
      <w:pPr>
        <w:pStyle w:val="Default"/>
        <w:ind w:left="567" w:hanging="567"/>
        <w:rPr>
          <w:rFonts w:ascii="Albertus MT" w:hAnsi="Albertus MT"/>
          <w:color w:val="auto"/>
          <w:sz w:val="22"/>
          <w:szCs w:val="22"/>
        </w:rPr>
      </w:pPr>
    </w:p>
    <w:p w:rsidR="00D11555" w:rsidRPr="00593375" w:rsidRDefault="00D11555" w:rsidP="00593375">
      <w:pPr>
        <w:pStyle w:val="Default"/>
        <w:ind w:left="567"/>
        <w:rPr>
          <w:rFonts w:ascii="Albertus MT" w:hAnsi="Albertus MT"/>
          <w:b/>
          <w:color w:val="auto"/>
          <w:sz w:val="22"/>
          <w:szCs w:val="22"/>
        </w:rPr>
      </w:pPr>
      <w:r w:rsidRPr="00593375">
        <w:rPr>
          <w:rFonts w:ascii="Albertus MT" w:hAnsi="Albertus MT"/>
          <w:b/>
          <w:color w:val="auto"/>
          <w:sz w:val="22"/>
          <w:szCs w:val="22"/>
        </w:rPr>
        <w:t>We agree.</w:t>
      </w:r>
    </w:p>
    <w:p w:rsidR="00E51B0E" w:rsidRPr="00593375" w:rsidRDefault="00E51B0E" w:rsidP="00593375">
      <w:pPr>
        <w:pStyle w:val="Default"/>
        <w:ind w:left="567" w:hanging="567"/>
        <w:rPr>
          <w:rFonts w:ascii="Albertus MT" w:hAnsi="Albertus MT"/>
          <w:color w:val="auto"/>
          <w:sz w:val="22"/>
          <w:szCs w:val="22"/>
        </w:rPr>
      </w:pPr>
    </w:p>
    <w:p w:rsidR="00E51B0E" w:rsidRPr="00593375" w:rsidRDefault="00E51B0E" w:rsidP="00593375">
      <w:pPr>
        <w:pStyle w:val="Default"/>
        <w:ind w:left="567" w:hanging="567"/>
        <w:rPr>
          <w:rFonts w:ascii="Albertus MT" w:hAnsi="Albertus MT"/>
          <w:color w:val="auto"/>
          <w:sz w:val="22"/>
          <w:szCs w:val="22"/>
        </w:rPr>
      </w:pPr>
      <w:r w:rsidRPr="00593375">
        <w:rPr>
          <w:rFonts w:ascii="Albertus MT" w:hAnsi="Albertus MT"/>
          <w:color w:val="auto"/>
          <w:sz w:val="22"/>
          <w:szCs w:val="22"/>
        </w:rPr>
        <w:t xml:space="preserve">Q72: </w:t>
      </w:r>
      <w:r w:rsidRPr="00593375">
        <w:rPr>
          <w:rFonts w:ascii="Albertus MT" w:hAnsi="Albertus MT"/>
          <w:color w:val="auto"/>
          <w:sz w:val="22"/>
          <w:szCs w:val="22"/>
        </w:rPr>
        <w:tab/>
        <w:t xml:space="preserve">Do you agree to include the requirement to disclose as soon as possible significant changes in already published inside information? If not, please explain. </w:t>
      </w:r>
    </w:p>
    <w:p w:rsidR="00D11555" w:rsidRPr="00593375" w:rsidRDefault="00D11555" w:rsidP="00593375">
      <w:pPr>
        <w:pStyle w:val="Default"/>
        <w:ind w:left="567" w:hanging="567"/>
        <w:rPr>
          <w:rFonts w:ascii="Albertus MT" w:hAnsi="Albertus MT"/>
          <w:color w:val="auto"/>
          <w:sz w:val="22"/>
          <w:szCs w:val="22"/>
        </w:rPr>
      </w:pPr>
    </w:p>
    <w:p w:rsidR="00D11555" w:rsidRPr="00593375" w:rsidRDefault="00D11555" w:rsidP="00593375">
      <w:pPr>
        <w:pStyle w:val="Default"/>
        <w:ind w:left="567"/>
        <w:rPr>
          <w:rFonts w:ascii="Albertus MT" w:hAnsi="Albertus MT"/>
          <w:b/>
          <w:color w:val="auto"/>
          <w:sz w:val="22"/>
          <w:szCs w:val="22"/>
        </w:rPr>
      </w:pPr>
      <w:r w:rsidRPr="00593375">
        <w:rPr>
          <w:rFonts w:ascii="Albertus MT" w:hAnsi="Albertus MT"/>
          <w:b/>
          <w:color w:val="auto"/>
          <w:sz w:val="22"/>
          <w:szCs w:val="22"/>
        </w:rPr>
        <w:t xml:space="preserve">We believe that only inside information should be required to be published. Thus, if there are changes to previously </w:t>
      </w:r>
      <w:proofErr w:type="gramStart"/>
      <w:r w:rsidRPr="00593375">
        <w:rPr>
          <w:rFonts w:ascii="Albertus MT" w:hAnsi="Albertus MT"/>
          <w:b/>
          <w:color w:val="auto"/>
          <w:sz w:val="22"/>
          <w:szCs w:val="22"/>
        </w:rPr>
        <w:t>published</w:t>
      </w:r>
      <w:proofErr w:type="gramEnd"/>
      <w:r w:rsidRPr="00593375">
        <w:rPr>
          <w:rFonts w:ascii="Albertus MT" w:hAnsi="Albertus MT"/>
          <w:b/>
          <w:color w:val="auto"/>
          <w:sz w:val="22"/>
          <w:szCs w:val="22"/>
        </w:rPr>
        <w:t xml:space="preserve"> inside information --which do not constitute inside information in themselves—there should be no duty to publish the changes. </w:t>
      </w:r>
    </w:p>
    <w:p w:rsidR="00E51B0E" w:rsidRPr="00593375" w:rsidRDefault="00E51B0E" w:rsidP="00593375">
      <w:pPr>
        <w:pStyle w:val="Default"/>
        <w:ind w:left="567" w:hanging="567"/>
        <w:rPr>
          <w:rFonts w:ascii="Albertus MT" w:hAnsi="Albertus MT"/>
          <w:color w:val="auto"/>
          <w:sz w:val="22"/>
          <w:szCs w:val="22"/>
        </w:rPr>
      </w:pPr>
    </w:p>
    <w:p w:rsidR="0051298D" w:rsidRPr="00593375" w:rsidRDefault="00E51B0E" w:rsidP="00593375">
      <w:pPr>
        <w:pStyle w:val="Default"/>
        <w:ind w:left="567" w:hanging="567"/>
        <w:rPr>
          <w:rFonts w:ascii="Albertus MT" w:hAnsi="Albertus MT"/>
          <w:color w:val="auto"/>
          <w:sz w:val="22"/>
          <w:szCs w:val="22"/>
        </w:rPr>
      </w:pPr>
      <w:r w:rsidRPr="00593375">
        <w:rPr>
          <w:rFonts w:ascii="Albertus MT" w:hAnsi="Albertus MT"/>
          <w:color w:val="auto"/>
          <w:sz w:val="22"/>
          <w:szCs w:val="22"/>
        </w:rPr>
        <w:t xml:space="preserve">Q73: </w:t>
      </w:r>
      <w:r w:rsidRPr="00593375">
        <w:rPr>
          <w:rFonts w:ascii="Albertus MT" w:hAnsi="Albertus MT"/>
          <w:color w:val="auto"/>
          <w:sz w:val="22"/>
          <w:szCs w:val="22"/>
        </w:rPr>
        <w:tab/>
        <w:t>Do you agree with the suggested criteria applicable to the website where the issuer is posting inside information? Should other criteria be considered?</w:t>
      </w:r>
    </w:p>
    <w:p w:rsidR="00E51B0E" w:rsidRPr="00593375" w:rsidRDefault="00E51B0E" w:rsidP="00593375">
      <w:pPr>
        <w:pStyle w:val="Default"/>
        <w:ind w:left="567" w:hanging="567"/>
        <w:rPr>
          <w:rFonts w:ascii="Albertus MT" w:hAnsi="Albertus MT"/>
          <w:color w:val="auto"/>
          <w:sz w:val="22"/>
          <w:szCs w:val="22"/>
        </w:rPr>
      </w:pPr>
      <w:r w:rsidRPr="00593375">
        <w:rPr>
          <w:rFonts w:ascii="Albertus MT" w:hAnsi="Albertus MT"/>
          <w:color w:val="auto"/>
          <w:sz w:val="22"/>
          <w:szCs w:val="22"/>
        </w:rPr>
        <w:t xml:space="preserve"> </w:t>
      </w:r>
    </w:p>
    <w:p w:rsidR="0051298D" w:rsidRPr="00593375" w:rsidRDefault="0051298D" w:rsidP="00593375">
      <w:pPr>
        <w:pStyle w:val="Default"/>
        <w:ind w:left="567"/>
        <w:rPr>
          <w:rFonts w:ascii="Albertus MT" w:hAnsi="Albertus MT"/>
          <w:b/>
          <w:color w:val="auto"/>
          <w:sz w:val="22"/>
          <w:szCs w:val="22"/>
        </w:rPr>
      </w:pPr>
      <w:r w:rsidRPr="00593375">
        <w:rPr>
          <w:rFonts w:ascii="Albertus MT" w:hAnsi="Albertus MT"/>
          <w:b/>
          <w:color w:val="auto"/>
          <w:sz w:val="22"/>
          <w:szCs w:val="22"/>
        </w:rPr>
        <w:t xml:space="preserve">We agree but suggest that SME’s should be able to give references to find the posted information if asked by the </w:t>
      </w:r>
      <w:proofErr w:type="gramStart"/>
      <w:r w:rsidRPr="00593375">
        <w:rPr>
          <w:rFonts w:ascii="Albertus MT" w:hAnsi="Albertus MT"/>
          <w:b/>
          <w:color w:val="auto"/>
          <w:sz w:val="22"/>
          <w:szCs w:val="22"/>
        </w:rPr>
        <w:t>public .</w:t>
      </w:r>
      <w:proofErr w:type="gramEnd"/>
    </w:p>
    <w:p w:rsidR="00E51B0E" w:rsidRPr="00593375" w:rsidRDefault="00E51B0E" w:rsidP="00593375">
      <w:pPr>
        <w:pStyle w:val="Default"/>
        <w:ind w:left="567" w:hanging="567"/>
        <w:rPr>
          <w:rFonts w:ascii="Albertus MT" w:hAnsi="Albertus MT"/>
          <w:color w:val="auto"/>
          <w:sz w:val="22"/>
          <w:szCs w:val="22"/>
        </w:rPr>
      </w:pPr>
    </w:p>
    <w:p w:rsidR="00E51B0E" w:rsidRPr="00593375" w:rsidRDefault="00E51B0E" w:rsidP="00593375">
      <w:pPr>
        <w:pStyle w:val="Default"/>
        <w:ind w:left="567" w:hanging="567"/>
        <w:rPr>
          <w:rFonts w:ascii="Albertus MT" w:hAnsi="Albertus MT"/>
          <w:color w:val="auto"/>
          <w:sz w:val="22"/>
          <w:szCs w:val="22"/>
        </w:rPr>
      </w:pPr>
      <w:r w:rsidRPr="00593375">
        <w:rPr>
          <w:rFonts w:ascii="Albertus MT" w:hAnsi="Albertus MT"/>
          <w:color w:val="auto"/>
          <w:sz w:val="22"/>
          <w:szCs w:val="22"/>
        </w:rPr>
        <w:t xml:space="preserve">Q74: </w:t>
      </w:r>
      <w:r w:rsidRPr="00593375">
        <w:rPr>
          <w:rFonts w:ascii="Albertus MT" w:hAnsi="Albertus MT"/>
          <w:color w:val="auto"/>
          <w:sz w:val="22"/>
          <w:szCs w:val="22"/>
        </w:rPr>
        <w:tab/>
        <w:t xml:space="preserve">What are your views on the options for determining the competent authority for the purpose of notifying delays in disclosure of inside information by issuers of financial instruments? </w:t>
      </w:r>
    </w:p>
    <w:p w:rsidR="0051298D" w:rsidRPr="00593375" w:rsidRDefault="0051298D" w:rsidP="00593375">
      <w:pPr>
        <w:pStyle w:val="Default"/>
        <w:ind w:left="567" w:hanging="567"/>
        <w:rPr>
          <w:rFonts w:ascii="Albertus MT" w:hAnsi="Albertus MT"/>
          <w:color w:val="auto"/>
          <w:sz w:val="22"/>
          <w:szCs w:val="22"/>
        </w:rPr>
      </w:pPr>
    </w:p>
    <w:p w:rsidR="0051298D" w:rsidRPr="00593375" w:rsidRDefault="0051298D" w:rsidP="00593375">
      <w:pPr>
        <w:pStyle w:val="Default"/>
        <w:ind w:left="567"/>
        <w:rPr>
          <w:rFonts w:ascii="Albertus MT" w:hAnsi="Albertus MT"/>
          <w:b/>
          <w:color w:val="auto"/>
          <w:sz w:val="22"/>
          <w:szCs w:val="22"/>
        </w:rPr>
      </w:pPr>
      <w:r w:rsidRPr="00593375">
        <w:rPr>
          <w:rFonts w:ascii="Albertus MT" w:hAnsi="Albertus MT"/>
          <w:b/>
          <w:color w:val="auto"/>
          <w:sz w:val="22"/>
          <w:szCs w:val="22"/>
        </w:rPr>
        <w:t>We favour a Transparency Directive-based approach to such disclosures.</w:t>
      </w:r>
    </w:p>
    <w:p w:rsidR="00E51B0E" w:rsidRPr="00593375" w:rsidRDefault="00E51B0E" w:rsidP="00593375">
      <w:pPr>
        <w:pStyle w:val="Default"/>
        <w:ind w:left="567" w:hanging="567"/>
        <w:rPr>
          <w:rFonts w:ascii="Albertus MT" w:hAnsi="Albertus MT"/>
          <w:color w:val="auto"/>
          <w:sz w:val="22"/>
          <w:szCs w:val="22"/>
        </w:rPr>
      </w:pPr>
    </w:p>
    <w:p w:rsidR="00E51B0E" w:rsidRPr="00593375" w:rsidRDefault="00E51B0E" w:rsidP="00593375">
      <w:pPr>
        <w:pStyle w:val="Default"/>
        <w:ind w:left="567" w:hanging="567"/>
        <w:rPr>
          <w:rFonts w:ascii="Albertus MT" w:hAnsi="Albertus MT"/>
          <w:color w:val="auto"/>
          <w:sz w:val="22"/>
          <w:szCs w:val="22"/>
        </w:rPr>
      </w:pPr>
      <w:r w:rsidRPr="00593375">
        <w:rPr>
          <w:rFonts w:ascii="Albertus MT" w:hAnsi="Albertus MT"/>
          <w:color w:val="auto"/>
          <w:sz w:val="22"/>
          <w:szCs w:val="22"/>
        </w:rPr>
        <w:t>Q75:</w:t>
      </w:r>
      <w:r w:rsidRPr="00593375">
        <w:rPr>
          <w:rFonts w:ascii="Albertus MT" w:hAnsi="Albertus MT"/>
          <w:color w:val="auto"/>
          <w:sz w:val="22"/>
          <w:szCs w:val="22"/>
        </w:rPr>
        <w:tab/>
        <w:t xml:space="preserve">What are your views on the options for determining the competent authority for the purpose of notifying delays in disclosure of inside information by emission allowances market participants? </w:t>
      </w:r>
    </w:p>
    <w:p w:rsidR="0051298D" w:rsidRPr="00593375" w:rsidRDefault="0051298D" w:rsidP="00593375">
      <w:pPr>
        <w:pStyle w:val="Default"/>
        <w:ind w:left="567" w:hanging="567"/>
        <w:rPr>
          <w:rFonts w:ascii="Albertus MT" w:hAnsi="Albertus MT"/>
          <w:color w:val="auto"/>
          <w:sz w:val="22"/>
          <w:szCs w:val="22"/>
        </w:rPr>
      </w:pPr>
    </w:p>
    <w:p w:rsidR="008643CA" w:rsidRPr="00593375" w:rsidRDefault="008643CA" w:rsidP="00593375">
      <w:pPr>
        <w:pStyle w:val="Default"/>
        <w:ind w:left="567" w:hanging="567"/>
        <w:rPr>
          <w:rFonts w:ascii="Albertus MT" w:hAnsi="Albertus MT"/>
          <w:color w:val="auto"/>
          <w:sz w:val="22"/>
          <w:szCs w:val="22"/>
        </w:rPr>
      </w:pPr>
    </w:p>
    <w:p w:rsidR="008643CA" w:rsidRPr="00593375" w:rsidRDefault="008643CA" w:rsidP="00593375">
      <w:pPr>
        <w:pStyle w:val="Default"/>
        <w:ind w:left="567" w:hanging="567"/>
        <w:rPr>
          <w:rFonts w:ascii="Albertus MT" w:hAnsi="Albertus MT"/>
          <w:color w:val="auto"/>
          <w:sz w:val="22"/>
          <w:szCs w:val="22"/>
        </w:rPr>
      </w:pPr>
    </w:p>
    <w:p w:rsidR="00E87F4C" w:rsidRPr="00593375" w:rsidRDefault="00E51B0E" w:rsidP="00593375">
      <w:pPr>
        <w:pStyle w:val="Default"/>
        <w:ind w:left="567" w:hanging="567"/>
        <w:rPr>
          <w:rFonts w:ascii="Albertus MT" w:hAnsi="Albertus MT"/>
          <w:color w:val="auto"/>
          <w:sz w:val="22"/>
          <w:szCs w:val="22"/>
        </w:rPr>
      </w:pPr>
      <w:r w:rsidRPr="00593375">
        <w:rPr>
          <w:rFonts w:ascii="Albertus MT" w:hAnsi="Albertus MT"/>
          <w:color w:val="auto"/>
          <w:sz w:val="22"/>
          <w:szCs w:val="22"/>
        </w:rPr>
        <w:t xml:space="preserve">Q76: </w:t>
      </w:r>
      <w:r w:rsidRPr="00593375">
        <w:rPr>
          <w:rFonts w:ascii="Albertus MT" w:hAnsi="Albertus MT"/>
          <w:color w:val="auto"/>
          <w:sz w:val="22"/>
          <w:szCs w:val="22"/>
        </w:rPr>
        <w:tab/>
        <w:t>Do you agree with the approach to the ex post notification of general delays and the ways to transmit the required information? If not, please explain.</w:t>
      </w:r>
    </w:p>
    <w:p w:rsidR="00E87F4C" w:rsidRPr="00593375" w:rsidRDefault="00E87F4C" w:rsidP="00593375">
      <w:pPr>
        <w:pStyle w:val="Default"/>
        <w:ind w:left="567" w:hanging="567"/>
        <w:rPr>
          <w:rFonts w:ascii="Albertus MT" w:hAnsi="Albertus MT"/>
          <w:color w:val="auto"/>
          <w:sz w:val="22"/>
          <w:szCs w:val="22"/>
        </w:rPr>
      </w:pPr>
    </w:p>
    <w:p w:rsidR="00E51B0E" w:rsidRPr="00593375" w:rsidRDefault="00E87F4C" w:rsidP="00593375">
      <w:pPr>
        <w:pStyle w:val="Default"/>
        <w:ind w:left="567"/>
        <w:rPr>
          <w:rFonts w:ascii="Albertus MT" w:hAnsi="Albertus MT"/>
          <w:color w:val="auto"/>
          <w:sz w:val="22"/>
          <w:szCs w:val="22"/>
        </w:rPr>
      </w:pPr>
      <w:r w:rsidRPr="00593375">
        <w:rPr>
          <w:rFonts w:ascii="Albertus MT" w:hAnsi="Albertus MT"/>
          <w:b/>
          <w:color w:val="auto"/>
          <w:sz w:val="22"/>
          <w:szCs w:val="22"/>
        </w:rPr>
        <w:t>We believe that the competent authority should be allowed to accept notifications and explanations by recorded telephone communications, always having the authority to request written explanations as deemed necessary</w:t>
      </w:r>
      <w:r w:rsidR="008643CA" w:rsidRPr="00593375">
        <w:rPr>
          <w:rFonts w:ascii="Albertus MT" w:hAnsi="Albertus MT"/>
          <w:b/>
          <w:color w:val="auto"/>
          <w:sz w:val="22"/>
          <w:szCs w:val="22"/>
        </w:rPr>
        <w:t>.</w:t>
      </w:r>
    </w:p>
    <w:p w:rsidR="00E51B0E" w:rsidRPr="00593375" w:rsidRDefault="00E51B0E" w:rsidP="00593375">
      <w:pPr>
        <w:pStyle w:val="Default"/>
        <w:ind w:left="567" w:hanging="567"/>
        <w:rPr>
          <w:rFonts w:ascii="Albertus MT" w:hAnsi="Albertus MT"/>
          <w:color w:val="auto"/>
          <w:sz w:val="22"/>
          <w:szCs w:val="22"/>
        </w:rPr>
      </w:pPr>
    </w:p>
    <w:p w:rsidR="00E51B0E" w:rsidRPr="00593375" w:rsidRDefault="00E51B0E" w:rsidP="00593375">
      <w:pPr>
        <w:pStyle w:val="Default"/>
        <w:ind w:left="567" w:hanging="567"/>
        <w:rPr>
          <w:rFonts w:ascii="Albertus MT" w:hAnsi="Albertus MT"/>
          <w:color w:val="auto"/>
          <w:sz w:val="22"/>
          <w:szCs w:val="22"/>
        </w:rPr>
      </w:pPr>
      <w:r w:rsidRPr="00593375">
        <w:rPr>
          <w:rFonts w:ascii="Albertus MT" w:hAnsi="Albertus MT"/>
          <w:color w:val="auto"/>
          <w:sz w:val="22"/>
          <w:szCs w:val="22"/>
        </w:rPr>
        <w:lastRenderedPageBreak/>
        <w:t xml:space="preserve">Q77: </w:t>
      </w:r>
      <w:r w:rsidRPr="00593375">
        <w:rPr>
          <w:rFonts w:ascii="Albertus MT" w:hAnsi="Albertus MT"/>
          <w:color w:val="auto"/>
          <w:sz w:val="22"/>
          <w:szCs w:val="22"/>
        </w:rPr>
        <w:tab/>
        <w:t xml:space="preserve">Do you agree with the approach to require issuers to have minimum procedures and arrangement in place to ensure a sound and proper management of delays in disclosure of inside information? If not, please explain. </w:t>
      </w:r>
    </w:p>
    <w:p w:rsidR="00E87F4C" w:rsidRPr="00593375" w:rsidRDefault="00E87F4C" w:rsidP="00593375">
      <w:pPr>
        <w:pStyle w:val="Default"/>
        <w:ind w:left="567" w:hanging="567"/>
        <w:rPr>
          <w:rFonts w:ascii="Albertus MT" w:hAnsi="Albertus MT"/>
          <w:color w:val="auto"/>
          <w:sz w:val="22"/>
          <w:szCs w:val="22"/>
        </w:rPr>
      </w:pPr>
    </w:p>
    <w:p w:rsidR="00E87F4C" w:rsidRPr="00593375" w:rsidRDefault="00E87F4C" w:rsidP="00593375">
      <w:pPr>
        <w:pStyle w:val="Default"/>
        <w:ind w:left="567"/>
        <w:rPr>
          <w:rFonts w:ascii="Albertus MT" w:hAnsi="Albertus MT"/>
          <w:b/>
          <w:color w:val="auto"/>
          <w:sz w:val="22"/>
          <w:szCs w:val="22"/>
        </w:rPr>
      </w:pPr>
      <w:r w:rsidRPr="00593375">
        <w:rPr>
          <w:rFonts w:ascii="Albertus MT" w:hAnsi="Albertus MT"/>
          <w:b/>
          <w:color w:val="auto"/>
          <w:sz w:val="22"/>
          <w:szCs w:val="22"/>
        </w:rPr>
        <w:t xml:space="preserve">We agree generally. We would note that record-keeping during the delay period should not be onerous where there has been no change in the conditions of delay. </w:t>
      </w:r>
    </w:p>
    <w:p w:rsidR="00E51B0E" w:rsidRPr="00593375" w:rsidRDefault="00E51B0E" w:rsidP="00593375">
      <w:pPr>
        <w:pStyle w:val="Default"/>
        <w:ind w:left="567" w:hanging="567"/>
        <w:rPr>
          <w:rFonts w:ascii="Albertus MT" w:hAnsi="Albertus MT"/>
          <w:color w:val="auto"/>
          <w:sz w:val="22"/>
          <w:szCs w:val="22"/>
        </w:rPr>
      </w:pPr>
    </w:p>
    <w:p w:rsidR="00E51B0E" w:rsidRPr="00593375" w:rsidRDefault="00E51B0E" w:rsidP="00593375">
      <w:pPr>
        <w:pStyle w:val="Default"/>
        <w:ind w:left="567" w:hanging="567"/>
        <w:rPr>
          <w:rFonts w:ascii="Albertus MT" w:hAnsi="Albertus MT"/>
          <w:color w:val="auto"/>
          <w:sz w:val="22"/>
          <w:szCs w:val="22"/>
        </w:rPr>
      </w:pPr>
      <w:r w:rsidRPr="00593375">
        <w:rPr>
          <w:rFonts w:ascii="Albertus MT" w:hAnsi="Albertus MT"/>
          <w:color w:val="auto"/>
          <w:sz w:val="22"/>
          <w:szCs w:val="22"/>
        </w:rPr>
        <w:t xml:space="preserve">Q78: </w:t>
      </w:r>
      <w:r w:rsidRPr="00593375">
        <w:rPr>
          <w:rFonts w:ascii="Albertus MT" w:hAnsi="Albertus MT"/>
          <w:color w:val="auto"/>
          <w:sz w:val="22"/>
          <w:szCs w:val="22"/>
        </w:rPr>
        <w:tab/>
        <w:t xml:space="preserve">Do you agree with the proposed content of the notification that will be sent to the competent authority to inform and explain a delay in disclosure of inside information? If not, please explain. </w:t>
      </w:r>
    </w:p>
    <w:p w:rsidR="007345A1" w:rsidRPr="00593375" w:rsidRDefault="007345A1" w:rsidP="00593375">
      <w:pPr>
        <w:pStyle w:val="Default"/>
        <w:ind w:left="567" w:hanging="567"/>
        <w:rPr>
          <w:rFonts w:ascii="Albertus MT" w:hAnsi="Albertus MT"/>
          <w:color w:val="auto"/>
          <w:sz w:val="22"/>
          <w:szCs w:val="22"/>
        </w:rPr>
      </w:pPr>
    </w:p>
    <w:p w:rsidR="007345A1" w:rsidRPr="00593375" w:rsidRDefault="007345A1" w:rsidP="00593375">
      <w:pPr>
        <w:pStyle w:val="Default"/>
        <w:ind w:left="567"/>
        <w:rPr>
          <w:rFonts w:ascii="Albertus MT" w:hAnsi="Albertus MT"/>
          <w:b/>
          <w:color w:val="auto"/>
          <w:sz w:val="22"/>
          <w:szCs w:val="22"/>
        </w:rPr>
      </w:pPr>
      <w:r w:rsidRPr="00593375">
        <w:rPr>
          <w:rFonts w:ascii="Albertus MT" w:hAnsi="Albertus MT"/>
          <w:b/>
          <w:color w:val="auto"/>
          <w:sz w:val="22"/>
          <w:szCs w:val="22"/>
        </w:rPr>
        <w:t>We agree in general. However, where decisions to delay are tied to the occurrence of an event, we believe there should be no need to make interim decisions on publication prior to the occurrence of the event, provided that confidentiality is maintained.</w:t>
      </w:r>
    </w:p>
    <w:p w:rsidR="00E51B0E" w:rsidRPr="00593375" w:rsidRDefault="00E51B0E" w:rsidP="00593375">
      <w:pPr>
        <w:pStyle w:val="Default"/>
        <w:ind w:left="567" w:hanging="567"/>
        <w:rPr>
          <w:rFonts w:ascii="Albertus MT" w:hAnsi="Albertus MT"/>
          <w:color w:val="auto"/>
          <w:sz w:val="22"/>
          <w:szCs w:val="22"/>
        </w:rPr>
      </w:pPr>
    </w:p>
    <w:p w:rsidR="007345A1" w:rsidRPr="00593375" w:rsidRDefault="00E51B0E" w:rsidP="00593375">
      <w:pPr>
        <w:pStyle w:val="Default"/>
        <w:ind w:left="567" w:hanging="567"/>
        <w:rPr>
          <w:rFonts w:ascii="Albertus MT" w:hAnsi="Albertus MT"/>
          <w:color w:val="auto"/>
          <w:sz w:val="22"/>
          <w:szCs w:val="22"/>
        </w:rPr>
      </w:pPr>
      <w:r w:rsidRPr="00593375">
        <w:rPr>
          <w:rFonts w:ascii="Albertus MT" w:hAnsi="Albertus MT"/>
          <w:color w:val="auto"/>
          <w:sz w:val="22"/>
          <w:szCs w:val="22"/>
        </w:rPr>
        <w:t xml:space="preserve">Q79: </w:t>
      </w:r>
      <w:r w:rsidRPr="00593375">
        <w:rPr>
          <w:rFonts w:ascii="Albertus MT" w:hAnsi="Albertus MT"/>
          <w:color w:val="auto"/>
          <w:sz w:val="22"/>
          <w:szCs w:val="22"/>
        </w:rPr>
        <w:tab/>
        <w:t>Would you consider additional content for these notifications? Please explain.</w:t>
      </w:r>
    </w:p>
    <w:p w:rsidR="007345A1" w:rsidRPr="00593375" w:rsidRDefault="007345A1" w:rsidP="00593375">
      <w:pPr>
        <w:pStyle w:val="Default"/>
        <w:ind w:left="567" w:hanging="567"/>
        <w:rPr>
          <w:rFonts w:ascii="Albertus MT" w:hAnsi="Albertus MT"/>
          <w:color w:val="auto"/>
          <w:sz w:val="22"/>
          <w:szCs w:val="22"/>
        </w:rPr>
      </w:pPr>
    </w:p>
    <w:p w:rsidR="00E51B0E" w:rsidRPr="00593375" w:rsidRDefault="007345A1" w:rsidP="00593375">
      <w:pPr>
        <w:pStyle w:val="Default"/>
        <w:ind w:left="567"/>
        <w:rPr>
          <w:rFonts w:ascii="Albertus MT" w:hAnsi="Albertus MT"/>
          <w:color w:val="auto"/>
          <w:sz w:val="22"/>
          <w:szCs w:val="22"/>
        </w:rPr>
      </w:pPr>
      <w:r w:rsidRPr="00593375">
        <w:rPr>
          <w:rFonts w:ascii="Albertus MT" w:hAnsi="Albertus MT"/>
          <w:b/>
          <w:color w:val="auto"/>
          <w:sz w:val="22"/>
          <w:szCs w:val="22"/>
        </w:rPr>
        <w:t>We think the requirements are appropriate</w:t>
      </w:r>
      <w:r w:rsidRPr="00593375">
        <w:rPr>
          <w:rFonts w:ascii="Albertus MT" w:hAnsi="Albertus MT"/>
          <w:color w:val="auto"/>
          <w:sz w:val="22"/>
          <w:szCs w:val="22"/>
        </w:rPr>
        <w:t xml:space="preserve">. </w:t>
      </w:r>
      <w:r w:rsidR="00E51B0E" w:rsidRPr="00593375">
        <w:rPr>
          <w:rFonts w:ascii="Albertus MT" w:hAnsi="Albertus MT"/>
          <w:color w:val="auto"/>
          <w:sz w:val="22"/>
          <w:szCs w:val="22"/>
        </w:rPr>
        <w:t xml:space="preserve"> </w:t>
      </w:r>
    </w:p>
    <w:p w:rsidR="00E51B0E" w:rsidRPr="00593375" w:rsidRDefault="00E51B0E" w:rsidP="00593375">
      <w:pPr>
        <w:pStyle w:val="Default"/>
        <w:ind w:left="567" w:hanging="567"/>
        <w:rPr>
          <w:rFonts w:ascii="Albertus MT" w:hAnsi="Albertus MT"/>
          <w:color w:val="auto"/>
          <w:sz w:val="22"/>
          <w:szCs w:val="22"/>
        </w:rPr>
      </w:pPr>
    </w:p>
    <w:p w:rsidR="00E51B0E" w:rsidRPr="00593375" w:rsidRDefault="00E51B0E" w:rsidP="00593375">
      <w:pPr>
        <w:pStyle w:val="Default"/>
        <w:ind w:left="567" w:hanging="567"/>
        <w:rPr>
          <w:rFonts w:ascii="Albertus MT" w:hAnsi="Albertus MT"/>
          <w:color w:val="auto"/>
          <w:sz w:val="22"/>
          <w:szCs w:val="22"/>
        </w:rPr>
      </w:pPr>
      <w:r w:rsidRPr="00593375">
        <w:rPr>
          <w:rFonts w:ascii="Albertus MT" w:hAnsi="Albertus MT"/>
          <w:color w:val="auto"/>
          <w:sz w:val="22"/>
          <w:szCs w:val="22"/>
        </w:rPr>
        <w:t xml:space="preserve">Q80: </w:t>
      </w:r>
      <w:r w:rsidRPr="00593375">
        <w:rPr>
          <w:rFonts w:ascii="Albertus MT" w:hAnsi="Albertus MT"/>
          <w:color w:val="auto"/>
          <w:sz w:val="22"/>
          <w:szCs w:val="22"/>
        </w:rPr>
        <w:tab/>
        <w:t xml:space="preserve">Do you consider necessary that common template for notifications of delays be designed? </w:t>
      </w:r>
    </w:p>
    <w:p w:rsidR="007345A1" w:rsidRPr="00593375" w:rsidRDefault="007345A1" w:rsidP="00593375">
      <w:pPr>
        <w:pStyle w:val="Default"/>
        <w:ind w:left="567" w:hanging="567"/>
        <w:rPr>
          <w:rFonts w:ascii="Albertus MT" w:hAnsi="Albertus MT"/>
          <w:color w:val="auto"/>
          <w:sz w:val="22"/>
          <w:szCs w:val="22"/>
        </w:rPr>
      </w:pPr>
    </w:p>
    <w:p w:rsidR="007345A1" w:rsidRPr="00593375" w:rsidRDefault="007345A1" w:rsidP="00593375">
      <w:pPr>
        <w:pStyle w:val="Default"/>
        <w:ind w:left="567"/>
        <w:rPr>
          <w:rFonts w:ascii="Albertus MT" w:hAnsi="Albertus MT"/>
          <w:b/>
          <w:color w:val="auto"/>
          <w:sz w:val="22"/>
          <w:szCs w:val="22"/>
        </w:rPr>
      </w:pPr>
      <w:r w:rsidRPr="00593375">
        <w:rPr>
          <w:rFonts w:ascii="Albertus MT" w:hAnsi="Albertus MT"/>
          <w:b/>
          <w:color w:val="auto"/>
          <w:sz w:val="22"/>
          <w:szCs w:val="22"/>
        </w:rPr>
        <w:t>We do not believe that common templates are required in this context.</w:t>
      </w:r>
    </w:p>
    <w:p w:rsidR="00E51B0E" w:rsidRPr="00593375" w:rsidRDefault="00E51B0E" w:rsidP="00593375">
      <w:pPr>
        <w:pStyle w:val="Default"/>
        <w:ind w:left="567" w:hanging="567"/>
        <w:rPr>
          <w:rFonts w:ascii="Albertus MT" w:hAnsi="Albertus MT"/>
          <w:b/>
          <w:color w:val="auto"/>
          <w:sz w:val="22"/>
          <w:szCs w:val="22"/>
        </w:rPr>
      </w:pPr>
    </w:p>
    <w:p w:rsidR="00E51B0E" w:rsidRPr="00593375" w:rsidRDefault="00E51B0E" w:rsidP="00593375">
      <w:pPr>
        <w:pStyle w:val="Default"/>
        <w:ind w:left="567" w:hanging="567"/>
        <w:rPr>
          <w:rFonts w:ascii="Albertus MT" w:hAnsi="Albertus MT"/>
          <w:color w:val="auto"/>
          <w:sz w:val="22"/>
          <w:szCs w:val="22"/>
        </w:rPr>
      </w:pPr>
      <w:r w:rsidRPr="00593375">
        <w:rPr>
          <w:rFonts w:ascii="Albertus MT" w:hAnsi="Albertus MT"/>
          <w:color w:val="auto"/>
          <w:sz w:val="22"/>
          <w:szCs w:val="22"/>
        </w:rPr>
        <w:t xml:space="preserve">Q81: </w:t>
      </w:r>
      <w:r w:rsidRPr="00593375">
        <w:rPr>
          <w:rFonts w:ascii="Albertus MT" w:hAnsi="Albertus MT"/>
          <w:color w:val="auto"/>
          <w:sz w:val="22"/>
          <w:szCs w:val="22"/>
        </w:rPr>
        <w:tab/>
        <w:t xml:space="preserve">Do you agree with the approach suggested in relation to the notification of intent to delay disclosure to preserve financial stability? </w:t>
      </w:r>
    </w:p>
    <w:p w:rsidR="00061BD5" w:rsidRPr="00593375" w:rsidRDefault="00061BD5" w:rsidP="00593375">
      <w:pPr>
        <w:pStyle w:val="Default"/>
        <w:ind w:left="567" w:hanging="567"/>
        <w:rPr>
          <w:rFonts w:ascii="Albertus MT" w:hAnsi="Albertus MT"/>
          <w:color w:val="auto"/>
          <w:sz w:val="22"/>
          <w:szCs w:val="22"/>
        </w:rPr>
      </w:pPr>
    </w:p>
    <w:p w:rsidR="00061BD5" w:rsidRPr="00593375" w:rsidRDefault="00061BD5" w:rsidP="00593375">
      <w:pPr>
        <w:pStyle w:val="Default"/>
        <w:ind w:left="567"/>
        <w:rPr>
          <w:rFonts w:ascii="Albertus MT" w:hAnsi="Albertus MT"/>
          <w:b/>
          <w:color w:val="auto"/>
          <w:sz w:val="22"/>
          <w:szCs w:val="22"/>
        </w:rPr>
      </w:pPr>
      <w:r w:rsidRPr="00593375">
        <w:rPr>
          <w:rFonts w:ascii="Albertus MT" w:hAnsi="Albertus MT"/>
          <w:b/>
          <w:color w:val="auto"/>
          <w:sz w:val="22"/>
          <w:szCs w:val="22"/>
        </w:rPr>
        <w:t>We agree in general. However, we suggest that it may make sense for the initial indication to the competent authority to be oral where time is of the essence. It can be by recorded line. Such should immediately be followed by a written request and explanation to the competent authority</w:t>
      </w:r>
      <w:proofErr w:type="gramStart"/>
      <w:r w:rsidRPr="00593375">
        <w:rPr>
          <w:rFonts w:ascii="Albertus MT" w:hAnsi="Albertus MT"/>
          <w:b/>
          <w:color w:val="auto"/>
          <w:sz w:val="22"/>
          <w:szCs w:val="22"/>
        </w:rPr>
        <w:t>..</w:t>
      </w:r>
      <w:proofErr w:type="gramEnd"/>
      <w:r w:rsidRPr="00593375">
        <w:rPr>
          <w:rFonts w:ascii="Albertus MT" w:hAnsi="Albertus MT"/>
          <w:b/>
          <w:color w:val="auto"/>
          <w:sz w:val="22"/>
          <w:szCs w:val="22"/>
        </w:rPr>
        <w:t xml:space="preserve"> We suggest that it should be understood that the competent authority will have the </w:t>
      </w:r>
      <w:r w:rsidR="008643CA" w:rsidRPr="00593375">
        <w:rPr>
          <w:rFonts w:ascii="Albertus MT" w:hAnsi="Albertus MT"/>
          <w:b/>
          <w:color w:val="auto"/>
          <w:sz w:val="22"/>
          <w:szCs w:val="22"/>
        </w:rPr>
        <w:t>r</w:t>
      </w:r>
      <w:r w:rsidRPr="00593375">
        <w:rPr>
          <w:rFonts w:ascii="Albertus MT" w:hAnsi="Albertus MT"/>
          <w:b/>
          <w:color w:val="auto"/>
          <w:sz w:val="22"/>
          <w:szCs w:val="22"/>
        </w:rPr>
        <w:t>esponsibility to ensure that other relevant regulators be informed as required.</w:t>
      </w:r>
    </w:p>
    <w:p w:rsidR="00E51B0E" w:rsidRPr="00593375" w:rsidRDefault="00E51B0E" w:rsidP="00593375">
      <w:pPr>
        <w:pStyle w:val="Default"/>
        <w:ind w:left="567" w:hanging="567"/>
        <w:rPr>
          <w:rFonts w:ascii="Albertus MT" w:hAnsi="Albertus MT"/>
          <w:color w:val="auto"/>
          <w:sz w:val="22"/>
          <w:szCs w:val="22"/>
        </w:rPr>
      </w:pPr>
    </w:p>
    <w:p w:rsidR="00E60A5D" w:rsidRPr="00593375" w:rsidRDefault="00E51B0E" w:rsidP="00593375">
      <w:pPr>
        <w:pStyle w:val="Default"/>
        <w:ind w:left="567" w:hanging="567"/>
        <w:rPr>
          <w:rFonts w:ascii="Albertus MT" w:hAnsi="Albertus MT"/>
          <w:color w:val="auto"/>
          <w:sz w:val="22"/>
          <w:szCs w:val="22"/>
        </w:rPr>
      </w:pPr>
      <w:r w:rsidRPr="00593375">
        <w:rPr>
          <w:rFonts w:ascii="Albertus MT" w:hAnsi="Albertus MT"/>
          <w:color w:val="auto"/>
          <w:sz w:val="22"/>
          <w:szCs w:val="22"/>
        </w:rPr>
        <w:t xml:space="preserve">Q82: </w:t>
      </w:r>
      <w:r w:rsidRPr="00593375">
        <w:rPr>
          <w:rFonts w:ascii="Albertus MT" w:hAnsi="Albertus MT"/>
          <w:color w:val="auto"/>
          <w:sz w:val="22"/>
          <w:szCs w:val="22"/>
        </w:rPr>
        <w:tab/>
        <w:t>Do you agree with the approach followed by ESMA with respect to legitimate interests for delaying disclosure of inside information? Do you consider that CESR examples are still appropriate? If not, please explain and provide circumstances and/or examples of what other legitimate interests could be considered.</w:t>
      </w:r>
    </w:p>
    <w:p w:rsidR="00E60A5D" w:rsidRPr="00593375" w:rsidRDefault="00E60A5D" w:rsidP="00593375">
      <w:pPr>
        <w:pStyle w:val="Default"/>
        <w:ind w:left="567" w:hanging="567"/>
        <w:rPr>
          <w:rFonts w:ascii="Albertus MT" w:hAnsi="Albertus MT"/>
          <w:color w:val="auto"/>
          <w:sz w:val="22"/>
          <w:szCs w:val="22"/>
        </w:rPr>
      </w:pPr>
    </w:p>
    <w:p w:rsidR="00E51B0E" w:rsidRPr="00593375" w:rsidRDefault="00E60A5D" w:rsidP="00593375">
      <w:pPr>
        <w:pStyle w:val="Default"/>
        <w:ind w:left="567"/>
        <w:rPr>
          <w:rFonts w:ascii="Albertus MT" w:hAnsi="Albertus MT"/>
          <w:b/>
          <w:color w:val="auto"/>
          <w:sz w:val="22"/>
          <w:szCs w:val="22"/>
        </w:rPr>
      </w:pPr>
      <w:r w:rsidRPr="00593375">
        <w:rPr>
          <w:rFonts w:ascii="Albertus MT" w:hAnsi="Albertus MT"/>
          <w:b/>
          <w:color w:val="auto"/>
          <w:sz w:val="22"/>
          <w:szCs w:val="22"/>
        </w:rPr>
        <w:t xml:space="preserve">We agree with the suggested ESMA approach to guidance regarding legitimate interests of issuers. We agree that CESR </w:t>
      </w:r>
      <w:proofErr w:type="gramStart"/>
      <w:r w:rsidRPr="00593375">
        <w:rPr>
          <w:rFonts w:ascii="Albertus MT" w:hAnsi="Albertus MT"/>
          <w:b/>
          <w:color w:val="auto"/>
          <w:sz w:val="22"/>
          <w:szCs w:val="22"/>
        </w:rPr>
        <w:t>examples  are</w:t>
      </w:r>
      <w:proofErr w:type="gramEnd"/>
      <w:r w:rsidRPr="00593375">
        <w:rPr>
          <w:rFonts w:ascii="Albertus MT" w:hAnsi="Albertus MT"/>
          <w:b/>
          <w:color w:val="auto"/>
          <w:sz w:val="22"/>
          <w:szCs w:val="22"/>
        </w:rPr>
        <w:t xml:space="preserve"> still appropriate and should be retained.</w:t>
      </w:r>
      <w:r w:rsidR="00E51B0E" w:rsidRPr="00593375">
        <w:rPr>
          <w:rFonts w:ascii="Albertus MT" w:hAnsi="Albertus MT"/>
          <w:b/>
          <w:color w:val="auto"/>
          <w:sz w:val="22"/>
          <w:szCs w:val="22"/>
        </w:rPr>
        <w:t xml:space="preserve"> </w:t>
      </w:r>
    </w:p>
    <w:p w:rsidR="00E51B0E" w:rsidRPr="00593375" w:rsidRDefault="00E51B0E" w:rsidP="00593375">
      <w:pPr>
        <w:pStyle w:val="Default"/>
        <w:ind w:left="567" w:hanging="567"/>
        <w:rPr>
          <w:rFonts w:ascii="Albertus MT" w:hAnsi="Albertus MT"/>
          <w:color w:val="auto"/>
          <w:sz w:val="22"/>
          <w:szCs w:val="22"/>
        </w:rPr>
      </w:pPr>
    </w:p>
    <w:p w:rsidR="00E60A5D" w:rsidRPr="00593375" w:rsidRDefault="00E51B0E" w:rsidP="00593375">
      <w:pPr>
        <w:pStyle w:val="Default"/>
        <w:ind w:left="567" w:hanging="567"/>
        <w:rPr>
          <w:rFonts w:ascii="Albertus MT" w:hAnsi="Albertus MT"/>
          <w:color w:val="auto"/>
          <w:sz w:val="22"/>
          <w:szCs w:val="22"/>
        </w:rPr>
      </w:pPr>
      <w:r w:rsidRPr="00593375">
        <w:rPr>
          <w:rFonts w:ascii="Albertus MT" w:hAnsi="Albertus MT"/>
          <w:color w:val="auto"/>
          <w:sz w:val="22"/>
          <w:szCs w:val="22"/>
        </w:rPr>
        <w:t xml:space="preserve">Q83: </w:t>
      </w:r>
      <w:r w:rsidRPr="00593375">
        <w:rPr>
          <w:rFonts w:ascii="Albertus MT" w:hAnsi="Albertus MT"/>
          <w:color w:val="auto"/>
          <w:sz w:val="22"/>
          <w:szCs w:val="22"/>
        </w:rPr>
        <w:tab/>
        <w:t>Do you agree with the main categories of situations identified? Should there be other to consider?</w:t>
      </w:r>
    </w:p>
    <w:p w:rsidR="00E51B0E" w:rsidRPr="00593375" w:rsidRDefault="00E51B0E" w:rsidP="00593375">
      <w:pPr>
        <w:pStyle w:val="Default"/>
        <w:ind w:left="567" w:hanging="567"/>
        <w:rPr>
          <w:rFonts w:ascii="Albertus MT" w:hAnsi="Albertus MT"/>
          <w:color w:val="auto"/>
          <w:sz w:val="22"/>
          <w:szCs w:val="22"/>
        </w:rPr>
      </w:pPr>
      <w:r w:rsidRPr="00593375">
        <w:rPr>
          <w:rFonts w:ascii="Albertus MT" w:hAnsi="Albertus MT"/>
          <w:color w:val="auto"/>
          <w:sz w:val="22"/>
          <w:szCs w:val="22"/>
        </w:rPr>
        <w:t xml:space="preserve"> </w:t>
      </w:r>
    </w:p>
    <w:p w:rsidR="00E60A5D" w:rsidRPr="00593375" w:rsidRDefault="00E60A5D" w:rsidP="00593375">
      <w:pPr>
        <w:pStyle w:val="Default"/>
        <w:ind w:left="567"/>
        <w:rPr>
          <w:rFonts w:ascii="Albertus MT" w:hAnsi="Albertus MT"/>
          <w:b/>
          <w:color w:val="auto"/>
          <w:sz w:val="22"/>
          <w:szCs w:val="22"/>
        </w:rPr>
      </w:pPr>
      <w:r w:rsidRPr="00593375">
        <w:rPr>
          <w:rFonts w:ascii="Albertus MT" w:hAnsi="Albertus MT"/>
          <w:b/>
          <w:color w:val="auto"/>
          <w:sz w:val="22"/>
          <w:szCs w:val="22"/>
        </w:rPr>
        <w:t xml:space="preserve">We do not agree with </w:t>
      </w:r>
      <w:proofErr w:type="spellStart"/>
      <w:r w:rsidRPr="00593375">
        <w:rPr>
          <w:rFonts w:ascii="Albertus MT" w:hAnsi="Albertus MT"/>
          <w:b/>
          <w:color w:val="auto"/>
          <w:sz w:val="22"/>
          <w:szCs w:val="22"/>
        </w:rPr>
        <w:t>para</w:t>
      </w:r>
      <w:proofErr w:type="spellEnd"/>
      <w:r w:rsidRPr="00593375">
        <w:rPr>
          <w:rFonts w:ascii="Albertus MT" w:hAnsi="Albertus MT"/>
          <w:b/>
          <w:color w:val="auto"/>
          <w:sz w:val="22"/>
          <w:szCs w:val="22"/>
        </w:rPr>
        <w:t xml:space="preserve"> 307 as written. Determining what market expectations are is itself subject to judgement. </w:t>
      </w:r>
      <w:proofErr w:type="gramStart"/>
      <w:r w:rsidRPr="00593375">
        <w:rPr>
          <w:rFonts w:ascii="Albertus MT" w:hAnsi="Albertus MT"/>
          <w:b/>
          <w:color w:val="auto"/>
          <w:sz w:val="22"/>
          <w:szCs w:val="22"/>
        </w:rPr>
        <w:t>Market</w:t>
      </w:r>
      <w:proofErr w:type="gramEnd"/>
      <w:r w:rsidRPr="00593375">
        <w:rPr>
          <w:rFonts w:ascii="Albertus MT" w:hAnsi="Albertus MT"/>
          <w:b/>
          <w:color w:val="auto"/>
          <w:sz w:val="22"/>
          <w:szCs w:val="22"/>
        </w:rPr>
        <w:t xml:space="preserve"> expectations which do </w:t>
      </w:r>
      <w:r w:rsidRPr="00593375">
        <w:rPr>
          <w:rFonts w:ascii="Albertus MT" w:hAnsi="Albertus MT"/>
          <w:b/>
          <w:color w:val="auto"/>
          <w:sz w:val="22"/>
          <w:szCs w:val="22"/>
        </w:rPr>
        <w:lastRenderedPageBreak/>
        <w:t xml:space="preserve">not relate clearly and directly to public statements made by an issuer should not be considered a standard by which determinations re delay of public disclosure are made. Issuers are not responsible for managing public expectations whereas they are responsible for the statements made by </w:t>
      </w:r>
      <w:proofErr w:type="gramStart"/>
      <w:r w:rsidRPr="00593375">
        <w:rPr>
          <w:rFonts w:ascii="Albertus MT" w:hAnsi="Albertus MT"/>
          <w:b/>
          <w:color w:val="auto"/>
          <w:sz w:val="22"/>
          <w:szCs w:val="22"/>
        </w:rPr>
        <w:t>themselves</w:t>
      </w:r>
      <w:proofErr w:type="gramEnd"/>
      <w:r w:rsidRPr="00593375">
        <w:rPr>
          <w:rFonts w:ascii="Albertus MT" w:hAnsi="Albertus MT"/>
          <w:b/>
          <w:color w:val="auto"/>
          <w:sz w:val="22"/>
          <w:szCs w:val="22"/>
        </w:rPr>
        <w:t xml:space="preserve"> which may contribute to market expectations.</w:t>
      </w:r>
    </w:p>
    <w:p w:rsidR="00E51B0E" w:rsidRPr="00593375" w:rsidRDefault="00E51B0E" w:rsidP="00593375">
      <w:pPr>
        <w:pStyle w:val="Default"/>
        <w:rPr>
          <w:rFonts w:ascii="Albertus MT" w:hAnsi="Albertus MT"/>
          <w:color w:val="auto"/>
          <w:sz w:val="22"/>
          <w:szCs w:val="22"/>
        </w:rPr>
      </w:pPr>
    </w:p>
    <w:p w:rsidR="00E51B0E" w:rsidRDefault="00E51B0E" w:rsidP="00593375">
      <w:pPr>
        <w:spacing w:after="0" w:line="240" w:lineRule="auto"/>
        <w:rPr>
          <w:rFonts w:ascii="Albertus MT" w:hAnsi="Albertus MT"/>
          <w:b/>
          <w:bCs/>
          <w:i/>
          <w:sz w:val="28"/>
          <w:szCs w:val="28"/>
        </w:rPr>
      </w:pPr>
      <w:r w:rsidRPr="00593375">
        <w:rPr>
          <w:rFonts w:ascii="Albertus MT" w:hAnsi="Albertus MT"/>
          <w:b/>
          <w:bCs/>
          <w:i/>
          <w:sz w:val="28"/>
          <w:szCs w:val="28"/>
        </w:rPr>
        <w:t>Insider list (Article 13 of MAR)</w:t>
      </w:r>
    </w:p>
    <w:p w:rsidR="00593375" w:rsidRPr="00593375" w:rsidRDefault="00593375" w:rsidP="00593375">
      <w:pPr>
        <w:spacing w:after="0" w:line="240" w:lineRule="auto"/>
        <w:rPr>
          <w:rFonts w:ascii="Albertus MT" w:hAnsi="Albertus MT"/>
          <w:b/>
          <w:bCs/>
          <w:i/>
          <w:sz w:val="28"/>
          <w:szCs w:val="28"/>
        </w:rPr>
      </w:pPr>
    </w:p>
    <w:p w:rsidR="00E51B0E" w:rsidRPr="00593375" w:rsidRDefault="00E51B0E" w:rsidP="00593375">
      <w:pPr>
        <w:pStyle w:val="Default"/>
        <w:ind w:left="567" w:hanging="567"/>
        <w:rPr>
          <w:rFonts w:ascii="Albertus MT" w:hAnsi="Albertus MT"/>
          <w:sz w:val="22"/>
          <w:szCs w:val="22"/>
        </w:rPr>
      </w:pPr>
      <w:r w:rsidRPr="00593375">
        <w:rPr>
          <w:rFonts w:ascii="Albertus MT" w:hAnsi="Albertus MT"/>
          <w:sz w:val="22"/>
          <w:szCs w:val="22"/>
        </w:rPr>
        <w:t xml:space="preserve">Q84: </w:t>
      </w:r>
      <w:r w:rsidRPr="00593375">
        <w:rPr>
          <w:rFonts w:ascii="Albertus MT" w:hAnsi="Albertus MT"/>
          <w:sz w:val="22"/>
          <w:szCs w:val="22"/>
        </w:rPr>
        <w:tab/>
        <w:t xml:space="preserve">Do you agree with the information about the relevant person in the insider list? </w:t>
      </w:r>
    </w:p>
    <w:p w:rsidR="00675E49" w:rsidRPr="00593375" w:rsidRDefault="00675E49" w:rsidP="00593375">
      <w:pPr>
        <w:pStyle w:val="Default"/>
        <w:ind w:left="567" w:hanging="567"/>
        <w:rPr>
          <w:rFonts w:ascii="Albertus MT" w:hAnsi="Albertus MT"/>
          <w:sz w:val="22"/>
          <w:szCs w:val="22"/>
        </w:rPr>
      </w:pPr>
    </w:p>
    <w:p w:rsidR="00675E49" w:rsidRPr="00593375" w:rsidRDefault="00675E49" w:rsidP="00593375">
      <w:pPr>
        <w:pStyle w:val="Default"/>
        <w:ind w:left="567"/>
        <w:rPr>
          <w:rFonts w:ascii="Albertus MT" w:hAnsi="Albertus MT"/>
          <w:b/>
          <w:sz w:val="22"/>
          <w:szCs w:val="22"/>
        </w:rPr>
      </w:pPr>
      <w:r w:rsidRPr="00593375">
        <w:rPr>
          <w:rFonts w:ascii="Albertus MT" w:hAnsi="Albertus MT"/>
          <w:b/>
          <w:sz w:val="22"/>
          <w:szCs w:val="22"/>
        </w:rPr>
        <w:t>No –we consider that the proposed list of information is not proportionate. Also some of the information listed would constitute a material invasion of privacy in the hands of persons who are no</w:t>
      </w:r>
      <w:r w:rsidR="00572A2B" w:rsidRPr="00593375">
        <w:rPr>
          <w:rFonts w:ascii="Albertus MT" w:hAnsi="Albertus MT"/>
          <w:b/>
          <w:sz w:val="22"/>
          <w:szCs w:val="22"/>
        </w:rPr>
        <w:t xml:space="preserve">t in </w:t>
      </w:r>
      <w:proofErr w:type="spellStart"/>
      <w:r w:rsidR="00572A2B" w:rsidRPr="00593375">
        <w:rPr>
          <w:rFonts w:ascii="Albertus MT" w:hAnsi="Albertus MT"/>
          <w:b/>
          <w:sz w:val="22"/>
          <w:szCs w:val="22"/>
        </w:rPr>
        <w:t>privity</w:t>
      </w:r>
      <w:proofErr w:type="spellEnd"/>
      <w:r w:rsidR="00572A2B" w:rsidRPr="00593375">
        <w:rPr>
          <w:rFonts w:ascii="Albertus MT" w:hAnsi="Albertus MT"/>
          <w:b/>
          <w:sz w:val="22"/>
          <w:szCs w:val="22"/>
        </w:rPr>
        <w:t xml:space="preserve"> with the insiders listed</w:t>
      </w:r>
      <w:r w:rsidRPr="00593375">
        <w:rPr>
          <w:rFonts w:ascii="Albertus MT" w:hAnsi="Albertus MT"/>
          <w:b/>
          <w:sz w:val="22"/>
          <w:szCs w:val="22"/>
        </w:rPr>
        <w:t xml:space="preserve"> e.g. personal email and home telephone numbers as well as date and place of birth</w:t>
      </w:r>
      <w:r w:rsidR="00572A2B" w:rsidRPr="00593375">
        <w:rPr>
          <w:rFonts w:ascii="Albertus MT" w:hAnsi="Albertus MT"/>
          <w:b/>
          <w:sz w:val="22"/>
          <w:szCs w:val="22"/>
        </w:rPr>
        <w:t xml:space="preserve"> and national insurance numbers (and equivalents)</w:t>
      </w:r>
      <w:r w:rsidRPr="00593375">
        <w:rPr>
          <w:rFonts w:ascii="Albertus MT" w:hAnsi="Albertus MT"/>
          <w:b/>
          <w:sz w:val="22"/>
          <w:szCs w:val="22"/>
        </w:rPr>
        <w:t xml:space="preserve">. This information may be obtained at a later date if needed for an investigation by the competent authorities, although most insider lists do not result in an investigation. </w:t>
      </w:r>
      <w:r w:rsidR="0033174C" w:rsidRPr="00593375">
        <w:rPr>
          <w:rFonts w:ascii="Albertus MT" w:hAnsi="Albertus MT"/>
          <w:b/>
          <w:sz w:val="22"/>
          <w:szCs w:val="22"/>
        </w:rPr>
        <w:t>Thus, it would not be proportionate to require that such details be kept up to date for a 5 year period.</w:t>
      </w:r>
    </w:p>
    <w:p w:rsidR="00E51B0E" w:rsidRPr="00593375" w:rsidRDefault="00E51B0E" w:rsidP="00593375">
      <w:pPr>
        <w:pStyle w:val="Default"/>
        <w:ind w:left="567" w:hanging="567"/>
        <w:rPr>
          <w:rFonts w:ascii="Albertus MT" w:hAnsi="Albertus MT"/>
          <w:sz w:val="22"/>
          <w:szCs w:val="22"/>
        </w:rPr>
      </w:pPr>
    </w:p>
    <w:p w:rsidR="00E51B0E" w:rsidRPr="00593375" w:rsidRDefault="00E51B0E" w:rsidP="00593375">
      <w:pPr>
        <w:pStyle w:val="Default"/>
        <w:ind w:left="567" w:hanging="567"/>
        <w:rPr>
          <w:rFonts w:ascii="Albertus MT" w:hAnsi="Albertus MT"/>
          <w:sz w:val="22"/>
          <w:szCs w:val="22"/>
        </w:rPr>
      </w:pPr>
      <w:r w:rsidRPr="00593375">
        <w:rPr>
          <w:rFonts w:ascii="Albertus MT" w:hAnsi="Albertus MT"/>
          <w:sz w:val="22"/>
          <w:szCs w:val="22"/>
        </w:rPr>
        <w:t xml:space="preserve">Q85: </w:t>
      </w:r>
      <w:r w:rsidRPr="00593375">
        <w:rPr>
          <w:rFonts w:ascii="Albertus MT" w:hAnsi="Albertus MT"/>
          <w:sz w:val="22"/>
          <w:szCs w:val="22"/>
        </w:rPr>
        <w:tab/>
        <w:t xml:space="preserve">Do you agree on the proposed harmonised format in Annex V? </w:t>
      </w:r>
    </w:p>
    <w:p w:rsidR="00572A2B" w:rsidRPr="00593375" w:rsidRDefault="00572A2B" w:rsidP="00593375">
      <w:pPr>
        <w:pStyle w:val="Default"/>
        <w:ind w:left="567" w:hanging="567"/>
        <w:rPr>
          <w:rFonts w:ascii="Albertus MT" w:hAnsi="Albertus MT"/>
          <w:sz w:val="22"/>
          <w:szCs w:val="22"/>
        </w:rPr>
      </w:pPr>
    </w:p>
    <w:p w:rsidR="00572A2B" w:rsidRPr="00593375" w:rsidRDefault="00572A2B" w:rsidP="00593375">
      <w:pPr>
        <w:pStyle w:val="Default"/>
        <w:ind w:left="567"/>
        <w:rPr>
          <w:rFonts w:ascii="Albertus MT" w:hAnsi="Albertus MT"/>
          <w:b/>
          <w:sz w:val="22"/>
          <w:szCs w:val="22"/>
        </w:rPr>
      </w:pPr>
      <w:r w:rsidRPr="00593375">
        <w:rPr>
          <w:rFonts w:ascii="Albertus MT" w:hAnsi="Albertus MT"/>
          <w:b/>
          <w:sz w:val="22"/>
          <w:szCs w:val="22"/>
        </w:rPr>
        <w:t xml:space="preserve">No- we consider the table to be too </w:t>
      </w:r>
      <w:proofErr w:type="gramStart"/>
      <w:r w:rsidRPr="00593375">
        <w:rPr>
          <w:rFonts w:ascii="Albertus MT" w:hAnsi="Albertus MT"/>
          <w:b/>
          <w:sz w:val="22"/>
          <w:szCs w:val="22"/>
        </w:rPr>
        <w:t>detailed(</w:t>
      </w:r>
      <w:proofErr w:type="gramEnd"/>
      <w:r w:rsidRPr="00593375">
        <w:rPr>
          <w:rFonts w:ascii="Albertus MT" w:hAnsi="Albertus MT"/>
          <w:b/>
          <w:sz w:val="22"/>
          <w:szCs w:val="22"/>
        </w:rPr>
        <w:t xml:space="preserve">not proportionate) and invasive of the privacy of persons listed. See response to Q.84. We recommend that the proposal be re-considered in the context of the data Protection Act. </w:t>
      </w:r>
    </w:p>
    <w:p w:rsidR="00E51B0E" w:rsidRPr="00593375" w:rsidRDefault="00E51B0E" w:rsidP="00593375">
      <w:pPr>
        <w:pStyle w:val="Default"/>
        <w:ind w:left="567" w:hanging="567"/>
        <w:rPr>
          <w:rFonts w:ascii="Albertus MT" w:hAnsi="Albertus MT"/>
          <w:sz w:val="22"/>
          <w:szCs w:val="22"/>
        </w:rPr>
      </w:pPr>
    </w:p>
    <w:p w:rsidR="00E51B0E" w:rsidRPr="00593375" w:rsidRDefault="00E51B0E" w:rsidP="00593375">
      <w:pPr>
        <w:pStyle w:val="Default"/>
        <w:ind w:left="567" w:hanging="567"/>
        <w:rPr>
          <w:rFonts w:ascii="Albertus MT" w:hAnsi="Albertus MT"/>
          <w:sz w:val="22"/>
          <w:szCs w:val="22"/>
        </w:rPr>
      </w:pPr>
      <w:r w:rsidRPr="00593375">
        <w:rPr>
          <w:rFonts w:ascii="Albertus MT" w:hAnsi="Albertus MT"/>
          <w:sz w:val="22"/>
          <w:szCs w:val="22"/>
        </w:rPr>
        <w:t xml:space="preserve">Q86: </w:t>
      </w:r>
      <w:r w:rsidRPr="00593375">
        <w:rPr>
          <w:rFonts w:ascii="Albertus MT" w:hAnsi="Albertus MT"/>
          <w:sz w:val="22"/>
          <w:szCs w:val="22"/>
        </w:rPr>
        <w:tab/>
        <w:t xml:space="preserve">Do you agree on the proposal on the language of the insider list? </w:t>
      </w:r>
    </w:p>
    <w:p w:rsidR="00572A2B" w:rsidRPr="00593375" w:rsidRDefault="00572A2B" w:rsidP="00593375">
      <w:pPr>
        <w:pStyle w:val="Default"/>
        <w:ind w:left="567" w:hanging="567"/>
        <w:rPr>
          <w:rFonts w:ascii="Albertus MT" w:hAnsi="Albertus MT"/>
          <w:sz w:val="22"/>
          <w:szCs w:val="22"/>
        </w:rPr>
      </w:pPr>
    </w:p>
    <w:p w:rsidR="00572A2B" w:rsidRPr="00593375" w:rsidRDefault="00572A2B" w:rsidP="00593375">
      <w:pPr>
        <w:pStyle w:val="Default"/>
        <w:ind w:left="567"/>
        <w:rPr>
          <w:rFonts w:ascii="Albertus MT" w:hAnsi="Albertus MT"/>
          <w:b/>
          <w:sz w:val="22"/>
          <w:szCs w:val="22"/>
        </w:rPr>
      </w:pPr>
      <w:r w:rsidRPr="00593375">
        <w:rPr>
          <w:rFonts w:ascii="Albertus MT" w:hAnsi="Albertus MT"/>
          <w:b/>
          <w:sz w:val="22"/>
          <w:szCs w:val="22"/>
        </w:rPr>
        <w:t>We agree.</w:t>
      </w:r>
    </w:p>
    <w:p w:rsidR="00E51B0E" w:rsidRPr="00593375" w:rsidRDefault="00E51B0E" w:rsidP="00593375">
      <w:pPr>
        <w:pStyle w:val="Default"/>
        <w:ind w:left="567" w:hanging="567"/>
        <w:rPr>
          <w:rFonts w:ascii="Albertus MT" w:hAnsi="Albertus MT"/>
          <w:sz w:val="22"/>
          <w:szCs w:val="22"/>
        </w:rPr>
      </w:pPr>
    </w:p>
    <w:p w:rsidR="008643CA" w:rsidRPr="00593375" w:rsidRDefault="00E51B0E" w:rsidP="00593375">
      <w:pPr>
        <w:pStyle w:val="Default"/>
        <w:ind w:left="567" w:hanging="567"/>
        <w:rPr>
          <w:rFonts w:ascii="Albertus MT" w:hAnsi="Albertus MT"/>
          <w:sz w:val="22"/>
          <w:szCs w:val="22"/>
        </w:rPr>
      </w:pPr>
      <w:r w:rsidRPr="00593375">
        <w:rPr>
          <w:rFonts w:ascii="Albertus MT" w:hAnsi="Albertus MT"/>
          <w:sz w:val="22"/>
          <w:szCs w:val="22"/>
        </w:rPr>
        <w:t xml:space="preserve">Q87: </w:t>
      </w:r>
      <w:r w:rsidRPr="00593375">
        <w:rPr>
          <w:rFonts w:ascii="Albertus MT" w:hAnsi="Albertus MT"/>
          <w:sz w:val="22"/>
          <w:szCs w:val="22"/>
        </w:rPr>
        <w:tab/>
        <w:t xml:space="preserve">Do you agree on the standards for submission? What kind of acceptable electronic formats should be incorporated? </w:t>
      </w:r>
    </w:p>
    <w:p w:rsidR="008643CA" w:rsidRPr="00593375" w:rsidRDefault="008643CA" w:rsidP="00593375">
      <w:pPr>
        <w:pStyle w:val="Default"/>
        <w:ind w:left="567" w:hanging="567"/>
        <w:rPr>
          <w:rFonts w:ascii="Albertus MT" w:hAnsi="Albertus MT"/>
          <w:sz w:val="22"/>
          <w:szCs w:val="22"/>
        </w:rPr>
      </w:pPr>
    </w:p>
    <w:p w:rsidR="00E51B0E" w:rsidRPr="00593375" w:rsidRDefault="00A1335A" w:rsidP="00593375">
      <w:pPr>
        <w:pStyle w:val="Default"/>
        <w:ind w:left="567"/>
        <w:rPr>
          <w:rFonts w:ascii="Albertus MT" w:hAnsi="Albertus MT"/>
          <w:b/>
          <w:sz w:val="22"/>
          <w:szCs w:val="22"/>
        </w:rPr>
      </w:pPr>
      <w:r w:rsidRPr="00593375">
        <w:rPr>
          <w:rFonts w:ascii="Albertus MT" w:hAnsi="Albertus MT"/>
          <w:b/>
          <w:sz w:val="22"/>
          <w:szCs w:val="22"/>
        </w:rPr>
        <w:t>No—we do not agree that electronic formats should be formulated at this stage unless there is an acknowledged flexibility of choice which includes own format. We believe that parties should be able to provide insider lists by written submissions as well as by electronic means.</w:t>
      </w:r>
    </w:p>
    <w:p w:rsidR="00E51B0E" w:rsidRPr="00593375" w:rsidRDefault="00E51B0E" w:rsidP="00593375">
      <w:pPr>
        <w:pStyle w:val="Default"/>
        <w:ind w:left="567" w:hanging="567"/>
        <w:rPr>
          <w:rFonts w:ascii="Albertus MT" w:hAnsi="Albertus MT"/>
          <w:sz w:val="22"/>
          <w:szCs w:val="22"/>
        </w:rPr>
      </w:pPr>
    </w:p>
    <w:p w:rsidR="00E51B0E" w:rsidRPr="00593375" w:rsidRDefault="00E51B0E" w:rsidP="00593375">
      <w:pPr>
        <w:pStyle w:val="Default"/>
        <w:ind w:left="567" w:hanging="567"/>
        <w:rPr>
          <w:rFonts w:ascii="Albertus MT" w:hAnsi="Albertus MT"/>
          <w:sz w:val="22"/>
          <w:szCs w:val="22"/>
        </w:rPr>
      </w:pPr>
      <w:r w:rsidRPr="00593375">
        <w:rPr>
          <w:rFonts w:ascii="Albertus MT" w:hAnsi="Albertus MT"/>
          <w:sz w:val="22"/>
          <w:szCs w:val="22"/>
        </w:rPr>
        <w:t xml:space="preserve">Q88: </w:t>
      </w:r>
      <w:r w:rsidRPr="00593375">
        <w:rPr>
          <w:rFonts w:ascii="Albertus MT" w:hAnsi="Albertus MT"/>
          <w:sz w:val="22"/>
          <w:szCs w:val="22"/>
        </w:rPr>
        <w:tab/>
        <w:t xml:space="preserve">Should ESMA provide a technical format for the insider list including the necessary technical details about the information to be provided (e.g. standards to use, length of the information fields…)? </w:t>
      </w:r>
    </w:p>
    <w:p w:rsidR="00A1335A" w:rsidRPr="00593375" w:rsidRDefault="00A1335A" w:rsidP="00593375">
      <w:pPr>
        <w:pStyle w:val="Default"/>
        <w:ind w:left="567" w:hanging="567"/>
        <w:rPr>
          <w:rFonts w:ascii="Albertus MT" w:hAnsi="Albertus MT"/>
          <w:sz w:val="22"/>
          <w:szCs w:val="22"/>
        </w:rPr>
      </w:pPr>
    </w:p>
    <w:p w:rsidR="00A1335A" w:rsidRPr="00593375" w:rsidRDefault="00A1335A" w:rsidP="00593375">
      <w:pPr>
        <w:pStyle w:val="Default"/>
        <w:ind w:left="567"/>
        <w:rPr>
          <w:rFonts w:ascii="Albertus MT" w:hAnsi="Albertus MT"/>
          <w:b/>
          <w:sz w:val="22"/>
          <w:szCs w:val="22"/>
        </w:rPr>
      </w:pPr>
      <w:r w:rsidRPr="00593375">
        <w:rPr>
          <w:rFonts w:ascii="Albertus MT" w:hAnsi="Albertus MT"/>
          <w:b/>
          <w:sz w:val="22"/>
          <w:szCs w:val="22"/>
        </w:rPr>
        <w:t>See reply to Q. 87. Also it would be too prescriptive to specify a single format.</w:t>
      </w:r>
    </w:p>
    <w:p w:rsidR="00A1335A" w:rsidRPr="00593375" w:rsidRDefault="00A1335A" w:rsidP="00593375">
      <w:pPr>
        <w:pStyle w:val="Default"/>
        <w:ind w:left="567" w:hanging="567"/>
        <w:rPr>
          <w:rFonts w:ascii="Albertus MT" w:hAnsi="Albertus MT"/>
          <w:sz w:val="22"/>
          <w:szCs w:val="22"/>
        </w:rPr>
      </w:pPr>
    </w:p>
    <w:p w:rsidR="00E51B0E" w:rsidRPr="00593375" w:rsidRDefault="00E51B0E" w:rsidP="00593375">
      <w:pPr>
        <w:pStyle w:val="Default"/>
        <w:ind w:left="567" w:hanging="567"/>
        <w:rPr>
          <w:rFonts w:ascii="Albertus MT" w:hAnsi="Albertus MT"/>
          <w:sz w:val="22"/>
          <w:szCs w:val="22"/>
        </w:rPr>
      </w:pPr>
      <w:r w:rsidRPr="00593375">
        <w:rPr>
          <w:rFonts w:ascii="Albertus MT" w:hAnsi="Albertus MT"/>
          <w:sz w:val="22"/>
          <w:szCs w:val="22"/>
        </w:rPr>
        <w:t xml:space="preserve">Q89: </w:t>
      </w:r>
      <w:r w:rsidRPr="00593375">
        <w:rPr>
          <w:rFonts w:ascii="Albertus MT" w:hAnsi="Albertus MT"/>
          <w:sz w:val="22"/>
          <w:szCs w:val="22"/>
        </w:rPr>
        <w:tab/>
        <w:t xml:space="preserve">Do you agree on the procedure for updating insider lists? </w:t>
      </w:r>
    </w:p>
    <w:p w:rsidR="00A1335A" w:rsidRPr="00593375" w:rsidRDefault="00A1335A" w:rsidP="00593375">
      <w:pPr>
        <w:pStyle w:val="Default"/>
        <w:ind w:left="567" w:hanging="567"/>
        <w:rPr>
          <w:rFonts w:ascii="Albertus MT" w:hAnsi="Albertus MT"/>
          <w:sz w:val="22"/>
          <w:szCs w:val="22"/>
        </w:rPr>
      </w:pPr>
    </w:p>
    <w:p w:rsidR="00A1335A" w:rsidRPr="00593375" w:rsidRDefault="00A1335A" w:rsidP="00593375">
      <w:pPr>
        <w:pStyle w:val="Default"/>
        <w:ind w:left="567"/>
        <w:rPr>
          <w:rFonts w:ascii="Albertus MT" w:hAnsi="Albertus MT"/>
          <w:b/>
          <w:sz w:val="22"/>
          <w:szCs w:val="22"/>
        </w:rPr>
      </w:pPr>
      <w:r w:rsidRPr="00593375">
        <w:rPr>
          <w:rFonts w:ascii="Albertus MT" w:hAnsi="Albertus MT"/>
          <w:b/>
          <w:sz w:val="22"/>
          <w:szCs w:val="22"/>
        </w:rPr>
        <w:t xml:space="preserve">We agree but note that </w:t>
      </w:r>
      <w:r w:rsidR="009C3DBA" w:rsidRPr="00593375">
        <w:rPr>
          <w:rFonts w:ascii="Albertus MT" w:hAnsi="Albertus MT"/>
          <w:b/>
          <w:sz w:val="22"/>
          <w:szCs w:val="22"/>
        </w:rPr>
        <w:t>aggregate lists need not be required of</w:t>
      </w:r>
      <w:r w:rsidRPr="00593375">
        <w:rPr>
          <w:rFonts w:ascii="Albertus MT" w:hAnsi="Albertus MT"/>
          <w:b/>
          <w:sz w:val="22"/>
          <w:szCs w:val="22"/>
        </w:rPr>
        <w:t xml:space="preserve"> the issuer where there is an agreed delegation to agents and advisors to keep</w:t>
      </w:r>
      <w:r w:rsidR="009C3DBA" w:rsidRPr="00593375">
        <w:rPr>
          <w:rFonts w:ascii="Albertus MT" w:hAnsi="Albertus MT"/>
          <w:b/>
          <w:sz w:val="22"/>
          <w:szCs w:val="22"/>
        </w:rPr>
        <w:t xml:space="preserve"> their respective insider</w:t>
      </w:r>
      <w:r w:rsidRPr="00593375">
        <w:rPr>
          <w:rFonts w:ascii="Albertus MT" w:hAnsi="Albertus MT"/>
          <w:b/>
          <w:sz w:val="22"/>
          <w:szCs w:val="22"/>
        </w:rPr>
        <w:t xml:space="preserve"> lists</w:t>
      </w:r>
      <w:r w:rsidR="009C3DBA" w:rsidRPr="00593375">
        <w:rPr>
          <w:rFonts w:ascii="Albertus MT" w:hAnsi="Albertus MT"/>
          <w:b/>
          <w:sz w:val="22"/>
          <w:szCs w:val="22"/>
        </w:rPr>
        <w:t xml:space="preserve">. Where an investigation requires an aggregate </w:t>
      </w:r>
      <w:proofErr w:type="gramStart"/>
      <w:r w:rsidR="009C3DBA" w:rsidRPr="00593375">
        <w:rPr>
          <w:rFonts w:ascii="Albertus MT" w:hAnsi="Albertus MT"/>
          <w:b/>
          <w:sz w:val="22"/>
          <w:szCs w:val="22"/>
        </w:rPr>
        <w:t>list ,</w:t>
      </w:r>
      <w:proofErr w:type="gramEnd"/>
      <w:r w:rsidR="009C3DBA" w:rsidRPr="00593375">
        <w:rPr>
          <w:rFonts w:ascii="Albertus MT" w:hAnsi="Albertus MT"/>
          <w:b/>
          <w:sz w:val="22"/>
          <w:szCs w:val="22"/>
        </w:rPr>
        <w:t xml:space="preserve"> the </w:t>
      </w:r>
      <w:r w:rsidR="009C3DBA" w:rsidRPr="00593375">
        <w:rPr>
          <w:rFonts w:ascii="Albertus MT" w:hAnsi="Albertus MT"/>
          <w:b/>
          <w:sz w:val="22"/>
          <w:szCs w:val="22"/>
        </w:rPr>
        <w:lastRenderedPageBreak/>
        <w:t>issuer or the competent authority can create one by aggregating the individual l</w:t>
      </w:r>
      <w:r w:rsidR="00961196" w:rsidRPr="00593375">
        <w:rPr>
          <w:rFonts w:ascii="Albertus MT" w:hAnsi="Albertus MT"/>
          <w:b/>
          <w:sz w:val="22"/>
          <w:szCs w:val="22"/>
        </w:rPr>
        <w:t>i</w:t>
      </w:r>
      <w:r w:rsidR="009C3DBA" w:rsidRPr="00593375">
        <w:rPr>
          <w:rFonts w:ascii="Albertus MT" w:hAnsi="Albertus MT"/>
          <w:b/>
          <w:sz w:val="22"/>
          <w:szCs w:val="22"/>
        </w:rPr>
        <w:t>sts.</w:t>
      </w:r>
    </w:p>
    <w:p w:rsidR="00E51B0E" w:rsidRPr="00593375" w:rsidRDefault="00E51B0E" w:rsidP="00593375">
      <w:pPr>
        <w:pStyle w:val="Default"/>
        <w:ind w:left="567" w:hanging="567"/>
        <w:rPr>
          <w:rFonts w:ascii="Albertus MT" w:hAnsi="Albertus MT"/>
          <w:sz w:val="22"/>
          <w:szCs w:val="22"/>
        </w:rPr>
      </w:pPr>
    </w:p>
    <w:p w:rsidR="00E51B0E" w:rsidRPr="00593375" w:rsidRDefault="00E51B0E" w:rsidP="00593375">
      <w:pPr>
        <w:spacing w:after="0" w:line="240" w:lineRule="auto"/>
        <w:ind w:left="567" w:hanging="567"/>
        <w:rPr>
          <w:rFonts w:ascii="Albertus MT" w:hAnsi="Albertus MT"/>
          <w:sz w:val="22"/>
          <w:szCs w:val="22"/>
        </w:rPr>
      </w:pPr>
      <w:r w:rsidRPr="00593375">
        <w:rPr>
          <w:rFonts w:ascii="Albertus MT" w:hAnsi="Albertus MT"/>
          <w:sz w:val="22"/>
          <w:szCs w:val="22"/>
        </w:rPr>
        <w:t xml:space="preserve">Q90: </w:t>
      </w:r>
      <w:r w:rsidRPr="00593375">
        <w:rPr>
          <w:rFonts w:ascii="Albertus MT" w:hAnsi="Albertus MT"/>
          <w:sz w:val="22"/>
          <w:szCs w:val="22"/>
        </w:rPr>
        <w:tab/>
        <w:t xml:space="preserve">Do you agree on the proposal to put in place an internal system/process whereby the relevant information is recorded and available to facilitate the effective fulfillment of the requirement, or do you see other possibilities to </w:t>
      </w:r>
      <w:proofErr w:type="spellStart"/>
      <w:r w:rsidRPr="00593375">
        <w:rPr>
          <w:rFonts w:ascii="Albertus MT" w:hAnsi="Albertus MT"/>
          <w:sz w:val="22"/>
          <w:szCs w:val="22"/>
        </w:rPr>
        <w:t>fulfil</w:t>
      </w:r>
      <w:proofErr w:type="spellEnd"/>
      <w:r w:rsidRPr="00593375">
        <w:rPr>
          <w:rFonts w:ascii="Albertus MT" w:hAnsi="Albertus MT"/>
          <w:sz w:val="22"/>
          <w:szCs w:val="22"/>
        </w:rPr>
        <w:t xml:space="preserve"> the obligation?</w:t>
      </w:r>
    </w:p>
    <w:p w:rsidR="00593375" w:rsidRDefault="00593375" w:rsidP="00593375">
      <w:pPr>
        <w:spacing w:after="0" w:line="240" w:lineRule="auto"/>
        <w:ind w:left="567"/>
        <w:rPr>
          <w:rFonts w:ascii="Albertus MT" w:hAnsi="Albertus MT"/>
          <w:b/>
          <w:sz w:val="22"/>
          <w:szCs w:val="22"/>
        </w:rPr>
      </w:pPr>
    </w:p>
    <w:p w:rsidR="009C3DBA" w:rsidRPr="00593375" w:rsidRDefault="009C3DBA" w:rsidP="00593375">
      <w:pPr>
        <w:spacing w:after="0" w:line="240" w:lineRule="auto"/>
        <w:ind w:left="567"/>
        <w:rPr>
          <w:rFonts w:ascii="Albertus MT" w:hAnsi="Albertus MT"/>
          <w:sz w:val="22"/>
          <w:szCs w:val="22"/>
        </w:rPr>
      </w:pPr>
      <w:r w:rsidRPr="00593375">
        <w:rPr>
          <w:rFonts w:ascii="Albertus MT" w:hAnsi="Albertus MT"/>
          <w:b/>
          <w:sz w:val="22"/>
          <w:szCs w:val="22"/>
        </w:rPr>
        <w:t>We agree</w:t>
      </w:r>
      <w:r w:rsidRPr="00593375">
        <w:rPr>
          <w:rFonts w:ascii="Albertus MT" w:hAnsi="Albertus MT"/>
          <w:sz w:val="22"/>
          <w:szCs w:val="22"/>
        </w:rPr>
        <w:t>.</w:t>
      </w:r>
    </w:p>
    <w:p w:rsidR="00961196" w:rsidRPr="00593375" w:rsidRDefault="00961196" w:rsidP="00593375">
      <w:pPr>
        <w:pStyle w:val="Default"/>
        <w:rPr>
          <w:rFonts w:ascii="Albertus MT" w:hAnsi="Albertus MT"/>
          <w:b/>
          <w:bCs/>
          <w:i/>
          <w:sz w:val="28"/>
          <w:szCs w:val="28"/>
        </w:rPr>
      </w:pPr>
    </w:p>
    <w:p w:rsidR="00E51B0E" w:rsidRPr="00593375" w:rsidRDefault="00E51B0E" w:rsidP="00593375">
      <w:pPr>
        <w:pStyle w:val="Default"/>
        <w:rPr>
          <w:rFonts w:ascii="Albertus MT" w:hAnsi="Albertus MT"/>
          <w:sz w:val="22"/>
          <w:szCs w:val="22"/>
        </w:rPr>
      </w:pPr>
      <w:r w:rsidRPr="00593375">
        <w:rPr>
          <w:rFonts w:ascii="Albertus MT" w:hAnsi="Albertus MT"/>
          <w:b/>
          <w:bCs/>
          <w:i/>
          <w:sz w:val="28"/>
          <w:szCs w:val="28"/>
        </w:rPr>
        <w:t>Managers’ transactions (Article 14 of MAR)</w:t>
      </w:r>
    </w:p>
    <w:p w:rsidR="00E51B0E" w:rsidRPr="00593375" w:rsidRDefault="00E51B0E" w:rsidP="00593375">
      <w:pPr>
        <w:pStyle w:val="Default"/>
        <w:rPr>
          <w:rFonts w:ascii="Albertus MT" w:hAnsi="Albertus MT"/>
          <w:sz w:val="22"/>
          <w:szCs w:val="22"/>
        </w:rPr>
      </w:pPr>
      <w:r w:rsidRPr="00593375">
        <w:rPr>
          <w:rFonts w:ascii="Albertus MT" w:hAnsi="Albertus MT"/>
          <w:sz w:val="22"/>
          <w:szCs w:val="22"/>
        </w:rPr>
        <w:t xml:space="preserve"> </w:t>
      </w:r>
    </w:p>
    <w:p w:rsidR="00E51B0E" w:rsidRPr="00593375" w:rsidRDefault="00E51B0E" w:rsidP="00593375">
      <w:pPr>
        <w:pStyle w:val="Default"/>
        <w:ind w:left="567" w:hanging="567"/>
        <w:rPr>
          <w:rFonts w:ascii="Albertus MT" w:hAnsi="Albertus MT"/>
          <w:sz w:val="22"/>
          <w:szCs w:val="22"/>
        </w:rPr>
      </w:pPr>
      <w:r w:rsidRPr="00593375">
        <w:rPr>
          <w:rFonts w:ascii="Albertus MT" w:hAnsi="Albertus MT"/>
          <w:sz w:val="22"/>
          <w:szCs w:val="22"/>
        </w:rPr>
        <w:t xml:space="preserve">Q91: </w:t>
      </w:r>
      <w:r w:rsidRPr="00593375">
        <w:rPr>
          <w:rFonts w:ascii="Albertus MT" w:hAnsi="Albertus MT"/>
          <w:sz w:val="22"/>
          <w:szCs w:val="22"/>
        </w:rPr>
        <w:tab/>
        <w:t xml:space="preserve">Are these characteristics sufficiently clear? Or are there other characteristics which must be shared by all transactions? </w:t>
      </w:r>
    </w:p>
    <w:p w:rsidR="00472FC2" w:rsidRPr="00593375" w:rsidRDefault="00472FC2" w:rsidP="00593375">
      <w:pPr>
        <w:pStyle w:val="Default"/>
        <w:ind w:left="567" w:hanging="567"/>
        <w:rPr>
          <w:rFonts w:ascii="Albertus MT" w:hAnsi="Albertus MT"/>
          <w:sz w:val="22"/>
          <w:szCs w:val="22"/>
        </w:rPr>
      </w:pPr>
    </w:p>
    <w:p w:rsidR="00472FC2" w:rsidRPr="00593375" w:rsidRDefault="00472FC2" w:rsidP="00593375">
      <w:pPr>
        <w:pStyle w:val="Default"/>
        <w:ind w:left="567"/>
        <w:rPr>
          <w:rFonts w:ascii="Albertus MT" w:hAnsi="Albertus MT"/>
          <w:b/>
          <w:sz w:val="22"/>
          <w:szCs w:val="22"/>
        </w:rPr>
      </w:pPr>
      <w:r w:rsidRPr="00593375">
        <w:rPr>
          <w:rFonts w:ascii="Albertus MT" w:hAnsi="Albertus MT"/>
          <w:b/>
          <w:sz w:val="22"/>
          <w:szCs w:val="22"/>
        </w:rPr>
        <w:t>We agree. We suggest that the issuer also disclose whether a PDMR is on its insider lists at the time that trades are conducted.</w:t>
      </w:r>
    </w:p>
    <w:p w:rsidR="00E51B0E" w:rsidRPr="00593375" w:rsidRDefault="00E51B0E" w:rsidP="00593375">
      <w:pPr>
        <w:pStyle w:val="Default"/>
        <w:ind w:left="567" w:hanging="567"/>
        <w:rPr>
          <w:rFonts w:ascii="Albertus MT" w:hAnsi="Albertus MT"/>
          <w:sz w:val="22"/>
          <w:szCs w:val="22"/>
        </w:rPr>
      </w:pPr>
    </w:p>
    <w:p w:rsidR="00472FC2" w:rsidRPr="00593375" w:rsidRDefault="00E51B0E" w:rsidP="00593375">
      <w:pPr>
        <w:pStyle w:val="Default"/>
        <w:ind w:left="567" w:hanging="567"/>
        <w:rPr>
          <w:rFonts w:ascii="Albertus MT" w:hAnsi="Albertus MT"/>
          <w:sz w:val="22"/>
          <w:szCs w:val="22"/>
        </w:rPr>
      </w:pPr>
      <w:r w:rsidRPr="00593375">
        <w:rPr>
          <w:rFonts w:ascii="Albertus MT" w:hAnsi="Albertus MT"/>
          <w:sz w:val="22"/>
          <w:szCs w:val="22"/>
        </w:rPr>
        <w:t xml:space="preserve">Q92: </w:t>
      </w:r>
      <w:r w:rsidRPr="00593375">
        <w:rPr>
          <w:rFonts w:ascii="Albertus MT" w:hAnsi="Albertus MT"/>
          <w:sz w:val="22"/>
          <w:szCs w:val="22"/>
        </w:rPr>
        <w:tab/>
        <w:t>What are your views on the minimal weight that the issuer’s financial instrument should have for the notification requirement to be applicable? What could be such a minimal weight?</w:t>
      </w:r>
    </w:p>
    <w:p w:rsidR="00472FC2" w:rsidRPr="00593375" w:rsidRDefault="00472FC2" w:rsidP="00593375">
      <w:pPr>
        <w:pStyle w:val="Default"/>
        <w:ind w:left="567" w:hanging="567"/>
        <w:rPr>
          <w:rFonts w:ascii="Albertus MT" w:hAnsi="Albertus MT"/>
          <w:sz w:val="22"/>
          <w:szCs w:val="22"/>
        </w:rPr>
      </w:pPr>
    </w:p>
    <w:p w:rsidR="00472FC2" w:rsidRPr="00593375" w:rsidRDefault="00472FC2" w:rsidP="00593375">
      <w:pPr>
        <w:pStyle w:val="Default"/>
        <w:ind w:left="567"/>
        <w:rPr>
          <w:rFonts w:ascii="Albertus MT" w:hAnsi="Albertus MT"/>
          <w:b/>
          <w:sz w:val="22"/>
          <w:szCs w:val="22"/>
        </w:rPr>
      </w:pPr>
      <w:r w:rsidRPr="00593375">
        <w:rPr>
          <w:rFonts w:ascii="Albertus MT" w:hAnsi="Albertus MT"/>
          <w:b/>
          <w:sz w:val="22"/>
          <w:szCs w:val="22"/>
        </w:rPr>
        <w:t>For baskets and indices</w:t>
      </w:r>
      <w:r w:rsidR="00904C1E" w:rsidRPr="00593375">
        <w:rPr>
          <w:rFonts w:ascii="Albertus MT" w:hAnsi="Albertus MT"/>
          <w:b/>
          <w:sz w:val="22"/>
          <w:szCs w:val="22"/>
        </w:rPr>
        <w:t>, we suggest that the disclosure obligation should exis</w:t>
      </w:r>
      <w:r w:rsidR="00DD512E">
        <w:rPr>
          <w:rFonts w:ascii="Albertus MT" w:hAnsi="Albertus MT"/>
          <w:b/>
          <w:sz w:val="22"/>
          <w:szCs w:val="22"/>
        </w:rPr>
        <w:t>t where the issuer constitutes 5</w:t>
      </w:r>
      <w:r w:rsidR="00904C1E" w:rsidRPr="00593375">
        <w:rPr>
          <w:rFonts w:ascii="Albertus MT" w:hAnsi="Albertus MT"/>
          <w:b/>
          <w:sz w:val="22"/>
          <w:szCs w:val="22"/>
        </w:rPr>
        <w:t>0 pct of the value of the ba</w:t>
      </w:r>
      <w:r w:rsidR="00DD512E">
        <w:rPr>
          <w:rFonts w:ascii="Albertus MT" w:hAnsi="Albertus MT"/>
          <w:b/>
          <w:sz w:val="22"/>
          <w:szCs w:val="22"/>
        </w:rPr>
        <w:t>s</w:t>
      </w:r>
      <w:r w:rsidR="00904C1E" w:rsidRPr="00593375">
        <w:rPr>
          <w:rFonts w:ascii="Albertus MT" w:hAnsi="Albertus MT"/>
          <w:b/>
          <w:sz w:val="22"/>
          <w:szCs w:val="22"/>
        </w:rPr>
        <w:t>ket/index or where the basket/index portion is equivalent to 1% of outstanding shares.</w:t>
      </w:r>
    </w:p>
    <w:p w:rsidR="00577808" w:rsidRPr="00593375" w:rsidRDefault="00577808" w:rsidP="00593375">
      <w:pPr>
        <w:pStyle w:val="Default"/>
        <w:ind w:left="567"/>
        <w:rPr>
          <w:rFonts w:ascii="Albertus MT" w:hAnsi="Albertus MT"/>
          <w:b/>
          <w:sz w:val="22"/>
          <w:szCs w:val="22"/>
        </w:rPr>
      </w:pPr>
    </w:p>
    <w:p w:rsidR="00577808" w:rsidRPr="00593375" w:rsidRDefault="00DD512E" w:rsidP="00593375">
      <w:pPr>
        <w:pStyle w:val="Default"/>
        <w:ind w:left="567"/>
        <w:rPr>
          <w:rFonts w:ascii="Albertus MT" w:hAnsi="Albertus MT"/>
          <w:b/>
          <w:sz w:val="22"/>
          <w:szCs w:val="22"/>
        </w:rPr>
      </w:pPr>
      <w:r>
        <w:rPr>
          <w:rFonts w:ascii="Albertus MT" w:hAnsi="Albertus MT"/>
          <w:b/>
          <w:sz w:val="22"/>
          <w:szCs w:val="22"/>
        </w:rPr>
        <w:t xml:space="preserve">Note that </w:t>
      </w:r>
      <w:r>
        <w:rPr>
          <w:rFonts w:ascii="Albertus MT" w:hAnsi="Albertus MT" w:cs="Arial"/>
          <w:b/>
          <w:color w:val="000000" w:themeColor="text1"/>
          <w:sz w:val="22"/>
          <w:szCs w:val="22"/>
        </w:rPr>
        <w:t>a</w:t>
      </w:r>
      <w:r w:rsidR="00577808" w:rsidRPr="00593375">
        <w:rPr>
          <w:rFonts w:ascii="Albertus MT" w:hAnsi="Albertus MT" w:cs="Arial"/>
          <w:b/>
          <w:color w:val="000000" w:themeColor="text1"/>
          <w:sz w:val="22"/>
          <w:szCs w:val="22"/>
        </w:rPr>
        <w:t xml:space="preserve"> weight of 50% is the threshold applied in Germany (see the </w:t>
      </w:r>
      <w:proofErr w:type="spellStart"/>
      <w:r w:rsidR="00577808" w:rsidRPr="00593375">
        <w:rPr>
          <w:rFonts w:ascii="Albertus MT" w:hAnsi="Albertus MT" w:cs="Arial"/>
          <w:b/>
          <w:color w:val="000000" w:themeColor="text1"/>
          <w:sz w:val="22"/>
          <w:szCs w:val="22"/>
        </w:rPr>
        <w:t>BaFin’s</w:t>
      </w:r>
      <w:proofErr w:type="spellEnd"/>
      <w:r w:rsidR="00577808" w:rsidRPr="00593375">
        <w:rPr>
          <w:rFonts w:ascii="Albertus MT" w:hAnsi="Albertus MT" w:cs="Arial"/>
          <w:b/>
          <w:color w:val="000000" w:themeColor="text1"/>
          <w:sz w:val="22"/>
          <w:szCs w:val="22"/>
        </w:rPr>
        <w:t xml:space="preserve"> issuer guide, item V.2.1, page 76).</w:t>
      </w:r>
    </w:p>
    <w:p w:rsidR="00577808" w:rsidRPr="00593375" w:rsidRDefault="00577808" w:rsidP="00593375">
      <w:pPr>
        <w:pStyle w:val="Default"/>
        <w:ind w:left="567"/>
        <w:rPr>
          <w:rFonts w:ascii="Albertus MT" w:hAnsi="Albertus MT"/>
          <w:b/>
          <w:sz w:val="22"/>
          <w:szCs w:val="22"/>
        </w:rPr>
      </w:pPr>
    </w:p>
    <w:p w:rsidR="00E51B0E" w:rsidRPr="00593375" w:rsidRDefault="00E51B0E" w:rsidP="00593375">
      <w:pPr>
        <w:pStyle w:val="Default"/>
        <w:ind w:left="567" w:hanging="567"/>
        <w:rPr>
          <w:rFonts w:ascii="Albertus MT" w:hAnsi="Albertus MT"/>
          <w:sz w:val="22"/>
          <w:szCs w:val="22"/>
        </w:rPr>
      </w:pPr>
      <w:r w:rsidRPr="00593375">
        <w:rPr>
          <w:rFonts w:ascii="Albertus MT" w:hAnsi="Albertus MT"/>
          <w:sz w:val="22"/>
          <w:szCs w:val="22"/>
        </w:rPr>
        <w:t xml:space="preserve">Q93: </w:t>
      </w:r>
      <w:r w:rsidRPr="00593375">
        <w:rPr>
          <w:rFonts w:ascii="Albertus MT" w:hAnsi="Albertus MT"/>
          <w:sz w:val="22"/>
          <w:szCs w:val="22"/>
        </w:rPr>
        <w:tab/>
        <w:t xml:space="preserve">For the avoidance of doubt, do you see additional types of transactions that should be mentioned to the non-exhaustive of examples of transactions that should be notified? </w:t>
      </w:r>
    </w:p>
    <w:p w:rsidR="00904C1E" w:rsidRPr="00593375" w:rsidRDefault="00904C1E" w:rsidP="00593375">
      <w:pPr>
        <w:pStyle w:val="Default"/>
        <w:ind w:left="567" w:hanging="567"/>
        <w:rPr>
          <w:rFonts w:ascii="Albertus MT" w:hAnsi="Albertus MT"/>
          <w:sz w:val="22"/>
          <w:szCs w:val="22"/>
        </w:rPr>
      </w:pPr>
    </w:p>
    <w:p w:rsidR="00904C1E" w:rsidRPr="00593375" w:rsidRDefault="00904C1E" w:rsidP="00593375">
      <w:pPr>
        <w:pStyle w:val="Default"/>
        <w:ind w:left="567"/>
        <w:rPr>
          <w:rFonts w:ascii="Albertus MT" w:hAnsi="Albertus MT"/>
          <w:b/>
          <w:sz w:val="22"/>
          <w:szCs w:val="22"/>
        </w:rPr>
      </w:pPr>
      <w:r w:rsidRPr="00593375">
        <w:rPr>
          <w:rFonts w:ascii="Albertus MT" w:hAnsi="Albertus MT"/>
          <w:b/>
          <w:sz w:val="22"/>
          <w:szCs w:val="22"/>
        </w:rPr>
        <w:t>No.</w:t>
      </w:r>
    </w:p>
    <w:p w:rsidR="00E51B0E" w:rsidRPr="00593375" w:rsidRDefault="00E51B0E" w:rsidP="00593375">
      <w:pPr>
        <w:pStyle w:val="Default"/>
        <w:ind w:left="567" w:hanging="567"/>
        <w:rPr>
          <w:rFonts w:ascii="Albertus MT" w:hAnsi="Albertus MT"/>
          <w:sz w:val="22"/>
          <w:szCs w:val="22"/>
        </w:rPr>
      </w:pPr>
    </w:p>
    <w:p w:rsidR="00E51B0E" w:rsidRPr="00593375" w:rsidRDefault="00E51B0E" w:rsidP="00593375">
      <w:pPr>
        <w:pStyle w:val="Default"/>
        <w:ind w:left="567" w:hanging="567"/>
        <w:rPr>
          <w:rFonts w:ascii="Albertus MT" w:hAnsi="Albertus MT"/>
          <w:sz w:val="22"/>
          <w:szCs w:val="22"/>
        </w:rPr>
      </w:pPr>
      <w:r w:rsidRPr="00593375">
        <w:rPr>
          <w:rFonts w:ascii="Albertus MT" w:hAnsi="Albertus MT"/>
          <w:sz w:val="22"/>
          <w:szCs w:val="22"/>
        </w:rPr>
        <w:t xml:space="preserve">Q94: </w:t>
      </w:r>
      <w:r w:rsidRPr="00593375">
        <w:rPr>
          <w:rFonts w:ascii="Albertus MT" w:hAnsi="Albertus MT"/>
          <w:sz w:val="22"/>
          <w:szCs w:val="22"/>
        </w:rPr>
        <w:tab/>
        <w:t xml:space="preserve">What are your views on the possibility to aggregate transaction data for public disclosure and the possible alternatives for the aggregation of data? </w:t>
      </w:r>
    </w:p>
    <w:p w:rsidR="00904C1E" w:rsidRPr="00593375" w:rsidRDefault="00904C1E" w:rsidP="00593375">
      <w:pPr>
        <w:pStyle w:val="Default"/>
        <w:ind w:left="567" w:hanging="567"/>
        <w:rPr>
          <w:rFonts w:ascii="Albertus MT" w:hAnsi="Albertus MT"/>
          <w:sz w:val="22"/>
          <w:szCs w:val="22"/>
        </w:rPr>
      </w:pPr>
    </w:p>
    <w:p w:rsidR="00904C1E" w:rsidRPr="00593375" w:rsidRDefault="00904C1E" w:rsidP="00593375">
      <w:pPr>
        <w:pStyle w:val="Default"/>
        <w:ind w:left="567"/>
        <w:rPr>
          <w:rFonts w:ascii="Albertus MT" w:hAnsi="Albertus MT"/>
          <w:b/>
          <w:sz w:val="22"/>
          <w:szCs w:val="22"/>
        </w:rPr>
      </w:pPr>
      <w:r w:rsidRPr="00593375">
        <w:rPr>
          <w:rFonts w:ascii="Albertus MT" w:hAnsi="Albertus MT"/>
          <w:b/>
          <w:sz w:val="22"/>
          <w:szCs w:val="22"/>
        </w:rPr>
        <w:t>We agree that aggregation on a daily basis should be allowed. The average price of buys and sells would seem to be the most facile.</w:t>
      </w:r>
    </w:p>
    <w:p w:rsidR="00E51B0E" w:rsidRPr="00593375" w:rsidRDefault="00E51B0E" w:rsidP="00593375">
      <w:pPr>
        <w:pStyle w:val="Default"/>
        <w:ind w:left="567" w:hanging="567"/>
        <w:rPr>
          <w:rFonts w:ascii="Albertus MT" w:hAnsi="Albertus MT"/>
          <w:sz w:val="22"/>
          <w:szCs w:val="22"/>
        </w:rPr>
      </w:pPr>
    </w:p>
    <w:p w:rsidR="002B231E" w:rsidRPr="00593375" w:rsidRDefault="00E51B0E" w:rsidP="00593375">
      <w:pPr>
        <w:pStyle w:val="Default"/>
        <w:ind w:left="567" w:hanging="567"/>
        <w:rPr>
          <w:rFonts w:ascii="Albertus MT" w:hAnsi="Albertus MT"/>
          <w:sz w:val="22"/>
          <w:szCs w:val="22"/>
        </w:rPr>
      </w:pPr>
      <w:r w:rsidRPr="00593375">
        <w:rPr>
          <w:rFonts w:ascii="Albertus MT" w:hAnsi="Albertus MT"/>
          <w:sz w:val="22"/>
          <w:szCs w:val="22"/>
        </w:rPr>
        <w:t xml:space="preserve">Q95: </w:t>
      </w:r>
      <w:r w:rsidRPr="00593375">
        <w:rPr>
          <w:rFonts w:ascii="Albertus MT" w:hAnsi="Albertus MT"/>
          <w:sz w:val="22"/>
          <w:szCs w:val="22"/>
        </w:rPr>
        <w:tab/>
        <w:t>What are your views on the suggested approach in relation to exceptional circumstances under which an issuer may allow a PDMR to trade during a trading window?</w:t>
      </w:r>
    </w:p>
    <w:p w:rsidR="00961196" w:rsidRPr="00593375" w:rsidRDefault="00961196" w:rsidP="00593375">
      <w:pPr>
        <w:pStyle w:val="Default"/>
        <w:ind w:left="567" w:hanging="567"/>
        <w:rPr>
          <w:rFonts w:ascii="Albertus MT" w:hAnsi="Albertus MT"/>
          <w:sz w:val="22"/>
          <w:szCs w:val="22"/>
        </w:rPr>
      </w:pPr>
    </w:p>
    <w:p w:rsidR="00E51B0E" w:rsidRPr="00593375" w:rsidRDefault="00961196" w:rsidP="00593375">
      <w:pPr>
        <w:pStyle w:val="Default"/>
        <w:ind w:left="567" w:hanging="567"/>
        <w:rPr>
          <w:rFonts w:ascii="Albertus MT" w:hAnsi="Albertus MT"/>
          <w:b/>
          <w:sz w:val="22"/>
          <w:szCs w:val="22"/>
        </w:rPr>
      </w:pPr>
      <w:r w:rsidRPr="00593375">
        <w:rPr>
          <w:rFonts w:ascii="Albertus MT" w:hAnsi="Albertus MT"/>
          <w:sz w:val="22"/>
          <w:szCs w:val="22"/>
        </w:rPr>
        <w:tab/>
      </w:r>
      <w:r w:rsidR="002B231E" w:rsidRPr="00593375">
        <w:rPr>
          <w:rFonts w:ascii="Albertus MT" w:hAnsi="Albertus MT"/>
          <w:b/>
          <w:sz w:val="22"/>
          <w:szCs w:val="22"/>
        </w:rPr>
        <w:t>Reference to UKLA code</w:t>
      </w:r>
      <w:proofErr w:type="gramStart"/>
      <w:r w:rsidR="002B231E" w:rsidRPr="00593375">
        <w:rPr>
          <w:rFonts w:ascii="Albertus MT" w:hAnsi="Albertus MT"/>
          <w:b/>
          <w:sz w:val="22"/>
          <w:szCs w:val="22"/>
        </w:rPr>
        <w:t>?/</w:t>
      </w:r>
      <w:proofErr w:type="gramEnd"/>
      <w:r w:rsidR="002B231E" w:rsidRPr="00593375">
        <w:rPr>
          <w:rFonts w:ascii="Albertus MT" w:hAnsi="Albertus MT"/>
          <w:b/>
          <w:sz w:val="22"/>
          <w:szCs w:val="22"/>
        </w:rPr>
        <w:t>/</w:t>
      </w:r>
      <w:r w:rsidR="00E51B0E" w:rsidRPr="00593375">
        <w:rPr>
          <w:rFonts w:ascii="Albertus MT" w:hAnsi="Albertus MT"/>
          <w:b/>
          <w:sz w:val="22"/>
          <w:szCs w:val="22"/>
        </w:rPr>
        <w:t xml:space="preserve"> </w:t>
      </w:r>
    </w:p>
    <w:p w:rsidR="00E51B0E" w:rsidRPr="00593375" w:rsidRDefault="00E51B0E" w:rsidP="00593375">
      <w:pPr>
        <w:pStyle w:val="Default"/>
        <w:ind w:left="567" w:hanging="567"/>
        <w:rPr>
          <w:rFonts w:ascii="Albertus MT" w:hAnsi="Albertus MT"/>
          <w:sz w:val="22"/>
          <w:szCs w:val="22"/>
        </w:rPr>
      </w:pPr>
    </w:p>
    <w:p w:rsidR="00E51B0E" w:rsidRPr="00593375" w:rsidRDefault="00E51B0E" w:rsidP="00593375">
      <w:pPr>
        <w:spacing w:after="0" w:line="240" w:lineRule="auto"/>
        <w:ind w:left="567" w:hanging="567"/>
        <w:rPr>
          <w:rFonts w:ascii="Albertus MT" w:hAnsi="Albertus MT"/>
          <w:b/>
          <w:bCs/>
          <w:sz w:val="22"/>
          <w:szCs w:val="22"/>
        </w:rPr>
      </w:pPr>
      <w:r w:rsidRPr="00593375">
        <w:rPr>
          <w:rFonts w:ascii="Albertus MT" w:hAnsi="Albertus MT"/>
          <w:sz w:val="22"/>
          <w:szCs w:val="22"/>
        </w:rPr>
        <w:t xml:space="preserve">Q96: </w:t>
      </w:r>
      <w:r w:rsidRPr="00593375">
        <w:rPr>
          <w:rFonts w:ascii="Albertus MT" w:hAnsi="Albertus MT"/>
          <w:sz w:val="22"/>
          <w:szCs w:val="22"/>
        </w:rPr>
        <w:tab/>
        <w:t>What are you views on the suggested criteria and conditions for allowing particular dealings and on the examples provided? Please explain.</w:t>
      </w:r>
    </w:p>
    <w:p w:rsidR="00E51B0E" w:rsidRPr="00593375" w:rsidRDefault="00E51B0E" w:rsidP="00593375">
      <w:pPr>
        <w:spacing w:after="0" w:line="240" w:lineRule="auto"/>
        <w:ind w:left="567" w:hanging="567"/>
        <w:rPr>
          <w:rFonts w:ascii="Albertus MT" w:hAnsi="Albertus MT"/>
          <w:sz w:val="22"/>
          <w:szCs w:val="22"/>
        </w:rPr>
      </w:pPr>
    </w:p>
    <w:p w:rsidR="00E51B0E" w:rsidRPr="00593375" w:rsidRDefault="00E51B0E" w:rsidP="00593375">
      <w:pPr>
        <w:pStyle w:val="Default"/>
        <w:rPr>
          <w:rFonts w:ascii="Albertus MT" w:hAnsi="Albertus MT"/>
          <w:b/>
          <w:bCs/>
          <w:sz w:val="28"/>
          <w:szCs w:val="28"/>
        </w:rPr>
      </w:pPr>
    </w:p>
    <w:p w:rsidR="00E51B0E" w:rsidRPr="00593375" w:rsidRDefault="00E51B0E" w:rsidP="00593375">
      <w:pPr>
        <w:pStyle w:val="Default"/>
        <w:rPr>
          <w:rFonts w:ascii="Albertus MT" w:hAnsi="Albertus MT"/>
          <w:b/>
          <w:bCs/>
          <w:sz w:val="28"/>
          <w:szCs w:val="28"/>
        </w:rPr>
      </w:pPr>
      <w:r w:rsidRPr="00593375">
        <w:rPr>
          <w:rFonts w:ascii="Albertus MT" w:hAnsi="Albertus MT"/>
          <w:b/>
          <w:bCs/>
          <w:sz w:val="28"/>
          <w:szCs w:val="28"/>
        </w:rPr>
        <w:lastRenderedPageBreak/>
        <w:t xml:space="preserve">Investment recommendations (Article 15 of MAR) </w:t>
      </w:r>
    </w:p>
    <w:p w:rsidR="00E51B0E" w:rsidRPr="00593375" w:rsidRDefault="00E51B0E" w:rsidP="00593375">
      <w:pPr>
        <w:pStyle w:val="Default"/>
        <w:rPr>
          <w:rFonts w:ascii="Albertus MT" w:hAnsi="Albertus MT"/>
          <w:b/>
          <w:bCs/>
          <w:sz w:val="28"/>
          <w:szCs w:val="28"/>
        </w:rPr>
      </w:pPr>
    </w:p>
    <w:p w:rsidR="00E51B0E" w:rsidRPr="00593375" w:rsidRDefault="00E51B0E" w:rsidP="00593375">
      <w:pPr>
        <w:pStyle w:val="Default"/>
        <w:ind w:left="709" w:hanging="709"/>
        <w:rPr>
          <w:rFonts w:ascii="Albertus MT" w:hAnsi="Albertus MT"/>
          <w:sz w:val="22"/>
          <w:szCs w:val="22"/>
        </w:rPr>
      </w:pPr>
      <w:r w:rsidRPr="00593375">
        <w:rPr>
          <w:rFonts w:ascii="Albertus MT" w:hAnsi="Albertus MT"/>
          <w:sz w:val="22"/>
          <w:szCs w:val="22"/>
        </w:rPr>
        <w:t xml:space="preserve">Q97: </w:t>
      </w:r>
      <w:r w:rsidRPr="00593375">
        <w:rPr>
          <w:rFonts w:ascii="Albertus MT" w:hAnsi="Albertus MT"/>
          <w:sz w:val="22"/>
          <w:szCs w:val="22"/>
        </w:rPr>
        <w:tab/>
        <w:t xml:space="preserve">Do you have suggestions on how to determine when an investment recommendation is “intended for distribution channels or for the public”? </w:t>
      </w:r>
    </w:p>
    <w:p w:rsidR="00754EC4" w:rsidRPr="00593375" w:rsidRDefault="00754EC4" w:rsidP="00593375">
      <w:pPr>
        <w:pStyle w:val="Default"/>
        <w:ind w:left="709" w:hanging="709"/>
        <w:rPr>
          <w:rFonts w:ascii="Albertus MT" w:hAnsi="Albertus MT"/>
          <w:sz w:val="22"/>
          <w:szCs w:val="22"/>
        </w:rPr>
      </w:pPr>
    </w:p>
    <w:p w:rsidR="00E51B0E" w:rsidRPr="00593375" w:rsidRDefault="006270DD" w:rsidP="00593375">
      <w:pPr>
        <w:pStyle w:val="Default"/>
        <w:ind w:left="709"/>
        <w:rPr>
          <w:rFonts w:ascii="Albertus MT" w:hAnsi="Albertus MT"/>
          <w:sz w:val="22"/>
          <w:szCs w:val="22"/>
        </w:rPr>
      </w:pPr>
      <w:r w:rsidRPr="00593375">
        <w:rPr>
          <w:rFonts w:ascii="Albertus MT" w:hAnsi="Albertus MT"/>
          <w:b/>
          <w:sz w:val="22"/>
          <w:szCs w:val="22"/>
        </w:rPr>
        <w:t>In our view it is not necessary to further clarify when investment recommendations are “intended for distribution channels or for the public” and ESMA’s proposal could have the disadvantage of confusing the distinction that is made in Recital 3 of implementing Directive 2003/125/EC with “informal short-term investment recommendations originating from inside the sales and trading departments of an investment firm or credit institution expressed to their clients” – which should continue to fall outside of the scope of the Investment Recommendation regime. Such sales and trading communications, which, both as a matter of form and substance, are clearly demarcated from Investment Recommendations, are nonetheless subject to the core requirements of financial regulation in that they must be clear, fair and not misleading and must adequately address any existing conflicts of interest. As such they are not “unregulated” as is suggested in paragraph 388 of the ESMA paper. Further, they are clearly marked as not constituting independent investment research, to which the full application of the Investment Recommendation regime is applicable, and do not purport to represent a fundamental analysis of the relevant securities by an independent research specialist. Given the intended audience for such sales and trading commentary, i.e. market counterparties and professional clients we do not consider that further clarification is required from ESMA.</w:t>
      </w:r>
    </w:p>
    <w:p w:rsidR="00E51B0E" w:rsidRPr="00593375" w:rsidRDefault="00E51B0E" w:rsidP="00593375">
      <w:pPr>
        <w:pStyle w:val="Default"/>
        <w:ind w:left="567" w:hanging="567"/>
        <w:rPr>
          <w:rFonts w:ascii="Albertus MT" w:hAnsi="Albertus MT"/>
          <w:sz w:val="22"/>
          <w:szCs w:val="22"/>
        </w:rPr>
      </w:pPr>
    </w:p>
    <w:p w:rsidR="00E51B0E" w:rsidRPr="00593375" w:rsidRDefault="00E51B0E" w:rsidP="00593375">
      <w:pPr>
        <w:pStyle w:val="Default"/>
        <w:ind w:left="709" w:hanging="709"/>
        <w:rPr>
          <w:rFonts w:ascii="Albertus MT" w:hAnsi="Albertus MT"/>
          <w:color w:val="auto"/>
          <w:sz w:val="22"/>
          <w:szCs w:val="22"/>
        </w:rPr>
      </w:pPr>
      <w:r w:rsidRPr="00593375">
        <w:rPr>
          <w:rFonts w:ascii="Albertus MT" w:hAnsi="Albertus MT"/>
          <w:color w:val="auto"/>
          <w:sz w:val="22"/>
          <w:szCs w:val="22"/>
        </w:rPr>
        <w:t xml:space="preserve">Q98: </w:t>
      </w:r>
      <w:r w:rsidRPr="00593375">
        <w:rPr>
          <w:rFonts w:ascii="Albertus MT" w:hAnsi="Albertus MT"/>
          <w:color w:val="auto"/>
          <w:sz w:val="22"/>
          <w:szCs w:val="22"/>
        </w:rPr>
        <w:tab/>
        <w:t xml:space="preserve">Do you think that there should be a threshold for what constitute “large number of persons” for the purpose of determining that an investment recommendation is intended for the public? </w:t>
      </w:r>
    </w:p>
    <w:p w:rsidR="006270DD" w:rsidRPr="00593375" w:rsidRDefault="006270DD" w:rsidP="00593375">
      <w:pPr>
        <w:pStyle w:val="Default"/>
        <w:ind w:left="709" w:hanging="709"/>
        <w:rPr>
          <w:rFonts w:ascii="Albertus MT" w:hAnsi="Albertus MT"/>
          <w:color w:val="auto"/>
          <w:sz w:val="22"/>
          <w:szCs w:val="22"/>
        </w:rPr>
      </w:pPr>
    </w:p>
    <w:p w:rsidR="00391EDC" w:rsidRPr="00593375" w:rsidRDefault="00593375" w:rsidP="00593375">
      <w:pPr>
        <w:pStyle w:val="Default"/>
        <w:ind w:left="709" w:hanging="709"/>
        <w:rPr>
          <w:rFonts w:ascii="Albertus MT" w:hAnsi="Albertus MT"/>
          <w:b/>
          <w:color w:val="auto"/>
          <w:sz w:val="22"/>
          <w:szCs w:val="22"/>
        </w:rPr>
      </w:pPr>
      <w:r w:rsidRPr="00593375">
        <w:rPr>
          <w:rFonts w:ascii="Albertus MT" w:hAnsi="Albertus MT"/>
          <w:b/>
          <w:color w:val="auto"/>
          <w:sz w:val="22"/>
          <w:szCs w:val="22"/>
        </w:rPr>
        <w:tab/>
      </w:r>
      <w:r w:rsidR="006270DD" w:rsidRPr="00593375">
        <w:rPr>
          <w:rFonts w:ascii="Albertus MT" w:hAnsi="Albertus MT"/>
          <w:b/>
          <w:color w:val="auto"/>
          <w:sz w:val="22"/>
          <w:szCs w:val="22"/>
        </w:rPr>
        <w:t>We do not believe that such an approach is necessary or justified. The current definition is operating adequately</w:t>
      </w:r>
      <w:r w:rsidR="00ED59B7" w:rsidRPr="00593375">
        <w:rPr>
          <w:rFonts w:ascii="Albertus MT" w:hAnsi="Albertus MT"/>
          <w:b/>
          <w:color w:val="auto"/>
          <w:sz w:val="22"/>
          <w:szCs w:val="22"/>
        </w:rPr>
        <w:t xml:space="preserve">. In practice it would be difficult to define a threshold. We do not agree with the example of format </w:t>
      </w:r>
      <w:proofErr w:type="spellStart"/>
      <w:r w:rsidR="00ED59B7" w:rsidRPr="00593375">
        <w:rPr>
          <w:rFonts w:ascii="Albertus MT" w:hAnsi="Albertus MT"/>
          <w:b/>
          <w:color w:val="auto"/>
          <w:sz w:val="22"/>
          <w:szCs w:val="22"/>
        </w:rPr>
        <w:t>istribution</w:t>
      </w:r>
      <w:proofErr w:type="spellEnd"/>
      <w:r w:rsidR="00ED59B7" w:rsidRPr="00593375">
        <w:rPr>
          <w:rFonts w:ascii="Albertus MT" w:hAnsi="Albertus MT"/>
          <w:b/>
          <w:color w:val="auto"/>
          <w:sz w:val="22"/>
          <w:szCs w:val="22"/>
        </w:rPr>
        <w:t xml:space="preserve"> should be included. Emails and faxes should not be considered</w:t>
      </w:r>
      <w:r w:rsidR="004D67B8" w:rsidRPr="00593375">
        <w:rPr>
          <w:rFonts w:ascii="Albertus MT" w:hAnsi="Albertus MT"/>
          <w:b/>
          <w:color w:val="auto"/>
          <w:sz w:val="22"/>
          <w:szCs w:val="22"/>
        </w:rPr>
        <w:t xml:space="preserve"> per se</w:t>
      </w:r>
      <w:r w:rsidR="00ED59B7" w:rsidRPr="00593375">
        <w:rPr>
          <w:rFonts w:ascii="Albertus MT" w:hAnsi="Albertus MT"/>
          <w:b/>
          <w:color w:val="auto"/>
          <w:sz w:val="22"/>
          <w:szCs w:val="22"/>
        </w:rPr>
        <w:t xml:space="preserve"> a method of broad dissemination or of making a broad dissemination available</w:t>
      </w:r>
      <w:r w:rsidRPr="00593375">
        <w:rPr>
          <w:rFonts w:ascii="Albertus MT" w:hAnsi="Albertus MT"/>
          <w:b/>
          <w:color w:val="auto"/>
          <w:sz w:val="22"/>
          <w:szCs w:val="22"/>
        </w:rPr>
        <w:t>.</w:t>
      </w:r>
      <w:r w:rsidR="00467BC5" w:rsidRPr="00593375">
        <w:rPr>
          <w:rFonts w:ascii="Albertus MT" w:hAnsi="Albertus MT"/>
          <w:b/>
          <w:color w:val="auto"/>
          <w:sz w:val="22"/>
          <w:szCs w:val="22"/>
        </w:rPr>
        <w:t xml:space="preserve"> </w:t>
      </w:r>
    </w:p>
    <w:p w:rsidR="00E51B0E" w:rsidRPr="00593375" w:rsidRDefault="00E51B0E" w:rsidP="00593375">
      <w:pPr>
        <w:pStyle w:val="Default"/>
        <w:ind w:left="567" w:hanging="567"/>
        <w:rPr>
          <w:rFonts w:ascii="Albertus MT" w:hAnsi="Albertus MT"/>
          <w:color w:val="auto"/>
          <w:sz w:val="22"/>
          <w:szCs w:val="22"/>
        </w:rPr>
      </w:pPr>
    </w:p>
    <w:p w:rsidR="00E51B0E" w:rsidRDefault="00E51B0E" w:rsidP="00593375">
      <w:pPr>
        <w:spacing w:after="0" w:line="240" w:lineRule="auto"/>
        <w:ind w:left="709" w:hanging="709"/>
        <w:rPr>
          <w:rFonts w:ascii="Albertus MT" w:hAnsi="Albertus MT"/>
          <w:sz w:val="22"/>
          <w:szCs w:val="22"/>
        </w:rPr>
      </w:pPr>
      <w:r w:rsidRPr="00593375">
        <w:rPr>
          <w:rFonts w:ascii="Albertus MT" w:hAnsi="Albertus MT"/>
          <w:sz w:val="22"/>
          <w:szCs w:val="22"/>
        </w:rPr>
        <w:t xml:space="preserve">Q99: </w:t>
      </w:r>
      <w:r w:rsidRPr="00593375">
        <w:rPr>
          <w:rFonts w:ascii="Albertus MT" w:hAnsi="Albertus MT"/>
          <w:sz w:val="22"/>
          <w:szCs w:val="22"/>
        </w:rPr>
        <w:tab/>
        <w:t>Do you agree that the existing requirements on the identity of producers of recommendations should be maintained?</w:t>
      </w:r>
    </w:p>
    <w:p w:rsidR="00593375" w:rsidRPr="00593375" w:rsidRDefault="00593375" w:rsidP="00593375">
      <w:pPr>
        <w:spacing w:after="0" w:line="240" w:lineRule="auto"/>
        <w:ind w:left="709" w:hanging="709"/>
        <w:rPr>
          <w:rFonts w:ascii="Albertus MT" w:hAnsi="Albertus MT"/>
          <w:sz w:val="22"/>
          <w:szCs w:val="22"/>
        </w:rPr>
      </w:pPr>
    </w:p>
    <w:p w:rsidR="00F9044E" w:rsidRDefault="007429D4" w:rsidP="00593375">
      <w:pPr>
        <w:spacing w:after="0" w:line="240" w:lineRule="auto"/>
        <w:ind w:left="709"/>
        <w:rPr>
          <w:rFonts w:ascii="Albertus MT" w:hAnsi="Albertus MT"/>
          <w:b/>
          <w:sz w:val="22"/>
          <w:szCs w:val="22"/>
        </w:rPr>
      </w:pPr>
      <w:r w:rsidRPr="00593375">
        <w:rPr>
          <w:rFonts w:ascii="Albertus MT" w:hAnsi="Albertus MT"/>
          <w:b/>
          <w:sz w:val="22"/>
          <w:szCs w:val="22"/>
        </w:rPr>
        <w:t xml:space="preserve">We </w:t>
      </w:r>
      <w:r w:rsidR="00961196" w:rsidRPr="00593375">
        <w:rPr>
          <w:rFonts w:ascii="Albertus MT" w:hAnsi="Albertus MT"/>
          <w:b/>
          <w:sz w:val="22"/>
          <w:szCs w:val="22"/>
        </w:rPr>
        <w:t>a</w:t>
      </w:r>
      <w:r w:rsidRPr="00593375">
        <w:rPr>
          <w:rFonts w:ascii="Albertus MT" w:hAnsi="Albertus MT"/>
          <w:b/>
          <w:sz w:val="22"/>
          <w:szCs w:val="22"/>
        </w:rPr>
        <w:t>gree</w:t>
      </w:r>
      <w:r w:rsidR="00467BC5" w:rsidRPr="00593375">
        <w:rPr>
          <w:rFonts w:ascii="Albertus MT" w:hAnsi="Albertus MT"/>
          <w:b/>
          <w:sz w:val="22"/>
          <w:szCs w:val="22"/>
        </w:rPr>
        <w:t xml:space="preserve"> that the requirement should apply to producers of recommendations but not to the producers of other types of </w:t>
      </w:r>
      <w:proofErr w:type="gramStart"/>
      <w:r w:rsidR="00467BC5" w:rsidRPr="00593375">
        <w:rPr>
          <w:rFonts w:ascii="Albertus MT" w:hAnsi="Albertus MT"/>
          <w:b/>
          <w:sz w:val="22"/>
          <w:szCs w:val="22"/>
        </w:rPr>
        <w:t>communications</w:t>
      </w:r>
      <w:r w:rsidR="004D67B8" w:rsidRPr="00593375">
        <w:rPr>
          <w:rFonts w:ascii="Albertus MT" w:hAnsi="Albertus MT"/>
          <w:b/>
          <w:sz w:val="22"/>
          <w:szCs w:val="22"/>
        </w:rPr>
        <w:t>(</w:t>
      </w:r>
      <w:proofErr w:type="gramEnd"/>
      <w:r w:rsidR="004D67B8" w:rsidRPr="00593375">
        <w:rPr>
          <w:rFonts w:ascii="Albertus MT" w:hAnsi="Albertus MT"/>
          <w:b/>
          <w:sz w:val="22"/>
          <w:szCs w:val="22"/>
        </w:rPr>
        <w:t xml:space="preserve"> independent research and sales notes)</w:t>
      </w:r>
      <w:r w:rsidR="00467BC5" w:rsidRPr="00593375">
        <w:rPr>
          <w:rFonts w:ascii="Albertus MT" w:hAnsi="Albertus MT"/>
          <w:b/>
          <w:sz w:val="22"/>
          <w:szCs w:val="22"/>
        </w:rPr>
        <w:t xml:space="preserve"> as discussed  in the our reply to Q. 98.</w:t>
      </w:r>
    </w:p>
    <w:p w:rsidR="00593375" w:rsidRPr="00593375" w:rsidRDefault="00593375" w:rsidP="00593375">
      <w:pPr>
        <w:spacing w:after="0" w:line="240" w:lineRule="auto"/>
        <w:ind w:left="709"/>
        <w:rPr>
          <w:rFonts w:ascii="Albertus MT" w:hAnsi="Albertus MT"/>
          <w:b/>
          <w:sz w:val="22"/>
          <w:szCs w:val="22"/>
        </w:rPr>
      </w:pPr>
    </w:p>
    <w:p w:rsidR="00E51B0E" w:rsidRPr="00593375" w:rsidRDefault="00E51B0E" w:rsidP="00593375">
      <w:pPr>
        <w:pStyle w:val="Default"/>
        <w:ind w:left="709" w:hanging="709"/>
        <w:rPr>
          <w:rFonts w:ascii="Albertus MT" w:hAnsi="Albertus MT"/>
          <w:sz w:val="22"/>
          <w:szCs w:val="22"/>
        </w:rPr>
      </w:pPr>
      <w:r w:rsidRPr="00593375">
        <w:rPr>
          <w:rFonts w:ascii="Albertus MT" w:hAnsi="Albertus MT"/>
          <w:sz w:val="22"/>
          <w:szCs w:val="22"/>
        </w:rPr>
        <w:t>Q100:</w:t>
      </w:r>
      <w:r w:rsidRPr="00593375">
        <w:rPr>
          <w:rFonts w:ascii="Albertus MT" w:hAnsi="Albertus MT"/>
          <w:sz w:val="22"/>
          <w:szCs w:val="22"/>
        </w:rPr>
        <w:tab/>
        <w:t xml:space="preserve">Do you agree that, as a starting point, ESMA should keep the approach adopted in the existing level 2 rules, with respect to objective presentation of investment recommendations? </w:t>
      </w:r>
    </w:p>
    <w:p w:rsidR="007429D4" w:rsidRPr="00593375" w:rsidRDefault="007429D4" w:rsidP="00593375">
      <w:pPr>
        <w:pStyle w:val="Default"/>
        <w:ind w:left="709" w:hanging="709"/>
        <w:rPr>
          <w:rFonts w:ascii="Albertus MT" w:hAnsi="Albertus MT"/>
          <w:sz w:val="22"/>
          <w:szCs w:val="22"/>
        </w:rPr>
      </w:pPr>
    </w:p>
    <w:p w:rsidR="007429D4" w:rsidRPr="00593375" w:rsidRDefault="00961196" w:rsidP="00593375">
      <w:pPr>
        <w:pStyle w:val="Default"/>
        <w:ind w:left="709" w:hanging="709"/>
        <w:rPr>
          <w:rFonts w:ascii="Albertus MT" w:hAnsi="Albertus MT"/>
          <w:b/>
          <w:sz w:val="22"/>
          <w:szCs w:val="22"/>
        </w:rPr>
      </w:pPr>
      <w:r w:rsidRPr="00593375">
        <w:rPr>
          <w:rFonts w:ascii="Albertus MT" w:hAnsi="Albertus MT"/>
          <w:sz w:val="22"/>
          <w:szCs w:val="22"/>
        </w:rPr>
        <w:tab/>
      </w:r>
      <w:r w:rsidR="007429D4" w:rsidRPr="00593375">
        <w:rPr>
          <w:rFonts w:ascii="Albertus MT" w:hAnsi="Albertus MT"/>
          <w:b/>
          <w:sz w:val="22"/>
          <w:szCs w:val="22"/>
        </w:rPr>
        <w:t>We agree</w:t>
      </w:r>
      <w:r w:rsidR="00541FB0" w:rsidRPr="00593375">
        <w:rPr>
          <w:rFonts w:ascii="Albertus MT" w:hAnsi="Albertus MT"/>
          <w:b/>
          <w:sz w:val="22"/>
          <w:szCs w:val="22"/>
        </w:rPr>
        <w:t xml:space="preserve"> on the basis that we are not aware of market failures in this context</w:t>
      </w:r>
      <w:r w:rsidR="00ED59B7" w:rsidRPr="00593375">
        <w:rPr>
          <w:rFonts w:ascii="Albertus MT" w:hAnsi="Albertus MT"/>
          <w:b/>
          <w:sz w:val="22"/>
          <w:szCs w:val="22"/>
        </w:rPr>
        <w:t xml:space="preserve"> and as long as the distinction is preserved between investment </w:t>
      </w:r>
      <w:proofErr w:type="gramStart"/>
      <w:r w:rsidR="00ED59B7" w:rsidRPr="00593375">
        <w:rPr>
          <w:rFonts w:ascii="Albertus MT" w:hAnsi="Albertus MT"/>
          <w:b/>
          <w:sz w:val="22"/>
          <w:szCs w:val="22"/>
        </w:rPr>
        <w:t>research</w:t>
      </w:r>
      <w:proofErr w:type="gramEnd"/>
      <w:r w:rsidR="00ED59B7" w:rsidRPr="00593375">
        <w:rPr>
          <w:rFonts w:ascii="Albertus MT" w:hAnsi="Albertus MT"/>
          <w:b/>
          <w:sz w:val="22"/>
          <w:szCs w:val="22"/>
        </w:rPr>
        <w:t>, non-independent research and sales notes.</w:t>
      </w:r>
    </w:p>
    <w:p w:rsidR="00E51B0E" w:rsidRPr="00593375" w:rsidRDefault="00E51B0E" w:rsidP="00593375">
      <w:pPr>
        <w:pStyle w:val="Default"/>
        <w:ind w:left="567" w:hanging="567"/>
        <w:rPr>
          <w:rFonts w:ascii="Albertus MT" w:hAnsi="Albertus MT"/>
          <w:sz w:val="22"/>
          <w:szCs w:val="22"/>
        </w:rPr>
      </w:pPr>
    </w:p>
    <w:p w:rsidR="00541FB0" w:rsidRPr="00593375" w:rsidRDefault="00E51B0E" w:rsidP="00593375">
      <w:pPr>
        <w:pStyle w:val="Default"/>
        <w:ind w:left="709" w:hanging="709"/>
        <w:rPr>
          <w:rFonts w:ascii="Albertus MT" w:hAnsi="Albertus MT"/>
          <w:sz w:val="22"/>
          <w:szCs w:val="22"/>
        </w:rPr>
      </w:pPr>
      <w:r w:rsidRPr="00593375">
        <w:rPr>
          <w:rFonts w:ascii="Albertus MT" w:hAnsi="Albertus MT"/>
          <w:sz w:val="22"/>
          <w:szCs w:val="22"/>
        </w:rPr>
        <w:t>Q101:</w:t>
      </w:r>
      <w:r w:rsidRPr="00593375">
        <w:rPr>
          <w:rFonts w:ascii="Albertus MT" w:hAnsi="Albertus MT"/>
          <w:sz w:val="22"/>
          <w:szCs w:val="22"/>
        </w:rPr>
        <w:tab/>
        <w:t>Do you agree with the suggested approach aiming at increasing transparency on the methodologies used to evaluate a financial instrument or issuer compared to the current situation?</w:t>
      </w:r>
    </w:p>
    <w:p w:rsidR="00541FB0" w:rsidRPr="00593375" w:rsidRDefault="00541FB0" w:rsidP="00593375">
      <w:pPr>
        <w:pStyle w:val="Default"/>
        <w:ind w:left="709" w:hanging="709"/>
        <w:rPr>
          <w:rFonts w:ascii="Albertus MT" w:hAnsi="Albertus MT"/>
          <w:sz w:val="22"/>
          <w:szCs w:val="22"/>
        </w:rPr>
      </w:pPr>
    </w:p>
    <w:p w:rsidR="00D86D3B" w:rsidRPr="00593375" w:rsidRDefault="00541FB0" w:rsidP="00593375">
      <w:pPr>
        <w:pStyle w:val="Default"/>
        <w:ind w:left="709" w:hanging="709"/>
        <w:rPr>
          <w:rFonts w:ascii="Albertus MT" w:hAnsi="Albertus MT"/>
          <w:b/>
          <w:sz w:val="22"/>
          <w:szCs w:val="22"/>
        </w:rPr>
      </w:pPr>
      <w:r w:rsidRPr="00593375">
        <w:rPr>
          <w:rFonts w:ascii="Albertus MT" w:hAnsi="Albertus MT"/>
          <w:sz w:val="22"/>
          <w:szCs w:val="22"/>
        </w:rPr>
        <w:t xml:space="preserve">         </w:t>
      </w:r>
      <w:r w:rsidR="00593375" w:rsidRPr="00593375">
        <w:rPr>
          <w:rFonts w:ascii="Albertus MT" w:hAnsi="Albertus MT"/>
          <w:sz w:val="22"/>
          <w:szCs w:val="22"/>
        </w:rPr>
        <w:tab/>
      </w:r>
      <w:r w:rsidR="00D86D3B" w:rsidRPr="00593375">
        <w:rPr>
          <w:rFonts w:ascii="Albertus MT" w:hAnsi="Albertus MT"/>
          <w:b/>
          <w:sz w:val="22"/>
          <w:szCs w:val="22"/>
        </w:rPr>
        <w:t>We have reservations with the suggested approach</w:t>
      </w:r>
      <w:r w:rsidR="00ED59B7" w:rsidRPr="00593375">
        <w:rPr>
          <w:rFonts w:ascii="Albertus MT" w:hAnsi="Albertus MT"/>
          <w:b/>
          <w:sz w:val="22"/>
          <w:szCs w:val="22"/>
        </w:rPr>
        <w:t xml:space="preserve"> for institutional clients</w:t>
      </w:r>
      <w:r w:rsidR="00D86D3B" w:rsidRPr="00593375">
        <w:rPr>
          <w:rFonts w:ascii="Albertus MT" w:hAnsi="Albertus MT"/>
          <w:b/>
          <w:sz w:val="22"/>
          <w:szCs w:val="22"/>
        </w:rPr>
        <w:t>.</w:t>
      </w:r>
      <w:r w:rsidRPr="00593375">
        <w:rPr>
          <w:rFonts w:ascii="Albertus MT" w:hAnsi="Albertus MT"/>
          <w:b/>
          <w:sz w:val="22"/>
          <w:szCs w:val="22"/>
        </w:rPr>
        <w:t xml:space="preserve">  We are not aware of any market failure having occurred. We are not convinced that a new r</w:t>
      </w:r>
      <w:r w:rsidR="00D86D3B" w:rsidRPr="00593375">
        <w:rPr>
          <w:rFonts w:ascii="Albertus MT" w:hAnsi="Albertus MT"/>
          <w:b/>
          <w:sz w:val="22"/>
          <w:szCs w:val="22"/>
        </w:rPr>
        <w:t>equirement</w:t>
      </w:r>
      <w:r w:rsidRPr="00593375">
        <w:rPr>
          <w:rFonts w:ascii="Albertus MT" w:hAnsi="Albertus MT"/>
          <w:b/>
          <w:sz w:val="22"/>
          <w:szCs w:val="22"/>
        </w:rPr>
        <w:t xml:space="preserve"> is necessary. </w:t>
      </w:r>
      <w:r w:rsidR="004D67B8" w:rsidRPr="00593375">
        <w:rPr>
          <w:rFonts w:ascii="Albertus MT" w:hAnsi="Albertus MT"/>
          <w:b/>
          <w:sz w:val="22"/>
          <w:szCs w:val="22"/>
        </w:rPr>
        <w:t>Methodology should refer to the basis upon which a recommendation is made as opposed to a numerical</w:t>
      </w:r>
      <w:r w:rsidR="00593375" w:rsidRPr="00593375">
        <w:rPr>
          <w:rFonts w:ascii="Albertus MT" w:hAnsi="Albertus MT"/>
          <w:b/>
          <w:sz w:val="22"/>
          <w:szCs w:val="22"/>
        </w:rPr>
        <w:t xml:space="preserve"> </w:t>
      </w:r>
      <w:r w:rsidR="004D67B8" w:rsidRPr="00593375">
        <w:rPr>
          <w:rFonts w:ascii="Albertus MT" w:hAnsi="Albertus MT"/>
          <w:b/>
          <w:sz w:val="22"/>
          <w:szCs w:val="22"/>
        </w:rPr>
        <w:t>calibration of methodologies</w:t>
      </w:r>
      <w:proofErr w:type="gramStart"/>
      <w:r w:rsidR="004D67B8" w:rsidRPr="00593375">
        <w:rPr>
          <w:rFonts w:ascii="Albertus MT" w:hAnsi="Albertus MT"/>
          <w:b/>
          <w:sz w:val="22"/>
          <w:szCs w:val="22"/>
        </w:rPr>
        <w:t>..</w:t>
      </w:r>
      <w:proofErr w:type="gramEnd"/>
      <w:r w:rsidR="004D67B8" w:rsidRPr="00593375">
        <w:rPr>
          <w:rFonts w:ascii="Albertus MT" w:hAnsi="Albertus MT"/>
          <w:b/>
          <w:sz w:val="22"/>
          <w:szCs w:val="22"/>
        </w:rPr>
        <w:t xml:space="preserve"> </w:t>
      </w:r>
    </w:p>
    <w:p w:rsidR="00D86D3B" w:rsidRPr="00593375" w:rsidRDefault="00D86D3B" w:rsidP="00593375">
      <w:pPr>
        <w:pStyle w:val="Default"/>
        <w:ind w:left="709" w:hanging="709"/>
        <w:rPr>
          <w:rFonts w:ascii="Albertus MT" w:hAnsi="Albertus MT"/>
          <w:b/>
          <w:sz w:val="22"/>
          <w:szCs w:val="22"/>
        </w:rPr>
      </w:pPr>
    </w:p>
    <w:p w:rsidR="00E51B0E" w:rsidRPr="00593375" w:rsidRDefault="00D86D3B" w:rsidP="00593375">
      <w:pPr>
        <w:pStyle w:val="Default"/>
        <w:ind w:left="709" w:hanging="709"/>
        <w:rPr>
          <w:rFonts w:ascii="Albertus MT" w:hAnsi="Albertus MT"/>
          <w:b/>
          <w:sz w:val="22"/>
          <w:szCs w:val="22"/>
        </w:rPr>
      </w:pPr>
      <w:r w:rsidRPr="00593375">
        <w:rPr>
          <w:rFonts w:ascii="Albertus MT" w:hAnsi="Albertus MT"/>
          <w:b/>
          <w:sz w:val="22"/>
          <w:szCs w:val="22"/>
        </w:rPr>
        <w:t xml:space="preserve">          We note that research is often not based on a specific methodology such as quantitative analysis. Fundamental research often differs from technical research.  It is often based on market experience and judgement based on that experience which may refer to statistics or may not. Research reports typically refer readers to their investment advisors for assistance in understanding or applying the information presented.</w:t>
      </w:r>
      <w:r w:rsidR="00E51B0E" w:rsidRPr="00593375">
        <w:rPr>
          <w:rFonts w:ascii="Albertus MT" w:hAnsi="Albertus MT"/>
          <w:b/>
          <w:sz w:val="22"/>
          <w:szCs w:val="22"/>
        </w:rPr>
        <w:t xml:space="preserve"> </w:t>
      </w:r>
    </w:p>
    <w:p w:rsidR="007429D4" w:rsidRPr="00593375" w:rsidRDefault="007429D4" w:rsidP="00593375">
      <w:pPr>
        <w:pStyle w:val="Default"/>
        <w:ind w:left="709" w:hanging="709"/>
        <w:rPr>
          <w:rFonts w:ascii="Albertus MT" w:hAnsi="Albertus MT"/>
          <w:b/>
          <w:sz w:val="22"/>
          <w:szCs w:val="22"/>
        </w:rPr>
      </w:pPr>
    </w:p>
    <w:p w:rsidR="007429D4" w:rsidRPr="00593375" w:rsidRDefault="007429D4" w:rsidP="00593375">
      <w:pPr>
        <w:pStyle w:val="NoSpacing"/>
        <w:ind w:left="709"/>
        <w:rPr>
          <w:rFonts w:ascii="Albertus MT" w:hAnsi="Albertus MT"/>
          <w:b/>
          <w:color w:val="000000" w:themeColor="text1"/>
        </w:rPr>
      </w:pPr>
      <w:r w:rsidRPr="00593375">
        <w:rPr>
          <w:rFonts w:ascii="Albertus MT" w:hAnsi="Albertus MT"/>
          <w:b/>
          <w:bCs/>
          <w:iCs/>
          <w:color w:val="000000" w:themeColor="text1"/>
          <w:lang w:val="en-US"/>
        </w:rPr>
        <w:t xml:space="preserve">We would also ask that the reference in paragraph 399 to “methodologies” be amended in any proposed draft RTS to make it clear that such “details” are intended to reflect the basis upon which a recommendation is made </w:t>
      </w:r>
      <w:r w:rsidR="00B216DB" w:rsidRPr="00593375">
        <w:rPr>
          <w:rFonts w:ascii="Albertus MT" w:hAnsi="Albertus MT"/>
          <w:b/>
          <w:bCs/>
          <w:iCs/>
          <w:color w:val="000000" w:themeColor="text1"/>
          <w:lang w:val="en-US"/>
        </w:rPr>
        <w:t>( not necessarily</w:t>
      </w:r>
      <w:r w:rsidRPr="00593375">
        <w:rPr>
          <w:rFonts w:ascii="Albertus MT" w:hAnsi="Albertus MT"/>
          <w:b/>
          <w:bCs/>
          <w:iCs/>
          <w:color w:val="000000" w:themeColor="text1"/>
          <w:lang w:val="en-US"/>
        </w:rPr>
        <w:t xml:space="preserve"> to a numerical calibration). </w:t>
      </w:r>
    </w:p>
    <w:p w:rsidR="007429D4" w:rsidRPr="00593375" w:rsidRDefault="007429D4" w:rsidP="00593375">
      <w:pPr>
        <w:pStyle w:val="Default"/>
        <w:ind w:left="709" w:hanging="709"/>
        <w:rPr>
          <w:rFonts w:ascii="Albertus MT" w:hAnsi="Albertus MT"/>
          <w:sz w:val="22"/>
          <w:szCs w:val="22"/>
        </w:rPr>
      </w:pPr>
    </w:p>
    <w:p w:rsidR="00E51B0E" w:rsidRPr="00593375" w:rsidRDefault="00E51B0E" w:rsidP="00593375">
      <w:pPr>
        <w:pStyle w:val="Default"/>
        <w:ind w:left="709" w:hanging="709"/>
        <w:rPr>
          <w:rFonts w:ascii="Albertus MT" w:hAnsi="Albertus MT"/>
          <w:sz w:val="22"/>
          <w:szCs w:val="22"/>
        </w:rPr>
      </w:pPr>
      <w:r w:rsidRPr="00593375">
        <w:rPr>
          <w:rFonts w:ascii="Albertus MT" w:hAnsi="Albertus MT"/>
          <w:sz w:val="22"/>
          <w:szCs w:val="22"/>
        </w:rPr>
        <w:t>Q102:</w:t>
      </w:r>
      <w:r w:rsidRPr="00593375">
        <w:rPr>
          <w:rFonts w:ascii="Albertus MT" w:hAnsi="Albertus MT"/>
          <w:sz w:val="22"/>
          <w:szCs w:val="22"/>
        </w:rPr>
        <w:tab/>
        <w:t xml:space="preserve">Do you agree that, as a starting point, ESMA should keep the approach adopted in the existing level 2 rules with respect to disclosure of particular interests or indications of conflicts of interest? </w:t>
      </w:r>
    </w:p>
    <w:p w:rsidR="00961196" w:rsidRPr="00593375" w:rsidRDefault="00961196" w:rsidP="00593375">
      <w:pPr>
        <w:pStyle w:val="Default"/>
        <w:ind w:left="709" w:hanging="709"/>
        <w:rPr>
          <w:rFonts w:ascii="Albertus MT" w:hAnsi="Albertus MT"/>
          <w:sz w:val="22"/>
          <w:szCs w:val="22"/>
        </w:rPr>
      </w:pPr>
    </w:p>
    <w:p w:rsidR="007429D4" w:rsidRPr="00593375" w:rsidRDefault="00961196" w:rsidP="00593375">
      <w:pPr>
        <w:pStyle w:val="Default"/>
        <w:ind w:left="709" w:hanging="709"/>
        <w:rPr>
          <w:rFonts w:ascii="Albertus MT" w:hAnsi="Albertus MT"/>
          <w:b/>
          <w:sz w:val="22"/>
          <w:szCs w:val="22"/>
        </w:rPr>
      </w:pPr>
      <w:r w:rsidRPr="00593375">
        <w:rPr>
          <w:rFonts w:ascii="Albertus MT" w:hAnsi="Albertus MT"/>
          <w:sz w:val="22"/>
          <w:szCs w:val="22"/>
        </w:rPr>
        <w:tab/>
      </w:r>
      <w:r w:rsidR="007429D4" w:rsidRPr="00593375">
        <w:rPr>
          <w:rFonts w:ascii="Albertus MT" w:hAnsi="Albertus MT"/>
          <w:b/>
          <w:sz w:val="22"/>
          <w:szCs w:val="22"/>
        </w:rPr>
        <w:t>We agree.</w:t>
      </w:r>
      <w:r w:rsidR="00B216DB" w:rsidRPr="00593375">
        <w:rPr>
          <w:rFonts w:ascii="Albertus MT" w:hAnsi="Albertus MT"/>
          <w:b/>
          <w:sz w:val="22"/>
          <w:szCs w:val="22"/>
        </w:rPr>
        <w:t xml:space="preserve"> We are not aware of any market failures pointing to a need for change.</w:t>
      </w:r>
    </w:p>
    <w:p w:rsidR="00E51B0E" w:rsidRPr="00593375" w:rsidRDefault="00E51B0E" w:rsidP="00593375">
      <w:pPr>
        <w:pStyle w:val="Default"/>
        <w:ind w:left="567" w:hanging="567"/>
        <w:rPr>
          <w:rFonts w:ascii="Albertus MT" w:hAnsi="Albertus MT"/>
          <w:sz w:val="22"/>
          <w:szCs w:val="22"/>
        </w:rPr>
      </w:pPr>
    </w:p>
    <w:p w:rsidR="00E51B0E" w:rsidRPr="00593375" w:rsidRDefault="00E51B0E" w:rsidP="00593375">
      <w:pPr>
        <w:pStyle w:val="Default"/>
        <w:ind w:left="709" w:hanging="709"/>
        <w:rPr>
          <w:rFonts w:ascii="Albertus MT" w:hAnsi="Albertus MT"/>
          <w:sz w:val="22"/>
          <w:szCs w:val="22"/>
        </w:rPr>
      </w:pPr>
      <w:r w:rsidRPr="00593375">
        <w:rPr>
          <w:rFonts w:ascii="Albertus MT" w:hAnsi="Albertus MT"/>
          <w:sz w:val="22"/>
          <w:szCs w:val="22"/>
        </w:rPr>
        <w:t>Q103:</w:t>
      </w:r>
      <w:r w:rsidRPr="00593375">
        <w:rPr>
          <w:rFonts w:ascii="Albertus MT" w:hAnsi="Albertus MT"/>
          <w:sz w:val="22"/>
          <w:szCs w:val="22"/>
        </w:rPr>
        <w:tab/>
        <w:t xml:space="preserve">Should the thresholds for disclosure of major shareholdings be reduced to 2-3% of the total issued share capital, or is the current threshold of 5% sufficient where the firm can choose to disclose significant shareholdings above a lower threshold (for example 1%) than is required? Or, do you have suggestions for alternative approaches to the disclosure of conflict of interests (e.g. any holdings should be disclosed)? </w:t>
      </w:r>
    </w:p>
    <w:p w:rsidR="00B216DB" w:rsidRPr="00593375" w:rsidRDefault="00B216DB" w:rsidP="00593375">
      <w:pPr>
        <w:pStyle w:val="Default"/>
        <w:ind w:left="709" w:hanging="709"/>
        <w:rPr>
          <w:rFonts w:ascii="Albertus MT" w:hAnsi="Albertus MT"/>
          <w:sz w:val="22"/>
          <w:szCs w:val="22"/>
        </w:rPr>
      </w:pPr>
    </w:p>
    <w:p w:rsidR="00B216DB" w:rsidRPr="00593375" w:rsidRDefault="00B216DB" w:rsidP="00593375">
      <w:pPr>
        <w:pStyle w:val="Default"/>
        <w:ind w:left="709" w:hanging="709"/>
        <w:rPr>
          <w:rFonts w:ascii="Albertus MT" w:hAnsi="Albertus MT"/>
          <w:b/>
          <w:sz w:val="22"/>
          <w:szCs w:val="22"/>
        </w:rPr>
      </w:pPr>
      <w:r w:rsidRPr="00593375">
        <w:rPr>
          <w:rFonts w:ascii="Albertus MT" w:hAnsi="Albertus MT"/>
          <w:sz w:val="22"/>
          <w:szCs w:val="22"/>
        </w:rPr>
        <w:t xml:space="preserve">        </w:t>
      </w:r>
      <w:r w:rsidR="00593375" w:rsidRPr="00593375">
        <w:rPr>
          <w:rFonts w:ascii="Albertus MT" w:hAnsi="Albertus MT"/>
          <w:sz w:val="22"/>
          <w:szCs w:val="22"/>
        </w:rPr>
        <w:tab/>
      </w:r>
      <w:r w:rsidRPr="00593375">
        <w:rPr>
          <w:rFonts w:ascii="Albertus MT" w:hAnsi="Albertus MT"/>
          <w:b/>
          <w:sz w:val="22"/>
          <w:szCs w:val="22"/>
        </w:rPr>
        <w:t>We favour the existing threshold of 5%. We are aware of no market failure in this area.</w:t>
      </w:r>
    </w:p>
    <w:p w:rsidR="00E51B0E" w:rsidRPr="00593375" w:rsidRDefault="00E51B0E" w:rsidP="00593375">
      <w:pPr>
        <w:pStyle w:val="Default"/>
        <w:ind w:left="567" w:hanging="567"/>
        <w:rPr>
          <w:rFonts w:ascii="Albertus MT" w:hAnsi="Albertus MT"/>
          <w:sz w:val="22"/>
          <w:szCs w:val="22"/>
        </w:rPr>
      </w:pPr>
    </w:p>
    <w:p w:rsidR="00E51B0E" w:rsidRPr="00593375" w:rsidRDefault="00E51B0E" w:rsidP="00593375">
      <w:pPr>
        <w:pStyle w:val="Default"/>
        <w:ind w:left="709" w:hanging="709"/>
        <w:rPr>
          <w:rFonts w:ascii="Albertus MT" w:hAnsi="Albertus MT"/>
          <w:sz w:val="22"/>
          <w:szCs w:val="22"/>
        </w:rPr>
      </w:pPr>
      <w:r w:rsidRPr="00593375">
        <w:rPr>
          <w:rFonts w:ascii="Albertus MT" w:hAnsi="Albertus MT"/>
          <w:sz w:val="22"/>
          <w:szCs w:val="22"/>
        </w:rPr>
        <w:t>Q104:</w:t>
      </w:r>
      <w:r w:rsidRPr="00593375">
        <w:rPr>
          <w:rFonts w:ascii="Albertus MT" w:hAnsi="Albertus MT"/>
          <w:sz w:val="22"/>
          <w:szCs w:val="22"/>
        </w:rPr>
        <w:tab/>
        <w:t xml:space="preserve">Do you agree on the introduction of a disclosure duty for net short positions? If yes, what threshold do you consider would be appropriate and why? </w:t>
      </w:r>
    </w:p>
    <w:p w:rsidR="00593375" w:rsidRPr="00593375" w:rsidRDefault="00593375" w:rsidP="00593375">
      <w:pPr>
        <w:pStyle w:val="Default"/>
        <w:ind w:left="709" w:hanging="709"/>
        <w:rPr>
          <w:rFonts w:ascii="Albertus MT" w:hAnsi="Albertus MT"/>
          <w:sz w:val="22"/>
          <w:szCs w:val="22"/>
        </w:rPr>
      </w:pPr>
    </w:p>
    <w:p w:rsidR="00E51B0E" w:rsidRPr="00593375" w:rsidRDefault="00593375" w:rsidP="00593375">
      <w:pPr>
        <w:pStyle w:val="Default"/>
        <w:ind w:left="709" w:hanging="709"/>
        <w:rPr>
          <w:rFonts w:ascii="Albertus MT" w:hAnsi="Albertus MT"/>
          <w:sz w:val="22"/>
          <w:szCs w:val="22"/>
        </w:rPr>
      </w:pPr>
      <w:r w:rsidRPr="00593375">
        <w:rPr>
          <w:rFonts w:ascii="Albertus MT" w:hAnsi="Albertus MT"/>
          <w:sz w:val="22"/>
          <w:szCs w:val="22"/>
        </w:rPr>
        <w:tab/>
      </w:r>
      <w:r w:rsidR="00B216DB" w:rsidRPr="00593375">
        <w:rPr>
          <w:rFonts w:ascii="Albertus MT" w:hAnsi="Albertus MT"/>
          <w:b/>
          <w:sz w:val="22"/>
          <w:szCs w:val="22"/>
        </w:rPr>
        <w:t>No- we do not agree. No case has been made that a need exists for change.</w:t>
      </w:r>
    </w:p>
    <w:p w:rsidR="00E51B0E" w:rsidRPr="00593375" w:rsidRDefault="00E51B0E" w:rsidP="00593375">
      <w:pPr>
        <w:pStyle w:val="Default"/>
        <w:ind w:left="567" w:hanging="567"/>
        <w:rPr>
          <w:rFonts w:ascii="Albertus MT" w:hAnsi="Albertus MT"/>
          <w:sz w:val="22"/>
          <w:szCs w:val="22"/>
        </w:rPr>
      </w:pPr>
    </w:p>
    <w:p w:rsidR="00E51B0E" w:rsidRPr="00593375" w:rsidRDefault="00E51B0E" w:rsidP="00593375">
      <w:pPr>
        <w:pStyle w:val="Default"/>
        <w:ind w:left="709" w:hanging="709"/>
        <w:rPr>
          <w:rFonts w:ascii="Albertus MT" w:hAnsi="Albertus MT"/>
          <w:sz w:val="22"/>
          <w:szCs w:val="22"/>
        </w:rPr>
      </w:pPr>
      <w:r w:rsidRPr="00593375">
        <w:rPr>
          <w:rFonts w:ascii="Albertus MT" w:hAnsi="Albertus MT"/>
          <w:sz w:val="22"/>
          <w:szCs w:val="22"/>
        </w:rPr>
        <w:t>Q105:</w:t>
      </w:r>
      <w:r w:rsidRPr="00593375">
        <w:rPr>
          <w:rFonts w:ascii="Albertus MT" w:hAnsi="Albertus MT"/>
          <w:sz w:val="22"/>
          <w:szCs w:val="22"/>
        </w:rPr>
        <w:tab/>
        <w:t xml:space="preserve">Do you agree on the introduction of a disclosure duty for positions in debt instruments? If yes, what threshold do you consider would be appropriate and why? </w:t>
      </w:r>
    </w:p>
    <w:p w:rsidR="00593375" w:rsidRPr="00593375" w:rsidRDefault="00593375" w:rsidP="00593375">
      <w:pPr>
        <w:pStyle w:val="Default"/>
        <w:ind w:left="709"/>
        <w:rPr>
          <w:rFonts w:ascii="Albertus MT" w:hAnsi="Albertus MT"/>
          <w:sz w:val="22"/>
          <w:szCs w:val="22"/>
        </w:rPr>
      </w:pPr>
    </w:p>
    <w:p w:rsidR="00E51B0E" w:rsidRPr="00593375" w:rsidRDefault="00B216DB" w:rsidP="00593375">
      <w:pPr>
        <w:pStyle w:val="Default"/>
        <w:ind w:left="709"/>
        <w:rPr>
          <w:rFonts w:ascii="Albertus MT" w:hAnsi="Albertus MT"/>
          <w:sz w:val="22"/>
          <w:szCs w:val="22"/>
        </w:rPr>
      </w:pPr>
      <w:r w:rsidRPr="00593375">
        <w:rPr>
          <w:rFonts w:ascii="Albertus MT" w:hAnsi="Albertus MT"/>
          <w:b/>
          <w:sz w:val="22"/>
          <w:szCs w:val="22"/>
        </w:rPr>
        <w:t>No—there appears to be no evidence of any market failure which would be addressed by this change.</w:t>
      </w:r>
      <w:r w:rsidR="006270DD" w:rsidRPr="00593375">
        <w:rPr>
          <w:rFonts w:ascii="Albertus MT" w:hAnsi="Albertus MT"/>
          <w:b/>
          <w:sz w:val="22"/>
          <w:szCs w:val="22"/>
        </w:rPr>
        <w:t xml:space="preserve"> Disclosure of debt positions, which is currently </w:t>
      </w:r>
      <w:r w:rsidR="006270DD" w:rsidRPr="00593375">
        <w:rPr>
          <w:rFonts w:ascii="Albertus MT" w:hAnsi="Albertus MT"/>
          <w:b/>
          <w:sz w:val="22"/>
          <w:szCs w:val="22"/>
        </w:rPr>
        <w:lastRenderedPageBreak/>
        <w:t>driven by general conflicts of interest requirements, is still considered adequate.</w:t>
      </w:r>
    </w:p>
    <w:p w:rsidR="00E51B0E" w:rsidRPr="00593375" w:rsidRDefault="00E51B0E" w:rsidP="00593375">
      <w:pPr>
        <w:pStyle w:val="Default"/>
        <w:ind w:left="567" w:hanging="567"/>
        <w:rPr>
          <w:rFonts w:ascii="Albertus MT" w:hAnsi="Albertus MT"/>
          <w:sz w:val="22"/>
          <w:szCs w:val="22"/>
        </w:rPr>
      </w:pPr>
    </w:p>
    <w:p w:rsidR="007429D4" w:rsidRPr="00593375" w:rsidRDefault="00E51B0E" w:rsidP="00593375">
      <w:pPr>
        <w:pStyle w:val="Default"/>
        <w:ind w:left="709" w:hanging="709"/>
        <w:rPr>
          <w:rFonts w:ascii="Albertus MT" w:hAnsi="Albertus MT"/>
          <w:sz w:val="22"/>
          <w:szCs w:val="22"/>
        </w:rPr>
      </w:pPr>
      <w:r w:rsidRPr="00593375">
        <w:rPr>
          <w:rFonts w:ascii="Albertus MT" w:hAnsi="Albertus MT"/>
          <w:sz w:val="22"/>
          <w:szCs w:val="22"/>
        </w:rPr>
        <w:t>Q106:</w:t>
      </w:r>
      <w:r w:rsidRPr="00593375">
        <w:rPr>
          <w:rFonts w:ascii="Albertus MT" w:hAnsi="Albertus MT"/>
          <w:sz w:val="22"/>
          <w:szCs w:val="22"/>
        </w:rPr>
        <w:tab/>
        <w:t>Do you think that additional specific thresholds should be specified with respect to other ‘non-equities’ financial instruments?</w:t>
      </w:r>
    </w:p>
    <w:p w:rsidR="007429D4" w:rsidRPr="00593375" w:rsidRDefault="007429D4" w:rsidP="00593375">
      <w:pPr>
        <w:pStyle w:val="Default"/>
        <w:ind w:left="709" w:hanging="709"/>
        <w:rPr>
          <w:rFonts w:ascii="Albertus MT" w:hAnsi="Albertus MT"/>
          <w:sz w:val="22"/>
          <w:szCs w:val="22"/>
        </w:rPr>
      </w:pPr>
    </w:p>
    <w:p w:rsidR="007429D4" w:rsidRPr="00593375" w:rsidRDefault="007429D4" w:rsidP="00593375">
      <w:pPr>
        <w:pStyle w:val="NoSpacing"/>
        <w:ind w:left="709"/>
        <w:rPr>
          <w:rFonts w:ascii="Albertus MT" w:hAnsi="Albertus MT"/>
          <w:color w:val="000000" w:themeColor="text1"/>
        </w:rPr>
      </w:pPr>
      <w:r w:rsidRPr="00593375">
        <w:rPr>
          <w:rFonts w:ascii="Albertus MT" w:hAnsi="Albertus MT"/>
          <w:b/>
          <w:bCs/>
          <w:iCs/>
          <w:color w:val="000000" w:themeColor="text1"/>
          <w:lang w:val="en-US"/>
        </w:rPr>
        <w:t>We would not agree to impose bright-line thresholds.  We would refer ESMA to the FCA current regime where “significant holdings” (with “significant” being determined in relation to the size of the company holding the non-equity FIs) are disclosed.</w:t>
      </w:r>
      <w:r w:rsidR="006270DD" w:rsidRPr="00593375">
        <w:rPr>
          <w:rFonts w:ascii="Albertus MT" w:hAnsi="Albertus MT"/>
          <w:b/>
          <w:bCs/>
          <w:iCs/>
          <w:color w:val="000000" w:themeColor="text1"/>
          <w:lang w:val="en-US"/>
        </w:rPr>
        <w:t xml:space="preserve"> See also our response to Q.105.</w:t>
      </w:r>
    </w:p>
    <w:p w:rsidR="00E51B0E" w:rsidRPr="00593375" w:rsidRDefault="00E51B0E" w:rsidP="00593375">
      <w:pPr>
        <w:pStyle w:val="Default"/>
        <w:ind w:left="709" w:hanging="709"/>
        <w:rPr>
          <w:rFonts w:ascii="Albertus MT" w:hAnsi="Albertus MT"/>
          <w:color w:val="000000" w:themeColor="text1"/>
          <w:sz w:val="22"/>
          <w:szCs w:val="22"/>
        </w:rPr>
      </w:pPr>
      <w:r w:rsidRPr="00593375">
        <w:rPr>
          <w:rFonts w:ascii="Albertus MT" w:hAnsi="Albertus MT"/>
          <w:color w:val="000000" w:themeColor="text1"/>
          <w:sz w:val="22"/>
          <w:szCs w:val="22"/>
        </w:rPr>
        <w:t xml:space="preserve"> </w:t>
      </w:r>
    </w:p>
    <w:p w:rsidR="00E51B0E" w:rsidRDefault="00E51B0E" w:rsidP="00593375">
      <w:pPr>
        <w:spacing w:after="0" w:line="240" w:lineRule="auto"/>
        <w:ind w:left="709" w:hanging="709"/>
        <w:rPr>
          <w:rFonts w:ascii="Albertus MT" w:hAnsi="Albertus MT"/>
          <w:sz w:val="22"/>
          <w:szCs w:val="22"/>
        </w:rPr>
      </w:pPr>
      <w:r w:rsidRPr="00593375">
        <w:rPr>
          <w:rFonts w:ascii="Albertus MT" w:hAnsi="Albertus MT"/>
          <w:sz w:val="22"/>
          <w:szCs w:val="22"/>
        </w:rPr>
        <w:t>Q107:</w:t>
      </w:r>
      <w:r w:rsidRPr="00593375">
        <w:rPr>
          <w:rFonts w:ascii="Albertus MT" w:hAnsi="Albertus MT"/>
          <w:sz w:val="22"/>
          <w:szCs w:val="22"/>
        </w:rPr>
        <w:tab/>
        <w:t>Do you think that further disclosure on previous recommendations should be given?</w:t>
      </w:r>
    </w:p>
    <w:p w:rsidR="00593375" w:rsidRPr="00593375" w:rsidRDefault="00593375" w:rsidP="00593375">
      <w:pPr>
        <w:spacing w:after="0" w:line="240" w:lineRule="auto"/>
        <w:ind w:left="709" w:hanging="709"/>
        <w:rPr>
          <w:rFonts w:ascii="Albertus MT" w:hAnsi="Albertus MT"/>
          <w:sz w:val="22"/>
          <w:szCs w:val="22"/>
        </w:rPr>
      </w:pPr>
    </w:p>
    <w:p w:rsidR="00961196" w:rsidRDefault="007429D4" w:rsidP="00593375">
      <w:pPr>
        <w:pStyle w:val="NoSpacing"/>
        <w:ind w:left="709"/>
        <w:rPr>
          <w:rFonts w:ascii="Albertus MT" w:hAnsi="Albertus MT"/>
          <w:b/>
          <w:bCs/>
          <w:iCs/>
          <w:color w:val="000000" w:themeColor="text1"/>
          <w:lang w:val="en-US"/>
        </w:rPr>
      </w:pPr>
      <w:r w:rsidRPr="00593375">
        <w:rPr>
          <w:rFonts w:ascii="Albertus MT" w:hAnsi="Albertus MT"/>
          <w:b/>
          <w:bCs/>
          <w:iCs/>
          <w:color w:val="000000" w:themeColor="text1"/>
          <w:lang w:val="en-US"/>
        </w:rPr>
        <w:t xml:space="preserve">We do not see the need for further disclosure, noting much of this information is already available on </w:t>
      </w:r>
      <w:proofErr w:type="gramStart"/>
      <w:r w:rsidRPr="00593375">
        <w:rPr>
          <w:rFonts w:ascii="Albertus MT" w:hAnsi="Albertus MT"/>
          <w:b/>
          <w:bCs/>
          <w:iCs/>
          <w:color w:val="000000" w:themeColor="text1"/>
          <w:lang w:val="en-US"/>
        </w:rPr>
        <w:t>resear</w:t>
      </w:r>
      <w:r w:rsidR="006270DD" w:rsidRPr="00593375">
        <w:rPr>
          <w:rFonts w:ascii="Albertus MT" w:hAnsi="Albertus MT"/>
          <w:b/>
          <w:bCs/>
          <w:iCs/>
          <w:color w:val="000000" w:themeColor="text1"/>
          <w:lang w:val="en-US"/>
        </w:rPr>
        <w:t>ch  produc</w:t>
      </w:r>
      <w:r w:rsidRPr="00593375">
        <w:rPr>
          <w:rFonts w:ascii="Albertus MT" w:hAnsi="Albertus MT"/>
          <w:b/>
          <w:bCs/>
          <w:iCs/>
          <w:color w:val="000000" w:themeColor="text1"/>
          <w:lang w:val="en-US"/>
        </w:rPr>
        <w:t>ers’</w:t>
      </w:r>
      <w:proofErr w:type="gramEnd"/>
      <w:r w:rsidRPr="00593375">
        <w:rPr>
          <w:rFonts w:ascii="Albertus MT" w:hAnsi="Albertus MT"/>
          <w:b/>
          <w:bCs/>
          <w:iCs/>
          <w:color w:val="000000" w:themeColor="text1"/>
          <w:lang w:val="en-US"/>
        </w:rPr>
        <w:t xml:space="preserve"> websites.  Adding further disclosure requirements would be confusing rather than illuminating.</w:t>
      </w:r>
    </w:p>
    <w:p w:rsidR="00593375" w:rsidRPr="00593375" w:rsidRDefault="00593375" w:rsidP="00593375">
      <w:pPr>
        <w:pStyle w:val="NoSpacing"/>
        <w:ind w:left="709"/>
        <w:rPr>
          <w:rFonts w:ascii="Albertus MT" w:hAnsi="Albertus MT"/>
        </w:rPr>
      </w:pPr>
    </w:p>
    <w:p w:rsidR="00E51B0E" w:rsidRPr="00593375" w:rsidRDefault="00E51B0E" w:rsidP="00593375">
      <w:pPr>
        <w:pStyle w:val="Default"/>
        <w:ind w:left="709" w:hanging="709"/>
        <w:rPr>
          <w:rFonts w:ascii="Albertus MT" w:hAnsi="Albertus MT"/>
          <w:sz w:val="22"/>
          <w:szCs w:val="22"/>
        </w:rPr>
      </w:pPr>
      <w:r w:rsidRPr="00593375">
        <w:rPr>
          <w:rFonts w:ascii="Albertus MT" w:hAnsi="Albertus MT"/>
          <w:sz w:val="22"/>
          <w:szCs w:val="22"/>
        </w:rPr>
        <w:t>Q108:</w:t>
      </w:r>
      <w:r w:rsidRPr="00593375">
        <w:rPr>
          <w:rFonts w:ascii="Albertus MT" w:hAnsi="Albertus MT"/>
          <w:sz w:val="22"/>
          <w:szCs w:val="22"/>
        </w:rPr>
        <w:tab/>
        <w:t xml:space="preserve">If so, do you think that an analysis of the gap between market price and price target should also be required in this additional disclosure on previous recommendations? </w:t>
      </w:r>
    </w:p>
    <w:p w:rsidR="00961196" w:rsidRPr="00593375" w:rsidRDefault="00961196" w:rsidP="00593375">
      <w:pPr>
        <w:pStyle w:val="NoSpacing"/>
        <w:rPr>
          <w:rFonts w:ascii="Albertus MT" w:hAnsi="Albertus MT"/>
          <w:b/>
          <w:bCs/>
          <w:i/>
          <w:iCs/>
          <w:color w:val="1F497D"/>
          <w:lang w:val="en-US"/>
        </w:rPr>
      </w:pPr>
    </w:p>
    <w:p w:rsidR="00E51B0E" w:rsidRDefault="007429D4" w:rsidP="00593375">
      <w:pPr>
        <w:pStyle w:val="NoSpacing"/>
        <w:ind w:left="709"/>
        <w:rPr>
          <w:rFonts w:ascii="Albertus MT" w:hAnsi="Albertus MT"/>
          <w:b/>
          <w:bCs/>
          <w:iCs/>
          <w:color w:val="000000" w:themeColor="text1"/>
          <w:lang w:val="en-US"/>
        </w:rPr>
      </w:pPr>
      <w:r w:rsidRPr="00593375">
        <w:rPr>
          <w:rFonts w:ascii="Albertus MT" w:hAnsi="Albertus MT"/>
          <w:b/>
          <w:bCs/>
          <w:iCs/>
          <w:color w:val="000000" w:themeColor="text1"/>
          <w:lang w:val="en-US"/>
        </w:rPr>
        <w:t>No. We do not believe such an analysis will add value. It is likely that references to past price performance</w:t>
      </w:r>
      <w:r w:rsidR="005F6F0F" w:rsidRPr="00593375">
        <w:rPr>
          <w:rFonts w:ascii="Albertus MT" w:hAnsi="Albertus MT"/>
          <w:b/>
          <w:bCs/>
          <w:iCs/>
          <w:color w:val="000000" w:themeColor="text1"/>
          <w:lang w:val="en-US"/>
        </w:rPr>
        <w:t xml:space="preserve"> and forecasts</w:t>
      </w:r>
      <w:r w:rsidRPr="00593375">
        <w:rPr>
          <w:rFonts w:ascii="Albertus MT" w:hAnsi="Albertus MT"/>
          <w:b/>
          <w:bCs/>
          <w:iCs/>
          <w:color w:val="000000" w:themeColor="text1"/>
          <w:lang w:val="en-US"/>
        </w:rPr>
        <w:t xml:space="preserve"> and earlier recommendations/research will be made in new research pieces.</w:t>
      </w:r>
    </w:p>
    <w:p w:rsidR="00593375" w:rsidRPr="00593375" w:rsidRDefault="00593375" w:rsidP="00593375">
      <w:pPr>
        <w:pStyle w:val="NoSpacing"/>
        <w:ind w:left="709"/>
        <w:rPr>
          <w:rFonts w:ascii="Albertus MT" w:hAnsi="Albertus MT"/>
        </w:rPr>
      </w:pPr>
    </w:p>
    <w:p w:rsidR="00E51B0E" w:rsidRPr="00593375" w:rsidRDefault="00E51B0E" w:rsidP="00593375">
      <w:pPr>
        <w:pStyle w:val="Default"/>
        <w:ind w:left="709" w:hanging="709"/>
        <w:rPr>
          <w:rFonts w:ascii="Albertus MT" w:hAnsi="Albertus MT"/>
          <w:sz w:val="22"/>
          <w:szCs w:val="22"/>
        </w:rPr>
      </w:pPr>
      <w:r w:rsidRPr="00593375">
        <w:rPr>
          <w:rFonts w:ascii="Albertus MT" w:hAnsi="Albertus MT"/>
          <w:sz w:val="22"/>
          <w:szCs w:val="22"/>
        </w:rPr>
        <w:t>Q109:</w:t>
      </w:r>
      <w:r w:rsidRPr="00593375">
        <w:rPr>
          <w:rFonts w:ascii="Albertus MT" w:hAnsi="Albertus MT"/>
          <w:sz w:val="22"/>
          <w:szCs w:val="22"/>
        </w:rPr>
        <w:tab/>
        <w:t xml:space="preserve">Do you agree with the suggested approach to the content of the disclaimer in relation to the disclosure of conflicts of interest? </w:t>
      </w:r>
    </w:p>
    <w:p w:rsidR="007429D4" w:rsidRPr="00593375" w:rsidRDefault="007429D4" w:rsidP="00593375">
      <w:pPr>
        <w:pStyle w:val="Default"/>
        <w:ind w:left="709" w:hanging="709"/>
        <w:rPr>
          <w:rFonts w:ascii="Albertus MT" w:hAnsi="Albertus MT"/>
          <w:sz w:val="22"/>
          <w:szCs w:val="22"/>
        </w:rPr>
      </w:pPr>
    </w:p>
    <w:p w:rsidR="005F6F0F" w:rsidRPr="00593375" w:rsidRDefault="005F6F0F" w:rsidP="00593375">
      <w:pPr>
        <w:pStyle w:val="NoSpacing"/>
        <w:ind w:left="709"/>
        <w:rPr>
          <w:rFonts w:ascii="Albertus MT" w:hAnsi="Albertus MT"/>
          <w:b/>
          <w:bCs/>
          <w:iCs/>
          <w:color w:val="000000" w:themeColor="text1"/>
          <w:lang w:val="en-US"/>
        </w:rPr>
      </w:pPr>
      <w:r w:rsidRPr="00593375">
        <w:rPr>
          <w:rFonts w:ascii="Albertus MT" w:hAnsi="Albertus MT"/>
          <w:b/>
          <w:bCs/>
          <w:iCs/>
          <w:color w:val="000000" w:themeColor="text1"/>
          <w:lang w:val="en-US"/>
        </w:rPr>
        <w:t xml:space="preserve">We do not agree that a change in </w:t>
      </w:r>
      <w:proofErr w:type="gramStart"/>
      <w:r w:rsidR="006270DD" w:rsidRPr="00593375">
        <w:rPr>
          <w:rFonts w:ascii="Albertus MT" w:hAnsi="Albertus MT"/>
          <w:b/>
          <w:bCs/>
          <w:iCs/>
          <w:color w:val="000000" w:themeColor="text1"/>
          <w:lang w:val="en-US"/>
        </w:rPr>
        <w:t xml:space="preserve">regulation </w:t>
      </w:r>
      <w:r w:rsidRPr="00593375">
        <w:rPr>
          <w:rFonts w:ascii="Albertus MT" w:hAnsi="Albertus MT"/>
          <w:b/>
          <w:bCs/>
          <w:iCs/>
          <w:color w:val="000000" w:themeColor="text1"/>
          <w:lang w:val="en-US"/>
        </w:rPr>
        <w:t xml:space="preserve"> is</w:t>
      </w:r>
      <w:proofErr w:type="gramEnd"/>
      <w:r w:rsidRPr="00593375">
        <w:rPr>
          <w:rFonts w:ascii="Albertus MT" w:hAnsi="Albertus MT"/>
          <w:b/>
          <w:bCs/>
          <w:iCs/>
          <w:color w:val="000000" w:themeColor="text1"/>
          <w:lang w:val="en-US"/>
        </w:rPr>
        <w:t xml:space="preserve"> necessary</w:t>
      </w:r>
      <w:r w:rsidR="00995B76" w:rsidRPr="00593375">
        <w:rPr>
          <w:rFonts w:ascii="Albertus MT" w:hAnsi="Albertus MT"/>
          <w:b/>
          <w:bCs/>
          <w:iCs/>
          <w:color w:val="000000" w:themeColor="text1"/>
          <w:lang w:val="en-US"/>
        </w:rPr>
        <w:t xml:space="preserve"> since any conflict of interest disclosure must be clear, fair, and not misleading.</w:t>
      </w:r>
      <w:r w:rsidRPr="00593375">
        <w:rPr>
          <w:rFonts w:ascii="Albertus MT" w:hAnsi="Albertus MT"/>
          <w:b/>
          <w:bCs/>
          <w:iCs/>
          <w:color w:val="000000" w:themeColor="text1"/>
          <w:lang w:val="en-US"/>
        </w:rPr>
        <w:t xml:space="preserve">  We  do not think that there is a market failure in this area, and thus we do not agree with the suggested approach at this time. It is likely that competent </w:t>
      </w:r>
      <w:proofErr w:type="gramStart"/>
      <w:r w:rsidRPr="00593375">
        <w:rPr>
          <w:rFonts w:ascii="Albertus MT" w:hAnsi="Albertus MT"/>
          <w:b/>
          <w:bCs/>
          <w:iCs/>
          <w:color w:val="000000" w:themeColor="text1"/>
          <w:lang w:val="en-US"/>
        </w:rPr>
        <w:t>authorities  can</w:t>
      </w:r>
      <w:proofErr w:type="gramEnd"/>
      <w:r w:rsidRPr="00593375">
        <w:rPr>
          <w:rFonts w:ascii="Albertus MT" w:hAnsi="Albertus MT"/>
          <w:b/>
          <w:bCs/>
          <w:iCs/>
          <w:color w:val="000000" w:themeColor="text1"/>
          <w:lang w:val="en-US"/>
        </w:rPr>
        <w:t xml:space="preserve"> deal with individual failures brought to their attention.</w:t>
      </w:r>
    </w:p>
    <w:p w:rsidR="007429D4" w:rsidRDefault="007429D4" w:rsidP="00593375">
      <w:pPr>
        <w:pStyle w:val="NoSpacing"/>
        <w:ind w:left="709"/>
        <w:rPr>
          <w:rFonts w:ascii="Albertus MT" w:hAnsi="Albertus MT"/>
          <w:b/>
          <w:bCs/>
          <w:iCs/>
          <w:color w:val="000000" w:themeColor="text1"/>
          <w:lang w:val="en-US"/>
        </w:rPr>
      </w:pPr>
      <w:r w:rsidRPr="00593375">
        <w:rPr>
          <w:rFonts w:ascii="Albertus MT" w:hAnsi="Albertus MT"/>
          <w:b/>
          <w:bCs/>
          <w:iCs/>
          <w:color w:val="000000" w:themeColor="text1"/>
          <w:lang w:val="en-US"/>
        </w:rPr>
        <w:t xml:space="preserve">We would highlight the difference between disclosures and disclaimers.  Disclosures already provide clear, precise and comprehensive information.  Disclaimers, by their nature, must be generic, but that does not make them “ineffective”. </w:t>
      </w:r>
    </w:p>
    <w:p w:rsidR="00593375" w:rsidRPr="00593375" w:rsidRDefault="00593375" w:rsidP="00593375">
      <w:pPr>
        <w:pStyle w:val="NoSpacing"/>
        <w:ind w:left="709"/>
        <w:rPr>
          <w:rFonts w:ascii="Albertus MT" w:hAnsi="Albertus MT"/>
          <w:color w:val="000000" w:themeColor="text1"/>
        </w:rPr>
      </w:pPr>
    </w:p>
    <w:p w:rsidR="00E51B0E" w:rsidRPr="00593375" w:rsidRDefault="00E51B0E" w:rsidP="00593375">
      <w:pPr>
        <w:pStyle w:val="Default"/>
        <w:ind w:left="709" w:hanging="709"/>
        <w:rPr>
          <w:rFonts w:ascii="Albertus MT" w:hAnsi="Albertus MT"/>
          <w:sz w:val="22"/>
          <w:szCs w:val="22"/>
        </w:rPr>
      </w:pPr>
      <w:r w:rsidRPr="00593375">
        <w:rPr>
          <w:rFonts w:ascii="Albertus MT" w:hAnsi="Albertus MT"/>
          <w:sz w:val="22"/>
          <w:szCs w:val="22"/>
        </w:rPr>
        <w:t>Q110:</w:t>
      </w:r>
      <w:r w:rsidRPr="00593375">
        <w:rPr>
          <w:rFonts w:ascii="Albertus MT" w:hAnsi="Albertus MT"/>
          <w:sz w:val="22"/>
          <w:szCs w:val="22"/>
        </w:rPr>
        <w:tab/>
        <w:t xml:space="preserve">Do you think a case-by-case assessment for non-written recommendations is appropriate or that specific rules should be developed? </w:t>
      </w:r>
    </w:p>
    <w:p w:rsidR="007429D4" w:rsidRPr="00593375" w:rsidRDefault="007429D4" w:rsidP="00593375">
      <w:pPr>
        <w:pStyle w:val="Default"/>
        <w:ind w:left="709" w:hanging="709"/>
        <w:rPr>
          <w:rFonts w:ascii="Albertus MT" w:hAnsi="Albertus MT"/>
          <w:sz w:val="22"/>
          <w:szCs w:val="22"/>
        </w:rPr>
      </w:pPr>
    </w:p>
    <w:p w:rsidR="007429D4" w:rsidRPr="00593375" w:rsidRDefault="007429D4" w:rsidP="00593375">
      <w:pPr>
        <w:pStyle w:val="NoSpacing"/>
        <w:ind w:left="709"/>
        <w:rPr>
          <w:rFonts w:ascii="Albertus MT" w:hAnsi="Albertus MT"/>
          <w:color w:val="000000" w:themeColor="text1"/>
        </w:rPr>
      </w:pPr>
      <w:r w:rsidRPr="00593375">
        <w:rPr>
          <w:rFonts w:ascii="Albertus MT" w:hAnsi="Albertus MT"/>
          <w:b/>
          <w:bCs/>
          <w:iCs/>
          <w:color w:val="000000" w:themeColor="text1"/>
          <w:lang w:val="en-US"/>
        </w:rPr>
        <w:t>We do not consider that</w:t>
      </w:r>
      <w:r w:rsidR="00995B76" w:rsidRPr="00593375">
        <w:rPr>
          <w:rFonts w:ascii="Albertus MT" w:hAnsi="Albertus MT"/>
          <w:b/>
          <w:bCs/>
          <w:iCs/>
          <w:color w:val="000000" w:themeColor="text1"/>
          <w:lang w:val="en-US"/>
        </w:rPr>
        <w:t xml:space="preserve"> specific rules are required in this area. Producers of written investment recommendations are unlikely to update such recommendations on a non-written basis as to do so would be selective and result in a different treatment of clients, which is already adequately </w:t>
      </w:r>
      <w:proofErr w:type="gramStart"/>
      <w:r w:rsidR="00995B76" w:rsidRPr="00593375">
        <w:rPr>
          <w:rFonts w:ascii="Albertus MT" w:hAnsi="Albertus MT"/>
          <w:b/>
          <w:bCs/>
          <w:iCs/>
          <w:color w:val="000000" w:themeColor="text1"/>
          <w:lang w:val="en-US"/>
        </w:rPr>
        <w:t>regulated</w:t>
      </w:r>
      <w:r w:rsidRPr="00593375">
        <w:rPr>
          <w:rFonts w:ascii="Albertus MT" w:hAnsi="Albertus MT"/>
          <w:b/>
          <w:bCs/>
          <w:iCs/>
          <w:color w:val="000000" w:themeColor="text1"/>
          <w:lang w:val="en-US"/>
        </w:rPr>
        <w:t xml:space="preserve"> . </w:t>
      </w:r>
      <w:proofErr w:type="gramEnd"/>
      <w:r w:rsidRPr="00593375">
        <w:rPr>
          <w:rFonts w:ascii="Albertus MT" w:hAnsi="Albertus MT"/>
          <w:b/>
          <w:bCs/>
          <w:iCs/>
          <w:color w:val="000000" w:themeColor="text1"/>
          <w:lang w:val="en-US"/>
        </w:rPr>
        <w:t xml:space="preserve"> </w:t>
      </w:r>
    </w:p>
    <w:p w:rsidR="00E51B0E" w:rsidRPr="00593375" w:rsidRDefault="00E51B0E" w:rsidP="00593375">
      <w:pPr>
        <w:pStyle w:val="Default"/>
        <w:ind w:left="567" w:hanging="567"/>
        <w:rPr>
          <w:rFonts w:ascii="Albertus MT" w:hAnsi="Albertus MT"/>
          <w:sz w:val="22"/>
          <w:szCs w:val="22"/>
        </w:rPr>
      </w:pPr>
    </w:p>
    <w:p w:rsidR="00E51B0E" w:rsidRDefault="00E51B0E" w:rsidP="00593375">
      <w:pPr>
        <w:spacing w:after="0" w:line="240" w:lineRule="auto"/>
        <w:ind w:left="709" w:hanging="709"/>
        <w:rPr>
          <w:rFonts w:ascii="Albertus MT" w:hAnsi="Albertus MT"/>
          <w:sz w:val="22"/>
          <w:szCs w:val="22"/>
        </w:rPr>
      </w:pPr>
      <w:r w:rsidRPr="00593375">
        <w:rPr>
          <w:rFonts w:ascii="Albertus MT" w:hAnsi="Albertus MT"/>
          <w:sz w:val="22"/>
          <w:szCs w:val="22"/>
        </w:rPr>
        <w:t>Q111:</w:t>
      </w:r>
      <w:r w:rsidRPr="00593375">
        <w:rPr>
          <w:rFonts w:ascii="Albertus MT" w:hAnsi="Albertus MT"/>
          <w:sz w:val="22"/>
          <w:szCs w:val="22"/>
        </w:rPr>
        <w:tab/>
        <w:t>Do you think that the rules on recommendations produced by third parties set forth in implementing Directive 2003/125/EC should be updated?</w:t>
      </w:r>
    </w:p>
    <w:p w:rsidR="00593375" w:rsidRPr="00593375" w:rsidRDefault="00593375" w:rsidP="00593375">
      <w:pPr>
        <w:spacing w:after="0" w:line="240" w:lineRule="auto"/>
        <w:ind w:left="709" w:hanging="709"/>
        <w:rPr>
          <w:rFonts w:ascii="Albertus MT" w:hAnsi="Albertus MT"/>
          <w:sz w:val="22"/>
          <w:szCs w:val="22"/>
        </w:rPr>
      </w:pPr>
    </w:p>
    <w:p w:rsidR="00E51B0E" w:rsidRPr="00593375" w:rsidRDefault="00995B76" w:rsidP="00593375">
      <w:pPr>
        <w:spacing w:after="0" w:line="240" w:lineRule="auto"/>
        <w:ind w:left="709"/>
        <w:rPr>
          <w:rFonts w:ascii="Albertus MT" w:hAnsi="Albertus MT"/>
          <w:sz w:val="22"/>
          <w:szCs w:val="22"/>
        </w:rPr>
      </w:pPr>
      <w:r w:rsidRPr="00593375">
        <w:rPr>
          <w:rFonts w:ascii="Albertus MT" w:hAnsi="Albertus MT"/>
          <w:b/>
          <w:sz w:val="22"/>
          <w:szCs w:val="22"/>
        </w:rPr>
        <w:t>We do not feel there is any need to update this.</w:t>
      </w:r>
    </w:p>
    <w:p w:rsidR="00E51B0E" w:rsidRPr="00593375" w:rsidRDefault="00E51B0E" w:rsidP="00593375">
      <w:pPr>
        <w:pStyle w:val="Default"/>
        <w:rPr>
          <w:rFonts w:ascii="Albertus MT" w:hAnsi="Albertus MT"/>
          <w:b/>
          <w:bCs/>
          <w:sz w:val="22"/>
          <w:szCs w:val="22"/>
        </w:rPr>
      </w:pPr>
    </w:p>
    <w:p w:rsidR="00E51B0E" w:rsidRPr="00593375" w:rsidRDefault="00E51B0E" w:rsidP="00593375">
      <w:pPr>
        <w:pStyle w:val="Default"/>
        <w:rPr>
          <w:rFonts w:ascii="Albertus MT" w:hAnsi="Albertus MT"/>
          <w:b/>
          <w:bCs/>
          <w:i/>
          <w:sz w:val="28"/>
          <w:szCs w:val="28"/>
        </w:rPr>
      </w:pPr>
      <w:r w:rsidRPr="00593375">
        <w:rPr>
          <w:rFonts w:ascii="Albertus MT" w:hAnsi="Albertus MT"/>
          <w:b/>
          <w:bCs/>
          <w:i/>
          <w:sz w:val="28"/>
          <w:szCs w:val="28"/>
        </w:rPr>
        <w:lastRenderedPageBreak/>
        <w:t xml:space="preserve">Reporting of violations (Article 29 of MAR) </w:t>
      </w:r>
    </w:p>
    <w:p w:rsidR="00E51B0E" w:rsidRPr="00593375" w:rsidRDefault="00E51B0E" w:rsidP="00593375">
      <w:pPr>
        <w:pStyle w:val="Default"/>
        <w:rPr>
          <w:rFonts w:ascii="Albertus MT" w:hAnsi="Albertus MT"/>
          <w:sz w:val="22"/>
          <w:szCs w:val="22"/>
        </w:rPr>
      </w:pPr>
    </w:p>
    <w:p w:rsidR="00E51B0E" w:rsidRPr="00593375" w:rsidRDefault="00E51B0E" w:rsidP="00593375">
      <w:pPr>
        <w:pStyle w:val="Default"/>
        <w:ind w:left="709" w:hanging="709"/>
        <w:rPr>
          <w:rFonts w:ascii="Albertus MT" w:hAnsi="Albertus MT"/>
          <w:sz w:val="22"/>
          <w:szCs w:val="22"/>
        </w:rPr>
      </w:pPr>
      <w:r w:rsidRPr="00593375">
        <w:rPr>
          <w:rFonts w:ascii="Albertus MT" w:hAnsi="Albertus MT"/>
          <w:sz w:val="22"/>
          <w:szCs w:val="22"/>
        </w:rPr>
        <w:t>Q112:</w:t>
      </w:r>
      <w:r w:rsidRPr="00593375">
        <w:rPr>
          <w:rFonts w:ascii="Albertus MT" w:hAnsi="Albertus MT"/>
          <w:sz w:val="22"/>
          <w:szCs w:val="22"/>
        </w:rPr>
        <w:tab/>
        <w:t xml:space="preserve">Do you agree on the proposed approach and the suggested procedures for the receipt of reports of breaches and their follow-up? Do you see other topics to be addressed? </w:t>
      </w:r>
    </w:p>
    <w:p w:rsidR="00E51B0E" w:rsidRPr="00593375" w:rsidRDefault="00E51B0E" w:rsidP="00593375">
      <w:pPr>
        <w:pStyle w:val="Default"/>
        <w:ind w:left="567" w:hanging="567"/>
        <w:rPr>
          <w:rFonts w:ascii="Albertus MT" w:hAnsi="Albertus MT"/>
          <w:sz w:val="22"/>
          <w:szCs w:val="22"/>
        </w:rPr>
      </w:pPr>
    </w:p>
    <w:p w:rsidR="00E51B0E" w:rsidRPr="00593375" w:rsidRDefault="00E51B0E" w:rsidP="00593375">
      <w:pPr>
        <w:pStyle w:val="Default"/>
        <w:ind w:left="567" w:hanging="567"/>
        <w:rPr>
          <w:rFonts w:ascii="Albertus MT" w:hAnsi="Albertus MT"/>
          <w:sz w:val="22"/>
          <w:szCs w:val="22"/>
        </w:rPr>
      </w:pPr>
    </w:p>
    <w:p w:rsidR="00E51B0E" w:rsidRPr="00593375" w:rsidRDefault="00E51B0E" w:rsidP="00593375">
      <w:pPr>
        <w:pStyle w:val="Default"/>
        <w:ind w:left="567" w:hanging="567"/>
        <w:rPr>
          <w:rFonts w:ascii="Albertus MT" w:hAnsi="Albertus MT"/>
          <w:sz w:val="22"/>
          <w:szCs w:val="22"/>
        </w:rPr>
      </w:pPr>
    </w:p>
    <w:p w:rsidR="00E51B0E" w:rsidRPr="00593375" w:rsidRDefault="00E51B0E" w:rsidP="00593375">
      <w:pPr>
        <w:spacing w:after="0" w:line="240" w:lineRule="auto"/>
        <w:ind w:left="709" w:hanging="709"/>
        <w:rPr>
          <w:rFonts w:ascii="Albertus MT" w:hAnsi="Albertus MT"/>
          <w:sz w:val="22"/>
          <w:szCs w:val="22"/>
        </w:rPr>
      </w:pPr>
      <w:r w:rsidRPr="00593375">
        <w:rPr>
          <w:rFonts w:ascii="Albertus MT" w:hAnsi="Albertus MT"/>
          <w:sz w:val="22"/>
          <w:szCs w:val="22"/>
        </w:rPr>
        <w:t>Q113:</w:t>
      </w:r>
      <w:r w:rsidRPr="00593375">
        <w:rPr>
          <w:rFonts w:ascii="Albertus MT" w:hAnsi="Albertus MT"/>
          <w:sz w:val="22"/>
          <w:szCs w:val="22"/>
        </w:rPr>
        <w:tab/>
        <w:t>Do you agree on the proposed approach to the protection of the reporting and reported persons? Do you see other topics to be considered?</w:t>
      </w:r>
    </w:p>
    <w:p w:rsidR="00E51B0E" w:rsidRPr="00593375" w:rsidRDefault="00E51B0E" w:rsidP="00593375">
      <w:pPr>
        <w:spacing w:after="0" w:line="240" w:lineRule="auto"/>
        <w:ind w:left="567" w:hanging="567"/>
        <w:rPr>
          <w:rFonts w:ascii="Albertus MT" w:hAnsi="Albertus MT"/>
          <w:sz w:val="22"/>
          <w:szCs w:val="22"/>
        </w:rPr>
      </w:pPr>
    </w:p>
    <w:sectPr w:rsidR="00E51B0E" w:rsidRPr="00593375" w:rsidSect="00576331">
      <w:footerReference w:type="default" r:id="rId8"/>
      <w:pgSz w:w="11907" w:h="16839" w:code="9"/>
      <w:pgMar w:top="1440" w:right="1418" w:bottom="1440" w:left="2552"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1B67" w:rsidRDefault="006B1B67" w:rsidP="00FB6FA3">
      <w:pPr>
        <w:spacing w:after="0" w:line="240" w:lineRule="auto"/>
      </w:pPr>
      <w:r>
        <w:separator/>
      </w:r>
    </w:p>
  </w:endnote>
  <w:endnote w:type="continuationSeparator" w:id="0">
    <w:p w:rsidR="006B1B67" w:rsidRDefault="006B1B67" w:rsidP="00FB6FA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lbertus MT">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1B67" w:rsidRPr="00F75C57" w:rsidRDefault="00995D97">
    <w:pPr>
      <w:pStyle w:val="Footer"/>
      <w:rPr>
        <w:sz w:val="16"/>
      </w:rPr>
    </w:pPr>
    <w:fldSimple w:instr=" FILENAME  \* Lower \p  \* MERGEFORMAT ">
      <w:r w:rsidR="006B1B67" w:rsidRPr="00E902C3">
        <w:rPr>
          <w:noProof/>
          <w:sz w:val="16"/>
        </w:rPr>
        <w:t>q:\ferrariwilliam\mad\esma dp - q&amp;a 1- 113.docx</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1B67" w:rsidRDefault="006B1B67" w:rsidP="00FB6FA3">
      <w:pPr>
        <w:spacing w:after="0" w:line="240" w:lineRule="auto"/>
      </w:pPr>
      <w:r>
        <w:separator/>
      </w:r>
    </w:p>
  </w:footnote>
  <w:footnote w:type="continuationSeparator" w:id="0">
    <w:p w:rsidR="006B1B67" w:rsidRDefault="006B1B67" w:rsidP="00FB6FA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820F47"/>
    <w:multiLevelType w:val="hybridMultilevel"/>
    <w:tmpl w:val="2370C22A"/>
    <w:lvl w:ilvl="0" w:tplc="1B421DAE">
      <w:start w:val="1"/>
      <w:numFmt w:val="decimal"/>
      <w:lvlText w:val="%1)"/>
      <w:lvlJc w:val="left"/>
      <w:pPr>
        <w:ind w:left="720" w:hanging="360"/>
      </w:pPr>
      <w:rPr>
        <w:rFonts w:hint="default"/>
        <w:i w:val="0"/>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5FEF18C3"/>
    <w:multiLevelType w:val="hybridMultilevel"/>
    <w:tmpl w:val="21F4EA0A"/>
    <w:lvl w:ilvl="0" w:tplc="3C2485C4">
      <w:start w:val="1"/>
      <w:numFmt w:val="lowerLetter"/>
      <w:lvlText w:val="%1."/>
      <w:lvlJc w:val="left"/>
      <w:pPr>
        <w:ind w:left="930" w:hanging="360"/>
      </w:pPr>
      <w:rPr>
        <w:rFonts w:hint="default"/>
      </w:rPr>
    </w:lvl>
    <w:lvl w:ilvl="1" w:tplc="08090019" w:tentative="1">
      <w:start w:val="1"/>
      <w:numFmt w:val="lowerLetter"/>
      <w:lvlText w:val="%2."/>
      <w:lvlJc w:val="left"/>
      <w:pPr>
        <w:ind w:left="1650" w:hanging="360"/>
      </w:pPr>
    </w:lvl>
    <w:lvl w:ilvl="2" w:tplc="0809001B" w:tentative="1">
      <w:start w:val="1"/>
      <w:numFmt w:val="lowerRoman"/>
      <w:lvlText w:val="%3."/>
      <w:lvlJc w:val="right"/>
      <w:pPr>
        <w:ind w:left="2370" w:hanging="180"/>
      </w:pPr>
    </w:lvl>
    <w:lvl w:ilvl="3" w:tplc="0809000F" w:tentative="1">
      <w:start w:val="1"/>
      <w:numFmt w:val="decimal"/>
      <w:lvlText w:val="%4."/>
      <w:lvlJc w:val="left"/>
      <w:pPr>
        <w:ind w:left="3090" w:hanging="360"/>
      </w:pPr>
    </w:lvl>
    <w:lvl w:ilvl="4" w:tplc="08090019" w:tentative="1">
      <w:start w:val="1"/>
      <w:numFmt w:val="lowerLetter"/>
      <w:lvlText w:val="%5."/>
      <w:lvlJc w:val="left"/>
      <w:pPr>
        <w:ind w:left="3810" w:hanging="360"/>
      </w:pPr>
    </w:lvl>
    <w:lvl w:ilvl="5" w:tplc="0809001B" w:tentative="1">
      <w:start w:val="1"/>
      <w:numFmt w:val="lowerRoman"/>
      <w:lvlText w:val="%6."/>
      <w:lvlJc w:val="right"/>
      <w:pPr>
        <w:ind w:left="4530" w:hanging="180"/>
      </w:pPr>
    </w:lvl>
    <w:lvl w:ilvl="6" w:tplc="0809000F" w:tentative="1">
      <w:start w:val="1"/>
      <w:numFmt w:val="decimal"/>
      <w:lvlText w:val="%7."/>
      <w:lvlJc w:val="left"/>
      <w:pPr>
        <w:ind w:left="5250" w:hanging="360"/>
      </w:pPr>
    </w:lvl>
    <w:lvl w:ilvl="7" w:tplc="08090019" w:tentative="1">
      <w:start w:val="1"/>
      <w:numFmt w:val="lowerLetter"/>
      <w:lvlText w:val="%8."/>
      <w:lvlJc w:val="left"/>
      <w:pPr>
        <w:ind w:left="5970" w:hanging="360"/>
      </w:pPr>
    </w:lvl>
    <w:lvl w:ilvl="8" w:tplc="0809001B" w:tentative="1">
      <w:start w:val="1"/>
      <w:numFmt w:val="lowerRoman"/>
      <w:lvlText w:val="%9."/>
      <w:lvlJc w:val="right"/>
      <w:pPr>
        <w:ind w:left="669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37132E"/>
    <w:rsid w:val="000547F7"/>
    <w:rsid w:val="00061BD5"/>
    <w:rsid w:val="000A3C80"/>
    <w:rsid w:val="000B2D43"/>
    <w:rsid w:val="000B35A5"/>
    <w:rsid w:val="000B5D54"/>
    <w:rsid w:val="000E14EA"/>
    <w:rsid w:val="001435B3"/>
    <w:rsid w:val="0016255D"/>
    <w:rsid w:val="001903D1"/>
    <w:rsid w:val="00192C8C"/>
    <w:rsid w:val="0019574F"/>
    <w:rsid w:val="00196079"/>
    <w:rsid w:val="00197534"/>
    <w:rsid w:val="001D09F5"/>
    <w:rsid w:val="0020163D"/>
    <w:rsid w:val="00225A0C"/>
    <w:rsid w:val="00233773"/>
    <w:rsid w:val="00237F5B"/>
    <w:rsid w:val="002531A8"/>
    <w:rsid w:val="002853CF"/>
    <w:rsid w:val="00296450"/>
    <w:rsid w:val="002B1A25"/>
    <w:rsid w:val="002B231E"/>
    <w:rsid w:val="002C3245"/>
    <w:rsid w:val="002E2D0E"/>
    <w:rsid w:val="00307262"/>
    <w:rsid w:val="003248BB"/>
    <w:rsid w:val="003260B1"/>
    <w:rsid w:val="0033174C"/>
    <w:rsid w:val="00335550"/>
    <w:rsid w:val="00336EB5"/>
    <w:rsid w:val="00343768"/>
    <w:rsid w:val="003515B5"/>
    <w:rsid w:val="0037132E"/>
    <w:rsid w:val="00387590"/>
    <w:rsid w:val="00391EDC"/>
    <w:rsid w:val="003B496C"/>
    <w:rsid w:val="003C1279"/>
    <w:rsid w:val="003C1F46"/>
    <w:rsid w:val="003D3444"/>
    <w:rsid w:val="0040554B"/>
    <w:rsid w:val="00451BB8"/>
    <w:rsid w:val="00467BC5"/>
    <w:rsid w:val="00472FC2"/>
    <w:rsid w:val="00473A8E"/>
    <w:rsid w:val="0048544D"/>
    <w:rsid w:val="00492621"/>
    <w:rsid w:val="004A1B63"/>
    <w:rsid w:val="004A2228"/>
    <w:rsid w:val="004A78E8"/>
    <w:rsid w:val="004D67B8"/>
    <w:rsid w:val="00512346"/>
    <w:rsid w:val="0051298D"/>
    <w:rsid w:val="00517724"/>
    <w:rsid w:val="00541FB0"/>
    <w:rsid w:val="00542277"/>
    <w:rsid w:val="00572A2B"/>
    <w:rsid w:val="00576331"/>
    <w:rsid w:val="00577808"/>
    <w:rsid w:val="00593375"/>
    <w:rsid w:val="005F6F0F"/>
    <w:rsid w:val="0061549C"/>
    <w:rsid w:val="006270DD"/>
    <w:rsid w:val="006424B1"/>
    <w:rsid w:val="006620AE"/>
    <w:rsid w:val="00675E49"/>
    <w:rsid w:val="00682237"/>
    <w:rsid w:val="00682D26"/>
    <w:rsid w:val="0068402C"/>
    <w:rsid w:val="006B1B67"/>
    <w:rsid w:val="007003CD"/>
    <w:rsid w:val="00716F10"/>
    <w:rsid w:val="007345A1"/>
    <w:rsid w:val="00735280"/>
    <w:rsid w:val="007429D4"/>
    <w:rsid w:val="007444A5"/>
    <w:rsid w:val="00754EC4"/>
    <w:rsid w:val="007667D8"/>
    <w:rsid w:val="0078189F"/>
    <w:rsid w:val="007861B4"/>
    <w:rsid w:val="007B20FD"/>
    <w:rsid w:val="007C2131"/>
    <w:rsid w:val="007F3283"/>
    <w:rsid w:val="00862684"/>
    <w:rsid w:val="008643CA"/>
    <w:rsid w:val="008B24AA"/>
    <w:rsid w:val="00904C1E"/>
    <w:rsid w:val="00931A55"/>
    <w:rsid w:val="00943106"/>
    <w:rsid w:val="009439B2"/>
    <w:rsid w:val="00961196"/>
    <w:rsid w:val="00993305"/>
    <w:rsid w:val="00995B76"/>
    <w:rsid w:val="00995D97"/>
    <w:rsid w:val="009B04F2"/>
    <w:rsid w:val="009B5E55"/>
    <w:rsid w:val="009C0714"/>
    <w:rsid w:val="009C3DBA"/>
    <w:rsid w:val="00A1335A"/>
    <w:rsid w:val="00A3796A"/>
    <w:rsid w:val="00A62276"/>
    <w:rsid w:val="00A70D92"/>
    <w:rsid w:val="00AD319A"/>
    <w:rsid w:val="00AF39DB"/>
    <w:rsid w:val="00B216DB"/>
    <w:rsid w:val="00B426F8"/>
    <w:rsid w:val="00B83882"/>
    <w:rsid w:val="00B96843"/>
    <w:rsid w:val="00BC3EC9"/>
    <w:rsid w:val="00C03A9C"/>
    <w:rsid w:val="00C246A8"/>
    <w:rsid w:val="00C463ED"/>
    <w:rsid w:val="00C67DCA"/>
    <w:rsid w:val="00C87BC3"/>
    <w:rsid w:val="00CD60EA"/>
    <w:rsid w:val="00D11555"/>
    <w:rsid w:val="00D366A3"/>
    <w:rsid w:val="00D5674D"/>
    <w:rsid w:val="00D65930"/>
    <w:rsid w:val="00D75E4F"/>
    <w:rsid w:val="00D86D3B"/>
    <w:rsid w:val="00D8764F"/>
    <w:rsid w:val="00D87D0D"/>
    <w:rsid w:val="00DD512E"/>
    <w:rsid w:val="00E0737F"/>
    <w:rsid w:val="00E26D57"/>
    <w:rsid w:val="00E35193"/>
    <w:rsid w:val="00E51B0E"/>
    <w:rsid w:val="00E60A5D"/>
    <w:rsid w:val="00E76B71"/>
    <w:rsid w:val="00E87F4C"/>
    <w:rsid w:val="00E902C3"/>
    <w:rsid w:val="00E90EAD"/>
    <w:rsid w:val="00E9279E"/>
    <w:rsid w:val="00ED59B7"/>
    <w:rsid w:val="00ED63B1"/>
    <w:rsid w:val="00F1305B"/>
    <w:rsid w:val="00F34C73"/>
    <w:rsid w:val="00F55594"/>
    <w:rsid w:val="00F6503B"/>
    <w:rsid w:val="00F71019"/>
    <w:rsid w:val="00F75C57"/>
    <w:rsid w:val="00F9044E"/>
    <w:rsid w:val="00F92902"/>
    <w:rsid w:val="00F97226"/>
    <w:rsid w:val="00FA0466"/>
    <w:rsid w:val="00FA328B"/>
    <w:rsid w:val="00FA6B75"/>
    <w:rsid w:val="00FB5499"/>
    <w:rsid w:val="00FB6FA3"/>
    <w:rsid w:val="00FB78E1"/>
    <w:rsid w:val="00FF7F0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inorHAnsi" w:hAnsiTheme="majorHAnsi" w:cstheme="minorBidi"/>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63B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7132E"/>
    <w:pPr>
      <w:autoSpaceDE w:val="0"/>
      <w:autoSpaceDN w:val="0"/>
      <w:adjustRightInd w:val="0"/>
      <w:spacing w:after="0" w:line="240" w:lineRule="auto"/>
    </w:pPr>
    <w:rPr>
      <w:rFonts w:ascii="Georgia" w:hAnsi="Georgia" w:cs="Georgia"/>
      <w:color w:val="000000"/>
      <w:lang w:val="en-GB"/>
    </w:rPr>
  </w:style>
  <w:style w:type="paragraph" w:styleId="Header">
    <w:name w:val="header"/>
    <w:basedOn w:val="Normal"/>
    <w:link w:val="HeaderChar"/>
    <w:uiPriority w:val="99"/>
    <w:semiHidden/>
    <w:unhideWhenUsed/>
    <w:rsid w:val="00FB6FA3"/>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FB6FA3"/>
  </w:style>
  <w:style w:type="paragraph" w:styleId="Footer">
    <w:name w:val="footer"/>
    <w:basedOn w:val="Normal"/>
    <w:link w:val="FooterChar"/>
    <w:uiPriority w:val="99"/>
    <w:semiHidden/>
    <w:unhideWhenUsed/>
    <w:rsid w:val="00FB6FA3"/>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FB6FA3"/>
  </w:style>
  <w:style w:type="paragraph" w:styleId="BalloonText">
    <w:name w:val="Balloon Text"/>
    <w:basedOn w:val="Normal"/>
    <w:link w:val="BalloonTextChar"/>
    <w:uiPriority w:val="99"/>
    <w:semiHidden/>
    <w:unhideWhenUsed/>
    <w:rsid w:val="009B5E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5E55"/>
    <w:rPr>
      <w:rFonts w:ascii="Tahoma" w:hAnsi="Tahoma" w:cs="Tahoma"/>
      <w:sz w:val="16"/>
      <w:szCs w:val="16"/>
    </w:rPr>
  </w:style>
  <w:style w:type="paragraph" w:styleId="NoSpacing">
    <w:name w:val="No Spacing"/>
    <w:basedOn w:val="Normal"/>
    <w:uiPriority w:val="1"/>
    <w:qFormat/>
    <w:rsid w:val="007429D4"/>
    <w:pPr>
      <w:spacing w:after="0" w:line="240" w:lineRule="auto"/>
    </w:pPr>
    <w:rPr>
      <w:rFonts w:ascii="Calibri" w:hAnsi="Calibri" w:cs="Times New Roman"/>
      <w:sz w:val="22"/>
      <w:szCs w:val="22"/>
      <w:lang w:val="en-GB" w:eastAsia="en-GB"/>
    </w:rPr>
  </w:style>
  <w:style w:type="paragraph" w:styleId="ListParagraph">
    <w:name w:val="List Paragraph"/>
    <w:basedOn w:val="Normal"/>
    <w:uiPriority w:val="34"/>
    <w:qFormat/>
    <w:rsid w:val="00716F10"/>
    <w:pPr>
      <w:ind w:left="720"/>
      <w:contextualSpacing/>
    </w:pPr>
  </w:style>
</w:styles>
</file>

<file path=word/webSettings.xml><?xml version="1.0" encoding="utf-8"?>
<w:webSettings xmlns:r="http://schemas.openxmlformats.org/officeDocument/2006/relationships" xmlns:w="http://schemas.openxmlformats.org/wordprocessingml/2006/main">
  <w:divs>
    <w:div w:id="149560886">
      <w:bodyDiv w:val="1"/>
      <w:marLeft w:val="0"/>
      <w:marRight w:val="0"/>
      <w:marTop w:val="0"/>
      <w:marBottom w:val="0"/>
      <w:divBdr>
        <w:top w:val="none" w:sz="0" w:space="0" w:color="auto"/>
        <w:left w:val="none" w:sz="0" w:space="0" w:color="auto"/>
        <w:bottom w:val="none" w:sz="0" w:space="0" w:color="auto"/>
        <w:right w:val="none" w:sz="0" w:space="0" w:color="auto"/>
      </w:divBdr>
    </w:div>
    <w:div w:id="621880689">
      <w:bodyDiv w:val="1"/>
      <w:marLeft w:val="0"/>
      <w:marRight w:val="0"/>
      <w:marTop w:val="0"/>
      <w:marBottom w:val="0"/>
      <w:divBdr>
        <w:top w:val="none" w:sz="0" w:space="0" w:color="auto"/>
        <w:left w:val="none" w:sz="0" w:space="0" w:color="auto"/>
        <w:bottom w:val="none" w:sz="0" w:space="0" w:color="auto"/>
        <w:right w:val="none" w:sz="0" w:space="0" w:color="auto"/>
      </w:divBdr>
    </w:div>
    <w:div w:id="922449847">
      <w:bodyDiv w:val="1"/>
      <w:marLeft w:val="0"/>
      <w:marRight w:val="0"/>
      <w:marTop w:val="0"/>
      <w:marBottom w:val="0"/>
      <w:divBdr>
        <w:top w:val="none" w:sz="0" w:space="0" w:color="auto"/>
        <w:left w:val="none" w:sz="0" w:space="0" w:color="auto"/>
        <w:bottom w:val="none" w:sz="0" w:space="0" w:color="auto"/>
        <w:right w:val="none" w:sz="0" w:space="0" w:color="auto"/>
      </w:divBdr>
    </w:div>
    <w:div w:id="1282224671">
      <w:bodyDiv w:val="1"/>
      <w:marLeft w:val="0"/>
      <w:marRight w:val="0"/>
      <w:marTop w:val="0"/>
      <w:marBottom w:val="0"/>
      <w:divBdr>
        <w:top w:val="none" w:sz="0" w:space="0" w:color="auto"/>
        <w:left w:val="none" w:sz="0" w:space="0" w:color="auto"/>
        <w:bottom w:val="none" w:sz="0" w:space="0" w:color="auto"/>
        <w:right w:val="none" w:sz="0" w:space="0" w:color="auto"/>
      </w:divBdr>
    </w:div>
    <w:div w:id="1920939629">
      <w:bodyDiv w:val="1"/>
      <w:marLeft w:val="0"/>
      <w:marRight w:val="0"/>
      <w:marTop w:val="0"/>
      <w:marBottom w:val="0"/>
      <w:divBdr>
        <w:top w:val="none" w:sz="0" w:space="0" w:color="auto"/>
        <w:left w:val="none" w:sz="0" w:space="0" w:color="auto"/>
        <w:bottom w:val="none" w:sz="0" w:space="0" w:color="auto"/>
        <w:right w:val="none" w:sz="0" w:space="0" w:color="auto"/>
      </w:divBdr>
    </w:div>
    <w:div w:id="1923486842">
      <w:bodyDiv w:val="1"/>
      <w:marLeft w:val="0"/>
      <w:marRight w:val="0"/>
      <w:marTop w:val="0"/>
      <w:marBottom w:val="0"/>
      <w:divBdr>
        <w:top w:val="none" w:sz="0" w:space="0" w:color="auto"/>
        <w:left w:val="none" w:sz="0" w:space="0" w:color="auto"/>
        <w:bottom w:val="none" w:sz="0" w:space="0" w:color="auto"/>
        <w:right w:val="none" w:sz="0" w:space="0" w:color="auto"/>
      </w:divBdr>
    </w:div>
    <w:div w:id="2053919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88AA2C-C7D4-4B05-A57A-123FCD5C6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23</Pages>
  <Words>8300</Words>
  <Characters>47314</Characters>
  <Application>Microsoft Office Word</Application>
  <DocSecurity>0</DocSecurity>
  <Lines>394</Lines>
  <Paragraphs>111</Paragraphs>
  <ScaleCrop>false</ScaleCrop>
  <HeadingPairs>
    <vt:vector size="2" baseType="variant">
      <vt:variant>
        <vt:lpstr>Title</vt:lpstr>
      </vt:variant>
      <vt:variant>
        <vt:i4>1</vt:i4>
      </vt:variant>
    </vt:vector>
  </HeadingPairs>
  <TitlesOfParts>
    <vt:vector size="1" baseType="lpstr">
      <vt:lpstr/>
    </vt:vector>
  </TitlesOfParts>
  <Company>SIFMA</Company>
  <LinksUpToDate>false</LinksUpToDate>
  <CharactersWithSpaces>55503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tobrien</dc:creator>
  <cp:lastModifiedBy>WFerrari</cp:lastModifiedBy>
  <cp:revision>7</cp:revision>
  <cp:lastPrinted>2014-01-27T14:57:00Z</cp:lastPrinted>
  <dcterms:created xsi:type="dcterms:W3CDTF">2014-01-27T16:29:00Z</dcterms:created>
  <dcterms:modified xsi:type="dcterms:W3CDTF">2014-01-27T19:06:00Z</dcterms:modified>
</cp:coreProperties>
</file>