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8"/>
              <w:footerReference w:type="first" r:id="rId9"/>
              <w:pgSz w:w="11906" w:h="16838"/>
              <w:pgMar w:top="1417" w:right="1417" w:bottom="1417" w:left="1417" w:header="708" w:footer="708" w:gutter="0"/>
              <w:pgNumType w:start="0"/>
              <w:cols w:space="708"/>
              <w:titlePg/>
              <w:docGrid w:linePitch="360"/>
            </w:sectPr>
          </w:pPr>
        </w:p>
        <w:p w:rsidR="009663D9" w:rsidRDefault="007E08AF"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spacing w:after="120" w:line="264" w:lineRule="auto"/>
      </w:pPr>
      <w:r>
        <w:t>if they respond to the question stated;</w:t>
      </w:r>
    </w:p>
    <w:p w:rsidR="000632C2" w:rsidRDefault="000632C2" w:rsidP="000632C2">
      <w:pPr>
        <w:pStyle w:val="ListParagraph"/>
        <w:spacing w:after="120" w:line="264" w:lineRule="auto"/>
      </w:pPr>
      <w:r>
        <w:t>contain a clear rationale, and</w:t>
      </w:r>
    </w:p>
    <w:p w:rsidR="000632C2" w:rsidRDefault="000632C2" w:rsidP="000632C2">
      <w:pPr>
        <w:pStyle w:val="ListParagraph"/>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96487492"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Content>
            <w:permStart w:id="1578987389" w:edGrp="everyone" w:displacedByCustomXml="prev"/>
            <w:tc>
              <w:tcPr>
                <w:tcW w:w="5595" w:type="dxa"/>
                <w:shd w:val="clear" w:color="auto" w:fill="auto"/>
              </w:tcPr>
              <w:p w:rsidR="000632C2" w:rsidRPr="00AB6D88" w:rsidRDefault="007E08AF" w:rsidP="007E08AF">
                <w:pPr>
                  <w:rPr>
                    <w:rStyle w:val="PlaceholderText"/>
                    <w:rFonts w:ascii="Arial" w:hAnsi="Arial" w:cs="Arial"/>
                  </w:rPr>
                </w:pPr>
                <w:r>
                  <w:rPr>
                    <w:rStyle w:val="PlaceholderText"/>
                    <w:rFonts w:ascii="Arial" w:hAnsi="Arial" w:cs="Arial"/>
                  </w:rPr>
                  <w:t>Wholesale Markets Brokers’ Association (WMBA)</w:t>
                </w:r>
              </w:p>
            </w:tc>
            <w:permEnd w:id="1578987389"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791828459" w:edGrp="everyone" w:colFirst="1" w:colLast="1"/>
            <w:permEnd w:id="296487492"/>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887816289" w:edGrp="everyone" w:colFirst="1" w:colLast="1"/>
            <w:permEnd w:id="1791828459"/>
            <w:r w:rsidRPr="00AB6D88">
              <w:rPr>
                <w:rFonts w:ascii="Arial" w:hAnsi="Arial" w:cs="Arial"/>
              </w:rPr>
              <w:t>Activity:</w:t>
            </w:r>
          </w:p>
        </w:tc>
        <w:tc>
          <w:tcPr>
            <w:tcW w:w="5595" w:type="dxa"/>
            <w:shd w:val="clear" w:color="auto" w:fill="auto"/>
          </w:tcPr>
          <w:p w:rsidR="000632C2" w:rsidRPr="00AB6D88" w:rsidRDefault="007E08AF"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430641653" w:edGrp="everyone"/>
                <w:r>
                  <w:rPr>
                    <w:rFonts w:ascii="Arial" w:hAnsi="Arial" w:cs="Arial"/>
                  </w:rPr>
                  <w:t>Regulated markets/Exchanges/Trading Systems</w:t>
                </w:r>
                <w:permEnd w:id="430641653"/>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5450197" w:edGrp="everyone" w:colFirst="1" w:colLast="1"/>
            <w:permEnd w:id="887816289"/>
            <w:r w:rsidRPr="00AB6D88">
              <w:rPr>
                <w:rFonts w:ascii="Arial" w:hAnsi="Arial" w:cs="Arial"/>
              </w:rPr>
              <w:t>Are you representing an association?</w:t>
            </w:r>
          </w:p>
        </w:tc>
        <w:sdt>
          <w:sdtPr>
            <w:rPr>
              <w:rFonts w:ascii="Arial" w:hAnsi="Arial" w:cs="Arial"/>
            </w:rPr>
            <w:id w:val="-242871467"/>
            <w14:checkbox>
              <w14:checked w14:val="1"/>
              <w14:checkedState w14:val="2612" w14:font="MS Gothic"/>
              <w14:uncheckedState w14:val="2610" w14:font="MS Gothic"/>
            </w14:checkbox>
          </w:sdtPr>
          <w:sdtContent>
            <w:tc>
              <w:tcPr>
                <w:tcW w:w="5595" w:type="dxa"/>
                <w:shd w:val="clear" w:color="auto" w:fill="auto"/>
              </w:tcPr>
              <w:p w:rsidR="000632C2" w:rsidRPr="00AB6D88" w:rsidRDefault="007E08AF" w:rsidP="009E5107">
                <w:pPr>
                  <w:rPr>
                    <w:rFonts w:ascii="Arial" w:hAnsi="Arial" w:cs="Arial"/>
                  </w:rPr>
                </w:pPr>
                <w:r>
                  <w:rPr>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62096364" w:edGrp="everyone" w:colFirst="1" w:colLast="1"/>
            <w:permEnd w:id="25450197"/>
            <w:r w:rsidRPr="00AB6D88">
              <w:rPr>
                <w:rFonts w:ascii="Arial" w:hAnsi="Arial" w:cs="Arial"/>
              </w:rPr>
              <w:t>Country/Region</w:t>
            </w:r>
          </w:p>
        </w:tc>
        <w:permStart w:id="348549134"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81670499" w:edGrp="everyone" w:displacedByCustomXml="prev"/>
            <w:tc>
              <w:tcPr>
                <w:tcW w:w="5595" w:type="dxa"/>
                <w:shd w:val="clear" w:color="auto" w:fill="auto"/>
              </w:tcPr>
              <w:p w:rsidR="000632C2" w:rsidRPr="00AB6D88" w:rsidRDefault="007E08AF" w:rsidP="009E5107">
                <w:pPr>
                  <w:rPr>
                    <w:rFonts w:ascii="Arial" w:hAnsi="Arial" w:cs="Arial"/>
                  </w:rPr>
                </w:pPr>
                <w:r>
                  <w:rPr>
                    <w:rFonts w:ascii="Arial" w:hAnsi="Arial" w:cs="Arial"/>
                  </w:rPr>
                  <w:t>Europe</w:t>
                </w:r>
              </w:p>
            </w:tc>
            <w:permEnd w:id="181670499" w:displacedByCustomXml="next"/>
          </w:sdtContent>
        </w:sdt>
        <w:permEnd w:id="348549134" w:displacedByCustomXml="prev"/>
      </w:tr>
      <w:permEnd w:id="162096364"/>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BF372C" w:rsidRPr="002C0AF2" w:rsidRDefault="00BF372C" w:rsidP="008D7098">
      <w:pPr>
        <w:spacing w:before="100" w:beforeAutospacing="1" w:after="100" w:afterAutospacing="1" w:line="240" w:lineRule="auto"/>
        <w:rPr>
          <w:rFonts w:ascii="Calibri" w:hAnsi="Calibri"/>
          <w:szCs w:val="22"/>
        </w:rPr>
      </w:pPr>
      <w:permStart w:id="32462006" w:edGrp="everyone"/>
      <w:r w:rsidRPr="002C0AF2">
        <w:rPr>
          <w:rFonts w:ascii="Calibri" w:hAnsi="Calibri" w:cs="Calibri Light"/>
          <w:color w:val="000000"/>
        </w:rPr>
        <w:t xml:space="preserve">The Wholesale Markets Brokers’ Association (WMBA) and the London Energy Brokers’ Association (LEBA) (jointly referred to in this document as ‘WMBA’) are the European industry associations for the wholesale intermediation of organised venue and Over-the-Counter (OTC) markets in financial, energy, commodity and emissions markets and their traded derivatives.  Our members act solely as intermediaries in wholesale financial markets and do not undertake any proprietary trading.  As a result they are classified as Limited Activity and Limited Licence under BIPRU and IFPRU in the UK where they carry out the vast majority of their activities regardless of home domicile of the individual holding companies.  </w:t>
      </w:r>
      <w:r w:rsidRPr="002C0AF2">
        <w:rPr>
          <w:rFonts w:ascii="Calibri" w:hAnsi="Calibri"/>
          <w:szCs w:val="22"/>
        </w:rPr>
        <w:t>This makes them which makes them MiFID Investment Firms as opposed to being MTF’s per se.</w:t>
      </w:r>
    </w:p>
    <w:p w:rsidR="00BF372C" w:rsidRPr="002C0AF2" w:rsidRDefault="00BF372C" w:rsidP="008D7098">
      <w:pPr>
        <w:spacing w:before="100" w:beforeAutospacing="1" w:after="100" w:afterAutospacing="1" w:line="240" w:lineRule="auto"/>
        <w:rPr>
          <w:rFonts w:ascii="Calibri" w:hAnsi="Calibri"/>
          <w:szCs w:val="22"/>
        </w:rPr>
      </w:pPr>
      <w:r w:rsidRPr="002C0AF2">
        <w:rPr>
          <w:rFonts w:ascii="Calibri" w:hAnsi="Calibri"/>
          <w:szCs w:val="22"/>
        </w:rPr>
        <w:t>Evidently many WMBA member firms offer electronic venues that are not operated under MTF rules, often alongside their MTFs due to the nature of the instrument, the tenor, the technology, the clients and the jurisdiction. In this way we emphasise the complexity and interplay between the number of moving parts being organised here and the very global nature of the wholesale liquidity being arranged. In particular we note that six member firms operate SEFs under the CEA act (Dodd-Frank) in the US. Whilst SEFs have public rulebooks in accordance with Title VII, there are many regulated parameters under the conduct of business, transparency, post-trade protocols and fee structures which are of utmost importance, but outside the scope of the publically disclosed rules.</w:t>
      </w:r>
    </w:p>
    <w:p w:rsidR="00BF372C" w:rsidRPr="002C0AF2" w:rsidRDefault="00BF372C" w:rsidP="008D7098">
      <w:pPr>
        <w:spacing w:before="100" w:beforeAutospacing="1" w:after="100" w:afterAutospacing="1" w:line="240" w:lineRule="auto"/>
        <w:rPr>
          <w:rFonts w:ascii="Calibri" w:hAnsi="Calibri"/>
        </w:rPr>
      </w:pPr>
      <w:r w:rsidRPr="002C0AF2">
        <w:rPr>
          <w:rFonts w:ascii="Calibri" w:hAnsi="Calibri"/>
          <w:szCs w:val="22"/>
        </w:rPr>
        <w:t xml:space="preserve">Conversely the overarching commonality we should state here is the wholesale nature of the venues. There are no retail customers to our member firms, only professional, eligible and third country market counterparties. </w:t>
      </w:r>
    </w:p>
    <w:p w:rsidR="00BF372C" w:rsidRPr="002C0AF2" w:rsidRDefault="00BF372C" w:rsidP="008D7098">
      <w:pPr>
        <w:autoSpaceDE w:val="0"/>
        <w:autoSpaceDN w:val="0"/>
        <w:adjustRightInd w:val="0"/>
        <w:spacing w:before="100" w:beforeAutospacing="1" w:after="100" w:afterAutospacing="1" w:line="240" w:lineRule="auto"/>
        <w:rPr>
          <w:rFonts w:ascii="Calibri" w:hAnsi="Calibri" w:cs="Arial"/>
          <w:color w:val="000000"/>
        </w:rPr>
      </w:pPr>
      <w:r w:rsidRPr="002C0AF2">
        <w:rPr>
          <w:rFonts w:ascii="Calibri" w:hAnsi="Calibri" w:cs="Arial"/>
          <w:color w:val="000000"/>
        </w:rPr>
        <w:t>The following summarizes a number of the key parts of our response to the CP.</w:t>
      </w:r>
    </w:p>
    <w:p w:rsidR="00BF372C" w:rsidRPr="002C0AF2" w:rsidRDefault="00BF372C" w:rsidP="008D7098">
      <w:pPr>
        <w:autoSpaceDE w:val="0"/>
        <w:autoSpaceDN w:val="0"/>
        <w:adjustRightInd w:val="0"/>
        <w:spacing w:before="100" w:beforeAutospacing="1" w:after="100" w:afterAutospacing="1" w:line="240" w:lineRule="auto"/>
        <w:rPr>
          <w:rFonts w:ascii="Calibri" w:hAnsi="Calibri" w:cs="Arial"/>
          <w:b/>
          <w:i/>
          <w:iCs/>
          <w:color w:val="000000"/>
        </w:rPr>
      </w:pPr>
      <w:r w:rsidRPr="002C0AF2">
        <w:rPr>
          <w:rFonts w:ascii="Calibri" w:hAnsi="Calibri" w:cs="Arial"/>
          <w:b/>
          <w:i/>
          <w:iCs/>
          <w:color w:val="000000"/>
        </w:rPr>
        <w:t>“Best Execution” - Information re Execution of Orders</w:t>
      </w:r>
    </w:p>
    <w:p w:rsidR="00BF372C" w:rsidRPr="002C0AF2" w:rsidRDefault="00BF372C" w:rsidP="008D7098">
      <w:pPr>
        <w:autoSpaceDE w:val="0"/>
        <w:autoSpaceDN w:val="0"/>
        <w:adjustRightInd w:val="0"/>
        <w:spacing w:before="100" w:beforeAutospacing="1" w:after="100" w:afterAutospacing="1" w:line="240" w:lineRule="auto"/>
        <w:rPr>
          <w:rFonts w:ascii="Calibri" w:hAnsi="Calibri"/>
        </w:rPr>
      </w:pPr>
      <w:r w:rsidRPr="002C0AF2">
        <w:rPr>
          <w:rFonts w:ascii="Calibri" w:hAnsi="Calibri"/>
        </w:rPr>
        <w:t>We are concerned that the proposed information requirements relating to ‘quality of execution’ will not help to inform investment firms’ selection of execution venues and may lead to the disclosure of commercially sensitive information. We consider that the information which ESMA proposes to require is partially duplicative of publically available data and overly complex, posing a serious risk that the intended consumers will simply not invest in the effort to understand it. Moreover, the information that ESMA is proposing to be make public would, in particular for less liquid instruments, comprise transaction-level information providing details of positions and trading strategies. We therefore believe that the proposed approach requires significant re-consideration to deliver a workable outcome and valuable information.</w:t>
      </w:r>
    </w:p>
    <w:p w:rsidR="00BF372C" w:rsidRPr="002C0AF2" w:rsidRDefault="00BF372C" w:rsidP="008D7098">
      <w:pPr>
        <w:autoSpaceDE w:val="0"/>
        <w:autoSpaceDN w:val="0"/>
        <w:adjustRightInd w:val="0"/>
        <w:spacing w:before="100" w:beforeAutospacing="1" w:after="100" w:afterAutospacing="1" w:line="240" w:lineRule="auto"/>
        <w:rPr>
          <w:rFonts w:ascii="Calibri" w:hAnsi="Calibri" w:cs="Arial"/>
          <w:b/>
          <w:i/>
          <w:iCs/>
          <w:color w:val="000000"/>
        </w:rPr>
      </w:pPr>
      <w:r w:rsidRPr="002C0AF2">
        <w:rPr>
          <w:rFonts w:ascii="Calibri" w:hAnsi="Calibri" w:cs="Arial"/>
          <w:b/>
          <w:i/>
          <w:iCs/>
          <w:color w:val="000000"/>
        </w:rPr>
        <w:t>Bond Market Transparency</w:t>
      </w:r>
    </w:p>
    <w:p w:rsidR="00BF372C" w:rsidRPr="002C0AF2" w:rsidRDefault="00BF372C" w:rsidP="008D7098">
      <w:pPr>
        <w:autoSpaceDE w:val="0"/>
        <w:autoSpaceDN w:val="0"/>
        <w:adjustRightInd w:val="0"/>
        <w:spacing w:before="100" w:beforeAutospacing="1" w:after="100" w:afterAutospacing="1" w:line="240" w:lineRule="auto"/>
        <w:rPr>
          <w:rFonts w:ascii="Calibri" w:hAnsi="Calibri" w:cs="Arial"/>
          <w:color w:val="000000"/>
        </w:rPr>
      </w:pPr>
      <w:r w:rsidRPr="002C0AF2">
        <w:rPr>
          <w:rFonts w:ascii="Calibri" w:hAnsi="Calibri" w:cs="Arial"/>
          <w:color w:val="000000"/>
        </w:rPr>
        <w:t>We are concerned by the proposals generally form a barrier to the ambitions on Capital Markets Union and the growth agenda of the G20. In particular we underline the roles that both secondary bond markets and securities financing transactions are due to play under this agenda over the next decade. These markets are organised by WMBA members. In particular therefore the level 2 RTS measures should embrace matched principal bond arranging and execution on OTFs. We note that they do the opposite and contravene the ambitions of the level 1 text in doing so.</w:t>
      </w:r>
    </w:p>
    <w:p w:rsidR="00BF372C" w:rsidRPr="002C0AF2" w:rsidRDefault="00BF372C" w:rsidP="008D7098">
      <w:pPr>
        <w:autoSpaceDE w:val="0"/>
        <w:autoSpaceDN w:val="0"/>
        <w:adjustRightInd w:val="0"/>
        <w:spacing w:before="100" w:beforeAutospacing="1" w:after="100" w:afterAutospacing="1" w:line="240" w:lineRule="auto"/>
        <w:rPr>
          <w:rFonts w:ascii="Calibri" w:hAnsi="Calibri" w:cs="Arial"/>
          <w:color w:val="000000"/>
        </w:rPr>
      </w:pPr>
      <w:r w:rsidRPr="002C0AF2">
        <w:rPr>
          <w:rFonts w:ascii="Calibri" w:hAnsi="Calibri" w:cs="Arial"/>
          <w:color w:val="000000"/>
        </w:rPr>
        <w:t xml:space="preserve">WMBA also hold broad doubts over an overly broad definition of liquid markets which does not recognize the heterogeneous and dynamic nature of fixed income liquidity and are as such inconsistent with ESMA’s Level 1 mandate. If illiquid markets are treated as liquid under the transparency regimes, liquidity providers will be discouraged from committing capital to the detriment of both investors and issuers. </w:t>
      </w:r>
    </w:p>
    <w:p w:rsidR="00BF372C" w:rsidRPr="002C0AF2" w:rsidRDefault="00BF372C" w:rsidP="008D7098">
      <w:pPr>
        <w:autoSpaceDE w:val="0"/>
        <w:autoSpaceDN w:val="0"/>
        <w:adjustRightInd w:val="0"/>
        <w:spacing w:before="100" w:beforeAutospacing="1" w:after="100" w:afterAutospacing="1" w:line="240" w:lineRule="auto"/>
        <w:rPr>
          <w:rFonts w:ascii="Calibri" w:hAnsi="Calibri" w:cs="Arial"/>
          <w:color w:val="000000"/>
        </w:rPr>
      </w:pPr>
      <w:r w:rsidRPr="002C0AF2">
        <w:rPr>
          <w:rFonts w:ascii="Calibri" w:hAnsi="Calibri" w:cs="Arial"/>
          <w:color w:val="000000"/>
        </w:rPr>
        <w:t xml:space="preserve">The Instrument-by-Instrument Approach (IBIA) that ESMA proposed in its 2014 Discussion Paper on Regulatory Technical Standards (RTS) for MiFID II/MiFIR represented the framework that would have had the best chance of reflecting the idiosyncrasies of bond market liquidity, in the view of the majority of market participants. ESMA’s own analysis demonstrates that the proposed application of COFIA to categorizing bond markets will mean that the majority of instruments classified as liquid are in fact illiquid. ESMA acknowledges the risks that might arise from COFIA and states its intention to address these through (unspecified) allowances to the SSTI and LIS thresholds. </w:t>
      </w:r>
    </w:p>
    <w:p w:rsidR="00BF372C" w:rsidRPr="002C0AF2" w:rsidRDefault="00BF372C" w:rsidP="008D7098">
      <w:pPr>
        <w:autoSpaceDE w:val="0"/>
        <w:autoSpaceDN w:val="0"/>
        <w:adjustRightInd w:val="0"/>
        <w:spacing w:before="100" w:beforeAutospacing="1" w:after="100" w:afterAutospacing="1" w:line="240" w:lineRule="auto"/>
        <w:rPr>
          <w:rFonts w:ascii="Calibri" w:hAnsi="Calibri" w:cs="Arial"/>
          <w:color w:val="000000"/>
        </w:rPr>
      </w:pPr>
      <w:r w:rsidRPr="002C0AF2">
        <w:rPr>
          <w:rFonts w:ascii="Calibri" w:hAnsi="Calibri" w:cs="Arial"/>
          <w:color w:val="000000"/>
        </w:rPr>
        <w:t xml:space="preserve">However, we are concerned that MIFID II will set a precedent for defining secondary market liquidity, so it is critical that the definition of liquidity is fit-for-purpose in and of itself. We therefore urge ESMA to reconsider its proposal and instead use IBIA for liquidity categorization. We acknowledge and address the challenges associated with IBIA, including identification of bond pools for CA assessment and new issues. If ESMA nevertheless persists with its proposal to use COFIA, we would urge a more granular assessment that considers bond lifecycle and currency, increased issuance size thresholds and more accurate underlying data. </w:t>
      </w:r>
    </w:p>
    <w:p w:rsidR="00BF372C" w:rsidRPr="002C0AF2" w:rsidRDefault="00BF372C" w:rsidP="008D7098">
      <w:pPr>
        <w:autoSpaceDE w:val="0"/>
        <w:autoSpaceDN w:val="0"/>
        <w:adjustRightInd w:val="0"/>
        <w:spacing w:before="100" w:beforeAutospacing="1" w:after="100" w:afterAutospacing="1" w:line="240" w:lineRule="auto"/>
        <w:rPr>
          <w:rFonts w:ascii="Calibri" w:hAnsi="Calibri" w:cs="Arial"/>
          <w:color w:val="000000"/>
        </w:rPr>
      </w:pPr>
      <w:r w:rsidRPr="002C0AF2">
        <w:rPr>
          <w:rFonts w:ascii="Calibri" w:hAnsi="Calibri" w:cs="Arial"/>
          <w:color w:val="000000"/>
        </w:rPr>
        <w:t xml:space="preserve">Despite ESMA’s statement of mitigation, we highlight that ESMA has not incorporated any allowances for the liquidity error margins in the SSTI/LIS thresholds.  If ESMA adopts a regime with large errors, there needs to be a specific adjustment for this in the SSTI/LIS regime (e.g. reduce the test threshold). </w:t>
      </w:r>
    </w:p>
    <w:p w:rsidR="00BF372C" w:rsidRPr="002C0AF2" w:rsidRDefault="00BF372C" w:rsidP="008D7098">
      <w:pPr>
        <w:autoSpaceDE w:val="0"/>
        <w:autoSpaceDN w:val="0"/>
        <w:adjustRightInd w:val="0"/>
        <w:spacing w:before="100" w:beforeAutospacing="1" w:after="100" w:afterAutospacing="1" w:line="240" w:lineRule="auto"/>
        <w:rPr>
          <w:rFonts w:ascii="Calibri" w:hAnsi="Calibri" w:cs="Arial"/>
          <w:color w:val="000000"/>
        </w:rPr>
      </w:pPr>
      <w:r w:rsidRPr="002C0AF2">
        <w:rPr>
          <w:rFonts w:ascii="Calibri" w:hAnsi="Calibri" w:cs="Arial"/>
          <w:color w:val="000000"/>
        </w:rPr>
        <w:t xml:space="preserve">We also believe that the framework for determining the SSTI thresholds is a critical. The current proposals are not workable and will lead to undue risks for liquidity providers and significant adverse consequences for investors and issuers if implemented. The SSTI thresholds are set too high and do not differentiate between pre and post trade transparency and illiquid and liquid instruments which present different types and levels of market impact risk. </w:t>
      </w:r>
    </w:p>
    <w:p w:rsidR="00BF372C" w:rsidRPr="002C0AF2" w:rsidRDefault="00BF372C" w:rsidP="008D7098">
      <w:pPr>
        <w:autoSpaceDE w:val="0"/>
        <w:autoSpaceDN w:val="0"/>
        <w:adjustRightInd w:val="0"/>
        <w:spacing w:before="100" w:beforeAutospacing="1" w:after="100" w:afterAutospacing="1" w:line="240" w:lineRule="auto"/>
        <w:rPr>
          <w:rFonts w:ascii="Calibri" w:hAnsi="Calibri" w:cs="Arial"/>
          <w:color w:val="000000"/>
        </w:rPr>
      </w:pPr>
      <w:r w:rsidRPr="002C0AF2">
        <w:rPr>
          <w:rFonts w:ascii="Calibri" w:hAnsi="Calibri" w:cs="Arial"/>
          <w:color w:val="000000"/>
        </w:rPr>
        <w:t>Finally we consider that SSTI set at 50% to be inappropriate as there is inter alia no evidence that the level of undue risk to liquidity providers on which SSTI is to be based is connected to half of LIS. We believe and suggest that an uncomplicated alternative approach can be achieved by decoupling SSTI from LIS without requiring a SSTI threshold for each instrument and without compromising a risk-based calibration.</w:t>
      </w:r>
    </w:p>
    <w:p w:rsidR="00BF372C" w:rsidRPr="002C0AF2" w:rsidRDefault="00BF372C" w:rsidP="008D7098">
      <w:pPr>
        <w:autoSpaceDE w:val="0"/>
        <w:autoSpaceDN w:val="0"/>
        <w:adjustRightInd w:val="0"/>
        <w:spacing w:before="100" w:beforeAutospacing="1" w:after="100" w:afterAutospacing="1" w:line="240" w:lineRule="auto"/>
        <w:rPr>
          <w:rFonts w:ascii="Calibri" w:hAnsi="Calibri" w:cs="Arial"/>
          <w:color w:val="000000"/>
        </w:rPr>
      </w:pPr>
      <w:r w:rsidRPr="002C0AF2">
        <w:rPr>
          <w:rFonts w:ascii="Calibri" w:hAnsi="Calibri" w:cs="Arial"/>
          <w:color w:val="000000"/>
        </w:rPr>
        <w:t>We concur with other market participants that a three-point solution would, we believe, not only simplify the COFIA regime further but optimise its ability to capture those instruments that are truly liquid. We recommend ESMA considers:</w:t>
      </w:r>
    </w:p>
    <w:p w:rsidR="00BF372C" w:rsidRPr="002C0AF2" w:rsidRDefault="00BF372C" w:rsidP="007D55BD">
      <w:pPr>
        <w:pStyle w:val="ListParagraph"/>
        <w:numPr>
          <w:ilvl w:val="0"/>
          <w:numId w:val="8"/>
        </w:numPr>
      </w:pPr>
      <w:r w:rsidRPr="002C0AF2">
        <w:t>Adjusting the liquidity calibration to more accurately reflect the liquidity of the instrument</w:t>
      </w:r>
    </w:p>
    <w:p w:rsidR="00BF372C" w:rsidRPr="002C0AF2" w:rsidRDefault="00BF372C" w:rsidP="007D55BD">
      <w:pPr>
        <w:pStyle w:val="ListParagraph"/>
        <w:numPr>
          <w:ilvl w:val="0"/>
          <w:numId w:val="8"/>
        </w:numPr>
      </w:pPr>
      <w:r w:rsidRPr="002C0AF2">
        <w:t>Considering solutions for RFQ systems to balance the objectives of transparency and market efficiency</w:t>
      </w:r>
    </w:p>
    <w:p w:rsidR="00BF372C" w:rsidRPr="002C0AF2" w:rsidRDefault="00BF372C" w:rsidP="007D55BD">
      <w:pPr>
        <w:pStyle w:val="ListParagraph"/>
        <w:numPr>
          <w:ilvl w:val="0"/>
          <w:numId w:val="8"/>
        </w:numPr>
      </w:pPr>
      <w:r w:rsidRPr="002C0AF2">
        <w:t>Re-calibrating the pre- and post-trade transparency waivers and deferrals within each class of instrument</w:t>
      </w:r>
    </w:p>
    <w:p w:rsidR="00BF372C" w:rsidRPr="002C0AF2" w:rsidRDefault="00BF372C" w:rsidP="008D7098">
      <w:pPr>
        <w:autoSpaceDE w:val="0"/>
        <w:autoSpaceDN w:val="0"/>
        <w:adjustRightInd w:val="0"/>
        <w:spacing w:before="100" w:beforeAutospacing="1" w:after="100" w:afterAutospacing="1" w:line="240" w:lineRule="auto"/>
        <w:rPr>
          <w:rFonts w:ascii="Calibri" w:hAnsi="Calibri" w:cs="Arial"/>
          <w:b/>
          <w:i/>
          <w:iCs/>
          <w:color w:val="000000"/>
        </w:rPr>
      </w:pPr>
      <w:r w:rsidRPr="002C0AF2">
        <w:rPr>
          <w:rFonts w:ascii="Calibri" w:hAnsi="Calibri" w:cs="Arial"/>
          <w:b/>
          <w:i/>
          <w:iCs/>
          <w:color w:val="000000"/>
        </w:rPr>
        <w:t>Derivative Market Transparency</w:t>
      </w:r>
    </w:p>
    <w:p w:rsidR="00BF372C" w:rsidRPr="002C0AF2" w:rsidRDefault="00BF372C" w:rsidP="008D7098">
      <w:pPr>
        <w:autoSpaceDE w:val="0"/>
        <w:autoSpaceDN w:val="0"/>
        <w:adjustRightInd w:val="0"/>
        <w:spacing w:before="100" w:beforeAutospacing="1" w:after="100" w:afterAutospacing="1" w:line="240" w:lineRule="auto"/>
        <w:rPr>
          <w:rFonts w:ascii="Calibri" w:hAnsi="Calibri" w:cs="Arial"/>
          <w:iCs/>
          <w:color w:val="000000"/>
        </w:rPr>
      </w:pPr>
      <w:r w:rsidRPr="002C0AF2">
        <w:rPr>
          <w:rFonts w:ascii="Calibri" w:hAnsi="Calibri" w:cs="Arial"/>
          <w:b/>
          <w:iCs/>
          <w:color w:val="000000"/>
        </w:rPr>
        <w:t xml:space="preserve">Scope and Data sources: </w:t>
      </w:r>
      <w:r w:rsidRPr="002C0AF2">
        <w:rPr>
          <w:rFonts w:ascii="Calibri" w:hAnsi="Calibri" w:cs="Arial"/>
          <w:iCs/>
          <w:color w:val="000000"/>
        </w:rPr>
        <w:t xml:space="preserve">It is essential that ESMA clearly identify within RTS 9 those liquidity/SSTI/LIS tables that apply only to transactions occurring on regulated markets versus those that would apply to transactions occurring on MTFs and OTFs, versus those executed OTC; versus those executed on third country venues, particularly SEFs. Instruments traded on regulated markets are standardised and fungible contrasted with the other categories. We would therefore expect that where the liquidity assessments are based WMBA member venue data, that none of the tables itemising liquid classes apply to OTC derivative contracts unless ESMA undertakes the type of analysis, at a comparable level of granularity, to that currently performed for interest rate swaps.  </w:t>
      </w:r>
    </w:p>
    <w:p w:rsidR="00BF372C" w:rsidRPr="002C0AF2" w:rsidRDefault="00BF372C" w:rsidP="008D7098">
      <w:pPr>
        <w:autoSpaceDE w:val="0"/>
        <w:autoSpaceDN w:val="0"/>
        <w:adjustRightInd w:val="0"/>
        <w:spacing w:before="100" w:beforeAutospacing="1" w:after="100" w:afterAutospacing="1" w:line="240" w:lineRule="auto"/>
        <w:rPr>
          <w:rFonts w:ascii="Calibri" w:hAnsi="Calibri" w:cs="Arial"/>
          <w:iCs/>
          <w:color w:val="000000"/>
        </w:rPr>
      </w:pPr>
      <w:r w:rsidRPr="002C0AF2">
        <w:rPr>
          <w:rFonts w:ascii="Calibri" w:hAnsi="Calibri" w:cs="Arial"/>
          <w:iCs/>
          <w:color w:val="000000"/>
        </w:rPr>
        <w:t xml:space="preserve">The data sets used to assess liquidity did not appear to us to include the vital and voluminous data sets supplied to ESMA by WMBA members covering all products traded off RMs over a calendar year. Indeed three months of data from a brand new trade repository is a poor substitute and is insufficient. Also, using this substandard trade repository data from the period shortly after the EMIR reporting requirement came into effect raises concerns about the quality of the dataset given the widely publicised challenges that this reporting requirement presented to the industry. For example, that ESMA’s fixed-floating single currency USD swap data - across tenors - has more trades and larger notional amounts than the DTCC data we used in our analysis. </w:t>
      </w:r>
    </w:p>
    <w:p w:rsidR="00BF372C" w:rsidRPr="002C0AF2" w:rsidRDefault="00BF372C" w:rsidP="008D7098">
      <w:pPr>
        <w:autoSpaceDE w:val="0"/>
        <w:autoSpaceDN w:val="0"/>
        <w:adjustRightInd w:val="0"/>
        <w:spacing w:before="100" w:beforeAutospacing="1" w:after="100" w:afterAutospacing="1" w:line="240" w:lineRule="auto"/>
        <w:rPr>
          <w:rFonts w:ascii="Calibri" w:hAnsi="Calibri" w:cs="Arial"/>
          <w:iCs/>
          <w:color w:val="000000"/>
        </w:rPr>
      </w:pPr>
      <w:r w:rsidRPr="002C0AF2">
        <w:rPr>
          <w:rFonts w:ascii="Calibri" w:hAnsi="Calibri" w:cs="Arial"/>
          <w:b/>
          <w:iCs/>
          <w:color w:val="000000"/>
        </w:rPr>
        <w:t>Suitable Calibrations</w:t>
      </w:r>
      <w:r w:rsidR="008D7098" w:rsidRPr="002C0AF2">
        <w:rPr>
          <w:rFonts w:ascii="Calibri" w:hAnsi="Calibri" w:cs="Arial"/>
          <w:b/>
          <w:iCs/>
          <w:color w:val="000000"/>
        </w:rPr>
        <w:t xml:space="preserve">, Timely Re-calibration </w:t>
      </w:r>
      <w:r w:rsidRPr="002C0AF2">
        <w:rPr>
          <w:rFonts w:ascii="Calibri" w:hAnsi="Calibri" w:cs="Arial"/>
          <w:b/>
          <w:iCs/>
          <w:color w:val="000000"/>
        </w:rPr>
        <w:t xml:space="preserve">and Granularity is </w:t>
      </w:r>
      <w:r w:rsidR="008D7098" w:rsidRPr="002C0AF2">
        <w:rPr>
          <w:rFonts w:ascii="Calibri" w:hAnsi="Calibri" w:cs="Arial"/>
          <w:b/>
          <w:iCs/>
          <w:color w:val="000000"/>
        </w:rPr>
        <w:t>E</w:t>
      </w:r>
      <w:r w:rsidRPr="002C0AF2">
        <w:rPr>
          <w:rFonts w:ascii="Calibri" w:hAnsi="Calibri" w:cs="Arial"/>
          <w:b/>
          <w:iCs/>
          <w:color w:val="000000"/>
        </w:rPr>
        <w:t>ssential rather than a ‘</w:t>
      </w:r>
      <w:r w:rsidRPr="002C0AF2">
        <w:rPr>
          <w:rFonts w:ascii="Calibri" w:hAnsi="Calibri" w:cs="Arial"/>
          <w:b/>
          <w:i/>
          <w:iCs/>
          <w:color w:val="000000"/>
        </w:rPr>
        <w:t>Nice to Have’</w:t>
      </w:r>
      <w:r w:rsidRPr="002C0AF2">
        <w:rPr>
          <w:rFonts w:ascii="Calibri" w:hAnsi="Calibri" w:cs="Arial"/>
          <w:b/>
          <w:iCs/>
          <w:color w:val="000000"/>
        </w:rPr>
        <w:t xml:space="preserve">; </w:t>
      </w:r>
      <w:r w:rsidRPr="002C0AF2">
        <w:rPr>
          <w:rFonts w:ascii="Calibri" w:hAnsi="Calibri" w:cs="Arial"/>
          <w:iCs/>
          <w:color w:val="000000"/>
        </w:rPr>
        <w:t xml:space="preserve">It is essential that ESMA calibrate COFIA in such a way that the taxonomy applied to instrument classes under consideration is appropriately granular. To do otherwise risks illiquid instruments being classified as liquid instruments which could have adverse consequences on the ability to transact such contracts.  The WMBA gap analysis of standard broking size versus LiS/SSTI indicates that swaptions in particular makes this point clearly; delineating this class in terms of currency is insufficient and at very least, the tenor of the swap and tenor of the underlying must also be considered. </w:t>
      </w:r>
      <w:r w:rsidR="008D7098" w:rsidRPr="002C0AF2">
        <w:rPr>
          <w:rFonts w:ascii="Calibri" w:hAnsi="Calibri" w:cs="Arial"/>
          <w:iCs/>
          <w:color w:val="000000"/>
        </w:rPr>
        <w:t>We emphasise need for timely liquidity re-calibration more regularly in the relevant questions.</w:t>
      </w:r>
    </w:p>
    <w:p w:rsidR="00BF372C" w:rsidRPr="002C0AF2" w:rsidRDefault="00BF372C" w:rsidP="008D7098">
      <w:pPr>
        <w:autoSpaceDE w:val="0"/>
        <w:autoSpaceDN w:val="0"/>
        <w:adjustRightInd w:val="0"/>
        <w:spacing w:before="100" w:beforeAutospacing="1" w:after="100" w:afterAutospacing="1" w:line="240" w:lineRule="auto"/>
        <w:rPr>
          <w:rFonts w:ascii="Calibri" w:hAnsi="Calibri" w:cs="Arial"/>
          <w:iCs/>
          <w:color w:val="000000"/>
        </w:rPr>
      </w:pPr>
      <w:r w:rsidRPr="002C0AF2">
        <w:rPr>
          <w:rFonts w:ascii="Calibri" w:hAnsi="Calibri" w:cs="Arial"/>
          <w:iCs/>
          <w:color w:val="000000"/>
        </w:rPr>
        <w:t xml:space="preserve">The parameters that ESMA has used to calibrate liquidity for interest rate, equity and commodities derivatives as applied to its data sets, has yielded too many false positives – i.e. instruments being designated as liquid when they are, in fact, illiquid. </w:t>
      </w:r>
      <w:r w:rsidR="008D7098" w:rsidRPr="002C0AF2">
        <w:rPr>
          <w:rFonts w:ascii="Calibri" w:hAnsi="Calibri" w:cstheme="minorHAnsi"/>
        </w:rPr>
        <w:t>WMBA would also highlight that the concept of liquidity is not static. As markets evolve, innovate and react to external circumstances (including regulation), a product that is liquid today may not be liquid tomorrow, and vice versa. It is therefore of upmost importance that ESMA revisits the liquidity determination, especially once it is able to obtain better quality data through the post-trade reporting regime as implemented under MiFID II. Alternatively, a dynamic calibration approach, such as the one considered for setting large-in-scale (LiS) and size-specific-to-the-instrument (SSTI) thresholds, should be developed.</w:t>
      </w:r>
    </w:p>
    <w:p w:rsidR="00BF372C" w:rsidRPr="002C0AF2" w:rsidRDefault="00BF372C" w:rsidP="008D7098">
      <w:pPr>
        <w:autoSpaceDE w:val="0"/>
        <w:autoSpaceDN w:val="0"/>
        <w:adjustRightInd w:val="0"/>
        <w:spacing w:before="100" w:beforeAutospacing="1" w:after="100" w:afterAutospacing="1" w:line="240" w:lineRule="auto"/>
        <w:rPr>
          <w:rFonts w:ascii="Calibri" w:hAnsi="Calibri" w:cs="Arial"/>
          <w:iCs/>
          <w:color w:val="000000"/>
        </w:rPr>
      </w:pPr>
      <w:r w:rsidRPr="002C0AF2">
        <w:rPr>
          <w:rFonts w:ascii="Calibri" w:hAnsi="Calibri" w:cs="Arial"/>
          <w:iCs/>
          <w:color w:val="000000"/>
        </w:rPr>
        <w:t>The relevant LIS/SSTI thresholds need to be set at a level appropriate to the liquidity (or illiquidity) of an instrument. The proposed 50% SSTI/LIS ratio is arbitrary and we are concerned that it assumes falsely that the dealer-to-client relationship is the same as the interdealer liquidity pool. It also suffers a grave mistake in making linear relationship between SSTI and LIS rather that approaching the SSTI from the bottom-up in order to minimise false outcomes. The expressions of the thresholds need to be aligned to how the instrument trades via our recommended bottom-up approach. Whilst we appreciate that for the purposes of making an initial assessment of liquidity, it was expedient for ESMA to put all swaps in terms of Euros, the LIS and SSTI thresholds in the RTS should be written in local currency units. This applies equally for commodities and FX.</w:t>
      </w:r>
    </w:p>
    <w:p w:rsidR="008D7098" w:rsidRPr="002C0AF2" w:rsidRDefault="00BF372C" w:rsidP="008D7098">
      <w:pPr>
        <w:autoSpaceDE w:val="0"/>
        <w:autoSpaceDN w:val="0"/>
        <w:adjustRightInd w:val="0"/>
        <w:spacing w:before="100" w:beforeAutospacing="1" w:after="100" w:afterAutospacing="1" w:line="240" w:lineRule="auto"/>
        <w:rPr>
          <w:rFonts w:ascii="Calibri" w:hAnsi="Calibri" w:cs="Arial"/>
          <w:iCs/>
          <w:color w:val="000000"/>
        </w:rPr>
      </w:pPr>
      <w:r w:rsidRPr="002C0AF2">
        <w:rPr>
          <w:rFonts w:ascii="Calibri" w:hAnsi="Calibri" w:cs="Arial"/>
          <w:iCs/>
          <w:color w:val="000000"/>
        </w:rPr>
        <w:t>In order to determine whether a class of derivatives is sufficiently liquid for the trading obligation, the WMBA recommends that the “sufficiently liquid” test should be applied at a more granular level than is utilised for the general test of liquidity.</w:t>
      </w:r>
      <w:r w:rsidR="008D7098" w:rsidRPr="002C0AF2">
        <w:rPr>
          <w:rFonts w:ascii="Calibri" w:hAnsi="Calibri" w:cs="Arial"/>
          <w:iCs/>
          <w:color w:val="000000"/>
        </w:rPr>
        <w:t xml:space="preserve"> WMBA consider that one aim of this exercise was to ensure multi-to-multi transactions are conducted on a venue, however existing trade data will include intercompany, treasury hedging and bilateral transactions, again increasing the view of liquidity on certain instruments and skewing the average size of transactions. We are also concerned about the use of a 70% volume threshold. This could easily be skewed by very few, very large trades, and we would thus suggest to only use the 90th percentile of transactions as a more natural reading of above normal market size.   </w:t>
      </w:r>
    </w:p>
    <w:p w:rsidR="00BF372C" w:rsidRPr="002C0AF2" w:rsidRDefault="008D7098" w:rsidP="008D7098">
      <w:pPr>
        <w:autoSpaceDE w:val="0"/>
        <w:autoSpaceDN w:val="0"/>
        <w:adjustRightInd w:val="0"/>
        <w:spacing w:before="100" w:beforeAutospacing="1" w:after="100" w:afterAutospacing="1" w:line="240" w:lineRule="auto"/>
        <w:rPr>
          <w:rFonts w:ascii="Calibri" w:hAnsi="Calibri" w:cs="Arial"/>
          <w:iCs/>
          <w:color w:val="000000"/>
        </w:rPr>
      </w:pPr>
      <w:r w:rsidRPr="002C0AF2">
        <w:rPr>
          <w:rFonts w:ascii="Calibri" w:hAnsi="Calibri" w:cs="Arial"/>
          <w:iCs/>
          <w:color w:val="000000"/>
        </w:rPr>
        <w:t>Lastly, we would highlighted that the risk for market makers clearly differ and are of greater relevance pre-trade than post-trade. As such, there should be clear differentiation in the LiS thresholds pre- and post-trade.”</w:t>
      </w:r>
    </w:p>
    <w:p w:rsidR="008D7098" w:rsidRPr="002C0AF2" w:rsidRDefault="00BF372C" w:rsidP="008D7098">
      <w:pPr>
        <w:autoSpaceDE w:val="0"/>
        <w:autoSpaceDN w:val="0"/>
        <w:adjustRightInd w:val="0"/>
        <w:spacing w:before="100" w:beforeAutospacing="1" w:after="100" w:afterAutospacing="1" w:line="240" w:lineRule="auto"/>
        <w:rPr>
          <w:rFonts w:ascii="Calibri" w:hAnsi="Calibri" w:cs="Arial"/>
          <w:iCs/>
          <w:color w:val="000000"/>
        </w:rPr>
      </w:pPr>
      <w:r w:rsidRPr="002C0AF2">
        <w:rPr>
          <w:rFonts w:ascii="Calibri" w:hAnsi="Calibri" w:cs="Arial"/>
          <w:b/>
          <w:iCs/>
          <w:color w:val="000000"/>
        </w:rPr>
        <w:t xml:space="preserve">Package Transactions require a specific treatment. </w:t>
      </w:r>
      <w:r w:rsidR="008D7098" w:rsidRPr="002C0AF2">
        <w:rPr>
          <w:rFonts w:ascii="Calibri" w:hAnsi="Calibri" w:cs="Arial"/>
          <w:iCs/>
          <w:color w:val="000000"/>
        </w:rPr>
        <w:t>WMBA would query the approach taken when setting the LIS and SSTI data for calibrating when the pre-trade requirements kick in.  In our view, the use of existing transaction reporting and/or trade data will provide a skewed view of the market. In particular, existing trade data will include packaged transactions/strategies, whereby one leg of the package would rarely trade as a stand-alone instrument, however as part of package will frequently trade.  These legs will not be identified in trade reporting data and as such will give a false view of the liquidity and size of that instrument when traded outright</w:t>
      </w:r>
    </w:p>
    <w:p w:rsidR="00BF372C" w:rsidRPr="002C0AF2" w:rsidRDefault="00BF372C" w:rsidP="008D7098">
      <w:pPr>
        <w:autoSpaceDE w:val="0"/>
        <w:autoSpaceDN w:val="0"/>
        <w:adjustRightInd w:val="0"/>
        <w:spacing w:before="100" w:beforeAutospacing="1" w:after="100" w:afterAutospacing="1" w:line="240" w:lineRule="auto"/>
        <w:rPr>
          <w:rFonts w:ascii="Calibri" w:hAnsi="Calibri" w:cs="Arial"/>
          <w:iCs/>
          <w:color w:val="000000"/>
        </w:rPr>
      </w:pPr>
      <w:r w:rsidRPr="002C0AF2">
        <w:rPr>
          <w:rFonts w:ascii="Calibri" w:hAnsi="Calibri" w:cs="Arial"/>
          <w:iCs/>
          <w:color w:val="000000"/>
        </w:rPr>
        <w:t xml:space="preserve">The MiFID II/MiFIR framework and standards include a specific treatment for package transactions to ensure these transactions (i) benefit from the transparency waivers and deferrals available to the transactions that make up their component parts and (ii) can continue to execute in their entirety (particularly where some, but not all of the transactions are in scope of the derivatives trading obligation). </w:t>
      </w:r>
    </w:p>
    <w:p w:rsidR="00BF372C" w:rsidRPr="002C0AF2" w:rsidRDefault="00BF372C" w:rsidP="008D7098">
      <w:pPr>
        <w:autoSpaceDE w:val="0"/>
        <w:autoSpaceDN w:val="0"/>
        <w:adjustRightInd w:val="0"/>
        <w:spacing w:before="100" w:beforeAutospacing="1" w:after="100" w:afterAutospacing="1" w:line="240" w:lineRule="auto"/>
        <w:rPr>
          <w:rFonts w:ascii="Calibri" w:hAnsi="Calibri" w:cs="Arial"/>
          <w:b/>
          <w:i/>
          <w:iCs/>
          <w:color w:val="000000"/>
        </w:rPr>
      </w:pPr>
      <w:r w:rsidRPr="002C0AF2">
        <w:rPr>
          <w:rFonts w:ascii="Calibri" w:hAnsi="Calibri" w:cs="Arial"/>
          <w:b/>
          <w:i/>
          <w:iCs/>
          <w:color w:val="000000"/>
        </w:rPr>
        <w:t>Commodity Derivatives</w:t>
      </w:r>
    </w:p>
    <w:p w:rsidR="00BF372C" w:rsidRPr="002C0AF2" w:rsidRDefault="00BF372C" w:rsidP="008D7098">
      <w:pPr>
        <w:autoSpaceDE w:val="0"/>
        <w:autoSpaceDN w:val="0"/>
        <w:adjustRightInd w:val="0"/>
        <w:spacing w:before="100" w:beforeAutospacing="1" w:after="100" w:afterAutospacing="1" w:line="240" w:lineRule="auto"/>
        <w:rPr>
          <w:rFonts w:ascii="Calibri" w:hAnsi="Calibri" w:cs="Arial"/>
          <w:color w:val="000000"/>
        </w:rPr>
      </w:pPr>
      <w:r w:rsidRPr="002C0AF2">
        <w:rPr>
          <w:rFonts w:ascii="Calibri" w:hAnsi="Calibri" w:cs="Arial"/>
          <w:color w:val="000000"/>
        </w:rPr>
        <w:t>WMBA stress that the concept of ‘</w:t>
      </w:r>
      <w:r w:rsidRPr="002C0AF2">
        <w:rPr>
          <w:rFonts w:ascii="Calibri" w:hAnsi="Calibri" w:cs="Arial"/>
          <w:b/>
          <w:i/>
          <w:color w:val="000000"/>
        </w:rPr>
        <w:t>Open Interest’</w:t>
      </w:r>
      <w:r w:rsidRPr="002C0AF2">
        <w:rPr>
          <w:rFonts w:ascii="Calibri" w:hAnsi="Calibri" w:cs="Arial"/>
          <w:color w:val="000000"/>
        </w:rPr>
        <w:t>, whilst present in the level 1 text is wholly inappropriate for MiFID2 and the segregation of venues from CCPs under the so-called ‘</w:t>
      </w:r>
      <w:r w:rsidRPr="002C0AF2">
        <w:rPr>
          <w:rFonts w:ascii="Calibri" w:hAnsi="Calibri" w:cs="Arial"/>
          <w:b/>
          <w:i/>
          <w:color w:val="000000"/>
        </w:rPr>
        <w:t>Open Access</w:t>
      </w:r>
      <w:r w:rsidRPr="002C0AF2">
        <w:rPr>
          <w:rFonts w:ascii="Calibri" w:hAnsi="Calibri" w:cs="Arial"/>
          <w:color w:val="000000"/>
        </w:rPr>
        <w:t>’ requirements. We believe ESMA should have returned this language to the EU Commission rather than try to build a detailed regulation that relies on silos and vertical integration.</w:t>
      </w:r>
    </w:p>
    <w:p w:rsidR="00BF372C" w:rsidRPr="002C0AF2" w:rsidRDefault="00BF372C" w:rsidP="008D7098">
      <w:pPr>
        <w:autoSpaceDE w:val="0"/>
        <w:autoSpaceDN w:val="0"/>
        <w:adjustRightInd w:val="0"/>
        <w:spacing w:before="100" w:beforeAutospacing="1" w:after="100" w:afterAutospacing="1" w:line="240" w:lineRule="auto"/>
        <w:rPr>
          <w:rFonts w:ascii="Calibri" w:hAnsi="Calibri" w:cs="Arial"/>
          <w:color w:val="000000"/>
        </w:rPr>
      </w:pPr>
      <w:r w:rsidRPr="002C0AF2">
        <w:rPr>
          <w:rFonts w:ascii="Calibri" w:hAnsi="Calibri" w:cs="Arial"/>
          <w:color w:val="000000"/>
        </w:rPr>
        <w:t>Similarly, the Commitment of Traders report as required by venues is fragmented, partial, anti-competitive, and severely duplicative and undermines both systemic risk measures and the role of trade repositories. Again we believe that rather than build a system not fit for purpose, ESMA should have returned this mandate to the EU Commission qualified appropriately.</w:t>
      </w:r>
    </w:p>
    <w:p w:rsidR="00BF372C" w:rsidRPr="002C0AF2" w:rsidRDefault="00BF372C" w:rsidP="008D7098">
      <w:pPr>
        <w:autoSpaceDE w:val="0"/>
        <w:autoSpaceDN w:val="0"/>
        <w:adjustRightInd w:val="0"/>
        <w:spacing w:before="100" w:beforeAutospacing="1" w:after="100" w:afterAutospacing="1" w:line="240" w:lineRule="auto"/>
        <w:rPr>
          <w:rFonts w:ascii="Calibri" w:hAnsi="Calibri" w:cs="Arial"/>
          <w:b/>
          <w:i/>
          <w:iCs/>
          <w:color w:val="000000"/>
        </w:rPr>
      </w:pPr>
      <w:r w:rsidRPr="002C0AF2">
        <w:rPr>
          <w:rFonts w:ascii="Calibri" w:hAnsi="Calibri" w:cs="Arial"/>
          <w:b/>
          <w:i/>
          <w:iCs/>
          <w:color w:val="000000"/>
        </w:rPr>
        <w:t>Microstructural Issues</w:t>
      </w:r>
    </w:p>
    <w:p w:rsidR="00BF372C" w:rsidRPr="002C0AF2" w:rsidRDefault="00BF372C" w:rsidP="008D7098">
      <w:pPr>
        <w:autoSpaceDE w:val="0"/>
        <w:autoSpaceDN w:val="0"/>
        <w:adjustRightInd w:val="0"/>
        <w:spacing w:before="100" w:beforeAutospacing="1" w:after="100" w:afterAutospacing="1" w:line="240" w:lineRule="auto"/>
        <w:rPr>
          <w:rFonts w:ascii="Calibri" w:hAnsi="Calibri" w:cs="Arial"/>
          <w:color w:val="000000"/>
        </w:rPr>
      </w:pPr>
      <w:r w:rsidRPr="002C0AF2">
        <w:rPr>
          <w:rFonts w:ascii="Calibri" w:hAnsi="Calibri" w:cs="Arial"/>
          <w:color w:val="000000"/>
        </w:rPr>
        <w:t>We are concerned by the proposed non-live testing regime which would impose onerous requirements on market participants and appears to allow the various trading venues to establish divergent testing practices. We seek clarification in regards to the scope of application of the pre-trade controls, which could be interpreted as applying broadly to all orders submitted by an investment firm instead of being limited to the activity of trading algorithms. We also seek clarification in relation to whether a market making agreement would be necessary per comparable instrument or whether such an agreement would be based on asset class.  Requiring a market making agreement per individual instrument would make the application of the proposed parameters impractical, particularly for on equity instruments where there can be instances of high liquidity and subsequently low liquidity within short timeframes</w:t>
      </w:r>
    </w:p>
    <w:p w:rsidR="00BF372C" w:rsidRPr="002C0AF2" w:rsidRDefault="00BF372C" w:rsidP="008D7098">
      <w:pPr>
        <w:autoSpaceDE w:val="0"/>
        <w:autoSpaceDN w:val="0"/>
        <w:adjustRightInd w:val="0"/>
        <w:spacing w:before="100" w:beforeAutospacing="1" w:after="100" w:afterAutospacing="1" w:line="240" w:lineRule="auto"/>
        <w:rPr>
          <w:rFonts w:ascii="Calibri" w:hAnsi="Calibri" w:cs="Arial"/>
          <w:b/>
          <w:i/>
          <w:iCs/>
          <w:color w:val="000000"/>
        </w:rPr>
      </w:pPr>
      <w:r w:rsidRPr="002C0AF2">
        <w:rPr>
          <w:rFonts w:ascii="Calibri" w:hAnsi="Calibri" w:cs="Arial"/>
          <w:b/>
          <w:i/>
          <w:iCs/>
          <w:color w:val="000000"/>
        </w:rPr>
        <w:t>Post Trade Connectivity to CCPs</w:t>
      </w:r>
    </w:p>
    <w:p w:rsidR="008D7098" w:rsidRPr="002C0AF2" w:rsidRDefault="00BF372C" w:rsidP="008D7098">
      <w:pPr>
        <w:spacing w:before="100" w:beforeAutospacing="1" w:after="100" w:afterAutospacing="1" w:line="240" w:lineRule="auto"/>
        <w:rPr>
          <w:rFonts w:ascii="Calibri" w:hAnsi="Calibri" w:cs="Arial"/>
          <w:color w:val="000000"/>
        </w:rPr>
      </w:pPr>
      <w:r w:rsidRPr="002C0AF2">
        <w:rPr>
          <w:rFonts w:ascii="Calibri" w:hAnsi="Calibri" w:cs="Arial"/>
          <w:color w:val="000000"/>
        </w:rPr>
        <w:t>WMBA are concerned that the proposals for pre-trade credit do not distinguish between investment firms that self-clear on their own accounts at a CCP (so called “self-clearers”) and their own clearing clients. In the US under Dodd Frank self-clearers do not post pre-trade credit (to themselves!) and care needs to be made in drafting the level 2 rules under MiFIR to avoid such an outcome in the EU.</w:t>
      </w:r>
    </w:p>
    <w:p w:rsidR="008D7098" w:rsidRPr="002C0AF2" w:rsidRDefault="008D7098" w:rsidP="008D7098">
      <w:pPr>
        <w:spacing w:before="100" w:beforeAutospacing="1" w:after="100" w:afterAutospacing="1" w:line="240" w:lineRule="auto"/>
        <w:rPr>
          <w:rFonts w:ascii="Calibri" w:hAnsi="Calibri" w:cstheme="minorHAnsi"/>
        </w:rPr>
      </w:pPr>
      <w:r w:rsidRPr="002C0AF2">
        <w:rPr>
          <w:rFonts w:ascii="Calibri" w:hAnsi="Calibri" w:cstheme="minorHAnsi"/>
        </w:rPr>
        <w:t>Lastly, we would like to suggest that, in drafting these regulatory standard, ESMA has regard not just to the objectives of the Level 1 text, but also the wider objectives of current European financial services legislation. For example, post-trade risk reduction services are encouraged in multiple guises through EMIR technical standards and received special treatment in other global legislation (e.g. CFTC no action relief). Their services are becoming increasingly relevant in reducing risks and collateral demands. However, and despite a clear recital 27 in the Level 1 text, they have not today been recognise in any associated technical standard.</w:t>
      </w:r>
    </w:p>
    <w:p w:rsidR="008D7098" w:rsidRPr="002C0AF2" w:rsidRDefault="008D7098" w:rsidP="008D7098">
      <w:pPr>
        <w:spacing w:before="100" w:beforeAutospacing="1" w:after="100" w:afterAutospacing="1" w:line="240" w:lineRule="auto"/>
        <w:rPr>
          <w:rFonts w:ascii="Calibri" w:hAnsi="Calibri" w:cstheme="minorHAnsi"/>
        </w:rPr>
      </w:pPr>
      <w:r w:rsidRPr="002C0AF2">
        <w:rPr>
          <w:rFonts w:ascii="Calibri" w:hAnsi="Calibri" w:cstheme="minorHAnsi"/>
        </w:rPr>
        <w:t xml:space="preserve">Overall, we would like to commend ESMA on the important work undertaken to date. </w:t>
      </w:r>
    </w:p>
    <w:p w:rsidR="00BF372C" w:rsidRPr="002C0AF2" w:rsidRDefault="008D7098" w:rsidP="002C0AF2">
      <w:pPr>
        <w:spacing w:before="100" w:beforeAutospacing="1" w:after="100" w:afterAutospacing="1" w:line="240" w:lineRule="auto"/>
        <w:rPr>
          <w:rFonts w:ascii="Calibri" w:hAnsi="Calibri" w:cs="Arial"/>
          <w:color w:val="000000"/>
        </w:rPr>
      </w:pPr>
      <w:r w:rsidRPr="002C0AF2">
        <w:rPr>
          <w:rFonts w:ascii="Calibri" w:hAnsi="Calibri" w:cstheme="minorHAnsi"/>
        </w:rPr>
        <w:t>We hope you find our responses helpful in further developing the technical standards and would be happy to discuss them further with you if that would be helpful.</w:t>
      </w:r>
    </w:p>
    <w:permEnd w:id="32462006"/>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69426E" w:rsidP="00EC2C93">
      <w:pPr>
        <w:keepNext/>
      </w:pPr>
      <w:permStart w:id="184444250" w:edGrp="everyone"/>
      <w:r>
        <w:t>Yes</w:t>
      </w:r>
    </w:p>
    <w:permEnd w:id="184444250"/>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689612017" w:edGrp="everyone"/>
      <w:r>
        <w:t>TYPE YOUR TEXT HERE</w:t>
      </w:r>
    </w:p>
    <w:permEnd w:id="1689612017"/>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774994442" w:edGrp="everyone"/>
      <w:r>
        <w:t>TYPE YOUR TEXT HERE</w:t>
      </w:r>
    </w:p>
    <w:permEnd w:id="1774994442"/>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652556598" w:edGrp="everyone"/>
      <w:r>
        <w:t>TYPE YOUR TEXT HERE</w:t>
      </w:r>
    </w:p>
    <w:permEnd w:id="1652556598"/>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072178099" w:edGrp="everyone"/>
      <w:r>
        <w:t>TYPE YOUR TEXT HERE</w:t>
      </w:r>
    </w:p>
    <w:permEnd w:id="1072178099"/>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923906040" w:edGrp="everyone"/>
      <w:r>
        <w:t>TYPE YOUR TEXT HERE</w:t>
      </w:r>
    </w:p>
    <w:permEnd w:id="1923906040"/>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t>&lt;ESMA_QUESTION_CP_MIFID_7&gt;</w:t>
      </w:r>
    </w:p>
    <w:p w:rsidR="00577C33" w:rsidRDefault="00577C33" w:rsidP="00EC2C93">
      <w:pPr>
        <w:keepNext/>
      </w:pPr>
      <w:permStart w:id="1745556029" w:edGrp="everyone"/>
      <w:r>
        <w:t>TYPE YOUR TEXT HERE</w:t>
      </w:r>
    </w:p>
    <w:permEnd w:id="1745556029"/>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967262483" w:edGrp="everyone"/>
      <w:r>
        <w:t>TYPE YOUR TEXT HERE</w:t>
      </w:r>
    </w:p>
    <w:permEnd w:id="967262483"/>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136226763" w:edGrp="everyone"/>
      <w:r>
        <w:t>TYPE YOUR TEXT HERE</w:t>
      </w:r>
    </w:p>
    <w:permEnd w:id="1136226763"/>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597725080" w:edGrp="everyone"/>
      <w:r>
        <w:t>TYPE YOUR TEXT HERE</w:t>
      </w:r>
    </w:p>
    <w:permEnd w:id="1597725080"/>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1045440428" w:edGrp="everyone"/>
      <w:r>
        <w:t>TYPE YOUR TEXT HERE</w:t>
      </w:r>
    </w:p>
    <w:permEnd w:id="1045440428"/>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1168915518" w:edGrp="everyone"/>
      <w:r>
        <w:t>TYPE YOUR TEXT HERE</w:t>
      </w:r>
    </w:p>
    <w:permEnd w:id="1168915518"/>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1429541734" w:edGrp="everyone"/>
      <w:r>
        <w:t>TYPE YOUR TEXT HERE</w:t>
      </w:r>
    </w:p>
    <w:permEnd w:id="1429541734"/>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t>&lt;ESMA_QUESTION_CP_MIFID_14&gt;</w:t>
      </w:r>
    </w:p>
    <w:p w:rsidR="00577C33" w:rsidRDefault="00577C33" w:rsidP="00EC2C93">
      <w:pPr>
        <w:keepNext/>
      </w:pPr>
      <w:permStart w:id="453905992" w:edGrp="everyone"/>
      <w:r>
        <w:t>TYPE YOUR TEXT HERE</w:t>
      </w:r>
    </w:p>
    <w:permEnd w:id="453905992"/>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1480530250" w:edGrp="everyone"/>
      <w:r>
        <w:t>TYPE YOUR TEXT HERE</w:t>
      </w:r>
    </w:p>
    <w:permEnd w:id="1480530250"/>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488447832" w:edGrp="everyone"/>
      <w:r>
        <w:t>TYPE YOUR TEXT HERE</w:t>
      </w:r>
    </w:p>
    <w:permEnd w:id="488447832"/>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1104684749" w:edGrp="everyone"/>
      <w:r>
        <w:t>TYPE YOUR TEXT HERE</w:t>
      </w:r>
    </w:p>
    <w:permEnd w:id="1104684749"/>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116799041" w:edGrp="everyone"/>
      <w:r>
        <w:t>TYPE YOUR TEXT HERE</w:t>
      </w:r>
    </w:p>
    <w:permEnd w:id="116799041"/>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1935551470" w:edGrp="everyone"/>
      <w:r>
        <w:t>TYPE YOUR TEXT HERE</w:t>
      </w:r>
    </w:p>
    <w:permEnd w:id="1935551470"/>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1822110779" w:edGrp="everyone"/>
      <w:r>
        <w:t>TYPE YOUR TEXT HERE</w:t>
      </w:r>
    </w:p>
    <w:permEnd w:id="1822110779"/>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t>&lt;ESMA_QUESTION_CP_MIFID_21&gt;</w:t>
      </w:r>
    </w:p>
    <w:p w:rsidR="00577C33" w:rsidRDefault="00577C33" w:rsidP="00EC2C93">
      <w:pPr>
        <w:keepNext/>
      </w:pPr>
      <w:permStart w:id="774521380" w:edGrp="everyone"/>
      <w:r>
        <w:t>TYPE YOUR TEXT HERE</w:t>
      </w:r>
    </w:p>
    <w:permEnd w:id="774521380"/>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1637433213" w:edGrp="everyone"/>
      <w:r>
        <w:t>TYPE YOUR TEXT HERE</w:t>
      </w:r>
    </w:p>
    <w:permEnd w:id="1637433213"/>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2141024389" w:edGrp="everyone"/>
      <w:r>
        <w:t>TYPE YOUR TEXT HERE</w:t>
      </w:r>
    </w:p>
    <w:permEnd w:id="2141024389"/>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963539002" w:edGrp="everyone"/>
      <w:r>
        <w:t>TYPE YOUR TEXT HERE</w:t>
      </w:r>
    </w:p>
    <w:permEnd w:id="963539002"/>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439054574" w:edGrp="everyone"/>
      <w:r>
        <w:t>TYPE YOUR TEXT HERE</w:t>
      </w:r>
    </w:p>
    <w:permEnd w:id="439054574"/>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38212862" w:edGrp="everyone"/>
      <w:r>
        <w:t>TYPE YOUR TEXT HERE</w:t>
      </w:r>
    </w:p>
    <w:permEnd w:id="38212862"/>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691215422" w:edGrp="everyone"/>
      <w:r>
        <w:t>TYPE YOUR TEXT HERE</w:t>
      </w:r>
    </w:p>
    <w:permEnd w:id="691215422"/>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t>&lt;ESMA_QUESTION_CP_MIFID_28&gt;</w:t>
      </w:r>
    </w:p>
    <w:p w:rsidR="0069426E" w:rsidRPr="002C0AF2" w:rsidRDefault="0069426E" w:rsidP="0069426E">
      <w:pPr>
        <w:keepNext/>
        <w:rPr>
          <w:rFonts w:ascii="Calibri" w:hAnsi="Calibri"/>
        </w:rPr>
      </w:pPr>
      <w:permStart w:id="1467630701" w:edGrp="everyone"/>
      <w:r w:rsidRPr="002C0AF2">
        <w:rPr>
          <w:rFonts w:ascii="Calibri" w:hAnsi="Calibri"/>
        </w:rPr>
        <w:t xml:space="preserve">No, the WMBA disagrees. The venues operated by WMBA members are wholesale and intrinsically globally in the nature of the market participants.  We think that the requirement for a written declaration by the third country competent authority that the firm is subject to effective supervision, specifying the services and activities for which it is authorised – in RTS 5 Article 1(1)(k) – should be deleted.  The European Commission will have confirmed the effectiveness of the third country’s supervision in determining the equivalence.  MIFIR Article 47 already provides for cooperation and exchange of information between ESMA and the third country’s competent authorities: that is the route which ESMA should use to establish the supervisory and enforcement status of the applicant firm.  Furthermore, in practice, it may be difficult or impossible for the third country firm to obtain such a declaration from its competent authority for this purpose.  The absence of such a declaration, because, for example, the relevant competent authority was not prepared to provide it, or there are delays in providing it, should not be used to justify refusal in circumstances where a firm is in fact duly authorised and regulated, and ESMA itself has access to the relevant information about the effectiveness of supervision directly from the relevant competent authority.  </w:t>
      </w:r>
    </w:p>
    <w:p w:rsidR="0069426E" w:rsidRPr="002C0AF2" w:rsidRDefault="0069426E" w:rsidP="0069426E">
      <w:pPr>
        <w:keepNext/>
        <w:rPr>
          <w:rFonts w:ascii="Calibri" w:hAnsi="Calibri"/>
        </w:rPr>
      </w:pPr>
    </w:p>
    <w:p w:rsidR="00577C33" w:rsidRDefault="0069426E" w:rsidP="00EC2C93">
      <w:pPr>
        <w:keepNext/>
      </w:pPr>
      <w:r w:rsidRPr="002C0AF2">
        <w:rPr>
          <w:rFonts w:ascii="Calibri" w:hAnsi="Calibri"/>
        </w:rPr>
        <w:t>If ESMA considers it necessary for the third country firm to include in the application some form of statement about the third country firm’s supervisory and enforcement status, it should be possible for the third country firm itself to make a declaration that it is duly regulated, which ESMA would then be able to verify through its direct contacts with the third country jurisdiction</w:t>
      </w:r>
      <w:r>
        <w:t xml:space="preserve">.  </w:t>
      </w:r>
      <w:permEnd w:id="1467630701"/>
      <w:r w:rsidR="00577C33">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227221842" w:edGrp="everyone"/>
      <w:r>
        <w:t>TYPE YOUR TEXT HERE</w:t>
      </w:r>
    </w:p>
    <w:permEnd w:id="227221842"/>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69426E" w:rsidRDefault="0069426E" w:rsidP="0069426E">
      <w:pPr>
        <w:keepNext/>
        <w:rPr>
          <w:rFonts w:ascii="Calibri" w:hAnsi="Calibri"/>
          <w:szCs w:val="22"/>
        </w:rPr>
      </w:pPr>
      <w:permStart w:id="66600273" w:edGrp="everyone"/>
      <w:r w:rsidRPr="00A40C6D">
        <w:rPr>
          <w:rFonts w:ascii="Calibri" w:hAnsi="Calibri"/>
          <w:szCs w:val="22"/>
        </w:rPr>
        <w:t>No, the WMBA does not agree with the approach taken by ESMA.</w:t>
      </w:r>
    </w:p>
    <w:p w:rsidR="002C0AF2" w:rsidRPr="00A40C6D" w:rsidRDefault="002C0AF2" w:rsidP="0069426E">
      <w:pPr>
        <w:keepNext/>
        <w:rPr>
          <w:rFonts w:ascii="Calibri" w:hAnsi="Calibri"/>
          <w:szCs w:val="22"/>
        </w:rPr>
      </w:pPr>
    </w:p>
    <w:p w:rsidR="0069426E" w:rsidRPr="00A40C6D" w:rsidRDefault="0069426E" w:rsidP="0069426E">
      <w:pPr>
        <w:keepNext/>
        <w:rPr>
          <w:rFonts w:ascii="Calibri" w:hAnsi="Calibri"/>
          <w:szCs w:val="22"/>
        </w:rPr>
      </w:pPr>
      <w:r w:rsidRPr="00A40C6D">
        <w:rPr>
          <w:rFonts w:ascii="Calibri" w:hAnsi="Calibri"/>
          <w:szCs w:val="22"/>
        </w:rPr>
        <w:t>In particular our views diverge from the CP across the following issues: Volume of Data; Minimum Threshold of volume; Standardisation of Format and Presentation; Order Definition; Frequency of Reporting; Less frequently traded instruments and large transactions; Ranges; Costs; Retail Clients Likelihood of Execution; Cancellation and Fill Ratios; Times; Depth of Market Analysis; Market Mechanism; Required Data and Class Taxonomy; Averages; Point-in-Time; Daily Information;  Reports of Disruptions; Volume, Value and Number of Trades; and in Order Conditions</w:t>
      </w:r>
    </w:p>
    <w:p w:rsidR="0069426E" w:rsidRPr="00A40C6D" w:rsidRDefault="0069426E" w:rsidP="0069426E">
      <w:pPr>
        <w:keepNext/>
        <w:rPr>
          <w:rFonts w:ascii="Calibri" w:hAnsi="Calibri"/>
          <w:szCs w:val="22"/>
        </w:rPr>
      </w:pPr>
    </w:p>
    <w:p w:rsidR="0069426E" w:rsidRPr="002C0AF2" w:rsidRDefault="0069426E" w:rsidP="0069426E">
      <w:pPr>
        <w:keepNext/>
        <w:rPr>
          <w:rFonts w:ascii="Calibri" w:hAnsi="Calibri"/>
          <w:b/>
          <w:i/>
          <w:szCs w:val="22"/>
        </w:rPr>
      </w:pPr>
      <w:r w:rsidRPr="002C0AF2">
        <w:rPr>
          <w:rFonts w:ascii="Calibri" w:hAnsi="Calibri"/>
          <w:b/>
          <w:i/>
          <w:szCs w:val="22"/>
        </w:rPr>
        <w:t>Volume of Data</w:t>
      </w:r>
    </w:p>
    <w:p w:rsidR="0069426E" w:rsidRPr="00A40C6D" w:rsidRDefault="0069426E" w:rsidP="0069426E">
      <w:pPr>
        <w:keepNext/>
        <w:rPr>
          <w:rFonts w:ascii="Calibri" w:hAnsi="Calibri"/>
          <w:szCs w:val="22"/>
        </w:rPr>
      </w:pPr>
      <w:r w:rsidRPr="00A40C6D">
        <w:rPr>
          <w:rFonts w:ascii="Calibri" w:hAnsi="Calibri"/>
          <w:szCs w:val="22"/>
        </w:rPr>
        <w:t xml:space="preserve">Article 27(3) MIFID II requires trading and execution venues to publish execution quality data on an instrument by instrument basis. </w:t>
      </w:r>
    </w:p>
    <w:p w:rsidR="0069426E" w:rsidRPr="00A40C6D" w:rsidRDefault="0069426E" w:rsidP="0069426E">
      <w:pPr>
        <w:keepNext/>
        <w:rPr>
          <w:rFonts w:ascii="Calibri" w:hAnsi="Calibri"/>
          <w:szCs w:val="22"/>
        </w:rPr>
      </w:pPr>
    </w:p>
    <w:p w:rsidR="0069426E" w:rsidRPr="00A40C6D" w:rsidRDefault="0069426E" w:rsidP="0069426E">
      <w:pPr>
        <w:keepNext/>
        <w:rPr>
          <w:rFonts w:ascii="Calibri" w:hAnsi="Calibri"/>
          <w:szCs w:val="22"/>
        </w:rPr>
      </w:pPr>
      <w:r w:rsidRPr="00A40C6D">
        <w:rPr>
          <w:rFonts w:ascii="Calibri" w:hAnsi="Calibri"/>
          <w:szCs w:val="22"/>
        </w:rPr>
        <w:t xml:space="preserve">As ESMA will be aware with the introduction of the OTF, the numbers of ‘on-venue’ traded instruments will expand considerably with potentially several hundreds of thousands of instruments available for trading each day and cumulatively significantly more across a period of time. As a result there likely to be severe limitations in the usefulness of the required data due to the likelihood </w:t>
      </w:r>
      <w:r w:rsidR="004E26B2" w:rsidRPr="00A40C6D">
        <w:rPr>
          <w:rFonts w:ascii="Calibri" w:hAnsi="Calibri"/>
          <w:szCs w:val="22"/>
        </w:rPr>
        <w:t>of many</w:t>
      </w:r>
      <w:r w:rsidRPr="00A40C6D">
        <w:rPr>
          <w:rFonts w:ascii="Calibri" w:hAnsi="Calibri"/>
          <w:szCs w:val="22"/>
        </w:rPr>
        <w:t xml:space="preserve"> irrelevant or nil value data fields making the mere volume of such data difficult to manage efficiently and appropriately. We would therefore urge ESMA to concentrate the execution quality data requirements on key information fields which are of most relevance and use in assessing execution quality for an instrument relative to the trading or execution venue on which it has traded. </w:t>
      </w:r>
    </w:p>
    <w:p w:rsidR="0069426E" w:rsidRPr="00A40C6D" w:rsidRDefault="0069426E" w:rsidP="0069426E">
      <w:pPr>
        <w:keepNext/>
        <w:rPr>
          <w:rFonts w:ascii="Calibri" w:hAnsi="Calibri"/>
          <w:szCs w:val="22"/>
        </w:rPr>
      </w:pPr>
    </w:p>
    <w:p w:rsidR="0069426E" w:rsidRPr="00A40C6D" w:rsidRDefault="0069426E" w:rsidP="0069426E">
      <w:pPr>
        <w:keepNext/>
        <w:rPr>
          <w:rFonts w:ascii="Calibri" w:hAnsi="Calibri"/>
          <w:szCs w:val="22"/>
        </w:rPr>
      </w:pPr>
      <w:r w:rsidRPr="00A40C6D">
        <w:rPr>
          <w:rFonts w:ascii="Calibri" w:hAnsi="Calibri"/>
          <w:szCs w:val="22"/>
        </w:rPr>
        <w:t xml:space="preserve">It is important that the information provided is accurate, relevant, appropriate and not misleading. If the data is too complex, market participants will not have the capability, resources or inclination to use the data. For example, the more complex the data the more resources a market participant will need to devote to understanding the make-up of the data as well as the building systems and methodologies to incorporate it into its own analyses. NCAs will also have similar difficulties in supervising the appropriate provision of execution quality data. </w:t>
      </w:r>
    </w:p>
    <w:p w:rsidR="0069426E" w:rsidRPr="00A40C6D" w:rsidRDefault="0069426E" w:rsidP="0069426E">
      <w:pPr>
        <w:keepNext/>
        <w:rPr>
          <w:rFonts w:ascii="Calibri" w:hAnsi="Calibri"/>
          <w:szCs w:val="22"/>
        </w:rPr>
      </w:pPr>
    </w:p>
    <w:p w:rsidR="0069426E" w:rsidRPr="00A40C6D" w:rsidRDefault="0069426E" w:rsidP="0069426E">
      <w:pPr>
        <w:keepNext/>
        <w:rPr>
          <w:rFonts w:ascii="Calibri" w:hAnsi="Calibri"/>
          <w:szCs w:val="22"/>
        </w:rPr>
      </w:pPr>
      <w:r w:rsidRPr="00A40C6D">
        <w:rPr>
          <w:rFonts w:ascii="Calibri" w:hAnsi="Calibri"/>
          <w:szCs w:val="22"/>
        </w:rPr>
        <w:t>We also believe that it is important to understand that the information required under Article 27(3) is for execution analysis and not liquidity analysis.</w:t>
      </w:r>
    </w:p>
    <w:p w:rsidR="0069426E" w:rsidRPr="00A40C6D" w:rsidRDefault="0069426E" w:rsidP="0069426E">
      <w:pPr>
        <w:keepNext/>
        <w:rPr>
          <w:rFonts w:ascii="Calibri" w:hAnsi="Calibri"/>
          <w:szCs w:val="22"/>
        </w:rPr>
      </w:pPr>
    </w:p>
    <w:p w:rsidR="0069426E" w:rsidRPr="002C0AF2" w:rsidRDefault="0069426E" w:rsidP="0069426E">
      <w:pPr>
        <w:keepNext/>
        <w:rPr>
          <w:rFonts w:ascii="Calibri" w:hAnsi="Calibri"/>
          <w:b/>
          <w:i/>
          <w:szCs w:val="22"/>
        </w:rPr>
      </w:pPr>
      <w:r w:rsidRPr="002C0AF2">
        <w:rPr>
          <w:rFonts w:ascii="Calibri" w:hAnsi="Calibri"/>
          <w:b/>
          <w:i/>
          <w:szCs w:val="22"/>
        </w:rPr>
        <w:t>Minimum Threshold of volume</w:t>
      </w:r>
    </w:p>
    <w:p w:rsidR="0069426E" w:rsidRPr="00A40C6D" w:rsidRDefault="0069426E" w:rsidP="0069426E">
      <w:pPr>
        <w:keepNext/>
        <w:rPr>
          <w:rFonts w:ascii="Calibri" w:hAnsi="Calibri"/>
          <w:szCs w:val="22"/>
        </w:rPr>
      </w:pPr>
      <w:r w:rsidRPr="00A40C6D">
        <w:rPr>
          <w:rFonts w:ascii="Calibri" w:hAnsi="Calibri"/>
          <w:szCs w:val="22"/>
        </w:rPr>
        <w:t xml:space="preserve">We propose that the reporting requirement in Article 27(3) MIFID II should be limited by a minimum threshold of trading activity in an instrument below which the specified publications would not be required. The reason for this is that, in the case of infrequently traded instruments, the data required to be published under Article 27(3) will only ever be relevant for an assessment of the execution quality of the particular transaction to which the execution quality data relates. As a consequence, the publication of execution quality data relating to such transactions would have little relevance for a market participant’s assessment of execution venue selection. </w:t>
      </w:r>
    </w:p>
    <w:p w:rsidR="0069426E" w:rsidRPr="00A40C6D" w:rsidRDefault="0069426E" w:rsidP="0069426E">
      <w:pPr>
        <w:keepNext/>
        <w:rPr>
          <w:rFonts w:ascii="Calibri" w:hAnsi="Calibri"/>
          <w:szCs w:val="22"/>
        </w:rPr>
      </w:pPr>
    </w:p>
    <w:p w:rsidR="0069426E" w:rsidRPr="00A40C6D" w:rsidRDefault="0069426E" w:rsidP="0069426E">
      <w:pPr>
        <w:keepNext/>
        <w:rPr>
          <w:rFonts w:ascii="Calibri" w:hAnsi="Calibri"/>
          <w:szCs w:val="22"/>
        </w:rPr>
      </w:pPr>
      <w:r w:rsidRPr="00A40C6D">
        <w:rPr>
          <w:rFonts w:ascii="Calibri" w:hAnsi="Calibri"/>
          <w:szCs w:val="22"/>
        </w:rPr>
        <w:t xml:space="preserve">In light of this we propose that the requirement to publish execution quality data should only apply to liquid instruments falling below the relevant SSTI threshold and not to instruments that are either fall above the SSTI threshold or are illiquid.  Alternatively, we propose that where an instrument is either illiquid or falls above the SSTI threshold, the only data which should be required to be published is the fact that such instrument is illiquid or above the SSTI threshold, as appropriate. </w:t>
      </w:r>
    </w:p>
    <w:p w:rsidR="0069426E" w:rsidRPr="00A40C6D" w:rsidRDefault="0069426E" w:rsidP="0069426E">
      <w:pPr>
        <w:keepNext/>
        <w:rPr>
          <w:rFonts w:ascii="Calibri" w:hAnsi="Calibri"/>
          <w:szCs w:val="22"/>
        </w:rPr>
      </w:pPr>
    </w:p>
    <w:p w:rsidR="0069426E" w:rsidRPr="002C0AF2" w:rsidRDefault="0069426E" w:rsidP="0069426E">
      <w:pPr>
        <w:keepNext/>
        <w:rPr>
          <w:rFonts w:ascii="Calibri" w:hAnsi="Calibri"/>
          <w:b/>
          <w:i/>
          <w:szCs w:val="22"/>
        </w:rPr>
      </w:pPr>
      <w:r w:rsidRPr="002C0AF2">
        <w:rPr>
          <w:rFonts w:ascii="Calibri" w:hAnsi="Calibri"/>
          <w:b/>
          <w:i/>
          <w:szCs w:val="22"/>
        </w:rPr>
        <w:t>Standardisation of Format and Presentation</w:t>
      </w:r>
    </w:p>
    <w:p w:rsidR="0069426E" w:rsidRPr="00A40C6D" w:rsidRDefault="0069426E" w:rsidP="0069426E">
      <w:pPr>
        <w:keepNext/>
        <w:rPr>
          <w:rFonts w:ascii="Calibri" w:hAnsi="Calibri"/>
          <w:szCs w:val="22"/>
        </w:rPr>
      </w:pPr>
      <w:r w:rsidRPr="00A40C6D">
        <w:rPr>
          <w:rFonts w:ascii="Calibri" w:hAnsi="Calibri"/>
          <w:szCs w:val="22"/>
        </w:rPr>
        <w:t xml:space="preserve">While we support the general aim of the requirement for the standardisation of format and presentation, we believe that this standardisation should not be allowed </w:t>
      </w:r>
      <w:r w:rsidR="004E26B2" w:rsidRPr="00A40C6D">
        <w:rPr>
          <w:rFonts w:ascii="Calibri" w:hAnsi="Calibri"/>
          <w:szCs w:val="22"/>
        </w:rPr>
        <w:t>because</w:t>
      </w:r>
      <w:r w:rsidRPr="00A40C6D">
        <w:rPr>
          <w:rFonts w:ascii="Calibri" w:hAnsi="Calibri"/>
          <w:szCs w:val="22"/>
        </w:rPr>
        <w:t xml:space="preserve"> potentially misleading information to be made available. A requirement for standardisation of format and presentation should not inhibit the trading/execution venue’s ability to provide the most appropriate and suitable analysis relative to the particular transaction or an ability to highlight and explain deviations from the standard disclosure templates.</w:t>
      </w:r>
    </w:p>
    <w:p w:rsidR="0069426E" w:rsidRPr="00A40C6D" w:rsidRDefault="0069426E" w:rsidP="0069426E">
      <w:pPr>
        <w:keepNext/>
        <w:rPr>
          <w:rFonts w:ascii="Calibri" w:hAnsi="Calibri"/>
          <w:szCs w:val="22"/>
        </w:rPr>
      </w:pPr>
    </w:p>
    <w:p w:rsidR="0069426E" w:rsidRPr="00A40C6D" w:rsidRDefault="0069426E" w:rsidP="0069426E">
      <w:pPr>
        <w:keepNext/>
        <w:rPr>
          <w:rFonts w:ascii="Calibri" w:hAnsi="Calibri"/>
          <w:szCs w:val="22"/>
        </w:rPr>
      </w:pPr>
      <w:r w:rsidRPr="00A40C6D">
        <w:rPr>
          <w:rFonts w:ascii="Calibri" w:hAnsi="Calibri"/>
          <w:szCs w:val="22"/>
        </w:rPr>
        <w:t>• It is our view that a ‘one size fits all’ publication format and presentation requirement is unlikely to be useful to market participants.  We believe that a trading/execution venue should have the ability to use any specified templates in the most appropriate way for their activities.   We therefore propose that the formats for publication should take into consideration: The particular instrument type (e.g. equities, bonds, non-standardised derivatives etc.);</w:t>
      </w:r>
    </w:p>
    <w:p w:rsidR="0069426E" w:rsidRPr="00A40C6D" w:rsidRDefault="0069426E" w:rsidP="0069426E">
      <w:pPr>
        <w:keepNext/>
        <w:rPr>
          <w:rFonts w:ascii="Calibri" w:hAnsi="Calibri"/>
          <w:szCs w:val="22"/>
        </w:rPr>
      </w:pPr>
      <w:r w:rsidRPr="00A40C6D">
        <w:rPr>
          <w:rFonts w:ascii="Calibri" w:hAnsi="Calibri"/>
          <w:szCs w:val="22"/>
        </w:rPr>
        <w:t xml:space="preserve">• The trading method (CLOB, RFQ, order driven, quote driven, voice, auction etc.);  </w:t>
      </w:r>
    </w:p>
    <w:p w:rsidR="0069426E" w:rsidRPr="00A40C6D" w:rsidRDefault="0069426E" w:rsidP="0069426E">
      <w:pPr>
        <w:keepNext/>
        <w:rPr>
          <w:rFonts w:ascii="Calibri" w:hAnsi="Calibri"/>
          <w:szCs w:val="22"/>
        </w:rPr>
      </w:pPr>
      <w:r w:rsidRPr="00A40C6D">
        <w:rPr>
          <w:rFonts w:ascii="Calibri" w:hAnsi="Calibri"/>
          <w:szCs w:val="22"/>
        </w:rPr>
        <w:t xml:space="preserve">• The fact that certain information fields may not be available; and </w:t>
      </w:r>
    </w:p>
    <w:p w:rsidR="0069426E" w:rsidRPr="00A40C6D" w:rsidRDefault="0069426E" w:rsidP="0069426E">
      <w:pPr>
        <w:keepNext/>
        <w:rPr>
          <w:rFonts w:ascii="Calibri" w:hAnsi="Calibri"/>
          <w:szCs w:val="22"/>
        </w:rPr>
      </w:pPr>
      <w:r w:rsidRPr="00A40C6D">
        <w:rPr>
          <w:rFonts w:ascii="Calibri" w:hAnsi="Calibri"/>
          <w:szCs w:val="22"/>
        </w:rPr>
        <w:t xml:space="preserve">• The fact that the provision of information in a specified format may not be the most appropriate way of satisfying the overall objective. </w:t>
      </w:r>
    </w:p>
    <w:p w:rsidR="0069426E" w:rsidRPr="00A40C6D" w:rsidRDefault="0069426E" w:rsidP="0069426E">
      <w:pPr>
        <w:keepNext/>
        <w:rPr>
          <w:rFonts w:ascii="Calibri" w:hAnsi="Calibri"/>
          <w:szCs w:val="22"/>
        </w:rPr>
      </w:pPr>
    </w:p>
    <w:p w:rsidR="0069426E" w:rsidRPr="002C0AF2" w:rsidRDefault="0069426E" w:rsidP="0069426E">
      <w:pPr>
        <w:keepNext/>
        <w:rPr>
          <w:rFonts w:ascii="Calibri" w:hAnsi="Calibri"/>
          <w:b/>
          <w:i/>
          <w:szCs w:val="22"/>
        </w:rPr>
      </w:pPr>
      <w:r w:rsidRPr="002C0AF2">
        <w:rPr>
          <w:rFonts w:ascii="Calibri" w:hAnsi="Calibri"/>
          <w:b/>
          <w:i/>
          <w:szCs w:val="22"/>
        </w:rPr>
        <w:t>Order Definition</w:t>
      </w:r>
    </w:p>
    <w:p w:rsidR="0069426E" w:rsidRPr="00A40C6D" w:rsidRDefault="0069426E" w:rsidP="0069426E">
      <w:pPr>
        <w:keepNext/>
        <w:rPr>
          <w:rFonts w:ascii="Calibri" w:hAnsi="Calibri"/>
          <w:szCs w:val="22"/>
        </w:rPr>
      </w:pPr>
      <w:r w:rsidRPr="00A40C6D">
        <w:rPr>
          <w:rFonts w:ascii="Calibri" w:hAnsi="Calibri"/>
          <w:szCs w:val="22"/>
        </w:rPr>
        <w:t xml:space="preserve">It is our view that any requirement for the publication of order related information will be significantly hampered by the absence, both at Level 1 and Level 2, of a definition of an ‘order’.  This will lead to inconsistent interpretations and applications of the execution quality data requirements which in turn will detrimentally impact the objective of providing market participants with reliable information with which to assess execution quality.  </w:t>
      </w:r>
    </w:p>
    <w:p w:rsidR="0069426E" w:rsidRPr="00A40C6D" w:rsidRDefault="0069426E" w:rsidP="0069426E">
      <w:pPr>
        <w:keepNext/>
        <w:rPr>
          <w:rFonts w:ascii="Calibri" w:hAnsi="Calibri"/>
          <w:szCs w:val="22"/>
        </w:rPr>
      </w:pPr>
    </w:p>
    <w:p w:rsidR="0069426E" w:rsidRPr="002C0AF2" w:rsidRDefault="0069426E" w:rsidP="0069426E">
      <w:pPr>
        <w:keepNext/>
        <w:rPr>
          <w:rFonts w:ascii="Calibri" w:hAnsi="Calibri"/>
          <w:b/>
          <w:i/>
          <w:szCs w:val="22"/>
        </w:rPr>
      </w:pPr>
      <w:r w:rsidRPr="002C0AF2">
        <w:rPr>
          <w:rFonts w:ascii="Calibri" w:hAnsi="Calibri"/>
          <w:b/>
          <w:i/>
          <w:szCs w:val="22"/>
        </w:rPr>
        <w:t>Frequency of Reporting</w:t>
      </w:r>
    </w:p>
    <w:p w:rsidR="0069426E" w:rsidRPr="00A40C6D" w:rsidRDefault="0069426E" w:rsidP="0069426E">
      <w:pPr>
        <w:keepNext/>
        <w:rPr>
          <w:rFonts w:ascii="Calibri" w:hAnsi="Calibri"/>
          <w:szCs w:val="22"/>
        </w:rPr>
      </w:pPr>
      <w:r w:rsidRPr="00A40C6D">
        <w:rPr>
          <w:rFonts w:ascii="Calibri" w:hAnsi="Calibri"/>
          <w:szCs w:val="22"/>
        </w:rPr>
        <w:t xml:space="preserve">We agree with the proposal that the frequency of reporting should be quarterly. We also agree that the quarterly reports should provide the analysis broken down by month. </w:t>
      </w:r>
    </w:p>
    <w:p w:rsidR="0069426E" w:rsidRPr="00A40C6D" w:rsidRDefault="0069426E" w:rsidP="0069426E">
      <w:pPr>
        <w:keepNext/>
        <w:rPr>
          <w:rFonts w:ascii="Calibri" w:hAnsi="Calibri"/>
          <w:szCs w:val="22"/>
        </w:rPr>
      </w:pPr>
    </w:p>
    <w:p w:rsidR="0069426E" w:rsidRPr="00A40C6D" w:rsidRDefault="0069426E" w:rsidP="0069426E">
      <w:pPr>
        <w:keepNext/>
        <w:rPr>
          <w:rFonts w:ascii="Calibri" w:hAnsi="Calibri"/>
          <w:szCs w:val="22"/>
        </w:rPr>
      </w:pPr>
      <w:r w:rsidRPr="00A40C6D">
        <w:rPr>
          <w:rFonts w:ascii="Calibri" w:hAnsi="Calibri"/>
          <w:szCs w:val="22"/>
        </w:rPr>
        <w:t>Less frequently traded instruments and large transactions</w:t>
      </w:r>
    </w:p>
    <w:p w:rsidR="0069426E" w:rsidRPr="00A40C6D" w:rsidRDefault="0069426E" w:rsidP="0069426E">
      <w:pPr>
        <w:keepNext/>
        <w:rPr>
          <w:rFonts w:ascii="Calibri" w:hAnsi="Calibri"/>
          <w:szCs w:val="22"/>
        </w:rPr>
      </w:pPr>
      <w:r w:rsidRPr="00A40C6D">
        <w:rPr>
          <w:rFonts w:ascii="Calibri" w:hAnsi="Calibri"/>
          <w:szCs w:val="22"/>
        </w:rPr>
        <w:t xml:space="preserve">As indicated above we believe that for certain instruments the level of execution activity is too low for the proposed statistics to be of consistent usefulness to market participants. For transactions in illiquid instruments or liquid instruments above the SSTI thresholds, the specific market circumstances of the transaction including the willingness and ability of the counterparties to trade, as well as other relevant factors make the information relating to such transactions unsuitable as a basis to extrapolate the information to other transaction circumstances, in particular given the fact that such transactions may not recur in the future. In light of this, we believe that information should only be required to be published for liquid instruments falling below the relevant SSTI threshold. </w:t>
      </w:r>
    </w:p>
    <w:p w:rsidR="0069426E" w:rsidRPr="00A40C6D" w:rsidRDefault="0069426E" w:rsidP="0069426E">
      <w:pPr>
        <w:keepNext/>
        <w:rPr>
          <w:rFonts w:ascii="Calibri" w:hAnsi="Calibri"/>
          <w:szCs w:val="22"/>
        </w:rPr>
      </w:pPr>
    </w:p>
    <w:p w:rsidR="0069426E" w:rsidRPr="002C0AF2" w:rsidRDefault="0069426E" w:rsidP="0069426E">
      <w:pPr>
        <w:keepNext/>
        <w:rPr>
          <w:rFonts w:ascii="Calibri" w:hAnsi="Calibri"/>
          <w:b/>
          <w:i/>
          <w:szCs w:val="22"/>
        </w:rPr>
      </w:pPr>
      <w:r w:rsidRPr="002C0AF2">
        <w:rPr>
          <w:rFonts w:ascii="Calibri" w:hAnsi="Calibri"/>
          <w:b/>
          <w:i/>
          <w:szCs w:val="22"/>
        </w:rPr>
        <w:t>Ranges</w:t>
      </w:r>
    </w:p>
    <w:p w:rsidR="0069426E" w:rsidRPr="00A40C6D" w:rsidRDefault="0069426E" w:rsidP="0069426E">
      <w:pPr>
        <w:keepNext/>
        <w:rPr>
          <w:rFonts w:ascii="Calibri" w:hAnsi="Calibri"/>
          <w:szCs w:val="22"/>
        </w:rPr>
      </w:pPr>
      <w:r w:rsidRPr="00A40C6D">
        <w:rPr>
          <w:rFonts w:ascii="Calibri" w:hAnsi="Calibri"/>
          <w:szCs w:val="22"/>
        </w:rPr>
        <w:t>We do not believe that any ranges should be used for reporting. The information that may be appropriate for an assessment of historic execution is only valid for those instruments where there is a liquid market and for trades which are of a relatively standard size for the instrument concerned. We also believe that splitting trades into ranges will provide overly granular information with the implication of inconsistencies between the ranges due to the particular circumstances of the trades themselves. Therefore, as indicated above, we believe that the execution quality data should be limited to liquid instruments falling below the SSTI threshold.</w:t>
      </w:r>
    </w:p>
    <w:p w:rsidR="0069426E" w:rsidRPr="00A40C6D" w:rsidRDefault="0069426E" w:rsidP="0069426E">
      <w:pPr>
        <w:keepNext/>
        <w:rPr>
          <w:rFonts w:ascii="Calibri" w:hAnsi="Calibri"/>
          <w:szCs w:val="22"/>
        </w:rPr>
      </w:pPr>
    </w:p>
    <w:p w:rsidR="0069426E" w:rsidRPr="002C0AF2" w:rsidRDefault="0069426E" w:rsidP="0069426E">
      <w:pPr>
        <w:keepNext/>
        <w:rPr>
          <w:rFonts w:ascii="Calibri" w:hAnsi="Calibri"/>
          <w:b/>
          <w:i/>
          <w:szCs w:val="22"/>
        </w:rPr>
      </w:pPr>
      <w:r w:rsidRPr="002C0AF2">
        <w:rPr>
          <w:rFonts w:ascii="Calibri" w:hAnsi="Calibri"/>
          <w:b/>
          <w:i/>
          <w:szCs w:val="22"/>
        </w:rPr>
        <w:t>Costs</w:t>
      </w:r>
    </w:p>
    <w:p w:rsidR="0069426E" w:rsidRPr="00A40C6D" w:rsidRDefault="0069426E" w:rsidP="0069426E">
      <w:pPr>
        <w:keepNext/>
        <w:rPr>
          <w:rFonts w:ascii="Calibri" w:hAnsi="Calibri"/>
          <w:szCs w:val="22"/>
        </w:rPr>
      </w:pPr>
      <w:r w:rsidRPr="00A40C6D">
        <w:rPr>
          <w:rFonts w:ascii="Calibri" w:hAnsi="Calibri"/>
          <w:szCs w:val="22"/>
        </w:rPr>
        <w:t>We agree that the cost analysis for venues should only reflect the costs imposed by that venue.</w:t>
      </w:r>
    </w:p>
    <w:p w:rsidR="0069426E" w:rsidRPr="00A40C6D" w:rsidRDefault="0069426E" w:rsidP="0069426E">
      <w:pPr>
        <w:keepNext/>
        <w:rPr>
          <w:rFonts w:ascii="Calibri" w:hAnsi="Calibri"/>
          <w:szCs w:val="22"/>
        </w:rPr>
      </w:pPr>
    </w:p>
    <w:p w:rsidR="0069426E" w:rsidRPr="002C0AF2" w:rsidRDefault="0069426E" w:rsidP="0069426E">
      <w:pPr>
        <w:keepNext/>
        <w:rPr>
          <w:rFonts w:ascii="Calibri" w:hAnsi="Calibri"/>
          <w:b/>
          <w:i/>
          <w:szCs w:val="22"/>
        </w:rPr>
      </w:pPr>
      <w:r w:rsidRPr="002C0AF2">
        <w:rPr>
          <w:rFonts w:ascii="Calibri" w:hAnsi="Calibri"/>
          <w:b/>
          <w:i/>
          <w:szCs w:val="22"/>
        </w:rPr>
        <w:t>Retail Clients</w:t>
      </w:r>
    </w:p>
    <w:p w:rsidR="0069426E" w:rsidRPr="00A40C6D" w:rsidRDefault="0069426E" w:rsidP="0069426E">
      <w:pPr>
        <w:keepNext/>
        <w:rPr>
          <w:rFonts w:ascii="Calibri" w:hAnsi="Calibri"/>
          <w:szCs w:val="22"/>
        </w:rPr>
      </w:pPr>
      <w:r w:rsidRPr="00A40C6D">
        <w:rPr>
          <w:rFonts w:ascii="Calibri" w:hAnsi="Calibri"/>
          <w:szCs w:val="22"/>
        </w:rPr>
        <w:t>We agree that the level of detail required in the analyses should reflect the categorisation of the market participants and users of the trading venue. Hence it is appropriate to require a more granular approach to venues and activities which may involve Retail Clients.</w:t>
      </w:r>
    </w:p>
    <w:p w:rsidR="0069426E" w:rsidRPr="00A40C6D" w:rsidRDefault="0069426E" w:rsidP="0069426E">
      <w:pPr>
        <w:keepNext/>
        <w:rPr>
          <w:rFonts w:ascii="Calibri" w:hAnsi="Calibri"/>
          <w:szCs w:val="22"/>
        </w:rPr>
      </w:pPr>
    </w:p>
    <w:p w:rsidR="0069426E" w:rsidRPr="002C0AF2" w:rsidRDefault="0069426E" w:rsidP="0069426E">
      <w:pPr>
        <w:keepNext/>
        <w:rPr>
          <w:rFonts w:ascii="Calibri" w:hAnsi="Calibri"/>
          <w:b/>
          <w:i/>
          <w:szCs w:val="22"/>
        </w:rPr>
      </w:pPr>
      <w:r w:rsidRPr="002C0AF2">
        <w:rPr>
          <w:rFonts w:ascii="Calibri" w:hAnsi="Calibri"/>
          <w:b/>
          <w:i/>
          <w:szCs w:val="22"/>
        </w:rPr>
        <w:t>Likelihood of Execution</w:t>
      </w:r>
    </w:p>
    <w:p w:rsidR="0069426E" w:rsidRPr="00A40C6D" w:rsidRDefault="0069426E" w:rsidP="0069426E">
      <w:pPr>
        <w:keepNext/>
        <w:rPr>
          <w:rFonts w:ascii="Calibri" w:hAnsi="Calibri"/>
          <w:szCs w:val="22"/>
        </w:rPr>
      </w:pPr>
      <w:r w:rsidRPr="00A40C6D">
        <w:rPr>
          <w:rFonts w:ascii="Calibri" w:hAnsi="Calibri"/>
          <w:szCs w:val="22"/>
        </w:rPr>
        <w:t>We appreciate the difficulty of defining criteria related to the likelihood of execution. As indicated above, given the variation in instruments and how they are traded it is also clear that what may be useful for one set of purposes may not be appropriate for another. Hence we believe that disclosures should only be required for trades in liquid instruments falling below the SSTI threshold including scope for flexibility in the presentation depending on the type of instrument and method of trading.</w:t>
      </w:r>
    </w:p>
    <w:p w:rsidR="0069426E" w:rsidRPr="00A40C6D" w:rsidRDefault="0069426E" w:rsidP="0069426E">
      <w:pPr>
        <w:keepNext/>
        <w:rPr>
          <w:rFonts w:ascii="Calibri" w:hAnsi="Calibri"/>
          <w:szCs w:val="22"/>
        </w:rPr>
      </w:pPr>
    </w:p>
    <w:p w:rsidR="0069426E" w:rsidRPr="00A40C6D" w:rsidRDefault="0069426E" w:rsidP="0069426E">
      <w:pPr>
        <w:keepNext/>
        <w:rPr>
          <w:rFonts w:ascii="Calibri" w:hAnsi="Calibri"/>
          <w:szCs w:val="22"/>
        </w:rPr>
      </w:pPr>
      <w:r w:rsidRPr="00A40C6D">
        <w:rPr>
          <w:rFonts w:ascii="Calibri" w:hAnsi="Calibri"/>
          <w:szCs w:val="22"/>
        </w:rPr>
        <w:t xml:space="preserve">We do not believe that the comparison of numbers of orders to numbers of trades provides consistent and useful information in relation to the likelihood of execution. Any individual order will be created in the circumstances prevailing at the time and, as a result, information relating to that order will not necessarily be a guide for circumstances which prevail at other times. In addition, there are many factors relating to an orders which it would be difficult to capture in a summarised analysis which have an important impact on the relevance of the quote being made for likelihood of execution e.g. conditions on orders, systems supported by streaming of prices, RFQ systems where quotes are effectively provided on demand etc. We believe therefore that where any such metrics are used they are based on unconditional orders provided on a non-request basis. </w:t>
      </w:r>
    </w:p>
    <w:p w:rsidR="0069426E" w:rsidRPr="00A40C6D" w:rsidRDefault="0069426E" w:rsidP="0069426E">
      <w:pPr>
        <w:keepNext/>
        <w:rPr>
          <w:rFonts w:ascii="Calibri" w:hAnsi="Calibri"/>
          <w:szCs w:val="22"/>
        </w:rPr>
      </w:pPr>
    </w:p>
    <w:p w:rsidR="0069426E" w:rsidRPr="002C0AF2" w:rsidRDefault="0069426E" w:rsidP="0069426E">
      <w:pPr>
        <w:keepNext/>
        <w:rPr>
          <w:rFonts w:ascii="Calibri" w:hAnsi="Calibri"/>
          <w:b/>
          <w:i/>
          <w:szCs w:val="22"/>
        </w:rPr>
      </w:pPr>
      <w:r w:rsidRPr="002C0AF2">
        <w:rPr>
          <w:rFonts w:ascii="Calibri" w:hAnsi="Calibri"/>
          <w:b/>
          <w:i/>
          <w:szCs w:val="22"/>
        </w:rPr>
        <w:t>Cancellation and Fill Ratios</w:t>
      </w:r>
    </w:p>
    <w:p w:rsidR="0069426E" w:rsidRPr="00A40C6D" w:rsidRDefault="0069426E" w:rsidP="0069426E">
      <w:pPr>
        <w:keepNext/>
        <w:rPr>
          <w:rFonts w:ascii="Calibri" w:hAnsi="Calibri"/>
          <w:szCs w:val="22"/>
        </w:rPr>
      </w:pPr>
      <w:r w:rsidRPr="00A40C6D">
        <w:rPr>
          <w:rFonts w:ascii="Calibri" w:hAnsi="Calibri"/>
          <w:szCs w:val="22"/>
        </w:rPr>
        <w:t>We do not believe that order cancelation or fill ratios can be used consistently as part of an assessment of execution quality. Order cancellations, withdrawals and modifications will be driven by market participants rather than attributable to the structure or performance of the venue in facilitating transactions.</w:t>
      </w:r>
    </w:p>
    <w:p w:rsidR="0069426E" w:rsidRPr="00A40C6D" w:rsidRDefault="0069426E" w:rsidP="0069426E">
      <w:pPr>
        <w:keepNext/>
        <w:rPr>
          <w:rFonts w:ascii="Calibri" w:hAnsi="Calibri"/>
          <w:szCs w:val="22"/>
        </w:rPr>
      </w:pPr>
    </w:p>
    <w:p w:rsidR="0069426E" w:rsidRPr="002C0AF2" w:rsidRDefault="0069426E" w:rsidP="0069426E">
      <w:pPr>
        <w:keepNext/>
        <w:rPr>
          <w:rFonts w:ascii="Calibri" w:hAnsi="Calibri"/>
          <w:b/>
          <w:i/>
          <w:szCs w:val="22"/>
        </w:rPr>
      </w:pPr>
      <w:r w:rsidRPr="002C0AF2">
        <w:rPr>
          <w:rFonts w:ascii="Calibri" w:hAnsi="Calibri"/>
          <w:b/>
          <w:i/>
          <w:szCs w:val="22"/>
        </w:rPr>
        <w:t>Times</w:t>
      </w:r>
    </w:p>
    <w:p w:rsidR="0069426E" w:rsidRPr="00A40C6D" w:rsidRDefault="0069426E" w:rsidP="0069426E">
      <w:pPr>
        <w:keepNext/>
        <w:rPr>
          <w:rFonts w:ascii="Calibri" w:hAnsi="Calibri"/>
          <w:szCs w:val="22"/>
        </w:rPr>
      </w:pPr>
      <w:r w:rsidRPr="00A40C6D">
        <w:rPr>
          <w:rFonts w:ascii="Calibri" w:hAnsi="Calibri"/>
          <w:szCs w:val="22"/>
        </w:rPr>
        <w:t xml:space="preserve">We do not believe that the time data for certain actions (e.g. response to RFQ, response to quote provided </w:t>
      </w:r>
      <w:r w:rsidR="004E26B2" w:rsidRPr="00A40C6D">
        <w:rPr>
          <w:rFonts w:ascii="Calibri" w:hAnsi="Calibri"/>
          <w:szCs w:val="22"/>
        </w:rPr>
        <w:t>etc.</w:t>
      </w:r>
      <w:r w:rsidRPr="00A40C6D">
        <w:rPr>
          <w:rFonts w:ascii="Calibri" w:hAnsi="Calibri"/>
          <w:szCs w:val="22"/>
        </w:rPr>
        <w:t xml:space="preserve">) represent reliable information relating to the speed of execution.  This is because these timescales are controlled by market participants themselves. </w:t>
      </w:r>
    </w:p>
    <w:p w:rsidR="0069426E" w:rsidRPr="00A40C6D" w:rsidRDefault="0069426E" w:rsidP="0069426E">
      <w:pPr>
        <w:keepNext/>
        <w:rPr>
          <w:rFonts w:ascii="Calibri" w:hAnsi="Calibri"/>
          <w:szCs w:val="22"/>
        </w:rPr>
      </w:pPr>
    </w:p>
    <w:p w:rsidR="0069426E" w:rsidRPr="002C0AF2" w:rsidRDefault="0069426E" w:rsidP="0069426E">
      <w:pPr>
        <w:keepNext/>
        <w:rPr>
          <w:rFonts w:ascii="Calibri" w:hAnsi="Calibri"/>
          <w:b/>
          <w:i/>
          <w:szCs w:val="22"/>
        </w:rPr>
      </w:pPr>
      <w:r w:rsidRPr="002C0AF2">
        <w:rPr>
          <w:rFonts w:ascii="Calibri" w:hAnsi="Calibri"/>
          <w:b/>
          <w:i/>
          <w:szCs w:val="22"/>
        </w:rPr>
        <w:t>Depth of Market Analysis</w:t>
      </w:r>
    </w:p>
    <w:p w:rsidR="0069426E" w:rsidRPr="00A40C6D" w:rsidRDefault="0069426E" w:rsidP="0069426E">
      <w:pPr>
        <w:keepNext/>
        <w:rPr>
          <w:rFonts w:ascii="Calibri" w:hAnsi="Calibri"/>
          <w:szCs w:val="22"/>
        </w:rPr>
      </w:pPr>
      <w:r w:rsidRPr="00A40C6D">
        <w:rPr>
          <w:rFonts w:ascii="Calibri" w:hAnsi="Calibri"/>
          <w:szCs w:val="22"/>
        </w:rPr>
        <w:t>The information required under Article 27 MIFID relates to executions. We therefore do not believe information requirements, for order driven markets, relating to certain data elements such as depth of market to be relevant for an assessment of execution quality.</w:t>
      </w:r>
    </w:p>
    <w:p w:rsidR="0069426E" w:rsidRPr="00A40C6D" w:rsidRDefault="0069426E" w:rsidP="0069426E">
      <w:pPr>
        <w:keepNext/>
        <w:rPr>
          <w:rFonts w:ascii="Calibri" w:hAnsi="Calibri"/>
          <w:szCs w:val="22"/>
        </w:rPr>
      </w:pPr>
    </w:p>
    <w:p w:rsidR="0069426E" w:rsidRPr="002C0AF2" w:rsidRDefault="0069426E" w:rsidP="0069426E">
      <w:pPr>
        <w:keepNext/>
        <w:rPr>
          <w:rFonts w:ascii="Calibri" w:hAnsi="Calibri"/>
          <w:b/>
          <w:i/>
          <w:szCs w:val="22"/>
        </w:rPr>
      </w:pPr>
      <w:r w:rsidRPr="002C0AF2">
        <w:rPr>
          <w:rFonts w:ascii="Calibri" w:hAnsi="Calibri"/>
          <w:b/>
          <w:i/>
          <w:szCs w:val="22"/>
        </w:rPr>
        <w:t>Market Mechanism</w:t>
      </w:r>
    </w:p>
    <w:p w:rsidR="0069426E" w:rsidRPr="00A40C6D" w:rsidRDefault="0069426E" w:rsidP="0069426E">
      <w:pPr>
        <w:keepNext/>
        <w:rPr>
          <w:rFonts w:ascii="Calibri" w:hAnsi="Calibri"/>
          <w:szCs w:val="22"/>
        </w:rPr>
      </w:pPr>
      <w:r w:rsidRPr="00A40C6D">
        <w:rPr>
          <w:rFonts w:ascii="Calibri" w:hAnsi="Calibri"/>
          <w:szCs w:val="22"/>
        </w:rPr>
        <w:t>In order for execution related information to be useful, we believe that such information should not only be accurate should also add value to the process of understanding execution and not be misleading. The metrics that are available and relevant to assessing execution are highly dependent on the methodology of trading. We are therefore in favour of ESMA’s recognition of these distinctions.</w:t>
      </w:r>
    </w:p>
    <w:p w:rsidR="0069426E" w:rsidRPr="00A40C6D" w:rsidRDefault="0069426E" w:rsidP="0069426E">
      <w:pPr>
        <w:keepNext/>
        <w:rPr>
          <w:rFonts w:ascii="Calibri" w:hAnsi="Calibri"/>
          <w:szCs w:val="22"/>
        </w:rPr>
      </w:pPr>
    </w:p>
    <w:p w:rsidR="0069426E" w:rsidRPr="00A40C6D" w:rsidRDefault="0069426E" w:rsidP="0069426E">
      <w:pPr>
        <w:keepNext/>
        <w:rPr>
          <w:rFonts w:ascii="Calibri" w:hAnsi="Calibri"/>
          <w:szCs w:val="22"/>
        </w:rPr>
      </w:pPr>
      <w:r w:rsidRPr="00A40C6D">
        <w:rPr>
          <w:rFonts w:ascii="Calibri" w:hAnsi="Calibri"/>
          <w:szCs w:val="22"/>
        </w:rPr>
        <w:t>We do not agree however that a simplistic quote driven and order driven distinction can be imposed. As highlighted by the CP there are multiple methods of execution or market mechanism which may also, at times, be used in combination. We therefore believe that venues should be permitted the ability to publish customised execution quality data (for example, using a customised version of the template)  in order to provide what they believe to be the most relevant fields taking into account such data which is relevant to the particular method of execution or market mechanism used on the venue. For example, for negotiated deals the analysis of speed of execution is not appropriate, as ultimately the timeliness of the conclusion of a transaction is determined by the actions of the market participants than attributable to the structure and functioning of the venue itself.</w:t>
      </w:r>
    </w:p>
    <w:p w:rsidR="0069426E" w:rsidRPr="00A40C6D" w:rsidRDefault="0069426E" w:rsidP="0069426E">
      <w:pPr>
        <w:keepNext/>
        <w:rPr>
          <w:rFonts w:ascii="Calibri" w:hAnsi="Calibri"/>
          <w:szCs w:val="22"/>
        </w:rPr>
      </w:pPr>
    </w:p>
    <w:p w:rsidR="0069426E" w:rsidRPr="00A40C6D" w:rsidRDefault="0069426E" w:rsidP="0069426E">
      <w:pPr>
        <w:keepNext/>
        <w:rPr>
          <w:rFonts w:ascii="Calibri" w:hAnsi="Calibri"/>
          <w:szCs w:val="22"/>
        </w:rPr>
      </w:pPr>
      <w:r w:rsidRPr="00A40C6D">
        <w:rPr>
          <w:rFonts w:ascii="Calibri" w:hAnsi="Calibri"/>
          <w:szCs w:val="22"/>
        </w:rPr>
        <w:t>We do not believe that it is necessary or appropriate to require the disclosure of information relating to the type of mechanism used in the execution of trades on the platform. This information is already provided to venue users under separate obligations requiring such disclosure in the form of Rulebooks, User Guides or other similar documentation. It is not necessary to replicate this disclosure in the execution analysis.</w:t>
      </w:r>
    </w:p>
    <w:p w:rsidR="0069426E" w:rsidRPr="00A40C6D" w:rsidRDefault="0069426E" w:rsidP="0069426E">
      <w:pPr>
        <w:keepNext/>
        <w:rPr>
          <w:rFonts w:ascii="Calibri" w:hAnsi="Calibri"/>
          <w:szCs w:val="22"/>
        </w:rPr>
      </w:pPr>
    </w:p>
    <w:p w:rsidR="0069426E" w:rsidRPr="002C0AF2" w:rsidRDefault="0069426E" w:rsidP="0069426E">
      <w:pPr>
        <w:keepNext/>
        <w:rPr>
          <w:rFonts w:ascii="Calibri" w:hAnsi="Calibri"/>
          <w:b/>
          <w:i/>
          <w:szCs w:val="22"/>
        </w:rPr>
      </w:pPr>
      <w:r w:rsidRPr="002C0AF2">
        <w:rPr>
          <w:rFonts w:ascii="Calibri" w:hAnsi="Calibri"/>
          <w:b/>
          <w:i/>
          <w:szCs w:val="22"/>
        </w:rPr>
        <w:t>Required Data and Class Taxonomy</w:t>
      </w:r>
    </w:p>
    <w:p w:rsidR="0069426E" w:rsidRPr="00A40C6D" w:rsidRDefault="0069426E" w:rsidP="0069426E">
      <w:pPr>
        <w:keepNext/>
        <w:rPr>
          <w:rFonts w:ascii="Calibri" w:hAnsi="Calibri"/>
          <w:szCs w:val="22"/>
        </w:rPr>
      </w:pPr>
      <w:r w:rsidRPr="00A40C6D">
        <w:rPr>
          <w:rFonts w:ascii="Calibri" w:hAnsi="Calibri"/>
          <w:szCs w:val="22"/>
        </w:rPr>
        <w:t>We agree that the data provided should be precisely defined but would also make the point that it should only be provided where it is likely to be relevant and will not be potentially misleading e.g. use of an inappropriate metric for a particular market mechanism.</w:t>
      </w:r>
    </w:p>
    <w:p w:rsidR="0069426E" w:rsidRPr="00A40C6D" w:rsidRDefault="0069426E" w:rsidP="0069426E">
      <w:pPr>
        <w:keepNext/>
        <w:rPr>
          <w:rFonts w:ascii="Calibri" w:hAnsi="Calibri"/>
          <w:szCs w:val="22"/>
        </w:rPr>
      </w:pPr>
    </w:p>
    <w:p w:rsidR="0069426E" w:rsidRPr="00A40C6D" w:rsidRDefault="0069426E" w:rsidP="0069426E">
      <w:pPr>
        <w:keepNext/>
        <w:rPr>
          <w:rFonts w:ascii="Calibri" w:hAnsi="Calibri"/>
          <w:szCs w:val="22"/>
        </w:rPr>
      </w:pPr>
      <w:r w:rsidRPr="00A40C6D">
        <w:rPr>
          <w:rFonts w:ascii="Calibri" w:hAnsi="Calibri"/>
          <w:szCs w:val="22"/>
        </w:rPr>
        <w:t>We understand that standardised templates might be a useful approach for ensuring the usefulness of the disclosed information. We would note however that given the volume of data that will be produced it is not necessary to require this to be a standardised form. The volume of data that is likely to be required will only be possible to be used effectively if it is provided in machine readable format. Hence the key is standardisation of the definitions of the fields required rather than the layout.</w:t>
      </w:r>
    </w:p>
    <w:p w:rsidR="0069426E" w:rsidRPr="00A40C6D" w:rsidRDefault="0069426E" w:rsidP="0069426E">
      <w:pPr>
        <w:keepNext/>
        <w:rPr>
          <w:rFonts w:ascii="Calibri" w:hAnsi="Calibri"/>
          <w:szCs w:val="22"/>
        </w:rPr>
      </w:pPr>
    </w:p>
    <w:p w:rsidR="0069426E" w:rsidRPr="00A40C6D" w:rsidRDefault="0069426E" w:rsidP="0069426E">
      <w:pPr>
        <w:keepNext/>
        <w:rPr>
          <w:rFonts w:ascii="Calibri" w:hAnsi="Calibri"/>
          <w:szCs w:val="22"/>
        </w:rPr>
      </w:pPr>
      <w:r w:rsidRPr="00A40C6D">
        <w:rPr>
          <w:rFonts w:ascii="Calibri" w:hAnsi="Calibri"/>
          <w:szCs w:val="22"/>
        </w:rPr>
        <w:t>We agree that the information provided should be appropriate and useful to market participants. We therefore believe that venues should have the option of customising the template to provide what they believe are the most relevant fields or if a standardised template is used, venues should only require to complete data which is relevant to the particular method of execution or market mechanism used on the venue. For example, for negotiated deals the analysis of speed of execution is not appropriate as ultimately the timeliness of the conclusion of a transaction is determined by the actions of the market participants rather than attributable the structure and functioning of the venue itself.</w:t>
      </w:r>
    </w:p>
    <w:p w:rsidR="0069426E" w:rsidRPr="00A40C6D" w:rsidRDefault="0069426E" w:rsidP="0069426E">
      <w:pPr>
        <w:keepNext/>
        <w:rPr>
          <w:rFonts w:ascii="Calibri" w:hAnsi="Calibri"/>
          <w:szCs w:val="22"/>
        </w:rPr>
      </w:pPr>
    </w:p>
    <w:p w:rsidR="0069426E" w:rsidRPr="00A40C6D" w:rsidRDefault="0069426E" w:rsidP="0069426E">
      <w:pPr>
        <w:keepNext/>
        <w:rPr>
          <w:rFonts w:ascii="Calibri" w:hAnsi="Calibri"/>
          <w:szCs w:val="22"/>
        </w:rPr>
      </w:pPr>
      <w:r w:rsidRPr="00A40C6D">
        <w:rPr>
          <w:rFonts w:ascii="Calibri" w:hAnsi="Calibri"/>
          <w:szCs w:val="22"/>
        </w:rPr>
        <w:t>We agree that if there is to be a requirement to provide an instrument class in the analysis such class or categorisation of instruments should follow that used for the pre and post trade transparency requirements. This will not only ensure consistency of information but also avoid requiring systems to manage differing classification regimes.</w:t>
      </w:r>
    </w:p>
    <w:p w:rsidR="0069426E" w:rsidRPr="00A40C6D" w:rsidRDefault="0069426E" w:rsidP="0069426E">
      <w:pPr>
        <w:keepNext/>
        <w:rPr>
          <w:rFonts w:ascii="Calibri" w:hAnsi="Calibri"/>
          <w:szCs w:val="22"/>
        </w:rPr>
      </w:pPr>
    </w:p>
    <w:p w:rsidR="0069426E" w:rsidRPr="002C0AF2" w:rsidRDefault="0069426E" w:rsidP="0069426E">
      <w:pPr>
        <w:keepNext/>
        <w:rPr>
          <w:rFonts w:ascii="Calibri" w:hAnsi="Calibri"/>
          <w:b/>
          <w:i/>
          <w:szCs w:val="22"/>
        </w:rPr>
      </w:pPr>
      <w:r w:rsidRPr="002C0AF2">
        <w:rPr>
          <w:rFonts w:ascii="Calibri" w:hAnsi="Calibri"/>
          <w:b/>
          <w:i/>
          <w:szCs w:val="22"/>
        </w:rPr>
        <w:t>Averages</w:t>
      </w:r>
    </w:p>
    <w:p w:rsidR="0069426E" w:rsidRPr="00A40C6D" w:rsidRDefault="0069426E" w:rsidP="0069426E">
      <w:pPr>
        <w:keepNext/>
        <w:rPr>
          <w:rFonts w:ascii="Calibri" w:hAnsi="Calibri"/>
          <w:szCs w:val="22"/>
        </w:rPr>
      </w:pPr>
      <w:r w:rsidRPr="00A40C6D">
        <w:rPr>
          <w:rFonts w:ascii="Calibri" w:hAnsi="Calibri"/>
          <w:szCs w:val="22"/>
        </w:rPr>
        <w:t xml:space="preserve">We do not believe that the provision of median information is of relevance to the execution analysis required. </w:t>
      </w:r>
    </w:p>
    <w:p w:rsidR="0069426E" w:rsidRPr="00A40C6D" w:rsidRDefault="0069426E" w:rsidP="0069426E">
      <w:pPr>
        <w:keepNext/>
        <w:rPr>
          <w:rFonts w:ascii="Calibri" w:hAnsi="Calibri"/>
          <w:szCs w:val="22"/>
        </w:rPr>
      </w:pPr>
    </w:p>
    <w:p w:rsidR="0069426E" w:rsidRPr="00A40C6D" w:rsidRDefault="0069426E" w:rsidP="0069426E">
      <w:pPr>
        <w:keepNext/>
        <w:rPr>
          <w:rFonts w:ascii="Calibri" w:hAnsi="Calibri"/>
          <w:szCs w:val="22"/>
        </w:rPr>
      </w:pPr>
      <w:r w:rsidRPr="00A40C6D">
        <w:rPr>
          <w:rFonts w:ascii="Calibri" w:hAnsi="Calibri"/>
          <w:szCs w:val="22"/>
        </w:rPr>
        <w:t>In order to ensure that averages are relevant we believe that they should be calculated only for liquid instruments falling below the SSTI threshold in which case the mean is the most appropriate statistic to use. Averages for illiquid instruments or including, for liquid instruments, significant sizes of trades are potentially misleading and an inappropriate way of representing what may be quite disparate data elements.</w:t>
      </w:r>
    </w:p>
    <w:p w:rsidR="0069426E" w:rsidRPr="00A40C6D" w:rsidRDefault="0069426E" w:rsidP="0069426E">
      <w:pPr>
        <w:keepNext/>
        <w:rPr>
          <w:rFonts w:ascii="Calibri" w:hAnsi="Calibri"/>
          <w:szCs w:val="22"/>
        </w:rPr>
      </w:pPr>
    </w:p>
    <w:p w:rsidR="0069426E" w:rsidRPr="002C0AF2" w:rsidRDefault="0069426E" w:rsidP="0069426E">
      <w:pPr>
        <w:keepNext/>
        <w:rPr>
          <w:rFonts w:ascii="Calibri" w:hAnsi="Calibri"/>
          <w:b/>
          <w:i/>
          <w:szCs w:val="22"/>
        </w:rPr>
      </w:pPr>
      <w:r w:rsidRPr="002C0AF2">
        <w:rPr>
          <w:rFonts w:ascii="Calibri" w:hAnsi="Calibri"/>
          <w:b/>
          <w:i/>
          <w:szCs w:val="22"/>
        </w:rPr>
        <w:t>Point-in-Time</w:t>
      </w:r>
    </w:p>
    <w:p w:rsidR="0069426E" w:rsidRPr="00A40C6D" w:rsidRDefault="0069426E" w:rsidP="0069426E">
      <w:pPr>
        <w:keepNext/>
        <w:rPr>
          <w:rFonts w:ascii="Calibri" w:hAnsi="Calibri"/>
          <w:szCs w:val="22"/>
        </w:rPr>
      </w:pPr>
      <w:r w:rsidRPr="00A40C6D">
        <w:rPr>
          <w:rFonts w:ascii="Calibri" w:hAnsi="Calibri"/>
          <w:szCs w:val="22"/>
        </w:rPr>
        <w:t xml:space="preserve">We do not believe that the use of “point in time” analyses is either required or helpful. Such measures are too narrowly related to all the circumstances at the times of the measurement and are not indicative of the future status of the market at the particular time a market participant may wish to execute a transaction. In particular since the analysis required is at an individual instrument level the granularity of “point in time” analysis is too great and for all but the most actively traded instruments will provide details of each individual transaction. </w:t>
      </w:r>
    </w:p>
    <w:p w:rsidR="0069426E" w:rsidRPr="00A40C6D" w:rsidRDefault="0069426E" w:rsidP="0069426E">
      <w:pPr>
        <w:keepNext/>
        <w:rPr>
          <w:rFonts w:ascii="Calibri" w:hAnsi="Calibri"/>
          <w:szCs w:val="22"/>
        </w:rPr>
      </w:pPr>
    </w:p>
    <w:p w:rsidR="0069426E" w:rsidRPr="00A40C6D" w:rsidRDefault="0069426E" w:rsidP="0069426E">
      <w:pPr>
        <w:keepNext/>
        <w:rPr>
          <w:rFonts w:ascii="Calibri" w:hAnsi="Calibri"/>
          <w:szCs w:val="22"/>
        </w:rPr>
      </w:pPr>
      <w:r w:rsidRPr="00A40C6D">
        <w:rPr>
          <w:rFonts w:ascii="Calibri" w:hAnsi="Calibri"/>
          <w:szCs w:val="22"/>
        </w:rPr>
        <w:t>In addition, given the vast majority of instruments will not in fact have regular executions the bulk of the data will potentially consist of blanks or static numbers which do not have any analytical value but which then make processing the bulk of information much more difficult for market participants?</w:t>
      </w:r>
    </w:p>
    <w:p w:rsidR="0069426E" w:rsidRPr="00A40C6D" w:rsidRDefault="0069426E" w:rsidP="0069426E">
      <w:pPr>
        <w:keepNext/>
        <w:rPr>
          <w:rFonts w:ascii="Calibri" w:hAnsi="Calibri"/>
          <w:szCs w:val="22"/>
        </w:rPr>
      </w:pPr>
    </w:p>
    <w:p w:rsidR="0069426E" w:rsidRPr="00A40C6D" w:rsidRDefault="0069426E" w:rsidP="0069426E">
      <w:pPr>
        <w:keepNext/>
        <w:rPr>
          <w:rFonts w:ascii="Calibri" w:hAnsi="Calibri"/>
          <w:szCs w:val="22"/>
        </w:rPr>
      </w:pPr>
      <w:r w:rsidRPr="00A40C6D">
        <w:rPr>
          <w:rFonts w:ascii="Calibri" w:hAnsi="Calibri"/>
          <w:szCs w:val="22"/>
        </w:rPr>
        <w:t>If a point-in-time analysis is to be required it should only be required for appropriate market mechanisms where the data may have some relevance and usefulness for market participants e.g. active CLOBs in liquid instruments. In addition if trade information is required it is not appropriate that this is required just for the next trade – in certain markets this could be hours, days or even weeks away. The timeframe for such information should be very narrowly defined and not more than one minute to ensure the comparability of the information.</w:t>
      </w:r>
    </w:p>
    <w:p w:rsidR="0069426E" w:rsidRPr="00A40C6D" w:rsidRDefault="0069426E" w:rsidP="0069426E">
      <w:pPr>
        <w:keepNext/>
        <w:rPr>
          <w:rFonts w:ascii="Calibri" w:hAnsi="Calibri"/>
          <w:szCs w:val="22"/>
        </w:rPr>
      </w:pPr>
    </w:p>
    <w:p w:rsidR="0069426E" w:rsidRPr="002C0AF2" w:rsidRDefault="0069426E" w:rsidP="0069426E">
      <w:pPr>
        <w:keepNext/>
        <w:rPr>
          <w:rFonts w:ascii="Calibri" w:hAnsi="Calibri"/>
          <w:b/>
          <w:i/>
          <w:szCs w:val="22"/>
        </w:rPr>
      </w:pPr>
      <w:r w:rsidRPr="002C0AF2">
        <w:rPr>
          <w:rFonts w:ascii="Calibri" w:hAnsi="Calibri"/>
          <w:b/>
          <w:i/>
          <w:szCs w:val="22"/>
        </w:rPr>
        <w:t>Daily Information</w:t>
      </w:r>
    </w:p>
    <w:p w:rsidR="0069426E" w:rsidRPr="00A40C6D" w:rsidRDefault="0069426E" w:rsidP="0069426E">
      <w:pPr>
        <w:keepNext/>
        <w:rPr>
          <w:rFonts w:ascii="Calibri" w:hAnsi="Calibri"/>
          <w:szCs w:val="22"/>
        </w:rPr>
      </w:pPr>
      <w:r w:rsidRPr="00A40C6D">
        <w:rPr>
          <w:rFonts w:ascii="Calibri" w:hAnsi="Calibri"/>
          <w:szCs w:val="22"/>
        </w:rPr>
        <w:t>We do not believe that the use of daily information in the analyses is either required or helpful. Such measures are too narrowly related to all the circumstances on the day of the measurement and are not indicative of the future status of the market when a market participant may wish to execute a transaction. In particular since the analysis required is at an individual instrument level the granularity of an analysis based on daily information is too great and for all but the most actively traded instruments will provide details of each individual transaction. We would recommend that the requirements are simplified to the average across the month or quarter. If a daily periodicity is to be maintained then this requirement should be limited to only the most appropriate market mechanism e.g. active CLOBs in liquid instruments.</w:t>
      </w:r>
    </w:p>
    <w:p w:rsidR="0069426E" w:rsidRPr="00A40C6D" w:rsidRDefault="0069426E" w:rsidP="0069426E">
      <w:pPr>
        <w:keepNext/>
        <w:rPr>
          <w:rFonts w:ascii="Calibri" w:hAnsi="Calibri"/>
          <w:szCs w:val="22"/>
        </w:rPr>
      </w:pPr>
    </w:p>
    <w:p w:rsidR="0069426E" w:rsidRPr="00A40C6D" w:rsidRDefault="0069426E" w:rsidP="0069426E">
      <w:pPr>
        <w:keepNext/>
        <w:rPr>
          <w:rFonts w:ascii="Calibri" w:hAnsi="Calibri"/>
          <w:szCs w:val="22"/>
        </w:rPr>
      </w:pPr>
      <w:r w:rsidRPr="002C0AF2">
        <w:rPr>
          <w:rFonts w:ascii="Calibri" w:hAnsi="Calibri"/>
          <w:b/>
          <w:i/>
          <w:szCs w:val="22"/>
        </w:rPr>
        <w:t>Failed</w:t>
      </w:r>
      <w:r w:rsidRPr="00A40C6D">
        <w:rPr>
          <w:rFonts w:ascii="Calibri" w:hAnsi="Calibri"/>
          <w:szCs w:val="22"/>
        </w:rPr>
        <w:t xml:space="preserve"> </w:t>
      </w:r>
      <w:r w:rsidRPr="002C0AF2">
        <w:rPr>
          <w:rFonts w:ascii="Calibri" w:hAnsi="Calibri"/>
          <w:b/>
          <w:i/>
          <w:szCs w:val="22"/>
        </w:rPr>
        <w:t>Trades</w:t>
      </w:r>
    </w:p>
    <w:p w:rsidR="0069426E" w:rsidRPr="00A40C6D" w:rsidRDefault="0069426E" w:rsidP="0069426E">
      <w:pPr>
        <w:keepNext/>
        <w:rPr>
          <w:rFonts w:ascii="Calibri" w:hAnsi="Calibri"/>
          <w:szCs w:val="22"/>
        </w:rPr>
      </w:pPr>
      <w:r w:rsidRPr="00A40C6D">
        <w:rPr>
          <w:rFonts w:ascii="Calibri" w:hAnsi="Calibri"/>
          <w:szCs w:val="22"/>
        </w:rPr>
        <w:t>We believe that information on failed or unsettled transactions is post trade information and therefore not relevant to the execution of the trades themselves.</w:t>
      </w:r>
    </w:p>
    <w:p w:rsidR="0069426E" w:rsidRPr="00A40C6D" w:rsidRDefault="0069426E" w:rsidP="0069426E">
      <w:pPr>
        <w:keepNext/>
        <w:rPr>
          <w:rFonts w:ascii="Calibri" w:hAnsi="Calibri"/>
          <w:szCs w:val="22"/>
        </w:rPr>
      </w:pPr>
    </w:p>
    <w:p w:rsidR="0069426E" w:rsidRPr="002C0AF2" w:rsidRDefault="0069426E" w:rsidP="0069426E">
      <w:pPr>
        <w:keepNext/>
        <w:rPr>
          <w:rFonts w:ascii="Calibri" w:hAnsi="Calibri"/>
          <w:b/>
          <w:i/>
          <w:szCs w:val="22"/>
        </w:rPr>
      </w:pPr>
      <w:r w:rsidRPr="002C0AF2">
        <w:rPr>
          <w:rFonts w:ascii="Calibri" w:hAnsi="Calibri"/>
          <w:b/>
          <w:i/>
          <w:szCs w:val="22"/>
        </w:rPr>
        <w:t>Market Share</w:t>
      </w:r>
    </w:p>
    <w:p w:rsidR="0069426E" w:rsidRPr="00A40C6D" w:rsidRDefault="0069426E" w:rsidP="0069426E">
      <w:pPr>
        <w:keepNext/>
        <w:rPr>
          <w:rFonts w:ascii="Calibri" w:hAnsi="Calibri"/>
          <w:szCs w:val="22"/>
        </w:rPr>
      </w:pPr>
      <w:r w:rsidRPr="00A40C6D">
        <w:rPr>
          <w:rFonts w:ascii="Calibri" w:hAnsi="Calibri"/>
          <w:szCs w:val="22"/>
        </w:rPr>
        <w:t>We do not agree that the execution analysis information has any relevance to providing market share information. Market share information will be available from post trade publication information and it is duplicative to include market share as an objective of the analysis under Article 27.</w:t>
      </w:r>
    </w:p>
    <w:p w:rsidR="0069426E" w:rsidRPr="00A40C6D" w:rsidRDefault="0069426E" w:rsidP="0069426E">
      <w:pPr>
        <w:keepNext/>
        <w:rPr>
          <w:rFonts w:ascii="Calibri" w:hAnsi="Calibri"/>
          <w:szCs w:val="22"/>
        </w:rPr>
      </w:pPr>
    </w:p>
    <w:p w:rsidR="0069426E" w:rsidRPr="002C0AF2" w:rsidRDefault="0069426E" w:rsidP="0069426E">
      <w:pPr>
        <w:keepNext/>
        <w:rPr>
          <w:rFonts w:ascii="Calibri" w:hAnsi="Calibri"/>
          <w:b/>
          <w:i/>
          <w:szCs w:val="22"/>
        </w:rPr>
      </w:pPr>
      <w:r w:rsidRPr="002C0AF2">
        <w:rPr>
          <w:rFonts w:ascii="Calibri" w:hAnsi="Calibri"/>
          <w:b/>
          <w:i/>
          <w:szCs w:val="22"/>
        </w:rPr>
        <w:t>Reports of Disruptions</w:t>
      </w:r>
    </w:p>
    <w:p w:rsidR="0069426E" w:rsidRPr="00A40C6D" w:rsidRDefault="0069426E" w:rsidP="0069426E">
      <w:pPr>
        <w:keepNext/>
        <w:rPr>
          <w:rFonts w:ascii="Calibri" w:hAnsi="Calibri"/>
          <w:szCs w:val="22"/>
        </w:rPr>
      </w:pPr>
      <w:r w:rsidRPr="00A40C6D">
        <w:rPr>
          <w:rFonts w:ascii="Calibri" w:hAnsi="Calibri"/>
          <w:szCs w:val="22"/>
        </w:rPr>
        <w:t>We do not believe that any information related to disruptions on the platform should form part of the venue execution analysis. The availability of a venue is a separate question from the performance or service provided by the venue. In addition, not all venues will be a purely electronic platform with the implication that it is very difficult to ensure a consistent understanding of “disruption” across multiple business models e.g. electronic platforms, hybrid systems, voice etc.</w:t>
      </w:r>
    </w:p>
    <w:p w:rsidR="0069426E" w:rsidRPr="00A40C6D" w:rsidRDefault="0069426E" w:rsidP="0069426E">
      <w:pPr>
        <w:keepNext/>
        <w:rPr>
          <w:rFonts w:ascii="Calibri" w:hAnsi="Calibri"/>
          <w:szCs w:val="22"/>
        </w:rPr>
      </w:pPr>
    </w:p>
    <w:p w:rsidR="0069426E" w:rsidRPr="002C0AF2" w:rsidRDefault="0069426E" w:rsidP="0069426E">
      <w:pPr>
        <w:keepNext/>
        <w:rPr>
          <w:rFonts w:ascii="Calibri" w:hAnsi="Calibri"/>
          <w:b/>
          <w:i/>
          <w:szCs w:val="22"/>
        </w:rPr>
      </w:pPr>
      <w:r w:rsidRPr="002C0AF2">
        <w:rPr>
          <w:rFonts w:ascii="Calibri" w:hAnsi="Calibri"/>
          <w:b/>
          <w:i/>
          <w:szCs w:val="22"/>
        </w:rPr>
        <w:t>Volume, Value and Number of Trades</w:t>
      </w:r>
    </w:p>
    <w:p w:rsidR="0069426E" w:rsidRPr="00A40C6D" w:rsidRDefault="0069426E" w:rsidP="0069426E">
      <w:pPr>
        <w:keepNext/>
        <w:rPr>
          <w:rFonts w:ascii="Calibri" w:hAnsi="Calibri"/>
          <w:szCs w:val="22"/>
        </w:rPr>
      </w:pPr>
      <w:r w:rsidRPr="00A40C6D">
        <w:rPr>
          <w:rFonts w:ascii="Calibri" w:hAnsi="Calibri"/>
          <w:szCs w:val="22"/>
        </w:rPr>
        <w:t>Several of the analyses require “value” information as well as “volume”. We believe that it may be inappropriate to include value as part of the analysis as this will hamper comparisons regarding the same instrument based on the price it has at any particular time.</w:t>
      </w:r>
    </w:p>
    <w:p w:rsidR="0069426E" w:rsidRPr="00A40C6D" w:rsidRDefault="0069426E" w:rsidP="0069426E">
      <w:pPr>
        <w:keepNext/>
        <w:rPr>
          <w:rFonts w:ascii="Calibri" w:hAnsi="Calibri"/>
          <w:szCs w:val="22"/>
        </w:rPr>
      </w:pPr>
    </w:p>
    <w:p w:rsidR="0069426E" w:rsidRPr="00A40C6D" w:rsidRDefault="0069426E" w:rsidP="0069426E">
      <w:pPr>
        <w:keepNext/>
        <w:rPr>
          <w:rFonts w:ascii="Calibri" w:hAnsi="Calibri"/>
          <w:szCs w:val="22"/>
        </w:rPr>
      </w:pPr>
      <w:r w:rsidRPr="00A40C6D">
        <w:rPr>
          <w:rFonts w:ascii="Calibri" w:hAnsi="Calibri"/>
          <w:szCs w:val="22"/>
        </w:rPr>
        <w:t>In place of value of trade or order, we believe that the number of transactions may a useful additional indicator. In particular for illiquid or other less frequently traded instruments an indication of how many trades occur may be important information which serves to put the other execution information into context.</w:t>
      </w:r>
    </w:p>
    <w:p w:rsidR="0069426E" w:rsidRPr="00A40C6D" w:rsidRDefault="0069426E" w:rsidP="0069426E">
      <w:pPr>
        <w:keepNext/>
        <w:rPr>
          <w:rFonts w:ascii="Calibri" w:hAnsi="Calibri"/>
          <w:szCs w:val="22"/>
        </w:rPr>
      </w:pPr>
    </w:p>
    <w:p w:rsidR="0069426E" w:rsidRPr="002C0AF2" w:rsidRDefault="0069426E" w:rsidP="0069426E">
      <w:pPr>
        <w:keepNext/>
        <w:rPr>
          <w:rFonts w:ascii="Calibri" w:hAnsi="Calibri"/>
          <w:b/>
          <w:i/>
          <w:szCs w:val="22"/>
        </w:rPr>
      </w:pPr>
      <w:r w:rsidRPr="002C0AF2">
        <w:rPr>
          <w:rFonts w:ascii="Calibri" w:hAnsi="Calibri"/>
          <w:b/>
          <w:i/>
          <w:szCs w:val="22"/>
        </w:rPr>
        <w:t>Order Conditions</w:t>
      </w:r>
    </w:p>
    <w:p w:rsidR="00A40C6D" w:rsidRPr="00A40C6D" w:rsidRDefault="0069426E" w:rsidP="00EC2C93">
      <w:pPr>
        <w:keepNext/>
        <w:rPr>
          <w:rFonts w:ascii="Calibri" w:hAnsi="Calibri"/>
          <w:szCs w:val="22"/>
        </w:rPr>
      </w:pPr>
      <w:r w:rsidRPr="00A40C6D">
        <w:rPr>
          <w:rFonts w:ascii="Calibri" w:hAnsi="Calibri"/>
          <w:szCs w:val="22"/>
        </w:rPr>
        <w:t>In order to provide a consistent analysis we believe that all order information should only relate to orders which are not subject to specific execution requirements as defined by the relevant market participant.</w:t>
      </w:r>
    </w:p>
    <w:permEnd w:id="66600273"/>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69426E" w:rsidRPr="006E69EC" w:rsidRDefault="0069426E" w:rsidP="0069426E">
      <w:pPr>
        <w:keepNext/>
        <w:rPr>
          <w:rFonts w:ascii="Calibri" w:hAnsi="Calibri"/>
        </w:rPr>
      </w:pPr>
      <w:permStart w:id="1181706532" w:edGrp="everyone"/>
      <w:r w:rsidRPr="006E69EC">
        <w:rPr>
          <w:rFonts w:ascii="Calibri" w:hAnsi="Calibri"/>
        </w:rPr>
        <w:t>No, the WMBA does not agree with the approach taken by ESMA.</w:t>
      </w:r>
    </w:p>
    <w:p w:rsidR="0069426E" w:rsidRPr="006E69EC" w:rsidRDefault="0069426E" w:rsidP="0069426E">
      <w:pPr>
        <w:keepNext/>
        <w:rPr>
          <w:rFonts w:ascii="Calibri" w:hAnsi="Calibri"/>
        </w:rPr>
      </w:pPr>
    </w:p>
    <w:p w:rsidR="0069426E" w:rsidRPr="002C0AF2" w:rsidRDefault="0069426E" w:rsidP="0069426E">
      <w:pPr>
        <w:keepNext/>
        <w:rPr>
          <w:rFonts w:ascii="Calibri" w:hAnsi="Calibri"/>
          <w:b/>
          <w:i/>
        </w:rPr>
      </w:pPr>
      <w:r w:rsidRPr="002C0AF2">
        <w:rPr>
          <w:rFonts w:ascii="Calibri" w:hAnsi="Calibri"/>
          <w:b/>
          <w:i/>
        </w:rPr>
        <w:t>Ranges</w:t>
      </w:r>
    </w:p>
    <w:p w:rsidR="004E26B2" w:rsidRDefault="0069426E" w:rsidP="00EC2C93">
      <w:pPr>
        <w:keepNext/>
      </w:pPr>
      <w:r w:rsidRPr="006E69EC">
        <w:rPr>
          <w:rFonts w:ascii="Calibri" w:hAnsi="Calibri"/>
        </w:rPr>
        <w:t>We do not believe that any ranges should be used for reporting. The statistics that may be appropriate to be used for the assessment of historic execution is only valid for those instruments where there are active markets and where the size of trades is of a relatively standard size for the instrument concerned. We also believe that splitting trades into ranges will provide over granular information e.g. with apparent inconsistencies between the ranges due to the particular circumstances of the trades themselves. We also believe that adding a further granular analysis will make the information even less useful for Market Participants. If mean averages are provided this will provide market participants with sufficient information regarding the relevance of the execution data analysis. We also believe that the execution analysis should be restricted to liquid instruments under the SSTI threshold to ensure the comparability of data</w:t>
      </w:r>
      <w:r>
        <w:t>.</w:t>
      </w:r>
    </w:p>
    <w:permEnd w:id="1181706532"/>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A7DFE" w:rsidRPr="006E69EC" w:rsidRDefault="005A7DFE" w:rsidP="005A7DFE">
      <w:pPr>
        <w:keepNext/>
        <w:rPr>
          <w:rFonts w:ascii="Calibri" w:hAnsi="Calibri"/>
        </w:rPr>
      </w:pPr>
      <w:permStart w:id="103236225" w:edGrp="everyone"/>
      <w:r w:rsidRPr="006E69EC">
        <w:rPr>
          <w:rFonts w:ascii="Calibri" w:hAnsi="Calibri"/>
        </w:rPr>
        <w:t>Yes the WMBA agrees that further metrics would be helpful to measure the likelihood of execution.</w:t>
      </w:r>
    </w:p>
    <w:p w:rsidR="005A7DFE" w:rsidRPr="006E69EC" w:rsidRDefault="005A7DFE" w:rsidP="005A7DFE">
      <w:pPr>
        <w:keepNext/>
        <w:rPr>
          <w:rFonts w:ascii="Calibri" w:hAnsi="Calibri"/>
        </w:rPr>
      </w:pPr>
    </w:p>
    <w:p w:rsidR="005A7DFE" w:rsidRPr="002C0AF2" w:rsidRDefault="005A7DFE" w:rsidP="005A7DFE">
      <w:pPr>
        <w:keepNext/>
        <w:rPr>
          <w:rFonts w:ascii="Calibri" w:hAnsi="Calibri"/>
          <w:b/>
          <w:i/>
        </w:rPr>
      </w:pPr>
      <w:r w:rsidRPr="002C0AF2">
        <w:rPr>
          <w:rFonts w:ascii="Calibri" w:hAnsi="Calibri"/>
          <w:b/>
          <w:i/>
        </w:rPr>
        <w:t>Costs</w:t>
      </w:r>
    </w:p>
    <w:p w:rsidR="005A7DFE" w:rsidRPr="006E69EC" w:rsidRDefault="005A7DFE" w:rsidP="005A7DFE">
      <w:pPr>
        <w:keepNext/>
        <w:rPr>
          <w:rFonts w:ascii="Calibri" w:hAnsi="Calibri"/>
        </w:rPr>
      </w:pPr>
      <w:r w:rsidRPr="006E69EC">
        <w:rPr>
          <w:rFonts w:ascii="Calibri" w:hAnsi="Calibri"/>
        </w:rPr>
        <w:t>The WMBA agrees that the cost analysis for venues should only reflect the costs imposed by that venue.</w:t>
      </w:r>
    </w:p>
    <w:p w:rsidR="005A7DFE" w:rsidRPr="006E69EC" w:rsidRDefault="005A7DFE" w:rsidP="005A7DFE">
      <w:pPr>
        <w:keepNext/>
        <w:rPr>
          <w:rFonts w:ascii="Calibri" w:hAnsi="Calibri"/>
        </w:rPr>
      </w:pPr>
    </w:p>
    <w:p w:rsidR="005A7DFE" w:rsidRPr="002C0AF2" w:rsidRDefault="005A7DFE" w:rsidP="005A7DFE">
      <w:pPr>
        <w:keepNext/>
        <w:rPr>
          <w:rFonts w:ascii="Calibri" w:hAnsi="Calibri"/>
          <w:b/>
          <w:i/>
        </w:rPr>
      </w:pPr>
      <w:r w:rsidRPr="002C0AF2">
        <w:rPr>
          <w:rFonts w:ascii="Calibri" w:hAnsi="Calibri"/>
          <w:b/>
          <w:i/>
        </w:rPr>
        <w:t>Rebates, Discounts and Similar Payments</w:t>
      </w:r>
    </w:p>
    <w:p w:rsidR="005A7DFE" w:rsidRPr="006E69EC" w:rsidRDefault="005A7DFE" w:rsidP="005A7DFE">
      <w:pPr>
        <w:keepNext/>
        <w:rPr>
          <w:rFonts w:ascii="Calibri" w:hAnsi="Calibri"/>
        </w:rPr>
      </w:pPr>
      <w:r w:rsidRPr="006E69EC">
        <w:rPr>
          <w:rFonts w:ascii="Calibri" w:hAnsi="Calibri"/>
        </w:rPr>
        <w:t>The WMBA believes that where a disclosure is required of rebates, discounts or other similar payments then a prescribed format is not an appropriate methodology for such disclosures. In order to present this information in way which is clear, useful and not misleading venues must be able to provide a balanced presentation and have flexibility in the way this is done. Too crude a standardisation presentation will not be useful and may require many additional notes to ensure clarity of understanding that the attempt to assist comparability is only falsely achieved.</w:t>
      </w:r>
    </w:p>
    <w:p w:rsidR="005A7DFE" w:rsidRPr="006E69EC" w:rsidRDefault="005A7DFE" w:rsidP="005A7DFE">
      <w:pPr>
        <w:keepNext/>
        <w:rPr>
          <w:rFonts w:ascii="Calibri" w:hAnsi="Calibri"/>
        </w:rPr>
      </w:pPr>
    </w:p>
    <w:p w:rsidR="005A7DFE" w:rsidRPr="006E69EC" w:rsidRDefault="005A7DFE" w:rsidP="005A7DFE">
      <w:pPr>
        <w:keepNext/>
        <w:rPr>
          <w:rFonts w:ascii="Calibri" w:hAnsi="Calibri"/>
        </w:rPr>
      </w:pPr>
      <w:r w:rsidRPr="006E69EC">
        <w:rPr>
          <w:rFonts w:ascii="Calibri" w:hAnsi="Calibri"/>
        </w:rPr>
        <w:t>We do not believe that it is appropriate to require the disclosure of conflicts of interests’ information unless the conflicts of interest are not being identified and managed appropriately by the investment firm. The use of disclosure for conflicts of interests is now regarded as a last resort and therefore to require a standardised format for disclosure may indicate that the conflicts are not being appropriately managed. We would note that there are already separate guidelines related to the disclosure, if required, of conflicts of interest which are unlikely to be satisfied by a standardised template disclosure.</w:t>
      </w:r>
    </w:p>
    <w:p w:rsidR="005A7DFE" w:rsidRPr="006E69EC" w:rsidRDefault="005A7DFE" w:rsidP="005A7DFE">
      <w:pPr>
        <w:keepNext/>
        <w:rPr>
          <w:rFonts w:ascii="Calibri" w:hAnsi="Calibri"/>
        </w:rPr>
      </w:pPr>
    </w:p>
    <w:p w:rsidR="005A7DFE" w:rsidRPr="006E69EC" w:rsidRDefault="005A7DFE" w:rsidP="005A7DFE">
      <w:pPr>
        <w:keepNext/>
        <w:rPr>
          <w:rFonts w:ascii="Calibri" w:hAnsi="Calibri"/>
        </w:rPr>
      </w:pPr>
      <w:r w:rsidRPr="006E69EC">
        <w:rPr>
          <w:rFonts w:ascii="Calibri" w:hAnsi="Calibri"/>
        </w:rPr>
        <w:t xml:space="preserve">We believe that where a disclosure is required of conflicts of interest then a prescribed format is not an appropriate methodology for such disclosures. In order to present this information in way which is clear, useful and not misleading venues must be able to provide a balanced presentation and have the flexibility in the way this is done. Too crude a standardisation presentation will not be useful and may require many additional notes to ensure clarity of understanding that the attempt to assist comparability is only falsely achieved. </w:t>
      </w:r>
    </w:p>
    <w:p w:rsidR="005A7DFE" w:rsidRPr="006E69EC" w:rsidRDefault="005A7DFE" w:rsidP="005A7DFE">
      <w:pPr>
        <w:keepNext/>
        <w:rPr>
          <w:rFonts w:ascii="Calibri" w:hAnsi="Calibri"/>
        </w:rPr>
      </w:pPr>
    </w:p>
    <w:p w:rsidR="005A7DFE" w:rsidRPr="006E69EC" w:rsidRDefault="005A7DFE" w:rsidP="005A7DFE">
      <w:pPr>
        <w:keepNext/>
        <w:rPr>
          <w:rFonts w:ascii="Calibri" w:hAnsi="Calibri"/>
        </w:rPr>
      </w:pPr>
      <w:r w:rsidRPr="006E69EC">
        <w:rPr>
          <w:rFonts w:ascii="Calibri" w:hAnsi="Calibri"/>
        </w:rPr>
        <w:t xml:space="preserve">It is also likely that when such disclosure are required i.e. in cases where a conflict cannot be appropriately managed, more specific disclosure to affected market participants may be more appropriate than a more generalised, generic disclosure. </w:t>
      </w:r>
    </w:p>
    <w:p w:rsidR="005A7DFE" w:rsidRPr="006E69EC" w:rsidRDefault="005A7DFE" w:rsidP="005A7DFE">
      <w:pPr>
        <w:keepNext/>
        <w:rPr>
          <w:rFonts w:ascii="Calibri" w:hAnsi="Calibri"/>
        </w:rPr>
      </w:pPr>
    </w:p>
    <w:p w:rsidR="005A7DFE" w:rsidRPr="002C0AF2" w:rsidRDefault="005A7DFE" w:rsidP="005A7DFE">
      <w:pPr>
        <w:keepNext/>
        <w:rPr>
          <w:rFonts w:ascii="Calibri" w:hAnsi="Calibri"/>
          <w:b/>
          <w:i/>
        </w:rPr>
      </w:pPr>
      <w:r w:rsidRPr="002C0AF2">
        <w:rPr>
          <w:rFonts w:ascii="Calibri" w:hAnsi="Calibri"/>
          <w:b/>
          <w:i/>
        </w:rPr>
        <w:t>Likelihood of Execution</w:t>
      </w:r>
    </w:p>
    <w:p w:rsidR="005A7DFE" w:rsidRPr="006E69EC" w:rsidRDefault="005A7DFE" w:rsidP="005A7DFE">
      <w:pPr>
        <w:keepNext/>
        <w:rPr>
          <w:rFonts w:ascii="Calibri" w:hAnsi="Calibri"/>
        </w:rPr>
      </w:pPr>
      <w:r w:rsidRPr="006E69EC">
        <w:rPr>
          <w:rFonts w:ascii="Calibri" w:hAnsi="Calibri"/>
        </w:rPr>
        <w:t>The WMBA appreciates the difficulty of defining criteria related to the likelihood of execution. Given the variation in instruments and how they are traded it is also clear that what may be useful for one set of purposes may not be appropriate for another. Hence we believe that standardised disclosures should only be required for trades in liquid instruments under SSTI with a flexibility in presentation between instruments and method of trading.</w:t>
      </w:r>
    </w:p>
    <w:p w:rsidR="005A7DFE" w:rsidRPr="006E69EC" w:rsidRDefault="005A7DFE" w:rsidP="005A7DFE">
      <w:pPr>
        <w:keepNext/>
        <w:rPr>
          <w:rFonts w:ascii="Calibri" w:hAnsi="Calibri"/>
        </w:rPr>
      </w:pPr>
    </w:p>
    <w:p w:rsidR="005A7DFE" w:rsidRPr="006E69EC" w:rsidRDefault="005A7DFE" w:rsidP="005A7DFE">
      <w:pPr>
        <w:keepNext/>
        <w:rPr>
          <w:rFonts w:ascii="Calibri" w:hAnsi="Calibri"/>
        </w:rPr>
      </w:pPr>
      <w:r w:rsidRPr="006E69EC">
        <w:rPr>
          <w:rFonts w:ascii="Calibri" w:hAnsi="Calibri"/>
        </w:rPr>
        <w:t xml:space="preserve">We do not believe that the comparison of numbers of orders to numbers of trades always provides consistent and useful information in relation to the likelihood of execution. Any individual order will be created in the circumstances at the time which will not necessarily be a guide for other periods. In addition there are many factors of orders which it would be difficult to capture in a summarised analysis which have an important impact on the relevance of the quote being made for likelihood of execution e.g. conditions on orders, systems supported by streaming of prices, RFQ systems where quotes are effectively provided on demand etc. We believe therefore that where any such metrics are used they are only based on unconditional orders provided on a non-request basis. </w:t>
      </w:r>
    </w:p>
    <w:p w:rsidR="005A7DFE" w:rsidRPr="006E69EC" w:rsidRDefault="005A7DFE" w:rsidP="005A7DFE">
      <w:pPr>
        <w:keepNext/>
        <w:rPr>
          <w:rFonts w:ascii="Calibri" w:hAnsi="Calibri"/>
        </w:rPr>
      </w:pPr>
    </w:p>
    <w:p w:rsidR="005A7DFE" w:rsidRPr="002C0AF2" w:rsidRDefault="005A7DFE" w:rsidP="005A7DFE">
      <w:pPr>
        <w:keepNext/>
        <w:rPr>
          <w:rFonts w:ascii="Calibri" w:hAnsi="Calibri"/>
          <w:b/>
          <w:i/>
        </w:rPr>
      </w:pPr>
      <w:r w:rsidRPr="002C0AF2">
        <w:rPr>
          <w:rFonts w:ascii="Calibri" w:hAnsi="Calibri"/>
          <w:b/>
          <w:i/>
        </w:rPr>
        <w:t>Number of Market Makers</w:t>
      </w:r>
    </w:p>
    <w:p w:rsidR="00577C33" w:rsidRDefault="005A7DFE" w:rsidP="00EC2C93">
      <w:pPr>
        <w:keepNext/>
      </w:pPr>
      <w:r w:rsidRPr="006E69EC">
        <w:rPr>
          <w:rFonts w:ascii="Calibri" w:hAnsi="Calibri"/>
        </w:rPr>
        <w:t>The WMBA believe that it would be useful information for an assessment of likelihood of execution to disclosure, where appropriate and relevant, the number of market makers on a venue who support an instrument. We believe that it would be useful information to disclosure information, where relevant, regarding the market maker agreements which may be in place on a venue for certain instruments. For example the minimum coverage or minimum spread required under the market making agreement</w:t>
      </w:r>
      <w:r>
        <w:t xml:space="preserve">. </w:t>
      </w:r>
      <w:permEnd w:id="103236225"/>
      <w:r w:rsidR="00577C33">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2C0AF2" w:rsidRPr="002C0AF2" w:rsidRDefault="006E69EC" w:rsidP="006E69EC">
      <w:pPr>
        <w:spacing w:after="240" w:line="240" w:lineRule="auto"/>
        <w:rPr>
          <w:rFonts w:ascii="Calibri" w:eastAsia="Times New Roman" w:hAnsi="Calibri" w:cs="Times New Roman"/>
          <w:b/>
          <w:bCs/>
          <w:i/>
          <w:color w:val="000000"/>
          <w:szCs w:val="22"/>
          <w:lang w:eastAsia="en-GB"/>
        </w:rPr>
      </w:pPr>
      <w:permStart w:id="1181822620" w:edGrp="everyone"/>
      <w:r w:rsidRPr="002C0AF2">
        <w:rPr>
          <w:rFonts w:ascii="Calibri" w:eastAsia="Times New Roman" w:hAnsi="Calibri" w:cs="Times New Roman"/>
          <w:b/>
          <w:bCs/>
          <w:i/>
          <w:color w:val="000000"/>
          <w:szCs w:val="22"/>
          <w:lang w:eastAsia="en-GB"/>
        </w:rPr>
        <w:t>Times</w:t>
      </w:r>
    </w:p>
    <w:p w:rsidR="006E69EC" w:rsidRDefault="006E69EC" w:rsidP="006E69EC">
      <w:pPr>
        <w:spacing w:after="240" w:line="240" w:lineRule="auto"/>
        <w:rPr>
          <w:rFonts w:ascii="Calibri" w:eastAsia="Times New Roman" w:hAnsi="Calibri" w:cs="Times New Roman"/>
          <w:color w:val="000000"/>
          <w:szCs w:val="22"/>
          <w:lang w:eastAsia="en-GB"/>
        </w:rPr>
      </w:pPr>
      <w:r w:rsidRPr="006E69EC">
        <w:rPr>
          <w:rFonts w:ascii="Calibri" w:eastAsia="Times New Roman" w:hAnsi="Calibri" w:cs="Times New Roman"/>
          <w:color w:val="000000"/>
          <w:szCs w:val="22"/>
          <w:lang w:eastAsia="en-GB"/>
        </w:rPr>
        <w:br/>
      </w:r>
      <w:r>
        <w:rPr>
          <w:rFonts w:ascii="Calibri" w:eastAsia="Times New Roman" w:hAnsi="Calibri" w:cs="Times New Roman"/>
          <w:color w:val="000000"/>
          <w:szCs w:val="22"/>
          <w:lang w:eastAsia="en-GB"/>
        </w:rPr>
        <w:t>The WMBA</w:t>
      </w:r>
      <w:r w:rsidRPr="006E69EC">
        <w:rPr>
          <w:rFonts w:ascii="Calibri" w:eastAsia="Times New Roman" w:hAnsi="Calibri" w:cs="Times New Roman"/>
          <w:color w:val="000000"/>
          <w:szCs w:val="22"/>
          <w:lang w:eastAsia="en-GB"/>
        </w:rPr>
        <w:t xml:space="preserve"> do</w:t>
      </w:r>
      <w:r>
        <w:rPr>
          <w:rFonts w:ascii="Calibri" w:eastAsia="Times New Roman" w:hAnsi="Calibri" w:cs="Times New Roman"/>
          <w:color w:val="000000"/>
          <w:szCs w:val="22"/>
          <w:lang w:eastAsia="en-GB"/>
        </w:rPr>
        <w:t>es</w:t>
      </w:r>
      <w:r w:rsidRPr="006E69EC">
        <w:rPr>
          <w:rFonts w:ascii="Calibri" w:eastAsia="Times New Roman" w:hAnsi="Calibri" w:cs="Times New Roman"/>
          <w:color w:val="000000"/>
          <w:szCs w:val="22"/>
          <w:lang w:eastAsia="en-GB"/>
        </w:rPr>
        <w:t xml:space="preserve"> not believe that the time data for certain actions (e.g. response to RFQ, response to quote provided etc.) represent reliable information related to “speed” as the timescales are controlled by the market participants themselves. These usefulness of times are specific to the market mechanism being used e.g. active CLOBs in liquid instruments. In many instances, particularly for illiquid instruments, the timescales for actions (including either initial trading and as appropriate hedging of transactions) can be hours, days or even weeks. It is erroneous to try to measure the timeliness of these activities and then use this measure as a reliable indicator of how quickly a future transaction can be agreed and concluded. Hence we believe that the execution analysis should be restricted to liquid instruments under the SSTI threshold.</w:t>
      </w:r>
    </w:p>
    <w:p w:rsidR="006E69EC" w:rsidRPr="006E69EC" w:rsidRDefault="006E69EC" w:rsidP="006E69EC">
      <w:pPr>
        <w:spacing w:after="240" w:line="240" w:lineRule="auto"/>
        <w:rPr>
          <w:rFonts w:ascii="Calibri" w:eastAsia="Times New Roman" w:hAnsi="Calibri" w:cs="Times New Roman"/>
          <w:color w:val="000000"/>
          <w:szCs w:val="22"/>
          <w:lang w:eastAsia="en-GB"/>
        </w:rPr>
      </w:pPr>
      <w:r w:rsidRPr="006E69EC">
        <w:rPr>
          <w:rFonts w:ascii="Calibri" w:eastAsia="Times New Roman" w:hAnsi="Calibri" w:cs="Times New Roman"/>
          <w:color w:val="000000"/>
          <w:szCs w:val="22"/>
          <w:lang w:eastAsia="en-GB"/>
        </w:rPr>
        <w:t>We note ESMA’s comment that certain elements of information may be required where there is full pre-trade transparency. We would highlight that this indicates ESMA’s acknowledgement that a differentiation in the appropriateness of disclosure is necessary e.g. only for transactions in instruments where pre-trade transparency applies. These disclosures therefore should not go further than the information which has already been made public under the pre or post trade transparency requirement.</w:t>
      </w:r>
      <w:r w:rsidRPr="006E69EC">
        <w:rPr>
          <w:rFonts w:ascii="Calibri" w:eastAsia="Times New Roman" w:hAnsi="Calibri" w:cs="Times New Roman"/>
          <w:color w:val="000000"/>
          <w:szCs w:val="22"/>
          <w:lang w:eastAsia="en-GB"/>
        </w:rPr>
        <w:br/>
      </w:r>
      <w:r w:rsidRPr="006E69EC">
        <w:rPr>
          <w:rFonts w:ascii="Calibri" w:eastAsia="Times New Roman" w:hAnsi="Calibri" w:cs="Times New Roman"/>
          <w:color w:val="000000"/>
          <w:szCs w:val="22"/>
          <w:lang w:eastAsia="en-GB"/>
        </w:rPr>
        <w:br/>
        <w:t>We do not believe that conditional orders should be reflected in the analyses as it is not realistically possible to reflect the impact of any such conditions on the quality of execution compared to other transactions with none or other conditions. In addition we do not believe that depth of market, open and close prices, high and low measures are appropriate. Many of these measures are more appropriately available already via post-trade information.</w:t>
      </w:r>
    </w:p>
    <w:permEnd w:id="1181822620"/>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6E69EC" w:rsidRDefault="006E69EC" w:rsidP="006E69EC">
      <w:pPr>
        <w:spacing w:after="240" w:line="240" w:lineRule="auto"/>
        <w:rPr>
          <w:rFonts w:ascii="Calibri" w:eastAsia="Times New Roman" w:hAnsi="Calibri" w:cs="Times New Roman"/>
          <w:color w:val="000000"/>
          <w:szCs w:val="22"/>
          <w:lang w:eastAsia="en-GB"/>
        </w:rPr>
      </w:pPr>
      <w:permStart w:id="2019830692" w:edGrp="everyone"/>
      <w:r w:rsidRPr="006E69EC">
        <w:rPr>
          <w:rFonts w:ascii="Calibri" w:eastAsia="Times New Roman" w:hAnsi="Calibri" w:cs="Times New Roman"/>
          <w:color w:val="000000"/>
          <w:szCs w:val="22"/>
          <w:lang w:eastAsia="en-GB"/>
        </w:rPr>
        <w:t>No the WMBA does not agree with ESMA’s proposed approach.</w:t>
      </w:r>
    </w:p>
    <w:p w:rsidR="006E69EC" w:rsidRDefault="006E69EC" w:rsidP="006E69EC">
      <w:pPr>
        <w:spacing w:after="240" w:line="240" w:lineRule="auto"/>
        <w:rPr>
          <w:rFonts w:ascii="Calibri" w:eastAsia="Times New Roman" w:hAnsi="Calibri" w:cs="Times New Roman"/>
          <w:b/>
          <w:bCs/>
          <w:color w:val="000000"/>
          <w:szCs w:val="22"/>
          <w:lang w:eastAsia="en-GB"/>
        </w:rPr>
      </w:pPr>
      <w:r w:rsidRPr="006E69EC">
        <w:rPr>
          <w:rFonts w:ascii="Calibri" w:eastAsia="Times New Roman" w:hAnsi="Calibri" w:cs="Times New Roman"/>
          <w:b/>
          <w:bCs/>
          <w:color w:val="000000"/>
          <w:szCs w:val="22"/>
          <w:lang w:eastAsia="en-GB"/>
        </w:rPr>
        <w:t>Frequency of Reporting</w:t>
      </w:r>
    </w:p>
    <w:p w:rsidR="006E69EC" w:rsidRDefault="006E69EC" w:rsidP="006E69EC">
      <w:pPr>
        <w:spacing w:after="240" w:line="240" w:lineRule="auto"/>
        <w:rPr>
          <w:rFonts w:ascii="Calibri" w:eastAsia="Times New Roman" w:hAnsi="Calibri" w:cs="Times New Roman"/>
          <w:color w:val="000000"/>
          <w:szCs w:val="22"/>
          <w:lang w:eastAsia="en-GB"/>
        </w:rPr>
      </w:pPr>
      <w:r w:rsidRPr="006E69EC">
        <w:rPr>
          <w:rFonts w:ascii="Calibri" w:eastAsia="Times New Roman" w:hAnsi="Calibri" w:cs="Times New Roman"/>
          <w:color w:val="000000"/>
          <w:szCs w:val="22"/>
          <w:lang w:eastAsia="en-GB"/>
        </w:rPr>
        <w:t xml:space="preserve">WMBA agrees with the proposal that the frequency of reporting should be quarterly. We also agree that the quarterly reports should provide the analysis broken down by month. </w:t>
      </w:r>
    </w:p>
    <w:p w:rsidR="006E69EC" w:rsidRDefault="006E69EC" w:rsidP="006E69EC">
      <w:pPr>
        <w:spacing w:after="240" w:line="240" w:lineRule="auto"/>
        <w:rPr>
          <w:rFonts w:ascii="Calibri" w:eastAsia="Times New Roman" w:hAnsi="Calibri" w:cs="Times New Roman"/>
          <w:color w:val="000000"/>
          <w:szCs w:val="22"/>
          <w:lang w:eastAsia="en-GB"/>
        </w:rPr>
      </w:pPr>
      <w:r w:rsidRPr="006E69EC">
        <w:rPr>
          <w:rFonts w:ascii="Calibri" w:eastAsia="Times New Roman" w:hAnsi="Calibri" w:cs="Times New Roman"/>
          <w:color w:val="000000"/>
          <w:szCs w:val="22"/>
          <w:lang w:eastAsia="en-GB"/>
        </w:rPr>
        <w:t>We wish to point out the apparent anomaly that the proposed timescale for the annual publication by an investment firm is the same as that required by a venue for the final quarter of the year reviewed by the investment firm. To ensure that the investment firm is able to accommodate an analysis of the most recent information from the venues it uses we believe that investment firms should have a two month reporting deadline due to the complexity of the data.</w:t>
      </w:r>
    </w:p>
    <w:p w:rsidR="006E69EC" w:rsidRDefault="006E69EC" w:rsidP="006E69EC">
      <w:pPr>
        <w:spacing w:after="240" w:line="240" w:lineRule="auto"/>
        <w:rPr>
          <w:rFonts w:ascii="Calibri" w:eastAsia="Times New Roman" w:hAnsi="Calibri" w:cs="Times New Roman"/>
          <w:b/>
          <w:bCs/>
          <w:color w:val="000000"/>
          <w:szCs w:val="22"/>
          <w:lang w:eastAsia="en-GB"/>
        </w:rPr>
      </w:pPr>
      <w:r w:rsidRPr="006E69EC">
        <w:rPr>
          <w:rFonts w:ascii="Calibri" w:eastAsia="Times New Roman" w:hAnsi="Calibri" w:cs="Times New Roman"/>
          <w:b/>
          <w:bCs/>
          <w:color w:val="000000"/>
          <w:szCs w:val="22"/>
          <w:lang w:eastAsia="en-GB"/>
        </w:rPr>
        <w:t>Daily Information</w:t>
      </w:r>
    </w:p>
    <w:p w:rsidR="006E69EC" w:rsidRPr="006E69EC" w:rsidRDefault="006E69EC" w:rsidP="006E69EC">
      <w:pPr>
        <w:spacing w:after="240" w:line="240" w:lineRule="auto"/>
        <w:rPr>
          <w:rFonts w:ascii="Calibri" w:eastAsia="Times New Roman" w:hAnsi="Calibri" w:cs="Times New Roman"/>
          <w:color w:val="000000"/>
          <w:szCs w:val="22"/>
          <w:lang w:eastAsia="en-GB"/>
        </w:rPr>
      </w:pPr>
      <w:r w:rsidRPr="006E69EC">
        <w:rPr>
          <w:rFonts w:ascii="Calibri" w:eastAsia="Times New Roman" w:hAnsi="Calibri" w:cs="Times New Roman"/>
          <w:color w:val="000000"/>
          <w:szCs w:val="22"/>
          <w:lang w:eastAsia="en-GB"/>
        </w:rPr>
        <w:t>WMBA does not believe that the use of daily information in the analyses is either required or helpful. Such measures are too narrowly related to all the circumstances on the day of the measurement and are not indicative of the future status of the market when a market participant may wish to execute a transaction. In particular since the analysis required is at an individual instrument level the granularity of an analysis based on daily information is too great and for all but the most actively traded instruments will provide details of each individual transaction. We would recommend that the requirements are simplified to the average across the month or quarter. If a daily periodicity is to be maintained then this requirement should be restricted to only the most appropriate market mechanism e.g. active CLOBs in liquid instruments.</w:t>
      </w:r>
    </w:p>
    <w:permEnd w:id="2019830692"/>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EC2569" w:rsidRDefault="00EC2569" w:rsidP="00EC2569">
      <w:pPr>
        <w:spacing w:line="240" w:lineRule="auto"/>
        <w:rPr>
          <w:rFonts w:ascii="Calibri" w:eastAsia="Times New Roman" w:hAnsi="Calibri" w:cs="Times New Roman"/>
          <w:color w:val="000000"/>
          <w:szCs w:val="22"/>
          <w:lang w:eastAsia="en-GB"/>
        </w:rPr>
      </w:pPr>
      <w:permStart w:id="19355379" w:edGrp="everyone"/>
      <w:r w:rsidRPr="00EC2569">
        <w:rPr>
          <w:rFonts w:ascii="Calibri" w:eastAsia="Times New Roman" w:hAnsi="Calibri" w:cs="Times New Roman"/>
          <w:color w:val="000000"/>
          <w:szCs w:val="22"/>
          <w:lang w:eastAsia="en-GB"/>
        </w:rPr>
        <w:t>No the WMBA does not agree with ESMA’s proposed approach.</w:t>
      </w:r>
    </w:p>
    <w:p w:rsidR="00EC2569" w:rsidRPr="00EC2569" w:rsidRDefault="00EC2569" w:rsidP="00EC2569">
      <w:pPr>
        <w:spacing w:line="240" w:lineRule="auto"/>
        <w:rPr>
          <w:rFonts w:ascii="Calibri" w:eastAsia="Times New Roman" w:hAnsi="Calibri" w:cs="Times New Roman"/>
          <w:color w:val="000000"/>
          <w:szCs w:val="22"/>
          <w:lang w:eastAsia="en-GB"/>
        </w:rPr>
      </w:pPr>
      <w:r w:rsidRPr="00EC2569">
        <w:rPr>
          <w:rFonts w:ascii="Calibri" w:eastAsia="Times New Roman" w:hAnsi="Calibri" w:cs="Times New Roman"/>
          <w:color w:val="000000"/>
          <w:szCs w:val="22"/>
          <w:lang w:eastAsia="en-GB"/>
        </w:rPr>
        <w:br/>
      </w:r>
      <w:r w:rsidRPr="00EC2569">
        <w:rPr>
          <w:rFonts w:ascii="Calibri" w:eastAsia="Times New Roman" w:hAnsi="Calibri" w:cs="Times New Roman"/>
          <w:b/>
          <w:bCs/>
          <w:color w:val="000000"/>
          <w:szCs w:val="22"/>
          <w:lang w:eastAsia="en-GB"/>
        </w:rPr>
        <w:t>Frequency of Reporting</w:t>
      </w:r>
    </w:p>
    <w:p w:rsidR="00EC2569" w:rsidRDefault="00EC2569" w:rsidP="00EC2569">
      <w:pPr>
        <w:spacing w:line="240" w:lineRule="auto"/>
        <w:rPr>
          <w:rFonts w:ascii="Calibri" w:eastAsia="Times New Roman" w:hAnsi="Calibri" w:cs="Times New Roman"/>
          <w:color w:val="000000"/>
          <w:szCs w:val="22"/>
          <w:lang w:eastAsia="en-GB"/>
        </w:rPr>
      </w:pPr>
      <w:r w:rsidRPr="00EC2569">
        <w:rPr>
          <w:rFonts w:ascii="Calibri" w:eastAsia="Times New Roman" w:hAnsi="Calibri" w:cs="Times New Roman"/>
          <w:color w:val="000000"/>
          <w:szCs w:val="22"/>
          <w:lang w:eastAsia="en-GB"/>
        </w:rPr>
        <w:t>We wish to point out the apparent anomaly that the proposed timescale for the annual publication by an investment firm is the same as that required by a venue for the final quarter of the year reviewed by the investment firm. To ensure that the investment firm is able to accommodate an analysis of the most recent information from the venues it uses we believe that investment firms should have a two month reporting deadline due to the complexity of the data.</w:t>
      </w:r>
    </w:p>
    <w:p w:rsidR="00EC2569" w:rsidRDefault="00EC2569" w:rsidP="00EC2569">
      <w:pPr>
        <w:spacing w:line="240" w:lineRule="auto"/>
        <w:rPr>
          <w:rFonts w:ascii="Calibri" w:eastAsia="Times New Roman" w:hAnsi="Calibri" w:cs="Times New Roman"/>
          <w:b/>
          <w:bCs/>
          <w:color w:val="000000"/>
          <w:szCs w:val="22"/>
          <w:lang w:eastAsia="en-GB"/>
        </w:rPr>
      </w:pPr>
      <w:r w:rsidRPr="00EC2569">
        <w:rPr>
          <w:rFonts w:ascii="Calibri" w:eastAsia="Times New Roman" w:hAnsi="Calibri" w:cs="Times New Roman"/>
          <w:b/>
          <w:bCs/>
          <w:color w:val="000000"/>
          <w:szCs w:val="22"/>
          <w:lang w:eastAsia="en-GB"/>
        </w:rPr>
        <w:br/>
        <w:t>Conflicts of Interest</w:t>
      </w:r>
    </w:p>
    <w:p w:rsidR="00EC2569" w:rsidRDefault="00EC2569" w:rsidP="00EC2569">
      <w:pPr>
        <w:spacing w:line="240" w:lineRule="auto"/>
        <w:rPr>
          <w:rFonts w:ascii="Calibri" w:eastAsia="Times New Roman" w:hAnsi="Calibri" w:cs="Times New Roman"/>
          <w:color w:val="000000"/>
          <w:szCs w:val="22"/>
          <w:lang w:eastAsia="en-GB"/>
        </w:rPr>
      </w:pPr>
      <w:r w:rsidRPr="00EC2569">
        <w:rPr>
          <w:rFonts w:ascii="Calibri" w:eastAsia="Times New Roman" w:hAnsi="Calibri" w:cs="Times New Roman"/>
          <w:color w:val="000000"/>
          <w:szCs w:val="22"/>
          <w:lang w:eastAsia="en-GB"/>
        </w:rPr>
        <w:t>We do not believe that it is appropriate to require the disclosure of conflicts of interests’ information unless the conflicts of interest are not being identified and managed appropriately by the investment firm. The disclosure of conflicts of interests is commonly regarded by NCAs as a last resort measure and to require a standardised format for disclosure would indicate that the conflicts are not being appropriately managed. We would note that there are already separate guidelines relating to the disclosure, if required, of conflicts of interest which are unlikely to be satisfied by a standardised template disclosure.</w:t>
      </w:r>
    </w:p>
    <w:p w:rsidR="00EC2569" w:rsidRDefault="00EC2569" w:rsidP="00EC2569">
      <w:pPr>
        <w:spacing w:line="240" w:lineRule="auto"/>
        <w:rPr>
          <w:rFonts w:ascii="Calibri" w:eastAsia="Times New Roman" w:hAnsi="Calibri" w:cs="Times New Roman"/>
          <w:color w:val="000000"/>
          <w:szCs w:val="22"/>
          <w:lang w:eastAsia="en-GB"/>
        </w:rPr>
      </w:pPr>
      <w:r w:rsidRPr="00EC2569">
        <w:rPr>
          <w:rFonts w:ascii="Calibri" w:eastAsia="Times New Roman" w:hAnsi="Calibri" w:cs="Times New Roman"/>
          <w:color w:val="000000"/>
          <w:szCs w:val="22"/>
          <w:lang w:eastAsia="en-GB"/>
        </w:rPr>
        <w:br/>
        <w:t xml:space="preserve">We believe that where a disclosure of conflicts of interest is required then a prescribed format is not an appropriate methodology for such disclosures. In order to present this information in way which is clear, useful and not misleading venues must be able to provide a balanced presentation and have the flexibility in the way this is done. Too crude a standardised presentation will not be useful and may require many additional notes to ensure clarity of understanding that the attempt to assist comparability is only falsely achieved. </w:t>
      </w:r>
    </w:p>
    <w:p w:rsidR="00EC2569" w:rsidRDefault="00EC2569" w:rsidP="00EC2569">
      <w:pPr>
        <w:spacing w:line="240" w:lineRule="auto"/>
        <w:rPr>
          <w:rFonts w:ascii="Calibri" w:eastAsia="Times New Roman" w:hAnsi="Calibri" w:cs="Times New Roman"/>
          <w:color w:val="000000"/>
          <w:szCs w:val="22"/>
          <w:lang w:eastAsia="en-GB"/>
        </w:rPr>
      </w:pPr>
      <w:r w:rsidRPr="00EC2569">
        <w:rPr>
          <w:rFonts w:ascii="Calibri" w:eastAsia="Times New Roman" w:hAnsi="Calibri" w:cs="Times New Roman"/>
          <w:color w:val="000000"/>
          <w:szCs w:val="22"/>
          <w:lang w:eastAsia="en-GB"/>
        </w:rPr>
        <w:br/>
        <w:t xml:space="preserve">It is also likely that when such disclosure is required i.e. in cases where a conflict cannot be appropriately managed more specific disclosure to affected market participants may be more appropriate than a more generalised, generic disclosure. </w:t>
      </w:r>
    </w:p>
    <w:p w:rsidR="00EC2569" w:rsidRDefault="00EC2569" w:rsidP="00EC2569">
      <w:pPr>
        <w:spacing w:line="240" w:lineRule="auto"/>
        <w:rPr>
          <w:rFonts w:ascii="Calibri" w:eastAsia="Times New Roman" w:hAnsi="Calibri" w:cs="Times New Roman"/>
          <w:color w:val="000000"/>
          <w:szCs w:val="22"/>
          <w:lang w:eastAsia="en-GB"/>
        </w:rPr>
      </w:pPr>
      <w:r w:rsidRPr="00EC2569">
        <w:rPr>
          <w:rFonts w:ascii="Calibri" w:eastAsia="Times New Roman" w:hAnsi="Calibri" w:cs="Times New Roman"/>
          <w:b/>
          <w:bCs/>
          <w:color w:val="000000"/>
          <w:szCs w:val="22"/>
          <w:lang w:eastAsia="en-GB"/>
        </w:rPr>
        <w:br/>
        <w:t>Percentages</w:t>
      </w:r>
      <w:r w:rsidRPr="00EC2569">
        <w:rPr>
          <w:rFonts w:ascii="Calibri" w:eastAsia="Times New Roman" w:hAnsi="Calibri" w:cs="Times New Roman"/>
          <w:b/>
          <w:bCs/>
          <w:color w:val="000000"/>
          <w:szCs w:val="22"/>
          <w:lang w:eastAsia="en-GB"/>
        </w:rPr>
        <w:br/>
      </w:r>
      <w:r>
        <w:rPr>
          <w:rFonts w:ascii="Calibri" w:eastAsia="Times New Roman" w:hAnsi="Calibri" w:cs="Times New Roman"/>
          <w:color w:val="000000"/>
          <w:szCs w:val="22"/>
          <w:lang w:eastAsia="en-GB"/>
        </w:rPr>
        <w:t>The WMBA does</w:t>
      </w:r>
      <w:r w:rsidRPr="00EC2569">
        <w:rPr>
          <w:rFonts w:ascii="Calibri" w:eastAsia="Times New Roman" w:hAnsi="Calibri" w:cs="Times New Roman"/>
          <w:color w:val="000000"/>
          <w:szCs w:val="22"/>
          <w:lang w:eastAsia="en-GB"/>
        </w:rPr>
        <w:t xml:space="preserve"> support the use of percentages in the analyses required from investment firms. We therefore believe that, for consistency, the data on orders should be “Percentage of orders executed on this execution venue” rather than “Numbers of orders executed on this execution venue”. </w:t>
      </w:r>
    </w:p>
    <w:p w:rsidR="00EC2569" w:rsidRDefault="00EC2569" w:rsidP="00EC2569">
      <w:pPr>
        <w:spacing w:line="240" w:lineRule="auto"/>
        <w:rPr>
          <w:rFonts w:ascii="Calibri" w:eastAsia="Times New Roman" w:hAnsi="Calibri" w:cs="Times New Roman"/>
          <w:b/>
          <w:bCs/>
          <w:color w:val="000000"/>
          <w:szCs w:val="22"/>
          <w:lang w:eastAsia="en-GB"/>
        </w:rPr>
      </w:pPr>
      <w:r w:rsidRPr="00EC2569">
        <w:rPr>
          <w:rFonts w:ascii="Calibri" w:eastAsia="Times New Roman" w:hAnsi="Calibri" w:cs="Times New Roman"/>
          <w:b/>
          <w:bCs/>
          <w:color w:val="000000"/>
          <w:szCs w:val="22"/>
          <w:lang w:eastAsia="en-GB"/>
        </w:rPr>
        <w:br/>
        <w:t>Class Taxonomy</w:t>
      </w:r>
    </w:p>
    <w:p w:rsidR="00EC2569" w:rsidRPr="00EC2569" w:rsidRDefault="00EC2569" w:rsidP="00EC2569">
      <w:pPr>
        <w:spacing w:line="240" w:lineRule="auto"/>
        <w:rPr>
          <w:rFonts w:ascii="Calibri" w:eastAsia="Times New Roman" w:hAnsi="Calibri" w:cs="Times New Roman"/>
          <w:color w:val="000000"/>
          <w:szCs w:val="22"/>
          <w:lang w:eastAsia="en-GB"/>
        </w:rPr>
      </w:pPr>
      <w:r w:rsidRPr="00EC2569">
        <w:rPr>
          <w:rFonts w:ascii="Calibri" w:eastAsia="Times New Roman" w:hAnsi="Calibri" w:cs="Times New Roman"/>
          <w:color w:val="000000"/>
          <w:szCs w:val="22"/>
          <w:lang w:eastAsia="en-GB"/>
        </w:rPr>
        <w:t>We agree that if there is to be a requirement to provide an instrument class in the analysis any class or categorisation of instruments should follow the class analysis used for the pre and post trade transparency requirements. This will not only ensure consistency of information but also avoid requiring systems to manage differing classification regimes.</w:t>
      </w:r>
    </w:p>
    <w:permEnd w:id="19355379"/>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&lt;ESMA_QUESTION_CP_MIFID_36&gt;</w:t>
      </w:r>
    </w:p>
    <w:p w:rsidR="00EC2569" w:rsidRDefault="00EC2569" w:rsidP="00EC2569">
      <w:pPr>
        <w:spacing w:line="240" w:lineRule="auto"/>
        <w:rPr>
          <w:rFonts w:ascii="Calibri" w:eastAsia="Times New Roman" w:hAnsi="Calibri" w:cs="Times New Roman"/>
          <w:b/>
          <w:bCs/>
          <w:color w:val="000000"/>
          <w:szCs w:val="22"/>
          <w:lang w:eastAsia="en-GB"/>
        </w:rPr>
      </w:pPr>
      <w:permStart w:id="556752525" w:edGrp="everyone"/>
      <w:r w:rsidRPr="00EC2569">
        <w:rPr>
          <w:rFonts w:ascii="Calibri" w:eastAsia="Times New Roman" w:hAnsi="Calibri" w:cs="Times New Roman"/>
          <w:b/>
          <w:bCs/>
          <w:color w:val="000000"/>
          <w:szCs w:val="22"/>
          <w:lang w:eastAsia="en-GB"/>
        </w:rPr>
        <w:t>Client Category Breakdown</w:t>
      </w:r>
    </w:p>
    <w:p w:rsidR="00EC2569" w:rsidRDefault="00EC2569" w:rsidP="00EC2569">
      <w:pPr>
        <w:spacing w:line="240" w:lineRule="auto"/>
        <w:rPr>
          <w:rFonts w:ascii="Calibri" w:eastAsia="Times New Roman" w:hAnsi="Calibri" w:cs="Times New Roman"/>
          <w:color w:val="000000"/>
          <w:szCs w:val="22"/>
          <w:lang w:eastAsia="en-GB"/>
        </w:rPr>
      </w:pPr>
      <w:r w:rsidRPr="00EC2569">
        <w:rPr>
          <w:rFonts w:ascii="Calibri" w:eastAsia="Times New Roman" w:hAnsi="Calibri" w:cs="Times New Roman"/>
          <w:b/>
          <w:bCs/>
          <w:color w:val="000000"/>
          <w:szCs w:val="22"/>
          <w:lang w:eastAsia="en-GB"/>
        </w:rPr>
        <w:br/>
      </w:r>
      <w:r>
        <w:rPr>
          <w:rFonts w:ascii="Calibri" w:eastAsia="Times New Roman" w:hAnsi="Calibri" w:cs="Times New Roman"/>
          <w:color w:val="000000"/>
          <w:szCs w:val="22"/>
          <w:lang w:eastAsia="en-GB"/>
        </w:rPr>
        <w:t>The WMBA</w:t>
      </w:r>
      <w:r w:rsidRPr="00EC2569">
        <w:rPr>
          <w:rFonts w:ascii="Calibri" w:eastAsia="Times New Roman" w:hAnsi="Calibri" w:cs="Times New Roman"/>
          <w:color w:val="000000"/>
          <w:szCs w:val="22"/>
          <w:lang w:eastAsia="en-GB"/>
        </w:rPr>
        <w:t xml:space="preserve"> do</w:t>
      </w:r>
      <w:r>
        <w:rPr>
          <w:rFonts w:ascii="Calibri" w:eastAsia="Times New Roman" w:hAnsi="Calibri" w:cs="Times New Roman"/>
          <w:color w:val="000000"/>
          <w:szCs w:val="22"/>
          <w:lang w:eastAsia="en-GB"/>
        </w:rPr>
        <w:t>es</w:t>
      </w:r>
      <w:r w:rsidRPr="00EC2569">
        <w:rPr>
          <w:rFonts w:ascii="Calibri" w:eastAsia="Times New Roman" w:hAnsi="Calibri" w:cs="Times New Roman"/>
          <w:color w:val="000000"/>
          <w:szCs w:val="22"/>
          <w:lang w:eastAsia="en-GB"/>
        </w:rPr>
        <w:t xml:space="preserve"> not believe that a breakdown by category of client is required in the information to be disclosed. This goes beyond the Level 1 requirements of Article 27. In requiring such disclosure it presupposes that the category of client may in itself be a factor in the quality of execution when any differentiation of result, if any is shown, will be down to other underlying factors such as type of trading activity, volume of trading, volume of trades, availability of credit and other potential factors such as internal trading decision procedures.</w:t>
      </w:r>
    </w:p>
    <w:p w:rsidR="00EC2569" w:rsidRDefault="00EC2569" w:rsidP="00EC2569">
      <w:pPr>
        <w:spacing w:line="240" w:lineRule="auto"/>
        <w:rPr>
          <w:rFonts w:ascii="Calibri" w:eastAsia="Times New Roman" w:hAnsi="Calibri" w:cs="Times New Roman"/>
          <w:b/>
          <w:bCs/>
          <w:color w:val="000000"/>
          <w:szCs w:val="22"/>
          <w:lang w:eastAsia="en-GB"/>
        </w:rPr>
      </w:pPr>
      <w:r w:rsidRPr="00EC2569">
        <w:rPr>
          <w:rFonts w:ascii="Calibri" w:eastAsia="Times New Roman" w:hAnsi="Calibri" w:cs="Times New Roman"/>
          <w:b/>
          <w:bCs/>
          <w:color w:val="000000"/>
          <w:szCs w:val="22"/>
          <w:lang w:eastAsia="en-GB"/>
        </w:rPr>
        <w:br/>
        <w:t>Conflicts of Interest</w:t>
      </w:r>
    </w:p>
    <w:p w:rsidR="00EC2569" w:rsidRDefault="00EC2569" w:rsidP="00EC2569">
      <w:pPr>
        <w:spacing w:line="240" w:lineRule="auto"/>
        <w:rPr>
          <w:rFonts w:ascii="Calibri" w:eastAsia="Times New Roman" w:hAnsi="Calibri" w:cs="Times New Roman"/>
          <w:color w:val="000000"/>
          <w:szCs w:val="22"/>
          <w:lang w:eastAsia="en-GB"/>
        </w:rPr>
      </w:pPr>
      <w:r>
        <w:rPr>
          <w:rFonts w:ascii="Calibri" w:eastAsia="Times New Roman" w:hAnsi="Calibri" w:cs="Times New Roman"/>
          <w:color w:val="000000"/>
          <w:szCs w:val="22"/>
          <w:lang w:eastAsia="en-GB"/>
        </w:rPr>
        <w:t>The WMBA</w:t>
      </w:r>
      <w:r w:rsidRPr="00EC2569">
        <w:rPr>
          <w:rFonts w:ascii="Calibri" w:eastAsia="Times New Roman" w:hAnsi="Calibri" w:cs="Times New Roman"/>
          <w:color w:val="000000"/>
          <w:szCs w:val="22"/>
          <w:lang w:eastAsia="en-GB"/>
        </w:rPr>
        <w:t xml:space="preserve"> do</w:t>
      </w:r>
      <w:r>
        <w:rPr>
          <w:rFonts w:ascii="Calibri" w:eastAsia="Times New Roman" w:hAnsi="Calibri" w:cs="Times New Roman"/>
          <w:color w:val="000000"/>
          <w:szCs w:val="22"/>
          <w:lang w:eastAsia="en-GB"/>
        </w:rPr>
        <w:t>es</w:t>
      </w:r>
      <w:r w:rsidRPr="00EC2569">
        <w:rPr>
          <w:rFonts w:ascii="Calibri" w:eastAsia="Times New Roman" w:hAnsi="Calibri" w:cs="Times New Roman"/>
          <w:color w:val="000000"/>
          <w:szCs w:val="22"/>
          <w:lang w:eastAsia="en-GB"/>
        </w:rPr>
        <w:t xml:space="preserve"> not believe that it is appropriate to require the disclosure of conflicts of interests’ information unless the conflicts of interest are not being identified and managed appropriately by the investment firm. The disclosure of conflicts of interests is commonly regarded by NCAs as a last resort measure and to require a standardised format for disclosure would indicate that the conflicts are not being appropriately managed. We would note that there are already separate guidelines relating to the disclosure, if required, of conflicts of interest which are unlikely to be satisfied by a standardised template disclosure.</w:t>
      </w:r>
    </w:p>
    <w:p w:rsidR="00EC2569" w:rsidRDefault="00EC2569" w:rsidP="00EC2569">
      <w:pPr>
        <w:spacing w:line="240" w:lineRule="auto"/>
        <w:rPr>
          <w:rFonts w:ascii="Calibri" w:eastAsia="Times New Roman" w:hAnsi="Calibri" w:cs="Times New Roman"/>
          <w:color w:val="000000"/>
          <w:szCs w:val="22"/>
          <w:lang w:eastAsia="en-GB"/>
        </w:rPr>
      </w:pPr>
      <w:r w:rsidRPr="00EC2569">
        <w:rPr>
          <w:rFonts w:ascii="Calibri" w:eastAsia="Times New Roman" w:hAnsi="Calibri" w:cs="Times New Roman"/>
          <w:color w:val="000000"/>
          <w:szCs w:val="22"/>
          <w:lang w:eastAsia="en-GB"/>
        </w:rPr>
        <w:br/>
        <w:t xml:space="preserve">We believe that where a disclosure of conflicts of interest is required then a prescribed format is not an appropriate methodology for such disclosures. In order to present this information in way which is clear, useful and not misleading venues must be able to provide a balanced presentation and have the flexibility in the way this is done. Too crude a standardised presentation will not be useful and may require many additional notes to ensure clarity of understanding that the attempt to assist comparability is only falsely achieved. </w:t>
      </w:r>
    </w:p>
    <w:p w:rsidR="00EC2569" w:rsidRDefault="00EC2569" w:rsidP="00EC2569">
      <w:pPr>
        <w:spacing w:line="240" w:lineRule="auto"/>
        <w:rPr>
          <w:rFonts w:ascii="Calibri" w:eastAsia="Times New Roman" w:hAnsi="Calibri" w:cs="Times New Roman"/>
          <w:b/>
          <w:bCs/>
          <w:color w:val="000000"/>
          <w:szCs w:val="22"/>
          <w:lang w:eastAsia="en-GB"/>
        </w:rPr>
      </w:pPr>
      <w:r w:rsidRPr="00EC2569">
        <w:rPr>
          <w:rFonts w:ascii="Calibri" w:eastAsia="Times New Roman" w:hAnsi="Calibri" w:cs="Times New Roman"/>
          <w:color w:val="000000"/>
          <w:szCs w:val="22"/>
          <w:lang w:eastAsia="en-GB"/>
        </w:rPr>
        <w:br/>
        <w:t>It is also likely that when such disclosure is required i.e. in cases where a conflict cannot be appropriately managed more specific disclosure to affected market participants may be more appropriate than a more generalised, generic disclosure.</w:t>
      </w:r>
      <w:r w:rsidRPr="00EC2569">
        <w:rPr>
          <w:rFonts w:ascii="Calibri" w:eastAsia="Times New Roman" w:hAnsi="Calibri" w:cs="Times New Roman"/>
          <w:b/>
          <w:bCs/>
          <w:color w:val="000000"/>
          <w:szCs w:val="22"/>
          <w:lang w:eastAsia="en-GB"/>
        </w:rPr>
        <w:t xml:space="preserve"> </w:t>
      </w:r>
    </w:p>
    <w:p w:rsidR="00EC2569" w:rsidRDefault="00EC2569" w:rsidP="00EC2569">
      <w:pPr>
        <w:spacing w:line="240" w:lineRule="auto"/>
        <w:rPr>
          <w:rFonts w:ascii="Calibri" w:eastAsia="Times New Roman" w:hAnsi="Calibri" w:cs="Times New Roman"/>
          <w:b/>
          <w:bCs/>
          <w:color w:val="000000"/>
          <w:szCs w:val="22"/>
          <w:lang w:eastAsia="en-GB"/>
        </w:rPr>
      </w:pPr>
      <w:r w:rsidRPr="00EC2569">
        <w:rPr>
          <w:rFonts w:ascii="Calibri" w:eastAsia="Times New Roman" w:hAnsi="Calibri" w:cs="Times New Roman"/>
          <w:b/>
          <w:bCs/>
          <w:color w:val="000000"/>
          <w:szCs w:val="22"/>
          <w:lang w:eastAsia="en-GB"/>
        </w:rPr>
        <w:br/>
        <w:t>Internal Monitoring</w:t>
      </w:r>
    </w:p>
    <w:p w:rsidR="00EC2569" w:rsidRDefault="00EC2569" w:rsidP="00EC2569">
      <w:pPr>
        <w:spacing w:line="240" w:lineRule="auto"/>
        <w:rPr>
          <w:rFonts w:ascii="Calibri" w:eastAsia="Times New Roman" w:hAnsi="Calibri" w:cs="Times New Roman"/>
          <w:color w:val="000000"/>
          <w:szCs w:val="22"/>
          <w:lang w:eastAsia="en-GB"/>
        </w:rPr>
      </w:pPr>
      <w:r>
        <w:rPr>
          <w:rFonts w:ascii="Calibri" w:eastAsia="Times New Roman" w:hAnsi="Calibri" w:cs="Times New Roman"/>
          <w:color w:val="000000"/>
          <w:szCs w:val="22"/>
          <w:lang w:eastAsia="en-GB"/>
        </w:rPr>
        <w:t>The WMBA does</w:t>
      </w:r>
      <w:r w:rsidRPr="00EC2569">
        <w:rPr>
          <w:rFonts w:ascii="Calibri" w:eastAsia="Times New Roman" w:hAnsi="Calibri" w:cs="Times New Roman"/>
          <w:color w:val="000000"/>
          <w:szCs w:val="22"/>
          <w:lang w:eastAsia="en-GB"/>
        </w:rPr>
        <w:t xml:space="preserve"> agree with the proposal to allow the use of internal monitoring information if this is a meaningful way of proving the required disclosures. </w:t>
      </w:r>
    </w:p>
    <w:p w:rsidR="00EC2569" w:rsidRDefault="00EC2569" w:rsidP="00EC2569">
      <w:pPr>
        <w:spacing w:line="240" w:lineRule="auto"/>
        <w:rPr>
          <w:rFonts w:ascii="Calibri" w:eastAsia="Times New Roman" w:hAnsi="Calibri" w:cs="Times New Roman"/>
          <w:color w:val="000000"/>
          <w:szCs w:val="22"/>
          <w:lang w:eastAsia="en-GB"/>
        </w:rPr>
      </w:pPr>
      <w:r w:rsidRPr="00EC2569">
        <w:rPr>
          <w:rFonts w:ascii="Calibri" w:eastAsia="Times New Roman" w:hAnsi="Calibri" w:cs="Times New Roman"/>
          <w:color w:val="000000"/>
          <w:szCs w:val="22"/>
          <w:lang w:eastAsia="en-GB"/>
        </w:rPr>
        <w:br/>
        <w:t>We do not agree however that the details of internal monitoring itself should be made publicly available. The full results of internal monitoring are for internal purposes only. To require disclosure of all internal monitoring information, or certain key elements such as action taken, goes beyond the Level 1 requirement. Such a requirement would also inhibit the free use of internal monitoring procedures if it was known these were to be made public as well as the commercial considerations involved between investment firms. In particular it is inappropriate for any corrective action taken to be made public as this should be used for internal governance and, as necessary, NCA supervision.</w:t>
      </w:r>
    </w:p>
    <w:p w:rsidR="00EC2569" w:rsidRDefault="00EC2569" w:rsidP="00EC2569">
      <w:pPr>
        <w:spacing w:line="240" w:lineRule="auto"/>
        <w:rPr>
          <w:rFonts w:ascii="Calibri" w:eastAsia="Times New Roman" w:hAnsi="Calibri" w:cs="Times New Roman"/>
          <w:b/>
          <w:bCs/>
          <w:color w:val="000000"/>
          <w:szCs w:val="22"/>
          <w:lang w:eastAsia="en-GB"/>
        </w:rPr>
      </w:pPr>
      <w:r w:rsidRPr="00EC2569">
        <w:rPr>
          <w:rFonts w:ascii="Calibri" w:eastAsia="Times New Roman" w:hAnsi="Calibri" w:cs="Times New Roman"/>
          <w:b/>
          <w:bCs/>
          <w:color w:val="000000"/>
          <w:szCs w:val="22"/>
          <w:lang w:eastAsia="en-GB"/>
        </w:rPr>
        <w:br/>
        <w:t>Sample Analysis</w:t>
      </w:r>
    </w:p>
    <w:p w:rsidR="00EC2569" w:rsidRDefault="00EC2569" w:rsidP="00EC2569">
      <w:pPr>
        <w:spacing w:line="240" w:lineRule="auto"/>
        <w:rPr>
          <w:rFonts w:ascii="Calibri" w:eastAsia="Times New Roman" w:hAnsi="Calibri" w:cs="Times New Roman"/>
          <w:b/>
          <w:bCs/>
          <w:color w:val="000000"/>
          <w:szCs w:val="22"/>
          <w:lang w:eastAsia="en-GB"/>
        </w:rPr>
      </w:pPr>
      <w:r w:rsidRPr="00EC2569">
        <w:rPr>
          <w:rFonts w:ascii="Calibri" w:eastAsia="Times New Roman" w:hAnsi="Calibri" w:cs="Times New Roman"/>
          <w:color w:val="000000"/>
          <w:szCs w:val="22"/>
          <w:lang w:eastAsia="en-GB"/>
        </w:rPr>
        <w:t>We agree that a sample methodology may be an appropriate and proportionate methodology for an investment firm to perform its execution monitoring analysis and that, as appropriate, the information from such sample analysis may be a useful element of the disclosures made by an investment firm.</w:t>
      </w:r>
      <w:r w:rsidRPr="00EC2569">
        <w:rPr>
          <w:rFonts w:ascii="Calibri" w:eastAsia="Times New Roman" w:hAnsi="Calibri" w:cs="Times New Roman"/>
          <w:color w:val="000000"/>
          <w:szCs w:val="22"/>
          <w:lang w:eastAsia="en-GB"/>
        </w:rPr>
        <w:br/>
      </w:r>
      <w:r w:rsidRPr="00EC2569">
        <w:rPr>
          <w:rFonts w:ascii="Calibri" w:eastAsia="Times New Roman" w:hAnsi="Calibri" w:cs="Times New Roman"/>
          <w:b/>
          <w:bCs/>
          <w:color w:val="000000"/>
          <w:szCs w:val="22"/>
          <w:lang w:eastAsia="en-GB"/>
        </w:rPr>
        <w:br/>
        <w:t>Frequency of Reporting</w:t>
      </w:r>
    </w:p>
    <w:p w:rsidR="00EC2569" w:rsidRPr="00EC2569" w:rsidRDefault="00EC2569" w:rsidP="00EC2569">
      <w:pPr>
        <w:spacing w:line="240" w:lineRule="auto"/>
        <w:rPr>
          <w:rFonts w:ascii="Calibri" w:eastAsia="Times New Roman" w:hAnsi="Calibri" w:cs="Times New Roman"/>
          <w:b/>
          <w:bCs/>
          <w:color w:val="000000"/>
          <w:szCs w:val="22"/>
          <w:lang w:eastAsia="en-GB"/>
        </w:rPr>
      </w:pPr>
      <w:r>
        <w:rPr>
          <w:rFonts w:ascii="Calibri" w:eastAsia="Times New Roman" w:hAnsi="Calibri" w:cs="Times New Roman"/>
          <w:color w:val="000000"/>
          <w:szCs w:val="22"/>
          <w:lang w:eastAsia="en-GB"/>
        </w:rPr>
        <w:t xml:space="preserve">The WMBA </w:t>
      </w:r>
      <w:r w:rsidRPr="00EC2569">
        <w:rPr>
          <w:rFonts w:ascii="Calibri" w:eastAsia="Times New Roman" w:hAnsi="Calibri" w:cs="Times New Roman"/>
          <w:color w:val="000000"/>
          <w:szCs w:val="22"/>
          <w:lang w:eastAsia="en-GB"/>
        </w:rPr>
        <w:t>wish</w:t>
      </w:r>
      <w:r>
        <w:rPr>
          <w:rFonts w:ascii="Calibri" w:eastAsia="Times New Roman" w:hAnsi="Calibri" w:cs="Times New Roman"/>
          <w:color w:val="000000"/>
          <w:szCs w:val="22"/>
          <w:lang w:eastAsia="en-GB"/>
        </w:rPr>
        <w:t>es</w:t>
      </w:r>
      <w:r w:rsidRPr="00EC2569">
        <w:rPr>
          <w:rFonts w:ascii="Calibri" w:eastAsia="Times New Roman" w:hAnsi="Calibri" w:cs="Times New Roman"/>
          <w:color w:val="000000"/>
          <w:szCs w:val="22"/>
          <w:lang w:eastAsia="en-GB"/>
        </w:rPr>
        <w:t xml:space="preserve"> to point out the apparent anomaly that the proposed timescale for the annual publication by an investment firm is the same as that required by a venue for the final quarter of the year reviewed by the investment firm. To ensure that the investment firm is able to accommodate an analysis of the most recent information from the venues it uses we believe that investment firms should have a two month reporting deadline due to the complexity of the data.</w:t>
      </w:r>
    </w:p>
    <w:permEnd w:id="556752525"/>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1441414950" w:edGrp="everyone"/>
      <w:r>
        <w:t>TYPE YOUR TEXT HERE</w:t>
      </w:r>
    </w:p>
    <w:permEnd w:id="1441414950"/>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1543187981" w:edGrp="everyone"/>
      <w:r>
        <w:t>TYPE YOUR TEXT HERE</w:t>
      </w:r>
    </w:p>
    <w:permEnd w:id="1543187981"/>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203515050" w:edGrp="everyone"/>
      <w:r>
        <w:t>TYPE YOUR TEXT HERE</w:t>
      </w:r>
    </w:p>
    <w:permEnd w:id="203515050"/>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1378381269" w:edGrp="everyone"/>
      <w:r>
        <w:t>TYPE YOUR TEXT HERE</w:t>
      </w:r>
    </w:p>
    <w:permEnd w:id="1378381269"/>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81595202" w:edGrp="everyone"/>
      <w:r>
        <w:t>TYPE YOUR TEXT HERE</w:t>
      </w:r>
    </w:p>
    <w:permEnd w:id="81595202"/>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577584015" w:edGrp="everyone"/>
      <w:r>
        <w:t>TYPE YOUR TEXT HERE</w:t>
      </w:r>
    </w:p>
    <w:permEnd w:id="577584015"/>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t>&lt;ESMA_QUESTION_CP_MIFID_43&gt;</w:t>
      </w:r>
    </w:p>
    <w:p w:rsidR="00577C33" w:rsidRDefault="00577C33" w:rsidP="00EC2C93">
      <w:pPr>
        <w:keepNext/>
      </w:pPr>
      <w:permStart w:id="493778185" w:edGrp="everyone"/>
      <w:r>
        <w:t>TYPE YOUR TEXT HERE</w:t>
      </w:r>
    </w:p>
    <w:permEnd w:id="493778185"/>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962475125" w:edGrp="everyone"/>
      <w:r>
        <w:t>TYPE YOUR TEXT HERE</w:t>
      </w:r>
    </w:p>
    <w:permEnd w:id="962475125"/>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647395800" w:edGrp="everyone"/>
      <w:r>
        <w:t>TYPE YOUR TEXT HERE</w:t>
      </w:r>
    </w:p>
    <w:permEnd w:id="647395800"/>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1145438876" w:edGrp="everyone"/>
      <w:r>
        <w:t>TYPE YOUR TEXT HERE</w:t>
      </w:r>
    </w:p>
    <w:permEnd w:id="1145438876"/>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1196909609" w:edGrp="everyone"/>
      <w:r>
        <w:t>TYPE YOUR TEXT HERE</w:t>
      </w:r>
    </w:p>
    <w:permEnd w:id="1196909609"/>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813762777" w:edGrp="everyone"/>
      <w:r>
        <w:t>TYPE YOUR TEXT HERE</w:t>
      </w:r>
    </w:p>
    <w:permEnd w:id="813762777"/>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1752302844" w:edGrp="everyone"/>
      <w:r>
        <w:t>TYPE YOUR TEXT HERE</w:t>
      </w:r>
    </w:p>
    <w:permEnd w:id="1752302844"/>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t>&lt;ESMA_QUESTION_CP_MIFID_50&gt;</w:t>
      </w:r>
    </w:p>
    <w:p w:rsidR="00577C33" w:rsidRDefault="00577C33" w:rsidP="00EC2C93">
      <w:pPr>
        <w:keepNext/>
      </w:pPr>
      <w:permStart w:id="145047005" w:edGrp="everyone"/>
      <w:r>
        <w:t>TYPE YOUR TEXT HERE</w:t>
      </w:r>
    </w:p>
    <w:permEnd w:id="145047005"/>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396119926" w:edGrp="everyone"/>
      <w:r>
        <w:t>TYPE YOUR TEXT HERE</w:t>
      </w:r>
    </w:p>
    <w:permEnd w:id="396119926"/>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1333813633" w:edGrp="everyone"/>
      <w:r>
        <w:t>TYPE YOUR TEXT HERE</w:t>
      </w:r>
    </w:p>
    <w:permEnd w:id="1333813633"/>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108344213" w:edGrp="everyone"/>
      <w:r>
        <w:t>TYPE YOUR TEXT HERE</w:t>
      </w:r>
    </w:p>
    <w:permEnd w:id="108344213"/>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56587611" w:edGrp="everyone"/>
      <w:r>
        <w:t>TYPE YOUR TEXT HERE</w:t>
      </w:r>
    </w:p>
    <w:permEnd w:id="56587611"/>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796688039" w:edGrp="everyone"/>
      <w:r>
        <w:t>TYPE YOUR TEXT HERE</w:t>
      </w:r>
    </w:p>
    <w:permEnd w:id="796688039"/>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1578267494" w:edGrp="everyone"/>
      <w:r>
        <w:t>TYPE YOUR TEXT HERE</w:t>
      </w:r>
    </w:p>
    <w:permEnd w:id="1578267494"/>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406218" w:rsidRPr="004E26B2" w:rsidRDefault="00406218" w:rsidP="00406218">
      <w:pPr>
        <w:pStyle w:val="FreeFormA"/>
        <w:spacing w:before="100" w:beforeAutospacing="1" w:after="100" w:afterAutospacing="1"/>
        <w:jc w:val="both"/>
        <w:rPr>
          <w:rFonts w:ascii="Calibri" w:hAnsi="Calibri"/>
          <w:b/>
          <w:color w:val="auto"/>
          <w:sz w:val="22"/>
          <w:szCs w:val="22"/>
        </w:rPr>
      </w:pPr>
      <w:permStart w:id="962341074" w:edGrp="everyone"/>
      <w:r w:rsidRPr="004E26B2">
        <w:rPr>
          <w:rFonts w:ascii="Calibri" w:hAnsi="Calibri"/>
          <w:b/>
          <w:color w:val="auto"/>
          <w:sz w:val="22"/>
          <w:szCs w:val="22"/>
        </w:rPr>
        <w:t xml:space="preserve">Q57 (i) </w:t>
      </w:r>
    </w:p>
    <w:p w:rsidR="00406218" w:rsidRPr="00A40C6D" w:rsidRDefault="00406218" w:rsidP="00406218">
      <w:pPr>
        <w:pStyle w:val="FreeFormA"/>
        <w:spacing w:before="100" w:beforeAutospacing="1" w:after="100" w:afterAutospacing="1"/>
        <w:jc w:val="both"/>
        <w:rPr>
          <w:rFonts w:ascii="Calibri" w:hAnsi="Calibri"/>
          <w:b/>
          <w:color w:val="auto"/>
          <w:sz w:val="22"/>
          <w:szCs w:val="22"/>
        </w:rPr>
      </w:pPr>
      <w:r w:rsidRPr="004E26B2">
        <w:rPr>
          <w:rFonts w:ascii="Calibri" w:hAnsi="Calibri"/>
          <w:b/>
          <w:color w:val="auto"/>
          <w:sz w:val="22"/>
          <w:szCs w:val="22"/>
        </w:rPr>
        <w:t xml:space="preserve">Would you use </w:t>
      </w:r>
      <w:r w:rsidRPr="00A40C6D">
        <w:rPr>
          <w:rFonts w:ascii="Calibri" w:hAnsi="Calibri"/>
          <w:b/>
          <w:color w:val="auto"/>
          <w:sz w:val="22"/>
          <w:szCs w:val="22"/>
        </w:rPr>
        <w:t>different qualitative criteria to define the sub-classes with respect to those selected (i.e. bond type, debt seniority, issuer sub-type and issuance size)?</w:t>
      </w:r>
    </w:p>
    <w:p w:rsidR="00406218" w:rsidRPr="00A40C6D" w:rsidRDefault="00406218" w:rsidP="00406218">
      <w:pPr>
        <w:pStyle w:val="FreeFormA"/>
        <w:spacing w:before="100" w:beforeAutospacing="1" w:after="100" w:afterAutospacing="1"/>
        <w:jc w:val="both"/>
        <w:rPr>
          <w:rFonts w:ascii="Calibri" w:hAnsi="Calibri"/>
          <w:color w:val="auto"/>
          <w:sz w:val="22"/>
          <w:szCs w:val="22"/>
        </w:rPr>
      </w:pPr>
      <w:r w:rsidRPr="00A40C6D">
        <w:rPr>
          <w:rFonts w:ascii="Calibri" w:hAnsi="Calibri"/>
          <w:color w:val="auto"/>
          <w:sz w:val="22"/>
          <w:szCs w:val="22"/>
        </w:rPr>
        <w:t xml:space="preserve">The WMBA disagrees with the subclass criteria defined in the Consultation Paper. </w:t>
      </w:r>
    </w:p>
    <w:p w:rsidR="00406218" w:rsidRPr="00A40C6D" w:rsidRDefault="00406218" w:rsidP="00406218">
      <w:pPr>
        <w:pStyle w:val="FreeFormA"/>
        <w:spacing w:before="100" w:beforeAutospacing="1" w:after="100" w:afterAutospacing="1"/>
        <w:jc w:val="both"/>
        <w:rPr>
          <w:rFonts w:ascii="Calibri" w:hAnsi="Calibri"/>
          <w:color w:val="auto"/>
          <w:sz w:val="22"/>
          <w:szCs w:val="22"/>
        </w:rPr>
      </w:pPr>
      <w:r w:rsidRPr="00A40C6D">
        <w:rPr>
          <w:rFonts w:ascii="Calibri" w:hAnsi="Calibri"/>
          <w:color w:val="auto"/>
          <w:sz w:val="22"/>
          <w:szCs w:val="22"/>
        </w:rPr>
        <w:t>We fundamentally agree with the primary segmentation into liquid and illiquid products or instruments. The WMBA was a proponent of a more granular and proportional classification from the 2014 summer discussion paper (the IBIA model) and consequently considers ESMA’s definition of a liquid market for financial instruments too broad and generic. The COFIA problems arising from the adoption of a broad COFIA model are detailed in the AFME response and include the following points that heightens the concerns of the WMBA:</w:t>
      </w:r>
    </w:p>
    <w:p w:rsidR="00406218" w:rsidRPr="00A40C6D" w:rsidRDefault="00406218" w:rsidP="007306CC">
      <w:pPr>
        <w:pStyle w:val="FreeFormA"/>
        <w:numPr>
          <w:ilvl w:val="0"/>
          <w:numId w:val="9"/>
        </w:numPr>
        <w:spacing w:before="100" w:beforeAutospacing="1" w:after="100" w:afterAutospacing="1"/>
        <w:ind w:left="567" w:hanging="567"/>
        <w:jc w:val="both"/>
        <w:rPr>
          <w:rFonts w:ascii="Calibri" w:hAnsi="Calibri"/>
          <w:color w:val="auto"/>
          <w:sz w:val="22"/>
          <w:szCs w:val="22"/>
        </w:rPr>
      </w:pPr>
      <w:r w:rsidRPr="00A40C6D">
        <w:rPr>
          <w:rFonts w:ascii="Calibri" w:hAnsi="Calibri"/>
          <w:color w:val="auto"/>
          <w:sz w:val="22"/>
          <w:szCs w:val="22"/>
        </w:rPr>
        <w:t xml:space="preserve">ESMA’s COFIA approach is inconsistent with the Level 1 text </w:t>
      </w:r>
    </w:p>
    <w:p w:rsidR="00406218" w:rsidRPr="00A40C6D" w:rsidRDefault="00406218" w:rsidP="007306CC">
      <w:pPr>
        <w:pStyle w:val="FreeFormA"/>
        <w:numPr>
          <w:ilvl w:val="0"/>
          <w:numId w:val="9"/>
        </w:numPr>
        <w:spacing w:before="100" w:beforeAutospacing="1" w:after="100" w:afterAutospacing="1"/>
        <w:ind w:left="567" w:hanging="567"/>
        <w:jc w:val="both"/>
        <w:rPr>
          <w:rFonts w:ascii="Calibri" w:hAnsi="Calibri"/>
          <w:color w:val="auto"/>
          <w:sz w:val="22"/>
          <w:szCs w:val="22"/>
        </w:rPr>
      </w:pPr>
      <w:r w:rsidRPr="00A40C6D">
        <w:rPr>
          <w:rFonts w:ascii="Calibri" w:hAnsi="Calibri"/>
          <w:color w:val="auto"/>
          <w:sz w:val="22"/>
          <w:szCs w:val="22"/>
        </w:rPr>
        <w:t>The concept of inherent liquidity characteristics for fixed income is not meaningful resulting in poor liquidity classification</w:t>
      </w:r>
    </w:p>
    <w:p w:rsidR="00406218" w:rsidRPr="00A40C6D" w:rsidRDefault="00406218" w:rsidP="007306CC">
      <w:pPr>
        <w:pStyle w:val="FreeFormA"/>
        <w:numPr>
          <w:ilvl w:val="0"/>
          <w:numId w:val="9"/>
        </w:numPr>
        <w:spacing w:before="100" w:beforeAutospacing="1" w:after="100" w:afterAutospacing="1"/>
        <w:ind w:left="567" w:hanging="567"/>
        <w:jc w:val="both"/>
        <w:rPr>
          <w:rFonts w:ascii="Calibri" w:hAnsi="Calibri"/>
          <w:color w:val="auto"/>
          <w:sz w:val="22"/>
          <w:szCs w:val="22"/>
        </w:rPr>
      </w:pPr>
      <w:r w:rsidRPr="00A40C6D">
        <w:rPr>
          <w:rFonts w:ascii="Calibri" w:hAnsi="Calibri"/>
          <w:color w:val="auto"/>
          <w:sz w:val="22"/>
          <w:szCs w:val="22"/>
        </w:rPr>
        <w:t xml:space="preserve">A COFIA approach cannot truly incorporate the dynamic nature of liquidity of bonds </w:t>
      </w:r>
    </w:p>
    <w:p w:rsidR="00406218" w:rsidRPr="00A40C6D" w:rsidRDefault="00406218" w:rsidP="007306CC">
      <w:pPr>
        <w:pStyle w:val="FreeFormA"/>
        <w:numPr>
          <w:ilvl w:val="0"/>
          <w:numId w:val="9"/>
        </w:numPr>
        <w:spacing w:before="100" w:beforeAutospacing="1" w:after="100" w:afterAutospacing="1"/>
        <w:ind w:left="567" w:hanging="567"/>
        <w:jc w:val="both"/>
        <w:rPr>
          <w:rFonts w:ascii="Calibri" w:hAnsi="Calibri"/>
          <w:color w:val="auto"/>
          <w:sz w:val="22"/>
          <w:szCs w:val="22"/>
        </w:rPr>
      </w:pPr>
      <w:r w:rsidRPr="00A40C6D">
        <w:rPr>
          <w:rFonts w:ascii="Calibri" w:hAnsi="Calibri"/>
          <w:color w:val="auto"/>
          <w:sz w:val="22"/>
          <w:szCs w:val="22"/>
        </w:rPr>
        <w:t xml:space="preserve">ESMA itself has recognised that the IBIA approach is the most appropriate way of measuring liquidity </w:t>
      </w:r>
    </w:p>
    <w:p w:rsidR="00406218" w:rsidRPr="00A40C6D" w:rsidRDefault="00406218" w:rsidP="007306CC">
      <w:pPr>
        <w:pStyle w:val="FreeFormA"/>
        <w:numPr>
          <w:ilvl w:val="0"/>
          <w:numId w:val="9"/>
        </w:numPr>
        <w:spacing w:before="100" w:beforeAutospacing="1" w:after="100" w:afterAutospacing="1"/>
        <w:ind w:left="567" w:hanging="567"/>
        <w:jc w:val="both"/>
        <w:rPr>
          <w:rFonts w:ascii="Calibri" w:hAnsi="Calibri"/>
          <w:color w:val="auto"/>
          <w:sz w:val="22"/>
          <w:szCs w:val="22"/>
        </w:rPr>
      </w:pPr>
      <w:r w:rsidRPr="00A40C6D">
        <w:rPr>
          <w:rFonts w:ascii="Calibri" w:hAnsi="Calibri"/>
          <w:color w:val="auto"/>
          <w:sz w:val="22"/>
          <w:szCs w:val="22"/>
        </w:rPr>
        <w:t xml:space="preserve">IBIA is not more operationally burdensome to implement </w:t>
      </w:r>
    </w:p>
    <w:p w:rsidR="00406218" w:rsidRPr="00A40C6D" w:rsidRDefault="00406218" w:rsidP="007306CC">
      <w:pPr>
        <w:pStyle w:val="FreeFormA"/>
        <w:numPr>
          <w:ilvl w:val="0"/>
          <w:numId w:val="9"/>
        </w:numPr>
        <w:spacing w:before="100" w:beforeAutospacing="1" w:after="100" w:afterAutospacing="1"/>
        <w:ind w:left="567" w:hanging="567"/>
        <w:jc w:val="both"/>
        <w:rPr>
          <w:rFonts w:ascii="Calibri" w:hAnsi="Calibri"/>
          <w:color w:val="auto"/>
          <w:sz w:val="22"/>
          <w:szCs w:val="22"/>
        </w:rPr>
      </w:pPr>
      <w:r w:rsidRPr="00A40C6D">
        <w:rPr>
          <w:rFonts w:ascii="Calibri" w:hAnsi="Calibri"/>
          <w:color w:val="auto"/>
          <w:sz w:val="22"/>
          <w:szCs w:val="22"/>
        </w:rPr>
        <w:t>A COFIA approach is likely to lead to regulatory arbitrage</w:t>
      </w:r>
    </w:p>
    <w:p w:rsidR="00406218" w:rsidRPr="00A40C6D" w:rsidRDefault="00406218" w:rsidP="00406218">
      <w:pPr>
        <w:pStyle w:val="FreeFormA"/>
        <w:spacing w:before="100" w:beforeAutospacing="1" w:after="100" w:afterAutospacing="1"/>
        <w:jc w:val="both"/>
        <w:rPr>
          <w:rFonts w:ascii="Calibri" w:hAnsi="Calibri"/>
          <w:color w:val="auto"/>
          <w:sz w:val="22"/>
          <w:szCs w:val="22"/>
        </w:rPr>
      </w:pPr>
    </w:p>
    <w:p w:rsidR="00406218" w:rsidRPr="00A40C6D" w:rsidRDefault="00406218" w:rsidP="00406218">
      <w:pPr>
        <w:pStyle w:val="FreeFormA"/>
        <w:spacing w:before="100" w:beforeAutospacing="1" w:after="100" w:afterAutospacing="1"/>
        <w:jc w:val="both"/>
        <w:rPr>
          <w:rFonts w:ascii="Calibri" w:hAnsi="Calibri"/>
          <w:color w:val="auto"/>
          <w:sz w:val="22"/>
          <w:szCs w:val="22"/>
        </w:rPr>
      </w:pPr>
      <w:r w:rsidRPr="00A40C6D">
        <w:rPr>
          <w:rFonts w:ascii="Calibri" w:hAnsi="Calibri"/>
          <w:color w:val="auto"/>
          <w:sz w:val="22"/>
          <w:szCs w:val="22"/>
        </w:rPr>
        <w:t>Specifically, the number of false positives would appear to compromise the usefulness of the demonstrated outcomes. Derivatives, forwards and all the bonds in scope need more granularity in order to define more homogeneous classes; this may now need to be derived through a more thorough set of sub-classes and hierarchies and these should be segmented via different criteria. These sub-classes should be defined on further criteria including the period to maturity and the credit rating agency treatment of the instrument. The WMBA concur with the granularities set out by both AFME and ISDA in their respective responses.</w:t>
      </w:r>
    </w:p>
    <w:p w:rsidR="00406218" w:rsidRPr="00A40C6D" w:rsidRDefault="00406218" w:rsidP="00406218">
      <w:pPr>
        <w:spacing w:before="100" w:beforeAutospacing="1" w:after="100" w:afterAutospacing="1" w:line="240" w:lineRule="auto"/>
        <w:rPr>
          <w:rFonts w:ascii="Calibri" w:hAnsi="Calibri"/>
          <w:szCs w:val="22"/>
        </w:rPr>
      </w:pPr>
      <w:r w:rsidRPr="00A40C6D">
        <w:rPr>
          <w:rFonts w:ascii="Calibri" w:hAnsi="Calibri"/>
          <w:szCs w:val="22"/>
        </w:rPr>
        <w:t xml:space="preserve">Under paragraph 35, ESMA has stated that it is aware of the risks that might arise from COFIA and it intends to remedy possible weaknesses through the waivers and deferrals for LIS or SSTI.  In acting as a foundation, it is of primary importance to get the liquidity calibration right in the first place.  It is not sufficient for the related MiFID provisions and other regulations to produce a flawed calibration and attempt to soften the adverse effectives of the significant errors using other tools under MiFID II.  Nowhere under Level 1 is ESMA given such a mandate.  </w:t>
      </w:r>
    </w:p>
    <w:p w:rsidR="00406218" w:rsidRPr="00A40C6D" w:rsidRDefault="00406218" w:rsidP="00406218">
      <w:pPr>
        <w:spacing w:before="100" w:beforeAutospacing="1" w:after="100" w:afterAutospacing="1" w:line="240" w:lineRule="auto"/>
        <w:rPr>
          <w:rFonts w:ascii="Calibri" w:hAnsi="Calibri"/>
          <w:szCs w:val="22"/>
        </w:rPr>
      </w:pPr>
      <w:r w:rsidRPr="00A40C6D">
        <w:rPr>
          <w:rFonts w:ascii="Calibri" w:hAnsi="Calibri"/>
          <w:szCs w:val="22"/>
        </w:rPr>
        <w:t xml:space="preserve">MiFID II sets a legal precedent for defining secondary market liquidity which may be implemented in other legislative regimes for other purposes (such as the CSDR).  Therefore, it is critical that the definition of “liquid market” is appropriate in and of itself.  Further, despite ESMA’s statement of mitigation, we highlight that ESMA has not incorporated any allowances for the liquidity error margins in the SSTI/LIS thresholds. </w:t>
      </w:r>
    </w:p>
    <w:p w:rsidR="00406218" w:rsidRPr="00A40C6D" w:rsidRDefault="00406218" w:rsidP="00406218">
      <w:pPr>
        <w:spacing w:before="100" w:beforeAutospacing="1" w:after="100" w:afterAutospacing="1" w:line="240" w:lineRule="auto"/>
        <w:rPr>
          <w:rFonts w:ascii="Calibri" w:hAnsi="Calibri"/>
          <w:szCs w:val="22"/>
        </w:rPr>
      </w:pPr>
      <w:r w:rsidRPr="00A40C6D">
        <w:rPr>
          <w:rFonts w:ascii="Calibri" w:hAnsi="Calibri"/>
          <w:szCs w:val="22"/>
        </w:rPr>
        <w:t>The WMBA members provided ESMA with a profound amount of traded data covering the year to June 2014 to facilitate the liquidity calibration which constituted just about all of the wholesale market trading in Europe across five broad asset classes. None of this quantitative provision is evident in the liquidity classification output, nor has it been anywhere cited by ESMA. Therefore, the WMBA is also concerned about the way in which ESMA has used other non-relevant and insufficient data to produce its results, specifically regarding the inconsistency across the proposals and the opacity of the details of its analysis (such as assumptions).  Instead of using the real traded data supplied, it would appear that the newly reported EMIR data within a singled traded repository has been used.  This is clearly both subordinate and insufficient as the data is from the period shortly after the EMIR trading reporting requirement came into effect, for which the EU Commission have acknowledged widespread failure in the efficacy of this reporting regime.</w:t>
      </w:r>
    </w:p>
    <w:p w:rsidR="00406218" w:rsidRPr="00A40C6D" w:rsidRDefault="00406218" w:rsidP="00406218">
      <w:pPr>
        <w:spacing w:before="100" w:beforeAutospacing="1" w:after="100" w:afterAutospacing="1" w:line="240" w:lineRule="auto"/>
        <w:rPr>
          <w:rFonts w:ascii="Calibri" w:hAnsi="Calibri"/>
          <w:szCs w:val="22"/>
        </w:rPr>
      </w:pPr>
      <w:r w:rsidRPr="00A40C6D">
        <w:rPr>
          <w:rFonts w:ascii="Calibri" w:hAnsi="Calibri"/>
          <w:szCs w:val="22"/>
        </w:rPr>
        <w:t xml:space="preserve">Specifically, ESMA has instead used a data set predominantly representing dealer-to-client trades to produce a calibration for dealer-to-dealer trades in multilateral venues. These markets are the locus of liquidity and therefore highly relevant for the sourcing of prices and liquidity. Further impinging on the relevance of the analysis for the SSTI and LIS thresholds, ESMA has removed trades below EUR 100k in size from its analysis, yet it has not done this for the liquidity tests.  If ESMA were to remove the below EUR 100k trades from its analysis for liquidity purposes, seeing as approximately half of corporate trades are below EUR 100k, the margins of error (false positives) would significantly increase because more instruments would fail to meet the liquidity test (under paragraph 45).  </w:t>
      </w:r>
    </w:p>
    <w:p w:rsidR="00406218" w:rsidRPr="00A40C6D" w:rsidRDefault="00406218" w:rsidP="00406218">
      <w:pPr>
        <w:spacing w:before="100" w:beforeAutospacing="1" w:after="100" w:afterAutospacing="1" w:line="240" w:lineRule="auto"/>
        <w:rPr>
          <w:rFonts w:ascii="Calibri" w:hAnsi="Calibri"/>
          <w:szCs w:val="22"/>
        </w:rPr>
      </w:pPr>
      <w:r w:rsidRPr="00A40C6D">
        <w:rPr>
          <w:rFonts w:ascii="Calibri" w:hAnsi="Calibri"/>
          <w:szCs w:val="22"/>
        </w:rPr>
        <w:t xml:space="preserve">The WMBA urges ESMA to be more transparent in its data sourcing and its calculation methodologies to ensure that the industry can provide effective feedback and that it ensures that the data is used consistently to ensure integrity of the output. </w:t>
      </w:r>
    </w:p>
    <w:p w:rsidR="00406218" w:rsidRPr="00A40C6D" w:rsidRDefault="00406218" w:rsidP="00406218">
      <w:pPr>
        <w:pStyle w:val="FreeFormA"/>
        <w:spacing w:before="100" w:beforeAutospacing="1" w:after="100" w:afterAutospacing="1"/>
        <w:jc w:val="both"/>
        <w:rPr>
          <w:rFonts w:ascii="Calibri" w:hAnsi="Calibri"/>
          <w:color w:val="auto"/>
          <w:sz w:val="22"/>
          <w:szCs w:val="22"/>
        </w:rPr>
      </w:pPr>
      <w:r w:rsidRPr="00A40C6D">
        <w:rPr>
          <w:rFonts w:ascii="Calibri" w:hAnsi="Calibri"/>
          <w:color w:val="auto"/>
          <w:sz w:val="22"/>
          <w:szCs w:val="22"/>
        </w:rPr>
        <w:t>The WMBA also note that the approach towards capturing third country bonds is a markedly different approach to that in the US under Dodd Frank, which references from the participant rather than the venue location or its authorisation.</w:t>
      </w:r>
    </w:p>
    <w:p w:rsidR="00406218" w:rsidRPr="00A40C6D" w:rsidRDefault="00406218" w:rsidP="00406218">
      <w:pPr>
        <w:pStyle w:val="FreeFormA"/>
        <w:spacing w:before="100" w:beforeAutospacing="1" w:after="100" w:afterAutospacing="1"/>
        <w:jc w:val="both"/>
        <w:rPr>
          <w:rFonts w:ascii="Calibri" w:hAnsi="Calibri"/>
          <w:color w:val="auto"/>
          <w:sz w:val="22"/>
          <w:szCs w:val="22"/>
        </w:rPr>
      </w:pPr>
      <w:r w:rsidRPr="00A40C6D">
        <w:rPr>
          <w:rFonts w:ascii="Calibri" w:hAnsi="Calibri"/>
          <w:b/>
          <w:color w:val="auto"/>
          <w:sz w:val="22"/>
          <w:szCs w:val="22"/>
        </w:rPr>
        <w:t>Q57 (ii)</w:t>
      </w:r>
      <w:r w:rsidRPr="00A40C6D">
        <w:rPr>
          <w:rFonts w:ascii="Calibri" w:hAnsi="Calibri"/>
          <w:color w:val="auto"/>
          <w:sz w:val="22"/>
          <w:szCs w:val="22"/>
        </w:rPr>
        <w:t xml:space="preserve"> </w:t>
      </w:r>
    </w:p>
    <w:p w:rsidR="00406218" w:rsidRPr="00A40C6D" w:rsidRDefault="00406218" w:rsidP="00406218">
      <w:pPr>
        <w:pStyle w:val="FreeFormA"/>
        <w:spacing w:before="100" w:beforeAutospacing="1" w:after="100" w:afterAutospacing="1"/>
        <w:jc w:val="both"/>
        <w:rPr>
          <w:rFonts w:ascii="Calibri" w:hAnsi="Calibri"/>
          <w:b/>
          <w:color w:val="auto"/>
          <w:sz w:val="22"/>
          <w:szCs w:val="22"/>
        </w:rPr>
      </w:pPr>
      <w:r w:rsidRPr="00A40C6D">
        <w:rPr>
          <w:rFonts w:ascii="Calibri" w:hAnsi="Calibri"/>
          <w:b/>
          <w:color w:val="auto"/>
          <w:sz w:val="22"/>
          <w:szCs w:val="22"/>
        </w:rPr>
        <w:t>Would you use different parameters (different from average number of trades per day, average nominal amount per day and number of days traded) or the same parameters but different thresholds in order to define a bond or a SFP as liquid?</w:t>
      </w:r>
    </w:p>
    <w:p w:rsidR="00406218" w:rsidRPr="00A40C6D" w:rsidRDefault="00406218" w:rsidP="00406218">
      <w:pPr>
        <w:pStyle w:val="FreeFormA"/>
        <w:spacing w:before="100" w:beforeAutospacing="1" w:after="100" w:afterAutospacing="1"/>
        <w:jc w:val="both"/>
        <w:rPr>
          <w:rFonts w:ascii="Calibri" w:hAnsi="Calibri"/>
          <w:color w:val="auto"/>
          <w:sz w:val="22"/>
          <w:szCs w:val="22"/>
        </w:rPr>
      </w:pPr>
      <w:r w:rsidRPr="00A40C6D">
        <w:rPr>
          <w:rFonts w:ascii="Calibri" w:hAnsi="Calibri"/>
          <w:color w:val="auto"/>
          <w:sz w:val="22"/>
          <w:szCs w:val="22"/>
        </w:rPr>
        <w:t xml:space="preserve">The WMBA would propose both different parameters and thresholds to those defined in the Consultation Paper in order to create a more granular set of outcomes. The WMBA considers that ESMA’s definition of a liquid market and its parameters and thresholds for bonds needs refinement and would recommend different criteria in line with the approaches set out by both ISDA and AFME in their responses to this consultation. </w:t>
      </w:r>
    </w:p>
    <w:p w:rsidR="00406218" w:rsidRPr="00A40C6D" w:rsidRDefault="00406218" w:rsidP="00406218">
      <w:pPr>
        <w:pStyle w:val="FreeFormA"/>
        <w:spacing w:before="100" w:beforeAutospacing="1" w:after="100" w:afterAutospacing="1"/>
        <w:jc w:val="both"/>
        <w:rPr>
          <w:rFonts w:ascii="Calibri" w:hAnsi="Calibri"/>
          <w:color w:val="auto"/>
          <w:sz w:val="22"/>
          <w:szCs w:val="22"/>
        </w:rPr>
      </w:pPr>
      <w:r w:rsidRPr="00A40C6D">
        <w:rPr>
          <w:rFonts w:ascii="Calibri" w:hAnsi="Calibri"/>
          <w:color w:val="auto"/>
          <w:sz w:val="22"/>
          <w:szCs w:val="22"/>
        </w:rPr>
        <w:t>We note that both ISDA and AFME sought the views and consensus of both venue operators and the buy-side in considering their approaches. These new/modified parameters and thresholds are not set out in our reply to avoid duplication. In particular, the WMBA endorses the ‘number of trades per day approach’, as opposed to the volumes accruing from those trades. Importantly, we underline studies undertaken by the WMBA which show that across the wholesale market venues, even the most liquid (</w:t>
      </w:r>
      <w:r w:rsidRPr="00A40C6D">
        <w:rPr>
          <w:rFonts w:ascii="Calibri" w:hAnsi="Calibri"/>
          <w:i/>
          <w:color w:val="auto"/>
          <w:sz w:val="22"/>
          <w:szCs w:val="22"/>
        </w:rPr>
        <w:t>on-the-run 10 year coincident with being the cheapest-to-deliver issue</w:t>
      </w:r>
      <w:r w:rsidRPr="00A40C6D">
        <w:rPr>
          <w:rFonts w:ascii="Calibri" w:hAnsi="Calibri"/>
          <w:color w:val="auto"/>
          <w:sz w:val="22"/>
          <w:szCs w:val="22"/>
        </w:rPr>
        <w:t>) German Government bonds trade only 40-50 times per day at an average ticket size of Eur 40mm. Other sovereign issues which easily fall into the liquid category will only trade a handful of times daily.</w:t>
      </w:r>
    </w:p>
    <w:p w:rsidR="00406218" w:rsidRPr="00A40C6D" w:rsidRDefault="00406218" w:rsidP="00406218">
      <w:pPr>
        <w:pStyle w:val="FreeFormA"/>
        <w:spacing w:before="100" w:beforeAutospacing="1" w:after="100" w:afterAutospacing="1"/>
        <w:jc w:val="both"/>
        <w:rPr>
          <w:rFonts w:ascii="Calibri" w:hAnsi="Calibri"/>
          <w:color w:val="auto"/>
          <w:sz w:val="22"/>
          <w:szCs w:val="22"/>
        </w:rPr>
      </w:pPr>
      <w:r w:rsidRPr="00A40C6D">
        <w:rPr>
          <w:rFonts w:ascii="Calibri" w:hAnsi="Calibri"/>
          <w:color w:val="auto"/>
          <w:sz w:val="22"/>
          <w:szCs w:val="22"/>
        </w:rPr>
        <w:t>Segmentation via different criteria, including the period to maturity and the credit rating agency treatment of the instrument, would be a simple tool to segregate the key bond classes in the European sovereign market between Bunds on one hand; the second tier of UK, France and Italy; and the periphery as tertiary markets. It would facilitate a similar fundamental categorization of the corporate bond markets once combined with the current criteria.</w:t>
      </w:r>
    </w:p>
    <w:p w:rsidR="00406218" w:rsidRPr="00A40C6D" w:rsidRDefault="00406218" w:rsidP="00406218">
      <w:pPr>
        <w:pStyle w:val="FreeFormA"/>
        <w:spacing w:before="100" w:beforeAutospacing="1" w:after="100" w:afterAutospacing="1"/>
        <w:jc w:val="both"/>
        <w:rPr>
          <w:rFonts w:ascii="Calibri" w:hAnsi="Calibri"/>
          <w:color w:val="auto"/>
          <w:sz w:val="22"/>
          <w:szCs w:val="22"/>
        </w:rPr>
      </w:pPr>
      <w:r w:rsidRPr="00A40C6D">
        <w:rPr>
          <w:rFonts w:ascii="Calibri" w:hAnsi="Calibri"/>
          <w:b/>
          <w:color w:val="auto"/>
          <w:sz w:val="22"/>
          <w:szCs w:val="22"/>
        </w:rPr>
        <w:t>Q57 (iii)</w:t>
      </w:r>
      <w:r w:rsidRPr="00A40C6D">
        <w:rPr>
          <w:rFonts w:ascii="Calibri" w:hAnsi="Calibri"/>
          <w:color w:val="auto"/>
          <w:sz w:val="22"/>
          <w:szCs w:val="22"/>
        </w:rPr>
        <w:t xml:space="preserve"> </w:t>
      </w:r>
    </w:p>
    <w:p w:rsidR="00406218" w:rsidRPr="00A40C6D" w:rsidRDefault="00406218" w:rsidP="00406218">
      <w:pPr>
        <w:pStyle w:val="FreeFormA"/>
        <w:spacing w:before="100" w:beforeAutospacing="1" w:after="100" w:afterAutospacing="1"/>
        <w:jc w:val="both"/>
        <w:rPr>
          <w:rFonts w:ascii="Calibri" w:hAnsi="Calibri"/>
          <w:color w:val="auto"/>
          <w:sz w:val="22"/>
          <w:szCs w:val="22"/>
        </w:rPr>
      </w:pPr>
      <w:r w:rsidRPr="00A40C6D">
        <w:rPr>
          <w:rFonts w:ascii="Calibri" w:hAnsi="Calibri"/>
          <w:b/>
          <w:color w:val="auto"/>
          <w:sz w:val="22"/>
          <w:szCs w:val="22"/>
        </w:rPr>
        <w:t>Would you define classes declared as liquid in ESMA’s proposal as illiquid (or vice versa)? Please provide reasons for your answer</w:t>
      </w:r>
      <w:r w:rsidRPr="00A40C6D">
        <w:rPr>
          <w:rFonts w:ascii="Calibri" w:hAnsi="Calibri"/>
          <w:color w:val="auto"/>
          <w:sz w:val="22"/>
          <w:szCs w:val="22"/>
        </w:rPr>
        <w:t>.</w:t>
      </w:r>
    </w:p>
    <w:p w:rsidR="00406218" w:rsidRPr="00A40C6D" w:rsidRDefault="00406218" w:rsidP="00406218">
      <w:pPr>
        <w:spacing w:before="100" w:beforeAutospacing="1" w:after="100" w:afterAutospacing="1" w:line="240" w:lineRule="auto"/>
        <w:rPr>
          <w:rFonts w:ascii="Calibri" w:hAnsi="Calibri"/>
          <w:szCs w:val="22"/>
        </w:rPr>
      </w:pPr>
      <w:r w:rsidRPr="00A40C6D">
        <w:rPr>
          <w:rFonts w:ascii="Calibri" w:hAnsi="Calibri"/>
          <w:szCs w:val="22"/>
        </w:rPr>
        <w:t>For derivatives, the WMBA would recommend a liquidity threshold in line with the recommendations made by market participants in response to ESMA’s May 2014 discussion paper, 15 trades per day and EUR 500 million notional turnover.</w:t>
      </w:r>
    </w:p>
    <w:p w:rsidR="00406218" w:rsidRPr="00A40C6D" w:rsidRDefault="00406218" w:rsidP="00406218">
      <w:pPr>
        <w:spacing w:before="100" w:beforeAutospacing="1" w:after="100" w:afterAutospacing="1" w:line="240" w:lineRule="auto"/>
        <w:rPr>
          <w:rFonts w:ascii="Calibri" w:hAnsi="Calibri"/>
          <w:szCs w:val="22"/>
        </w:rPr>
      </w:pPr>
      <w:r w:rsidRPr="00A40C6D">
        <w:rPr>
          <w:rFonts w:ascii="Calibri" w:hAnsi="Calibri"/>
          <w:szCs w:val="22"/>
        </w:rPr>
        <w:t>For bonds, we would advocate the following core liquidity criteria in which a liquid market will be deemed to exist for a bond if the issuance size of a bond is &gt;500mm and the bond trades:</w:t>
      </w:r>
    </w:p>
    <w:p w:rsidR="00406218" w:rsidRPr="00A40C6D" w:rsidRDefault="00406218" w:rsidP="007D55BD">
      <w:pPr>
        <w:pStyle w:val="ListParagraph"/>
        <w:numPr>
          <w:ilvl w:val="0"/>
          <w:numId w:val="10"/>
        </w:numPr>
      </w:pPr>
      <w:r w:rsidRPr="00A40C6D">
        <w:t>at least [50] days a quarter</w:t>
      </w:r>
    </w:p>
    <w:p w:rsidR="00406218" w:rsidRPr="00A40C6D" w:rsidRDefault="00406218" w:rsidP="007D55BD">
      <w:pPr>
        <w:pStyle w:val="ListParagraph"/>
        <w:numPr>
          <w:ilvl w:val="0"/>
          <w:numId w:val="10"/>
        </w:numPr>
      </w:pPr>
      <w:r w:rsidRPr="00A40C6D">
        <w:t>at least [250] times a quarter</w:t>
      </w:r>
    </w:p>
    <w:p w:rsidR="00406218" w:rsidRPr="00A40C6D" w:rsidRDefault="00406218" w:rsidP="007D55BD">
      <w:pPr>
        <w:pStyle w:val="ListParagraph"/>
        <w:numPr>
          <w:ilvl w:val="0"/>
          <w:numId w:val="10"/>
        </w:numPr>
      </w:pPr>
      <w:r w:rsidRPr="00A40C6D">
        <w:t>on average, at least [€5,000,000] nominal amount per day</w:t>
      </w:r>
    </w:p>
    <w:p w:rsidR="00406218" w:rsidRPr="00A40C6D" w:rsidRDefault="00406218" w:rsidP="00406218">
      <w:pPr>
        <w:spacing w:before="100" w:beforeAutospacing="1" w:after="100" w:afterAutospacing="1" w:line="240" w:lineRule="auto"/>
        <w:rPr>
          <w:rFonts w:ascii="Calibri" w:hAnsi="Calibri"/>
          <w:szCs w:val="22"/>
        </w:rPr>
      </w:pPr>
      <w:r w:rsidRPr="00A40C6D">
        <w:rPr>
          <w:rFonts w:ascii="Calibri" w:hAnsi="Calibri"/>
          <w:szCs w:val="22"/>
        </w:rPr>
        <w:t>It should be paramount to ensure that the gap is narrowed between the levels of transparency introduced by the liquidity test compared to the given COFIA test. Due to the market heterogeneity and consequent complexity, the WMBA understands that the only true way to calibrate liquidity is daily (trading) behaviour. Any other methodology will generate a high proportion of false liquidity as evidenced in ESMA’s own data. It is quite complex, made up of moving parts such as maturity dates, coupons, multiple currencies and cyclicality.</w:t>
      </w:r>
    </w:p>
    <w:p w:rsidR="00406218" w:rsidRPr="00A40C6D" w:rsidRDefault="00406218" w:rsidP="00406218">
      <w:pPr>
        <w:spacing w:before="100" w:beforeAutospacing="1" w:after="100" w:afterAutospacing="1" w:line="240" w:lineRule="auto"/>
        <w:rPr>
          <w:rFonts w:ascii="Calibri" w:hAnsi="Calibri"/>
          <w:szCs w:val="22"/>
        </w:rPr>
      </w:pPr>
      <w:r w:rsidRPr="00A40C6D">
        <w:rPr>
          <w:rFonts w:ascii="Calibri" w:hAnsi="Calibri"/>
          <w:szCs w:val="22"/>
        </w:rPr>
        <w:t xml:space="preserve">The WMBA notes that ESMA is progressing down a line towards a hybrid IBIA/COFIA model and note that between 42% and 74% of the instruments listed by ESMA as liquid are in fact illiquid on the common measures used by ISDA and AFME. Throughout ESMA’s discussion of COFIA, ESMA has materially underestimated the importance and number of false positives that COFIA throws up. </w:t>
      </w:r>
    </w:p>
    <w:p w:rsidR="00406218" w:rsidRPr="00A40C6D" w:rsidRDefault="00406218" w:rsidP="00406218">
      <w:pPr>
        <w:spacing w:before="100" w:beforeAutospacing="1" w:after="100" w:afterAutospacing="1" w:line="240" w:lineRule="auto"/>
        <w:rPr>
          <w:rFonts w:ascii="Calibri" w:hAnsi="Calibri"/>
          <w:szCs w:val="22"/>
        </w:rPr>
      </w:pPr>
      <w:r w:rsidRPr="00A40C6D">
        <w:rPr>
          <w:rFonts w:ascii="Calibri" w:hAnsi="Calibri"/>
          <w:szCs w:val="22"/>
        </w:rPr>
        <w:t>We would urge that ESMA bear in mind the following in implementing a sub-categorisation regime: ESMA should minimise the error margins by increasing the issuance size thresholds; it is critical that block trades are used rather than allocations to test instruments against the liquidity test; the liquidity test should also not count non-price forming trades; and issuance size needs to be the outstanding amount scaled for the free float in circulation.</w:t>
      </w:r>
    </w:p>
    <w:p w:rsidR="00406218" w:rsidRPr="00A40C6D" w:rsidRDefault="00406218" w:rsidP="00406218">
      <w:pPr>
        <w:spacing w:before="100" w:beforeAutospacing="1" w:after="100" w:afterAutospacing="1" w:line="240" w:lineRule="auto"/>
        <w:rPr>
          <w:rFonts w:ascii="Calibri" w:hAnsi="Calibri"/>
          <w:szCs w:val="22"/>
        </w:rPr>
      </w:pPr>
      <w:r w:rsidRPr="00A40C6D">
        <w:rPr>
          <w:rFonts w:ascii="Calibri" w:hAnsi="Calibri"/>
          <w:szCs w:val="22"/>
        </w:rPr>
        <w:t>The WMBA disagrees with ESMA’s view as to where it is appropriate to set the boundary between liquid and illiquid classes and considers that ESMA’s definition of a liquid market for bonds needs more refinement and calibration (including criteria, parameters and thresholds). ESMA’s definition of a liquid market and its parameters and thresholds for bonds needs more refinement. We would therefore recommend different criteria including the period to maturity and the credit rating agency treatment of the instrument.</w:t>
      </w:r>
    </w:p>
    <w:p w:rsidR="00406218" w:rsidRPr="00A40C6D" w:rsidRDefault="00406218" w:rsidP="00406218">
      <w:pPr>
        <w:spacing w:before="100" w:beforeAutospacing="1" w:after="100" w:afterAutospacing="1" w:line="240" w:lineRule="auto"/>
        <w:rPr>
          <w:rFonts w:ascii="Calibri" w:hAnsi="Calibri"/>
          <w:szCs w:val="22"/>
        </w:rPr>
      </w:pPr>
      <w:r w:rsidRPr="00A40C6D">
        <w:rPr>
          <w:rFonts w:ascii="Calibri" w:hAnsi="Calibri"/>
          <w:szCs w:val="22"/>
        </w:rPr>
        <w:t>We would query the approach taken when setting the LIS and SSTI data for calibrating when the pre-trade requirements kick in.  In our view, the use of existing transaction reporting and/or trade data will provide a skewed view of the market.</w:t>
      </w:r>
    </w:p>
    <w:p w:rsidR="00406218" w:rsidRPr="00A40C6D" w:rsidRDefault="00406218" w:rsidP="00406218">
      <w:pPr>
        <w:spacing w:before="100" w:beforeAutospacing="1" w:after="100" w:afterAutospacing="1" w:line="240" w:lineRule="auto"/>
        <w:rPr>
          <w:rFonts w:ascii="Calibri" w:hAnsi="Calibri"/>
          <w:szCs w:val="22"/>
        </w:rPr>
      </w:pPr>
      <w:r w:rsidRPr="00A40C6D">
        <w:rPr>
          <w:rFonts w:ascii="Calibri" w:hAnsi="Calibri"/>
          <w:szCs w:val="22"/>
        </w:rPr>
        <w:t xml:space="preserve">In particular, existing trade data will include packaged transactions/strategies, whereby one leg of the package would rarely trade as a stand-alone instrument, however as part of package will frequently trade.  These legs will not be identified in trade reporting data and as such will give a false view of the liquidity and size of that instrument when traded outright.  </w:t>
      </w:r>
    </w:p>
    <w:p w:rsidR="00406218" w:rsidRPr="00A40C6D" w:rsidRDefault="00406218" w:rsidP="00406218">
      <w:pPr>
        <w:spacing w:before="100" w:beforeAutospacing="1" w:after="100" w:afterAutospacing="1" w:line="240" w:lineRule="auto"/>
        <w:rPr>
          <w:rFonts w:ascii="Calibri" w:hAnsi="Calibri"/>
          <w:szCs w:val="22"/>
        </w:rPr>
      </w:pPr>
      <w:r w:rsidRPr="00A40C6D">
        <w:rPr>
          <w:rFonts w:ascii="Calibri" w:hAnsi="Calibri"/>
          <w:szCs w:val="22"/>
        </w:rPr>
        <w:t>We would urge that ESMA bear in mind the following in implementing a sub-categorisation regime. ESMA should minimise the margin for error by recalibrating the liquidity assessments and determinations to take into account, at a minimum, the following points:</w:t>
      </w:r>
    </w:p>
    <w:p w:rsidR="00406218" w:rsidRPr="00A40C6D" w:rsidRDefault="00406218" w:rsidP="007D55BD">
      <w:pPr>
        <w:pStyle w:val="ListParagraph"/>
        <w:numPr>
          <w:ilvl w:val="0"/>
          <w:numId w:val="12"/>
        </w:numPr>
      </w:pPr>
      <w:r w:rsidRPr="00A40C6D">
        <w:t>The issuance size thresholds should be increased;</w:t>
      </w:r>
    </w:p>
    <w:p w:rsidR="00406218" w:rsidRPr="00A40C6D" w:rsidRDefault="00406218" w:rsidP="007D55BD">
      <w:pPr>
        <w:pStyle w:val="ListParagraph"/>
        <w:numPr>
          <w:ilvl w:val="0"/>
          <w:numId w:val="12"/>
        </w:numPr>
      </w:pPr>
      <w:r w:rsidRPr="00A40C6D">
        <w:t>Block trades rather than allocations should be used to test instruments against the liquidity test;</w:t>
      </w:r>
    </w:p>
    <w:p w:rsidR="00406218" w:rsidRPr="00A40C6D" w:rsidRDefault="00406218" w:rsidP="007D55BD">
      <w:pPr>
        <w:pStyle w:val="ListParagraph"/>
        <w:numPr>
          <w:ilvl w:val="0"/>
          <w:numId w:val="12"/>
        </w:numPr>
      </w:pPr>
      <w:r w:rsidRPr="00A40C6D">
        <w:t xml:space="preserve">Non-price forming trades should be excluded from consideration; </w:t>
      </w:r>
    </w:p>
    <w:p w:rsidR="00406218" w:rsidRPr="00A40C6D" w:rsidRDefault="00406218" w:rsidP="007D55BD">
      <w:pPr>
        <w:pStyle w:val="ListParagraph"/>
        <w:numPr>
          <w:ilvl w:val="0"/>
          <w:numId w:val="12"/>
        </w:numPr>
      </w:pPr>
      <w:r w:rsidRPr="00A40C6D">
        <w:t xml:space="preserve">The ‘time period since issuance’ should be taken into account due to the fact that, over time, the number of bonds in circulation after issuance will fall depending on the proportion of issued bonds which are wrapped/invested in other investment structures such as funds </w:t>
      </w:r>
      <w:r w:rsidR="004E26B2" w:rsidRPr="00A40C6D">
        <w:t>etc.</w:t>
      </w:r>
      <w:r w:rsidRPr="00A40C6D">
        <w:t>, with the implication that the actual amount of bonds in circulation will be smaller than the issuance size; and</w:t>
      </w:r>
    </w:p>
    <w:p w:rsidR="00406218" w:rsidRPr="00A40C6D" w:rsidRDefault="00406218" w:rsidP="007D55BD">
      <w:pPr>
        <w:pStyle w:val="ListParagraph"/>
        <w:numPr>
          <w:ilvl w:val="0"/>
          <w:numId w:val="12"/>
        </w:numPr>
      </w:pPr>
      <w:r w:rsidRPr="00A40C6D">
        <w:t xml:space="preserve">The credit rating agency treatment of a bond should be taken into account so that, for example, sovereign bonds subject to different treatment by credit rating agencies would accordingly receive different treatment for liquidity assessment purposes.  </w:t>
      </w:r>
    </w:p>
    <w:p w:rsidR="00406218" w:rsidRPr="00A40C6D" w:rsidRDefault="00406218" w:rsidP="00406218">
      <w:pPr>
        <w:spacing w:before="100" w:beforeAutospacing="1" w:after="100" w:afterAutospacing="1" w:line="240" w:lineRule="auto"/>
        <w:rPr>
          <w:rFonts w:ascii="Calibri" w:hAnsi="Calibri"/>
          <w:szCs w:val="22"/>
        </w:rPr>
      </w:pPr>
      <w:r w:rsidRPr="00A40C6D">
        <w:rPr>
          <w:rFonts w:ascii="Calibri" w:hAnsi="Calibri"/>
          <w:szCs w:val="22"/>
        </w:rPr>
        <w:t xml:space="preserve">In addition, the aim of this exercise was to ensure multi-to-multi transactions are conducted on a venue, however existing trade data will include intercompany, treasury hedging and bilateral transactions, again increasing the view of liquidity on certain instruments and skewing the average size of transactions. We are also concerned about the use of a 70% volume threshold. This could easily be skewed by very few, very large trades, and we would thus suggest to only use the 90th percentile of transactions as a more natural reading of above normal market size.  </w:t>
      </w:r>
    </w:p>
    <w:p w:rsidR="00406218" w:rsidRPr="00A40C6D" w:rsidRDefault="00406218" w:rsidP="00406218">
      <w:pPr>
        <w:spacing w:before="100" w:beforeAutospacing="1" w:after="100" w:afterAutospacing="1" w:line="240" w:lineRule="auto"/>
        <w:rPr>
          <w:rFonts w:ascii="Calibri" w:hAnsi="Calibri"/>
          <w:szCs w:val="22"/>
        </w:rPr>
      </w:pPr>
      <w:r w:rsidRPr="00A40C6D">
        <w:rPr>
          <w:rFonts w:ascii="Calibri" w:hAnsi="Calibri"/>
          <w:szCs w:val="22"/>
        </w:rPr>
        <w:t>Lastly, we would highlighted that the risk for market makers clearly differ and are of greater relevance pre-trade than post-trade. As such, there should be clear differentiation in the LiS thresholds pre- and post-trade.</w:t>
      </w:r>
    </w:p>
    <w:p w:rsidR="00406218" w:rsidRPr="00A40C6D" w:rsidRDefault="00406218" w:rsidP="00406218">
      <w:pPr>
        <w:spacing w:before="100" w:beforeAutospacing="1" w:after="100" w:afterAutospacing="1" w:line="240" w:lineRule="auto"/>
        <w:rPr>
          <w:rFonts w:ascii="Calibri" w:hAnsi="Calibri"/>
          <w:szCs w:val="22"/>
        </w:rPr>
      </w:pPr>
      <w:r w:rsidRPr="00A40C6D">
        <w:rPr>
          <w:rFonts w:ascii="Calibri" w:hAnsi="Calibri"/>
          <w:szCs w:val="22"/>
        </w:rPr>
        <w:t>Whilst we appreciate that for the purposes of making an initial assessment of liquidity, it was expedient for ESMA to put all swaps in terms of Euros.  This should, however, be avoided for setting LIS and SSTI thresholds going forward. Notably, for energy market commodities, the expression of these thresholds by reference to a notional amount in euros is not aligned to the manner in which these commodities trade (i.e. mostly in terms of the units delivered, for instance MWHrs, or US dollars in the case of oil related products) and, irrespective of the currency, thresholds should be expressed by reference to market turnover volumes and units of commodities.</w:t>
      </w:r>
    </w:p>
    <w:p w:rsidR="00406218" w:rsidRPr="00A40C6D" w:rsidRDefault="00406218" w:rsidP="00406218">
      <w:pPr>
        <w:spacing w:before="100" w:beforeAutospacing="1" w:after="100" w:afterAutospacing="1" w:line="240" w:lineRule="auto"/>
        <w:rPr>
          <w:rFonts w:ascii="Calibri" w:hAnsi="Calibri"/>
          <w:szCs w:val="22"/>
        </w:rPr>
      </w:pPr>
      <w:r w:rsidRPr="00A40C6D">
        <w:rPr>
          <w:rFonts w:ascii="Calibri" w:hAnsi="Calibri"/>
          <w:szCs w:val="22"/>
        </w:rPr>
        <w:t xml:space="preserve">The liquidity framework also needs to include a specific treatment for package transactions that would allow these transactions to both benefit from the transparency waivers and deferrals available to the underlying transactions that make up their component parts, and continue to execute in their intended risk based construction (particularly where some, but not all, of the transactions are in scope of the trading obligation). If ESMA fails to provide for the appropriate trading of packages, end investors will be required to trade the components independently, resulting in increased transaction costs and increased execution risks, which would seem to conflict with ESMA’s policy objectives. The Level 1 text is able to empower ESMA to specify how package transactions are treated, so we would endorse the suggested framework developed by ISDA in this respect. </w:t>
      </w:r>
    </w:p>
    <w:p w:rsidR="00406218" w:rsidRPr="00A40C6D" w:rsidRDefault="00406218" w:rsidP="00406218">
      <w:pPr>
        <w:spacing w:after="120" w:line="240" w:lineRule="auto"/>
        <w:ind w:left="-76"/>
        <w:rPr>
          <w:rFonts w:ascii="Calibri" w:hAnsi="Calibri"/>
          <w:b/>
          <w:szCs w:val="22"/>
          <w:u w:val="single"/>
        </w:rPr>
      </w:pPr>
      <w:r w:rsidRPr="00A40C6D">
        <w:rPr>
          <w:rFonts w:ascii="Calibri" w:hAnsi="Calibri"/>
          <w:b/>
          <w:szCs w:val="22"/>
          <w:u w:val="single"/>
        </w:rPr>
        <w:t xml:space="preserve">Transparency: Calibrating SSTI and LIS and realising their potential interplay with liquidity determinations. </w:t>
      </w:r>
    </w:p>
    <w:p w:rsidR="00406218" w:rsidRPr="00A40C6D" w:rsidRDefault="00406218" w:rsidP="00406218">
      <w:pPr>
        <w:rPr>
          <w:rFonts w:ascii="Calibri" w:hAnsi="Calibri"/>
          <w:szCs w:val="22"/>
        </w:rPr>
      </w:pPr>
      <w:r w:rsidRPr="00A40C6D">
        <w:rPr>
          <w:rFonts w:ascii="Calibri" w:hAnsi="Calibri"/>
          <w:szCs w:val="22"/>
        </w:rPr>
        <w:t>We also suggest that if ESMA aims to use Large in Scale (LIS) or Size Specific to the Instrument (SSTI) thresholds to correct for an illiquid instrument being incorrectly classified as liquid, then the relevant LIS and/or SSTI thresholds need to be set at a sufficiently low level and we make a number of recommendations. In ISDA’s view, this has not been achieved. We suggest that:</w:t>
      </w:r>
    </w:p>
    <w:p w:rsidR="00406218" w:rsidRPr="00A40C6D" w:rsidRDefault="00406218" w:rsidP="007D55BD">
      <w:pPr>
        <w:pStyle w:val="ListParagraph"/>
        <w:numPr>
          <w:ilvl w:val="0"/>
          <w:numId w:val="11"/>
        </w:numPr>
      </w:pPr>
      <w:r w:rsidRPr="00A40C6D">
        <w:t>SSTI/LIS levels be lowered, and that this is particularly important in the pre-trade context where the likelihood of the market moving against a firm quoting for a trade is greatest</w:t>
      </w:r>
    </w:p>
    <w:p w:rsidR="00406218" w:rsidRPr="00A40C6D" w:rsidRDefault="00406218" w:rsidP="007D55BD">
      <w:pPr>
        <w:pStyle w:val="ListParagraph"/>
        <w:numPr>
          <w:ilvl w:val="0"/>
          <w:numId w:val="11"/>
        </w:numPr>
      </w:pPr>
      <w:r w:rsidRPr="00A40C6D">
        <w:t xml:space="preserve">The proposed 50% SSTI/LIS ratio is arbitrary and we are concerned that it assumes a linear relationship between SSTI and LIS, so we propose two possible ways forward: a median measure of SSTI or a lower SSTI/LIS ratio in the region of 10%   </w:t>
      </w:r>
    </w:p>
    <w:p w:rsidR="00406218" w:rsidRPr="00A40C6D" w:rsidRDefault="00406218" w:rsidP="007D55BD">
      <w:pPr>
        <w:pStyle w:val="ListParagraph"/>
        <w:numPr>
          <w:ilvl w:val="0"/>
          <w:numId w:val="11"/>
        </w:numPr>
      </w:pPr>
      <w:r w:rsidRPr="00A40C6D">
        <w:t>LIS should be recomputed on a dynamic basis, but the measure should be based on a percentile measure of trades below the threshold which is the most natural measure of LIS – i.e. trade count</w:t>
      </w:r>
    </w:p>
    <w:p w:rsidR="00406218" w:rsidRPr="00A40C6D" w:rsidRDefault="00406218" w:rsidP="007D55BD">
      <w:pPr>
        <w:pStyle w:val="ListParagraph"/>
        <w:numPr>
          <w:ilvl w:val="0"/>
          <w:numId w:val="11"/>
        </w:numPr>
      </w:pPr>
      <w:r w:rsidRPr="00A40C6D">
        <w:t>LIS to be based on a 90% percentile for homogenous classes but be set at a lower percentile for heterogeneous classes.</w:t>
      </w:r>
    </w:p>
    <w:permEnd w:id="962341074"/>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696450" w:rsidRPr="00A40C6D" w:rsidRDefault="00696450" w:rsidP="00696450">
      <w:pPr>
        <w:spacing w:before="100" w:beforeAutospacing="1" w:after="100" w:afterAutospacing="1" w:line="240" w:lineRule="auto"/>
        <w:rPr>
          <w:rFonts w:ascii="Calibri" w:hAnsi="Calibri"/>
          <w:szCs w:val="22"/>
        </w:rPr>
      </w:pPr>
      <w:permStart w:id="856174953" w:edGrp="everyone"/>
      <w:r w:rsidRPr="00A40C6D">
        <w:rPr>
          <w:rFonts w:ascii="Calibri" w:hAnsi="Calibri"/>
          <w:szCs w:val="22"/>
        </w:rPr>
        <w:t xml:space="preserve">No, the WMBA does not agree. </w:t>
      </w:r>
    </w:p>
    <w:p w:rsidR="00696450" w:rsidRPr="00A40C6D" w:rsidRDefault="00696450" w:rsidP="00696450">
      <w:pPr>
        <w:pStyle w:val="FreeFormA"/>
        <w:spacing w:before="100" w:beforeAutospacing="1" w:after="100" w:afterAutospacing="1"/>
        <w:jc w:val="both"/>
        <w:rPr>
          <w:rFonts w:ascii="Calibri" w:eastAsia="Calibri" w:hAnsi="Calibri" w:cs="Arial"/>
          <w:color w:val="auto"/>
          <w:sz w:val="22"/>
          <w:szCs w:val="22"/>
          <w:lang w:val="en-GB" w:eastAsia="en-US"/>
        </w:rPr>
      </w:pPr>
      <w:r w:rsidRPr="00A40C6D">
        <w:rPr>
          <w:rFonts w:ascii="Calibri" w:eastAsia="Calibri" w:hAnsi="Calibri" w:cs="Arial"/>
          <w:color w:val="auto"/>
          <w:sz w:val="22"/>
          <w:szCs w:val="22"/>
          <w:lang w:val="en-GB" w:eastAsia="en-US"/>
        </w:rPr>
        <w:t>Annex III:</w:t>
      </w:r>
    </w:p>
    <w:p w:rsidR="00696450" w:rsidRPr="00A40C6D" w:rsidRDefault="00696450" w:rsidP="007306CC">
      <w:pPr>
        <w:pStyle w:val="FreeFormA"/>
        <w:numPr>
          <w:ilvl w:val="0"/>
          <w:numId w:val="13"/>
        </w:numPr>
        <w:spacing w:before="100" w:beforeAutospacing="1" w:after="100" w:afterAutospacing="1"/>
        <w:rPr>
          <w:rFonts w:ascii="Calibri" w:hAnsi="Calibri"/>
          <w:b/>
          <w:bCs/>
          <w:i/>
          <w:color w:val="auto"/>
          <w:sz w:val="22"/>
          <w:szCs w:val="22"/>
          <w:lang w:val="en-GB"/>
        </w:rPr>
      </w:pPr>
      <w:r w:rsidRPr="00A40C6D">
        <w:rPr>
          <w:rFonts w:ascii="Calibri" w:hAnsi="Calibri"/>
          <w:i/>
          <w:color w:val="auto"/>
          <w:sz w:val="22"/>
          <w:szCs w:val="22"/>
          <w:lang w:val="en-GB"/>
        </w:rPr>
        <w:t>The definition of "bond" should be amended, as follows:</w:t>
      </w:r>
    </w:p>
    <w:p w:rsidR="00696450" w:rsidRPr="00A40C6D" w:rsidRDefault="00696450" w:rsidP="00696450">
      <w:pPr>
        <w:pStyle w:val="FreeFormA"/>
        <w:spacing w:before="100" w:beforeAutospacing="1" w:after="100" w:afterAutospacing="1"/>
        <w:ind w:left="360"/>
        <w:rPr>
          <w:rFonts w:ascii="Calibri" w:hAnsi="Calibri"/>
          <w:i/>
          <w:color w:val="auto"/>
          <w:sz w:val="22"/>
          <w:szCs w:val="22"/>
          <w:lang w:val="en-GB"/>
        </w:rPr>
      </w:pPr>
      <w:r w:rsidRPr="00A40C6D">
        <w:rPr>
          <w:rFonts w:ascii="Calibri" w:hAnsi="Calibri"/>
          <w:i/>
          <w:color w:val="auto"/>
          <w:sz w:val="22"/>
          <w:szCs w:val="22"/>
          <w:lang w:val="en-GB"/>
        </w:rPr>
        <w:t>‘Bond’ means a transferable security that is constituted by an order, promise, engagement or acknowledgement to pay on demand, or at a determinable future time, a sum in money to, or to the order of, the holder of one or more units of the security. It includes depositary receipts representative of bonds falling within Article 4(1)(44)(b) of Directive 2014/65/EU which is not a structured finance product or a structured debt security.</w:t>
      </w:r>
    </w:p>
    <w:p w:rsidR="00696450" w:rsidRPr="00A40C6D" w:rsidRDefault="00696450" w:rsidP="00696450">
      <w:pPr>
        <w:pStyle w:val="FreeFormA"/>
        <w:spacing w:before="100" w:beforeAutospacing="1" w:after="100" w:afterAutospacing="1"/>
        <w:rPr>
          <w:rFonts w:ascii="Calibri" w:hAnsi="Calibri"/>
          <w:b/>
          <w:bCs/>
          <w:i/>
          <w:color w:val="auto"/>
          <w:sz w:val="22"/>
          <w:szCs w:val="22"/>
          <w:lang w:val="en-GB"/>
        </w:rPr>
      </w:pPr>
      <w:r w:rsidRPr="00A40C6D">
        <w:rPr>
          <w:rFonts w:ascii="Calibri" w:hAnsi="Calibri"/>
          <w:i/>
          <w:color w:val="auto"/>
          <w:sz w:val="22"/>
          <w:szCs w:val="22"/>
          <w:lang w:val="en-GB"/>
        </w:rPr>
        <w:t>(5) The definition of "convertible bond" should be amended, as follows:</w:t>
      </w:r>
    </w:p>
    <w:p w:rsidR="00696450" w:rsidRPr="00A40C6D" w:rsidRDefault="00696450" w:rsidP="00A40C6D">
      <w:pPr>
        <w:pStyle w:val="FreeFormA"/>
        <w:spacing w:before="100" w:beforeAutospacing="1" w:after="100" w:afterAutospacing="1"/>
        <w:ind w:left="720"/>
        <w:rPr>
          <w:rFonts w:ascii="Calibri" w:hAnsi="Calibri"/>
          <w:sz w:val="22"/>
          <w:szCs w:val="22"/>
        </w:rPr>
      </w:pPr>
      <w:r w:rsidRPr="00A40C6D">
        <w:rPr>
          <w:rFonts w:ascii="Calibri" w:hAnsi="Calibri"/>
          <w:i/>
          <w:color w:val="auto"/>
          <w:sz w:val="22"/>
          <w:szCs w:val="22"/>
          <w:lang w:val="en-GB"/>
        </w:rPr>
        <w:t>‘Convertible bond’ means an instrument consisting of a bond or a securitised debt instrument with an embedded derivative, such as an option to buy the underlying equity acquire shares of an issuer or a member of the issuer's group.</w:t>
      </w:r>
    </w:p>
    <w:permEnd w:id="856174953"/>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DD3BC5" w:rsidRPr="00A40C6D" w:rsidRDefault="00DD3BC5" w:rsidP="00DD3BC5">
      <w:pPr>
        <w:pStyle w:val="BodyText"/>
        <w:spacing w:before="100" w:beforeAutospacing="1" w:after="100" w:afterAutospacing="1"/>
        <w:rPr>
          <w:rFonts w:ascii="Calibri" w:hAnsi="Calibri" w:cs="Arial"/>
          <w:szCs w:val="22"/>
        </w:rPr>
      </w:pPr>
      <w:permStart w:id="209716907" w:edGrp="everyone"/>
      <w:r w:rsidRPr="00A40C6D">
        <w:rPr>
          <w:rFonts w:ascii="Calibri" w:hAnsi="Calibri"/>
          <w:szCs w:val="22"/>
        </w:rPr>
        <w:t>No, the WMBA does not agree</w:t>
      </w:r>
      <w:r w:rsidRPr="00A40C6D">
        <w:rPr>
          <w:rFonts w:ascii="Calibri" w:hAnsi="Calibri" w:cs="Arial"/>
          <w:szCs w:val="22"/>
        </w:rPr>
        <w:t xml:space="preserve"> with the liquidity parameters proposed by ESMA for securitised derivatives. We do not believe that the presence of one market maker should be sufficient for a sub-class of securitised derivatives to be deemed liquid:</w:t>
      </w:r>
    </w:p>
    <w:p w:rsidR="00DD3BC5" w:rsidRPr="00A40C6D" w:rsidRDefault="00DD3BC5" w:rsidP="007306CC">
      <w:pPr>
        <w:pStyle w:val="BodyText"/>
        <w:numPr>
          <w:ilvl w:val="0"/>
          <w:numId w:val="14"/>
        </w:numPr>
        <w:spacing w:before="100" w:beforeAutospacing="1" w:after="100" w:afterAutospacing="1" w:line="240" w:lineRule="auto"/>
        <w:ind w:left="426" w:hanging="426"/>
        <w:rPr>
          <w:rFonts w:ascii="Calibri" w:hAnsi="Calibri" w:cs="Arial"/>
          <w:b/>
          <w:szCs w:val="22"/>
        </w:rPr>
      </w:pPr>
      <w:r w:rsidRPr="00A40C6D">
        <w:rPr>
          <w:rFonts w:ascii="Calibri" w:hAnsi="Calibri" w:cs="Arial"/>
          <w:szCs w:val="22"/>
        </w:rPr>
        <w:t xml:space="preserve">As ESMA itself has noted in paragraph 62 of page 112 of the Consultation paper, whilst 98% of securitised derivatives analysed by ESMA had a dedicated market maker, these instruments only make up 29% of total trades and 39% of total volume traded. It is clear, therefore, that the presence of a market maker does not equate to liquidity. additional factors must also be taken into account to determine which sub-classes of securitised derivatives are liquid </w:t>
      </w:r>
    </w:p>
    <w:p w:rsidR="00DD3BC5" w:rsidRPr="00A40C6D" w:rsidRDefault="00DD3BC5" w:rsidP="007306CC">
      <w:pPr>
        <w:pStyle w:val="BodyText"/>
        <w:numPr>
          <w:ilvl w:val="0"/>
          <w:numId w:val="14"/>
        </w:numPr>
        <w:spacing w:before="100" w:beforeAutospacing="1" w:after="100" w:afterAutospacing="1" w:line="240" w:lineRule="auto"/>
        <w:ind w:left="426" w:hanging="426"/>
        <w:rPr>
          <w:rFonts w:ascii="Calibri" w:hAnsi="Calibri" w:cs="Arial"/>
          <w:b/>
          <w:szCs w:val="22"/>
        </w:rPr>
      </w:pPr>
      <w:r w:rsidRPr="00A40C6D">
        <w:rPr>
          <w:rFonts w:ascii="Calibri" w:hAnsi="Calibri" w:cs="Arial"/>
          <w:szCs w:val="22"/>
        </w:rPr>
        <w:t xml:space="preserve">The definition of “liquid market” in Article 2(17)(a) of MiFIR requires there to be “willing buyers and sellers on a continuous basis”. This requires there to be more than one buyer or seller in a market for a particular sub-class of instruments for that sub-class to be determined liquid </w:t>
      </w:r>
    </w:p>
    <w:p w:rsidR="00DD3BC5" w:rsidRPr="00A40C6D" w:rsidRDefault="00DD3BC5" w:rsidP="00DD3BC5">
      <w:pPr>
        <w:spacing w:before="100" w:beforeAutospacing="1" w:after="100" w:afterAutospacing="1" w:line="240" w:lineRule="auto"/>
        <w:rPr>
          <w:rFonts w:ascii="Calibri" w:hAnsi="Calibri"/>
          <w:szCs w:val="22"/>
        </w:rPr>
      </w:pPr>
      <w:r w:rsidRPr="00A40C6D">
        <w:rPr>
          <w:rFonts w:ascii="Calibri" w:hAnsi="Calibri"/>
          <w:szCs w:val="22"/>
        </w:rPr>
        <w:t xml:space="preserve">We note that the definition of securitised derivatives in the RTS is extremely broad and would capture a diverse range of securities.  In fact, the definition overlaps with many types of derivatives since it captures both securitised and unsecuritised instruments.  </w:t>
      </w:r>
    </w:p>
    <w:p w:rsidR="00DD3BC5" w:rsidRPr="00A40C6D" w:rsidRDefault="00DD3BC5" w:rsidP="00DD3BC5">
      <w:pPr>
        <w:spacing w:before="100" w:beforeAutospacing="1" w:after="100" w:afterAutospacing="1" w:line="240" w:lineRule="auto"/>
        <w:rPr>
          <w:rFonts w:ascii="Calibri" w:hAnsi="Calibri"/>
          <w:szCs w:val="22"/>
        </w:rPr>
      </w:pPr>
      <w:r w:rsidRPr="00A40C6D">
        <w:rPr>
          <w:rFonts w:ascii="Calibri" w:hAnsi="Calibri"/>
          <w:szCs w:val="22"/>
        </w:rPr>
        <w:t xml:space="preserve">The liquidity calibration is too broad given the breadth and diversity of the universe of instruments that would be classified as securitised derivatives, a more granular approach.  Indeed, the presumption that, prima facie, the presence of a market maker implies liquidity in all related markets is false, and that the nature of the product as well as the number and type of market participants is highly relevant to such a determination.  </w:t>
      </w:r>
    </w:p>
    <w:p w:rsidR="00DD3BC5" w:rsidRPr="00A40C6D" w:rsidRDefault="00DD3BC5" w:rsidP="00DD3BC5">
      <w:pPr>
        <w:spacing w:before="100" w:beforeAutospacing="1" w:after="100" w:afterAutospacing="1" w:line="240" w:lineRule="auto"/>
        <w:rPr>
          <w:rFonts w:ascii="Calibri" w:hAnsi="Calibri"/>
          <w:szCs w:val="22"/>
        </w:rPr>
      </w:pPr>
      <w:r w:rsidRPr="00A40C6D">
        <w:rPr>
          <w:rFonts w:ascii="Calibri" w:hAnsi="Calibri"/>
          <w:szCs w:val="22"/>
        </w:rPr>
        <w:t>Within this large universe, there is a subset of instruments that can be categorized as liquid because they are predominately retail focused and transactions are often executed in relatively small sizes.  However, there are many other instruments falling within this class that are wholesale products and are illiquid.</w:t>
      </w:r>
    </w:p>
    <w:permEnd w:id="209716907"/>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207244333" w:edGrp="everyone"/>
      <w:r>
        <w:t>TYPE YOUR TEXT HERE</w:t>
      </w:r>
    </w:p>
    <w:permEnd w:id="207244333"/>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DD3BC5" w:rsidRPr="00A40C6D" w:rsidRDefault="00DD3BC5" w:rsidP="00DD3BC5">
      <w:pPr>
        <w:rPr>
          <w:rFonts w:ascii="Calibri" w:hAnsi="Calibri"/>
        </w:rPr>
      </w:pPr>
      <w:permStart w:id="702484007" w:edGrp="everyone"/>
      <w:r w:rsidRPr="00A40C6D">
        <w:rPr>
          <w:rFonts w:ascii="Calibri" w:hAnsi="Calibri"/>
        </w:rPr>
        <w:t>No, the WMBA does not agree with the proposed classification of a liquid market for interest rate derivatives. We in particular note that ‘Swaption’ are all within one category creating a plethora of false positives and some false negatives. Additionally, it is difficult for the WMBA to understand where spreads and mixes of bonds/swaps would be classified. Clearly a set of very granular sub groups are necessary in tandem with more lien given to venues to appoint trades to an appropriate classification.</w:t>
      </w:r>
    </w:p>
    <w:p w:rsidR="00DD3BC5" w:rsidRPr="00A40C6D" w:rsidRDefault="00DD3BC5" w:rsidP="00DD3BC5">
      <w:pPr>
        <w:rPr>
          <w:rFonts w:ascii="Calibri" w:hAnsi="Calibri"/>
        </w:rPr>
      </w:pPr>
      <w:r w:rsidRPr="00A40C6D">
        <w:rPr>
          <w:rFonts w:ascii="Calibri" w:hAnsi="Calibri"/>
        </w:rPr>
        <w:t xml:space="preserve">The WMBA would cross refer to the ISDA answer on the detailed granularity of a classification for Interest rate derivatives including: </w:t>
      </w:r>
    </w:p>
    <w:p w:rsidR="00DD3BC5" w:rsidRPr="00A40C6D" w:rsidRDefault="00DD3BC5" w:rsidP="007D55BD">
      <w:pPr>
        <w:pStyle w:val="ListParagraph"/>
        <w:rPr>
          <w:rFonts w:eastAsia="Times New Roman"/>
        </w:rPr>
      </w:pPr>
      <w:r w:rsidRPr="00A40C6D">
        <w:rPr>
          <w:rFonts w:eastAsia="Times New Roman"/>
        </w:rPr>
        <w:t>Refines the assessment of liquid classes as follows:</w:t>
      </w:r>
    </w:p>
    <w:p w:rsidR="00DD3BC5" w:rsidRPr="00A40C6D" w:rsidRDefault="00DD3BC5" w:rsidP="007D55BD">
      <w:pPr>
        <w:pStyle w:val="ListParagraph"/>
        <w:rPr>
          <w:rFonts w:eastAsia="Times New Roman"/>
        </w:rPr>
      </w:pPr>
      <w:r w:rsidRPr="00A40C6D">
        <w:rPr>
          <w:rFonts w:eastAsia="Times New Roman"/>
        </w:rPr>
        <w:t xml:space="preserve">By analysing swaptions at a greater degree of granularity in order to ensure that each sub-class against which liquidity is assessed contains reasonably homogenous derivatives. This can be achieved by using additional criteria to define the sub-classes of swaptions. </w:t>
      </w:r>
    </w:p>
    <w:p w:rsidR="00DD3BC5" w:rsidRPr="00A40C6D" w:rsidRDefault="00DD3BC5" w:rsidP="007D55BD">
      <w:pPr>
        <w:pStyle w:val="ListParagraph"/>
        <w:rPr>
          <w:rFonts w:eastAsia="Times New Roman"/>
        </w:rPr>
      </w:pPr>
      <w:r w:rsidRPr="00A40C6D">
        <w:rPr>
          <w:rFonts w:eastAsia="Times New Roman"/>
        </w:rPr>
        <w:t xml:space="preserve">By utilising higher liquidity thresholds which accord better with the MiFIR definition of a liquid market (that is one where there are ready and willing buyers and sellers on a continuous basis). </w:t>
      </w:r>
    </w:p>
    <w:p w:rsidR="00DD3BC5" w:rsidRPr="00A40C6D" w:rsidRDefault="00DD3BC5" w:rsidP="007D55BD">
      <w:pPr>
        <w:pStyle w:val="ListParagraph"/>
        <w:rPr>
          <w:rFonts w:eastAsia="Times New Roman"/>
        </w:rPr>
      </w:pPr>
      <w:r w:rsidRPr="00A40C6D">
        <w:rPr>
          <w:rFonts w:eastAsia="Times New Roman"/>
        </w:rPr>
        <w:t>By refining its data analysis methods, including the classification of swaps which do not have whole year tenors, and ensure that the dataset used is accurate.</w:t>
      </w:r>
    </w:p>
    <w:p w:rsidR="00DD3BC5" w:rsidRPr="00A40C6D" w:rsidRDefault="00DD3BC5" w:rsidP="007D55BD">
      <w:pPr>
        <w:pStyle w:val="ListParagraph"/>
        <w:rPr>
          <w:rFonts w:eastAsia="Times New Roman"/>
        </w:rPr>
      </w:pPr>
      <w:r w:rsidRPr="00A40C6D">
        <w:rPr>
          <w:rFonts w:eastAsia="Times New Roman"/>
        </w:rPr>
        <w:t>By clarifying the illiquid status of exotic interest rate derivatives which do not currently appear in the interest rate derivatives taxonomy of RTS 9.</w:t>
      </w:r>
      <w:r w:rsidRPr="00A40C6D">
        <w:t xml:space="preserve"> </w:t>
      </w:r>
      <w:r w:rsidRPr="00A40C6D">
        <w:rPr>
          <w:rFonts w:eastAsia="Times New Roman"/>
        </w:rPr>
        <w:t>Under ISDA’s taxonomy, exotics are a product distinct from options, cross-currency swaps, caps, floors, FRAs, or interest rate swaps; so creating (as ESMA has done for equity and commodity derivatives and bonds) an “all other products” category in RTS 9 will further align ESMA’s taxonomy with ISDA’s and clarify the status of these derivatives. Given the heterogeneity of derivatives in this class, we expect it to be considered illiquid.</w:t>
      </w:r>
    </w:p>
    <w:p w:rsidR="00DD3BC5" w:rsidRPr="00A40C6D" w:rsidRDefault="00DD3BC5" w:rsidP="007D55BD">
      <w:pPr>
        <w:pStyle w:val="ListParagraph"/>
      </w:pPr>
      <w:r w:rsidRPr="00A40C6D">
        <w:rPr>
          <w:rFonts w:eastAsia="Times New Roman"/>
        </w:rPr>
        <w:t xml:space="preserve">Seek to achieve its policy objective of ensuring transparency at the aggregate level of the interest rate derivatives asset class, and not attempt to find at least some liquid sub-classes in as many classes of interest rate derivatives as possible. Some classes are simply very illiquid or extremely heterogeneous. Appropriate and consistent use of liquidity thresholds across sub-classes when defined with comparable levels of granularity will ensure that illiquid classes are not incorrectly identified as liquid. If ESMA wishes to assess whether or not it has “captured” a sufficiently broad range of derivatives as liquid instruments, it should make this assessment at the aggregate level of the interest rate derivatives asset class rather than at the level of each class or sub-class. </w:t>
      </w:r>
    </w:p>
    <w:p w:rsidR="00AF7423" w:rsidRPr="00A40C6D" w:rsidRDefault="00AF7423" w:rsidP="007D55BD">
      <w:pPr>
        <w:pStyle w:val="ListParagraph"/>
        <w:rPr>
          <w:rFonts w:eastAsia="Times New Roman"/>
        </w:rPr>
      </w:pPr>
      <w:r w:rsidRPr="00A40C6D">
        <w:rPr>
          <w:rFonts w:eastAsia="Times New Roman"/>
        </w:rPr>
        <w:t>Recognise package transactions as a distinct class of financial transactions and ensure that they are adequately provided for in the RTS. We believe that certain dates – especially those tenors falling outside the traded tenor of 2,3,5,10 years – would display much lower liquidity if ESMA were to only consider outright trading in those tenors. This has been recognised in the US, where it is only the benchmark tenors which have been declared subject to mandatory trading.</w:t>
      </w:r>
    </w:p>
    <w:p w:rsidR="00AF7423" w:rsidRPr="00A40C6D" w:rsidRDefault="00AF7423" w:rsidP="00AF7423">
      <w:pPr>
        <w:rPr>
          <w:rFonts w:ascii="Calibri" w:eastAsia="Times New Roman" w:hAnsi="Calibri" w:cs="Arial"/>
        </w:rPr>
      </w:pPr>
    </w:p>
    <w:p w:rsidR="00DD3BC5" w:rsidRPr="00A40C6D" w:rsidRDefault="00DD3BC5" w:rsidP="00AF7423">
      <w:pPr>
        <w:spacing w:after="240" w:line="240" w:lineRule="auto"/>
        <w:rPr>
          <w:rFonts w:ascii="Calibri" w:hAnsi="Calibri"/>
        </w:rPr>
      </w:pPr>
      <w:r w:rsidRPr="00A40C6D">
        <w:rPr>
          <w:rFonts w:ascii="Calibri" w:hAnsi="Calibri"/>
        </w:rPr>
        <w:t xml:space="preserve">Further we would note the requirement for the inclusion of the following: </w:t>
      </w:r>
    </w:p>
    <w:p w:rsidR="00DD3BC5" w:rsidRPr="00A40C6D" w:rsidRDefault="00DD3BC5" w:rsidP="007D55BD">
      <w:pPr>
        <w:pStyle w:val="ListParagraph"/>
      </w:pPr>
      <w:r w:rsidRPr="00A40C6D">
        <w:t xml:space="preserve">The need for sufficient granularity in the venue test and the liquidity test </w:t>
      </w:r>
    </w:p>
    <w:p w:rsidR="00DD3BC5" w:rsidRPr="00A40C6D" w:rsidRDefault="00DD3BC5" w:rsidP="007D55BD">
      <w:pPr>
        <w:pStyle w:val="ListParagraph"/>
      </w:pPr>
      <w:r w:rsidRPr="00A40C6D">
        <w:t>The importance of not conflating on-venue and off-venue instruments</w:t>
      </w:r>
    </w:p>
    <w:p w:rsidR="00DD3BC5" w:rsidRPr="00A40C6D" w:rsidRDefault="00DD3BC5" w:rsidP="007D55BD">
      <w:pPr>
        <w:pStyle w:val="ListParagraph"/>
      </w:pPr>
      <w:r w:rsidRPr="00A40C6D">
        <w:t xml:space="preserve">The need not to bring into scope OTC derivative transactions that are not listed on venues </w:t>
      </w:r>
    </w:p>
    <w:p w:rsidR="00DD3BC5" w:rsidRPr="00A40C6D" w:rsidRDefault="00DD3BC5" w:rsidP="007D55BD">
      <w:pPr>
        <w:pStyle w:val="ListParagraph"/>
      </w:pPr>
      <w:r w:rsidRPr="00A40C6D">
        <w:t xml:space="preserve">The inappropriateness of the COFIA approach and the broad scope of the proposed liquidity provision, which would include too many illiquid instruments </w:t>
      </w:r>
    </w:p>
    <w:p w:rsidR="00DD3BC5" w:rsidRPr="00A40C6D" w:rsidRDefault="00DD3BC5" w:rsidP="007D55BD">
      <w:pPr>
        <w:pStyle w:val="ListParagraph"/>
      </w:pPr>
      <w:r w:rsidRPr="00A40C6D">
        <w:t>The need for appropriate treatment of packaged trades</w:t>
      </w:r>
    </w:p>
    <w:p w:rsidR="00DD3BC5" w:rsidRPr="00A40C6D" w:rsidRDefault="00DD3BC5" w:rsidP="007D55BD">
      <w:pPr>
        <w:pStyle w:val="ListParagraph"/>
      </w:pPr>
      <w:r w:rsidRPr="00A40C6D">
        <w:t>The need to use pre-trade order book data</w:t>
      </w:r>
    </w:p>
    <w:p w:rsidR="00DD3BC5" w:rsidRPr="00A40C6D" w:rsidRDefault="00DD3BC5" w:rsidP="007D55BD">
      <w:pPr>
        <w:pStyle w:val="ListParagraph"/>
      </w:pPr>
      <w:r w:rsidRPr="00A40C6D">
        <w:t>The need to use broader data sets</w:t>
      </w:r>
    </w:p>
    <w:p w:rsidR="00DD3BC5" w:rsidRPr="00A40C6D" w:rsidRDefault="00DD3BC5" w:rsidP="007D55BD">
      <w:pPr>
        <w:pStyle w:val="ListParagraph"/>
      </w:pPr>
      <w:r w:rsidRPr="00A40C6D">
        <w:t>The need to use number of contracts rather than notional value</w:t>
      </w:r>
    </w:p>
    <w:p w:rsidR="00DD3BC5" w:rsidRPr="00A40C6D" w:rsidRDefault="00DD3BC5" w:rsidP="007D55BD">
      <w:pPr>
        <w:pStyle w:val="ListParagraph"/>
      </w:pPr>
      <w:r w:rsidRPr="00A40C6D">
        <w:t>The need for a properly calibrated time line for calculations</w:t>
      </w:r>
    </w:p>
    <w:p w:rsidR="00DD3BC5" w:rsidRPr="00A40C6D" w:rsidRDefault="00DD3BC5" w:rsidP="007D55BD">
      <w:pPr>
        <w:pStyle w:val="ListParagraph"/>
      </w:pPr>
      <w:r w:rsidRPr="00A40C6D">
        <w:t>The need to refine the classes of instruments used</w:t>
      </w:r>
    </w:p>
    <w:p w:rsidR="00DD3BC5" w:rsidRPr="00A40C6D" w:rsidRDefault="00DD3BC5" w:rsidP="007D55BD">
      <w:pPr>
        <w:pStyle w:val="ListParagraph"/>
      </w:pPr>
      <w:r w:rsidRPr="00A40C6D">
        <w:t>The need to extend the maturity frontier from three to four months</w:t>
      </w:r>
    </w:p>
    <w:p w:rsidR="00DD3BC5" w:rsidRPr="00A40C6D" w:rsidRDefault="00DD3BC5" w:rsidP="007D55BD">
      <w:pPr>
        <w:pStyle w:val="ListParagraph"/>
      </w:pPr>
      <w:r w:rsidRPr="00A40C6D">
        <w:t>The need for more granularity in the average trade per day and average notional amount per day parameters</w:t>
      </w:r>
      <w:r w:rsidR="00A40C6D" w:rsidRPr="00A40C6D">
        <w:t xml:space="preserve">  </w:t>
      </w:r>
    </w:p>
    <w:permEnd w:id="702484007"/>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CF49CB" w:rsidRPr="00A40C6D" w:rsidRDefault="00CF49CB" w:rsidP="00CF49CB">
      <w:pPr>
        <w:spacing w:after="120"/>
        <w:rPr>
          <w:rFonts w:ascii="Calibri" w:hAnsi="Calibri" w:cs="Arial"/>
        </w:rPr>
      </w:pPr>
      <w:permStart w:id="83889709" w:edGrp="everyone"/>
      <w:r w:rsidRPr="00A40C6D">
        <w:rPr>
          <w:rFonts w:ascii="Calibri" w:hAnsi="Calibri" w:cs="Arial"/>
        </w:rPr>
        <w:t xml:space="preserve">The WMBA are very concerned at the categorisation and therefore the liquidity categorisation of swaptions. These are very significant risk hedging products and it is therefore necessary to include an "all other interest rate derivatives" class to capture interest rate derivatives which do not fall within any of the classes set out in tables 5 to 31.  However, we would set out the note that not every swaption is hedged with an interest rate and so becomes a </w:t>
      </w:r>
      <w:r w:rsidRPr="00A40C6D">
        <w:rPr>
          <w:rFonts w:ascii="Calibri" w:hAnsi="Calibri" w:cs="Arial"/>
          <w:i/>
        </w:rPr>
        <w:t>packaged product</w:t>
      </w:r>
      <w:r w:rsidRPr="00A40C6D">
        <w:rPr>
          <w:rFonts w:ascii="Calibri" w:hAnsi="Calibri" w:cs="Arial"/>
        </w:rPr>
        <w:t>.</w:t>
      </w:r>
    </w:p>
    <w:p w:rsidR="00CF49CB" w:rsidRPr="00A40C6D" w:rsidRDefault="00CF49CB" w:rsidP="00CF49CB">
      <w:pPr>
        <w:spacing w:after="120"/>
        <w:rPr>
          <w:rFonts w:ascii="Calibri" w:hAnsi="Calibri" w:cs="Arial"/>
        </w:rPr>
      </w:pPr>
      <w:r w:rsidRPr="00A40C6D">
        <w:rPr>
          <w:rFonts w:ascii="Calibri" w:hAnsi="Calibri" w:cs="Arial"/>
        </w:rPr>
        <w:t xml:space="preserve">For example, tables 5 to 31 do not currently include instruments such as exotic interest rate derivatives, caps, floors and debt options. Exotics, caps and floors are products distinct from options, cross-currency swaps, FRAs or interest rate swaps. </w:t>
      </w:r>
    </w:p>
    <w:p w:rsidR="00CF49CB" w:rsidRPr="00A40C6D" w:rsidRDefault="00CF49CB" w:rsidP="00CF49CB">
      <w:pPr>
        <w:spacing w:after="120"/>
        <w:rPr>
          <w:rFonts w:ascii="Calibri" w:hAnsi="Calibri" w:cs="Arial"/>
        </w:rPr>
      </w:pPr>
      <w:r w:rsidRPr="00A40C6D">
        <w:rPr>
          <w:rFonts w:ascii="Calibri" w:hAnsi="Calibri" w:cs="Arial"/>
        </w:rPr>
        <w:t>Debt options are products distinct from exchange-traded options on bond futures underliers. Creating (as ESMA has done for equity and commodity derivatives and bonds) an “all other products” category for interest rate derivatives in RTS 9 will ensure that these classes of derivatives are given a liquidity determination and that appropriate SSTI and LIS thresholds are assigned. Given the heterogeneity of derivatives in this class, we expect it to be considered illiquid.</w:t>
      </w:r>
    </w:p>
    <w:p w:rsidR="00CF49CB" w:rsidRPr="00A40C6D" w:rsidRDefault="00CF49CB" w:rsidP="00CF49CB">
      <w:pPr>
        <w:rPr>
          <w:rFonts w:ascii="Calibri" w:hAnsi="Calibri"/>
        </w:rPr>
      </w:pPr>
      <w:r w:rsidRPr="00A40C6D">
        <w:rPr>
          <w:rFonts w:ascii="Calibri" w:hAnsi="Calibri"/>
        </w:rPr>
        <w:t xml:space="preserve">WMBA agrees with the ISDA analysis of definitions as below: </w:t>
      </w:r>
    </w:p>
    <w:p w:rsidR="00CF49CB" w:rsidRPr="00A40C6D" w:rsidRDefault="00CF49CB" w:rsidP="007D55BD">
      <w:pPr>
        <w:pStyle w:val="ListParagraph"/>
      </w:pPr>
      <w:r w:rsidRPr="00A40C6D">
        <w:t>The definition of "Swap" should be amended so that the reference to "financial instrument" is removed. It is not necessary for the exchanged cash flows to relate to a financial instrument. For example, a swap could simply involve the exchange of cash flows relating to two different interest rates. The definition should be amended as follows:</w:t>
      </w:r>
    </w:p>
    <w:p w:rsidR="00CF49CB" w:rsidRPr="00A40C6D" w:rsidRDefault="00CF49CB" w:rsidP="00CF49CB">
      <w:pPr>
        <w:spacing w:after="120"/>
        <w:ind w:left="720"/>
        <w:rPr>
          <w:rFonts w:ascii="Calibri" w:hAnsi="Calibri" w:cs="Arial"/>
        </w:rPr>
      </w:pPr>
      <w:r w:rsidRPr="00A40C6D">
        <w:rPr>
          <w:rFonts w:ascii="Calibri" w:hAnsi="Calibri" w:cs="Arial"/>
        </w:rPr>
        <w:t xml:space="preserve">‘Swap’ means a contract in which two parties agree to exchange cash flows </w:t>
      </w:r>
      <w:r w:rsidRPr="00A40C6D">
        <w:rPr>
          <w:rFonts w:ascii="Calibri" w:hAnsi="Calibri" w:cs="Arial"/>
          <w:strike/>
        </w:rPr>
        <w:t>in one financial instrument for another</w:t>
      </w:r>
      <w:r w:rsidRPr="00A40C6D">
        <w:rPr>
          <w:rFonts w:ascii="Calibri" w:hAnsi="Calibri" w:cs="Arial"/>
        </w:rPr>
        <w:t xml:space="preserve"> at a certain future date </w:t>
      </w:r>
      <w:r w:rsidRPr="00A40C6D">
        <w:rPr>
          <w:rFonts w:ascii="Calibri" w:hAnsi="Calibri" w:cs="Arial"/>
          <w:u w:val="single"/>
        </w:rPr>
        <w:t>or dates</w:t>
      </w:r>
      <w:r w:rsidRPr="00A40C6D">
        <w:rPr>
          <w:rFonts w:ascii="Calibri" w:hAnsi="Calibri" w:cs="Arial"/>
        </w:rPr>
        <w:t>.</w:t>
      </w:r>
    </w:p>
    <w:p w:rsidR="00CF49CB" w:rsidRPr="00A40C6D" w:rsidRDefault="00CF49CB" w:rsidP="007D55BD">
      <w:pPr>
        <w:pStyle w:val="ListParagraph"/>
      </w:pPr>
      <w:r w:rsidRPr="00A40C6D">
        <w:t xml:space="preserve">The definition of "Forward agreement" should be amended to adequately distinguish it from a futures contract, as follows: </w:t>
      </w:r>
    </w:p>
    <w:p w:rsidR="00CF49CB" w:rsidRPr="00A40C6D" w:rsidRDefault="00CF49CB" w:rsidP="00CF49CB">
      <w:pPr>
        <w:spacing w:after="120"/>
        <w:ind w:left="720"/>
        <w:rPr>
          <w:rFonts w:ascii="Calibri" w:hAnsi="Calibri" w:cs="Arial"/>
        </w:rPr>
      </w:pPr>
      <w:r w:rsidRPr="00A40C6D">
        <w:rPr>
          <w:rFonts w:ascii="Calibri" w:hAnsi="Calibri" w:cs="Arial"/>
        </w:rPr>
        <w:t xml:space="preserve">‘Forward agreement’ means a </w:t>
      </w:r>
      <w:r w:rsidRPr="00A40C6D">
        <w:rPr>
          <w:rFonts w:ascii="Calibri" w:hAnsi="Calibri" w:cs="Arial"/>
          <w:strike/>
        </w:rPr>
        <w:t>private agreement</w:t>
      </w:r>
      <w:r w:rsidRPr="00A40C6D">
        <w:rPr>
          <w:rFonts w:ascii="Calibri" w:hAnsi="Calibri" w:cs="Arial"/>
        </w:rPr>
        <w:t xml:space="preserve"> </w:t>
      </w:r>
      <w:r w:rsidRPr="00A40C6D">
        <w:rPr>
          <w:rFonts w:ascii="Calibri" w:hAnsi="Calibri" w:cs="Arial"/>
          <w:u w:val="single"/>
        </w:rPr>
        <w:t>contract that is not a futures contract</w:t>
      </w:r>
      <w:r w:rsidRPr="00A40C6D">
        <w:rPr>
          <w:rFonts w:ascii="Calibri" w:hAnsi="Calibri" w:cs="Arial"/>
        </w:rPr>
        <w:t xml:space="preserve"> between two parties to buy or sell a commodity or financial instrument at a designated future date at a price agreed upon at the initiation of the contract by the buyer and seller.</w:t>
      </w:r>
    </w:p>
    <w:p w:rsidR="00CF49CB" w:rsidRPr="007D55BD" w:rsidRDefault="00CF49CB" w:rsidP="007D55BD">
      <w:pPr>
        <w:pStyle w:val="ListParagraph"/>
      </w:pPr>
      <w:r w:rsidRPr="007D55BD">
        <w:t>The definition of “Swaption” should be amended to ensure that it captures cash-settled contracts, i.e. swaptions which are settled at expiry of the period of optionality based on the market value or rate of the underlying swap (without resulting in the two parties to the swaption entering into a swap). The existing definition only refers to a physically-delivered swaptions. The definition should be amended as follows:</w:t>
      </w:r>
    </w:p>
    <w:p w:rsidR="00CF49CB" w:rsidRPr="00A40C6D" w:rsidRDefault="00CF49CB" w:rsidP="00CF49CB">
      <w:pPr>
        <w:spacing w:after="120"/>
        <w:ind w:left="720"/>
        <w:rPr>
          <w:rFonts w:ascii="Calibri" w:hAnsi="Calibri" w:cs="Arial"/>
        </w:rPr>
      </w:pPr>
      <w:r w:rsidRPr="00A40C6D">
        <w:rPr>
          <w:rFonts w:ascii="Calibri" w:hAnsi="Calibri" w:cs="Arial"/>
        </w:rPr>
        <w:t xml:space="preserve">‘Swaption’ means a contract that gives the </w:t>
      </w:r>
      <w:bookmarkStart w:id="7" w:name="_GoBack"/>
      <w:bookmarkEnd w:id="7"/>
      <w:r w:rsidRPr="00A40C6D">
        <w:rPr>
          <w:rFonts w:ascii="Calibri" w:hAnsi="Calibri" w:cs="Arial"/>
        </w:rPr>
        <w:t xml:space="preserve">owner the right, but not the obligation, to enter </w:t>
      </w:r>
      <w:r w:rsidRPr="00A40C6D">
        <w:rPr>
          <w:rFonts w:ascii="Calibri" w:hAnsi="Calibri" w:cs="Arial"/>
          <w:u w:val="single"/>
        </w:rPr>
        <w:t>into</w:t>
      </w:r>
      <w:r w:rsidRPr="00A40C6D">
        <w:rPr>
          <w:rFonts w:ascii="Calibri" w:hAnsi="Calibri" w:cs="Arial"/>
        </w:rPr>
        <w:t xml:space="preserve"> a swap at or up to a certain future date or exercise date. </w:t>
      </w:r>
      <w:r w:rsidRPr="00A40C6D">
        <w:rPr>
          <w:rFonts w:ascii="Calibri" w:hAnsi="Calibri" w:cs="Arial"/>
          <w:u w:val="single"/>
        </w:rPr>
        <w:t>In some cases, the swaption may be settled with a cash payment equal to the market value of the underlying swap at the time of the exercise.</w:t>
      </w:r>
      <w:r w:rsidRPr="00A40C6D">
        <w:rPr>
          <w:rFonts w:ascii="Calibri" w:hAnsi="Calibri" w:cs="Arial"/>
        </w:rPr>
        <w:t xml:space="preserve"> </w:t>
      </w:r>
    </w:p>
    <w:p w:rsidR="00CF49CB" w:rsidRPr="00A40C6D" w:rsidRDefault="00CF49CB" w:rsidP="007306CC">
      <w:pPr>
        <w:pStyle w:val="BodyText"/>
        <w:numPr>
          <w:ilvl w:val="0"/>
          <w:numId w:val="16"/>
        </w:numPr>
        <w:spacing w:after="240" w:line="240" w:lineRule="auto"/>
        <w:ind w:left="426" w:hanging="426"/>
        <w:rPr>
          <w:rFonts w:ascii="Calibri" w:hAnsi="Calibri" w:cs="Arial"/>
        </w:rPr>
      </w:pPr>
      <w:r w:rsidRPr="00A40C6D">
        <w:rPr>
          <w:rFonts w:ascii="Calibri" w:hAnsi="Calibri" w:cs="Arial"/>
        </w:rPr>
        <w:t>ESMA should define the term ‘tenor’ in the context of Tables 15 to 31 in Annex III of RTS 9. We consider the appropriate definition to be the time period from trade date to maturity date. Failure to do so will leave the classification of forward starting or backward starting swaps unclear. We would propose the addition of the following wording in section 4 of Annex III of RTS 9:</w:t>
      </w:r>
    </w:p>
    <w:p w:rsidR="00CF49CB" w:rsidRPr="00A40C6D" w:rsidRDefault="00CF49CB" w:rsidP="00CF49CB">
      <w:pPr>
        <w:spacing w:after="120"/>
        <w:ind w:left="720"/>
        <w:rPr>
          <w:rFonts w:ascii="Calibri" w:hAnsi="Calibri" w:cs="Arial"/>
        </w:rPr>
      </w:pPr>
      <w:r w:rsidRPr="00A40C6D">
        <w:rPr>
          <w:rFonts w:ascii="Calibri" w:hAnsi="Calibri" w:cs="Arial"/>
        </w:rPr>
        <w:t>"</w:t>
      </w:r>
      <w:r w:rsidRPr="00A40C6D">
        <w:rPr>
          <w:rFonts w:ascii="Calibri" w:hAnsi="Calibri" w:cs="Arial"/>
          <w:u w:val="single"/>
        </w:rPr>
        <w:t>For the purposes of Tables 15 to 31, ‘tenor’ means the time period from trade date to maturity date of the contract.</w:t>
      </w:r>
      <w:r w:rsidRPr="00A40C6D">
        <w:rPr>
          <w:rFonts w:ascii="Calibri" w:hAnsi="Calibri" w:cs="Arial"/>
        </w:rPr>
        <w:t>"</w:t>
      </w:r>
    </w:p>
    <w:p w:rsidR="00CF49CB" w:rsidRPr="00A40C6D" w:rsidRDefault="00CF49CB" w:rsidP="007306CC">
      <w:pPr>
        <w:pStyle w:val="BodyText"/>
        <w:numPr>
          <w:ilvl w:val="0"/>
          <w:numId w:val="16"/>
        </w:numPr>
        <w:spacing w:after="240" w:line="240" w:lineRule="auto"/>
        <w:ind w:left="426" w:hanging="426"/>
        <w:rPr>
          <w:rFonts w:ascii="Calibri" w:hAnsi="Calibri" w:cs="Arial"/>
        </w:rPr>
      </w:pPr>
      <w:r w:rsidRPr="00A40C6D">
        <w:rPr>
          <w:rFonts w:ascii="Calibri" w:hAnsi="Calibri" w:cs="Arial"/>
        </w:rPr>
        <w:t>The definition of ‘Interest rate derivatives’ should be amended as follows:</w:t>
      </w:r>
    </w:p>
    <w:p w:rsidR="00CF49CB" w:rsidRPr="00A40C6D" w:rsidRDefault="00CF49CB" w:rsidP="00CF49CB">
      <w:pPr>
        <w:pStyle w:val="BodyText"/>
        <w:ind w:left="720"/>
        <w:rPr>
          <w:rFonts w:ascii="Calibri" w:hAnsi="Calibri" w:cs="Arial"/>
        </w:rPr>
      </w:pPr>
      <w:r w:rsidRPr="00A40C6D">
        <w:rPr>
          <w:rFonts w:ascii="Calibri" w:hAnsi="Calibri" w:cs="Arial"/>
        </w:rPr>
        <w:t>‘Interest rate derivatives’ means any contract as defined in Annex I, Section C(4) of Directive 2014/65/EU whose underlying is an interest rate, a bond, a loan, a swapnote, any basket, portfolio or index including an interest rate, a bond, a loan, a swapnote or any other product representing the performance of an interest rate, a bond, a loan</w:t>
      </w:r>
      <w:r w:rsidRPr="00A40C6D">
        <w:rPr>
          <w:rFonts w:ascii="Calibri" w:hAnsi="Calibri" w:cs="Arial"/>
          <w:strike/>
        </w:rPr>
        <w:t>,</w:t>
      </w:r>
      <w:r w:rsidRPr="00A40C6D">
        <w:rPr>
          <w:rFonts w:ascii="Calibri" w:hAnsi="Calibri" w:cs="Arial"/>
        </w:rPr>
        <w:t xml:space="preserve"> </w:t>
      </w:r>
      <w:r w:rsidRPr="00A40C6D">
        <w:rPr>
          <w:rFonts w:ascii="Calibri" w:hAnsi="Calibri" w:cs="Arial"/>
          <w:u w:val="single"/>
        </w:rPr>
        <w:t>or</w:t>
      </w:r>
      <w:r w:rsidRPr="00A40C6D">
        <w:rPr>
          <w:rFonts w:ascii="Calibri" w:hAnsi="Calibri" w:cs="Arial"/>
        </w:rPr>
        <w:t xml:space="preserve"> a swapnote.</w:t>
      </w:r>
    </w:p>
    <w:p w:rsidR="00CF49CB" w:rsidRPr="00A40C6D" w:rsidRDefault="00CF49CB" w:rsidP="00A40C6D">
      <w:pPr>
        <w:spacing w:after="120"/>
        <w:rPr>
          <w:rFonts w:ascii="Calibri" w:hAnsi="Calibri"/>
        </w:rPr>
      </w:pPr>
      <w:r w:rsidRPr="00A40C6D">
        <w:rPr>
          <w:rFonts w:ascii="Calibri" w:hAnsi="Calibri" w:cs="Arial"/>
        </w:rPr>
        <w:t>It is necessary to include an "all other interest rate derivatives" class to capture interest rate derivatives which do not fall within any of the classes set out in tables 5 to 31. For example, tables 5 to 31 do not currently include instruments such as exotic interest rate derivatives, caps, floors and debt options. Exotics, caps and floors are products distinct from options, cross-currency swaps, FRAs, or interest rate swaps. Debt options are products distinct from exchange-traded options on bond futures underliers. Creating (as ESMA has done for equity and commodity derivatives and bonds) an “all other products” category for interest rate derivatives in RTS 9 will ensure that these classes of derivatives are given a liquidity determination and that appropriate SSTI and LIS thresholds are assigned. Given the heterogeneity of derivatives in this class, we expect it to be considered illiquid.</w:t>
      </w:r>
    </w:p>
    <w:permEnd w:id="83889709"/>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18199B" w:rsidRPr="00FF489F" w:rsidRDefault="0018199B" w:rsidP="0018199B">
      <w:pPr>
        <w:rPr>
          <w:rFonts w:ascii="Calibri" w:hAnsi="Calibri" w:cs="Arial"/>
          <w:bCs/>
        </w:rPr>
      </w:pPr>
      <w:permStart w:id="1141641038" w:edGrp="everyone"/>
      <w:r>
        <w:rPr>
          <w:rFonts w:ascii="Calibri" w:hAnsi="Calibri" w:cs="Arial"/>
          <w:bCs/>
        </w:rPr>
        <w:t>The WMB</w:t>
      </w:r>
      <w:r w:rsidRPr="00FF489F">
        <w:rPr>
          <w:rFonts w:ascii="Calibri" w:hAnsi="Calibri" w:cs="Arial"/>
          <w:bCs/>
        </w:rPr>
        <w:t xml:space="preserve">A </w:t>
      </w:r>
      <w:r>
        <w:rPr>
          <w:rFonts w:ascii="Calibri" w:hAnsi="Calibri" w:cs="Arial"/>
          <w:bCs/>
        </w:rPr>
        <w:t>notes</w:t>
      </w:r>
      <w:r w:rsidRPr="00FF489F">
        <w:rPr>
          <w:rFonts w:ascii="Calibri" w:hAnsi="Calibri" w:cs="Arial"/>
          <w:bCs/>
        </w:rPr>
        <w:t xml:space="preserve"> that ESMA has not been clear that its proposal relates only to exchange-traded equity derivatives contracts and does not apply to </w:t>
      </w:r>
      <w:r>
        <w:rPr>
          <w:rFonts w:ascii="Calibri" w:hAnsi="Calibri" w:cs="Arial"/>
          <w:bCs/>
        </w:rPr>
        <w:t>bilateral</w:t>
      </w:r>
      <w:r w:rsidRPr="00FF489F">
        <w:rPr>
          <w:rFonts w:ascii="Calibri" w:hAnsi="Calibri" w:cs="Arial"/>
          <w:bCs/>
        </w:rPr>
        <w:t xml:space="preserve"> OTC equity derivatives contracts. OTC equity derivatives </w:t>
      </w:r>
      <w:r>
        <w:rPr>
          <w:rFonts w:ascii="Calibri" w:hAnsi="Calibri" w:cs="Arial"/>
          <w:bCs/>
        </w:rPr>
        <w:t>will</w:t>
      </w:r>
      <w:r w:rsidRPr="00FF489F">
        <w:rPr>
          <w:rFonts w:ascii="Calibri" w:hAnsi="Calibri" w:cs="Arial"/>
          <w:bCs/>
        </w:rPr>
        <w:t xml:space="preserve"> have very different contractual and economic terms (including, amongst others</w:t>
      </w:r>
      <w:r>
        <w:rPr>
          <w:rFonts w:ascii="Calibri" w:hAnsi="Calibri" w:cs="Arial"/>
          <w:bCs/>
        </w:rPr>
        <w:t>,</w:t>
      </w:r>
      <w:r w:rsidRPr="00FF489F">
        <w:rPr>
          <w:rFonts w:ascii="Calibri" w:hAnsi="Calibri" w:cs="Arial"/>
          <w:bCs/>
        </w:rPr>
        <w:t xml:space="preserve"> underlying asset, expiry, strike, pay-off methodology, pricing methodology, lifecycle event scenarios and consequences</w:t>
      </w:r>
      <w:r>
        <w:rPr>
          <w:rFonts w:ascii="Calibri" w:hAnsi="Calibri" w:cs="Arial"/>
          <w:bCs/>
        </w:rPr>
        <w:t xml:space="preserve"> and</w:t>
      </w:r>
      <w:r w:rsidRPr="00FF489F">
        <w:rPr>
          <w:rFonts w:ascii="Calibri" w:hAnsi="Calibri" w:cs="Arial"/>
          <w:bCs/>
        </w:rPr>
        <w:t xml:space="preserve"> adjustment methodologies) to the equivalent exchange-traded equity derivatives contract and are not fungible and therefore have very different degrees of liquidity compared to exchange-traded equity derivatives contracts.</w:t>
      </w:r>
    </w:p>
    <w:permEnd w:id="1141641038"/>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DF49B5" w:rsidRDefault="00DF49B5" w:rsidP="00DF49B5">
      <w:pPr>
        <w:rPr>
          <w:rFonts w:ascii="Calibri" w:hAnsi="Calibri" w:cs="Arial"/>
          <w:szCs w:val="22"/>
        </w:rPr>
      </w:pPr>
      <w:permStart w:id="1094667103" w:edGrp="everyone"/>
      <w:r>
        <w:rPr>
          <w:rFonts w:ascii="Calibri" w:hAnsi="Calibri" w:cs="Arial"/>
          <w:szCs w:val="22"/>
        </w:rPr>
        <w:t>The WMBA concurs with ISDA's view on equity derivatives and notes that members’ business models are inclusive of both OTFs and in acting as agent to the exchange traded derivatives in order to execute packaged products.</w:t>
      </w:r>
    </w:p>
    <w:p w:rsidR="00DF49B5" w:rsidRPr="00896D92" w:rsidRDefault="00DF49B5" w:rsidP="00DF49B5">
      <w:pPr>
        <w:rPr>
          <w:rFonts w:ascii="Calibri" w:hAnsi="Calibri" w:cs="Arial"/>
          <w:szCs w:val="22"/>
        </w:rPr>
      </w:pPr>
      <w:r>
        <w:rPr>
          <w:rFonts w:ascii="Calibri" w:hAnsi="Calibri" w:cs="Arial"/>
          <w:szCs w:val="22"/>
        </w:rPr>
        <w:t>It is important, therefore,</w:t>
      </w:r>
      <w:r w:rsidRPr="00896D92">
        <w:rPr>
          <w:rFonts w:ascii="Calibri" w:hAnsi="Calibri" w:cs="Arial"/>
          <w:szCs w:val="22"/>
        </w:rPr>
        <w:t xml:space="preserve"> to distinguish between: </w:t>
      </w:r>
      <w:r w:rsidR="007D55BD">
        <w:rPr>
          <w:rFonts w:ascii="Calibri" w:hAnsi="Calibri" w:cs="Arial"/>
          <w:szCs w:val="22"/>
        </w:rPr>
        <w:t xml:space="preserve"> </w:t>
      </w:r>
      <w:r w:rsidRPr="00896D92">
        <w:rPr>
          <w:rFonts w:ascii="Calibri" w:hAnsi="Calibri" w:cs="Arial"/>
          <w:szCs w:val="22"/>
        </w:rPr>
        <w:t xml:space="preserve">(i) exchange-traded equity derivatives contracts; and (ii) OTC equity derivatives contracts. </w:t>
      </w:r>
    </w:p>
    <w:p w:rsidR="00DF49B5" w:rsidRDefault="00DF49B5" w:rsidP="00DF49B5">
      <w:pPr>
        <w:rPr>
          <w:rFonts w:ascii="Calibri" w:hAnsi="Calibri" w:cs="Arial"/>
          <w:b/>
          <w:szCs w:val="22"/>
        </w:rPr>
      </w:pPr>
    </w:p>
    <w:p w:rsidR="00DF49B5" w:rsidRPr="00896D92" w:rsidRDefault="00DF49B5" w:rsidP="00DF49B5">
      <w:pPr>
        <w:rPr>
          <w:rFonts w:ascii="Calibri" w:hAnsi="Calibri" w:cs="Arial"/>
          <w:b/>
          <w:szCs w:val="22"/>
        </w:rPr>
      </w:pPr>
      <w:r w:rsidRPr="00896D92">
        <w:rPr>
          <w:rFonts w:ascii="Calibri" w:hAnsi="Calibri" w:cs="Arial"/>
          <w:b/>
          <w:szCs w:val="22"/>
        </w:rPr>
        <w:t xml:space="preserve">(i) </w:t>
      </w:r>
      <w:r>
        <w:rPr>
          <w:rFonts w:ascii="Calibri" w:hAnsi="Calibri" w:cs="Arial"/>
          <w:b/>
          <w:szCs w:val="22"/>
        </w:rPr>
        <w:t xml:space="preserve">Exchange-traded </w:t>
      </w:r>
      <w:r w:rsidRPr="00896D92">
        <w:rPr>
          <w:rFonts w:ascii="Calibri" w:hAnsi="Calibri" w:cs="Arial"/>
          <w:b/>
          <w:szCs w:val="22"/>
        </w:rPr>
        <w:t>equity derivative contracts</w:t>
      </w:r>
    </w:p>
    <w:p w:rsidR="00DF49B5" w:rsidRPr="00896D92" w:rsidRDefault="00DF49B5" w:rsidP="00DF49B5">
      <w:pPr>
        <w:rPr>
          <w:rFonts w:ascii="Calibri" w:hAnsi="Calibri" w:cs="Arial"/>
          <w:szCs w:val="22"/>
        </w:rPr>
      </w:pPr>
      <w:r>
        <w:rPr>
          <w:rFonts w:ascii="Calibri" w:hAnsi="Calibri" w:cs="Arial"/>
          <w:szCs w:val="22"/>
        </w:rPr>
        <w:t xml:space="preserve">In summary, </w:t>
      </w:r>
      <w:r w:rsidRPr="00896D92">
        <w:rPr>
          <w:rFonts w:ascii="Calibri" w:hAnsi="Calibri" w:cs="Arial"/>
          <w:szCs w:val="22"/>
        </w:rPr>
        <w:t xml:space="preserve">ISDA’s view </w:t>
      </w:r>
      <w:r>
        <w:rPr>
          <w:rFonts w:ascii="Calibri" w:hAnsi="Calibri" w:cs="Arial"/>
          <w:szCs w:val="22"/>
        </w:rPr>
        <w:t xml:space="preserve">is that </w:t>
      </w:r>
      <w:r w:rsidRPr="00896D92">
        <w:rPr>
          <w:rFonts w:ascii="Calibri" w:hAnsi="Calibri" w:cs="Arial"/>
          <w:szCs w:val="22"/>
        </w:rPr>
        <w:t>ESMA’s determination of liquidity for exchange-traded equity derivatives does not appear justified by the trading venue data.</w:t>
      </w:r>
    </w:p>
    <w:p w:rsidR="00D0639C" w:rsidRDefault="00D0639C" w:rsidP="00DF49B5">
      <w:pPr>
        <w:tabs>
          <w:tab w:val="left" w:pos="1908"/>
        </w:tabs>
        <w:rPr>
          <w:rFonts w:ascii="Calibri" w:hAnsi="Calibri" w:cs="Arial"/>
          <w:b/>
          <w:i/>
          <w:szCs w:val="22"/>
        </w:rPr>
      </w:pPr>
    </w:p>
    <w:p w:rsidR="00DF49B5" w:rsidRPr="00896D92" w:rsidRDefault="00DF49B5" w:rsidP="00DF49B5">
      <w:pPr>
        <w:tabs>
          <w:tab w:val="left" w:pos="1908"/>
        </w:tabs>
        <w:rPr>
          <w:rFonts w:ascii="Calibri" w:hAnsi="Calibri" w:cs="Arial"/>
          <w:b/>
          <w:i/>
          <w:szCs w:val="22"/>
        </w:rPr>
      </w:pPr>
      <w:r w:rsidRPr="00896D92">
        <w:rPr>
          <w:rFonts w:ascii="Calibri" w:hAnsi="Calibri" w:cs="Arial"/>
          <w:b/>
          <w:i/>
          <w:szCs w:val="22"/>
        </w:rPr>
        <w:t xml:space="preserve">a) Futures </w:t>
      </w:r>
      <w:r w:rsidRPr="00896D92">
        <w:rPr>
          <w:rFonts w:ascii="Calibri" w:hAnsi="Calibri" w:cs="Arial"/>
          <w:b/>
          <w:i/>
          <w:szCs w:val="22"/>
        </w:rPr>
        <w:tab/>
      </w:r>
    </w:p>
    <w:p w:rsidR="00DF49B5" w:rsidRPr="00896D92" w:rsidRDefault="00DF49B5" w:rsidP="00DF49B5">
      <w:pPr>
        <w:rPr>
          <w:rFonts w:ascii="Calibri" w:hAnsi="Calibri" w:cs="Arial"/>
          <w:szCs w:val="22"/>
        </w:rPr>
      </w:pPr>
      <w:r w:rsidRPr="00896D92">
        <w:rPr>
          <w:rFonts w:ascii="Calibri" w:hAnsi="Calibri" w:cs="Arial"/>
          <w:szCs w:val="22"/>
        </w:rPr>
        <w:t>With regard to Futures, ESMA’s own data, as evidenced in Tables 19 and 20, provide indisputable evidence that a finding of “liquid” cannot be supported for Futures on Stocks (0.78% of trades, 0.045% of notional), Basket/Portfolio (0.00% of trades, 0.00% of notional), Dividend Index (0.12% of trades, 0.19% of notional) or Others (0.62% of trades, 0.07% of notional). Only Futures on Stock Index (98.47% of trades, 99.69% of notional) could qualify for a “liquid” determination</w:t>
      </w:r>
      <w:r>
        <w:rPr>
          <w:rFonts w:ascii="Calibri" w:hAnsi="Calibri" w:cs="Arial"/>
          <w:szCs w:val="22"/>
        </w:rPr>
        <w:t>;</w:t>
      </w:r>
      <w:r w:rsidRPr="00896D92">
        <w:rPr>
          <w:rFonts w:ascii="Calibri" w:hAnsi="Calibri" w:cs="Arial"/>
          <w:szCs w:val="22"/>
        </w:rPr>
        <w:t xml:space="preserve"> however</w:t>
      </w:r>
      <w:r>
        <w:rPr>
          <w:rFonts w:ascii="Calibri" w:hAnsi="Calibri" w:cs="Arial"/>
          <w:szCs w:val="22"/>
        </w:rPr>
        <w:t>,</w:t>
      </w:r>
      <w:r w:rsidRPr="00896D92">
        <w:rPr>
          <w:rFonts w:ascii="Calibri" w:hAnsi="Calibri" w:cs="Arial"/>
          <w:szCs w:val="22"/>
        </w:rPr>
        <w:t xml:space="preserve"> even this determination would need to be subject to more detailed review of individual contracts as within this category the volumes are overwhelmingly concentrated on a small number of indices.</w:t>
      </w:r>
    </w:p>
    <w:p w:rsidR="00DF49B5" w:rsidRPr="00896D92" w:rsidRDefault="00DF49B5" w:rsidP="00DF49B5">
      <w:pPr>
        <w:rPr>
          <w:rFonts w:ascii="Calibri" w:hAnsi="Calibri" w:cs="Arial"/>
          <w:szCs w:val="22"/>
        </w:rPr>
      </w:pPr>
      <w:r w:rsidRPr="00896D92">
        <w:rPr>
          <w:rFonts w:ascii="Calibri" w:hAnsi="Calibri" w:cs="Arial"/>
          <w:szCs w:val="22"/>
        </w:rPr>
        <w:t xml:space="preserve">ESMA’s own data, as evidenced in Charts 13 to 15, provides indisputable evidence that a finding of “liquid” cannot be supported for any contract with a time to maturity in excess of four months (being the front-month plus roll at expiry). </w:t>
      </w:r>
    </w:p>
    <w:p w:rsidR="00DF49B5" w:rsidRPr="00140308" w:rsidRDefault="00DF49B5" w:rsidP="00DF49B5">
      <w:pPr>
        <w:rPr>
          <w:rFonts w:ascii="Calibri" w:hAnsi="Calibri" w:cs="Arial"/>
          <w:szCs w:val="22"/>
        </w:rPr>
      </w:pPr>
      <w:r w:rsidRPr="00140308">
        <w:rPr>
          <w:rFonts w:ascii="Calibri" w:hAnsi="Calibri" w:cs="Arial"/>
          <w:szCs w:val="22"/>
        </w:rPr>
        <w:t>Accordingly, the data only supports a finding of “liquid” for futures contract</w:t>
      </w:r>
      <w:r>
        <w:rPr>
          <w:rFonts w:ascii="Calibri" w:hAnsi="Calibri" w:cs="Arial"/>
          <w:szCs w:val="22"/>
        </w:rPr>
        <w:t>s</w:t>
      </w:r>
      <w:r w:rsidRPr="00140308">
        <w:rPr>
          <w:rFonts w:ascii="Calibri" w:hAnsi="Calibri" w:cs="Arial"/>
          <w:szCs w:val="22"/>
        </w:rPr>
        <w:t xml:space="preserve"> on certain stock indices, with a time to maturity of less than or equal to four months and given the limited number of contracts and the concentration of volumes on a subset of actively-traded indices, a significantly more granular COFIA assessment (akin to interest rate derivatives) would be more justified. In the context of this more granular COFIA assessment, the data-based determination should</w:t>
      </w:r>
      <w:r>
        <w:rPr>
          <w:rFonts w:ascii="Calibri" w:hAnsi="Calibri" w:cs="Arial"/>
          <w:szCs w:val="22"/>
        </w:rPr>
        <w:t>,</w:t>
      </w:r>
      <w:r w:rsidRPr="00140308">
        <w:rPr>
          <w:rFonts w:ascii="Calibri" w:hAnsi="Calibri" w:cs="Arial"/>
          <w:szCs w:val="22"/>
        </w:rPr>
        <w:t xml:space="preserve"> at a minimum</w:t>
      </w:r>
      <w:r>
        <w:rPr>
          <w:rFonts w:ascii="Calibri" w:hAnsi="Calibri" w:cs="Arial"/>
          <w:szCs w:val="22"/>
        </w:rPr>
        <w:t>,</w:t>
      </w:r>
      <w:r w:rsidRPr="00140308">
        <w:rPr>
          <w:rFonts w:ascii="Calibri" w:hAnsi="Calibri" w:cs="Arial"/>
          <w:szCs w:val="22"/>
        </w:rPr>
        <w:t xml:space="preserve"> </w:t>
      </w:r>
      <w:r w:rsidRPr="00140308">
        <w:rPr>
          <w:rFonts w:ascii="Calibri" w:hAnsi="Calibri" w:cs="Arial"/>
          <w:bCs/>
          <w:szCs w:val="22"/>
        </w:rPr>
        <w:t>distinguish between: (i) contracts with a time to maturity of less than or equal to four months and other contracts,</w:t>
      </w:r>
      <w:r w:rsidRPr="00140308">
        <w:rPr>
          <w:rFonts w:ascii="Calibri" w:hAnsi="Calibri" w:cs="Arial"/>
          <w:szCs w:val="22"/>
        </w:rPr>
        <w:t xml:space="preserve"> and (ii) contracts with different underlying stock indices. </w:t>
      </w:r>
    </w:p>
    <w:p w:rsidR="00D0639C" w:rsidRDefault="00D0639C" w:rsidP="00DF49B5">
      <w:pPr>
        <w:rPr>
          <w:rFonts w:ascii="Calibri" w:hAnsi="Calibri" w:cs="Arial"/>
          <w:b/>
          <w:i/>
          <w:szCs w:val="22"/>
        </w:rPr>
      </w:pPr>
    </w:p>
    <w:p w:rsidR="00DF49B5" w:rsidRPr="00896D92" w:rsidRDefault="00DF49B5" w:rsidP="00DF49B5">
      <w:pPr>
        <w:rPr>
          <w:rFonts w:ascii="Calibri" w:hAnsi="Calibri" w:cs="Arial"/>
          <w:b/>
          <w:i/>
          <w:szCs w:val="22"/>
        </w:rPr>
      </w:pPr>
      <w:r w:rsidRPr="00896D92">
        <w:rPr>
          <w:rFonts w:ascii="Calibri" w:hAnsi="Calibri" w:cs="Arial"/>
          <w:b/>
          <w:i/>
          <w:szCs w:val="22"/>
        </w:rPr>
        <w:t>b) Options</w:t>
      </w:r>
    </w:p>
    <w:p w:rsidR="00DF49B5" w:rsidRPr="00140308" w:rsidRDefault="00DF49B5" w:rsidP="00DF49B5">
      <w:pPr>
        <w:rPr>
          <w:rFonts w:ascii="Calibri" w:hAnsi="Calibri" w:cs="Arial"/>
          <w:szCs w:val="22"/>
        </w:rPr>
      </w:pPr>
      <w:r w:rsidRPr="00140308">
        <w:rPr>
          <w:rFonts w:ascii="Calibri" w:hAnsi="Calibri" w:cs="Arial"/>
          <w:szCs w:val="22"/>
        </w:rPr>
        <w:t>With regard to Options, ESMA’s own data, as evidenced in Tables 19 and 20, provides indisputable evidence that a finding of “liquid” cannot be supported for Options on Basket/Portfolio (0.00% of trades, 0.00% of notional), Dividend Index (0.00% of trades, 0.00% of notional) or Others (1.81% of trades, 0.08% of notional). Only Options on individual Stock (18.89% of trades, 6.06% of notional) and Stock Index (79.29% of trades, 93.85% of notional) could qualify for a “liquid” determination</w:t>
      </w:r>
      <w:r>
        <w:rPr>
          <w:rFonts w:ascii="Calibri" w:hAnsi="Calibri" w:cs="Arial"/>
          <w:szCs w:val="22"/>
        </w:rPr>
        <w:t>.  H</w:t>
      </w:r>
      <w:r w:rsidRPr="00140308">
        <w:rPr>
          <w:rFonts w:ascii="Calibri" w:hAnsi="Calibri" w:cs="Arial"/>
          <w:szCs w:val="22"/>
        </w:rPr>
        <w:t>owever even this determination would need to be subject to more detailed review of individual contracts as within this category</w:t>
      </w:r>
      <w:r>
        <w:rPr>
          <w:rFonts w:ascii="Calibri" w:hAnsi="Calibri" w:cs="Arial"/>
          <w:szCs w:val="22"/>
        </w:rPr>
        <w:t>,</w:t>
      </w:r>
      <w:r w:rsidRPr="00140308">
        <w:rPr>
          <w:rFonts w:ascii="Calibri" w:hAnsi="Calibri" w:cs="Arial"/>
          <w:szCs w:val="22"/>
        </w:rPr>
        <w:t xml:space="preserve"> the volumes are overwhelmingly concentrated on a small number of actively-traded stock and index contracts within a narrow strike range.</w:t>
      </w:r>
    </w:p>
    <w:p w:rsidR="00DF49B5" w:rsidRPr="00140308" w:rsidRDefault="00DF49B5" w:rsidP="00DF49B5">
      <w:pPr>
        <w:rPr>
          <w:rFonts w:ascii="Calibri" w:hAnsi="Calibri" w:cs="Arial"/>
          <w:szCs w:val="22"/>
        </w:rPr>
      </w:pPr>
      <w:r w:rsidRPr="00140308">
        <w:rPr>
          <w:rFonts w:ascii="Calibri" w:hAnsi="Calibri" w:cs="Arial"/>
          <w:szCs w:val="22"/>
        </w:rPr>
        <w:t>ESMA’s own data, as evidenced in Chart 12, provides indisputable evidence that a finding of “liquid” cannot be supported for any contract with a time to maturity in excess of four months.</w:t>
      </w:r>
    </w:p>
    <w:p w:rsidR="00DF49B5" w:rsidRPr="00140308" w:rsidRDefault="00DF49B5" w:rsidP="00DF49B5">
      <w:pPr>
        <w:rPr>
          <w:rFonts w:ascii="Calibri" w:hAnsi="Calibri" w:cs="Arial"/>
          <w:szCs w:val="22"/>
        </w:rPr>
      </w:pPr>
      <w:r w:rsidRPr="00140308">
        <w:rPr>
          <w:rFonts w:ascii="Calibri" w:hAnsi="Calibri" w:cs="Arial"/>
          <w:szCs w:val="22"/>
        </w:rPr>
        <w:t>Accordingly, the data only supports a finding of “liquid” for Options contracts on certain stocks and stock indices, with a time to maturity of less than or equal to four months and</w:t>
      </w:r>
      <w:r>
        <w:rPr>
          <w:rFonts w:ascii="Calibri" w:hAnsi="Calibri" w:cs="Arial"/>
          <w:szCs w:val="22"/>
        </w:rPr>
        <w:t>,</w:t>
      </w:r>
      <w:r w:rsidRPr="00140308">
        <w:rPr>
          <w:rFonts w:ascii="Calibri" w:hAnsi="Calibri" w:cs="Arial"/>
          <w:szCs w:val="22"/>
        </w:rPr>
        <w:t xml:space="preserve"> given the limited number of contracts and the concentration of volumes on a subset of actively-traded stocks and stock indices, a significantly more granular COFIA assessment would be more justified. In the context of this more granular COFIA assessment, the data-based determination should </w:t>
      </w:r>
      <w:r w:rsidRPr="00140308">
        <w:rPr>
          <w:rFonts w:ascii="Calibri" w:hAnsi="Calibri" w:cs="Arial"/>
          <w:bCs/>
          <w:szCs w:val="22"/>
        </w:rPr>
        <w:t>distinguish between:  (i) contracts with a time to maturity of less than or equal to four months and other contracts</w:t>
      </w:r>
      <w:r w:rsidRPr="00140308">
        <w:rPr>
          <w:rFonts w:ascii="Calibri" w:hAnsi="Calibri" w:cs="Arial"/>
          <w:szCs w:val="22"/>
        </w:rPr>
        <w:t xml:space="preserve">, (ii) contracts with different underlying stocks and stock indices, and (iii) contracts with different strikes . </w:t>
      </w:r>
    </w:p>
    <w:p w:rsidR="00DF49B5" w:rsidRPr="00896D92" w:rsidRDefault="00DF49B5" w:rsidP="00DF49B5">
      <w:pPr>
        <w:rPr>
          <w:rFonts w:ascii="Calibri" w:hAnsi="Calibri" w:cs="Arial"/>
          <w:b/>
          <w:bCs/>
          <w:i/>
          <w:szCs w:val="22"/>
        </w:rPr>
      </w:pPr>
      <w:r w:rsidRPr="00896D92">
        <w:rPr>
          <w:rFonts w:ascii="Calibri" w:hAnsi="Calibri" w:cs="Arial"/>
          <w:b/>
          <w:bCs/>
          <w:i/>
          <w:szCs w:val="22"/>
        </w:rPr>
        <w:t xml:space="preserve">c) ISDA's alternative proposal for exchange-traded equity derivatives </w:t>
      </w:r>
    </w:p>
    <w:p w:rsidR="00DF49B5" w:rsidRPr="00896D92" w:rsidRDefault="00DF49B5" w:rsidP="00DF49B5">
      <w:pPr>
        <w:rPr>
          <w:rFonts w:ascii="Calibri" w:hAnsi="Calibri" w:cs="Arial"/>
          <w:szCs w:val="22"/>
        </w:rPr>
      </w:pPr>
      <w:r w:rsidRPr="00896D92">
        <w:rPr>
          <w:rFonts w:ascii="Calibri" w:hAnsi="Calibri" w:cs="Arial"/>
          <w:szCs w:val="22"/>
        </w:rPr>
        <w:t xml:space="preserve">ISDA suggests that, based on the evidence of the data, the following COFIA classes </w:t>
      </w:r>
      <w:r>
        <w:rPr>
          <w:rFonts w:ascii="Calibri" w:hAnsi="Calibri" w:cs="Arial"/>
          <w:szCs w:val="22"/>
        </w:rPr>
        <w:t>need to</w:t>
      </w:r>
      <w:r w:rsidRPr="00896D92">
        <w:rPr>
          <w:rFonts w:ascii="Calibri" w:hAnsi="Calibri" w:cs="Arial"/>
          <w:szCs w:val="22"/>
        </w:rPr>
        <w:t xml:space="preserve"> be deemed </w:t>
      </w:r>
      <w:r w:rsidRPr="00896D92">
        <w:rPr>
          <w:rFonts w:ascii="Calibri" w:hAnsi="Calibri" w:cs="Arial"/>
          <w:szCs w:val="22"/>
          <w:u w:val="single"/>
        </w:rPr>
        <w:t>non-liquid:</w:t>
      </w:r>
    </w:p>
    <w:p w:rsidR="00DF49B5" w:rsidRPr="00896D92" w:rsidRDefault="00DF49B5" w:rsidP="00DF49B5">
      <w:pPr>
        <w:ind w:left="720"/>
        <w:rPr>
          <w:rFonts w:ascii="Calibri" w:hAnsi="Calibri" w:cs="Arial"/>
          <w:szCs w:val="22"/>
        </w:rPr>
      </w:pPr>
      <w:r w:rsidRPr="00896D92">
        <w:rPr>
          <w:rFonts w:ascii="Calibri" w:hAnsi="Calibri" w:cs="Arial"/>
          <w:szCs w:val="22"/>
        </w:rPr>
        <w:t>(a) Stock futures.</w:t>
      </w:r>
    </w:p>
    <w:p w:rsidR="00DF49B5" w:rsidRPr="00896D92" w:rsidRDefault="00DF49B5" w:rsidP="00DF49B5">
      <w:pPr>
        <w:ind w:left="720"/>
        <w:rPr>
          <w:rFonts w:ascii="Calibri" w:hAnsi="Calibri" w:cs="Arial"/>
          <w:szCs w:val="22"/>
        </w:rPr>
      </w:pPr>
      <w:r w:rsidRPr="00896D92">
        <w:rPr>
          <w:rFonts w:ascii="Calibri" w:hAnsi="Calibri" w:cs="Arial"/>
          <w:szCs w:val="22"/>
        </w:rPr>
        <w:t>(b) Futures on a basket or portfolio of shares</w:t>
      </w:r>
    </w:p>
    <w:p w:rsidR="00DF49B5" w:rsidRPr="00896D92" w:rsidRDefault="00DF49B5" w:rsidP="00DF49B5">
      <w:pPr>
        <w:ind w:left="720"/>
        <w:rPr>
          <w:rFonts w:ascii="Calibri" w:hAnsi="Calibri" w:cs="Arial"/>
          <w:szCs w:val="22"/>
        </w:rPr>
      </w:pPr>
      <w:r w:rsidRPr="00896D92">
        <w:rPr>
          <w:rFonts w:ascii="Calibri" w:hAnsi="Calibri" w:cs="Arial"/>
          <w:szCs w:val="22"/>
        </w:rPr>
        <w:t>(c) Dividend index futures</w:t>
      </w:r>
    </w:p>
    <w:p w:rsidR="00DF49B5" w:rsidRPr="00896D92" w:rsidRDefault="00DF49B5" w:rsidP="00DF49B5">
      <w:pPr>
        <w:ind w:left="720"/>
        <w:rPr>
          <w:rFonts w:ascii="Calibri" w:hAnsi="Calibri" w:cs="Arial"/>
          <w:szCs w:val="22"/>
        </w:rPr>
      </w:pPr>
      <w:r w:rsidRPr="00896D92">
        <w:rPr>
          <w:rFonts w:ascii="Calibri" w:hAnsi="Calibri" w:cs="Arial"/>
          <w:szCs w:val="22"/>
        </w:rPr>
        <w:t xml:space="preserve">(d) Stock dividend futures </w:t>
      </w:r>
    </w:p>
    <w:p w:rsidR="00DF49B5" w:rsidRPr="00896D92" w:rsidRDefault="00DF49B5" w:rsidP="00DF49B5">
      <w:pPr>
        <w:ind w:left="720"/>
        <w:rPr>
          <w:rFonts w:ascii="Calibri" w:hAnsi="Calibri" w:cs="Arial"/>
          <w:szCs w:val="22"/>
        </w:rPr>
      </w:pPr>
      <w:r w:rsidRPr="00896D92">
        <w:rPr>
          <w:rFonts w:ascii="Calibri" w:hAnsi="Calibri" w:cs="Arial"/>
          <w:szCs w:val="22"/>
        </w:rPr>
        <w:t>(e) Futures on other underlying values</w:t>
      </w:r>
    </w:p>
    <w:p w:rsidR="00DF49B5" w:rsidRPr="00896D92" w:rsidRDefault="00DF49B5" w:rsidP="00DF49B5">
      <w:pPr>
        <w:ind w:left="720"/>
        <w:rPr>
          <w:rFonts w:ascii="Calibri" w:hAnsi="Calibri" w:cs="Arial"/>
          <w:szCs w:val="22"/>
        </w:rPr>
      </w:pPr>
      <w:r w:rsidRPr="00896D92">
        <w:rPr>
          <w:rFonts w:ascii="Calibri" w:hAnsi="Calibri" w:cs="Arial"/>
          <w:szCs w:val="22"/>
        </w:rPr>
        <w:t xml:space="preserve">(f) Options on a basket or portfolio of shares </w:t>
      </w:r>
    </w:p>
    <w:p w:rsidR="00DF49B5" w:rsidRPr="00896D92" w:rsidRDefault="00DF49B5" w:rsidP="00DF49B5">
      <w:pPr>
        <w:ind w:left="720"/>
        <w:rPr>
          <w:rFonts w:ascii="Calibri" w:hAnsi="Calibri" w:cs="Arial"/>
          <w:szCs w:val="22"/>
        </w:rPr>
      </w:pPr>
      <w:r w:rsidRPr="00896D92">
        <w:rPr>
          <w:rFonts w:ascii="Calibri" w:hAnsi="Calibri" w:cs="Arial"/>
          <w:szCs w:val="22"/>
        </w:rPr>
        <w:t>(g) Dividend index options</w:t>
      </w:r>
    </w:p>
    <w:p w:rsidR="00DF49B5" w:rsidRPr="00896D92" w:rsidRDefault="00DF49B5" w:rsidP="00DF49B5">
      <w:pPr>
        <w:ind w:left="720"/>
        <w:rPr>
          <w:rFonts w:ascii="Calibri" w:hAnsi="Calibri" w:cs="Arial"/>
          <w:szCs w:val="22"/>
        </w:rPr>
      </w:pPr>
      <w:r w:rsidRPr="00896D92">
        <w:rPr>
          <w:rFonts w:ascii="Calibri" w:hAnsi="Calibri" w:cs="Arial"/>
          <w:szCs w:val="22"/>
        </w:rPr>
        <w:t>(h) Stock dividend options</w:t>
      </w:r>
    </w:p>
    <w:p w:rsidR="00DF49B5" w:rsidRPr="00896D92" w:rsidRDefault="00DF49B5" w:rsidP="00DF49B5">
      <w:pPr>
        <w:ind w:left="720"/>
        <w:rPr>
          <w:rFonts w:ascii="Calibri" w:hAnsi="Calibri" w:cs="Arial"/>
          <w:szCs w:val="22"/>
        </w:rPr>
      </w:pPr>
      <w:r w:rsidRPr="00896D92">
        <w:rPr>
          <w:rFonts w:ascii="Calibri" w:hAnsi="Calibri" w:cs="Arial"/>
          <w:szCs w:val="22"/>
        </w:rPr>
        <w:t>(i) Options on other underlying values</w:t>
      </w:r>
    </w:p>
    <w:p w:rsidR="00D0639C" w:rsidRDefault="00D0639C" w:rsidP="00DF49B5">
      <w:pPr>
        <w:rPr>
          <w:rFonts w:ascii="Calibri" w:hAnsi="Calibri" w:cs="Arial"/>
          <w:szCs w:val="22"/>
        </w:rPr>
      </w:pPr>
    </w:p>
    <w:p w:rsidR="00DF49B5" w:rsidRPr="00896D92" w:rsidRDefault="00DF49B5" w:rsidP="00DF49B5">
      <w:pPr>
        <w:rPr>
          <w:rFonts w:ascii="Calibri" w:hAnsi="Calibri" w:cs="Arial"/>
          <w:szCs w:val="22"/>
        </w:rPr>
      </w:pPr>
      <w:r w:rsidRPr="00896D92">
        <w:rPr>
          <w:rFonts w:ascii="Calibri" w:hAnsi="Calibri" w:cs="Arial"/>
          <w:szCs w:val="22"/>
        </w:rPr>
        <w:t xml:space="preserve">The following sub-classes </w:t>
      </w:r>
      <w:r>
        <w:rPr>
          <w:rFonts w:ascii="Calibri" w:hAnsi="Calibri" w:cs="Arial"/>
          <w:szCs w:val="22"/>
        </w:rPr>
        <w:t>need to</w:t>
      </w:r>
      <w:r w:rsidRPr="00896D92">
        <w:rPr>
          <w:rFonts w:ascii="Calibri" w:hAnsi="Calibri" w:cs="Arial"/>
          <w:szCs w:val="22"/>
        </w:rPr>
        <w:t xml:space="preserve"> be assessed at a significantly greater degree of granularity, akin to ESMA's assessment of </w:t>
      </w:r>
      <w:r>
        <w:rPr>
          <w:rFonts w:ascii="Calibri" w:hAnsi="Calibri" w:cs="Arial"/>
          <w:szCs w:val="22"/>
        </w:rPr>
        <w:t>exchange-traded</w:t>
      </w:r>
      <w:r w:rsidRPr="00896D92">
        <w:rPr>
          <w:rFonts w:ascii="Calibri" w:hAnsi="Calibri" w:cs="Arial"/>
          <w:szCs w:val="22"/>
        </w:rPr>
        <w:t xml:space="preserve"> interest rate derivatives, to inform a possible determination of </w:t>
      </w:r>
      <w:r w:rsidRPr="00896D92">
        <w:rPr>
          <w:rFonts w:ascii="Calibri" w:hAnsi="Calibri" w:cs="Arial"/>
          <w:bCs/>
          <w:szCs w:val="22"/>
        </w:rPr>
        <w:t>liquidity</w:t>
      </w:r>
      <w:r w:rsidRPr="00896D92">
        <w:rPr>
          <w:rFonts w:ascii="Calibri" w:hAnsi="Calibri" w:cs="Arial"/>
          <w:szCs w:val="22"/>
        </w:rPr>
        <w:t>:</w:t>
      </w:r>
    </w:p>
    <w:p w:rsidR="00DF49B5" w:rsidRPr="00896D92" w:rsidRDefault="00DF49B5" w:rsidP="00DF49B5">
      <w:pPr>
        <w:ind w:left="720"/>
        <w:rPr>
          <w:rFonts w:ascii="Calibri" w:hAnsi="Calibri" w:cs="Arial"/>
          <w:szCs w:val="22"/>
        </w:rPr>
      </w:pPr>
      <w:r w:rsidRPr="00896D92">
        <w:rPr>
          <w:rFonts w:ascii="Calibri" w:hAnsi="Calibri" w:cs="Arial"/>
          <w:szCs w:val="22"/>
        </w:rPr>
        <w:t>(a) Index futures</w:t>
      </w:r>
    </w:p>
    <w:p w:rsidR="00DF49B5" w:rsidRPr="00896D92" w:rsidRDefault="00DF49B5" w:rsidP="00DF49B5">
      <w:pPr>
        <w:ind w:left="720"/>
        <w:rPr>
          <w:rFonts w:ascii="Calibri" w:hAnsi="Calibri" w:cs="Arial"/>
          <w:szCs w:val="22"/>
        </w:rPr>
      </w:pPr>
      <w:r w:rsidRPr="00896D92">
        <w:rPr>
          <w:rFonts w:ascii="Calibri" w:hAnsi="Calibri" w:cs="Arial"/>
          <w:szCs w:val="22"/>
        </w:rPr>
        <w:t xml:space="preserve">(b) Stock options </w:t>
      </w:r>
    </w:p>
    <w:p w:rsidR="00DF49B5" w:rsidRPr="00896D92" w:rsidRDefault="00DF49B5" w:rsidP="00DF49B5">
      <w:pPr>
        <w:ind w:left="720"/>
        <w:rPr>
          <w:rFonts w:ascii="Calibri" w:hAnsi="Calibri" w:cs="Arial"/>
          <w:szCs w:val="22"/>
        </w:rPr>
      </w:pPr>
      <w:r w:rsidRPr="00896D92">
        <w:rPr>
          <w:rFonts w:ascii="Calibri" w:hAnsi="Calibri" w:cs="Arial"/>
          <w:szCs w:val="22"/>
        </w:rPr>
        <w:t xml:space="preserve">(c) Index options </w:t>
      </w:r>
    </w:p>
    <w:p w:rsidR="00D0639C" w:rsidRDefault="00D0639C" w:rsidP="00DF49B5">
      <w:pPr>
        <w:rPr>
          <w:rFonts w:ascii="Calibri" w:hAnsi="Calibri" w:cs="Arial"/>
          <w:szCs w:val="22"/>
        </w:rPr>
      </w:pPr>
    </w:p>
    <w:p w:rsidR="00DF49B5" w:rsidRPr="00896D92" w:rsidRDefault="00DF49B5" w:rsidP="00DF49B5">
      <w:pPr>
        <w:rPr>
          <w:rFonts w:ascii="Calibri" w:hAnsi="Calibri" w:cs="Arial"/>
          <w:szCs w:val="22"/>
        </w:rPr>
      </w:pPr>
      <w:r w:rsidRPr="00896D92">
        <w:rPr>
          <w:rFonts w:ascii="Calibri" w:hAnsi="Calibri" w:cs="Arial"/>
          <w:szCs w:val="22"/>
        </w:rPr>
        <w:t xml:space="preserve">In the context of this more granular COFIA assessment, the data-based determination should </w:t>
      </w:r>
      <w:r w:rsidRPr="00896D92">
        <w:rPr>
          <w:rFonts w:ascii="Calibri" w:hAnsi="Calibri" w:cs="Arial"/>
          <w:bCs/>
          <w:szCs w:val="22"/>
        </w:rPr>
        <w:t>distinguish between contracts with a time to maturity of less than or equal to four months and other contracts</w:t>
      </w:r>
      <w:r>
        <w:rPr>
          <w:rFonts w:ascii="Calibri" w:hAnsi="Calibri" w:cs="Arial"/>
          <w:szCs w:val="22"/>
        </w:rPr>
        <w:t xml:space="preserve"> and differentiate contracts with different underlying indices. </w:t>
      </w:r>
    </w:p>
    <w:p w:rsidR="00DF49B5" w:rsidRDefault="00DF49B5" w:rsidP="00DF49B5">
      <w:pPr>
        <w:rPr>
          <w:rFonts w:ascii="Calibri" w:hAnsi="Calibri" w:cs="Arial"/>
          <w:bCs/>
          <w:szCs w:val="22"/>
          <w:lang w:val="en-US"/>
        </w:rPr>
      </w:pPr>
      <w:r w:rsidRPr="00896D92">
        <w:rPr>
          <w:rFonts w:ascii="Calibri" w:hAnsi="Calibri" w:cs="Arial"/>
          <w:szCs w:val="22"/>
        </w:rPr>
        <w:t xml:space="preserve">We anticipate that on this more granular COFIA assessment </w:t>
      </w:r>
      <w:r w:rsidRPr="00896D92">
        <w:rPr>
          <w:rFonts w:ascii="Calibri" w:hAnsi="Calibri" w:cs="Arial"/>
          <w:bCs/>
          <w:szCs w:val="22"/>
          <w:lang w:val="en-US"/>
        </w:rPr>
        <w:t>the main national indices and the Eurostoxx 50 will be determined liquid, as these contracts are objectively liquid, and most sector indices will not be determined liquid.  We would also note that Stock and Index Options outside of a 90/110 strike range are less liquid and ESMA should</w:t>
      </w:r>
      <w:r>
        <w:rPr>
          <w:rFonts w:ascii="Calibri" w:hAnsi="Calibri" w:cs="Arial"/>
          <w:bCs/>
          <w:szCs w:val="22"/>
          <w:lang w:val="en-US"/>
        </w:rPr>
        <w:t>,</w:t>
      </w:r>
      <w:r w:rsidRPr="00896D92">
        <w:rPr>
          <w:rFonts w:ascii="Calibri" w:hAnsi="Calibri" w:cs="Arial"/>
          <w:bCs/>
          <w:szCs w:val="22"/>
          <w:lang w:val="en-US"/>
        </w:rPr>
        <w:t xml:space="preserve"> therefore</w:t>
      </w:r>
      <w:r>
        <w:rPr>
          <w:rFonts w:ascii="Calibri" w:hAnsi="Calibri" w:cs="Arial"/>
          <w:bCs/>
          <w:szCs w:val="22"/>
          <w:lang w:val="en-US"/>
        </w:rPr>
        <w:t>,</w:t>
      </w:r>
      <w:r w:rsidRPr="00896D92">
        <w:rPr>
          <w:rFonts w:ascii="Calibri" w:hAnsi="Calibri" w:cs="Arial"/>
          <w:bCs/>
          <w:szCs w:val="22"/>
          <w:lang w:val="en-US"/>
        </w:rPr>
        <w:t xml:space="preserve"> include this characteristic as part of the liquidity assessment. </w:t>
      </w:r>
    </w:p>
    <w:p w:rsidR="00D0639C" w:rsidRPr="00896D92" w:rsidRDefault="00D0639C" w:rsidP="00DF49B5">
      <w:pPr>
        <w:rPr>
          <w:rFonts w:ascii="Calibri" w:hAnsi="Calibri" w:cs="Arial"/>
          <w:bCs/>
          <w:szCs w:val="22"/>
          <w:lang w:val="en-US"/>
        </w:rPr>
      </w:pPr>
    </w:p>
    <w:p w:rsidR="00DF49B5" w:rsidRPr="00896D92" w:rsidRDefault="00DF49B5" w:rsidP="00DF49B5">
      <w:pPr>
        <w:rPr>
          <w:rFonts w:ascii="Calibri" w:hAnsi="Calibri" w:cs="Arial"/>
          <w:b/>
          <w:bCs/>
          <w:szCs w:val="22"/>
        </w:rPr>
      </w:pPr>
      <w:r w:rsidRPr="00896D92">
        <w:rPr>
          <w:rFonts w:ascii="Calibri" w:hAnsi="Calibri" w:cs="Arial"/>
          <w:b/>
          <w:bCs/>
          <w:szCs w:val="22"/>
        </w:rPr>
        <w:t xml:space="preserve">(ii) OTC equity derivative contracts </w:t>
      </w:r>
    </w:p>
    <w:p w:rsidR="00DF49B5" w:rsidRPr="00896D92" w:rsidRDefault="00DF49B5" w:rsidP="00DF49B5">
      <w:pPr>
        <w:rPr>
          <w:rFonts w:ascii="Calibri" w:hAnsi="Calibri" w:cs="Arial"/>
          <w:bCs/>
          <w:szCs w:val="22"/>
        </w:rPr>
      </w:pPr>
      <w:r w:rsidRPr="00896D92">
        <w:rPr>
          <w:rFonts w:ascii="Calibri" w:hAnsi="Calibri" w:cs="Arial"/>
          <w:bCs/>
          <w:szCs w:val="22"/>
        </w:rPr>
        <w:t>In summary, ISDA is concerned that ESMA’s determination of liquidity creates potential ambiguity as to the scope of application.</w:t>
      </w:r>
    </w:p>
    <w:p w:rsidR="00DF49B5" w:rsidRPr="00896D92" w:rsidRDefault="00DF49B5" w:rsidP="00DF49B5">
      <w:pPr>
        <w:rPr>
          <w:rFonts w:ascii="Calibri" w:hAnsi="Calibri" w:cs="Arial"/>
          <w:bCs/>
          <w:szCs w:val="22"/>
        </w:rPr>
      </w:pPr>
      <w:r w:rsidRPr="00896D92">
        <w:rPr>
          <w:rFonts w:ascii="Calibri" w:hAnsi="Calibri" w:cs="Arial"/>
          <w:bCs/>
          <w:szCs w:val="22"/>
        </w:rPr>
        <w:t>The data on which ESMA has based its proposed determination is drawn solely from trading venues and concerns only exchange-traded equity derivatives contracts. Accordingly, any determination based solely on data applicable to exchange-traded equity derivatives should only apply to exchange-traded equity-derivatives. Exchange-traded contracts are very different in nature and scope from equity derivatives contracts traded bilaterally. These bilateral OTC contracts are not fungible with</w:t>
      </w:r>
      <w:r>
        <w:rPr>
          <w:rFonts w:ascii="Calibri" w:hAnsi="Calibri" w:cs="Arial"/>
          <w:bCs/>
          <w:szCs w:val="22"/>
        </w:rPr>
        <w:t>,</w:t>
      </w:r>
      <w:r w:rsidRPr="00896D92">
        <w:rPr>
          <w:rFonts w:ascii="Calibri" w:hAnsi="Calibri" w:cs="Arial"/>
          <w:bCs/>
          <w:szCs w:val="22"/>
        </w:rPr>
        <w:t xml:space="preserve"> </w:t>
      </w:r>
      <w:r>
        <w:rPr>
          <w:rFonts w:ascii="Calibri" w:hAnsi="Calibri" w:cs="Arial"/>
          <w:bCs/>
          <w:szCs w:val="22"/>
        </w:rPr>
        <w:t>or economically equivalent to, exchange-traded</w:t>
      </w:r>
      <w:r w:rsidRPr="00896D92">
        <w:rPr>
          <w:rFonts w:ascii="Calibri" w:hAnsi="Calibri" w:cs="Arial"/>
          <w:bCs/>
          <w:szCs w:val="22"/>
        </w:rPr>
        <w:t xml:space="preserve"> contracts. Their economic and contractual terms (including, inter alia: underlying asset, expiry, strike, pay-off methodology, pricing methodology, lifecycle event scenarios and consequences, adjustment methodologies) differ widely from the standard contracts listed on trading venues. Also</w:t>
      </w:r>
      <w:r>
        <w:rPr>
          <w:rFonts w:ascii="Calibri" w:hAnsi="Calibri" w:cs="Arial"/>
          <w:bCs/>
          <w:szCs w:val="22"/>
        </w:rPr>
        <w:t>,</w:t>
      </w:r>
      <w:r w:rsidRPr="00896D92">
        <w:rPr>
          <w:rFonts w:ascii="Calibri" w:hAnsi="Calibri" w:cs="Arial"/>
          <w:bCs/>
          <w:szCs w:val="22"/>
        </w:rPr>
        <w:t xml:space="preserve"> OTC equity derivatives contracts of the same type differ between firms as the documentation is not standardised. Firms negotiate different clauses into bespoke confirmations and master agreements depending on many factors including the status of the counterparty. ISDA is taking steps to introduce standardised documentation for OTC equity derivatives contracts</w:t>
      </w:r>
      <w:r>
        <w:rPr>
          <w:rFonts w:ascii="Calibri" w:hAnsi="Calibri" w:cs="Arial"/>
          <w:bCs/>
          <w:szCs w:val="22"/>
        </w:rPr>
        <w:t>;</w:t>
      </w:r>
      <w:r w:rsidRPr="00896D92">
        <w:rPr>
          <w:rFonts w:ascii="Calibri" w:hAnsi="Calibri" w:cs="Arial"/>
          <w:bCs/>
          <w:szCs w:val="22"/>
        </w:rPr>
        <w:t xml:space="preserve"> however such standardisation will take a long time to implement for a large proportion of contract types and there will be a proportion of contract types where standardisation is not achievable.</w:t>
      </w:r>
    </w:p>
    <w:p w:rsidR="00DF49B5" w:rsidRDefault="00DF49B5" w:rsidP="00DF49B5">
      <w:r w:rsidRPr="00896D92">
        <w:rPr>
          <w:rFonts w:ascii="Calibri" w:hAnsi="Calibri" w:cs="Arial"/>
          <w:bCs/>
          <w:szCs w:val="22"/>
        </w:rPr>
        <w:t>ESMA</w:t>
      </w:r>
      <w:r>
        <w:rPr>
          <w:rFonts w:ascii="Calibri" w:hAnsi="Calibri" w:cs="Arial"/>
          <w:bCs/>
          <w:szCs w:val="22"/>
        </w:rPr>
        <w:t>,</w:t>
      </w:r>
      <w:r w:rsidRPr="00896D92">
        <w:rPr>
          <w:rFonts w:ascii="Calibri" w:hAnsi="Calibri" w:cs="Arial"/>
          <w:bCs/>
          <w:szCs w:val="22"/>
        </w:rPr>
        <w:t xml:space="preserve"> therefore</w:t>
      </w:r>
      <w:r>
        <w:rPr>
          <w:rFonts w:ascii="Calibri" w:hAnsi="Calibri" w:cs="Arial"/>
          <w:bCs/>
          <w:szCs w:val="22"/>
        </w:rPr>
        <w:t>,</w:t>
      </w:r>
      <w:r w:rsidRPr="00896D92">
        <w:rPr>
          <w:rFonts w:ascii="Calibri" w:hAnsi="Calibri" w:cs="Arial"/>
          <w:bCs/>
          <w:szCs w:val="22"/>
        </w:rPr>
        <w:t xml:space="preserve"> </w:t>
      </w:r>
      <w:r>
        <w:rPr>
          <w:rFonts w:ascii="Calibri" w:hAnsi="Calibri" w:cs="Arial"/>
          <w:bCs/>
          <w:szCs w:val="22"/>
        </w:rPr>
        <w:t xml:space="preserve">needs to </w:t>
      </w:r>
      <w:r w:rsidRPr="00896D92">
        <w:rPr>
          <w:rFonts w:ascii="Calibri" w:hAnsi="Calibri" w:cs="Arial"/>
          <w:bCs/>
          <w:szCs w:val="22"/>
        </w:rPr>
        <w:t xml:space="preserve">clarify that a finding of “liquid” on an exchange-traded equity derivatives contract class, which is solely based on data derived from trading venues where such contracts are listed, </w:t>
      </w:r>
      <w:r w:rsidRPr="00541A3A">
        <w:rPr>
          <w:rFonts w:ascii="Calibri" w:hAnsi="Calibri" w:cs="Arial"/>
          <w:bCs/>
          <w:szCs w:val="22"/>
        </w:rPr>
        <w:t>should not apply to equity derivatives which are actually traded OTC.</w:t>
      </w:r>
    </w:p>
    <w:permEnd w:id="1094667103"/>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6D30A8" w:rsidRPr="00A40C6D" w:rsidRDefault="006D30A8" w:rsidP="00EC2C93">
      <w:pPr>
        <w:keepNext/>
        <w:rPr>
          <w:rFonts w:ascii="Calibri" w:hAnsi="Calibri"/>
        </w:rPr>
      </w:pPr>
      <w:permStart w:id="2094154422" w:edGrp="everyone"/>
      <w:r w:rsidRPr="00A40C6D">
        <w:rPr>
          <w:rFonts w:ascii="Calibri" w:hAnsi="Calibri"/>
        </w:rPr>
        <w:t>The WMBA concurs with ISDA's view on equity derivatives.</w:t>
      </w:r>
    </w:p>
    <w:permEnd w:id="2094154422"/>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6D30A8" w:rsidRPr="00A40C6D" w:rsidRDefault="006D30A8" w:rsidP="00EC2C93">
      <w:pPr>
        <w:keepNext/>
        <w:rPr>
          <w:rFonts w:ascii="Calibri" w:hAnsi="Calibri"/>
        </w:rPr>
      </w:pPr>
      <w:permStart w:id="1192581164" w:edGrp="everyone"/>
      <w:r w:rsidRPr="00A40C6D">
        <w:rPr>
          <w:rFonts w:ascii="Calibri" w:hAnsi="Calibri"/>
        </w:rPr>
        <w:t>Commodity derivatives – Metals - The WMBA/LEBA is only active in iron ore (freight) derivatives in relation to metals, and confers to the answer given by ISDA.</w:t>
      </w:r>
    </w:p>
    <w:permEnd w:id="1192581164"/>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6D30A8" w:rsidRPr="00A40C6D" w:rsidRDefault="006D30A8" w:rsidP="006D30A8">
      <w:pPr>
        <w:pStyle w:val="BodyText"/>
        <w:rPr>
          <w:rFonts w:ascii="Calibri" w:hAnsi="Calibri"/>
          <w:szCs w:val="22"/>
        </w:rPr>
      </w:pPr>
      <w:permStart w:id="677852594" w:edGrp="everyone"/>
      <w:r w:rsidRPr="00A40C6D">
        <w:rPr>
          <w:rFonts w:ascii="Calibri" w:hAnsi="Calibri"/>
          <w:szCs w:val="22"/>
        </w:rPr>
        <w:t xml:space="preserve">To assess the liquidity of energy commodity derivatives, we understand that ESMA has analysed data collected from a number of trading venues. Whilst these also included all trades in the year to June 2014 within WMBA (LEBA) members, we do not believe that any of the IDB data has actually been incorporated into the liquidity framework. Given that the Trayport market share data demonstrates that the vast majority of trades occur through the WMBA (LEBA) members, the residual dataset is far too narrow and, therefore, the assessments do not provide an accurate representation of liquidity in the energy forward and derivative commodity markets. </w:t>
      </w:r>
    </w:p>
    <w:p w:rsidR="006D30A8" w:rsidRPr="00A40C6D" w:rsidRDefault="006D30A8" w:rsidP="006D30A8">
      <w:pPr>
        <w:pStyle w:val="BodyText"/>
        <w:rPr>
          <w:rFonts w:ascii="Calibri" w:hAnsi="Calibri"/>
          <w:szCs w:val="22"/>
        </w:rPr>
      </w:pPr>
      <w:r w:rsidRPr="00A40C6D">
        <w:rPr>
          <w:rFonts w:ascii="Calibri" w:hAnsi="Calibri"/>
          <w:szCs w:val="22"/>
        </w:rPr>
        <w:t>In addition to WMBA (LEBA) members, the analysis should also include data collected from the major non-EU trading venues such as CME Group and ICE Futures. We are very surprised indeed that the liquidity assessment for power ranks Sweden as very liquid and oil related derivatives appears to imply that the EU is confined to, or represented by, those traded in Romanian Leu. Neither of these are remotely the case.</w:t>
      </w:r>
    </w:p>
    <w:p w:rsidR="006D30A8" w:rsidRPr="00A40C6D" w:rsidRDefault="006D30A8" w:rsidP="006D30A8">
      <w:pPr>
        <w:pStyle w:val="BodyText"/>
        <w:rPr>
          <w:rFonts w:ascii="Calibri" w:hAnsi="Calibri"/>
          <w:szCs w:val="22"/>
        </w:rPr>
      </w:pPr>
      <w:r w:rsidRPr="00A40C6D">
        <w:rPr>
          <w:rFonts w:ascii="Calibri" w:hAnsi="Calibri"/>
          <w:szCs w:val="22"/>
        </w:rPr>
        <w:t xml:space="preserve">We also concur with ISDA and EFET that neither the consultation nor the proposed taxonomy explains how ESMA proposes to deal with new categories of commodity related contracts that will become financial instruments under the new MIFID II/R definition (for example, physically settled commodities related derivatives that are traded on an OTF that will fall within the new </w:t>
      </w:r>
      <w:r w:rsidR="004E26B2" w:rsidRPr="00A40C6D">
        <w:rPr>
          <w:rFonts w:ascii="Calibri" w:hAnsi="Calibri"/>
          <w:szCs w:val="22"/>
        </w:rPr>
        <w:t>C (</w:t>
      </w:r>
      <w:r w:rsidRPr="00A40C6D">
        <w:rPr>
          <w:rFonts w:ascii="Calibri" w:hAnsi="Calibri"/>
          <w:szCs w:val="22"/>
        </w:rPr>
        <w:t xml:space="preserve">6) definition or pursuant to the scope of the </w:t>
      </w:r>
      <w:r w:rsidR="004E26B2" w:rsidRPr="00A40C6D">
        <w:rPr>
          <w:rFonts w:ascii="Calibri" w:hAnsi="Calibri"/>
          <w:szCs w:val="22"/>
        </w:rPr>
        <w:t>C (</w:t>
      </w:r>
      <w:r w:rsidRPr="00A40C6D">
        <w:rPr>
          <w:rFonts w:ascii="Calibri" w:hAnsi="Calibri"/>
          <w:szCs w:val="22"/>
        </w:rPr>
        <w:t xml:space="preserve">7) category). In this regard, we are concerned that ESMA does not explain how it proposes to obtain a robust dataset for its liquidity assessment of commodities related contracts traded on an MTF or OTF.  </w:t>
      </w:r>
    </w:p>
    <w:p w:rsidR="006D30A8" w:rsidRPr="00A40C6D" w:rsidRDefault="006D30A8" w:rsidP="006D30A8">
      <w:pPr>
        <w:pStyle w:val="BodyText"/>
        <w:rPr>
          <w:rFonts w:ascii="Calibri" w:hAnsi="Calibri"/>
          <w:szCs w:val="22"/>
        </w:rPr>
      </w:pPr>
      <w:r w:rsidRPr="00A40C6D">
        <w:rPr>
          <w:rFonts w:ascii="Calibri" w:hAnsi="Calibri"/>
          <w:szCs w:val="22"/>
        </w:rPr>
        <w:t xml:space="preserve">In addition to our concerns regarding the underlying dataset for existing financial instruments and obtaining a robust dataset for new categories of financial instruments, we note that liquidity in markets changes frequently and routinely. Given the importance of commodities derivatives in enabling end-users to hedge exposures to underlying risks, it is vital to ensure that the liquidity assessments are appropriately calibrated and the basis on which such assessments have been made are transparent and tested.  </w:t>
      </w:r>
    </w:p>
    <w:p w:rsidR="006D30A8" w:rsidRDefault="006D30A8" w:rsidP="006D30A8">
      <w:pPr>
        <w:rPr>
          <w:rFonts w:ascii="Calibri" w:hAnsi="Calibri"/>
          <w:szCs w:val="22"/>
        </w:rPr>
      </w:pPr>
      <w:r w:rsidRPr="00A40C6D">
        <w:rPr>
          <w:rFonts w:ascii="Calibri" w:hAnsi="Calibri"/>
          <w:szCs w:val="22"/>
        </w:rPr>
        <w:t>In light of the above, we strongly believe that it is necessary for ESMA to conduct a further market assessment of the liquidity of the commodity derivative contracts which utilises an appropriate data set for assessing whether the relevant derivatives which are ‘traded on a trading venue’ are liquid for the purposes of the MiFID2 transparency regime. We note that at the end of February, ESMA has published an Addendum to this consultation which also covers additional commodities derivatives. However, we have similar concerns regarding the data underlying that analysis and note that there are certain products (for example, coal [and iron ore]) which are not addressed in either consultation.</w:t>
      </w:r>
    </w:p>
    <w:p w:rsidR="00D0639C" w:rsidRPr="00A40C6D" w:rsidRDefault="00D0639C" w:rsidP="006D30A8">
      <w:pPr>
        <w:rPr>
          <w:rFonts w:ascii="Calibri" w:hAnsi="Calibri"/>
          <w:szCs w:val="22"/>
        </w:rPr>
      </w:pPr>
    </w:p>
    <w:p w:rsidR="006D30A8" w:rsidRPr="00A40C6D" w:rsidRDefault="006D30A8" w:rsidP="006D30A8">
      <w:pPr>
        <w:pStyle w:val="BodyText"/>
        <w:rPr>
          <w:rFonts w:ascii="Calibri" w:hAnsi="Calibri"/>
          <w:b/>
          <w:i/>
          <w:szCs w:val="22"/>
        </w:rPr>
      </w:pPr>
      <w:r w:rsidRPr="00A40C6D">
        <w:rPr>
          <w:rFonts w:ascii="Calibri" w:hAnsi="Calibri"/>
          <w:b/>
          <w:i/>
          <w:szCs w:val="22"/>
        </w:rPr>
        <w:t>Approach and parameters</w:t>
      </w:r>
    </w:p>
    <w:p w:rsidR="006D30A8" w:rsidRDefault="006D30A8" w:rsidP="006D30A8">
      <w:pPr>
        <w:rPr>
          <w:rFonts w:ascii="Calibri" w:hAnsi="Calibri"/>
          <w:szCs w:val="22"/>
          <w:highlight w:val="red"/>
        </w:rPr>
      </w:pPr>
      <w:r w:rsidRPr="00A40C6D">
        <w:rPr>
          <w:rFonts w:ascii="Calibri" w:hAnsi="Calibri"/>
          <w:szCs w:val="22"/>
        </w:rPr>
        <w:t>We note that ESMA favours a COFIA approach that may be workable for commodities derivatives. However, we do not support ESMA’s current determination of the relevant sub-classes. In our view, ESMA sub-classes should be set at a more granular level and we include our initial suggestions for energy in the illustrative assessment below.</w:t>
      </w:r>
      <w:r w:rsidRPr="00A40C6D">
        <w:rPr>
          <w:rFonts w:ascii="Calibri" w:hAnsi="Calibri"/>
          <w:szCs w:val="22"/>
          <w:highlight w:val="red"/>
        </w:rPr>
        <w:t xml:space="preserve"> </w:t>
      </w:r>
    </w:p>
    <w:p w:rsidR="00D0639C" w:rsidRPr="00A40C6D" w:rsidRDefault="00D0639C" w:rsidP="006D30A8">
      <w:pPr>
        <w:rPr>
          <w:rFonts w:ascii="Calibri" w:hAnsi="Calibri"/>
          <w:szCs w:val="22"/>
          <w:highlight w:val="red"/>
        </w:rPr>
      </w:pPr>
    </w:p>
    <w:p w:rsidR="006D30A8" w:rsidRPr="00A40C6D" w:rsidRDefault="006D30A8" w:rsidP="006D30A8">
      <w:pPr>
        <w:rPr>
          <w:rFonts w:ascii="Calibri" w:hAnsi="Calibri"/>
          <w:szCs w:val="22"/>
        </w:rPr>
      </w:pPr>
      <w:r w:rsidRPr="00A40C6D">
        <w:rPr>
          <w:rFonts w:ascii="Calibri" w:hAnsi="Calibri"/>
          <w:szCs w:val="22"/>
        </w:rPr>
        <w:t>In terms of the appropriate parameters, whilst we agree that it is appropriate to use the same parameters and thresholds for each sub-class of energy commodity contracts, we believe that the proposed parameters are inappropriate. In particular:</w:t>
      </w:r>
    </w:p>
    <w:p w:rsidR="006D30A8" w:rsidRPr="00D0639C" w:rsidRDefault="006D30A8" w:rsidP="007D55BD">
      <w:pPr>
        <w:pStyle w:val="ListParagraph"/>
        <w:numPr>
          <w:ilvl w:val="0"/>
          <w:numId w:val="17"/>
        </w:numPr>
      </w:pPr>
      <w:r w:rsidRPr="00D0639C">
        <w:t>The threshold of “one trade per day” and “€100,000 per day” is too low and does not give a true indication of the liquidity of a market.</w:t>
      </w:r>
    </w:p>
    <w:p w:rsidR="006D30A8" w:rsidRPr="00D0639C" w:rsidRDefault="006D30A8" w:rsidP="007D55BD">
      <w:pPr>
        <w:pStyle w:val="ListParagraph"/>
        <w:numPr>
          <w:ilvl w:val="0"/>
          <w:numId w:val="17"/>
        </w:numPr>
      </w:pPr>
      <w:r w:rsidRPr="00D0639C">
        <w:t>Expression of thresholds by reference to notional amount in euros is not appropriate because energy commodity contracts are traded in US dollars. Expressing the thresholds in a currency other than the currency in which the relevant contracts are traded could lead to arbitrary and inconsistent results as contracts become liquid or illiquid based solely on movements in the relevant exchange rate.</w:t>
      </w:r>
    </w:p>
    <w:p w:rsidR="006D30A8" w:rsidRPr="00A40C6D" w:rsidRDefault="006D30A8" w:rsidP="007D55BD">
      <w:pPr>
        <w:pStyle w:val="ListParagraph"/>
        <w:numPr>
          <w:ilvl w:val="0"/>
          <w:numId w:val="17"/>
        </w:numPr>
      </w:pPr>
      <w:r w:rsidRPr="00A40C6D">
        <w:t xml:space="preserve">Irrespective of currency, the more appropriate parameter would be open interest and units of commodities. The open-interest metric would reflect all relevant market factors relating to the trading of the relevant contract (e.g. maturity, volatility, number and size of market participants, thereby ensuring flexibility to prevailing market conditions for the relevant commodity).  </w:t>
      </w:r>
    </w:p>
    <w:p w:rsidR="006D30A8" w:rsidRPr="00A40C6D" w:rsidRDefault="006D30A8" w:rsidP="007D55BD">
      <w:pPr>
        <w:pStyle w:val="ListParagraph"/>
        <w:numPr>
          <w:ilvl w:val="0"/>
          <w:numId w:val="17"/>
        </w:numPr>
      </w:pPr>
      <w:r w:rsidRPr="00A40C6D">
        <w:t>The assessment of the liquidity of all commodity derivatives has to appropriately consider the tenor of the contracts as the liquidity of these instruments varies along the curve and, generally, they become more liquid when closer to the expiry date.</w:t>
      </w:r>
    </w:p>
    <w:permEnd w:id="677852594"/>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2112434045" w:edGrp="everyone"/>
      <w:r>
        <w:t>TYPE YOUR TEXT HERE</w:t>
      </w:r>
    </w:p>
    <w:permEnd w:id="2112434045"/>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1742C" w:rsidRDefault="0051742C" w:rsidP="0051742C">
      <w:pPr>
        <w:pStyle w:val="BodyText"/>
        <w:rPr>
          <w:rFonts w:ascii="Calibri" w:hAnsi="Calibri"/>
          <w:szCs w:val="22"/>
        </w:rPr>
      </w:pPr>
      <w:permStart w:id="1506419799" w:edGrp="everyone"/>
      <w:r>
        <w:rPr>
          <w:rFonts w:ascii="Calibri" w:hAnsi="Calibri"/>
          <w:szCs w:val="22"/>
        </w:rPr>
        <w:t xml:space="preserve">WMBA (LEBA) members are active across the emissions derivatives spectrum of products; however, </w:t>
      </w:r>
      <w:r w:rsidRPr="002C746F">
        <w:rPr>
          <w:rFonts w:ascii="Calibri" w:hAnsi="Calibri"/>
          <w:szCs w:val="22"/>
        </w:rPr>
        <w:t xml:space="preserve">we understand that ESMA has analysed data collected from </w:t>
      </w:r>
      <w:r>
        <w:rPr>
          <w:rFonts w:ascii="Calibri" w:hAnsi="Calibri"/>
          <w:szCs w:val="22"/>
        </w:rPr>
        <w:t xml:space="preserve">only </w:t>
      </w:r>
      <w:r w:rsidRPr="002C746F">
        <w:rPr>
          <w:rFonts w:ascii="Calibri" w:hAnsi="Calibri"/>
          <w:szCs w:val="22"/>
        </w:rPr>
        <w:t xml:space="preserve">three </w:t>
      </w:r>
      <w:r>
        <w:rPr>
          <w:rFonts w:ascii="Calibri" w:hAnsi="Calibri"/>
          <w:szCs w:val="22"/>
        </w:rPr>
        <w:t>trading venues. We believe that the</w:t>
      </w:r>
      <w:r w:rsidRPr="002C746F">
        <w:rPr>
          <w:rFonts w:ascii="Calibri" w:hAnsi="Calibri"/>
          <w:szCs w:val="22"/>
        </w:rPr>
        <w:t xml:space="preserve"> dataset</w:t>
      </w:r>
      <w:r>
        <w:rPr>
          <w:rFonts w:ascii="Calibri" w:hAnsi="Calibri"/>
          <w:szCs w:val="22"/>
        </w:rPr>
        <w:t xml:space="preserve"> provided by the</w:t>
      </w:r>
      <w:r w:rsidRPr="002C746F">
        <w:rPr>
          <w:rFonts w:ascii="Calibri" w:hAnsi="Calibri"/>
          <w:szCs w:val="22"/>
        </w:rPr>
        <w:t xml:space="preserve"> </w:t>
      </w:r>
      <w:r>
        <w:rPr>
          <w:rFonts w:ascii="Calibri" w:hAnsi="Calibri"/>
          <w:szCs w:val="22"/>
        </w:rPr>
        <w:t>WMBA (LEBA) members comprising all trades for the year to June 2014 was not utilised in the liquidity assessment. Conversely, we do advise that outside the emissions options market and bespoke structured products related to compliance units, the majority of vanilla trades are traded directly as the near vintage on ICE or given up as ‘futures blocks’.</w:t>
      </w:r>
    </w:p>
    <w:permEnd w:id="1506419799"/>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F2239B" w:rsidRPr="00A40C6D" w:rsidRDefault="00F2239B" w:rsidP="00F2239B">
      <w:pPr>
        <w:rPr>
          <w:rFonts w:ascii="Calibri" w:hAnsi="Calibri"/>
          <w:szCs w:val="22"/>
        </w:rPr>
      </w:pPr>
      <w:permStart w:id="194533398" w:edGrp="everyone"/>
      <w:r w:rsidRPr="00A40C6D">
        <w:rPr>
          <w:rFonts w:ascii="Calibri" w:hAnsi="Calibri"/>
          <w:szCs w:val="22"/>
        </w:rPr>
        <w:t>Q. 70</w:t>
      </w:r>
    </w:p>
    <w:p w:rsidR="00F2239B" w:rsidRPr="00A40C6D" w:rsidRDefault="00F2239B" w:rsidP="00F2239B">
      <w:pPr>
        <w:rPr>
          <w:rFonts w:ascii="Calibri" w:hAnsi="Calibri"/>
          <w:szCs w:val="22"/>
        </w:rPr>
      </w:pPr>
    </w:p>
    <w:p w:rsidR="00F2239B" w:rsidRPr="00A40C6D" w:rsidRDefault="00F2239B" w:rsidP="00F2239B">
      <w:pPr>
        <w:rPr>
          <w:rFonts w:ascii="Calibri" w:hAnsi="Calibri"/>
          <w:szCs w:val="22"/>
        </w:rPr>
      </w:pPr>
      <w:r w:rsidRPr="00A40C6D">
        <w:rPr>
          <w:rFonts w:ascii="Calibri" w:hAnsi="Calibri"/>
          <w:szCs w:val="22"/>
        </w:rPr>
        <w:t>No, the WMBA does not agree with ESMA’s proposal on trading systems and pre-trade transparency. The WMBA also believes that both the definitions of prescribed trading systems and the issue of ‘Packaged Transactions’ need to be specifically addressed in the RTS.</w:t>
      </w:r>
    </w:p>
    <w:p w:rsidR="00F2239B" w:rsidRPr="00A40C6D" w:rsidRDefault="00F2239B" w:rsidP="00F2239B">
      <w:pPr>
        <w:rPr>
          <w:rFonts w:ascii="Calibri" w:hAnsi="Calibri"/>
          <w:b/>
          <w:szCs w:val="22"/>
          <w:u w:val="single"/>
        </w:rPr>
      </w:pPr>
      <w:r w:rsidRPr="00A40C6D">
        <w:rPr>
          <w:rFonts w:ascii="Calibri" w:hAnsi="Calibri"/>
          <w:b/>
          <w:szCs w:val="22"/>
          <w:u w:val="single"/>
        </w:rPr>
        <w:t>1. Definitions of trading systems</w:t>
      </w:r>
    </w:p>
    <w:p w:rsidR="00F2239B" w:rsidRPr="00A40C6D" w:rsidRDefault="00F2239B" w:rsidP="00F2239B">
      <w:pPr>
        <w:rPr>
          <w:rFonts w:ascii="Calibri" w:hAnsi="Calibri"/>
          <w:b/>
          <w:szCs w:val="22"/>
          <w:u w:val="single"/>
        </w:rPr>
      </w:pPr>
      <w:r w:rsidRPr="00A40C6D">
        <w:rPr>
          <w:rFonts w:ascii="Calibri" w:hAnsi="Calibri"/>
          <w:b/>
          <w:szCs w:val="22"/>
          <w:u w:val="single"/>
        </w:rPr>
        <w:t>Voice trading system</w:t>
      </w:r>
    </w:p>
    <w:p w:rsidR="00F2239B" w:rsidRPr="00A40C6D" w:rsidRDefault="00F2239B" w:rsidP="00F2239B">
      <w:pPr>
        <w:rPr>
          <w:rFonts w:ascii="Calibri" w:hAnsi="Calibri"/>
          <w:szCs w:val="22"/>
          <w:u w:val="single"/>
        </w:rPr>
      </w:pPr>
      <w:r w:rsidRPr="00A40C6D">
        <w:rPr>
          <w:rFonts w:ascii="Calibri" w:hAnsi="Calibri"/>
          <w:szCs w:val="22"/>
          <w:u w:val="single"/>
        </w:rPr>
        <w:t xml:space="preserve">Draft RTS 9 (Annex 1, Table 1) defines ‘voice trading system’ as: </w:t>
      </w:r>
    </w:p>
    <w:p w:rsidR="00F2239B" w:rsidRPr="00A40C6D" w:rsidRDefault="00F2239B" w:rsidP="00F2239B">
      <w:pPr>
        <w:rPr>
          <w:rFonts w:ascii="Calibri" w:hAnsi="Calibri"/>
          <w:i/>
          <w:szCs w:val="22"/>
          <w:u w:val="single"/>
        </w:rPr>
      </w:pPr>
      <w:r w:rsidRPr="00A40C6D">
        <w:rPr>
          <w:rFonts w:ascii="Calibri" w:hAnsi="Calibri"/>
          <w:i/>
          <w:szCs w:val="22"/>
          <w:u w:val="single"/>
        </w:rPr>
        <w:t xml:space="preserve">‘A trading system where transactions between members are arranged through voice negotiation.’ </w:t>
      </w:r>
    </w:p>
    <w:p w:rsidR="00F2239B" w:rsidRPr="00A40C6D" w:rsidRDefault="00F2239B" w:rsidP="00F2239B">
      <w:pPr>
        <w:rPr>
          <w:rFonts w:ascii="Calibri" w:hAnsi="Calibri"/>
          <w:i/>
          <w:szCs w:val="22"/>
        </w:rPr>
      </w:pPr>
      <w:r w:rsidRPr="00A40C6D">
        <w:rPr>
          <w:rFonts w:ascii="Calibri" w:hAnsi="Calibri"/>
          <w:szCs w:val="22"/>
        </w:rPr>
        <w:t xml:space="preserve">The WMBA does not </w:t>
      </w:r>
      <w:r w:rsidRPr="00A40C6D">
        <w:rPr>
          <w:rFonts w:ascii="Calibri" w:hAnsi="Calibri"/>
          <w:szCs w:val="22"/>
          <w:u w:val="single"/>
        </w:rPr>
        <w:t>believe</w:t>
      </w:r>
      <w:r w:rsidRPr="00A40C6D">
        <w:rPr>
          <w:rFonts w:ascii="Calibri" w:hAnsi="Calibri"/>
          <w:szCs w:val="22"/>
        </w:rPr>
        <w:t xml:space="preserve"> that </w:t>
      </w:r>
      <w:r w:rsidRPr="00A40C6D">
        <w:rPr>
          <w:rFonts w:ascii="Calibri" w:hAnsi="Calibri"/>
          <w:szCs w:val="22"/>
          <w:u w:val="single"/>
        </w:rPr>
        <w:t xml:space="preserve">this definition </w:t>
      </w:r>
      <w:r w:rsidRPr="00A40C6D">
        <w:rPr>
          <w:rFonts w:ascii="Calibri" w:hAnsi="Calibri"/>
          <w:szCs w:val="22"/>
        </w:rPr>
        <w:t xml:space="preserve">accurately </w:t>
      </w:r>
      <w:r w:rsidRPr="00A40C6D">
        <w:rPr>
          <w:rFonts w:ascii="Calibri" w:hAnsi="Calibri"/>
          <w:szCs w:val="22"/>
          <w:u w:val="single"/>
        </w:rPr>
        <w:t>describes</w:t>
      </w:r>
      <w:r w:rsidRPr="00A40C6D">
        <w:rPr>
          <w:rFonts w:ascii="Calibri" w:hAnsi="Calibri"/>
          <w:szCs w:val="22"/>
        </w:rPr>
        <w:t xml:space="preserve"> the universally accepted market </w:t>
      </w:r>
      <w:r w:rsidRPr="00A40C6D">
        <w:rPr>
          <w:rFonts w:ascii="Calibri" w:hAnsi="Calibri"/>
          <w:szCs w:val="22"/>
          <w:u w:val="single"/>
        </w:rPr>
        <w:t xml:space="preserve">models of voice trading and </w:t>
      </w:r>
      <w:r w:rsidRPr="00A40C6D">
        <w:rPr>
          <w:rFonts w:ascii="Calibri" w:hAnsi="Calibri"/>
          <w:szCs w:val="22"/>
        </w:rPr>
        <w:t xml:space="preserve">model which, if </w:t>
      </w:r>
      <w:r w:rsidRPr="00A40C6D">
        <w:rPr>
          <w:rFonts w:ascii="Calibri" w:hAnsi="Calibri"/>
          <w:szCs w:val="22"/>
          <w:u w:val="single"/>
        </w:rPr>
        <w:t>left uncorrected</w:t>
      </w:r>
      <w:r w:rsidRPr="00A40C6D">
        <w:rPr>
          <w:rFonts w:ascii="Calibri" w:hAnsi="Calibri"/>
          <w:szCs w:val="22"/>
        </w:rPr>
        <w:t xml:space="preserve"> not corrected, presents meaningful negative implications for market participants. </w:t>
      </w:r>
      <w:r w:rsidRPr="00A40C6D">
        <w:rPr>
          <w:rFonts w:ascii="Calibri" w:hAnsi="Calibri"/>
          <w:szCs w:val="22"/>
          <w:u w:val="single"/>
        </w:rPr>
        <w:t xml:space="preserve"> In particular</w:t>
      </w:r>
      <w:r w:rsidRPr="00A40C6D">
        <w:rPr>
          <w:rFonts w:ascii="Calibri" w:hAnsi="Calibri"/>
          <w:szCs w:val="22"/>
        </w:rPr>
        <w:t xml:space="preserve">, the </w:t>
      </w:r>
      <w:r w:rsidRPr="00A40C6D">
        <w:rPr>
          <w:rFonts w:ascii="Calibri" w:hAnsi="Calibri"/>
          <w:szCs w:val="22"/>
          <w:u w:val="single"/>
        </w:rPr>
        <w:t>term ‘voice negotiation’</w:t>
      </w:r>
      <w:r w:rsidRPr="00A40C6D">
        <w:rPr>
          <w:rFonts w:ascii="Calibri" w:hAnsi="Calibri"/>
          <w:szCs w:val="22"/>
        </w:rPr>
        <w:t xml:space="preserve"> is </w:t>
      </w:r>
      <w:r w:rsidRPr="00A40C6D">
        <w:rPr>
          <w:rFonts w:ascii="Calibri" w:hAnsi="Calibri"/>
          <w:szCs w:val="22"/>
          <w:u w:val="single"/>
        </w:rPr>
        <w:t>overly narrow</w:t>
      </w:r>
      <w:r w:rsidRPr="00A40C6D">
        <w:rPr>
          <w:rFonts w:ascii="Calibri" w:hAnsi="Calibri"/>
          <w:szCs w:val="22"/>
        </w:rPr>
        <w:t xml:space="preserve"> and </w:t>
      </w:r>
      <w:r w:rsidRPr="00A40C6D">
        <w:rPr>
          <w:rFonts w:ascii="Calibri" w:hAnsi="Calibri"/>
          <w:szCs w:val="22"/>
          <w:u w:val="single"/>
        </w:rPr>
        <w:t xml:space="preserve">does not take into account </w:t>
      </w:r>
      <w:r w:rsidRPr="00A40C6D">
        <w:rPr>
          <w:rFonts w:ascii="Calibri" w:hAnsi="Calibri"/>
          <w:szCs w:val="22"/>
        </w:rPr>
        <w:t xml:space="preserve">the </w:t>
      </w:r>
      <w:r w:rsidRPr="00A40C6D">
        <w:rPr>
          <w:rFonts w:ascii="Calibri" w:hAnsi="Calibri"/>
          <w:szCs w:val="22"/>
          <w:u w:val="single"/>
        </w:rPr>
        <w:t>increasing use of a variety</w:t>
      </w:r>
      <w:r w:rsidRPr="00A40C6D">
        <w:rPr>
          <w:rFonts w:ascii="Calibri" w:hAnsi="Calibri"/>
          <w:szCs w:val="22"/>
        </w:rPr>
        <w:t xml:space="preserve"> of voice </w:t>
      </w:r>
      <w:r w:rsidRPr="00A40C6D">
        <w:rPr>
          <w:rFonts w:ascii="Calibri" w:hAnsi="Calibri"/>
          <w:szCs w:val="22"/>
          <w:u w:val="single"/>
        </w:rPr>
        <w:t>replicating technologies in</w:t>
      </w:r>
      <w:r w:rsidRPr="00A40C6D">
        <w:rPr>
          <w:rFonts w:ascii="Calibri" w:hAnsi="Calibri"/>
          <w:i/>
          <w:szCs w:val="22"/>
        </w:rPr>
        <w:t xml:space="preserve"> the </w:t>
      </w:r>
      <w:r w:rsidRPr="00A40C6D">
        <w:rPr>
          <w:rFonts w:ascii="Calibri" w:hAnsi="Calibri"/>
          <w:szCs w:val="22"/>
          <w:u w:val="single"/>
        </w:rPr>
        <w:t>market</w:t>
      </w:r>
      <w:r w:rsidRPr="00A40C6D">
        <w:rPr>
          <w:rFonts w:ascii="Calibri" w:hAnsi="Calibri"/>
          <w:i/>
          <w:szCs w:val="22"/>
        </w:rPr>
        <w:t xml:space="preserve">. </w:t>
      </w:r>
    </w:p>
    <w:p w:rsidR="00F2239B" w:rsidRPr="004E26B2" w:rsidRDefault="00F2239B" w:rsidP="00F2239B">
      <w:pPr>
        <w:rPr>
          <w:rFonts w:ascii="Calibri" w:hAnsi="Calibri"/>
          <w:szCs w:val="22"/>
          <w:u w:val="single"/>
        </w:rPr>
      </w:pPr>
      <w:r w:rsidRPr="00A40C6D">
        <w:rPr>
          <w:rFonts w:ascii="Calibri" w:hAnsi="Calibri"/>
          <w:szCs w:val="22"/>
          <w:u w:val="single"/>
        </w:rPr>
        <w:t xml:space="preserve">In light of the above points, the WMBA proposes that the definition of voice trading system must include technologies which merely serve as a replacement for the spoken word (e.g., email, instant messaging, other social communication methods etc.).  We do not believe that the term ‘voice negotiation’ achieves this because the term ‘voice’ itself is not defined. We therefore propose the </w:t>
      </w:r>
      <w:r w:rsidRPr="004E26B2">
        <w:rPr>
          <w:rFonts w:ascii="Calibri" w:hAnsi="Calibri"/>
          <w:szCs w:val="22"/>
          <w:u w:val="single"/>
        </w:rPr>
        <w:t>following definition of ‘voice trading system’:</w:t>
      </w:r>
    </w:p>
    <w:p w:rsidR="00F2239B" w:rsidRPr="004E26B2" w:rsidRDefault="00F2239B" w:rsidP="00F2239B">
      <w:pPr>
        <w:rPr>
          <w:rFonts w:ascii="Calibri" w:hAnsi="Calibri"/>
          <w:b/>
          <w:szCs w:val="22"/>
          <w:u w:val="single"/>
        </w:rPr>
      </w:pPr>
      <w:r w:rsidRPr="004E26B2">
        <w:rPr>
          <w:rFonts w:ascii="Calibri" w:hAnsi="Calibri"/>
          <w:b/>
          <w:szCs w:val="22"/>
          <w:u w:val="single"/>
        </w:rPr>
        <w:t>Definition Proposal 1</w:t>
      </w:r>
    </w:p>
    <w:p w:rsidR="00F2239B" w:rsidRPr="004E26B2" w:rsidRDefault="00F2239B" w:rsidP="00F2239B">
      <w:pPr>
        <w:rPr>
          <w:rFonts w:ascii="Calibri" w:hAnsi="Calibri"/>
          <w:szCs w:val="22"/>
        </w:rPr>
      </w:pPr>
      <w:r w:rsidRPr="004E26B2">
        <w:rPr>
          <w:rFonts w:ascii="Calibri" w:hAnsi="Calibri"/>
          <w:b/>
          <w:i/>
          <w:szCs w:val="22"/>
          <w:u w:val="single"/>
        </w:rPr>
        <w:t>‘</w:t>
      </w:r>
      <w:r w:rsidRPr="004E26B2">
        <w:rPr>
          <w:rFonts w:ascii="Calibri" w:hAnsi="Calibri"/>
          <w:szCs w:val="22"/>
        </w:rPr>
        <w:t xml:space="preserve">Whilst the WMBA members use the complete variety of venue methodologies across their systems, the voice element remains widely utilised and we understand the requirement for a suitable and appropriate definition. Millions of OTC transactions occur annually where the execution has a voice component but may not be exclusively voice only on both sides of that trade. Therefore, the critically undefined term 'voice negotiation' lacks vital clarity and, most urgently, in limiting the definition only to ‘negotiation’ may exclude the completion of transactions. </w:t>
      </w:r>
    </w:p>
    <w:p w:rsidR="00F2239B" w:rsidRPr="004E26B2" w:rsidRDefault="00F2239B" w:rsidP="00F2239B">
      <w:pPr>
        <w:rPr>
          <w:rFonts w:ascii="Calibri" w:hAnsi="Calibri"/>
          <w:szCs w:val="22"/>
        </w:rPr>
      </w:pPr>
      <w:r w:rsidRPr="004E26B2">
        <w:rPr>
          <w:rFonts w:ascii="Calibri" w:hAnsi="Calibri"/>
          <w:szCs w:val="22"/>
        </w:rPr>
        <w:t>As ESMA states in paragraph 11, voice in a core role focuses on negotiations towards a transaction, aided by technological tools but with the matching occurring as a consequence of the considerations initially within and consequently between the humans interacting.  Content on the system is manually created and therefore discretionary whilst communications may be automated. We also note that the required flexibility in the role of voice can be achieved by understanding that the role of voice may be in the ‘</w:t>
      </w:r>
      <w:r w:rsidRPr="004E26B2">
        <w:rPr>
          <w:rFonts w:ascii="Calibri" w:hAnsi="Calibri"/>
          <w:i/>
          <w:szCs w:val="22"/>
        </w:rPr>
        <w:t>negotiation’</w:t>
      </w:r>
      <w:r w:rsidRPr="004E26B2">
        <w:rPr>
          <w:rFonts w:ascii="Calibri" w:hAnsi="Calibri"/>
          <w:szCs w:val="22"/>
        </w:rPr>
        <w:t xml:space="preserve"> </w:t>
      </w:r>
      <w:r w:rsidRPr="004E26B2">
        <w:rPr>
          <w:rFonts w:ascii="Calibri" w:hAnsi="Calibri"/>
          <w:szCs w:val="22"/>
          <w:u w:val="single"/>
        </w:rPr>
        <w:t>AND/OR</w:t>
      </w:r>
      <w:r w:rsidRPr="004E26B2">
        <w:rPr>
          <w:rFonts w:ascii="Calibri" w:hAnsi="Calibri"/>
          <w:szCs w:val="22"/>
        </w:rPr>
        <w:t xml:space="preserve"> </w:t>
      </w:r>
      <w:r w:rsidRPr="004E26B2">
        <w:rPr>
          <w:rFonts w:ascii="Calibri" w:hAnsi="Calibri"/>
          <w:i/>
          <w:szCs w:val="22"/>
        </w:rPr>
        <w:t>'conclusion'</w:t>
      </w:r>
      <w:r w:rsidRPr="004E26B2">
        <w:rPr>
          <w:rFonts w:ascii="Calibri" w:hAnsi="Calibri"/>
          <w:szCs w:val="22"/>
        </w:rPr>
        <w:t xml:space="preserve"> of a transaction.</w:t>
      </w:r>
    </w:p>
    <w:p w:rsidR="00F2239B" w:rsidRPr="004E26B2" w:rsidRDefault="00F2239B" w:rsidP="00F2239B">
      <w:pPr>
        <w:ind w:left="720"/>
        <w:rPr>
          <w:rFonts w:ascii="Calibri" w:hAnsi="Calibri"/>
          <w:i/>
          <w:szCs w:val="22"/>
        </w:rPr>
      </w:pPr>
      <w:r w:rsidRPr="004E26B2">
        <w:rPr>
          <w:rFonts w:ascii="Calibri" w:hAnsi="Calibri"/>
          <w:i/>
          <w:szCs w:val="22"/>
        </w:rPr>
        <w:t>“ESMA is well aware of the many hybrid systems which are arranged by voice and the technological support to conclude transactions, however ESMA is of the opinion that the essential element to consider for classifying a system as a voice trading system is that the voice element is the core part of the system to negotiate and conclude transactions. This may be supported by other technological tools. If the voice element is not the essential part of the system then the operator of the trading venue need to classify the system as a hybrid trading system.”</w:t>
      </w:r>
    </w:p>
    <w:p w:rsidR="00F2239B" w:rsidRPr="004E26B2" w:rsidRDefault="00F2239B" w:rsidP="007D55BD">
      <w:pPr>
        <w:pStyle w:val="ListParagraph"/>
      </w:pPr>
      <w:r w:rsidRPr="004E26B2">
        <w:t>Proposed as per CP, “</w:t>
      </w:r>
      <w:r w:rsidR="004E26B2" w:rsidRPr="004E26B2">
        <w:t>a</w:t>
      </w:r>
      <w:r w:rsidRPr="004E26B2">
        <w:t xml:space="preserve"> trading system where transactions between members are arranged through voice negotiation</w:t>
      </w:r>
      <w:r w:rsidRPr="004E26B2">
        <w:rPr>
          <w:i/>
          <w:u w:val="single"/>
        </w:rPr>
        <w:t xml:space="preserve"> </w:t>
      </w:r>
      <w:r w:rsidRPr="004E26B2">
        <w:rPr>
          <w:i/>
        </w:rPr>
        <w:t>the spoken word or any technology which replicates the spoken word</w:t>
      </w:r>
      <w:r w:rsidRPr="004E26B2">
        <w:rPr>
          <w:i/>
          <w:u w:val="single"/>
        </w:rPr>
        <w:t xml:space="preserve">’. </w:t>
      </w:r>
    </w:p>
    <w:p w:rsidR="00F2239B" w:rsidRPr="00A40C6D" w:rsidRDefault="00F2239B" w:rsidP="00F2239B">
      <w:pPr>
        <w:rPr>
          <w:rFonts w:ascii="Calibri" w:hAnsi="Calibri"/>
          <w:szCs w:val="22"/>
          <w:u w:val="single"/>
        </w:rPr>
      </w:pPr>
      <w:r w:rsidRPr="004E26B2">
        <w:rPr>
          <w:rFonts w:ascii="Calibri" w:hAnsi="Calibri"/>
          <w:szCs w:val="22"/>
          <w:u w:val="single"/>
        </w:rPr>
        <w:t>We appreciate that ESMA may be concerned that the above proposed definition could be interpreted as including technologies which do more than replicating voice negotiation, such as technology that also serves as a transaction matching system.  We acknowledge that the definitions of trading systems should distinguish and differentiate between communication technologies which serve merely as a means for negotiation communication through replication of the spoken word (e.g., email, instant messaging, other social communication methods etc.) and those which are transaction matching technologies such as CLOB, RFQ and auction systems.  In the event that this is a concern for ESMA</w:t>
      </w:r>
      <w:r w:rsidRPr="00A40C6D">
        <w:rPr>
          <w:rFonts w:ascii="Calibri" w:hAnsi="Calibri"/>
          <w:szCs w:val="22"/>
          <w:u w:val="single"/>
        </w:rPr>
        <w:t xml:space="preserve"> which it believes will not be adequately met by Definition Proposal 1, we believe that the following proposed definition of ‘voice trading system’ should be adopted:</w:t>
      </w:r>
    </w:p>
    <w:p w:rsidR="00F2239B" w:rsidRPr="00A40C6D" w:rsidRDefault="00F2239B" w:rsidP="00F2239B">
      <w:pPr>
        <w:rPr>
          <w:rFonts w:ascii="Calibri" w:hAnsi="Calibri"/>
          <w:b/>
          <w:szCs w:val="22"/>
        </w:rPr>
      </w:pPr>
      <w:r w:rsidRPr="00A40C6D">
        <w:rPr>
          <w:rFonts w:ascii="Calibri" w:hAnsi="Calibri"/>
          <w:b/>
          <w:szCs w:val="22"/>
        </w:rPr>
        <w:t>Definition Proposal 2</w:t>
      </w:r>
    </w:p>
    <w:p w:rsidR="00F2239B" w:rsidRPr="00A40C6D" w:rsidRDefault="00F2239B" w:rsidP="00F2239B">
      <w:pPr>
        <w:rPr>
          <w:rFonts w:ascii="Calibri" w:hAnsi="Calibri"/>
          <w:i/>
          <w:szCs w:val="22"/>
          <w:u w:val="single"/>
        </w:rPr>
      </w:pPr>
      <w:r w:rsidRPr="00A40C6D">
        <w:rPr>
          <w:rFonts w:ascii="Calibri" w:hAnsi="Calibri"/>
          <w:i/>
          <w:szCs w:val="22"/>
          <w:u w:val="single"/>
        </w:rPr>
        <w:t xml:space="preserve">‘A trading system where transactions between members are arranged through </w:t>
      </w:r>
      <w:r w:rsidRPr="00A40C6D">
        <w:rPr>
          <w:rFonts w:ascii="Calibri" w:hAnsi="Calibri"/>
          <w:i/>
          <w:strike/>
          <w:szCs w:val="22"/>
          <w:u w:val="single"/>
        </w:rPr>
        <w:t>voice negotiation</w:t>
      </w:r>
      <w:r w:rsidRPr="00A40C6D">
        <w:rPr>
          <w:rFonts w:ascii="Calibri" w:hAnsi="Calibri"/>
          <w:i/>
          <w:szCs w:val="22"/>
          <w:u w:val="single"/>
        </w:rPr>
        <w:t xml:space="preserve"> the spoken word or any technology which replicates the spoken word</w:t>
      </w:r>
      <w:r w:rsidRPr="00A40C6D">
        <w:rPr>
          <w:rFonts w:ascii="Calibri" w:hAnsi="Calibri"/>
          <w:i/>
          <w:szCs w:val="22"/>
        </w:rPr>
        <w:t xml:space="preserve"> </w:t>
      </w:r>
      <w:r w:rsidRPr="00A40C6D">
        <w:rPr>
          <w:rFonts w:ascii="Calibri" w:hAnsi="Calibri"/>
          <w:i/>
          <w:szCs w:val="22"/>
          <w:u w:val="single"/>
        </w:rPr>
        <w:t xml:space="preserve">excluding any order or transaction matching technology’. </w:t>
      </w:r>
    </w:p>
    <w:p w:rsidR="00F2239B" w:rsidRPr="00A40C6D" w:rsidRDefault="00F2239B" w:rsidP="00F2239B">
      <w:pPr>
        <w:rPr>
          <w:rFonts w:ascii="Calibri" w:hAnsi="Calibri"/>
          <w:szCs w:val="22"/>
        </w:rPr>
      </w:pPr>
      <w:r w:rsidRPr="00A40C6D">
        <w:rPr>
          <w:rFonts w:ascii="Calibri" w:hAnsi="Calibri"/>
          <w:szCs w:val="22"/>
          <w:u w:val="single"/>
        </w:rPr>
        <w:t xml:space="preserve"> In addition, it is important to note that Definition Proposals 1 and 2</w:t>
      </w:r>
      <w:r w:rsidRPr="00A40C6D">
        <w:rPr>
          <w:rFonts w:ascii="Calibri" w:hAnsi="Calibri"/>
          <w:b/>
          <w:szCs w:val="22"/>
          <w:u w:val="single"/>
        </w:rPr>
        <w:t xml:space="preserve"> </w:t>
      </w:r>
      <w:r w:rsidRPr="00A40C6D">
        <w:rPr>
          <w:rFonts w:ascii="Calibri" w:hAnsi="Calibri"/>
          <w:szCs w:val="22"/>
        </w:rPr>
        <w:t>enable consistency with the US definition of voice in Dodd Frank which appropriately includes communication methods such as email and instant messaging.</w:t>
      </w:r>
    </w:p>
    <w:p w:rsidR="00F2239B" w:rsidRPr="00A40C6D" w:rsidRDefault="00F2239B" w:rsidP="00F2239B">
      <w:pPr>
        <w:rPr>
          <w:rFonts w:ascii="Calibri" w:hAnsi="Calibri"/>
          <w:szCs w:val="22"/>
        </w:rPr>
      </w:pPr>
    </w:p>
    <w:p w:rsidR="00F2239B" w:rsidRPr="00A40C6D" w:rsidRDefault="00F2239B" w:rsidP="00F2239B">
      <w:pPr>
        <w:rPr>
          <w:rFonts w:ascii="Calibri" w:hAnsi="Calibri"/>
          <w:b/>
          <w:szCs w:val="22"/>
          <w:u w:val="single"/>
        </w:rPr>
      </w:pPr>
      <w:r w:rsidRPr="00A40C6D">
        <w:rPr>
          <w:rFonts w:ascii="Calibri" w:hAnsi="Calibri"/>
          <w:b/>
          <w:szCs w:val="22"/>
          <w:u w:val="single"/>
        </w:rPr>
        <w:t>2. Definitions of Packaged Transactions</w:t>
      </w:r>
    </w:p>
    <w:p w:rsidR="00F2239B" w:rsidRPr="00A40C6D" w:rsidRDefault="00F2239B" w:rsidP="007D55BD">
      <w:pPr>
        <w:pStyle w:val="ListParagraph"/>
      </w:pPr>
      <w:r w:rsidRPr="00A40C6D">
        <w:t>The WMBA wishes to underline the predominance of packaged transactions in the wholesale non-equity markets, a factor which ESMA has not considered having based much of its approach to transparency on the equity markets. Packaged transactions are particularly prevalent in the Information to be made public, “The bids and offers and attaching volumes from any member or participant which, if accepted, would lead to a transaction in the system”</w:t>
      </w:r>
    </w:p>
    <w:p w:rsidR="00F2239B" w:rsidRPr="00A40C6D" w:rsidRDefault="00F2239B" w:rsidP="00F2239B">
      <w:pPr>
        <w:rPr>
          <w:rFonts w:ascii="Calibri" w:hAnsi="Calibri"/>
          <w:szCs w:val="22"/>
        </w:rPr>
      </w:pPr>
      <w:r w:rsidRPr="00A40C6D">
        <w:rPr>
          <w:rFonts w:ascii="Calibri" w:hAnsi="Calibri"/>
          <w:szCs w:val="22"/>
        </w:rPr>
        <w:t xml:space="preserve">Voice systems are more easily defined away from what they are not. The WMBA further notes that it is clear to understand what is outside the bounds of a ‘Voice Trading System’ which are clearly inclusive of systems such as ‘RFQ’, ‘CLOB’ and several types of auctions.  Common within non-voice systems is the absence of discretion within the messaging system itself and the commonality of technology between the message and the system itself. In this way, the WMBA understands that it is the component term ‘voice’ which needs to be elaborated in order to assess its role as the ‘core part’ of the system. Voice content is manually created [by humans] and therefore discretionary, regardless of whether those subsequent communications may be automated which enables key consistency to the US definition of voice within Dodd Frank as “any means of interstate commerce”. </w:t>
      </w:r>
    </w:p>
    <w:p w:rsidR="00F2239B" w:rsidRPr="00A40C6D" w:rsidRDefault="00F2239B" w:rsidP="00F2239B">
      <w:pPr>
        <w:rPr>
          <w:rFonts w:ascii="Calibri" w:hAnsi="Calibri"/>
          <w:szCs w:val="22"/>
        </w:rPr>
      </w:pPr>
      <w:r w:rsidRPr="00A40C6D">
        <w:rPr>
          <w:rFonts w:ascii="Calibri" w:hAnsi="Calibri"/>
          <w:szCs w:val="22"/>
        </w:rPr>
        <w:t>Indeed, ‘voice trading system’ as prescribed in 3.7.14 does include the full scope of one to one or many to many negotiation that may be carried out by other means such as screen based voice assisted execution, hybrid execution (where only one side of the trade is voice based), single price and weighted price auction execution (where the pre-trade price discovery process is conducted by voice), voice work up (which may stem from a fully electronic transaction),  instant messaging system based execution or email based executions (which may then be stored in a 'durable medium' as defined under MiFID record keeping requirements). All of these methods receive similar audit trail, post-trade processing and trade reporting treatment.</w:t>
      </w:r>
    </w:p>
    <w:p w:rsidR="00F2239B" w:rsidRPr="00A40C6D" w:rsidRDefault="00F2239B" w:rsidP="00F2239B">
      <w:pPr>
        <w:rPr>
          <w:rFonts w:ascii="Calibri" w:hAnsi="Calibri"/>
          <w:szCs w:val="22"/>
        </w:rPr>
      </w:pPr>
      <w:r w:rsidRPr="00A40C6D">
        <w:rPr>
          <w:rFonts w:ascii="Calibri" w:hAnsi="Calibri"/>
          <w:szCs w:val="22"/>
        </w:rPr>
        <w:t>Therefore, the specific inclusion of this wider, integrated and more comprehensive scope is necessary to describe the current voice based arrangement, negotiation and execution operations of the wholesale multilateral market in which technologies that replicate and enhance voice execution, and which are able to store details on a durable medium, are widely employed on a global basis. It is more than likely that the terminology needs to be able to encompass and add in any new technologies which are not currently widespread that replicate voice and that would not otherwise be included within the other categories.</w:t>
      </w:r>
    </w:p>
    <w:p w:rsidR="00F2239B" w:rsidRPr="00A40C6D" w:rsidRDefault="00F2239B" w:rsidP="00F2239B">
      <w:pPr>
        <w:rPr>
          <w:rFonts w:ascii="Calibri" w:hAnsi="Calibri"/>
          <w:szCs w:val="22"/>
        </w:rPr>
      </w:pPr>
      <w:r w:rsidRPr="00A40C6D">
        <w:rPr>
          <w:rFonts w:ascii="Calibri" w:hAnsi="Calibri"/>
          <w:szCs w:val="22"/>
        </w:rPr>
        <w:t>Accordingly, in the view of the WMBA, a ‘voice trading system’ definition should include a significantly more complete summary of hybrid execution methodologies for which there are multiple means of communications. The term ‘</w:t>
      </w:r>
      <w:r w:rsidRPr="00A40C6D">
        <w:rPr>
          <w:rFonts w:ascii="Calibri" w:hAnsi="Calibri"/>
          <w:i/>
          <w:szCs w:val="22"/>
        </w:rPr>
        <w:t>voice’</w:t>
      </w:r>
      <w:r w:rsidRPr="00A40C6D">
        <w:rPr>
          <w:rFonts w:ascii="Calibri" w:hAnsi="Calibri"/>
          <w:szCs w:val="22"/>
        </w:rPr>
        <w:t xml:space="preserve"> includes the spoken-word and any systems that replicate the spoken-word (as socialised communications). These systems will be third party technologies and not those operated by the trading system itself. Therefore, voice systems will not include Consolidated Limit Order Books [CLOB], Request for Quote [RFQ], Continuous Auction Order Book Systems, Quote Driven Trading Systems, Periodic Auction Trading System.</w:t>
      </w:r>
    </w:p>
    <w:p w:rsidR="00F2239B" w:rsidRPr="00A40C6D" w:rsidRDefault="00F2239B" w:rsidP="00F2239B">
      <w:pPr>
        <w:rPr>
          <w:rFonts w:ascii="Calibri" w:hAnsi="Calibri"/>
          <w:szCs w:val="22"/>
        </w:rPr>
      </w:pPr>
      <w:r w:rsidRPr="00A40C6D">
        <w:rPr>
          <w:rFonts w:ascii="Calibri" w:hAnsi="Calibri"/>
          <w:szCs w:val="22"/>
        </w:rPr>
        <w:t xml:space="preserve">The WMBA notes that within MiFID, ESMA employs not only the term ‘Voice trading system,’ but also ‘Voice System’ and ‘Voice Negotiation’. We note that a 'trading system’ as defined in RTS 34 (electronic, voice, open outcry) has two distinct uses of voice, both a market method and also as a trading system. We further note that a </w:t>
      </w:r>
      <w:r w:rsidRPr="00A40C6D">
        <w:rPr>
          <w:rFonts w:ascii="Calibri" w:hAnsi="Calibri"/>
          <w:i/>
          <w:szCs w:val="22"/>
        </w:rPr>
        <w:t>'trading system’</w:t>
      </w:r>
      <w:r w:rsidRPr="00A40C6D">
        <w:rPr>
          <w:rFonts w:ascii="Calibri" w:hAnsi="Calibri"/>
          <w:szCs w:val="22"/>
        </w:rPr>
        <w:t xml:space="preserve"> as defined in RTS 34 (</w:t>
      </w:r>
      <w:r w:rsidRPr="00A40C6D">
        <w:rPr>
          <w:rFonts w:ascii="Calibri" w:hAnsi="Calibri"/>
          <w:szCs w:val="22"/>
          <w:u w:val="single"/>
        </w:rPr>
        <w:t>electronic, voice, open outcry</w:t>
      </w:r>
      <w:r w:rsidRPr="00A40C6D">
        <w:rPr>
          <w:rFonts w:ascii="Calibri" w:hAnsi="Calibri"/>
          <w:szCs w:val="22"/>
        </w:rPr>
        <w:t>) has in mind two distinct uses of the term voice: a market method and also as a trading system. Therefore, as RTS 34 closely defines an electronic system, the WMBA endorses it will be better to define voice more generally as being residual and away from this prescription.</w:t>
      </w:r>
    </w:p>
    <w:p w:rsidR="00F2239B" w:rsidRPr="00A40C6D" w:rsidRDefault="00F2239B" w:rsidP="00F2239B">
      <w:pPr>
        <w:rPr>
          <w:rFonts w:ascii="Calibri" w:hAnsi="Calibri"/>
          <w:szCs w:val="22"/>
        </w:rPr>
      </w:pPr>
      <w:r w:rsidRPr="00A40C6D">
        <w:rPr>
          <w:rFonts w:ascii="Calibri" w:hAnsi="Calibri"/>
          <w:szCs w:val="22"/>
        </w:rPr>
        <w:t>We further note that with WMBA members operating multilateral non-equity wholesale markets, both globally and specifically in the US under Dodd-Frank, the notion of 'voice' is specifically and carefully incorporated into the Act under the broad term 'by any means of interstate commerce'. This encompasses all forms of electronic communication other than those involving the spoken word, particularly instant messaging and email. As a result, the WMBA would specifically request that the broad definition be expanded to “Any</w:t>
      </w:r>
      <w:r w:rsidRPr="00A40C6D">
        <w:rPr>
          <w:rFonts w:ascii="Calibri" w:hAnsi="Calibri"/>
          <w:i/>
          <w:szCs w:val="22"/>
        </w:rPr>
        <w:t xml:space="preserve"> trading system where transactions between members are either arranged, negotiated or executed partially or completely by voice to include any medium that replicates voice procedures</w:t>
      </w:r>
      <w:r w:rsidRPr="00A40C6D">
        <w:rPr>
          <w:rFonts w:ascii="Calibri" w:hAnsi="Calibri"/>
          <w:szCs w:val="22"/>
        </w:rPr>
        <w:t>".</w:t>
      </w:r>
    </w:p>
    <w:p w:rsidR="00F2239B" w:rsidRPr="00A40C6D" w:rsidRDefault="00F2239B" w:rsidP="00F2239B">
      <w:pPr>
        <w:rPr>
          <w:rFonts w:ascii="Calibri" w:hAnsi="Calibri"/>
          <w:szCs w:val="22"/>
        </w:rPr>
      </w:pPr>
      <w:r w:rsidRPr="00A40C6D">
        <w:rPr>
          <w:rFonts w:ascii="Calibri" w:hAnsi="Calibri"/>
          <w:szCs w:val="22"/>
        </w:rPr>
        <w:t>Concisely, therefore, this includes not only emails or instant messaging, but also has the scope for forward technologies not yet created or widely used. For a voice price to be executable in a multi to multi system, it needs to be broadcast across that system such that the point of publication needs to be such prior to the IDB saying 'done'. We note that within SEF protocols, the embargo rule has demanded that there needs to be evidence that any price has been ‘widely distributed’.</w:t>
      </w:r>
    </w:p>
    <w:p w:rsidR="00F2239B" w:rsidRPr="00A40C6D" w:rsidRDefault="00F2239B" w:rsidP="00F2239B">
      <w:pPr>
        <w:rPr>
          <w:rFonts w:ascii="Calibri" w:hAnsi="Calibri"/>
          <w:szCs w:val="22"/>
        </w:rPr>
      </w:pPr>
      <w:r w:rsidRPr="00A40C6D">
        <w:rPr>
          <w:rFonts w:ascii="Calibri" w:hAnsi="Calibri"/>
          <w:szCs w:val="22"/>
        </w:rPr>
        <w:t xml:space="preserve">The WMBA notes our comments made to the MiFID2 Level 2 Discussion Paper and thinks it worth setting these out again here: </w:t>
      </w:r>
    </w:p>
    <w:p w:rsidR="00F2239B" w:rsidRPr="00A40C6D" w:rsidRDefault="00F2239B" w:rsidP="00F2239B">
      <w:pPr>
        <w:ind w:left="720"/>
        <w:rPr>
          <w:rFonts w:ascii="Calibri" w:hAnsi="Calibri"/>
          <w:i/>
          <w:szCs w:val="22"/>
        </w:rPr>
      </w:pPr>
      <w:r w:rsidRPr="00A40C6D">
        <w:rPr>
          <w:rFonts w:ascii="Calibri" w:hAnsi="Calibri"/>
          <w:i/>
          <w:szCs w:val="22"/>
        </w:rPr>
        <w:t xml:space="preserve">The WMBA does not agree with this overly narrow definition of the term ‘voice trading system’. We do not concur that the discussion paper accurately captures the current universally accepted market model which if not corrected presents meaningful negative implications for market participants. </w:t>
      </w:r>
    </w:p>
    <w:p w:rsidR="00F2239B" w:rsidRPr="00A40C6D" w:rsidRDefault="00F2239B" w:rsidP="00F2239B">
      <w:pPr>
        <w:ind w:left="720"/>
        <w:rPr>
          <w:rFonts w:ascii="Calibri" w:hAnsi="Calibri"/>
          <w:i/>
          <w:szCs w:val="22"/>
        </w:rPr>
      </w:pPr>
      <w:r w:rsidRPr="00A40C6D">
        <w:rPr>
          <w:rFonts w:ascii="Calibri" w:hAnsi="Calibri"/>
          <w:i/>
          <w:szCs w:val="22"/>
        </w:rPr>
        <w:t>Millions of OTC transactions occur annually where the execution has a voice component but may not be exclusively voice only on both sides of that trade. Therefore, the critically undefined term 'voice negotiation' lacks vital clarity and, most urgently, in limiting the definition only to ‘negotiation’ may exclude the completion of transactions.</w:t>
      </w:r>
    </w:p>
    <w:p w:rsidR="00F2239B" w:rsidRPr="00A40C6D" w:rsidRDefault="00F2239B" w:rsidP="00F2239B">
      <w:pPr>
        <w:ind w:left="720"/>
        <w:rPr>
          <w:rFonts w:ascii="Calibri" w:hAnsi="Calibri"/>
          <w:i/>
          <w:szCs w:val="22"/>
        </w:rPr>
      </w:pPr>
      <w:r w:rsidRPr="00A40C6D">
        <w:rPr>
          <w:rFonts w:ascii="Calibri" w:hAnsi="Calibri"/>
          <w:i/>
          <w:szCs w:val="22"/>
        </w:rPr>
        <w:t>Indeed, ‘voice trading system’ as prescribed in 3.7.14 does include the full scope of one to one or many to many negotiation that may be carried out by other means such as screen based voice assisted execution, hybrid execution (where only one side of the trade is voice based), single price and weighted price auction execution (where the pre-trade price discovery process is conducted by voice), voice work up (which may stem from a fully electronic transaction),  instant messaging system based execution or email based executions (which may then be stored in a 'durable medium' as defined under MiFID record keeping requirements). All of these methods receive similar audit trail, post-trade processing and trade reporting treatment.</w:t>
      </w:r>
    </w:p>
    <w:p w:rsidR="00F2239B" w:rsidRPr="00A40C6D" w:rsidRDefault="00F2239B" w:rsidP="00F2239B">
      <w:pPr>
        <w:ind w:left="720"/>
        <w:rPr>
          <w:rFonts w:ascii="Calibri" w:hAnsi="Calibri"/>
          <w:i/>
          <w:szCs w:val="22"/>
        </w:rPr>
      </w:pPr>
      <w:r w:rsidRPr="00A40C6D">
        <w:rPr>
          <w:rFonts w:ascii="Calibri" w:hAnsi="Calibri"/>
          <w:i/>
          <w:szCs w:val="22"/>
        </w:rPr>
        <w:t xml:space="preserve">Therefore, the specific inclusion of this wider, integrated and more comprehensive scope is necessary to describe the current voice based arrangement, negotiation and execution operations of the wholesale multilateral market in which technologies that replicate and enhance voice execution, and which are able to store details on a durable medium, are widely employed on a global basis. </w:t>
      </w:r>
    </w:p>
    <w:p w:rsidR="00F2239B" w:rsidRPr="00A40C6D" w:rsidRDefault="00F2239B" w:rsidP="00F2239B">
      <w:pPr>
        <w:ind w:left="720"/>
        <w:rPr>
          <w:rFonts w:ascii="Calibri" w:hAnsi="Calibri"/>
          <w:i/>
          <w:szCs w:val="22"/>
        </w:rPr>
      </w:pPr>
      <w:r w:rsidRPr="00A40C6D">
        <w:rPr>
          <w:rFonts w:ascii="Calibri" w:hAnsi="Calibri"/>
          <w:i/>
          <w:szCs w:val="22"/>
        </w:rPr>
        <w:t>Accordingly, in the view of the WMBA, a ‘voice trading system’ definition should include a significantly more complete summary of hybrid execution methodologies for which there are multiple means of communications.</w:t>
      </w:r>
    </w:p>
    <w:p w:rsidR="00F2239B" w:rsidRPr="00A40C6D" w:rsidRDefault="00F2239B" w:rsidP="00F2239B">
      <w:pPr>
        <w:ind w:left="720"/>
        <w:rPr>
          <w:rFonts w:ascii="Calibri" w:hAnsi="Calibri"/>
          <w:i/>
          <w:szCs w:val="22"/>
        </w:rPr>
      </w:pPr>
      <w:r w:rsidRPr="00A40C6D">
        <w:rPr>
          <w:rFonts w:ascii="Calibri" w:hAnsi="Calibri"/>
          <w:i/>
          <w:szCs w:val="22"/>
        </w:rPr>
        <w:t xml:space="preserve">Further, we would note that as the organisation that represents multilateral markets, both globally and specifically in the US under Dodd-Frank, the notion of 'voice' is specifically and purposefully incorporated into the Act under the broad term 'by any means of interstate commerce'. Forms of electronic communication other than those involving the spoken word, such as instant messaging and email, should be included within the term.  </w:t>
      </w:r>
    </w:p>
    <w:p w:rsidR="00F2239B" w:rsidRPr="00A40C6D" w:rsidRDefault="00F2239B" w:rsidP="00F2239B">
      <w:pPr>
        <w:ind w:left="720"/>
        <w:rPr>
          <w:rFonts w:ascii="Calibri" w:hAnsi="Calibri"/>
          <w:i/>
          <w:szCs w:val="22"/>
        </w:rPr>
      </w:pPr>
      <w:r w:rsidRPr="00A40C6D">
        <w:rPr>
          <w:rFonts w:ascii="Calibri" w:hAnsi="Calibri"/>
          <w:i/>
          <w:szCs w:val="22"/>
        </w:rPr>
        <w:t>As a result, the WMBA would specifically request that the broad definition be expanded to “Any trading system where transactions between members are either arranged, negotiated or executed partially or completely by voice to include any medium that replicates voice procedures".</w:t>
      </w:r>
    </w:p>
    <w:p w:rsidR="00D0639C" w:rsidRDefault="00D0639C" w:rsidP="00F2239B">
      <w:pPr>
        <w:rPr>
          <w:rFonts w:ascii="Calibri" w:hAnsi="Calibri"/>
          <w:szCs w:val="22"/>
        </w:rPr>
      </w:pPr>
    </w:p>
    <w:p w:rsidR="00F2239B" w:rsidRPr="00A40C6D" w:rsidRDefault="00F2239B" w:rsidP="00F2239B">
      <w:pPr>
        <w:rPr>
          <w:rFonts w:ascii="Calibri" w:hAnsi="Calibri"/>
          <w:szCs w:val="22"/>
        </w:rPr>
      </w:pPr>
      <w:r w:rsidRPr="00A40C6D">
        <w:rPr>
          <w:rFonts w:ascii="Calibri" w:hAnsi="Calibri"/>
          <w:szCs w:val="22"/>
        </w:rPr>
        <w:t>Given consideration to the developments around the drafting of the RTS, however, we would commend a more succinct definition of the term voice which may usefully be set out in a Recital to the RTS as below.</w:t>
      </w:r>
    </w:p>
    <w:p w:rsidR="00F2239B" w:rsidRPr="00D0639C" w:rsidRDefault="00F2239B" w:rsidP="00D0639C">
      <w:pPr>
        <w:ind w:left="708"/>
        <w:rPr>
          <w:rFonts w:ascii="Calibri" w:hAnsi="Calibri"/>
          <w:i/>
          <w:szCs w:val="22"/>
        </w:rPr>
      </w:pPr>
      <w:r w:rsidRPr="00D0639C">
        <w:rPr>
          <w:rFonts w:ascii="Calibri" w:hAnsi="Calibri"/>
          <w:i/>
          <w:szCs w:val="22"/>
        </w:rPr>
        <w:t>“</w:t>
      </w:r>
      <w:r w:rsidRPr="00D0639C">
        <w:rPr>
          <w:rFonts w:ascii="Calibri" w:hAnsi="Calibri"/>
          <w:b/>
          <w:i/>
          <w:szCs w:val="22"/>
          <w:u w:val="single"/>
        </w:rPr>
        <w:t>Voice includes the spoken-word and any systems that replicate the spoken-word as socialised communications. These systems will be third party technologies and not those operated by the trading system itself. Voice systems therefore, will not include Consolidated Limit Order Books [CLOB], Request for Quote [RFQ], Continuous Auction Order Book Systems, Quote Driven Trading Systems, and Periodic Auction Trading System</w:t>
      </w:r>
      <w:r w:rsidRPr="00D0639C">
        <w:rPr>
          <w:rFonts w:ascii="Calibri" w:hAnsi="Calibri"/>
          <w:i/>
          <w:szCs w:val="22"/>
        </w:rPr>
        <w:t>”</w:t>
      </w:r>
    </w:p>
    <w:p w:rsidR="00D0639C" w:rsidRPr="00A40C6D" w:rsidRDefault="00D0639C" w:rsidP="00F2239B">
      <w:pPr>
        <w:rPr>
          <w:rFonts w:ascii="Calibri" w:hAnsi="Calibri"/>
          <w:szCs w:val="22"/>
        </w:rPr>
      </w:pPr>
    </w:p>
    <w:p w:rsidR="00F2239B" w:rsidRPr="00A40C6D" w:rsidRDefault="00F2239B" w:rsidP="00F2239B">
      <w:pPr>
        <w:rPr>
          <w:rFonts w:ascii="Calibri" w:hAnsi="Calibri"/>
          <w:b/>
          <w:szCs w:val="22"/>
          <w:u w:val="single"/>
        </w:rPr>
      </w:pPr>
      <w:r w:rsidRPr="00A40C6D">
        <w:rPr>
          <w:rFonts w:ascii="Calibri" w:hAnsi="Calibri"/>
          <w:b/>
          <w:szCs w:val="22"/>
          <w:u w:val="single"/>
        </w:rPr>
        <w:t>Hybrid trading system</w:t>
      </w:r>
    </w:p>
    <w:p w:rsidR="00F2239B" w:rsidRPr="00A40C6D" w:rsidRDefault="00F2239B" w:rsidP="00F2239B">
      <w:pPr>
        <w:rPr>
          <w:rFonts w:ascii="Calibri" w:hAnsi="Calibri"/>
          <w:szCs w:val="22"/>
        </w:rPr>
      </w:pPr>
      <w:r w:rsidRPr="00A40C6D">
        <w:rPr>
          <w:rFonts w:ascii="Calibri" w:hAnsi="Calibri"/>
          <w:szCs w:val="22"/>
        </w:rPr>
        <w:t xml:space="preserve">Any differentiation of 'Voice Systems' versus 'Hybrid Systems' is not simply workable. Rather, WMBA view 'Hybrid Systems' as the interactions between different systems and may be particularly important in the negotiation and assemblage of packaged products. The WMBA underline that MIFID level 1 text itself does not define the term 'hybrid' beyond reference in Paragraph 8. </w:t>
      </w:r>
    </w:p>
    <w:p w:rsidR="00F2239B" w:rsidRPr="00A40C6D" w:rsidRDefault="00F2239B" w:rsidP="00F2239B">
      <w:pPr>
        <w:rPr>
          <w:rFonts w:ascii="Calibri" w:hAnsi="Calibri"/>
          <w:szCs w:val="22"/>
        </w:rPr>
      </w:pPr>
      <w:r w:rsidRPr="00A40C6D">
        <w:rPr>
          <w:rFonts w:ascii="Calibri" w:hAnsi="Calibri"/>
          <w:szCs w:val="22"/>
        </w:rPr>
        <w:t>We note that such a broader interpretation would be more consistent with Level 1 which provides for the requirements to be calibrated for different types of trading systems.  For example, Recital 14 of MiFIR provides that “timely pre-trade and post-trade transparency requirements taking into account the different characteristics and market structures of specific types of financial instruments other than shares should thus be introduced and calibrated for different types of trading systems…”</w:t>
      </w:r>
    </w:p>
    <w:p w:rsidR="00F2239B" w:rsidRPr="00A40C6D" w:rsidRDefault="00F2239B" w:rsidP="00F2239B">
      <w:pPr>
        <w:rPr>
          <w:rFonts w:ascii="Calibri" w:hAnsi="Calibri"/>
          <w:szCs w:val="22"/>
        </w:rPr>
      </w:pPr>
      <w:r w:rsidRPr="00A40C6D">
        <w:rPr>
          <w:rFonts w:ascii="Calibri" w:hAnsi="Calibri"/>
          <w:szCs w:val="22"/>
        </w:rPr>
        <w:t>Whilst the WMBA members conjointly operate the majority of the global non-equity trading systems, we simply do not recognise that any of the suggested information should be made public. We would recommend a simple reversion to the existing level 1 text which has proved perfectly adequate.</w:t>
      </w:r>
    </w:p>
    <w:p w:rsidR="00F2239B" w:rsidRPr="00A40C6D" w:rsidRDefault="00F2239B" w:rsidP="00F2239B">
      <w:pPr>
        <w:rPr>
          <w:rFonts w:ascii="Calibri" w:hAnsi="Calibri"/>
          <w:szCs w:val="22"/>
        </w:rPr>
      </w:pPr>
      <w:r w:rsidRPr="00A40C6D">
        <w:rPr>
          <w:rFonts w:ascii="Calibri" w:hAnsi="Calibri"/>
          <w:szCs w:val="22"/>
        </w:rPr>
        <w:t xml:space="preserve">Whilst the WMBA concur with ESMA that the definition of a Hybrid trading system is necessarily residual in nature, we disagree that the system itself should be defined as discreet from the other designated systems and would suggest the leaner definition stated below. </w:t>
      </w:r>
    </w:p>
    <w:p w:rsidR="00F2239B" w:rsidRDefault="00F2239B" w:rsidP="00F2239B">
      <w:pPr>
        <w:rPr>
          <w:rFonts w:ascii="Calibri" w:hAnsi="Calibri"/>
          <w:szCs w:val="22"/>
        </w:rPr>
      </w:pPr>
      <w:r w:rsidRPr="00A40C6D">
        <w:rPr>
          <w:rFonts w:ascii="Calibri" w:hAnsi="Calibri"/>
          <w:szCs w:val="22"/>
        </w:rPr>
        <w:t>“'A Hybrid Trading Systems is the interaction between other different trading systems”.</w:t>
      </w:r>
    </w:p>
    <w:p w:rsidR="00D0639C" w:rsidRPr="00A40C6D" w:rsidRDefault="00D0639C" w:rsidP="00F2239B">
      <w:pPr>
        <w:rPr>
          <w:rFonts w:ascii="Calibri" w:hAnsi="Calibri"/>
          <w:szCs w:val="22"/>
        </w:rPr>
      </w:pPr>
    </w:p>
    <w:p w:rsidR="00F2239B" w:rsidRPr="00A40C6D" w:rsidRDefault="00F2239B" w:rsidP="00F2239B">
      <w:pPr>
        <w:rPr>
          <w:rFonts w:ascii="Calibri" w:hAnsi="Calibri"/>
          <w:b/>
          <w:szCs w:val="22"/>
          <w:u w:val="single"/>
        </w:rPr>
      </w:pPr>
      <w:r w:rsidRPr="00A40C6D">
        <w:rPr>
          <w:rFonts w:ascii="Calibri" w:hAnsi="Calibri"/>
          <w:b/>
          <w:szCs w:val="22"/>
          <w:u w:val="single"/>
        </w:rPr>
        <w:t>Request-For-Quote definition (RFQ) trading system</w:t>
      </w:r>
    </w:p>
    <w:p w:rsidR="00F2239B" w:rsidRPr="00A40C6D" w:rsidRDefault="00F2239B" w:rsidP="00F2239B">
      <w:pPr>
        <w:rPr>
          <w:rFonts w:ascii="Calibri" w:hAnsi="Calibri"/>
          <w:szCs w:val="22"/>
        </w:rPr>
      </w:pPr>
      <w:r w:rsidRPr="00A40C6D">
        <w:rPr>
          <w:rFonts w:ascii="Calibri" w:hAnsi="Calibri"/>
          <w:szCs w:val="22"/>
        </w:rPr>
        <w:t xml:space="preserve">The WMBA would underline that the usage, and therefore the definitions of Request-For-Quote (RFQ) trading systems, are markedly or entirely different in a multilateral system of a MIFID venue to that in a dealer to client relationship in a Systematic Internaliser [SI].  We therefore clearly understand that the changes suggested from the summer 2014 DP into this CP are orientated towards the SI system and unworkable for MIFID venues. </w:t>
      </w:r>
    </w:p>
    <w:p w:rsidR="00F2239B" w:rsidRPr="00A40C6D" w:rsidRDefault="00F2239B" w:rsidP="00F2239B">
      <w:pPr>
        <w:rPr>
          <w:rFonts w:ascii="Calibri" w:hAnsi="Calibri"/>
          <w:szCs w:val="22"/>
        </w:rPr>
      </w:pPr>
      <w:r w:rsidRPr="00A40C6D">
        <w:rPr>
          <w:rFonts w:ascii="Calibri" w:hAnsi="Calibri"/>
          <w:szCs w:val="22"/>
        </w:rPr>
        <w:t xml:space="preserve">ESMA has proposed two significant changes to its previous RFQ definition in its May 2014 Discussion Paper: (i) changing “provided” to “published”; and (ii) adding an exclusivity of execution feature.  </w:t>
      </w:r>
    </w:p>
    <w:p w:rsidR="00F2239B" w:rsidRPr="00A40C6D" w:rsidRDefault="00F2239B" w:rsidP="00F2239B">
      <w:pPr>
        <w:rPr>
          <w:rFonts w:ascii="Calibri" w:hAnsi="Calibri"/>
          <w:szCs w:val="22"/>
        </w:rPr>
      </w:pPr>
      <w:r w:rsidRPr="00A40C6D">
        <w:rPr>
          <w:rFonts w:ascii="Calibri" w:hAnsi="Calibri"/>
          <w:szCs w:val="22"/>
        </w:rPr>
        <w:t>For the WMBA, operating multilateral MTFs and OTFs, the RFQ should effectively represent a 'risk free cross'. The idea put forward here by ESMA for wider public live inspection of the negotiation to enter such a cross is simply unworkable for MIFID venues who are open to the entire wholesale market place and normally engage in volume discovery and working-up trade sizes and participants. RFQ systems as operated by IDBs around the world and, most particularly, in acting as SEFs under Dodd Frank which involves the publication of quotes rather than provision of quotes.</w:t>
      </w:r>
    </w:p>
    <w:p w:rsidR="00F2239B" w:rsidRDefault="00F2239B" w:rsidP="00F2239B">
      <w:pPr>
        <w:rPr>
          <w:rFonts w:ascii="Calibri" w:hAnsi="Calibri"/>
          <w:szCs w:val="22"/>
        </w:rPr>
      </w:pPr>
      <w:r w:rsidRPr="00A40C6D">
        <w:rPr>
          <w:rFonts w:ascii="Calibri" w:hAnsi="Calibri"/>
          <w:szCs w:val="22"/>
        </w:rPr>
        <w:t>For these reasons, the WMBA would strongly concur with the widespread view to replace the word “published” with “provided”.  The WMBA would underline that clearly the definition of RFQ system should describe the trading system and not prescribe what should be published.</w:t>
      </w:r>
    </w:p>
    <w:p w:rsidR="00D0639C" w:rsidRPr="00A40C6D" w:rsidRDefault="00D0639C" w:rsidP="00F2239B">
      <w:pPr>
        <w:rPr>
          <w:rFonts w:ascii="Calibri" w:hAnsi="Calibri"/>
          <w:szCs w:val="22"/>
        </w:rPr>
      </w:pPr>
    </w:p>
    <w:p w:rsidR="00F2239B" w:rsidRPr="00A40C6D" w:rsidRDefault="00F2239B" w:rsidP="00F2239B">
      <w:pPr>
        <w:rPr>
          <w:rFonts w:ascii="Calibri" w:hAnsi="Calibri"/>
          <w:b/>
          <w:szCs w:val="22"/>
          <w:u w:val="single"/>
        </w:rPr>
      </w:pPr>
      <w:r w:rsidRPr="00A40C6D">
        <w:rPr>
          <w:rFonts w:ascii="Calibri" w:hAnsi="Calibri"/>
          <w:b/>
          <w:szCs w:val="22"/>
          <w:u w:val="single"/>
        </w:rPr>
        <w:t>2. Definitions of Package Transactions</w:t>
      </w:r>
    </w:p>
    <w:p w:rsidR="00F2239B" w:rsidRDefault="00F2239B" w:rsidP="00F2239B">
      <w:pPr>
        <w:rPr>
          <w:rFonts w:ascii="Calibri" w:hAnsi="Calibri"/>
          <w:szCs w:val="22"/>
        </w:rPr>
      </w:pPr>
      <w:r w:rsidRPr="00A40C6D">
        <w:rPr>
          <w:rFonts w:ascii="Calibri" w:hAnsi="Calibri"/>
          <w:szCs w:val="22"/>
        </w:rPr>
        <w:t>The WMBA underlines that wholesale non-equity markets due to the large notional trade sizes, the diversity of instruments, episodic liquidity and the widespread use of derivatives in those markets... Therefore, we emphasise that the treatment of packaged transactions is very important for MIFID2 and state our concerns here that they have the appearance of being somewhat of an afterthought in the timelines.</w:t>
      </w:r>
    </w:p>
    <w:p w:rsidR="00D0639C" w:rsidRPr="00A40C6D" w:rsidRDefault="00D0639C" w:rsidP="00F2239B">
      <w:pPr>
        <w:rPr>
          <w:rFonts w:ascii="Calibri" w:hAnsi="Calibri"/>
          <w:szCs w:val="22"/>
        </w:rPr>
      </w:pPr>
    </w:p>
    <w:p w:rsidR="00F2239B" w:rsidRPr="00A40C6D" w:rsidRDefault="00F2239B" w:rsidP="00F2239B">
      <w:pPr>
        <w:rPr>
          <w:rFonts w:ascii="Calibri" w:hAnsi="Calibri"/>
          <w:szCs w:val="22"/>
        </w:rPr>
      </w:pPr>
      <w:r w:rsidRPr="00A40C6D">
        <w:rPr>
          <w:rFonts w:ascii="Calibri" w:hAnsi="Calibri"/>
          <w:szCs w:val="22"/>
        </w:rPr>
        <w:t>Since neither the MiFID II Consultation Paper nor the RTS address packaged transactions work, the WMBA recommends that ESMA specifically consider their treatment as follows:</w:t>
      </w:r>
    </w:p>
    <w:p w:rsidR="00F2239B" w:rsidRPr="00D0639C" w:rsidRDefault="00F2239B" w:rsidP="007D55BD">
      <w:pPr>
        <w:pStyle w:val="ListParagraph"/>
        <w:numPr>
          <w:ilvl w:val="0"/>
          <w:numId w:val="20"/>
        </w:numPr>
      </w:pPr>
      <w:r w:rsidRPr="00D0639C">
        <w:t xml:space="preserve">When assessing liquidity criteria for a packaged transaction, such criteria should be applied to the most risky or least liquid component with the implication that where a packaged transaction contains at least one illiquid component the entire packaged transaction will be deemed illiquid. </w:t>
      </w:r>
    </w:p>
    <w:p w:rsidR="00F2239B" w:rsidRPr="00D0639C" w:rsidRDefault="00F2239B" w:rsidP="007D55BD">
      <w:pPr>
        <w:pStyle w:val="ListParagraph"/>
        <w:numPr>
          <w:ilvl w:val="0"/>
          <w:numId w:val="20"/>
        </w:numPr>
      </w:pPr>
      <w:r w:rsidRPr="00D0639C">
        <w:t xml:space="preserve">Packaged transactions should be considered as assisting end users to reduce transaction costs, i.e., a single packaged transaction is less expensive to execute than multiple transactions.). </w:t>
      </w:r>
    </w:p>
    <w:p w:rsidR="00F2239B" w:rsidRPr="00D0639C" w:rsidRDefault="00F2239B" w:rsidP="007D55BD">
      <w:pPr>
        <w:pStyle w:val="ListParagraph"/>
        <w:numPr>
          <w:ilvl w:val="0"/>
          <w:numId w:val="20"/>
        </w:numPr>
      </w:pPr>
      <w:r w:rsidRPr="00D0639C">
        <w:t>Packaged transactions should be considered to contribute to managing execution risk, i.e., execution of a single packaged transaction alleviates timing and other mechanical/process risks associated with the execution of multiple transactions.).</w:t>
      </w:r>
    </w:p>
    <w:p w:rsidR="00F2239B" w:rsidRPr="00D0639C" w:rsidRDefault="00F2239B" w:rsidP="00F2239B">
      <w:pPr>
        <w:rPr>
          <w:rFonts w:ascii="Calibri" w:hAnsi="Calibri"/>
          <w:szCs w:val="22"/>
        </w:rPr>
      </w:pPr>
      <w:r w:rsidRPr="00D0639C">
        <w:rPr>
          <w:rFonts w:ascii="Calibri" w:hAnsi="Calibri"/>
          <w:szCs w:val="22"/>
        </w:rPr>
        <w:t>Trading venues should be afforded the scope and flexibility to classify packaged transactions in accordance with relevant factors including but not limited to:</w:t>
      </w:r>
    </w:p>
    <w:p w:rsidR="00F2239B" w:rsidRPr="00D0639C" w:rsidRDefault="00F2239B" w:rsidP="007D55BD">
      <w:pPr>
        <w:pStyle w:val="ListParagraph"/>
        <w:numPr>
          <w:ilvl w:val="0"/>
          <w:numId w:val="21"/>
        </w:numPr>
      </w:pPr>
      <w:r w:rsidRPr="00D0639C">
        <w:t>Whether or not the packaged transaction is made up of a combination of asset classes;</w:t>
      </w:r>
    </w:p>
    <w:p w:rsidR="00F2239B" w:rsidRPr="00D0639C" w:rsidRDefault="00F2239B" w:rsidP="007D55BD">
      <w:pPr>
        <w:pStyle w:val="ListParagraph"/>
        <w:numPr>
          <w:ilvl w:val="0"/>
          <w:numId w:val="21"/>
        </w:numPr>
      </w:pPr>
      <w:r w:rsidRPr="00D0639C">
        <w:t>Whether some components of a packaged transaction are traded on a trading venue; but others are not.</w:t>
      </w:r>
    </w:p>
    <w:p w:rsidR="00F2239B" w:rsidRPr="00D0639C" w:rsidRDefault="00F2239B" w:rsidP="007D55BD">
      <w:pPr>
        <w:pStyle w:val="ListParagraph"/>
        <w:numPr>
          <w:ilvl w:val="0"/>
          <w:numId w:val="21"/>
        </w:numPr>
      </w:pPr>
      <w:r w:rsidRPr="00D0639C">
        <w:t>Whether certain components of a packaged transaction are deemed liquid or illiquid; but others are not.</w:t>
      </w:r>
    </w:p>
    <w:p w:rsidR="00F2239B" w:rsidRPr="00D0639C" w:rsidRDefault="00F2239B" w:rsidP="007D55BD">
      <w:pPr>
        <w:pStyle w:val="ListParagraph"/>
        <w:numPr>
          <w:ilvl w:val="0"/>
          <w:numId w:val="21"/>
        </w:numPr>
      </w:pPr>
      <w:r w:rsidRPr="00D0639C">
        <w:t xml:space="preserve">Whether some components of a packaged transaction fall above the relevant LIS or SSTI thresholds; but others are not. </w:t>
      </w:r>
    </w:p>
    <w:p w:rsidR="00F2239B" w:rsidRPr="00D0639C" w:rsidRDefault="00F2239B" w:rsidP="007D55BD">
      <w:pPr>
        <w:pStyle w:val="ListParagraph"/>
        <w:numPr>
          <w:ilvl w:val="0"/>
          <w:numId w:val="21"/>
        </w:numPr>
      </w:pPr>
      <w:r w:rsidRPr="00D0639C">
        <w:t>Whether some components of a packaged transaction assessed individually fall below the relevant LIS or SSTI but when assessed together constitute a single transaction falling above the LIS or SSTI; and.</w:t>
      </w:r>
    </w:p>
    <w:p w:rsidR="00F2239B" w:rsidRPr="00D0639C" w:rsidRDefault="00F2239B" w:rsidP="007D55BD">
      <w:pPr>
        <w:pStyle w:val="ListParagraph"/>
        <w:numPr>
          <w:ilvl w:val="0"/>
          <w:numId w:val="21"/>
        </w:numPr>
      </w:pPr>
      <w:r w:rsidRPr="00D0639C">
        <w:t>Whether the packaged transaction contains bonds or derivatives which trade on a different trading venue to the other components, such as inter-dealer brokered trades.</w:t>
      </w:r>
    </w:p>
    <w:p w:rsidR="00F2239B" w:rsidRPr="00A40C6D" w:rsidRDefault="00F2239B" w:rsidP="00F2239B">
      <w:pPr>
        <w:rPr>
          <w:rFonts w:ascii="Calibri" w:hAnsi="Calibri"/>
          <w:b/>
          <w:i/>
          <w:szCs w:val="22"/>
        </w:rPr>
      </w:pPr>
      <w:r w:rsidRPr="00A40C6D">
        <w:rPr>
          <w:rFonts w:ascii="Calibri" w:hAnsi="Calibri"/>
          <w:szCs w:val="22"/>
        </w:rPr>
        <w:t xml:space="preserve">The WMBA would therefore recommend that a ‘packaged transaction’ be defined as: </w:t>
      </w:r>
      <w:r w:rsidRPr="00A40C6D">
        <w:rPr>
          <w:rFonts w:ascii="Calibri" w:hAnsi="Calibri"/>
          <w:b/>
          <w:i/>
          <w:szCs w:val="22"/>
        </w:rPr>
        <w:t>A transaction comprising two or more components, each of which is either a financial instrument, a payment or a securities financing transaction where:</w:t>
      </w:r>
    </w:p>
    <w:p w:rsidR="00F2239B" w:rsidRPr="00D0639C" w:rsidRDefault="00F2239B" w:rsidP="007D55BD">
      <w:pPr>
        <w:pStyle w:val="ListParagraph"/>
        <w:numPr>
          <w:ilvl w:val="0"/>
          <w:numId w:val="19"/>
        </w:numPr>
      </w:pPr>
      <w:r w:rsidRPr="00D0639C">
        <w:t>The components of a package must be negotiable on a single venue in order that the package be considered to be ‘traded on a trading venue’. Evidently bond versus futures basis trades on an IDB are prime example of such.</w:t>
      </w:r>
    </w:p>
    <w:p w:rsidR="00F2239B" w:rsidRPr="00D0639C" w:rsidRDefault="00F2239B" w:rsidP="007D55BD">
      <w:pPr>
        <w:pStyle w:val="ListParagraph"/>
        <w:numPr>
          <w:ilvl w:val="0"/>
          <w:numId w:val="19"/>
        </w:numPr>
      </w:pPr>
      <w:r w:rsidRPr="00D0639C">
        <w:t>The components are priced as a ‘package’ with simultaneous execution of all such components.</w:t>
      </w:r>
    </w:p>
    <w:p w:rsidR="00F2239B" w:rsidRPr="00D0639C" w:rsidRDefault="00F2239B" w:rsidP="007D55BD">
      <w:pPr>
        <w:pStyle w:val="ListParagraph"/>
        <w:numPr>
          <w:ilvl w:val="0"/>
          <w:numId w:val="19"/>
        </w:numPr>
      </w:pPr>
      <w:r w:rsidRPr="00D0639C">
        <w:t>The execution of each component is contingent on the execution of the other components.</w:t>
      </w:r>
    </w:p>
    <w:p w:rsidR="00F2239B" w:rsidRPr="00D0639C" w:rsidRDefault="00F2239B" w:rsidP="007D55BD">
      <w:pPr>
        <w:pStyle w:val="ListParagraph"/>
        <w:numPr>
          <w:ilvl w:val="0"/>
          <w:numId w:val="19"/>
        </w:numPr>
      </w:pPr>
      <w:r w:rsidRPr="00D0639C">
        <w:t>Each component must be able to stand alone and must be able to bear economic risk.</w:t>
      </w:r>
    </w:p>
    <w:p w:rsidR="00F2239B" w:rsidRPr="00A40C6D" w:rsidRDefault="00F2239B" w:rsidP="00F2239B">
      <w:pPr>
        <w:rPr>
          <w:rFonts w:ascii="Calibri" w:hAnsi="Calibri"/>
          <w:szCs w:val="22"/>
        </w:rPr>
      </w:pPr>
      <w:r w:rsidRPr="00A40C6D">
        <w:rPr>
          <w:rFonts w:ascii="Calibri" w:hAnsi="Calibri"/>
          <w:szCs w:val="22"/>
        </w:rPr>
        <w:t>The WMBA recommends that an additional flag be reported on trades that are components of packaged transactions and that such flag be added to the list of flags set out in draft RTS 9.</w:t>
      </w:r>
    </w:p>
    <w:p w:rsidR="00F2239B" w:rsidRPr="00A40C6D" w:rsidRDefault="00F2239B" w:rsidP="00F2239B">
      <w:pPr>
        <w:rPr>
          <w:rFonts w:ascii="Calibri" w:hAnsi="Calibri"/>
          <w:b/>
          <w:szCs w:val="22"/>
          <w:u w:val="single"/>
        </w:rPr>
      </w:pPr>
      <w:r w:rsidRPr="00A40C6D">
        <w:rPr>
          <w:rFonts w:ascii="Calibri" w:hAnsi="Calibri"/>
          <w:b/>
          <w:szCs w:val="22"/>
          <w:u w:val="single"/>
        </w:rPr>
        <w:t>3. Pre-Trade Information to be Made Public</w:t>
      </w:r>
    </w:p>
    <w:p w:rsidR="00F2239B" w:rsidRPr="00A40C6D" w:rsidRDefault="00F2239B" w:rsidP="00F2239B">
      <w:pPr>
        <w:rPr>
          <w:rFonts w:ascii="Calibri" w:hAnsi="Calibri"/>
          <w:szCs w:val="22"/>
        </w:rPr>
      </w:pPr>
      <w:r w:rsidRPr="00A40C6D">
        <w:rPr>
          <w:rFonts w:ascii="Calibri" w:hAnsi="Calibri"/>
          <w:szCs w:val="22"/>
        </w:rPr>
        <w:t>Article 8(2) of MiFIR provides that the transparency requirements should be calibrated for the different types of trading systems.  The clear intention of MiFIR is to ensure that pre trade transparency is introduced in a manner that is appropriate for both the trading system and its participants. By introducing a pre-trade regime for trades under either the LiS or the SSTI that requires every Actionable-IOI, bid or offer, together with underlying to be published or supposedly standard volume, as ESMA’s proposals could be interpreted, could easily undermine and make unworkable both those markets caught with inappropriate LIS parameters and those dependent upon RFQ within their trading systems. We note that ESMA has not provided any explanation as to how it has fulfilled its mandate under Article 8(2), such that the integrity of the sub LIS/SSTI trading systems are preserved.</w:t>
      </w:r>
    </w:p>
    <w:p w:rsidR="00F2239B" w:rsidRPr="00A40C6D" w:rsidRDefault="00F2239B" w:rsidP="00F2239B">
      <w:pPr>
        <w:rPr>
          <w:rFonts w:ascii="Calibri" w:hAnsi="Calibri"/>
          <w:szCs w:val="22"/>
        </w:rPr>
      </w:pPr>
      <w:r w:rsidRPr="00A40C6D">
        <w:rPr>
          <w:rFonts w:ascii="Calibri" w:hAnsi="Calibri"/>
          <w:szCs w:val="22"/>
        </w:rPr>
        <w:t>Within level 1, Article 8 states that “Market operators and investment firms operating a trading venue shall make public current bid and offer prices and the depth of trading interests at those prices”.  We note that it does not state that every bid and offer and attaching volume should be published.  Notably, the disclosure requirements for continuous auction order book trading systems, which highly liquid markets use, require less granularity than the proposed requirements for RFQ and voice trading which, as ESMA has recognised, attracts markets which have insufficient trading interests to attract continuous quoting.  Specifically, order book trading systems need to disclose the five best bid and offers and RFQ systems need to disclose the bid and offers and attaching volumes submitted by each responding entity.  A more onerous disclosure regime on RFQ systems is not appropriate and is not consistent with Article 8(2).</w:t>
      </w:r>
    </w:p>
    <w:p w:rsidR="00F2239B" w:rsidRPr="00A40C6D" w:rsidRDefault="00F2239B" w:rsidP="00F2239B">
      <w:pPr>
        <w:rPr>
          <w:rFonts w:ascii="Calibri" w:hAnsi="Calibri"/>
          <w:szCs w:val="22"/>
        </w:rPr>
      </w:pPr>
      <w:r w:rsidRPr="00A40C6D">
        <w:rPr>
          <w:rFonts w:ascii="Calibri" w:hAnsi="Calibri"/>
          <w:szCs w:val="22"/>
        </w:rPr>
        <w:t xml:space="preserve">The WMBA’s preferred solution to mitigate all the above risks would be to require venues to provide indicative prices of the specific instrument for voice systems below the SSTI/LIS and for instruments derived from hybrid venues. In this sense, we note the hybridity may more simply apply to the instrument than to the venue which must in such a case be conjoined. Venue provision of indicative prices would also alleviate the problems and conflicts pertaining to RFQ systems on multilateral OTFs and MTFs rather than the ESMA proposed quasi-private/quasi-public price-by-price information.  </w:t>
      </w:r>
    </w:p>
    <w:p w:rsidR="00F2239B" w:rsidRPr="00A40C6D" w:rsidRDefault="00F2239B" w:rsidP="00F2239B">
      <w:pPr>
        <w:rPr>
          <w:rFonts w:ascii="Calibri" w:hAnsi="Calibri"/>
          <w:szCs w:val="22"/>
        </w:rPr>
      </w:pPr>
      <w:r w:rsidRPr="00A40C6D">
        <w:rPr>
          <w:rFonts w:ascii="Calibri" w:hAnsi="Calibri"/>
          <w:szCs w:val="22"/>
        </w:rPr>
        <w:t xml:space="preserve">The WMBA firmly disagrees with ESMA’s proposal in paragraph 34 on page 213 of the Consultation Paper that the SSTI threshold be the same for pre- and post-trade transparency. The WMBA wrote extensively in the July 2014 Discussion Paper that the point of the SSTI was to protect market participants from being penalised for making prices and the capital commitment to liquidity. We therefore proposed that the first and foremost concern was not to link the SSTI to the LiS in a top down matrix, but rather to understand its purpose in the level 1 text and build an IBIA lead framework bottom up. This, in our opinion, is simply evident in the name of the waiver – “The Size Specific to the Instrument”. </w:t>
      </w:r>
    </w:p>
    <w:p w:rsidR="00F2239B" w:rsidRPr="00A40C6D" w:rsidRDefault="00F2239B" w:rsidP="00F2239B">
      <w:pPr>
        <w:rPr>
          <w:rFonts w:ascii="Calibri" w:hAnsi="Calibri"/>
          <w:szCs w:val="22"/>
        </w:rPr>
      </w:pPr>
      <w:r w:rsidRPr="00A40C6D">
        <w:rPr>
          <w:rFonts w:ascii="Calibri" w:hAnsi="Calibri"/>
          <w:szCs w:val="22"/>
        </w:rPr>
        <w:t xml:space="preserve">In operating most of the prospective OTFs, and with its members purely engaged in the process to gathering and building market liquidity across all non-equity products and instruments around the globe, the WMBA may therefore be in an appropriate position to suggest the better routes to a workable liquidity and transparency regime.  Evidently, however, ESMA ignored these suggestions, presumably in the interests of simplicity and due to the timeframe pertaining. We consequently have a proposed SSTI regime solely derivative from the LiS quantum. It should be recognised that this outcome will reduce the ability of the SSTI waivers to make amends for the false outcomes from the liquidity framework, which is also a stated goal now for ESMA. </w:t>
      </w:r>
    </w:p>
    <w:p w:rsidR="00F2239B" w:rsidRPr="00A40C6D" w:rsidRDefault="00F2239B" w:rsidP="00F2239B">
      <w:pPr>
        <w:rPr>
          <w:rFonts w:ascii="Calibri" w:hAnsi="Calibri"/>
          <w:szCs w:val="22"/>
        </w:rPr>
      </w:pPr>
      <w:r w:rsidRPr="00A40C6D">
        <w:rPr>
          <w:rFonts w:ascii="Calibri" w:hAnsi="Calibri"/>
          <w:szCs w:val="22"/>
        </w:rPr>
        <w:t xml:space="preserve">To elaborate this case, the WMBA has made a gap analysis from this top down approach to waivers to a bottom up impact. One would suggest the hypothesis to be tested here is that the LiS should be in similar to, or at least within an order of magnitude, to commonly accepted standard market size in the global wholesale markets. The SSTI should be under this measure. </w:t>
      </w:r>
    </w:p>
    <w:p w:rsidR="00F2239B" w:rsidRPr="00A40C6D" w:rsidRDefault="00F2239B" w:rsidP="00F2239B">
      <w:pPr>
        <w:rPr>
          <w:rFonts w:ascii="Calibri" w:hAnsi="Calibri"/>
          <w:szCs w:val="22"/>
        </w:rPr>
      </w:pPr>
      <w:r w:rsidRPr="00A40C6D">
        <w:rPr>
          <w:rFonts w:ascii="Calibri" w:hAnsi="Calibri"/>
          <w:szCs w:val="22"/>
        </w:rPr>
        <w:t>We have compared the standard size of each derivative, forward and bond instrument in a sample control group across 30 instruments, as commonly brokered across the our membership, to the LiS and the SSTI derived from the CP proposals. There are no cases where the suggested LiS/SSTI are lower than standard market size. Many instruments appear workable if only the SSTI is compared. There are, however, notable outliers where standard market size falls far below both the LiS and the SSTI. These are the truly ‘false positives’ and this is particularly relevant for inflation swaps, swaptions (likely due to the lack of differentiation between sub-categories), € denominated OIS, and float-to-float GBP swaps. The WMBA would be happy to discuss this framework and provide more information if ESMA or NCAs would deem useful at this stage.</w:t>
      </w:r>
    </w:p>
    <w:p w:rsidR="00F2239B" w:rsidRPr="00A40C6D" w:rsidRDefault="00F2239B" w:rsidP="00F2239B">
      <w:pPr>
        <w:rPr>
          <w:rFonts w:ascii="Calibri" w:hAnsi="Calibri"/>
          <w:szCs w:val="22"/>
        </w:rPr>
      </w:pPr>
      <w:r w:rsidRPr="00A40C6D">
        <w:rPr>
          <w:rFonts w:ascii="Calibri" w:hAnsi="Calibri"/>
          <w:szCs w:val="22"/>
        </w:rPr>
        <w:t>To mitigate the deleterious impact of false positives, the WMBA would like to recommend that SSTI/LIS ratio for pre-trade transparency purposes is segregated from that in place for the post-trade transparency. This segregation of waiver parameters is currently the case for equity markets under existing MiFID1. The pre-trade SSTI should be reduced, with either being set at 10% of LIS or at the median trade size for the relevant sub-class. If ESMA’s intention is to use LIS or SSTI thresholds to compensate for an illiquid instrument being incorrectly classified as liquid, then the relevant LIS and/or SSTI thresholds need to be set at a sufficiently low level to satisfy this intention. ESMA’s proposed calibration of LIS and SSTI levels will not allow this important safeguard in the framework to function as anticipated.</w:t>
      </w:r>
    </w:p>
    <w:p w:rsidR="00F2239B" w:rsidRPr="00A40C6D" w:rsidRDefault="00F2239B" w:rsidP="00F2239B">
      <w:pPr>
        <w:rPr>
          <w:rFonts w:ascii="Calibri" w:hAnsi="Calibri"/>
          <w:szCs w:val="22"/>
        </w:rPr>
      </w:pPr>
      <w:r w:rsidRPr="00A40C6D">
        <w:rPr>
          <w:rFonts w:ascii="Calibri" w:hAnsi="Calibri"/>
          <w:szCs w:val="22"/>
        </w:rPr>
        <w:t xml:space="preserve">The WMBA also firmly disagrees with the exclusion of “Matched Principal” trades from both pre-trade and post-trade transparency SSTI waivers. We raised this issue at the Paris open hearing to the broad support of all market participants and emphasise that the addition of this phrase into the RTS goes not only beyond the mandate of the MiFID level 1, but positively acts to undermine the legislation. This is ultra vires of ESMA here. WMBA note that the SSTI waiver is to protect the capital commitment of participants in providing liquidity however, ESMA appear to fail to understand the trilateral nature of Matched Principal trades where the venue sits between the two counterparties. Where the venue acts to arrange a trade between counterparties, as in the OTF model, it clearly and simply requires the same waiver treatment applying to the counterparties. Therefore, as drafted, the SSTI waiver could be applied only to half of a trade; that is to Counterparty1&lt;&gt;Venue and not to Venue&lt;&gt;Counterparty2. This would directly compromise Counterparty1. </w:t>
      </w:r>
    </w:p>
    <w:p w:rsidR="00F2239B" w:rsidRPr="00953847" w:rsidRDefault="00F2239B" w:rsidP="00F2239B">
      <w:r w:rsidRPr="00A40C6D">
        <w:rPr>
          <w:rFonts w:ascii="Calibri" w:hAnsi="Calibri"/>
          <w:szCs w:val="22"/>
        </w:rPr>
        <w:t>The WMBA therefore suggests a simple drafting amendment to Article 15. 1(a) with the addition of the words, ‘</w:t>
      </w:r>
      <w:r w:rsidRPr="00A40C6D">
        <w:rPr>
          <w:rFonts w:ascii="Calibri" w:hAnsi="Calibri"/>
          <w:i/>
          <w:szCs w:val="22"/>
        </w:rPr>
        <w:t>except when traded on an OTF’</w:t>
      </w:r>
      <w:r w:rsidRPr="00A40C6D">
        <w:rPr>
          <w:rFonts w:ascii="Calibri" w:hAnsi="Calibri"/>
          <w:szCs w:val="22"/>
        </w:rPr>
        <w:t>.</w:t>
      </w:r>
    </w:p>
    <w:permEnd w:id="194533398"/>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B447A" w:rsidRPr="00A40C6D" w:rsidRDefault="005B447A" w:rsidP="00EC2C93">
      <w:pPr>
        <w:keepNext/>
        <w:rPr>
          <w:rFonts w:ascii="Calibri" w:hAnsi="Calibri"/>
          <w:szCs w:val="22"/>
        </w:rPr>
      </w:pPr>
      <w:permStart w:id="1258357991" w:edGrp="everyone"/>
      <w:r w:rsidRPr="00A40C6D">
        <w:rPr>
          <w:rFonts w:ascii="Calibri" w:hAnsi="Calibri"/>
          <w:szCs w:val="22"/>
        </w:rPr>
        <w:t>Yes, the WMBA does agree.</w:t>
      </w:r>
    </w:p>
    <w:permEnd w:id="1258357991"/>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B447A" w:rsidRPr="00A40C6D" w:rsidRDefault="005B447A" w:rsidP="005B447A">
      <w:pPr>
        <w:rPr>
          <w:rFonts w:ascii="Calibri" w:hAnsi="Calibri"/>
          <w:szCs w:val="22"/>
        </w:rPr>
      </w:pPr>
      <w:permStart w:id="1651452642" w:edGrp="everyone"/>
      <w:r w:rsidRPr="00A40C6D">
        <w:rPr>
          <w:rFonts w:ascii="Calibri" w:hAnsi="Calibri"/>
          <w:szCs w:val="22"/>
        </w:rPr>
        <w:t>The WMBA evidently agrees with ESMA’s view in paragraph 30 of the Consultation Paper that the market operator of the trading venue should determine which methodology to use.  Any other outcome would be prescriptive and this would have the impact of cementing venues in the current point in time and this would clearly be anti-competition as well as anti-innovation. In this way, the market power remains with the customers and their discretion to choose between venues, which is the way it should be.</w:t>
      </w:r>
    </w:p>
    <w:p w:rsidR="005B447A" w:rsidRPr="00A40C6D" w:rsidRDefault="005B447A" w:rsidP="005B447A">
      <w:pPr>
        <w:rPr>
          <w:rFonts w:ascii="Calibri" w:hAnsi="Calibri"/>
          <w:szCs w:val="22"/>
        </w:rPr>
      </w:pPr>
      <w:r w:rsidRPr="00A40C6D">
        <w:rPr>
          <w:rFonts w:ascii="Calibri" w:hAnsi="Calibri"/>
          <w:szCs w:val="22"/>
        </w:rPr>
        <w:t xml:space="preserve">The WMBA agrees that the composition and calculation of these indicative prices should be based on a clear and comprehensive methodology that is made transparent to the public beforehand and laid down in the rules of the trading venue. We also concur that it is essential that a clear and comprehensive description of the methodology is disclosed to the public beforehand. </w:t>
      </w:r>
    </w:p>
    <w:p w:rsidR="005B447A" w:rsidRPr="00A40C6D" w:rsidRDefault="005B447A" w:rsidP="005B447A">
      <w:pPr>
        <w:rPr>
          <w:rFonts w:ascii="Calibri" w:hAnsi="Calibri"/>
          <w:szCs w:val="22"/>
        </w:rPr>
      </w:pPr>
      <w:r w:rsidRPr="00A40C6D">
        <w:rPr>
          <w:rFonts w:ascii="Calibri" w:hAnsi="Calibri"/>
          <w:szCs w:val="22"/>
        </w:rPr>
        <w:t xml:space="preserve">Conversely, the WMBA firmly disagrees with ESMA’s proposal in paragraph 34 on page 213 of the Consultation Paper that the SSTI threshold be the same for pre- and post-trade transparency. The WMBA wrote extensively in the July 2014 Discussion Paper that the point of the SSTI was to protect market participants from being penalised for making prices and the capital commitment to liquidity. We therefore proposed that the first and foremost concern was not to link the SSTI to the LiS in a top down matrix, but rather to understand its purpose in the level 1 text and build an IBIA lead framework bottom up. This, in our opinion, is simply evident in the name of the waiver – “The Size Specific to the Instrument”. </w:t>
      </w:r>
    </w:p>
    <w:p w:rsidR="005B447A" w:rsidRPr="00A40C6D" w:rsidRDefault="005B447A" w:rsidP="005B447A">
      <w:pPr>
        <w:rPr>
          <w:rFonts w:ascii="Calibri" w:hAnsi="Calibri"/>
          <w:szCs w:val="22"/>
        </w:rPr>
      </w:pPr>
      <w:r w:rsidRPr="00A40C6D">
        <w:rPr>
          <w:rFonts w:ascii="Calibri" w:hAnsi="Calibri"/>
          <w:szCs w:val="22"/>
        </w:rPr>
        <w:t xml:space="preserve">In operating most of the prospective OTFs, and with its members purely engaged in the process to gathering and building market liquidity across all non-equity products and instruments around the globe, the WMBA may therefore be in an appropriate position to suggest the better routes to a workable liquidity and transparency regime.  Evidently, however, ESMA ignored these suggestions, presumably in the interests of simplicity and due to the timeframe pertaining. We consequently have a proposed SSTI regime solely derivative from the LiS quantum. It should be recognised that this outcome will reduce the ability of the SSTI waivers to make amends for the false outcomes from the liquidity framework which is also a stated goal now for ESMA. </w:t>
      </w:r>
    </w:p>
    <w:p w:rsidR="005B447A" w:rsidRPr="00A40C6D" w:rsidRDefault="005B447A" w:rsidP="005B447A">
      <w:pPr>
        <w:rPr>
          <w:rFonts w:ascii="Calibri" w:hAnsi="Calibri"/>
          <w:szCs w:val="22"/>
        </w:rPr>
      </w:pPr>
      <w:r w:rsidRPr="00A40C6D">
        <w:rPr>
          <w:rFonts w:ascii="Calibri" w:hAnsi="Calibri"/>
          <w:szCs w:val="22"/>
        </w:rPr>
        <w:t xml:space="preserve">To elaborate this case, the WMBA have made a gap analysis from this top down approach to waivers to a bottom up impact. One would suggest the hypothesis to be tested here is that the LiS should be similar to, or at least within an order of magnitude, to commonly accepted standard market size in the global wholesale markets. The SSTI should be under this measure. </w:t>
      </w:r>
    </w:p>
    <w:p w:rsidR="005B447A" w:rsidRPr="00A40C6D" w:rsidRDefault="005B447A" w:rsidP="005B447A">
      <w:pPr>
        <w:rPr>
          <w:rFonts w:ascii="Calibri" w:hAnsi="Calibri"/>
          <w:szCs w:val="22"/>
        </w:rPr>
      </w:pPr>
      <w:r w:rsidRPr="00A40C6D">
        <w:rPr>
          <w:rFonts w:ascii="Calibri" w:hAnsi="Calibri"/>
          <w:szCs w:val="22"/>
        </w:rPr>
        <w:t>We have compared the standard size of each derivative, forward and bond instrument in a sample control group across 30 instruments, as commonly brokered across the our membership, to the LiS and the SSTI derived from the CP proposals. There are no cases where the suggested LiS/SSTI are lower than standard market size. Many instruments appear workable if only the SSTI is compared. There are, however, notable outliers where standard market size falls far below both the LiS and the SSTI. These are the truly ‘false positives’ and this is particularly relevant for inflation swaps, swaptions (likely due to the lack of differentiation between sub-categories), € denominated OIS, and float-to-float GBP swaps. The WMBA would be happy to discuss this framework and provide more information if ESMA or NCAs would deem useful at this stage.</w:t>
      </w:r>
    </w:p>
    <w:p w:rsidR="005B447A" w:rsidRPr="00A40C6D" w:rsidRDefault="005B447A" w:rsidP="005B447A">
      <w:pPr>
        <w:rPr>
          <w:rFonts w:ascii="Calibri" w:hAnsi="Calibri"/>
          <w:szCs w:val="22"/>
        </w:rPr>
      </w:pPr>
      <w:r w:rsidRPr="00A40C6D">
        <w:rPr>
          <w:rFonts w:ascii="Calibri" w:hAnsi="Calibri"/>
          <w:szCs w:val="22"/>
        </w:rPr>
        <w:t>To mitigate the deleterious impact of false positives, the WMBA would like to recommend that SSTI/LIS ratio for pre-trade transparency purposes is segregated from that in place for the post-trade transparency. This segregation of waiver parameters is currently the case for equity markets under existing MiFID1. The pre-trade SSTI should be reduced, with either being set at 10% of LIS or at the median trade size for the relevant sub-class. If ESMA’s intention is to use LIS or SSTI thresholds to compensate for an illiquid instrument being incorrectly classified as liquid, then the relevant LIS and/or SSTI thresholds need to be set at a sufficiently low level to satisfy this intention. ESMA’s proposed calibration of LIS and SSTI levels will not allow this important safeguard in the framework to function as anticipated.</w:t>
      </w:r>
    </w:p>
    <w:p w:rsidR="005B447A" w:rsidRPr="00A40C6D" w:rsidRDefault="005B447A" w:rsidP="005B447A">
      <w:pPr>
        <w:rPr>
          <w:rFonts w:ascii="Calibri" w:hAnsi="Calibri"/>
          <w:szCs w:val="22"/>
        </w:rPr>
      </w:pPr>
      <w:r w:rsidRPr="00A40C6D">
        <w:rPr>
          <w:rFonts w:ascii="Calibri" w:hAnsi="Calibri"/>
          <w:szCs w:val="22"/>
        </w:rPr>
        <w:t xml:space="preserve">The WMBA also firmly disagrees with the exclusion of “Matched Principal” trades from both pre-trade and post-trade transparency SSTI waivers. We raised this issue at the Paris open hearing to the broad support of all market participants and emphasise that the addition of this phrase into the RTS goes not only beyond the mandate of the MiFID level 1 but positively acts to undermine the legislation. This is ultra vires of ESMA here. WMBA note that the SSTI waiver is to protect the capital commitment of participants in providing liquidity; however, ESMA appear to fail to understand the trilateral nature of Matched Principal trades where the venue sits between the two counterparties. Where the venue acts to arrange a trade between counterparties, as in the OTF model, it clearly and simply requires the same waiver treatment applying to the counterparties. Therefore, as drafted, the SSTI waiver could be applied only to half of a trade; that is to Counterparty1&lt;&gt;Venue and not to Venue&lt;&gt;Counterparty2. This would directly compromise Counterparty1. </w:t>
      </w:r>
    </w:p>
    <w:p w:rsidR="005B447A" w:rsidRPr="00A40C6D" w:rsidRDefault="005B447A" w:rsidP="005B447A">
      <w:pPr>
        <w:rPr>
          <w:rFonts w:ascii="Calibri" w:hAnsi="Calibri"/>
          <w:szCs w:val="22"/>
        </w:rPr>
      </w:pPr>
      <w:r w:rsidRPr="00A40C6D">
        <w:rPr>
          <w:rFonts w:ascii="Calibri" w:hAnsi="Calibri"/>
          <w:szCs w:val="22"/>
        </w:rPr>
        <w:t>The WMBA therefore suggests a simple drafting amendment to Article 15. 1(a) with the addition of the words, ‘</w:t>
      </w:r>
      <w:r w:rsidRPr="00A40C6D">
        <w:rPr>
          <w:rFonts w:ascii="Calibri" w:hAnsi="Calibri"/>
          <w:i/>
          <w:szCs w:val="22"/>
        </w:rPr>
        <w:t>except when traded on an OTF’</w:t>
      </w:r>
      <w:r w:rsidRPr="00A40C6D">
        <w:rPr>
          <w:rFonts w:ascii="Calibri" w:hAnsi="Calibri"/>
          <w:szCs w:val="22"/>
        </w:rPr>
        <w:t>.</w:t>
      </w:r>
    </w:p>
    <w:permEnd w:id="1651452642"/>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EA3E51" w:rsidRPr="00A40C6D" w:rsidRDefault="00EA3E51" w:rsidP="00EA3E51">
      <w:pPr>
        <w:spacing w:before="100" w:beforeAutospacing="1" w:after="100" w:afterAutospacing="1" w:line="240" w:lineRule="auto"/>
        <w:rPr>
          <w:rFonts w:ascii="Calibri" w:hAnsi="Calibri"/>
        </w:rPr>
      </w:pPr>
      <w:permStart w:id="1298627530" w:edGrp="everyone"/>
      <w:r w:rsidRPr="00A40C6D">
        <w:rPr>
          <w:rFonts w:ascii="Calibri" w:hAnsi="Calibri"/>
        </w:rPr>
        <w:t xml:space="preserve">The WMBA does </w:t>
      </w:r>
      <w:r w:rsidRPr="00A40C6D">
        <w:rPr>
          <w:rFonts w:ascii="Calibri" w:hAnsi="Calibri" w:cs="Arial"/>
        </w:rPr>
        <w:t>consider that it is necessary to include the date and time of publication among the fields included in Annex II, Table 1 of RTS 9. ESMA should, however, consider further care that</w:t>
      </w:r>
      <w:r w:rsidRPr="00A40C6D">
        <w:rPr>
          <w:rFonts w:ascii="Calibri" w:hAnsi="Calibri"/>
        </w:rPr>
        <w:t xml:space="preserve"> this should be treated proportionately for packaged trades where evident complexities arise across the legs.</w:t>
      </w:r>
    </w:p>
    <w:p w:rsidR="00EA3E51" w:rsidRPr="00A40C6D" w:rsidRDefault="00EA3E51" w:rsidP="00EA3E51">
      <w:pPr>
        <w:spacing w:before="100" w:beforeAutospacing="1" w:after="100" w:afterAutospacing="1" w:line="240" w:lineRule="auto"/>
        <w:rPr>
          <w:rFonts w:ascii="Calibri" w:hAnsi="Calibri"/>
        </w:rPr>
      </w:pPr>
      <w:r w:rsidRPr="00A40C6D">
        <w:rPr>
          <w:rFonts w:ascii="Calibri" w:hAnsi="Calibri"/>
        </w:rPr>
        <w:t xml:space="preserve">The WMBA consider that a better approach would be to: </w:t>
      </w:r>
    </w:p>
    <w:p w:rsidR="00EA3E51" w:rsidRPr="004E26B2" w:rsidRDefault="00EA3E51" w:rsidP="007D55BD">
      <w:pPr>
        <w:pStyle w:val="ListParagraph"/>
        <w:numPr>
          <w:ilvl w:val="0"/>
          <w:numId w:val="22"/>
        </w:numPr>
      </w:pPr>
      <w:r w:rsidRPr="004E26B2">
        <w:t>allow a basic report and follow up with supplemental information.</w:t>
      </w:r>
    </w:p>
    <w:p w:rsidR="00EA3E51" w:rsidRPr="004E26B2" w:rsidRDefault="00EA3E51" w:rsidP="007D55BD">
      <w:pPr>
        <w:pStyle w:val="ListParagraph"/>
        <w:numPr>
          <w:ilvl w:val="0"/>
          <w:numId w:val="22"/>
        </w:numPr>
      </w:pPr>
      <w:r w:rsidRPr="004E26B2">
        <w:t>redefine the time of trade as that later point in time at which all the economic details are agreed between counterparties.</w:t>
      </w:r>
    </w:p>
    <w:p w:rsidR="00EA3E51" w:rsidRPr="00A40C6D" w:rsidRDefault="00EA3E51" w:rsidP="00EA3E51">
      <w:pPr>
        <w:spacing w:before="100" w:beforeAutospacing="1" w:after="100" w:afterAutospacing="1" w:line="240" w:lineRule="auto"/>
        <w:rPr>
          <w:rFonts w:ascii="Calibri" w:hAnsi="Calibri"/>
        </w:rPr>
      </w:pPr>
      <w:r w:rsidRPr="00A40C6D">
        <w:rPr>
          <w:rFonts w:ascii="Calibri" w:hAnsi="Calibri"/>
        </w:rPr>
        <w:t>This conforms more suitably to the legal definition of what point in the negotiations and commitment process that the trade does actually occur. Further, we emphasise that the obligation to make the publication can only start once the venue has all the information that they require to enact this (we note that this is the widespread ‘</w:t>
      </w:r>
      <w:r w:rsidRPr="00A40C6D">
        <w:rPr>
          <w:rFonts w:ascii="Calibri" w:hAnsi="Calibri"/>
          <w:i/>
        </w:rPr>
        <w:t>exchange approach’</w:t>
      </w:r>
      <w:r w:rsidRPr="00A40C6D">
        <w:rPr>
          <w:rFonts w:ascii="Calibri" w:hAnsi="Calibri"/>
        </w:rPr>
        <w:t xml:space="preserve"> – we particularly note the latest Eurex submission timeframes). The advantage to this approach for the NCAs is that an obligation is placed onto the venue client to provide all the necessary data to the trade file in a timely manner. This is the core of transparency and accords with the central theme of MiFID.</w:t>
      </w:r>
    </w:p>
    <w:p w:rsidR="00EA3E51" w:rsidRPr="00A40C6D" w:rsidRDefault="00EA3E51" w:rsidP="00EA3E51">
      <w:pPr>
        <w:spacing w:before="100" w:beforeAutospacing="1" w:after="100" w:afterAutospacing="1" w:line="240" w:lineRule="auto"/>
        <w:rPr>
          <w:rFonts w:ascii="Calibri" w:hAnsi="Calibri"/>
        </w:rPr>
      </w:pPr>
      <w:r w:rsidRPr="00A40C6D">
        <w:rPr>
          <w:rFonts w:ascii="Calibri" w:hAnsi="Calibri"/>
        </w:rPr>
        <w:t xml:space="preserve">To be clear, the following fields are available to the venue: </w:t>
      </w:r>
    </w:p>
    <w:p w:rsidR="00EA3E51" w:rsidRPr="00A40C6D" w:rsidRDefault="00EA3E51" w:rsidP="007D55BD">
      <w:pPr>
        <w:pStyle w:val="ListParagraph"/>
        <w:numPr>
          <w:ilvl w:val="0"/>
          <w:numId w:val="23"/>
        </w:numPr>
      </w:pPr>
      <w:r w:rsidRPr="00A40C6D">
        <w:t>Instrument Identifier code and type: ESMA should ensure the format and definition of fields which appear both in Table 1 Annex II of RTS 9 match those of Table 1 Annex I of RTS 32 match.</w:t>
      </w:r>
    </w:p>
    <w:p w:rsidR="00EA3E51" w:rsidRPr="00A40C6D" w:rsidRDefault="00EA3E51" w:rsidP="007D55BD">
      <w:pPr>
        <w:pStyle w:val="ListParagraph"/>
        <w:numPr>
          <w:ilvl w:val="0"/>
          <w:numId w:val="23"/>
        </w:numPr>
      </w:pPr>
      <w:r w:rsidRPr="00A40C6D">
        <w:t>Venue Nominated Instrument Identifier (where the venue hasn't prelisted reference data).</w:t>
      </w:r>
    </w:p>
    <w:p w:rsidR="00EA3E51" w:rsidRPr="00A40C6D" w:rsidRDefault="00EA3E51" w:rsidP="007D55BD">
      <w:pPr>
        <w:pStyle w:val="ListParagraph"/>
        <w:numPr>
          <w:ilvl w:val="0"/>
          <w:numId w:val="23"/>
        </w:numPr>
      </w:pPr>
      <w:r w:rsidRPr="00A40C6D">
        <w:t>Price; or the contingent indicative prices for packaged products, batched multiple executions or SFTs .</w:t>
      </w:r>
    </w:p>
    <w:p w:rsidR="00EA3E51" w:rsidRPr="00A40C6D" w:rsidRDefault="00EA3E51" w:rsidP="007D55BD">
      <w:pPr>
        <w:pStyle w:val="ListParagraph"/>
        <w:numPr>
          <w:ilvl w:val="0"/>
          <w:numId w:val="23"/>
        </w:numPr>
      </w:pPr>
      <w:r w:rsidRPr="00A40C6D">
        <w:t>Trade size [Quantity Notation field]: This may be the cash flow, the nominal amount, the notional amount or it may trade by the associated hedge amount. We would therefore agree that more options should be available, particularly for commodity derivatives reporting. A trade on oil, for example, will be described in barrels and not Number of units: U, Nominal value: N, Monetary value: V.</w:t>
      </w:r>
    </w:p>
    <w:p w:rsidR="00EA3E51" w:rsidRPr="00A40C6D" w:rsidRDefault="00EA3E51" w:rsidP="007D55BD">
      <w:pPr>
        <w:pStyle w:val="ListParagraph"/>
        <w:numPr>
          <w:ilvl w:val="0"/>
          <w:numId w:val="23"/>
        </w:numPr>
      </w:pPr>
      <w:r w:rsidRPr="00A40C6D">
        <w:t>Trading Day and Trading Time: in EMIR the Execution Timestamp field is a concatenation of the date and time of execution where as for MiFIR it is separated and called Trading Day and Trading Time. It would be preferable to have the same fields under both EMIR and MiFIR.</w:t>
      </w:r>
    </w:p>
    <w:p w:rsidR="00EA3E51" w:rsidRPr="00A40C6D" w:rsidRDefault="00EA3E51" w:rsidP="00EA3E51">
      <w:pPr>
        <w:spacing w:before="100" w:beforeAutospacing="1" w:after="100" w:afterAutospacing="1" w:line="240" w:lineRule="auto"/>
        <w:rPr>
          <w:rFonts w:ascii="Calibri" w:hAnsi="Calibri"/>
        </w:rPr>
      </w:pPr>
      <w:r w:rsidRPr="00A40C6D">
        <w:rPr>
          <w:rFonts w:ascii="Calibri" w:hAnsi="Calibri"/>
        </w:rPr>
        <w:t>One issue where the WMBA would particularly disagree with the proposals in the CP is the reduction of the 15 minutes post trade reporting limit down to 5 minutes after 3 years. We emphasise that most trades require longer than 10 minutes to make a trilateral confirmation in the name give up model and we do not see it as likely that this will be purely automated across all global counterparties within three years as this requires a comprehensive roll out of LEI and UTI together with a multilateral venue substituted compliance regime (that is, beyond a purely EU – US agreement). We would therefore recommend that a review is tabled for the 3 year horizon.</w:t>
      </w:r>
    </w:p>
    <w:p w:rsidR="00EA3E51" w:rsidRPr="00A40C6D" w:rsidRDefault="00EA3E51" w:rsidP="00EA3E51">
      <w:pPr>
        <w:spacing w:before="100" w:beforeAutospacing="1" w:after="100" w:afterAutospacing="1" w:line="240" w:lineRule="auto"/>
        <w:rPr>
          <w:rFonts w:ascii="Calibri" w:hAnsi="Calibri"/>
        </w:rPr>
      </w:pPr>
      <w:r w:rsidRPr="00A40C6D">
        <w:rPr>
          <w:rFonts w:ascii="Calibri" w:hAnsi="Calibri"/>
        </w:rPr>
        <w:t>The WMBA also notes that the post-trade treatment of FX forwards under proposals appear inappropriate. Many FX products will not be clearing mandated, yet they will likely be classed as liquid (i.e. FX Forwards would not get the waiver treatment were they caught under the clearing mandate). We therefore set out that this proposal goes beyond the level 1 mandate (9.5 powers of ESMA interpretation of 9.1.c), so paragraph 38 proposals exceeds level 1 which only applies to the trading obligation. The consequence of this is that certain instruments, via poor drafting, will not receive the treatment that they are owed.</w:t>
      </w:r>
    </w:p>
    <w:p w:rsidR="00EA3E51" w:rsidRPr="00A40C6D" w:rsidRDefault="00EA3E51" w:rsidP="00EA3E51">
      <w:pPr>
        <w:spacing w:before="100" w:beforeAutospacing="1" w:after="100" w:afterAutospacing="1" w:line="240" w:lineRule="auto"/>
        <w:rPr>
          <w:rFonts w:ascii="Calibri" w:hAnsi="Calibri"/>
        </w:rPr>
      </w:pPr>
      <w:r w:rsidRPr="00A40C6D">
        <w:rPr>
          <w:rFonts w:ascii="Calibri" w:hAnsi="Calibri"/>
        </w:rPr>
        <w:t>With regard to Article 7(6) of RTS 9 where ESMA states that “</w:t>
      </w:r>
      <w:r w:rsidRPr="00A40C6D">
        <w:rPr>
          <w:rFonts w:ascii="Calibri" w:hAnsi="Calibri"/>
          <w:i/>
        </w:rPr>
        <w:t>investment firm that sells the financial instrument concerned shall be responsible for making the transaction public</w:t>
      </w:r>
      <w:r w:rsidRPr="00A40C6D">
        <w:rPr>
          <w:rFonts w:ascii="Calibri" w:hAnsi="Calibri"/>
        </w:rPr>
        <w:t>”.  The WMBA have noted elsewhere in this response the difficultly in designating the buyer and seller on a derivative transaction.</w:t>
      </w:r>
      <w:r w:rsidRPr="00EA3E51">
        <w:rPr>
          <w:rFonts w:ascii="Calibri" w:hAnsi="Calibri"/>
        </w:rPr>
        <w:t xml:space="preserve"> This is a further example of an oversimplified cash-equity market read-across which ESMA have applied throughout the technical standards. This is particularly an issue for SFTs, for any FX exchanges and for OTC swap derivatives where firms exchange cash flows that are each based on floating rates or prices. </w:t>
      </w:r>
      <w:r w:rsidRPr="00A40C6D">
        <w:rPr>
          <w:rFonts w:ascii="Calibri" w:hAnsi="Calibri"/>
        </w:rPr>
        <w:t xml:space="preserve">As MiFID expands to encompass such products, it is important that the technical standards consider such products. </w:t>
      </w:r>
    </w:p>
    <w:p w:rsidR="00EA3E51" w:rsidRPr="00A40C6D" w:rsidRDefault="00EA3E51" w:rsidP="007D55BD">
      <w:pPr>
        <w:pStyle w:val="ListParagraph"/>
        <w:numPr>
          <w:ilvl w:val="0"/>
          <w:numId w:val="24"/>
        </w:numPr>
      </w:pPr>
      <w:r w:rsidRPr="00A40C6D">
        <w:t xml:space="preserve">Examples of such trades in interest rate markets would be basis swaps where one party pays a floating rate according to a specific index (e.g. 1-month USD LIBOR) to their counterparty whilst receiving another floating rate (e.g. 6-month USD LIBOR) from their counterparty. </w:t>
      </w:r>
    </w:p>
    <w:p w:rsidR="00EA3E51" w:rsidRPr="00A40C6D" w:rsidRDefault="00EA3E51" w:rsidP="007D55BD">
      <w:pPr>
        <w:pStyle w:val="ListParagraph"/>
        <w:numPr>
          <w:ilvl w:val="0"/>
          <w:numId w:val="24"/>
        </w:numPr>
      </w:pPr>
      <w:r w:rsidRPr="00A40C6D">
        <w:t>In commodity markets such trades, where floating rates or flows based on the prices of different commodities are exchanged by counterparties, are also common and termed spreads or spread swap trades. There are no buyers and sellers.</w:t>
      </w:r>
    </w:p>
    <w:p w:rsidR="00EA3E51" w:rsidRPr="00A40C6D" w:rsidRDefault="00EA3E51" w:rsidP="007D55BD">
      <w:pPr>
        <w:pStyle w:val="ListParagraph"/>
        <w:numPr>
          <w:ilvl w:val="0"/>
          <w:numId w:val="24"/>
        </w:numPr>
      </w:pPr>
      <w:r w:rsidRPr="00A40C6D">
        <w:t>In SFTs, Bond Repurchase agreements [REPO} are cash flows. There are no buyers and sellers.</w:t>
      </w:r>
    </w:p>
    <w:p w:rsidR="00EA3E51" w:rsidRPr="00A40C6D" w:rsidRDefault="00EA3E51" w:rsidP="007D55BD">
      <w:pPr>
        <w:pStyle w:val="ListParagraph"/>
        <w:numPr>
          <w:ilvl w:val="0"/>
          <w:numId w:val="24"/>
        </w:numPr>
      </w:pPr>
      <w:r w:rsidRPr="00A40C6D">
        <w:t>In FX forwards and FRA’s the contracts are a commitment to forward cash flows. There are no buyers and sellers.</w:t>
      </w:r>
    </w:p>
    <w:p w:rsidR="00EA3E51" w:rsidRPr="00A40C6D" w:rsidRDefault="00EA3E51" w:rsidP="00EA3E51">
      <w:pPr>
        <w:pStyle w:val="BodyText"/>
        <w:spacing w:before="100" w:beforeAutospacing="1" w:after="100" w:afterAutospacing="1" w:line="240" w:lineRule="auto"/>
        <w:rPr>
          <w:rFonts w:ascii="Calibri" w:hAnsi="Calibri" w:cs="Arial"/>
          <w:szCs w:val="22"/>
        </w:rPr>
      </w:pPr>
      <w:r w:rsidRPr="00A40C6D">
        <w:rPr>
          <w:rFonts w:ascii="Calibri" w:hAnsi="Calibri" w:cs="Arial"/>
          <w:szCs w:val="22"/>
        </w:rPr>
        <w:t>Therefore, the WMBA would urge ESMA to firstly work across the industry to develop and endorse best practices and to make sure global standards are followed across jurisdictions in order to ensure the determination of buyer and seller is done as consistently and accurately as possible. The WMBA would endorse the best practice documents of ISDA, developed regarding determination of the reporting party for reporting in certain jurisdictions, which may be applicable to this solution.</w:t>
      </w:r>
    </w:p>
    <w:permEnd w:id="1298627530"/>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0D2EA8" w:rsidRPr="00A40C6D" w:rsidRDefault="000D2EA8" w:rsidP="000D2EA8">
      <w:pPr>
        <w:rPr>
          <w:rFonts w:ascii="Calibri" w:hAnsi="Calibri"/>
        </w:rPr>
      </w:pPr>
      <w:permStart w:id="1168320699" w:edGrp="everyone"/>
      <w:r w:rsidRPr="00A40C6D">
        <w:rPr>
          <w:rFonts w:ascii="Calibri" w:hAnsi="Calibri"/>
        </w:rPr>
        <w:t>No, the WMBA does not agree. In particular, we are concerned at the general plethora of the new flag proposed as evidencing an uncontrolled “</w:t>
      </w:r>
      <w:r w:rsidRPr="00A40C6D">
        <w:rPr>
          <w:rFonts w:ascii="Calibri" w:hAnsi="Calibri"/>
          <w:i/>
        </w:rPr>
        <w:t>Flag Inflation</w:t>
      </w:r>
      <w:r w:rsidRPr="00A40C6D">
        <w:rPr>
          <w:rFonts w:ascii="Calibri" w:hAnsi="Calibri"/>
        </w:rPr>
        <w:t>” for no particular benefit. The WMBA argued against this in the July 2014 Discussion Paper, endorsing that 8 flags was enough. We consider 16 to be far too many than is required and therefore overly burdensome for all participants, and particularly venues compared to any value added. The real risks here to liquidity are that too much information may be disclosed, especially for wholesale markets with a small set of players. In such markets where transactions are commonly shopped around, volume and price will independently act as tags or markets to the prior shopped remaining economic terms of the complete transaction.  This inflation does indeed accord to the general theme throughout the Consultation Paper which evidences ESMA creating more data and ‘big data’ for no particular reason other than bureaucracy.</w:t>
      </w:r>
    </w:p>
    <w:p w:rsidR="000D2EA8" w:rsidRPr="00A40C6D" w:rsidRDefault="000D2EA8" w:rsidP="000D2EA8">
      <w:pPr>
        <w:rPr>
          <w:rFonts w:ascii="Calibri" w:hAnsi="Calibri"/>
        </w:rPr>
      </w:pPr>
      <w:r w:rsidRPr="00A40C6D">
        <w:rPr>
          <w:rFonts w:ascii="Calibri" w:hAnsi="Calibri"/>
        </w:rPr>
        <w:t>We would, however, join proposals for amendments to the flags proposed for identifying transactions carried out under a pre-trade transparency waiver. In line with our recommended treatment of package transactions, a flag for package transactions should be added including a “</w:t>
      </w:r>
      <w:r w:rsidRPr="00A40C6D">
        <w:rPr>
          <w:rFonts w:ascii="Calibri" w:hAnsi="Calibri"/>
          <w:i/>
        </w:rPr>
        <w:t>link ID</w:t>
      </w:r>
      <w:r w:rsidRPr="00A40C6D">
        <w:rPr>
          <w:rFonts w:ascii="Calibri" w:hAnsi="Calibri"/>
        </w:rPr>
        <w:t>” to connect together trade reports of components of packages. However, if such a flag is included then we would like to see other flags removed since in essence it purely duplicates the role of a deferral flag.</w:t>
      </w:r>
    </w:p>
    <w:p w:rsidR="000D2EA8" w:rsidRPr="00A40C6D" w:rsidRDefault="000D2EA8" w:rsidP="000D2EA8">
      <w:pPr>
        <w:rPr>
          <w:rFonts w:ascii="Calibri" w:hAnsi="Calibri"/>
        </w:rPr>
      </w:pPr>
      <w:r w:rsidRPr="00A40C6D">
        <w:rPr>
          <w:rFonts w:ascii="Calibri" w:hAnsi="Calibri"/>
        </w:rPr>
        <w:t>We note calls for a ‘Matched Principal’ flag. Whilst useful at a superficial level we note that any bond market transaction on an OTF will be a Matched Principal trade, whilst such trades are not permitted on MTFs under constraints in level 1. Therefore, again, the WMBA would query the efficacy of such “</w:t>
      </w:r>
      <w:r w:rsidRPr="00A40C6D">
        <w:rPr>
          <w:rFonts w:ascii="Calibri" w:hAnsi="Calibri"/>
          <w:i/>
        </w:rPr>
        <w:t>Flag Inflation</w:t>
      </w:r>
      <w:r w:rsidRPr="00A40C6D">
        <w:rPr>
          <w:rFonts w:ascii="Calibri" w:hAnsi="Calibri"/>
        </w:rPr>
        <w:t>” without compromising the need and value for post-trade reporting.</w:t>
      </w:r>
    </w:p>
    <w:p w:rsidR="000D2EA8" w:rsidRDefault="000D2EA8" w:rsidP="000D2EA8">
      <w:r w:rsidRPr="00A40C6D">
        <w:rPr>
          <w:rFonts w:ascii="Calibri" w:hAnsi="Calibri"/>
        </w:rPr>
        <w:t>The WMBA would additionally note the following position: ESMA should remove the algorithmic trading flag; ESMA should clarify that the non-price forming flag should not apply to give-up/give in trades; and ESMA should provide more guidance on the scope of technical trades to fixed income by including relevant examples.</w:t>
      </w:r>
    </w:p>
    <w:permEnd w:id="1168320699"/>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DA2730" w:rsidRPr="00A40C6D" w:rsidRDefault="00DA2730" w:rsidP="00DA2730">
      <w:pPr>
        <w:rPr>
          <w:rFonts w:ascii="Calibri" w:hAnsi="Calibri"/>
        </w:rPr>
      </w:pPr>
      <w:permStart w:id="1236086408" w:edGrp="everyone"/>
      <w:r w:rsidRPr="00A40C6D">
        <w:rPr>
          <w:rFonts w:ascii="Calibri" w:hAnsi="Calibri"/>
        </w:rPr>
        <w:t>The principal point that the WMBA makes here is that Trade Venues can only publish what information the clients give to them. It may often be the case that the MTF or OTF may simply not have the suggested information, either within the specified time frame because it does not exist, or because the counterparty is not a MiFID firm or is outside the EU and has no requirement therefore to provide it.</w:t>
      </w:r>
    </w:p>
    <w:p w:rsidR="00DA2730" w:rsidRPr="00A40C6D" w:rsidRDefault="00DA2730" w:rsidP="00DA2730">
      <w:pPr>
        <w:rPr>
          <w:rFonts w:ascii="Calibri" w:hAnsi="Calibri"/>
        </w:rPr>
      </w:pPr>
      <w:r w:rsidRPr="00A40C6D">
        <w:rPr>
          <w:rFonts w:ascii="Calibri" w:hAnsi="Calibri"/>
        </w:rPr>
        <w:t>One issue where the WMBA would particularly disagree with the proposals in the Consultation Paper is the reduction of the 15 minutes post trade reporting limit down to 5 minutes after 3 years. We emphasise that with most trades, it requires longer than 10 minutes to make a trilateral confirmation in the name give up model and we do not see it as likely that this will be purely automated across all global counterparties within three years as this requires a comprehensive roll out of LEI and UTI together with a multilateral venue substituted compliance regime (that is, beyond a purely EU – US agreement). We would therefore recommend that purely a review is tabled for the 3 year horizon.</w:t>
      </w:r>
    </w:p>
    <w:p w:rsidR="00DA2730" w:rsidRPr="00A40C6D" w:rsidRDefault="00DA2730" w:rsidP="00DA2730">
      <w:pPr>
        <w:rPr>
          <w:rFonts w:ascii="Calibri" w:hAnsi="Calibri"/>
        </w:rPr>
      </w:pPr>
      <w:r w:rsidRPr="00A40C6D">
        <w:rPr>
          <w:rFonts w:ascii="Calibri" w:hAnsi="Calibri"/>
        </w:rPr>
        <w:t xml:space="preserve">The WMBA also firmly disagrees with the exclusion of “Matched Principal” trades from both pre-trade and post-trade transparency SSTI waivers. We raised this issue at the Paris open hearing to the broad support of all market participants and emphasise that the addition of this phrase into the RTS goes not only beyond the mandate of the MiFID level 1 but positively acts to undermine the legislation. This is ultra vires of ESMA here. The WMBA note that the SSTI waiver is to protect the capital commitment of participants in providing liquidity; however, ESMA appear to fail to understand the trilateral nature of Matched Principal trades where the venue sits between the two counterparties. Where the venue acts to arrange a trade between counterparties, as in the OTF model, it clearly and simply requires the same waiver treatment applying to the counterparties. Therefore, as drafted, the SSTI waiver could be applied only to half of a trade; that is to Counterparty1&lt;&gt;Venue and not to Venue&lt;&gt;Counterparty2. This would directly compromise Counterparty1. </w:t>
      </w:r>
    </w:p>
    <w:p w:rsidR="00DA2730" w:rsidRPr="00A40C6D" w:rsidRDefault="00DA2730" w:rsidP="00DA2730">
      <w:pPr>
        <w:rPr>
          <w:rFonts w:ascii="Calibri" w:hAnsi="Calibri"/>
        </w:rPr>
      </w:pPr>
      <w:r w:rsidRPr="00A40C6D">
        <w:rPr>
          <w:rFonts w:ascii="Calibri" w:hAnsi="Calibri"/>
        </w:rPr>
        <w:t>The WMBA therefore suggests a simple drafting amendment to Article 15. 1(a) with the addition of the words, ‘</w:t>
      </w:r>
      <w:r w:rsidRPr="00A40C6D">
        <w:rPr>
          <w:rFonts w:ascii="Calibri" w:hAnsi="Calibri"/>
          <w:i/>
        </w:rPr>
        <w:t>except when traded on an OTF’</w:t>
      </w:r>
      <w:r w:rsidRPr="00A40C6D">
        <w:rPr>
          <w:rFonts w:ascii="Calibri" w:hAnsi="Calibri"/>
        </w:rPr>
        <w:t>.</w:t>
      </w:r>
    </w:p>
    <w:p w:rsidR="00DA2730" w:rsidRPr="00A40C6D" w:rsidRDefault="00DA2730" w:rsidP="00DA2730">
      <w:pPr>
        <w:rPr>
          <w:rFonts w:ascii="Calibri" w:hAnsi="Calibri"/>
        </w:rPr>
      </w:pPr>
      <w:r w:rsidRPr="00A40C6D">
        <w:rPr>
          <w:rFonts w:ascii="Calibri" w:hAnsi="Calibri"/>
        </w:rPr>
        <w:t xml:space="preserve">Finally, the WMBA supports the view that if an investment firm or venue can publish the trade information sooner than the maximum time limit then they should do this because Level 1 requires trades to be published as close to real time as possible.  However, we do not agree that the information should only be published close to the maximum time limit in exceptional circumstances.  Instead firms and venues should be able to rely on the time limit whenever systems do not allow publication in a shorter time. Evidently, it is in the interest of venues and participants alike to communicate the maximum amounts of information practicable as soon as practicable to ensure well-functioning and liquid markets. </w:t>
      </w:r>
    </w:p>
    <w:permEnd w:id="1236086408"/>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31272B" w:rsidRPr="00A40C6D" w:rsidRDefault="0031272B" w:rsidP="0031272B">
      <w:pPr>
        <w:rPr>
          <w:rFonts w:ascii="Calibri" w:hAnsi="Calibri"/>
        </w:rPr>
      </w:pPr>
      <w:permStart w:id="1319847532" w:edGrp="everyone"/>
      <w:r w:rsidRPr="00A40C6D">
        <w:rPr>
          <w:rFonts w:ascii="Calibri" w:hAnsi="Calibri"/>
        </w:rPr>
        <w:t>The WMBA agrees (for the reasons ESMA provides) that securities financing transactions and primary market transactions [and other types of transaction listed in RTS 9 Article 9] should be exempt from the reporting requirement under article 21.</w:t>
      </w:r>
    </w:p>
    <w:p w:rsidR="0031272B" w:rsidRPr="00A40C6D" w:rsidRDefault="0031272B" w:rsidP="0031272B">
      <w:pPr>
        <w:rPr>
          <w:rFonts w:ascii="Calibri" w:hAnsi="Calibri"/>
        </w:rPr>
      </w:pPr>
      <w:r w:rsidRPr="00A40C6D">
        <w:rPr>
          <w:rFonts w:ascii="Calibri" w:hAnsi="Calibri"/>
        </w:rPr>
        <w:t>The WMBA would also urge ESMA to include a recital to RTS 9 confirming that the post-trade transparency obligations on investment firms in Article 21 of MiFIR do not apply in respect of transactions executed on a trading venue (as this transaction would be made public by the relevant trading venue in accordance with Article 10 of MiFIR). This is important to avoid the same transaction being made public multiple times, once by the venue and once by the relevant investment firm. Whilst the operative provisions of the RTS are drafted on this basis, we believe that firms understanding of their obligations would be enhanced if this recital is included. For example, Article 7 of RTS 9 refers to "investment firms trading outside a venue and market operators and investment firms operating a trading venue...</w:t>
      </w:r>
      <w:r w:rsidR="004E26B2" w:rsidRPr="00A40C6D">
        <w:rPr>
          <w:rFonts w:ascii="Calibri" w:hAnsi="Calibri"/>
        </w:rPr>
        <w:t>”</w:t>
      </w:r>
    </w:p>
    <w:permEnd w:id="1319847532"/>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31272B" w:rsidRPr="00A40C6D" w:rsidRDefault="0031272B" w:rsidP="0031272B">
      <w:pPr>
        <w:spacing w:before="100" w:beforeAutospacing="1" w:after="100" w:afterAutospacing="1" w:line="240" w:lineRule="auto"/>
        <w:rPr>
          <w:rFonts w:ascii="Calibri" w:hAnsi="Calibri"/>
        </w:rPr>
      </w:pPr>
      <w:permStart w:id="223956606" w:edGrp="everyone"/>
      <w:r w:rsidRPr="00A40C6D">
        <w:rPr>
          <w:rFonts w:ascii="Calibri" w:hAnsi="Calibri"/>
        </w:rPr>
        <w:t xml:space="preserve">The WMBA disagrees with the proposals. </w:t>
      </w:r>
    </w:p>
    <w:p w:rsidR="0031272B" w:rsidRPr="00A40C6D" w:rsidRDefault="0031272B" w:rsidP="0031272B">
      <w:pPr>
        <w:spacing w:before="100" w:beforeAutospacing="1" w:after="100" w:afterAutospacing="1" w:line="240" w:lineRule="auto"/>
        <w:rPr>
          <w:rFonts w:ascii="Calibri" w:hAnsi="Calibri"/>
        </w:rPr>
      </w:pPr>
      <w:r w:rsidRPr="00A40C6D">
        <w:rPr>
          <w:rFonts w:ascii="Calibri" w:hAnsi="Calibri"/>
        </w:rPr>
        <w:t>First and foremost, we do not agree with the 48 hour deferral period being set per-se as this creates a multiple setting and resetting of deferral limits akin to having multiple alarm clocks. It is important for consistency of implementation across Europe (and to eliminate arbitrage and uncertainty) that it should be a precise limit, with all regimes applying the same 48 hour period, with end of day cut offs rather than a rolling deferred clock which would confuse and obfuscate.</w:t>
      </w:r>
    </w:p>
    <w:p w:rsidR="0031272B" w:rsidRPr="00A40C6D" w:rsidRDefault="0031272B" w:rsidP="0031272B">
      <w:pPr>
        <w:spacing w:before="100" w:beforeAutospacing="1" w:after="100" w:afterAutospacing="1" w:line="240" w:lineRule="auto"/>
        <w:rPr>
          <w:rFonts w:ascii="Calibri" w:hAnsi="Calibri"/>
        </w:rPr>
      </w:pPr>
      <w:r w:rsidRPr="00A40C6D">
        <w:rPr>
          <w:rFonts w:ascii="Calibri" w:hAnsi="Calibri"/>
        </w:rPr>
        <w:t>These issues quickly become infeasible for Trading Venues who will have tens of thousands of trades and therefore a continuum of expiring alarm clocks. Rather we strongly endorse a standardisation here and believe such a technical standard to be much more in line with the requirements in level 1 than that proposed by ESMA currently. Specifically we would confer all the deferral expiries to the end of the following trading day. This could simply be done by employing the ESMA rule that certain times can be extended by the NCA with a deadline expiring at a certain point. [</w:t>
      </w:r>
      <w:r w:rsidRPr="00A40C6D">
        <w:rPr>
          <w:rFonts w:ascii="Calibri" w:hAnsi="Calibri"/>
          <w:i/>
        </w:rPr>
        <w:t>Paragraph 63(b) (c) pp 610</w:t>
      </w:r>
      <w:r w:rsidRPr="00A40C6D">
        <w:rPr>
          <w:rFonts w:ascii="Calibri" w:hAnsi="Calibri"/>
        </w:rPr>
        <w:t>]. In this way, the text should read to define a certain fixed point shortly following the expiry of the 48 hour period.</w:t>
      </w:r>
    </w:p>
    <w:p w:rsidR="0031272B" w:rsidRPr="00A40C6D" w:rsidRDefault="0031272B" w:rsidP="0031272B">
      <w:pPr>
        <w:spacing w:before="100" w:beforeAutospacing="1" w:after="100" w:afterAutospacing="1" w:line="240" w:lineRule="auto"/>
        <w:rPr>
          <w:rFonts w:ascii="Calibri" w:hAnsi="Calibri"/>
        </w:rPr>
      </w:pPr>
      <w:r w:rsidRPr="00A40C6D">
        <w:rPr>
          <w:rFonts w:ascii="Calibri" w:hAnsi="Calibri"/>
        </w:rPr>
        <w:t xml:space="preserve">Secondly, a deferral period of 48 hours is shorter than the maximum deferral period available under MIFID 1 for equities.  In the opinion of the WMBA, this is worryingly restrictive for very large or illiquid trades, though this restriction may be compensated by effective and consistent operation of the extended deferral regimes. </w:t>
      </w:r>
    </w:p>
    <w:p w:rsidR="0031272B" w:rsidRPr="00A40C6D" w:rsidRDefault="0031272B" w:rsidP="0031272B">
      <w:pPr>
        <w:spacing w:before="100" w:beforeAutospacing="1" w:after="100" w:afterAutospacing="1" w:line="240" w:lineRule="auto"/>
        <w:rPr>
          <w:rFonts w:ascii="Calibri" w:hAnsi="Calibri"/>
        </w:rPr>
      </w:pPr>
      <w:r w:rsidRPr="00A40C6D">
        <w:rPr>
          <w:rFonts w:ascii="Calibri" w:hAnsi="Calibri"/>
        </w:rPr>
        <w:t>To ensure a continuation of liquidity by dealers and to reduce the potential sensitive effects of arising from a loss of anonymity, we would suggest for large trades in illiquid bonds and SFPs  a price deferral of up to [28] days.</w:t>
      </w:r>
    </w:p>
    <w:p w:rsidR="0031272B" w:rsidRPr="00A40C6D" w:rsidRDefault="0031272B" w:rsidP="0031272B">
      <w:pPr>
        <w:spacing w:before="100" w:beforeAutospacing="1" w:after="100" w:afterAutospacing="1" w:line="240" w:lineRule="auto"/>
        <w:rPr>
          <w:rFonts w:ascii="Calibri" w:hAnsi="Calibri"/>
          <w:b/>
          <w:i/>
        </w:rPr>
      </w:pPr>
      <w:r w:rsidRPr="00A40C6D">
        <w:rPr>
          <w:rFonts w:ascii="Calibri" w:hAnsi="Calibri"/>
          <w:b/>
          <w:i/>
        </w:rPr>
        <w:t xml:space="preserve">(2) </w:t>
      </w:r>
      <w:r w:rsidR="004E26B2" w:rsidRPr="00A40C6D">
        <w:rPr>
          <w:rFonts w:ascii="Calibri" w:hAnsi="Calibri"/>
          <w:b/>
          <w:i/>
        </w:rPr>
        <w:t>Size</w:t>
      </w:r>
      <w:r w:rsidRPr="00A40C6D">
        <w:rPr>
          <w:rFonts w:ascii="Calibri" w:hAnsi="Calibri"/>
          <w:b/>
          <w:i/>
        </w:rPr>
        <w:t xml:space="preserve"> specific to the instrument threshold set as 50% of the large in scale threshold</w:t>
      </w:r>
    </w:p>
    <w:p w:rsidR="0031272B" w:rsidRPr="00A40C6D" w:rsidRDefault="0031272B" w:rsidP="0031272B">
      <w:pPr>
        <w:spacing w:before="100" w:beforeAutospacing="1" w:after="100" w:afterAutospacing="1" w:line="240" w:lineRule="auto"/>
        <w:rPr>
          <w:rFonts w:ascii="Calibri" w:hAnsi="Calibri"/>
        </w:rPr>
      </w:pPr>
      <w:r w:rsidRPr="00A40C6D">
        <w:rPr>
          <w:rFonts w:ascii="Calibri" w:hAnsi="Calibri"/>
        </w:rPr>
        <w:t xml:space="preserve">It is inappropriate to set SSTI at such a high percentage of LiS, particularly for pre-trade transparency. Such a high threshold will discourage liquidity provision and lead to firms heavily limiting the number of times they would trade on a quote. 50% means that two SSTI level trades only would be executed before the firm has taken on risk equivalent to the LIS threshold, which would be restrictive. </w:t>
      </w:r>
    </w:p>
    <w:p w:rsidR="0031272B" w:rsidRPr="00A40C6D" w:rsidRDefault="0031272B" w:rsidP="0031272B">
      <w:pPr>
        <w:pStyle w:val="BodyText"/>
        <w:spacing w:before="100" w:beforeAutospacing="1" w:after="100" w:afterAutospacing="1" w:line="240" w:lineRule="auto"/>
        <w:rPr>
          <w:rFonts w:ascii="Calibri" w:eastAsia="Times New Roman" w:hAnsi="Calibri" w:cs="Arial"/>
          <w:szCs w:val="22"/>
        </w:rPr>
      </w:pPr>
      <w:r w:rsidRPr="00A40C6D">
        <w:rPr>
          <w:rFonts w:ascii="Calibri" w:eastAsia="Times New Roman" w:hAnsi="Calibri" w:cs="Arial"/>
          <w:szCs w:val="22"/>
        </w:rPr>
        <w:t>The risks to liquidity addressed by the SSTI is of a different nature in the post-trade context. At this stage, the counterparties have already committed balance sheet and capital to the trade. The risks faced at this stage relate to the management of accruing exposure (i.e. the ability to conduct a successful hedging strategy). However, again, if the ratio is set too high for post-trade purposes, the risks the liquidity providers face in managing an onwards hedging strategy in relation to certain products will be reflected in wider prices being quoted to the market as a whole.</w:t>
      </w:r>
    </w:p>
    <w:p w:rsidR="0031272B" w:rsidRPr="00A40C6D" w:rsidRDefault="0031272B" w:rsidP="0031272B">
      <w:pPr>
        <w:spacing w:before="100" w:beforeAutospacing="1" w:after="100" w:afterAutospacing="1" w:line="240" w:lineRule="auto"/>
        <w:rPr>
          <w:rFonts w:ascii="Calibri" w:hAnsi="Calibri"/>
        </w:rPr>
      </w:pPr>
      <w:r w:rsidRPr="00A40C6D">
        <w:rPr>
          <w:rFonts w:ascii="Calibri" w:hAnsi="Calibri"/>
        </w:rPr>
        <w:t>We consider that for pre-trade transparency, a level of 5-10% of LiS would be more appropriate, though there may be potential for a higher level for post-trade transparency.  We also note AFME’s calls for the median trade size (50th percentile of transaction sizes) for transactions in the relevant sub-class. The appeal of using the median size would be that ESMA can be sure that half of transactions in any liquid sub-class would be subject to pre-trade transparency and would not experience deferred publication. We consider this to be inferior to the specific regime we continue to propose for pre-trade SSTI, but after the trade it will accord better with a normal market transaction at which liquidity providers could be reasonably expected to hedge their risks (as per MiFIR Article 9(5)(d). Furthermore, breaking the link to LiS is a fundamental WMBA viewpoint and would prevent the SSTI being skewed by individual, large transactions (which could result under ESMA’s current proposal for LIS calibration).</w:t>
      </w:r>
    </w:p>
    <w:p w:rsidR="0031272B" w:rsidRPr="00A40C6D" w:rsidRDefault="0031272B" w:rsidP="0031272B">
      <w:pPr>
        <w:spacing w:before="100" w:beforeAutospacing="1" w:after="100" w:afterAutospacing="1" w:line="240" w:lineRule="auto"/>
        <w:rPr>
          <w:rFonts w:ascii="Calibri" w:hAnsi="Calibri"/>
        </w:rPr>
      </w:pPr>
      <w:r w:rsidRPr="00A40C6D">
        <w:rPr>
          <w:rFonts w:ascii="Calibri" w:hAnsi="Calibri"/>
        </w:rPr>
        <w:t>As described in our response to the summer DP, the SSTI should be independent of the LiS and based upon a bottom up scenario analysis of market practice for standard size to be transacted between participants. The WMBA has done a quantitative analysis of where such normal practice resides in comparison to the output of the top down mechanical approach prescribed by ESMA. In particular, dangerous false positives are witnessed in GBP Swaps, Scandinavian Swaps and all Swaptions and Bond Options.</w:t>
      </w:r>
    </w:p>
    <w:p w:rsidR="0031272B" w:rsidRPr="00A40C6D" w:rsidRDefault="0031272B" w:rsidP="0031272B">
      <w:pPr>
        <w:spacing w:before="100" w:beforeAutospacing="1" w:after="100" w:afterAutospacing="1" w:line="240" w:lineRule="auto"/>
        <w:rPr>
          <w:rFonts w:ascii="Calibri" w:hAnsi="Calibri"/>
          <w:b/>
          <w:i/>
        </w:rPr>
      </w:pPr>
      <w:r w:rsidRPr="00A40C6D">
        <w:rPr>
          <w:rFonts w:ascii="Calibri" w:hAnsi="Calibri"/>
          <w:b/>
          <w:i/>
        </w:rPr>
        <w:t>(3)  Volume measure used to set the large in scale threshold as specified in Annex II, Table 3 of draft RTS 9</w:t>
      </w:r>
    </w:p>
    <w:p w:rsidR="0031272B" w:rsidRPr="00A40C6D" w:rsidRDefault="0031272B" w:rsidP="0031272B">
      <w:pPr>
        <w:spacing w:before="100" w:beforeAutospacing="1" w:after="100" w:afterAutospacing="1" w:line="240" w:lineRule="auto"/>
        <w:rPr>
          <w:rFonts w:ascii="Calibri" w:hAnsi="Calibri"/>
        </w:rPr>
      </w:pPr>
      <w:r w:rsidRPr="00A40C6D">
        <w:rPr>
          <w:rFonts w:ascii="Calibri" w:hAnsi="Calibri"/>
        </w:rPr>
        <w:t>The WMBA agrees with ESMA’s proposals.  We agree with the proposed use of "notional amount of traded contracts" as the appropriate volume measure for interest rate derivatives. ESMA, however, clearly must use all trade sizes when calibrating LiS and SSTI, and should not consider excluding transactions below €100k.</w:t>
      </w:r>
    </w:p>
    <w:p w:rsidR="0031272B" w:rsidRPr="00A40C6D" w:rsidRDefault="0031272B" w:rsidP="0031272B">
      <w:pPr>
        <w:spacing w:before="100" w:beforeAutospacing="1" w:after="100" w:afterAutospacing="1" w:line="240" w:lineRule="auto"/>
        <w:rPr>
          <w:rFonts w:ascii="Calibri" w:hAnsi="Calibri"/>
          <w:b/>
          <w:i/>
        </w:rPr>
      </w:pPr>
      <w:r w:rsidRPr="00A40C6D">
        <w:rPr>
          <w:rFonts w:ascii="Calibri" w:hAnsi="Calibri"/>
          <w:b/>
          <w:i/>
        </w:rPr>
        <w:t>(4) Pre-trade and post-trade thresholds set at the same size</w:t>
      </w:r>
    </w:p>
    <w:p w:rsidR="0031272B" w:rsidRPr="00A40C6D" w:rsidRDefault="0031272B" w:rsidP="0031272B">
      <w:pPr>
        <w:spacing w:before="100" w:beforeAutospacing="1" w:after="100" w:afterAutospacing="1" w:line="240" w:lineRule="auto"/>
        <w:rPr>
          <w:rFonts w:ascii="Calibri" w:hAnsi="Calibri"/>
        </w:rPr>
      </w:pPr>
      <w:r w:rsidRPr="00A40C6D">
        <w:rPr>
          <w:rFonts w:ascii="Calibri" w:hAnsi="Calibri"/>
        </w:rPr>
        <w:t xml:space="preserve">The WMBA considers that for pre-trade transparency, a level of c.10% of LIS would be more appropriate, though there may be potential for a higher level for post-trade transparency.  Therefore, we recommend using only the percentile of trades to calibrate the LiS (i.e. Criterion 1). </w:t>
      </w:r>
    </w:p>
    <w:p w:rsidR="0031272B" w:rsidRPr="00A40C6D" w:rsidRDefault="0031272B" w:rsidP="0031272B">
      <w:pPr>
        <w:spacing w:before="100" w:beforeAutospacing="1" w:after="100" w:afterAutospacing="1" w:line="240" w:lineRule="auto"/>
        <w:rPr>
          <w:rFonts w:ascii="Calibri" w:hAnsi="Calibri"/>
        </w:rPr>
      </w:pPr>
      <w:r w:rsidRPr="00A40C6D">
        <w:rPr>
          <w:rFonts w:ascii="Calibri" w:hAnsi="Calibri"/>
        </w:rPr>
        <w:t>Whilst we agree with the use of criterion 1, we believe that the percentile level used for the LiS threshold should be varied according to the homogeneity of the class in order to compensate for inaccuracies in the liquidity determination. For homogenous classes of financial instruments (such as single-currency interest rates swaps as classified by ESMA) the proposed LiS threshold of the 90th percentile transaction size is appropriate. However, for less homogenous classes (e.g. swaptions as currently classified by ESMA), the LiS threshold should be lower than the 90th percentile transaction size, potentially as low as the 50th percentile, in order to compensate for the lack of granularity in the composition of the class.</w:t>
      </w:r>
    </w:p>
    <w:p w:rsidR="0031272B" w:rsidRPr="00A40C6D" w:rsidRDefault="0031272B" w:rsidP="0031272B">
      <w:pPr>
        <w:spacing w:before="100" w:beforeAutospacing="1" w:after="100" w:afterAutospacing="1" w:line="240" w:lineRule="auto"/>
        <w:rPr>
          <w:rFonts w:ascii="Calibri" w:hAnsi="Calibri"/>
          <w:b/>
          <w:i/>
        </w:rPr>
      </w:pPr>
      <w:r w:rsidRPr="00A40C6D">
        <w:rPr>
          <w:rFonts w:ascii="Calibri" w:hAnsi="Calibri"/>
        </w:rPr>
        <w:t xml:space="preserve">  </w:t>
      </w:r>
      <w:r w:rsidRPr="00A40C6D">
        <w:rPr>
          <w:rFonts w:ascii="Calibri" w:hAnsi="Calibri"/>
          <w:b/>
          <w:i/>
        </w:rPr>
        <w:t>(5).  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31272B" w:rsidRPr="00A40C6D" w:rsidRDefault="0031272B" w:rsidP="0031272B">
      <w:pPr>
        <w:spacing w:before="100" w:beforeAutospacing="1" w:after="100" w:afterAutospacing="1" w:line="240" w:lineRule="auto"/>
        <w:rPr>
          <w:rFonts w:ascii="Calibri" w:hAnsi="Calibri"/>
        </w:rPr>
      </w:pPr>
      <w:r w:rsidRPr="00A40C6D">
        <w:rPr>
          <w:rFonts w:ascii="Calibri" w:hAnsi="Calibri"/>
        </w:rPr>
        <w:t xml:space="preserve">The WMBA considers that thresholds should be recalculated annually.  </w:t>
      </w:r>
    </w:p>
    <w:p w:rsidR="0031272B" w:rsidRPr="00A40C6D" w:rsidRDefault="0031272B" w:rsidP="0031272B">
      <w:pPr>
        <w:spacing w:before="100" w:beforeAutospacing="1" w:after="100" w:afterAutospacing="1" w:line="240" w:lineRule="auto"/>
        <w:rPr>
          <w:rFonts w:ascii="Calibri" w:hAnsi="Calibri"/>
        </w:rPr>
      </w:pPr>
      <w:r w:rsidRPr="00A40C6D">
        <w:rPr>
          <w:rFonts w:ascii="Calibri" w:hAnsi="Calibri"/>
        </w:rPr>
        <w:t xml:space="preserve">There should be no LiS floor: there is no mandate in the Level 1 text to create such a floor which would lead to a false LiS level.  Rounding should be mathematical rounding to the nearest level, not rounding up, which would inappropriately skew the outcome.  €100,000 trades should not be excluded from the assessment.  We agree with the 90th percentile on trades.  </w:t>
      </w:r>
    </w:p>
    <w:p w:rsidR="0031272B" w:rsidRPr="00A40C6D" w:rsidRDefault="0031272B" w:rsidP="0031272B">
      <w:pPr>
        <w:spacing w:before="100" w:beforeAutospacing="1" w:after="100" w:afterAutospacing="1" w:line="240" w:lineRule="auto"/>
        <w:rPr>
          <w:rFonts w:ascii="Calibri" w:hAnsi="Calibri"/>
        </w:rPr>
      </w:pPr>
      <w:r w:rsidRPr="00A40C6D">
        <w:rPr>
          <w:rFonts w:ascii="Calibri" w:hAnsi="Calibri"/>
        </w:rPr>
        <w:t>As described in our response to Q57, ESMA can compensate for weaknesses of its liquidity determination by setting LiS and SSTI at low levels. The WMBA were encouraged by the statements in Verena Ross speech in London on 26</w:t>
      </w:r>
      <w:r w:rsidRPr="00A40C6D">
        <w:rPr>
          <w:rFonts w:ascii="Calibri" w:hAnsi="Calibri"/>
          <w:vertAlign w:val="superscript"/>
        </w:rPr>
        <w:t>th</w:t>
      </w:r>
      <w:r w:rsidRPr="00A40C6D">
        <w:rPr>
          <w:rFonts w:ascii="Calibri" w:hAnsi="Calibri"/>
        </w:rPr>
        <w:t xml:space="preserve"> February 2015 which clarified similar comments made by ESMA at the Paris open hearing the prior week. Similar scope is allowed for in Paragraph 35 on page 100 of the Consultation Paper in this regard, since this is an important method of compensation. However, we are concerned that ESMA has not specifically embedded this mitigation into its proposals. </w:t>
      </w:r>
    </w:p>
    <w:p w:rsidR="0031272B" w:rsidRPr="00A40C6D" w:rsidRDefault="0031272B" w:rsidP="0031272B">
      <w:pPr>
        <w:spacing w:before="100" w:beforeAutospacing="1" w:after="100" w:afterAutospacing="1" w:line="240" w:lineRule="auto"/>
        <w:rPr>
          <w:rFonts w:ascii="Calibri" w:hAnsi="Calibri"/>
        </w:rPr>
      </w:pPr>
      <w:r w:rsidRPr="00A40C6D">
        <w:rPr>
          <w:rFonts w:ascii="Calibri" w:hAnsi="Calibri"/>
        </w:rPr>
        <w:t>LiS and SSTI are proposed by ESMA to be calibrated using the same methodology (in terms of percentiles of volumes and transactions) regardless of how granularly classes are defined or regardless of how many illiquid instruments are classified as liquid in a given class. For example, ESMA’s methodology is the same for the Bund Future (shown in Table 2 of Annex III of RTS9), which is a single instrument and for which the liquidity determination is accurate, as for covered bonds, a class for which table 5 on page 104 of the Consultation Paper identifies 74% of bonds labelled as liquid by ESMA are in fact illiquid (on ESMA’s test, which is itself questionable as to whether it meets the description of a liquid market). The WMBA therefore repeat our proposals made in the answers to Q70 and Q72 that ESMA calibrate LiS and SSTI differently both to each other and pre-trade verses post-trade, depending on a bottom up specific liquidity and how good a fit COFIA achieves for any given class.</w:t>
      </w:r>
    </w:p>
    <w:p w:rsidR="0031272B" w:rsidRPr="00A40C6D" w:rsidRDefault="0031272B" w:rsidP="0031272B">
      <w:pPr>
        <w:spacing w:before="100" w:beforeAutospacing="1" w:after="100" w:afterAutospacing="1" w:line="240" w:lineRule="auto"/>
        <w:rPr>
          <w:rFonts w:ascii="Calibri" w:hAnsi="Calibri"/>
          <w:b/>
          <w:u w:val="single"/>
        </w:rPr>
      </w:pPr>
      <w:r w:rsidRPr="00A40C6D">
        <w:rPr>
          <w:rFonts w:ascii="Calibri" w:hAnsi="Calibri"/>
          <w:b/>
          <w:u w:val="single"/>
        </w:rPr>
        <w:t>Package transactions</w:t>
      </w:r>
    </w:p>
    <w:p w:rsidR="0031272B" w:rsidRPr="00A40C6D" w:rsidRDefault="0031272B" w:rsidP="0031272B">
      <w:pPr>
        <w:spacing w:before="100" w:beforeAutospacing="1" w:after="100" w:afterAutospacing="1" w:line="240" w:lineRule="auto"/>
        <w:rPr>
          <w:rFonts w:ascii="Calibri" w:hAnsi="Calibri"/>
        </w:rPr>
      </w:pPr>
      <w:r w:rsidRPr="00A40C6D">
        <w:rPr>
          <w:rFonts w:ascii="Calibri" w:hAnsi="Calibri"/>
        </w:rPr>
        <w:t xml:space="preserve">The WMBA urges ESMA to consider specific and tailored treatment for package transactions as the Consultation Paper does not address how these transactions might be treated under the new framework. </w:t>
      </w:r>
    </w:p>
    <w:p w:rsidR="0031272B" w:rsidRPr="00A40C6D" w:rsidRDefault="0031272B" w:rsidP="0031272B">
      <w:pPr>
        <w:spacing w:before="100" w:beforeAutospacing="1" w:after="100" w:afterAutospacing="1" w:line="240" w:lineRule="auto"/>
        <w:rPr>
          <w:rFonts w:ascii="Calibri" w:hAnsi="Calibri"/>
        </w:rPr>
      </w:pPr>
      <w:r w:rsidRPr="00A40C6D">
        <w:rPr>
          <w:rFonts w:ascii="Calibri" w:hAnsi="Calibri"/>
        </w:rPr>
        <w:t xml:space="preserve">We believe that Level 1 text is flexible enough to empower ESMA to specify how package transactions are treated in order to determine if such transactions are liquid or “traded on a trading venue” (both for determining whether transparency obligations apply as well as determining whether the derivatives trading obligation applies).   The Level 1 text clearly sets the foundation for the pre- and post-trade transparency regimes in non-equities by defining the asset classes – “bonds, structured finance products, emission allowances and derivatives” – on which the Level 2 measures must be built. </w:t>
      </w:r>
    </w:p>
    <w:p w:rsidR="0031272B" w:rsidRPr="00A40C6D" w:rsidRDefault="0031272B" w:rsidP="0031272B">
      <w:pPr>
        <w:spacing w:before="100" w:beforeAutospacing="1" w:after="100" w:afterAutospacing="1" w:line="240" w:lineRule="auto"/>
        <w:rPr>
          <w:rFonts w:ascii="Calibri" w:hAnsi="Calibri"/>
        </w:rPr>
      </w:pPr>
      <w:r w:rsidRPr="00A40C6D">
        <w:rPr>
          <w:rFonts w:ascii="Calibri" w:hAnsi="Calibri"/>
        </w:rPr>
        <w:t>A proportionately tailored treatment for package transactions which recognises that a package transaction should be considered in its entirety when being assessed as subject to transparency/derivatives trading obligation is vital. The absence of such would contribute to a significant risk that such transactions may no longer be available to clients in the EU. These challenges are likely to be particularly acute where one or more of the components of a package transaction includes derivatives subject to the trading obligation:</w:t>
      </w:r>
    </w:p>
    <w:p w:rsidR="0031272B" w:rsidRPr="00A40C6D" w:rsidRDefault="0031272B" w:rsidP="007D55BD">
      <w:pPr>
        <w:pStyle w:val="ListParagraph"/>
        <w:numPr>
          <w:ilvl w:val="0"/>
          <w:numId w:val="25"/>
        </w:numPr>
      </w:pPr>
      <w:r w:rsidRPr="00A40C6D">
        <w:t xml:space="preserve">If some components of a package transaction are traded on a trading venue but others are not. </w:t>
      </w:r>
    </w:p>
    <w:p w:rsidR="0031272B" w:rsidRPr="00A40C6D" w:rsidRDefault="0031272B" w:rsidP="007D55BD">
      <w:pPr>
        <w:pStyle w:val="ListParagraph"/>
        <w:numPr>
          <w:ilvl w:val="0"/>
          <w:numId w:val="25"/>
        </w:numPr>
      </w:pPr>
      <w:r w:rsidRPr="00A40C6D">
        <w:t>If some components of a package transaction are deemed liquid but others are not.</w:t>
      </w:r>
    </w:p>
    <w:p w:rsidR="0031272B" w:rsidRPr="00A40C6D" w:rsidRDefault="0031272B" w:rsidP="007D55BD">
      <w:pPr>
        <w:pStyle w:val="ListParagraph"/>
        <w:numPr>
          <w:ilvl w:val="0"/>
          <w:numId w:val="25"/>
        </w:numPr>
      </w:pPr>
      <w:r w:rsidRPr="00A40C6D">
        <w:t>If some components of a package transaction are above the relevant LIS or SSTI thresholds but others are not.</w:t>
      </w:r>
    </w:p>
    <w:p w:rsidR="0031272B" w:rsidRPr="00A40C6D" w:rsidRDefault="0031272B" w:rsidP="007D55BD">
      <w:pPr>
        <w:pStyle w:val="ListParagraph"/>
        <w:numPr>
          <w:ilvl w:val="0"/>
          <w:numId w:val="25"/>
        </w:numPr>
      </w:pPr>
      <w:r w:rsidRPr="00A40C6D">
        <w:t xml:space="preserve">If the components of a package transaction are below the relevant LIS or SSTI thresholds but together they behave similarly to a single transaction above the LIS or SSTI. </w:t>
      </w:r>
    </w:p>
    <w:p w:rsidR="0031272B" w:rsidRPr="00A40C6D" w:rsidRDefault="0031272B" w:rsidP="007D55BD">
      <w:pPr>
        <w:pStyle w:val="ListParagraph"/>
        <w:numPr>
          <w:ilvl w:val="0"/>
          <w:numId w:val="25"/>
        </w:numPr>
      </w:pPr>
      <w:r w:rsidRPr="00A40C6D">
        <w:t>If the package transaction contains a listed derivative which trades on a different trading venue to other components.</w:t>
      </w:r>
    </w:p>
    <w:p w:rsidR="0031272B" w:rsidRPr="00A40C6D" w:rsidRDefault="0031272B" w:rsidP="0031272B">
      <w:pPr>
        <w:spacing w:before="100" w:beforeAutospacing="1" w:after="100" w:afterAutospacing="1" w:line="240" w:lineRule="auto"/>
        <w:rPr>
          <w:rFonts w:ascii="Calibri" w:hAnsi="Calibri"/>
        </w:rPr>
      </w:pPr>
      <w:r w:rsidRPr="00A40C6D">
        <w:rPr>
          <w:rFonts w:ascii="Calibri" w:hAnsi="Calibri"/>
        </w:rPr>
        <w:t>Therefore, the WMBA understands that if the package transaction contains liquid and illiquid components:</w:t>
      </w:r>
    </w:p>
    <w:p w:rsidR="0031272B" w:rsidRPr="00A40C6D" w:rsidRDefault="0031272B" w:rsidP="007D55BD">
      <w:pPr>
        <w:pStyle w:val="ListParagraph"/>
        <w:numPr>
          <w:ilvl w:val="0"/>
          <w:numId w:val="26"/>
        </w:numPr>
      </w:pPr>
      <w:r w:rsidRPr="00A40C6D">
        <w:t>The package transaction should be considered illiquid; and</w:t>
      </w:r>
    </w:p>
    <w:p w:rsidR="0031272B" w:rsidRPr="00A40C6D" w:rsidRDefault="0031272B" w:rsidP="007D55BD">
      <w:pPr>
        <w:pStyle w:val="ListParagraph"/>
        <w:numPr>
          <w:ilvl w:val="0"/>
          <w:numId w:val="26"/>
        </w:numPr>
      </w:pPr>
      <w:r w:rsidRPr="00A40C6D">
        <w:t>If any one component is above the relevant threshold (LiS or SSTI) then the package transaction should be deemed to be above the threshold.</w:t>
      </w:r>
    </w:p>
    <w:permEnd w:id="223956606"/>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7E18A4" w:rsidRPr="00A40C6D" w:rsidRDefault="007E18A4" w:rsidP="007E18A4">
      <w:pPr>
        <w:keepNext/>
        <w:ind w:left="360"/>
        <w:rPr>
          <w:rFonts w:ascii="Calibri" w:hAnsi="Calibri"/>
        </w:rPr>
      </w:pPr>
      <w:permStart w:id="252072668" w:edGrp="everyone"/>
      <w:r w:rsidRPr="00A40C6D">
        <w:rPr>
          <w:rFonts w:ascii="Calibri" w:hAnsi="Calibri"/>
        </w:rPr>
        <w:t>The WMBA would challenge the approach taken when setting the LIS and SSTI data for calibrating when the pre-trade requirements commence.  In our view, the use of existing transaction reporting and/or trade data will provide a skewed view of the market.</w:t>
      </w:r>
    </w:p>
    <w:p w:rsidR="007E18A4" w:rsidRPr="00A40C6D" w:rsidRDefault="007E18A4" w:rsidP="007E18A4">
      <w:pPr>
        <w:keepNext/>
        <w:ind w:left="360"/>
        <w:rPr>
          <w:rFonts w:ascii="Calibri" w:hAnsi="Calibri"/>
        </w:rPr>
      </w:pPr>
    </w:p>
    <w:p w:rsidR="007E18A4" w:rsidRPr="00A40C6D" w:rsidRDefault="007E18A4" w:rsidP="007E18A4">
      <w:pPr>
        <w:keepNext/>
        <w:ind w:left="360"/>
        <w:rPr>
          <w:rFonts w:ascii="Calibri" w:hAnsi="Calibri"/>
        </w:rPr>
      </w:pPr>
      <w:r w:rsidRPr="00A40C6D">
        <w:rPr>
          <w:rFonts w:ascii="Calibri" w:hAnsi="Calibri"/>
        </w:rPr>
        <w:t xml:space="preserve">In particular, existing trade data will include packaged transactions/strategies, whereby one leg of the package would rarely trade as a stand-alone instrument but frequently as part of a package.  These legs will not be identified in trade reporting data and as such will give a false view of the liquidity and size of that instrument when traded outright.  </w:t>
      </w:r>
    </w:p>
    <w:p w:rsidR="007E18A4" w:rsidRPr="00A40C6D" w:rsidRDefault="007E18A4" w:rsidP="007E18A4">
      <w:pPr>
        <w:keepNext/>
        <w:ind w:left="360"/>
        <w:rPr>
          <w:rFonts w:ascii="Calibri" w:hAnsi="Calibri"/>
        </w:rPr>
      </w:pPr>
    </w:p>
    <w:p w:rsidR="007E18A4" w:rsidRPr="00A40C6D" w:rsidRDefault="007E18A4" w:rsidP="007E18A4">
      <w:pPr>
        <w:keepNext/>
        <w:ind w:left="360"/>
        <w:rPr>
          <w:rFonts w:ascii="Calibri" w:hAnsi="Calibri"/>
        </w:rPr>
      </w:pPr>
      <w:r w:rsidRPr="00A40C6D">
        <w:rPr>
          <w:rFonts w:ascii="Calibri" w:hAnsi="Calibri"/>
        </w:rPr>
        <w:t>In addition, the aim of this exercise was to ensure multi-to-multi transactions are conducted on a venue, however existing trade data will include intercompany, treasury hedging and bilateral transactions, again increasing the view of liquidity on certain instruments and skewing the average size of transactions.</w:t>
      </w:r>
    </w:p>
    <w:p w:rsidR="007E18A4" w:rsidRPr="00A40C6D" w:rsidRDefault="007E18A4" w:rsidP="007E18A4">
      <w:pPr>
        <w:keepNext/>
        <w:ind w:left="360"/>
        <w:rPr>
          <w:rFonts w:ascii="Calibri" w:hAnsi="Calibri"/>
        </w:rPr>
      </w:pPr>
    </w:p>
    <w:p w:rsidR="007E18A4" w:rsidRPr="00A40C6D" w:rsidRDefault="007E18A4" w:rsidP="007E18A4">
      <w:pPr>
        <w:keepNext/>
        <w:ind w:left="360"/>
        <w:rPr>
          <w:rFonts w:ascii="Calibri" w:hAnsi="Calibri"/>
        </w:rPr>
      </w:pPr>
      <w:r w:rsidRPr="00A40C6D">
        <w:rPr>
          <w:rFonts w:ascii="Calibri" w:hAnsi="Calibri"/>
        </w:rPr>
        <w:t>Therefore our strong opinion is that the use of a 70% volume threshold is very misleading and yields poor results for policy purposes. The figures are easily be skewed by very few, very large trades, and we would thus propose to only use the 90</w:t>
      </w:r>
      <w:r w:rsidRPr="00A40C6D">
        <w:rPr>
          <w:rFonts w:ascii="Calibri" w:hAnsi="Calibri"/>
          <w:vertAlign w:val="superscript"/>
        </w:rPr>
        <w:t>th</w:t>
      </w:r>
      <w:r w:rsidRPr="00A40C6D">
        <w:rPr>
          <w:rFonts w:ascii="Calibri" w:hAnsi="Calibri"/>
        </w:rPr>
        <w:t xml:space="preserve"> percentile of transactions as a more natural reading of above normal market size.  </w:t>
      </w:r>
    </w:p>
    <w:p w:rsidR="007E18A4" w:rsidRPr="00A40C6D" w:rsidRDefault="007E18A4" w:rsidP="007E18A4">
      <w:pPr>
        <w:keepNext/>
        <w:ind w:left="360"/>
        <w:rPr>
          <w:rFonts w:ascii="Calibri" w:hAnsi="Calibri"/>
        </w:rPr>
      </w:pPr>
    </w:p>
    <w:p w:rsidR="007E18A4" w:rsidRPr="00A40C6D" w:rsidRDefault="007E18A4" w:rsidP="007E18A4">
      <w:pPr>
        <w:keepNext/>
        <w:ind w:left="360"/>
        <w:rPr>
          <w:rFonts w:ascii="Calibri" w:hAnsi="Calibri"/>
        </w:rPr>
      </w:pPr>
      <w:r w:rsidRPr="00A40C6D">
        <w:rPr>
          <w:rFonts w:ascii="Calibri" w:hAnsi="Calibri"/>
        </w:rPr>
        <w:t>Lastly, we would highlight that the risk for market makers clearly differ and are of greater relevance pre-trade than post-trade. As such, there should be clear and distinct differentiation in the LiS thresholds pre- and post-trade to reflect this reality.</w:t>
      </w:r>
    </w:p>
    <w:permEnd w:id="252072668"/>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Pr="00A40C6D" w:rsidRDefault="007E18A4" w:rsidP="00EC2C93">
      <w:pPr>
        <w:keepNext/>
        <w:rPr>
          <w:rFonts w:ascii="Calibri" w:hAnsi="Calibri"/>
        </w:rPr>
      </w:pPr>
      <w:permStart w:id="823860820" w:edGrp="everyone"/>
      <w:r w:rsidRPr="00A40C6D">
        <w:rPr>
          <w:rFonts w:ascii="Calibri" w:hAnsi="Calibri"/>
        </w:rPr>
        <w:t>See WMBA reply to Q77 and Q78.</w:t>
      </w:r>
    </w:p>
    <w:permEnd w:id="823860820"/>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7E18A4" w:rsidRPr="0062008E" w:rsidRDefault="007E18A4" w:rsidP="007E18A4">
      <w:pPr>
        <w:keepNext/>
        <w:rPr>
          <w:rFonts w:ascii="Calibri" w:hAnsi="Calibri"/>
        </w:rPr>
      </w:pPr>
      <w:permStart w:id="2090405187" w:edGrp="everyone"/>
      <w:r w:rsidRPr="0062008E">
        <w:rPr>
          <w:rFonts w:ascii="Calibri" w:hAnsi="Calibri"/>
        </w:rPr>
        <w:t>See WMBA reply to Q77 and Q78.</w:t>
      </w:r>
    </w:p>
    <w:permEnd w:id="2090405187"/>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7E18A4" w:rsidRPr="0062008E" w:rsidRDefault="007E18A4" w:rsidP="007E18A4">
      <w:pPr>
        <w:keepNext/>
        <w:rPr>
          <w:rFonts w:ascii="Calibri" w:hAnsi="Calibri"/>
        </w:rPr>
      </w:pPr>
      <w:permStart w:id="304758544" w:edGrp="everyone"/>
      <w:r w:rsidRPr="0062008E">
        <w:rPr>
          <w:rFonts w:ascii="Calibri" w:hAnsi="Calibri"/>
        </w:rPr>
        <w:t>See WMBA reply to Q77 and Q78.</w:t>
      </w:r>
    </w:p>
    <w:permEnd w:id="304758544"/>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7E18A4" w:rsidRDefault="007E18A4" w:rsidP="007E18A4">
      <w:pPr>
        <w:keepNext/>
      </w:pPr>
      <w:permStart w:id="1128072246" w:edGrp="everyone"/>
      <w:r>
        <w:t>See WMBA reply to Q77 and Q78.</w:t>
      </w:r>
    </w:p>
    <w:permEnd w:id="1128072246"/>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7E18A4" w:rsidRPr="0062008E" w:rsidRDefault="007E18A4" w:rsidP="007E18A4">
      <w:pPr>
        <w:rPr>
          <w:rFonts w:ascii="Calibri" w:hAnsi="Calibri"/>
        </w:rPr>
      </w:pPr>
      <w:permStart w:id="1708934757" w:edGrp="everyone"/>
      <w:r w:rsidRPr="0062008E">
        <w:rPr>
          <w:rFonts w:ascii="Calibri" w:hAnsi="Calibri"/>
        </w:rPr>
        <w:t xml:space="preserve">No, the WMBA do not agree. </w:t>
      </w:r>
    </w:p>
    <w:p w:rsidR="007E18A4" w:rsidRPr="0062008E" w:rsidRDefault="007E18A4" w:rsidP="007D55BD">
      <w:pPr>
        <w:pStyle w:val="ListParagraph"/>
        <w:numPr>
          <w:ilvl w:val="0"/>
          <w:numId w:val="28"/>
        </w:numPr>
      </w:pPr>
      <w:r w:rsidRPr="0062008E">
        <w:t>Although we acknowledge ESMA’s intention to afford NCAs discretion to allow for supplementary deferral, we do not believe that ESMA’s proposals achieve the correct outcome. This is because the proposed regime does not take into account the following critical factors:</w:t>
      </w:r>
    </w:p>
    <w:p w:rsidR="007E18A4" w:rsidRPr="0062008E" w:rsidRDefault="007E18A4" w:rsidP="007D55BD">
      <w:pPr>
        <w:pStyle w:val="ListParagraph"/>
        <w:numPr>
          <w:ilvl w:val="0"/>
          <w:numId w:val="27"/>
        </w:numPr>
      </w:pPr>
      <w:r w:rsidRPr="0062008E">
        <w:t>Liquid instruments benefiting from a deferral.</w:t>
      </w:r>
    </w:p>
    <w:p w:rsidR="007E18A4" w:rsidRPr="0062008E" w:rsidRDefault="007E18A4" w:rsidP="007D55BD">
      <w:pPr>
        <w:pStyle w:val="ListParagraph"/>
        <w:numPr>
          <w:ilvl w:val="0"/>
          <w:numId w:val="27"/>
        </w:numPr>
      </w:pPr>
      <w:r w:rsidRPr="0062008E">
        <w:t xml:space="preserve">In the case of a liquid instrument benefiting from a deferral, the volume of the transaction constitutes sensitive information which should be protected from publication. Therefore, it is our view that any standard or supplementary deferral mechanism exercised by the NCA must protect the volume of transactions in liquid instruments benefiting from a deferral from being published. </w:t>
      </w:r>
    </w:p>
    <w:p w:rsidR="007E18A4" w:rsidRPr="0062008E" w:rsidRDefault="007E18A4" w:rsidP="007D55BD">
      <w:pPr>
        <w:pStyle w:val="ListParagraph"/>
        <w:numPr>
          <w:ilvl w:val="0"/>
          <w:numId w:val="27"/>
        </w:numPr>
      </w:pPr>
      <w:r w:rsidRPr="0062008E">
        <w:t>Illiquid instruments benefiting from a deferral.</w:t>
      </w:r>
    </w:p>
    <w:p w:rsidR="007E18A4" w:rsidRPr="0062008E" w:rsidRDefault="007E18A4" w:rsidP="007D55BD">
      <w:pPr>
        <w:pStyle w:val="ListParagraph"/>
        <w:numPr>
          <w:ilvl w:val="0"/>
          <w:numId w:val="27"/>
        </w:numPr>
      </w:pPr>
      <w:r w:rsidRPr="0062008E">
        <w:t xml:space="preserve">In the case of an illiquid instrument benefiting from a deferral, both the volume and price of the transaction constitute sensitive information which should be protected from publication. Therefore, it is our view that any standard or supplementary deferral mechanism exercised by the NCA must protect from being published both the volume and price of transactions in illiquid instruments benefiting from a deferral. </w:t>
      </w:r>
    </w:p>
    <w:p w:rsidR="007E18A4" w:rsidRPr="0062008E" w:rsidRDefault="007E18A4" w:rsidP="007D55BD">
      <w:pPr>
        <w:pStyle w:val="ListParagraph"/>
        <w:numPr>
          <w:ilvl w:val="0"/>
          <w:numId w:val="27"/>
        </w:numPr>
      </w:pPr>
      <w:r w:rsidRPr="0062008E">
        <w:t xml:space="preserve">In addition, where an instrument is illiquid it cannot by its very nature be aggregated with other instruments. Therefore, any standard or supplementary deferral mechanism should not require publication, on an aggregated basis, of an illiquid instrument.  </w:t>
      </w:r>
    </w:p>
    <w:p w:rsidR="007E18A4" w:rsidRPr="0062008E" w:rsidRDefault="007E18A4" w:rsidP="007D55BD">
      <w:pPr>
        <w:pStyle w:val="ListParagraph"/>
        <w:numPr>
          <w:ilvl w:val="0"/>
          <w:numId w:val="28"/>
        </w:numPr>
      </w:pPr>
      <w:r w:rsidRPr="0062008E">
        <w:t xml:space="preserve">On the basis of the above mentioned critical factors, we have set out in diagrammatical format how we believe the supplementary/enhanced deferral regime should operate taking into account the distinction between a liquid and illiquid instrument. </w:t>
      </w:r>
    </w:p>
    <w:p w:rsidR="007E18A4" w:rsidRPr="0062008E" w:rsidRDefault="007E18A4" w:rsidP="007D55BD">
      <w:pPr>
        <w:pStyle w:val="ListParagraph"/>
        <w:numPr>
          <w:ilvl w:val="0"/>
          <w:numId w:val="28"/>
        </w:numPr>
      </w:pPr>
      <w:r w:rsidRPr="0062008E">
        <w:t xml:space="preserve">The diagram illustrates that while we agree that a requirement to publish all details of a transaction except volume may be suitable for liquid instruments benefiting from a deferral, the same is not suitable for an illiquid instrument benefiting from a deferral.  Therefore, we propose that any standard or supplementary deferral regime should ensure that in the case of an illiquid instrument neither the price nor the volume of the transaction is published during any deferral period. </w:t>
      </w:r>
    </w:p>
    <w:p w:rsidR="007E18A4" w:rsidRPr="0062008E" w:rsidRDefault="007E18A4" w:rsidP="007D55BD">
      <w:pPr>
        <w:pStyle w:val="ListParagraph"/>
        <w:numPr>
          <w:ilvl w:val="0"/>
          <w:numId w:val="28"/>
        </w:numPr>
      </w:pPr>
      <w:r w:rsidRPr="0062008E">
        <w:t xml:space="preserve">In addition, whilst a requirement to publish all details of a transaction on an aggregated basis may be suitable for liquid instruments, the same is not suitable for an illiquid instrument. Therefore, we propose that any standard or supplementary deferral regime should not require publication of transaction details on an aggregated basis for illiquid instruments. </w:t>
      </w:r>
    </w:p>
    <w:p w:rsidR="007E18A4" w:rsidRPr="00B82108" w:rsidRDefault="007E18A4" w:rsidP="003A530C">
      <w:pPr>
        <w:jc w:val="center"/>
      </w:pPr>
      <w:r>
        <w:rPr>
          <w:noProof/>
          <w:lang w:eastAsia="en-GB"/>
        </w:rPr>
        <w:drawing>
          <wp:inline distT="0" distB="0" distL="0" distR="0" wp14:anchorId="2F04F606" wp14:editId="6C5F0597">
            <wp:extent cx="5731510" cy="4298950"/>
            <wp:effectExtent l="0" t="0" r="2540" b="635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0"/>
                    <a:stretch>
                      <a:fillRect/>
                    </a:stretch>
                  </pic:blipFill>
                  <pic:spPr>
                    <a:xfrm>
                      <a:off x="0" y="0"/>
                      <a:ext cx="5731510" cy="4298950"/>
                    </a:xfrm>
                    <a:prstGeom prst="rect">
                      <a:avLst/>
                    </a:prstGeom>
                  </pic:spPr>
                </pic:pic>
              </a:graphicData>
            </a:graphic>
          </wp:inline>
        </w:drawing>
      </w:r>
    </w:p>
    <w:permEnd w:id="1708934757"/>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7E18A4" w:rsidRPr="0062008E" w:rsidRDefault="007E18A4" w:rsidP="007E18A4">
      <w:pPr>
        <w:rPr>
          <w:rFonts w:ascii="Calibri" w:hAnsi="Calibri"/>
        </w:rPr>
      </w:pPr>
      <w:permStart w:id="893615203" w:edGrp="everyone"/>
      <w:r w:rsidRPr="0062008E">
        <w:rPr>
          <w:rFonts w:ascii="Calibri" w:hAnsi="Calibri"/>
        </w:rPr>
        <w:t>The WMBA does generally welcome and agree with ESMA on the temporary suspension of transparency requirements.  We do note that any instrument suspension creates a wider suspension applicable to all the instruments in the entire class.</w:t>
      </w:r>
    </w:p>
    <w:p w:rsidR="00976B6D" w:rsidRDefault="00976B6D" w:rsidP="007E18A4"/>
    <w:p w:rsidR="007E18A4" w:rsidRPr="0062008E" w:rsidRDefault="007E18A4" w:rsidP="007E18A4">
      <w:pPr>
        <w:rPr>
          <w:rFonts w:ascii="Calibri" w:hAnsi="Calibri"/>
        </w:rPr>
      </w:pPr>
      <w:r w:rsidRPr="0062008E">
        <w:rPr>
          <w:rFonts w:ascii="Calibri" w:hAnsi="Calibri"/>
        </w:rPr>
        <w:t>The simplest way to detect sudden drops in liquidity is to identify significant market events.  We recommend for the RTS to list these market events but to remain non-exhaustive such that ESMA can make a determination on additional market events in the future.  The simplest way to detect sudden drops in liquidity is to identify significant market events.  We recommend for the RTS to list these market events but to remain non-exhaustive such that ESMA can make a determination on additional market events in the future.  We note that COFIA is unworkable for temporary suspensions. It would be necessary for the whole market in a class to collapse before a temporary suspension came into effect.  ESMA’s proposed 30 day look-back and opinion would come too late for the needs of market users.  The measure needs to be able to come into effect immediately.  The approach based on 12 months’ previous activity may not be an accurate indicator, as markets may move significantly over a 12 month period (this may not be a ‘market event’, justifying temporary suspension).  In contrast, an increase in activity may be an indicator of a ‘market event’, justifying suspension.</w:t>
      </w:r>
    </w:p>
    <w:p w:rsidR="00976B6D" w:rsidRPr="0062008E" w:rsidRDefault="00976B6D" w:rsidP="007E18A4">
      <w:pPr>
        <w:rPr>
          <w:rFonts w:ascii="Calibri" w:hAnsi="Calibri"/>
        </w:rPr>
      </w:pPr>
    </w:p>
    <w:p w:rsidR="007E18A4" w:rsidRPr="0062008E" w:rsidRDefault="007E18A4" w:rsidP="007E18A4">
      <w:pPr>
        <w:rPr>
          <w:rFonts w:ascii="Calibri" w:hAnsi="Calibri"/>
        </w:rPr>
      </w:pPr>
      <w:r w:rsidRPr="0062008E">
        <w:rPr>
          <w:rFonts w:ascii="Calibri" w:hAnsi="Calibri"/>
        </w:rPr>
        <w:t>By requiring there to be a reduction in trading activity over a 30-day look-back period in order for temporary suspension to apply means that it will not be able to detect sudden drops of liquidity in the timeliness needed to protect the markets and mitigate financial stability risks.  For the temporary suspension provisions to be fit for purpose, the measures need to be able to detect these sudden drops in liquidity in real time (or thereabouts) and apply immediately.</w:t>
      </w:r>
    </w:p>
    <w:p w:rsidR="00976B6D" w:rsidRPr="0062008E" w:rsidRDefault="00976B6D" w:rsidP="007E18A4">
      <w:pPr>
        <w:rPr>
          <w:rFonts w:ascii="Calibri" w:hAnsi="Calibri"/>
        </w:rPr>
      </w:pPr>
    </w:p>
    <w:p w:rsidR="007E18A4" w:rsidRDefault="007E18A4" w:rsidP="007E18A4">
      <w:r w:rsidRPr="0062008E">
        <w:rPr>
          <w:rFonts w:ascii="Calibri" w:hAnsi="Calibri"/>
        </w:rPr>
        <w:t xml:space="preserve">Importantly, given that ESMA is proposing that a change in trading activity needs to take place at class-level, the temporary suspension regime could in fact never detect significant local market events.  For example, the proposed RTS would require the liquidity of all EU sovereign bonds to decrease on average over a 30-day period.  Therefore, if there is a local market event, such as the Greece crisis, this would not be detected. </w:t>
      </w:r>
    </w:p>
    <w:permEnd w:id="893615203"/>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7E18A4" w:rsidRPr="0062008E" w:rsidRDefault="007E18A4" w:rsidP="00EC2C93">
      <w:pPr>
        <w:keepNext/>
        <w:rPr>
          <w:rFonts w:ascii="Calibri" w:hAnsi="Calibri"/>
        </w:rPr>
      </w:pPr>
      <w:permStart w:id="286293674" w:edGrp="everyone"/>
      <w:r w:rsidRPr="0062008E">
        <w:rPr>
          <w:rFonts w:ascii="Calibri" w:hAnsi="Calibri"/>
        </w:rPr>
        <w:t>The WMBA agrees with the ESCB exemption.</w:t>
      </w:r>
    </w:p>
    <w:permEnd w:id="286293674"/>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A81DE7" w:rsidRPr="0062008E" w:rsidRDefault="00A81DE7" w:rsidP="00EC2C93">
      <w:pPr>
        <w:keepNext/>
        <w:rPr>
          <w:rFonts w:ascii="Calibri" w:hAnsi="Calibri"/>
        </w:rPr>
      </w:pPr>
      <w:permStart w:id="1328958967" w:edGrp="everyone"/>
      <w:r w:rsidRPr="0062008E">
        <w:rPr>
          <w:rFonts w:ascii="Calibri" w:hAnsi="Calibri"/>
        </w:rPr>
        <w:t>The WMBA notes that Q.86 is not applicable to relevant markets.</w:t>
      </w:r>
    </w:p>
    <w:permEnd w:id="1328958967"/>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A81DE7" w:rsidRPr="0062008E" w:rsidRDefault="00A81DE7" w:rsidP="00A81DE7">
      <w:pPr>
        <w:spacing w:line="240" w:lineRule="auto"/>
        <w:rPr>
          <w:rFonts w:ascii="Calibri" w:eastAsia="Times New Roman" w:hAnsi="Calibri" w:cs="Times New Roman"/>
          <w:color w:val="000000"/>
          <w:lang w:eastAsia="en-GB"/>
        </w:rPr>
      </w:pPr>
      <w:permStart w:id="581704439" w:edGrp="everyone"/>
      <w:r w:rsidRPr="0062008E">
        <w:rPr>
          <w:rFonts w:ascii="Calibri" w:eastAsia="Times New Roman" w:hAnsi="Calibri" w:cs="Times New Roman"/>
          <w:color w:val="000000"/>
          <w:lang w:eastAsia="en-GB"/>
        </w:rPr>
        <w:t>The WMBA supports the objectives and many of the provisions of Article 22.  We also note strong advocacy of more frequent recalculation of transparency frameworks by ESMA.</w:t>
      </w:r>
    </w:p>
    <w:p w:rsidR="00A81DE7" w:rsidRPr="0062008E" w:rsidRDefault="00A81DE7" w:rsidP="00A81DE7">
      <w:pPr>
        <w:spacing w:line="240" w:lineRule="auto"/>
        <w:rPr>
          <w:rFonts w:ascii="Calibri" w:eastAsia="Times New Roman" w:hAnsi="Calibri" w:cs="Times New Roman"/>
          <w:color w:val="000000"/>
          <w:lang w:eastAsia="en-GB"/>
        </w:rPr>
      </w:pPr>
      <w:r w:rsidRPr="0062008E">
        <w:rPr>
          <w:rFonts w:ascii="Calibri" w:eastAsia="Times New Roman" w:hAnsi="Calibri" w:cs="Times New Roman"/>
          <w:color w:val="000000"/>
          <w:lang w:eastAsia="en-GB"/>
        </w:rPr>
        <w:br/>
        <w:t>However, we do not believe that a firm two week time frame would always be appropriate and would propose inserting the language, “</w:t>
      </w:r>
      <w:r w:rsidRPr="0062008E">
        <w:rPr>
          <w:rFonts w:ascii="Calibri" w:eastAsia="Times New Roman" w:hAnsi="Calibri" w:cs="Times New Roman"/>
          <w:i/>
          <w:color w:val="000000"/>
          <w:lang w:eastAsia="en-GB"/>
        </w:rPr>
        <w:t>as soon as reasonably practical</w:t>
      </w:r>
      <w:r w:rsidRPr="0062008E">
        <w:rPr>
          <w:rFonts w:ascii="Calibri" w:eastAsia="Times New Roman" w:hAnsi="Calibri" w:cs="Times New Roman"/>
          <w:color w:val="000000"/>
          <w:lang w:eastAsia="en-GB"/>
        </w:rPr>
        <w:t>” (as agreed between the NCA and the venue). The risk otherwise is towards poor data and worse outcomes.</w:t>
      </w:r>
    </w:p>
    <w:permEnd w:id="581704439"/>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976B6D" w:rsidRPr="0062008E" w:rsidRDefault="00976B6D" w:rsidP="00976B6D">
      <w:pPr>
        <w:rPr>
          <w:rFonts w:ascii="Calibri" w:hAnsi="Calibri" w:cstheme="minorHAnsi"/>
        </w:rPr>
      </w:pPr>
      <w:permStart w:id="1806062002" w:edGrp="everyone"/>
      <w:r w:rsidRPr="0062008E">
        <w:rPr>
          <w:rFonts w:ascii="Calibri" w:hAnsi="Calibri" w:cstheme="minorHAnsi"/>
        </w:rPr>
        <w:t>The WMBA considers broadly that if an instrument meets the requirements as set, then ESMA should create an obligation or explain the exception. This does not preclude the fact that we consider a trading obligation only rarely appropriate across the episodic liquidity in non-equity markets. If this approach is not followed then there is a risk that a derivative product which is insufficiently standardised, and which cannot be traded on venue or in which there insufficient third-party buying and selling interest, will be declared subject to the trading obligation.</w:t>
      </w:r>
    </w:p>
    <w:p w:rsidR="00976B6D" w:rsidRPr="0062008E" w:rsidRDefault="00976B6D" w:rsidP="00976B6D">
      <w:pPr>
        <w:rPr>
          <w:rFonts w:ascii="Calibri" w:hAnsi="Calibri" w:cstheme="minorHAnsi"/>
        </w:rPr>
      </w:pPr>
    </w:p>
    <w:p w:rsidR="00976B6D" w:rsidRPr="0062008E" w:rsidRDefault="00976B6D" w:rsidP="00976B6D">
      <w:pPr>
        <w:rPr>
          <w:rFonts w:ascii="Calibri" w:hAnsi="Calibri" w:cstheme="minorHAnsi"/>
        </w:rPr>
      </w:pPr>
      <w:r w:rsidRPr="0062008E">
        <w:rPr>
          <w:rFonts w:ascii="Calibri" w:hAnsi="Calibri" w:cstheme="minorHAnsi"/>
        </w:rPr>
        <w:t xml:space="preserve">The WMBA have collectively had a great deal of experience operating SEFs under Dodd Frank in the US, and in respect of such we would highlight the risks for unintended consequences liable in determining whether a sub-class of derivatives should be made subject to the trading obligation. We therefore underline the chaos and uncertainty that footnote 88 has created across implementation of Title 9 in the US via a failure to align trading mandates on a cross-border basis and the consequent demonstrable impact on market liquidity when products and participants are wholesale. </w:t>
      </w:r>
    </w:p>
    <w:p w:rsidR="00976B6D" w:rsidRPr="0062008E" w:rsidRDefault="00976B6D" w:rsidP="00976B6D">
      <w:pPr>
        <w:rPr>
          <w:rFonts w:ascii="Calibri" w:hAnsi="Calibri" w:cstheme="minorHAnsi"/>
        </w:rPr>
      </w:pPr>
    </w:p>
    <w:p w:rsidR="003A530C" w:rsidRPr="0062008E" w:rsidRDefault="00976B6D" w:rsidP="003A530C">
      <w:pPr>
        <w:rPr>
          <w:rFonts w:ascii="Calibri" w:hAnsi="Calibri" w:cstheme="minorHAnsi"/>
        </w:rPr>
      </w:pPr>
      <w:r w:rsidRPr="0062008E">
        <w:rPr>
          <w:rFonts w:ascii="Calibri" w:hAnsi="Calibri" w:cstheme="minorHAnsi"/>
        </w:rPr>
        <w:t>In this regard, ESMA is also required to "</w:t>
      </w:r>
      <w:r w:rsidRPr="0062008E">
        <w:rPr>
          <w:rFonts w:ascii="Calibri" w:hAnsi="Calibri" w:cstheme="minorHAnsi"/>
          <w:i/>
        </w:rPr>
        <w:t>take into consideration the anticipated impact that trading obligation might have on the liquidity of a class of derivatives or a relevant subset thereof and the commercial activities of end users which are not financial entities</w:t>
      </w:r>
      <w:r w:rsidRPr="0062008E">
        <w:rPr>
          <w:rFonts w:ascii="Calibri" w:hAnsi="Calibri" w:cstheme="minorHAnsi"/>
        </w:rPr>
        <w:t>" (</w:t>
      </w:r>
      <w:r w:rsidRPr="0062008E">
        <w:rPr>
          <w:rFonts w:ascii="Calibri" w:hAnsi="Calibri" w:cstheme="minorHAnsi"/>
          <w:u w:val="single"/>
        </w:rPr>
        <w:t>Article 32(3) of MiFIR</w:t>
      </w:r>
      <w:r w:rsidRPr="0062008E">
        <w:rPr>
          <w:rFonts w:ascii="Calibri" w:hAnsi="Calibri" w:cstheme="minorHAnsi"/>
        </w:rPr>
        <w:t xml:space="preserve">). </w:t>
      </w:r>
    </w:p>
    <w:p w:rsidR="003A530C" w:rsidRPr="0062008E" w:rsidRDefault="003A530C" w:rsidP="003A530C">
      <w:pPr>
        <w:rPr>
          <w:rFonts w:ascii="Calibri" w:hAnsi="Calibri" w:cstheme="minorHAnsi"/>
        </w:rPr>
      </w:pPr>
    </w:p>
    <w:p w:rsidR="00976B6D" w:rsidRPr="00520E2B" w:rsidRDefault="003A530C" w:rsidP="0062008E">
      <w:pPr>
        <w:keepNext/>
      </w:pPr>
      <w:r w:rsidRPr="0062008E">
        <w:rPr>
          <w:rFonts w:ascii="Calibri" w:hAnsi="Calibri" w:cstheme="minorHAnsi"/>
        </w:rPr>
        <w:t xml:space="preserve">With regards to the clearing obligation in general, we would note that in line with Recital (27), it will be necessary for ESMA to state how MIFIR provisions in relation to the trading obligation </w:t>
      </w:r>
      <w:r w:rsidRPr="0062008E">
        <w:rPr>
          <w:rFonts w:ascii="Calibri" w:hAnsi="Calibri" w:cstheme="minorHAnsi"/>
          <w:bCs/>
          <w:lang w:val="en-US"/>
        </w:rPr>
        <w:t>– and thereto related pre- and post-trade transparency requirements –</w:t>
      </w:r>
      <w:r w:rsidRPr="0062008E">
        <w:rPr>
          <w:rFonts w:ascii="Calibri" w:hAnsi="Calibri" w:cstheme="minorHAnsi"/>
          <w:lang w:val="en-US"/>
        </w:rPr>
        <w:t xml:space="preserve"> </w:t>
      </w:r>
      <w:r w:rsidRPr="0062008E">
        <w:rPr>
          <w:rFonts w:ascii="Calibri" w:hAnsi="Calibri" w:cstheme="minorHAnsi"/>
        </w:rPr>
        <w:t xml:space="preserve">will be applied in practice. </w:t>
      </w:r>
      <w:r w:rsidRPr="0062008E">
        <w:rPr>
          <w:rFonts w:ascii="Calibri" w:hAnsi="Calibri" w:cstheme="minorHAnsi"/>
          <w:u w:val="single"/>
        </w:rPr>
        <w:t>Appropriate treatment of post-trade risk reduction activities</w:t>
      </w:r>
      <w:r w:rsidRPr="0062008E">
        <w:rPr>
          <w:rFonts w:ascii="Calibri" w:hAnsi="Calibri" w:cstheme="minorHAnsi"/>
        </w:rPr>
        <w:t xml:space="preserve"> (as set out in more detail in response to Question 89) is necessary not only in order to continue the important reduction of risk in existing derivatives portfolios, but also to maintain orderly markets and avoid misleading information in relation to price transparency and transaction reporting. In that context, it is important to clarify that the trading obligation cannot apply to these services.</w:t>
      </w:r>
    </w:p>
    <w:permEnd w:id="1806062002"/>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3A530C" w:rsidRPr="0062008E" w:rsidRDefault="003A530C" w:rsidP="00EC2C93">
      <w:pPr>
        <w:keepNext/>
        <w:rPr>
          <w:rFonts w:ascii="Calibri" w:hAnsi="Calibri"/>
        </w:rPr>
      </w:pPr>
      <w:permStart w:id="452073106" w:edGrp="everyone"/>
      <w:r w:rsidRPr="0062008E">
        <w:rPr>
          <w:rFonts w:ascii="Calibri" w:hAnsi="Calibri"/>
        </w:rPr>
        <w:t>The WMBA have no other comments.</w:t>
      </w:r>
    </w:p>
    <w:permEnd w:id="452073106"/>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3A530C" w:rsidRPr="006435D0" w:rsidRDefault="003A530C" w:rsidP="003A530C">
      <w:pPr>
        <w:pStyle w:val="BodyText"/>
        <w:spacing w:before="100" w:beforeAutospacing="1" w:after="100" w:afterAutospacing="1" w:line="240" w:lineRule="auto"/>
        <w:rPr>
          <w:rFonts w:ascii="Calibri" w:hAnsi="Calibri" w:cs="Arial"/>
          <w:szCs w:val="22"/>
        </w:rPr>
      </w:pPr>
      <w:permStart w:id="1923181197" w:edGrp="everyone"/>
      <w:r>
        <w:rPr>
          <w:rFonts w:ascii="Calibri" w:hAnsi="Calibri" w:cs="Arial"/>
          <w:szCs w:val="22"/>
        </w:rPr>
        <w:t>No, i</w:t>
      </w:r>
      <w:r w:rsidRPr="006435D0">
        <w:rPr>
          <w:rFonts w:ascii="Calibri" w:hAnsi="Calibri" w:cs="Arial"/>
          <w:szCs w:val="22"/>
        </w:rPr>
        <w:t xml:space="preserve">n </w:t>
      </w:r>
      <w:r>
        <w:rPr>
          <w:rFonts w:ascii="Calibri" w:hAnsi="Calibri" w:cs="Arial"/>
          <w:szCs w:val="22"/>
        </w:rPr>
        <w:t>the</w:t>
      </w:r>
      <w:r w:rsidRPr="006435D0">
        <w:rPr>
          <w:rFonts w:ascii="Calibri" w:hAnsi="Calibri" w:cs="Arial"/>
          <w:szCs w:val="22"/>
        </w:rPr>
        <w:t xml:space="preserve"> view </w:t>
      </w:r>
      <w:r>
        <w:rPr>
          <w:rFonts w:ascii="Calibri" w:hAnsi="Calibri" w:cs="Arial"/>
          <w:szCs w:val="22"/>
        </w:rPr>
        <w:t xml:space="preserve">of the WMBA </w:t>
      </w:r>
      <w:r w:rsidRPr="006435D0">
        <w:rPr>
          <w:rFonts w:ascii="Calibri" w:hAnsi="Calibri" w:cs="Arial"/>
          <w:szCs w:val="22"/>
        </w:rPr>
        <w:t xml:space="preserve">it is not necessary or appropriate for the trading obligation to apply to third country entity trades where the clearing obligation under EMIR does not apply to the relevant transactions by virtue of an equivalence assessment under Article 13 of EMIR. </w:t>
      </w:r>
      <w:r>
        <w:rPr>
          <w:rFonts w:ascii="Calibri" w:hAnsi="Calibri" w:cs="Arial"/>
          <w:szCs w:val="22"/>
        </w:rPr>
        <w:t xml:space="preserve"> We underline that the majority of trades organised by WMBA firms contain at least one counterparty who is not an EU person.</w:t>
      </w:r>
    </w:p>
    <w:p w:rsidR="003A530C" w:rsidRDefault="003A530C" w:rsidP="003A530C">
      <w:pPr>
        <w:pStyle w:val="BodyText"/>
        <w:spacing w:before="100" w:beforeAutospacing="1" w:after="100" w:afterAutospacing="1" w:line="240" w:lineRule="auto"/>
        <w:rPr>
          <w:rFonts w:ascii="Calibri" w:hAnsi="Calibri" w:cs="Arial"/>
          <w:szCs w:val="22"/>
        </w:rPr>
      </w:pPr>
      <w:r w:rsidRPr="006435D0">
        <w:rPr>
          <w:rFonts w:ascii="Calibri" w:hAnsi="Calibri" w:cs="Arial"/>
          <w:szCs w:val="22"/>
        </w:rPr>
        <w:t>ESMA's current proposal could lead to a situation in which the EU imposes an obligation on two counterparties to trade an instrument on an EU trading venue despite the fact that neither counterparty is based in the EU and the relevant transaction is exempted from the EU clearing obligation by virtue of Article 13 of EMIR. In our view</w:t>
      </w:r>
      <w:r>
        <w:rPr>
          <w:rFonts w:ascii="Calibri" w:hAnsi="Calibri" w:cs="Arial"/>
          <w:szCs w:val="22"/>
        </w:rPr>
        <w:t>,</w:t>
      </w:r>
      <w:r w:rsidRPr="006435D0">
        <w:rPr>
          <w:rFonts w:ascii="Calibri" w:hAnsi="Calibri" w:cs="Arial"/>
          <w:szCs w:val="22"/>
        </w:rPr>
        <w:t xml:space="preserve"> such transactions cannot be properly interpreted as having a direct, substantial and foreseeable effect within the EU and nor is the application of the trading obligation to such transactions necessary to prevent the evasion of the MiFIR as those trades do not impose additional risks in the EU.  </w:t>
      </w:r>
    </w:p>
    <w:p w:rsidR="003A530C" w:rsidRPr="00955499" w:rsidRDefault="003A530C" w:rsidP="003A530C">
      <w:pPr>
        <w:pStyle w:val="BodyText"/>
        <w:spacing w:before="100" w:beforeAutospacing="1" w:after="100" w:afterAutospacing="1" w:line="240" w:lineRule="auto"/>
        <w:rPr>
          <w:rFonts w:ascii="Calibri" w:hAnsi="Calibri" w:cs="Arial"/>
          <w:szCs w:val="22"/>
        </w:rPr>
      </w:pPr>
      <w:r w:rsidRPr="006435D0">
        <w:rPr>
          <w:rFonts w:ascii="Calibri" w:hAnsi="Calibri" w:cs="Arial"/>
          <w:szCs w:val="22"/>
        </w:rPr>
        <w:t>Furthermore, such counterparties may be subject to conflicting local law trading requirements and are unlikely to have access to EU trading venues which will make it difficult for such entities to comply with the EU trading obligation.</w:t>
      </w:r>
      <w:r>
        <w:rPr>
          <w:rFonts w:ascii="Calibri" w:hAnsi="Calibri" w:cs="Arial"/>
          <w:szCs w:val="22"/>
        </w:rPr>
        <w:t xml:space="preserve"> Determining</w:t>
      </w:r>
      <w:r w:rsidRPr="006435D0">
        <w:rPr>
          <w:rFonts w:ascii="Calibri" w:hAnsi="Calibri" w:cs="Arial"/>
          <w:szCs w:val="22"/>
        </w:rPr>
        <w:t xml:space="preserve"> the relevant third country's trading platforms pursuant to Article 28(4) of MiFIR alone insufficiently addresses the potential for duplicative and conflicting rules as the legislation of the relevant third country may not (for legitimate reasons) impose a trading obligation on the particular transaction.</w:t>
      </w:r>
      <w:r>
        <w:rPr>
          <w:rFonts w:ascii="Calibri" w:hAnsi="Calibri" w:cs="Arial"/>
          <w:szCs w:val="22"/>
        </w:rPr>
        <w:t xml:space="preserve"> </w:t>
      </w:r>
    </w:p>
    <w:p w:rsidR="003A530C" w:rsidRDefault="003A530C" w:rsidP="003A530C">
      <w:pPr>
        <w:spacing w:before="100" w:beforeAutospacing="1" w:after="100" w:afterAutospacing="1" w:line="240" w:lineRule="auto"/>
      </w:pPr>
      <w:r w:rsidRPr="006435D0">
        <w:rPr>
          <w:rFonts w:ascii="Calibri" w:hAnsi="Calibri" w:cs="Arial"/>
        </w:rPr>
        <w:t xml:space="preserve">Accordingly, we would urge ESMA to specify in the draft MiFIR RTS that the criteria will not have been met if the clearing obligation does not apply to the transaction as a result of the application of Article 13 of EMIR.  </w:t>
      </w:r>
    </w:p>
    <w:permEnd w:id="1923181197"/>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3A530C" w:rsidRPr="0062008E" w:rsidRDefault="003A530C" w:rsidP="00EC2C93">
      <w:pPr>
        <w:keepNext/>
        <w:rPr>
          <w:rFonts w:ascii="Calibri" w:hAnsi="Calibri"/>
        </w:rPr>
      </w:pPr>
      <w:permStart w:id="797666559" w:edGrp="everyone"/>
      <w:r w:rsidRPr="0062008E">
        <w:rPr>
          <w:rFonts w:ascii="Calibri" w:hAnsi="Calibri"/>
        </w:rPr>
        <w:t>No, the view of the WMBA is that ESMA does not have the vires to increase the scope of the RTS in this way and we endorse ESMA's opinion to delete the reference to non-EU non-financial counterparties.</w:t>
      </w:r>
    </w:p>
    <w:permEnd w:id="797666559"/>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3A530C" w:rsidRPr="0062008E" w:rsidRDefault="003A530C" w:rsidP="00EC2C93">
      <w:pPr>
        <w:keepNext/>
        <w:rPr>
          <w:rFonts w:ascii="Calibri" w:hAnsi="Calibri"/>
        </w:rPr>
      </w:pPr>
      <w:permStart w:id="1689201685" w:edGrp="everyone"/>
      <w:r w:rsidRPr="0062008E">
        <w:rPr>
          <w:rFonts w:ascii="Calibri" w:hAnsi="Calibri"/>
        </w:rPr>
        <w:t>The WMBA have no further comments on costs &amp; benefits at this stage.</w:t>
      </w:r>
    </w:p>
    <w:permEnd w:id="1689201685"/>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C0642F" w:rsidRPr="0062008E" w:rsidRDefault="00C0642F" w:rsidP="00C0642F">
      <w:pPr>
        <w:spacing w:line="240" w:lineRule="auto"/>
        <w:rPr>
          <w:rFonts w:ascii="Calibri" w:eastAsia="Times New Roman" w:hAnsi="Calibri" w:cstheme="minorHAnsi"/>
          <w:color w:val="000000"/>
          <w:szCs w:val="22"/>
          <w:lang w:eastAsia="en-GB"/>
        </w:rPr>
      </w:pPr>
      <w:permStart w:id="1015110316" w:edGrp="everyone"/>
      <w:r w:rsidRPr="0062008E">
        <w:rPr>
          <w:rFonts w:ascii="Calibri" w:eastAsia="Times New Roman" w:hAnsi="Calibri" w:cstheme="minorHAnsi"/>
          <w:color w:val="000000"/>
          <w:szCs w:val="22"/>
          <w:lang w:eastAsia="en-GB"/>
        </w:rPr>
        <w:t xml:space="preserve">WMBA disagrees with ESMA's approach, which it considers overly prescriptive and therefore itself possibly disruptive at a point of market failure. Indeed this seems to be a further rewrite of equity rules where all the liquidity resides in a single venue. For MTF and OTF operators this is simply not the case and ESMA's approach is disproportional for the majority of venues for whom their market share of liquidity across a myriad of financial instruments is utterly variable and indeterminate. Venues may assist, but to coerce this within the legal constraints cannot be operational. We do note however, that as investment firms acting as operators of venues rather than as market participants, WMBA members are reliant to some extent upon the resilience of their customers’ systems. Therefore, market participants should have crisis management procedures in place for managing automated trading software and operational failures.  Bit that ability to manage in a crisis should not be inhibited by an overly prescriptive crisis management procedure.  Instead these procedures should be designed by the market participant that intends to use them and should be commensurate with the type of business they are conducting. </w:t>
      </w:r>
    </w:p>
    <w:p w:rsidR="00C0642F" w:rsidRPr="0062008E" w:rsidRDefault="00C0642F" w:rsidP="00C0642F">
      <w:pPr>
        <w:spacing w:line="240" w:lineRule="auto"/>
        <w:rPr>
          <w:rFonts w:ascii="Calibri" w:eastAsia="Times New Roman" w:hAnsi="Calibri" w:cstheme="minorHAnsi"/>
          <w:color w:val="000000"/>
          <w:szCs w:val="22"/>
          <w:lang w:eastAsia="en-GB"/>
        </w:rPr>
      </w:pPr>
      <w:r w:rsidRPr="0062008E">
        <w:rPr>
          <w:rFonts w:ascii="Calibri" w:eastAsia="Times New Roman" w:hAnsi="Calibri" w:cstheme="minorHAnsi"/>
          <w:color w:val="000000"/>
          <w:szCs w:val="22"/>
          <w:lang w:eastAsia="en-GB"/>
        </w:rPr>
        <w:br/>
        <w:t xml:space="preserve">The content of a disaster recovery plan itself should comprise </w:t>
      </w:r>
    </w:p>
    <w:p w:rsidR="00C0642F" w:rsidRPr="0062008E" w:rsidRDefault="00C0642F" w:rsidP="00C0642F">
      <w:pPr>
        <w:pStyle w:val="CPQuest2"/>
        <w:ind w:left="993" w:hanging="426"/>
        <w:rPr>
          <w:rFonts w:ascii="Calibri" w:hAnsi="Calibri"/>
          <w:b w:val="0"/>
          <w:lang w:eastAsia="en-GB"/>
        </w:rPr>
      </w:pPr>
      <w:r w:rsidRPr="0062008E">
        <w:rPr>
          <w:rFonts w:ascii="Calibri" w:hAnsi="Calibri"/>
          <w:b w:val="0"/>
          <w:lang w:eastAsia="en-GB"/>
        </w:rPr>
        <w:t>a functional communications protocol for updating key staff</w:t>
      </w:r>
    </w:p>
    <w:p w:rsidR="00C0642F" w:rsidRPr="0062008E" w:rsidRDefault="00C0642F" w:rsidP="00C0642F">
      <w:pPr>
        <w:pStyle w:val="CPQuest2"/>
        <w:ind w:left="993" w:hanging="426"/>
        <w:rPr>
          <w:rFonts w:ascii="Calibri" w:hAnsi="Calibri"/>
          <w:b w:val="0"/>
          <w:lang w:eastAsia="en-GB"/>
        </w:rPr>
      </w:pPr>
      <w:r w:rsidRPr="0062008E">
        <w:rPr>
          <w:rFonts w:ascii="Calibri" w:hAnsi="Calibri"/>
          <w:b w:val="0"/>
          <w:lang w:eastAsia="en-GB"/>
        </w:rPr>
        <w:t>clear procedures for disaster recovery including for relocating to back-up sites where necessary, and</w:t>
      </w:r>
    </w:p>
    <w:p w:rsidR="00C0642F" w:rsidRPr="0062008E" w:rsidRDefault="00C0642F" w:rsidP="00C0642F">
      <w:pPr>
        <w:pStyle w:val="CPQuest2"/>
        <w:ind w:left="993" w:hanging="426"/>
        <w:rPr>
          <w:rFonts w:ascii="Calibri" w:hAnsi="Calibri"/>
          <w:b w:val="0"/>
          <w:lang w:eastAsia="en-GB"/>
        </w:rPr>
      </w:pPr>
      <w:r w:rsidRPr="0062008E">
        <w:rPr>
          <w:rFonts w:ascii="Calibri" w:hAnsi="Calibri"/>
          <w:b w:val="0"/>
          <w:lang w:eastAsia="en-GB"/>
        </w:rPr>
        <w:t xml:space="preserve">alternative arrangements to manage (not necessarily trade) existing orders in order to minimise risk exposure for both the individual firm and the market as a whole. </w:t>
      </w:r>
    </w:p>
    <w:p w:rsidR="00C0642F" w:rsidRPr="0062008E" w:rsidRDefault="00C0642F" w:rsidP="00C0642F">
      <w:pPr>
        <w:spacing w:line="240" w:lineRule="auto"/>
        <w:rPr>
          <w:rFonts w:ascii="Calibri" w:eastAsia="Times New Roman" w:hAnsi="Calibri" w:cstheme="minorHAnsi"/>
          <w:color w:val="000000"/>
          <w:szCs w:val="22"/>
          <w:lang w:eastAsia="en-GB"/>
        </w:rPr>
      </w:pPr>
    </w:p>
    <w:p w:rsidR="00C0642F" w:rsidRPr="0062008E" w:rsidRDefault="00C0642F" w:rsidP="00C0642F">
      <w:pPr>
        <w:spacing w:line="240" w:lineRule="auto"/>
        <w:rPr>
          <w:rFonts w:ascii="Calibri" w:eastAsia="Times New Roman" w:hAnsi="Calibri" w:cstheme="minorHAnsi"/>
          <w:color w:val="000000"/>
          <w:szCs w:val="22"/>
          <w:lang w:eastAsia="en-GB"/>
        </w:rPr>
      </w:pPr>
      <w:r w:rsidRPr="0062008E">
        <w:rPr>
          <w:rFonts w:ascii="Calibri" w:eastAsia="Times New Roman" w:hAnsi="Calibri" w:cstheme="minorHAnsi"/>
          <w:color w:val="000000"/>
          <w:szCs w:val="22"/>
          <w:lang w:eastAsia="en-GB"/>
        </w:rPr>
        <w:t>We would therefore suggest that ESMA’s list of disruptive scenarios in Article 20(2)(b) be a non-exhaustive list of examples of what firms can consider in determining appropriate arrangements, rather than a minimum list, or alternatively edit the list to contain only items (1), (2), and (3) in the paragraph above.</w:t>
      </w:r>
    </w:p>
    <w:p w:rsidR="00C0642F" w:rsidRPr="0062008E" w:rsidRDefault="00C0642F" w:rsidP="00C0642F">
      <w:pPr>
        <w:spacing w:line="240" w:lineRule="auto"/>
        <w:rPr>
          <w:rFonts w:ascii="Calibri" w:eastAsia="Times New Roman" w:hAnsi="Calibri" w:cstheme="minorHAnsi"/>
          <w:color w:val="000000"/>
          <w:szCs w:val="22"/>
          <w:lang w:eastAsia="en-GB"/>
        </w:rPr>
      </w:pPr>
      <w:r w:rsidRPr="0062008E">
        <w:rPr>
          <w:rFonts w:ascii="Calibri" w:eastAsia="Times New Roman" w:hAnsi="Calibri" w:cstheme="minorHAnsi"/>
          <w:color w:val="000000"/>
          <w:szCs w:val="22"/>
          <w:lang w:eastAsia="en-GB"/>
        </w:rPr>
        <w:br/>
        <w:t>WMBA would therefore recommend a change to Article 20: Business continuity arrangements as to that below:</w:t>
      </w:r>
    </w:p>
    <w:p w:rsidR="00C0642F" w:rsidRPr="0062008E" w:rsidRDefault="00C0642F" w:rsidP="007D55BD">
      <w:pPr>
        <w:pStyle w:val="ListParagraph"/>
        <w:rPr>
          <w:rFonts w:eastAsia="Times New Roman"/>
          <w:lang w:eastAsia="en-GB"/>
        </w:rPr>
      </w:pPr>
      <w:r w:rsidRPr="0062008E">
        <w:rPr>
          <w:rFonts w:eastAsia="Times New Roman"/>
          <w:lang w:eastAsia="en-GB"/>
        </w:rPr>
        <w:t>Investment firms shall have adequate and effective business continuity arrangements in relation to their trading systems which are proportionate to the nature, scale and complexity of their business.</w:t>
      </w:r>
    </w:p>
    <w:p w:rsidR="00C0642F" w:rsidRPr="0062008E" w:rsidRDefault="00C0642F" w:rsidP="007D55BD">
      <w:pPr>
        <w:pStyle w:val="ListParagraph"/>
        <w:rPr>
          <w:rFonts w:eastAsia="Times New Roman"/>
          <w:lang w:eastAsia="en-GB"/>
        </w:rPr>
      </w:pPr>
      <w:r w:rsidRPr="0062008E">
        <w:rPr>
          <w:rFonts w:eastAsia="Times New Roman"/>
          <w:lang w:eastAsia="en-GB"/>
        </w:rPr>
        <w:t>Business continuity arrangements of investment firms shall be able to effectively deal with disruptive incidents and where appropriate ensure a timely resumption of trading or controlled management of outstanding orders.</w:t>
      </w:r>
    </w:p>
    <w:permEnd w:id="1015110316"/>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C0642F" w:rsidRDefault="00C0642F" w:rsidP="00C0642F">
      <w:pPr>
        <w:spacing w:line="240" w:lineRule="auto"/>
        <w:rPr>
          <w:rFonts w:ascii="Calibri" w:eastAsia="Times New Roman" w:hAnsi="Calibri" w:cs="Times New Roman"/>
          <w:color w:val="000000"/>
          <w:szCs w:val="22"/>
          <w:lang w:eastAsia="en-GB"/>
        </w:rPr>
      </w:pPr>
      <w:permStart w:id="807167197" w:edGrp="everyone"/>
      <w:r w:rsidRPr="00C0642F">
        <w:rPr>
          <w:rFonts w:ascii="Calibri" w:eastAsia="Times New Roman" w:hAnsi="Calibri" w:cs="Times New Roman"/>
          <w:color w:val="000000"/>
          <w:szCs w:val="22"/>
          <w:lang w:eastAsia="en-GB"/>
        </w:rPr>
        <w:t>WMBA disagrees with ESMA's approach towards the non-live testing having to occur in trading venue testing environments. According to Article 17(1) of MiFID II investment firms must ensure their systems are fully tested and properly monitored. Whilst this appears proportionate, the WMBA has material concerns with non-live testing in trad</w:t>
      </w:r>
      <w:r>
        <w:rPr>
          <w:rFonts w:ascii="Calibri" w:eastAsia="Times New Roman" w:hAnsi="Calibri" w:cs="Times New Roman"/>
          <w:color w:val="000000"/>
          <w:szCs w:val="22"/>
          <w:lang w:eastAsia="en-GB"/>
        </w:rPr>
        <w:t>ing venue testing environments.</w:t>
      </w:r>
    </w:p>
    <w:p w:rsidR="00C0642F" w:rsidRDefault="00C0642F" w:rsidP="00C0642F">
      <w:pPr>
        <w:spacing w:line="240" w:lineRule="auto"/>
        <w:rPr>
          <w:rFonts w:ascii="Calibri" w:eastAsia="Times New Roman" w:hAnsi="Calibri" w:cs="Times New Roman"/>
          <w:color w:val="000000"/>
          <w:szCs w:val="22"/>
          <w:lang w:eastAsia="en-GB"/>
        </w:rPr>
      </w:pPr>
      <w:r w:rsidRPr="00C0642F">
        <w:rPr>
          <w:rFonts w:ascii="Calibri" w:eastAsia="Times New Roman" w:hAnsi="Calibri" w:cs="Times New Roman"/>
          <w:color w:val="000000"/>
          <w:szCs w:val="22"/>
          <w:lang w:eastAsia="en-GB"/>
        </w:rPr>
        <w:br/>
        <w:t>Trading venues are not capable of providing adequate non-live testing environments for investment firms to test their algorithms against disorderly trading conditions and such will be not be available in the quality required within coming years. Any such obligation on trading venues to design and build such environments to be useful to firms will impose enormous costs on both trading venues and investment firms for very little return in terms of systemic benefits. MTF and OTF Trading venues do not and cannot offer non-live testing environments at present that fully replicate the production environments, and we do not consider this a realistic or useful obligation compared to the alternative of placing the obligation with investment firms directly. As we see no basis for requiring non-live testing to take place at the trading venues, we strongly recommend amending this requirement to delete the reference to “</w:t>
      </w:r>
      <w:r w:rsidRPr="00C0642F">
        <w:rPr>
          <w:rFonts w:ascii="Calibri" w:eastAsia="Times New Roman" w:hAnsi="Calibri" w:cs="Times New Roman"/>
          <w:i/>
          <w:color w:val="000000"/>
          <w:szCs w:val="22"/>
          <w:lang w:eastAsia="en-GB"/>
        </w:rPr>
        <w:t>trading venues</w:t>
      </w:r>
      <w:r w:rsidRPr="00C0642F">
        <w:rPr>
          <w:rFonts w:ascii="Calibri" w:eastAsia="Times New Roman" w:hAnsi="Calibri" w:cs="Times New Roman"/>
          <w:color w:val="000000"/>
          <w:szCs w:val="22"/>
          <w:lang w:eastAsia="en-GB"/>
        </w:rPr>
        <w:t xml:space="preserve">.” </w:t>
      </w:r>
    </w:p>
    <w:p w:rsidR="00C0642F" w:rsidRDefault="00C0642F" w:rsidP="00C0642F">
      <w:pPr>
        <w:spacing w:line="240" w:lineRule="auto"/>
        <w:rPr>
          <w:rFonts w:ascii="Calibri" w:eastAsia="Times New Roman" w:hAnsi="Calibri" w:cs="Times New Roman"/>
          <w:color w:val="000000"/>
          <w:szCs w:val="22"/>
          <w:lang w:eastAsia="en-GB"/>
        </w:rPr>
      </w:pPr>
      <w:r w:rsidRPr="00C0642F">
        <w:rPr>
          <w:rFonts w:ascii="Calibri" w:eastAsia="Times New Roman" w:hAnsi="Calibri" w:cs="Times New Roman"/>
          <w:color w:val="000000"/>
          <w:szCs w:val="22"/>
          <w:lang w:eastAsia="en-GB"/>
        </w:rPr>
        <w:br/>
        <w:t xml:space="preserve">WMBA also proposes to delete the requirement for annual stress testing from the list of minimum requirements for investment firms. Stress testing should be outcomes lead and proportional to the risks garnered in the process of supervision. Such non-functional testing to check that a system operates during periods of atypical amounts of external inputs and internal events should not be part of an annual ‘box ticking’ regime that ESMA suggests, but an integral part of the ongoing supervisory dialogue.  </w:t>
      </w:r>
    </w:p>
    <w:p w:rsidR="00C0642F" w:rsidRPr="00C0642F" w:rsidRDefault="00C0642F" w:rsidP="00C0642F">
      <w:pPr>
        <w:spacing w:line="240" w:lineRule="auto"/>
        <w:rPr>
          <w:rFonts w:ascii="Calibri" w:eastAsia="Times New Roman" w:hAnsi="Calibri" w:cs="Times New Roman"/>
          <w:color w:val="000000"/>
          <w:szCs w:val="22"/>
          <w:lang w:eastAsia="en-GB"/>
        </w:rPr>
      </w:pPr>
    </w:p>
    <w:permEnd w:id="807167197"/>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204183361" w:edGrp="everyone"/>
      <w:r>
        <w:t>TYPE YOUR TEXT HERE</w:t>
      </w:r>
    </w:p>
    <w:permEnd w:id="1204183361"/>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93739109" w:edGrp="everyone"/>
      <w:r>
        <w:t>TYPE YOUR TEXT HERE</w:t>
      </w:r>
    </w:p>
    <w:permEnd w:id="193739109"/>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956046525" w:edGrp="everyone"/>
      <w:r>
        <w:t>TYPE YOUR TEXT HERE</w:t>
      </w:r>
    </w:p>
    <w:permEnd w:id="956046525"/>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1210801997" w:edGrp="everyone"/>
      <w:r>
        <w:t>TYPE YOUR TEXT HERE</w:t>
      </w:r>
    </w:p>
    <w:permEnd w:id="1210801997"/>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390236462" w:edGrp="everyone"/>
      <w:r>
        <w:t>TYPE YOUR TEXT HERE</w:t>
      </w:r>
    </w:p>
    <w:permEnd w:id="1390236462"/>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t>&lt;ESMA_QUESTION_CP_MIFID_100&gt;</w:t>
      </w:r>
    </w:p>
    <w:p w:rsidR="00C0642F" w:rsidRPr="0062008E" w:rsidRDefault="00C0642F" w:rsidP="00C0642F">
      <w:pPr>
        <w:rPr>
          <w:rFonts w:ascii="Calibri" w:hAnsi="Calibri"/>
          <w:szCs w:val="22"/>
          <w:lang w:val="en-US"/>
        </w:rPr>
      </w:pPr>
      <w:permStart w:id="675423268" w:edGrp="everyone"/>
      <w:r w:rsidRPr="0062008E">
        <w:rPr>
          <w:rFonts w:ascii="Calibri" w:hAnsi="Calibri"/>
          <w:szCs w:val="22"/>
          <w:lang w:val="en-US"/>
        </w:rPr>
        <w:t>The WMBA is supportive of the rationale for maintaining adequate controls in an automated trading environment; however, we make the following points in respect of RTS14:</w:t>
      </w:r>
    </w:p>
    <w:p w:rsidR="00C0642F" w:rsidRPr="0062008E" w:rsidRDefault="00C0642F" w:rsidP="00C0642F">
      <w:pPr>
        <w:ind w:left="426" w:hanging="426"/>
        <w:rPr>
          <w:rFonts w:ascii="Calibri" w:hAnsi="Calibri"/>
          <w:szCs w:val="22"/>
          <w:lang w:val="en-US"/>
        </w:rPr>
      </w:pPr>
      <w:r w:rsidRPr="0062008E">
        <w:rPr>
          <w:rFonts w:ascii="Calibri" w:hAnsi="Calibri"/>
          <w:szCs w:val="22"/>
          <w:lang w:val="en-US"/>
        </w:rPr>
        <w:t> </w:t>
      </w:r>
    </w:p>
    <w:p w:rsidR="00C0642F" w:rsidRPr="0062008E" w:rsidRDefault="00C0642F" w:rsidP="00C0642F">
      <w:pPr>
        <w:rPr>
          <w:rFonts w:ascii="Calibri" w:hAnsi="Calibri"/>
          <w:szCs w:val="22"/>
          <w:lang w:val="en-US"/>
        </w:rPr>
      </w:pPr>
      <w:r w:rsidRPr="0062008E">
        <w:rPr>
          <w:rFonts w:ascii="Calibri" w:hAnsi="Calibri"/>
          <w:b/>
          <w:bCs/>
          <w:szCs w:val="22"/>
          <w:lang w:val="en-US"/>
        </w:rPr>
        <w:t>Overall comment in respect of RTS14</w:t>
      </w:r>
      <w:r w:rsidRPr="0062008E">
        <w:rPr>
          <w:rFonts w:ascii="Calibri" w:hAnsi="Calibri"/>
          <w:szCs w:val="22"/>
          <w:lang w:val="en-US"/>
        </w:rPr>
        <w:t xml:space="preserve">: we ask ESMA to clarify in RTS 14 that the term “order” </w:t>
      </w:r>
      <w:r w:rsidRPr="0062008E">
        <w:rPr>
          <w:rFonts w:ascii="Calibri" w:hAnsi="Calibri"/>
          <w:szCs w:val="22"/>
          <w:u w:val="single"/>
          <w:lang w:val="en-US"/>
        </w:rPr>
        <w:t>excludes</w:t>
      </w:r>
      <w:r w:rsidRPr="0062008E">
        <w:rPr>
          <w:rFonts w:ascii="Calibri" w:hAnsi="Calibri"/>
          <w:szCs w:val="22"/>
          <w:lang w:val="en-US"/>
        </w:rPr>
        <w:t xml:space="preserve"> IOIs, and believe that Recital 1 would be an appropriate place for this clarification.</w:t>
      </w:r>
    </w:p>
    <w:p w:rsidR="00C0642F" w:rsidRPr="0062008E" w:rsidRDefault="00C0642F" w:rsidP="00C0642F">
      <w:pPr>
        <w:ind w:left="426" w:hanging="426"/>
        <w:rPr>
          <w:rFonts w:ascii="Calibri" w:hAnsi="Calibri"/>
          <w:szCs w:val="22"/>
          <w:lang w:val="en-US"/>
        </w:rPr>
      </w:pPr>
    </w:p>
    <w:p w:rsidR="00C0642F" w:rsidRPr="0062008E" w:rsidRDefault="00C0642F" w:rsidP="007D55BD">
      <w:pPr>
        <w:pStyle w:val="ListParagraph"/>
      </w:pPr>
      <w:r w:rsidRPr="0062008E">
        <w:t xml:space="preserve">Article 1 – Subject Matter and Scope (2): The WMBA disagrees with the definition of “allowing algorithmic trading” as set out in the RTS; this definition is too broad and will bring a variety of trading activities that are not exposed to genuine algorithmic trading into the scope of Article 48 of Directive 2014/65/EU.  This will have multiple unintended consequences and will be unworkable for models such as trading venues operating an RFQ system where a quote is requested and an order is then submitted electronically.  In addition, this is inconsistent with the definition of “algorithmic trading” set out in Article 4 of Directive 2014/65/EU in paragraph 1 (39).  We therefore propose amending the definition to read: </w:t>
      </w:r>
      <w:r w:rsidRPr="0062008E">
        <w:rPr>
          <w:i/>
          <w:iCs/>
        </w:rPr>
        <w:t>“(2) For the purposes of this regulation, it is considered that a trading venue allows or enables algorithmic trading where orders placed by electronic means are derived from members using computers to automate their trading activity on the basis of pre-defined programming on a central limit order book model in accordance with the definition stated in Article 4 of Directive 2014/65/EU</w:t>
      </w:r>
      <w:r w:rsidRPr="0062008E">
        <w:t xml:space="preserve"> in</w:t>
      </w:r>
      <w:r w:rsidRPr="0062008E">
        <w:rPr>
          <w:i/>
          <w:iCs/>
        </w:rPr>
        <w:t xml:space="preserve"> paragraph 1 (39); this definition of algorithmic trading does not capture activity carried out on voice, hybrid, quote-driven or request for quote activity models”.  </w:t>
      </w:r>
    </w:p>
    <w:p w:rsidR="00C0642F" w:rsidRPr="0062008E" w:rsidRDefault="00C0642F" w:rsidP="00C0642F">
      <w:pPr>
        <w:ind w:left="426" w:hanging="426"/>
        <w:rPr>
          <w:rFonts w:ascii="Calibri" w:hAnsi="Calibri"/>
          <w:szCs w:val="22"/>
          <w:lang w:val="en-US"/>
        </w:rPr>
      </w:pPr>
      <w:r w:rsidRPr="0062008E">
        <w:rPr>
          <w:rFonts w:ascii="Calibri" w:hAnsi="Calibri"/>
          <w:b/>
          <w:bCs/>
          <w:i/>
          <w:iCs/>
          <w:szCs w:val="22"/>
          <w:lang w:val="en-US"/>
        </w:rPr>
        <w:t> </w:t>
      </w:r>
    </w:p>
    <w:p w:rsidR="00C0642F" w:rsidRPr="004E26B2" w:rsidRDefault="00C0642F" w:rsidP="00C0642F">
      <w:pPr>
        <w:ind w:left="426" w:hanging="426"/>
        <w:rPr>
          <w:rFonts w:ascii="Calibri" w:hAnsi="Calibri"/>
          <w:i/>
          <w:iCs/>
          <w:szCs w:val="22"/>
          <w:lang w:val="en-US"/>
        </w:rPr>
      </w:pPr>
      <w:r w:rsidRPr="0062008E">
        <w:rPr>
          <w:rFonts w:ascii="Calibri" w:hAnsi="Calibri"/>
          <w:szCs w:val="22"/>
          <w:lang w:val="en-US"/>
        </w:rPr>
        <w:tab/>
        <w:t xml:space="preserve">In this respect, we also propose that Recital 2 of RTS 14 is amended as follows:  </w:t>
      </w:r>
      <w:r w:rsidRPr="0062008E">
        <w:rPr>
          <w:rFonts w:ascii="Calibri" w:hAnsi="Calibri"/>
          <w:i/>
          <w:iCs/>
          <w:szCs w:val="22"/>
          <w:lang w:val="en-US"/>
        </w:rPr>
        <w:t xml:space="preserve">the potential impact of technological developments is one of the main drivers to determine the capacity and arrangements to manage the potential risks of a trading venue.  The risks arising from algorithmic trading can be present in any trading model </w:t>
      </w:r>
      <w:r w:rsidRPr="0062008E">
        <w:rPr>
          <w:rFonts w:ascii="Calibri" w:hAnsi="Calibri"/>
          <w:i/>
          <w:iCs/>
          <w:strike/>
          <w:szCs w:val="22"/>
          <w:lang w:val="en-US"/>
        </w:rPr>
        <w:t>that is supported by electronic means</w:t>
      </w:r>
      <w:r w:rsidRPr="0062008E">
        <w:rPr>
          <w:rFonts w:ascii="Calibri" w:hAnsi="Calibri"/>
          <w:b/>
          <w:bCs/>
          <w:i/>
          <w:iCs/>
          <w:szCs w:val="22"/>
          <w:lang w:val="en-US"/>
        </w:rPr>
        <w:t>where orders placed by electronic means are derived from members using computers to automate their trading activity on the basis of pre-defined programming on a central limit order book model.</w:t>
      </w:r>
      <w:r w:rsidRPr="0062008E">
        <w:rPr>
          <w:rFonts w:ascii="Calibri" w:hAnsi="Calibri"/>
          <w:i/>
          <w:iCs/>
          <w:szCs w:val="22"/>
          <w:lang w:val="en-US"/>
        </w:rPr>
        <w:t xml:space="preserve">  Therefore, these Standards apply </w:t>
      </w:r>
      <w:r w:rsidRPr="0062008E">
        <w:rPr>
          <w:rFonts w:ascii="Calibri" w:hAnsi="Calibri"/>
          <w:b/>
          <w:bCs/>
          <w:i/>
          <w:iCs/>
          <w:szCs w:val="22"/>
          <w:lang w:val="en-US"/>
        </w:rPr>
        <w:t>to</w:t>
      </w:r>
      <w:r w:rsidRPr="0062008E">
        <w:rPr>
          <w:rFonts w:ascii="Calibri" w:hAnsi="Calibri"/>
          <w:i/>
          <w:iCs/>
          <w:szCs w:val="22"/>
          <w:lang w:val="en-US"/>
        </w:rPr>
        <w:t xml:space="preserve"> regulated markets, multilateral trading facilities and organised trading facilities allowing for or enabling algorithmic trading </w:t>
      </w:r>
      <w:r w:rsidRPr="0062008E">
        <w:rPr>
          <w:rFonts w:ascii="Calibri" w:hAnsi="Calibri"/>
          <w:b/>
          <w:bCs/>
          <w:i/>
          <w:iCs/>
          <w:szCs w:val="22"/>
          <w:lang w:val="en-US"/>
        </w:rPr>
        <w:t>as per this description</w:t>
      </w:r>
      <w:r w:rsidRPr="0062008E">
        <w:rPr>
          <w:rFonts w:ascii="Calibri" w:hAnsi="Calibri"/>
          <w:i/>
          <w:iCs/>
          <w:szCs w:val="22"/>
          <w:lang w:val="en-US"/>
        </w:rPr>
        <w:t xml:space="preserve"> through their systems considering as such those where algorithmic trading may take place as </w:t>
      </w:r>
      <w:r w:rsidRPr="004E26B2">
        <w:rPr>
          <w:rFonts w:ascii="Calibri" w:hAnsi="Calibri"/>
          <w:i/>
          <w:iCs/>
          <w:szCs w:val="22"/>
          <w:lang w:val="en-US"/>
        </w:rPr>
        <w:t xml:space="preserve">opposed to trading venues which do not permit algorithmic trading </w:t>
      </w:r>
      <w:r w:rsidRPr="004E26B2">
        <w:rPr>
          <w:rFonts w:ascii="Calibri" w:hAnsi="Calibri"/>
          <w:b/>
          <w:bCs/>
          <w:i/>
          <w:iCs/>
          <w:szCs w:val="22"/>
          <w:lang w:val="en-US"/>
        </w:rPr>
        <w:t>or which operate voice, hybrid, quote-driven or request for quote activity models</w:t>
      </w:r>
      <w:r w:rsidRPr="004E26B2">
        <w:rPr>
          <w:rFonts w:ascii="Calibri" w:hAnsi="Calibri"/>
          <w:i/>
          <w:iCs/>
          <w:szCs w:val="22"/>
          <w:lang w:val="en-US"/>
        </w:rPr>
        <w:t xml:space="preserve">. </w:t>
      </w:r>
    </w:p>
    <w:p w:rsidR="00C0642F" w:rsidRPr="004E26B2" w:rsidRDefault="00C0642F" w:rsidP="00C0642F">
      <w:pPr>
        <w:ind w:left="426" w:hanging="426"/>
        <w:rPr>
          <w:rFonts w:ascii="Calibri" w:hAnsi="Calibri"/>
          <w:szCs w:val="22"/>
          <w:lang w:val="en-US"/>
        </w:rPr>
      </w:pPr>
    </w:p>
    <w:p w:rsidR="00C0642F" w:rsidRPr="004E26B2" w:rsidRDefault="00C0642F" w:rsidP="007D55BD">
      <w:pPr>
        <w:pStyle w:val="ListParagraph"/>
      </w:pPr>
      <w:r w:rsidRPr="004E26B2">
        <w:t xml:space="preserve">Article 3 – Organisational Requirements for Trading Venues and the Proportionality Principle 1.: We believe it would be appropriate to include a point in this section to the effect that the extent to which Article 48 of Directive 2014/65/EU and RTS 14 is applied by trading venues may take into account the nature, scale and complexity of their business.  The RTS as drafted refers to the proportionality principle as a factor in self-assessment; however, our view is that venues should be able to apply a proportionality rule in their implementation of the requirements of Article 48 of Directive 2014/65/EU and RTS 14 overall.  </w:t>
      </w:r>
    </w:p>
    <w:p w:rsidR="00C0642F" w:rsidRPr="004E26B2" w:rsidRDefault="00C0642F" w:rsidP="007D55BD">
      <w:pPr>
        <w:pStyle w:val="ListParagraph"/>
      </w:pPr>
      <w:r w:rsidRPr="004E26B2">
        <w:t xml:space="preserve">Article 7 – Outsourcing 1. (a): In many markets, the trading venue itself is operated and governed by a different legal entity than that of the legal owner of the system and its associated intellectual property itself.  Set-ups such as these are already considered acceptable evidenced by existing regulatory permissions granted by a national competent authority to the operating/governing entity, rather than to the legal entity owning the system itself.   Further clarification within RTS 14 that this provision does </w:t>
      </w:r>
      <w:r w:rsidRPr="004E26B2">
        <w:rPr>
          <w:u w:val="single"/>
        </w:rPr>
        <w:t>not</w:t>
      </w:r>
      <w:r w:rsidRPr="004E26B2">
        <w:t xml:space="preserve"> refer to such internal arrangements within the same corporate group is necessary to avoid any confusion in this respect.</w:t>
      </w:r>
    </w:p>
    <w:p w:rsidR="00C0642F" w:rsidRPr="004E26B2" w:rsidRDefault="00C0642F" w:rsidP="007D55BD">
      <w:pPr>
        <w:pStyle w:val="ListParagraph"/>
      </w:pPr>
      <w:r w:rsidRPr="004E26B2">
        <w:t xml:space="preserve">Article 8 – Due Diligence for Members or Participants of Trading Venues 1.: We believe the term “publicly available” should be defined as meaning “available to the Members or Participants of the Trading Venue”.  </w:t>
      </w:r>
    </w:p>
    <w:p w:rsidR="00C0642F" w:rsidRPr="004E26B2" w:rsidRDefault="00C0642F" w:rsidP="007D55BD">
      <w:pPr>
        <w:pStyle w:val="ListParagraph"/>
      </w:pPr>
      <w:r w:rsidRPr="004E26B2">
        <w:t>Article 8 – Due Diligence for Members or Participants of Trading Venues 3.: It would be appropriate for this requirement to be applied using a risk-based approach.</w:t>
      </w:r>
    </w:p>
    <w:p w:rsidR="00C0642F" w:rsidRPr="004E26B2" w:rsidRDefault="00C0642F" w:rsidP="007D55BD">
      <w:pPr>
        <w:pStyle w:val="ListParagraph"/>
      </w:pPr>
      <w:r w:rsidRPr="004E26B2">
        <w:t>Article 8 – Due Diligence for Members or Participants of Trading Venues 5.: Consistent with record-keeping requirements, this proposal should be for a minimum of five years.</w:t>
      </w:r>
    </w:p>
    <w:p w:rsidR="00C0642F" w:rsidRPr="004E26B2" w:rsidRDefault="00C0642F" w:rsidP="007D55BD">
      <w:pPr>
        <w:pStyle w:val="ListParagraph"/>
      </w:pPr>
      <w:r w:rsidRPr="004E26B2">
        <w:t>Article 10 – Testing the member’s capacity to access trading systems: It is not appropriate that this requirement extends to algorithms used in other trading venues; each trading venue can only require testing in respect of algorithms to be used in their own venue.</w:t>
      </w:r>
    </w:p>
    <w:p w:rsidR="00C0642F" w:rsidRPr="004E26B2" w:rsidRDefault="00C0642F" w:rsidP="007D55BD">
      <w:pPr>
        <w:pStyle w:val="ListParagraph"/>
      </w:pPr>
      <w:r w:rsidRPr="004E26B2">
        <w:t>Article 12 – Trading Venues’ capacity 1.: We believe that the infrastructure of trading venues should be robust and resilient.  However, we do not agree with the proposal to require trading venues to be able to accommodate at least twice the historical peak of messages; this is inconsistent with the minimum record-keeping requirements.  A more appropriate measure would be to require trading venues to be able to accommodate at least twice the peak reached during the previous 5 years.  The cross-references in Articles 4 and 15 should also be amended accordingly.</w:t>
      </w:r>
    </w:p>
    <w:p w:rsidR="00C0642F" w:rsidRPr="004E26B2" w:rsidRDefault="00C0642F" w:rsidP="007D55BD">
      <w:pPr>
        <w:pStyle w:val="ListParagraph"/>
      </w:pPr>
      <w:r w:rsidRPr="004E26B2">
        <w:t xml:space="preserve">Article 16 – Business Continuity Arrangements </w:t>
      </w:r>
      <w:r w:rsidR="004E26B2" w:rsidRPr="004E26B2">
        <w:t>2:</w:t>
      </w:r>
      <w:r w:rsidRPr="004E26B2">
        <w:t xml:space="preserve"> Trading venues already have a significant commercial incentive to ensure a timely resumption of trading.  We do not consider it appropriate to mandate a specific recovery time of no later than 2 hours in the RTS; this is because reasons for a system shut-down will vary and may well be dependent on externalities beyond the venue operator’s control.  Two hours may not be sufficient time to ensure a robust recovery; putting operators under pressure to reach this target may result in unwanted consequences or rapid decisions being made ahead of all the facts being known.  We propose amending point 2 of Article 16 to read as follows: The business continuity arrangements shall ensure the best possible timely resumption of trading appropriate to the circumstances causing the shut-down.</w:t>
      </w:r>
    </w:p>
    <w:p w:rsidR="00C0642F" w:rsidRPr="004E26B2" w:rsidRDefault="00C0642F" w:rsidP="007D55BD">
      <w:pPr>
        <w:pStyle w:val="ListParagraph"/>
      </w:pPr>
      <w:r w:rsidRPr="004E26B2">
        <w:t xml:space="preserve">Article 19 – Prevention of Disorderly Trading Conditions </w:t>
      </w:r>
      <w:r w:rsidR="004E26B2" w:rsidRPr="004E26B2">
        <w:t>1:</w:t>
      </w:r>
      <w:r w:rsidRPr="004E26B2">
        <w:t xml:space="preserve"> These requirements should be determined by the trading venue according to the extent to which algorithmic activity takes place on that venue.</w:t>
      </w:r>
    </w:p>
    <w:p w:rsidR="00C0642F" w:rsidRPr="004E26B2" w:rsidRDefault="00C0642F" w:rsidP="007D55BD">
      <w:pPr>
        <w:pStyle w:val="ListParagraph"/>
      </w:pPr>
      <w:r w:rsidRPr="004E26B2">
        <w:t>Article 19 – Prevention of Disorderly Trading Conditions 1. (c): ESMA should clarify in the RTS whether the reference to pre- and post-trade controls refers to the items listed in point 2, or if this refers to another section.</w:t>
      </w:r>
    </w:p>
    <w:p w:rsidR="00C0642F" w:rsidRPr="004E26B2" w:rsidRDefault="00C0642F" w:rsidP="007D55BD">
      <w:pPr>
        <w:pStyle w:val="ListParagraph"/>
      </w:pPr>
      <w:r w:rsidRPr="004E26B2">
        <w:t>Article 19 – Prevention of Disorderly Trading Conditions 2. (d): Trading venues which operate markets that settle bi-laterally are not technically or legally able to cancel or correct transactions.  In these circumstances, it is dependent on the parties to the trade to make the correction.  The best that a trading venue could do would be to request a correction; however, it would have no oversight of the contractual changes to the transaction.  We consider that this requirement would not be workable for many venues and suggest that ESMA delete this requirement from the RTS.</w:t>
      </w:r>
    </w:p>
    <w:p w:rsidR="00C0642F" w:rsidRPr="004E26B2" w:rsidRDefault="00C0642F" w:rsidP="007D55BD">
      <w:pPr>
        <w:pStyle w:val="ListParagraph"/>
      </w:pPr>
      <w:r w:rsidRPr="004E26B2">
        <w:t xml:space="preserve">Article 19 – Prevention of Disorderly Trading Conditions </w:t>
      </w:r>
      <w:r w:rsidR="004E26B2" w:rsidRPr="004E26B2">
        <w:t>4:</w:t>
      </w:r>
      <w:r w:rsidRPr="004E26B2">
        <w:t xml:space="preserve"> The requirement to make these items public should be limited to members/participants using the trading venue.</w:t>
      </w:r>
    </w:p>
    <w:p w:rsidR="00C0642F" w:rsidRPr="004E26B2" w:rsidRDefault="00C0642F" w:rsidP="007D55BD">
      <w:pPr>
        <w:pStyle w:val="ListParagraph"/>
      </w:pPr>
      <w:r w:rsidRPr="004E26B2">
        <w:t>Article 20 – Mechanisms to Manage Volatility 1.: The WMBA would propose that ESMA introduces a specific proportionality rule to the effect that venues which have a low proportion of algorithmic activity implement volatility halting mechanisms (circuit breakers) using a risk-based approach to determine the extent to which such mechanisms are required taking into account the factors cited in point 3 of Article 20.  Implementing volatility mechanisms as a mandatory requirement would prove very costly to venues with a low proportion of algorithmic activity.  In addition, the requirement to be informed where there is a significant price movement in a financial instrument traded on another venue where the same instrument is traded is unworkable.  In markets that do not have a defined primary listing, or where instruments may have variable attributes, e.g. currency swaps, or which are traded across multiple jurisdictions, it is not possible to take a price feed from all the other venues.  The requirement to halt volatility must be both proportionate and also relevant to the each venue in question; venues must be responsible for determining their own volatility mechanisms appropriate to their markets.</w:t>
      </w:r>
    </w:p>
    <w:p w:rsidR="00C0642F" w:rsidRPr="004E26B2" w:rsidRDefault="00C0642F" w:rsidP="007D55BD">
      <w:pPr>
        <w:pStyle w:val="ListParagraph"/>
      </w:pPr>
      <w:r w:rsidRPr="004E26B2">
        <w:t xml:space="preserve">Article 20 – Mechanisms to Manage Volatility </w:t>
      </w:r>
      <w:r w:rsidR="004E26B2" w:rsidRPr="004E26B2">
        <w:t>8:</w:t>
      </w:r>
      <w:r w:rsidRPr="004E26B2">
        <w:t xml:space="preserve"> We request ESMA to confirm that “website” may be limited to a member-only accessible site.</w:t>
      </w:r>
    </w:p>
    <w:p w:rsidR="00C0642F" w:rsidRPr="004E26B2" w:rsidRDefault="00C0642F" w:rsidP="007D55BD">
      <w:pPr>
        <w:pStyle w:val="ListParagraph"/>
      </w:pPr>
      <w:r w:rsidRPr="004E26B2">
        <w:t xml:space="preserve">Article 21 – Pre-trade controls </w:t>
      </w:r>
      <w:r w:rsidR="004E26B2" w:rsidRPr="004E26B2">
        <w:t>1:</w:t>
      </w:r>
      <w:r w:rsidRPr="004E26B2">
        <w:t xml:space="preserve"> We propose that the requirement for venues to operate the pre-trade controls specified in Article 21 of RTS 14 is not mandated by ESMA, but rather left to the discretion of venues according to their risk assessment and the extent to which algorithmic activity takes place on the venue.  The controls proposed may not be relevant to all markets.  The imposition of price collars may also have adverse effects on Members that wish to leave “stop-loss” or resting orders.  A more appropriate control would take into account both price limit and size, but this should be a matter for individual venues to determine.  In addition, the reference in </w:t>
      </w:r>
      <w:r w:rsidR="004E26B2" w:rsidRPr="004E26B2">
        <w:t>(c)</w:t>
      </w:r>
      <w:r w:rsidRPr="004E26B2">
        <w:t xml:space="preserve"> to shares or lots is not appropriate to all markets and should be struck.  </w:t>
      </w:r>
    </w:p>
    <w:p w:rsidR="00C0642F" w:rsidRPr="004E26B2" w:rsidRDefault="00C0642F" w:rsidP="007D55BD">
      <w:pPr>
        <w:pStyle w:val="ListParagraph"/>
      </w:pPr>
      <w:r w:rsidRPr="004E26B2">
        <w:t xml:space="preserve">Article 23 – Pre-determination of the conditions to provide direct electronic access </w:t>
      </w:r>
      <w:r w:rsidR="004E26B2" w:rsidRPr="004E26B2">
        <w:t>1:</w:t>
      </w:r>
      <w:r w:rsidRPr="004E26B2">
        <w:t xml:space="preserve"> The requirement to “make public” should be limited to members/participants accessing the system.</w:t>
      </w:r>
    </w:p>
    <w:p w:rsidR="00C0642F" w:rsidRPr="0062008E" w:rsidRDefault="00C0642F" w:rsidP="00C0642F">
      <w:pPr>
        <w:ind w:left="426" w:hanging="426"/>
        <w:rPr>
          <w:rFonts w:ascii="Calibri" w:hAnsi="Calibri"/>
          <w:szCs w:val="22"/>
          <w:lang w:val="en-US"/>
        </w:rPr>
      </w:pPr>
      <w:r w:rsidRPr="0062008E">
        <w:rPr>
          <w:rFonts w:ascii="Calibri" w:hAnsi="Calibri"/>
          <w:szCs w:val="22"/>
          <w:lang w:val="en-US"/>
        </w:rPr>
        <w:t> </w:t>
      </w:r>
    </w:p>
    <w:p w:rsidR="00C0642F" w:rsidRPr="0062008E" w:rsidRDefault="00C0642F" w:rsidP="00C0642F">
      <w:pPr>
        <w:ind w:left="426" w:hanging="426"/>
        <w:rPr>
          <w:rFonts w:ascii="Calibri" w:hAnsi="Calibri"/>
          <w:szCs w:val="22"/>
          <w:lang w:val="en-US"/>
        </w:rPr>
      </w:pPr>
      <w:r w:rsidRPr="0062008E">
        <w:rPr>
          <w:rFonts w:ascii="Calibri" w:hAnsi="Calibri"/>
          <w:szCs w:val="22"/>
          <w:lang w:val="en-US"/>
        </w:rPr>
        <w:t>We therefore propose a redraft of the relevant points commented on above in RTS 14 as follows:</w:t>
      </w:r>
    </w:p>
    <w:p w:rsidR="00C0642F" w:rsidRPr="0062008E" w:rsidRDefault="00C0642F" w:rsidP="00C0642F">
      <w:pPr>
        <w:ind w:left="426" w:hanging="426"/>
        <w:rPr>
          <w:rFonts w:ascii="Calibri" w:hAnsi="Calibri"/>
          <w:szCs w:val="22"/>
          <w:lang w:val="en-US"/>
        </w:rPr>
      </w:pPr>
      <w:r w:rsidRPr="0062008E">
        <w:rPr>
          <w:rFonts w:ascii="Calibri" w:hAnsi="Calibri"/>
          <w:szCs w:val="22"/>
          <w:lang w:val="en-US"/>
        </w:rPr>
        <w:t> </w:t>
      </w:r>
    </w:p>
    <w:p w:rsidR="00C0642F" w:rsidRPr="0062008E" w:rsidRDefault="00C0642F" w:rsidP="00C0642F">
      <w:pPr>
        <w:ind w:left="426" w:hanging="426"/>
        <w:rPr>
          <w:rFonts w:ascii="Calibri" w:hAnsi="Calibri"/>
          <w:szCs w:val="22"/>
          <w:lang w:val="en-US"/>
        </w:rPr>
      </w:pPr>
      <w:r w:rsidRPr="0062008E">
        <w:rPr>
          <w:rFonts w:ascii="Calibri" w:hAnsi="Calibri"/>
          <w:b/>
          <w:bCs/>
          <w:i/>
          <w:iCs/>
          <w:szCs w:val="22"/>
          <w:lang w:val="en-US"/>
        </w:rPr>
        <w:t>Recital 1</w:t>
      </w:r>
    </w:p>
    <w:p w:rsidR="00C0642F" w:rsidRPr="0062008E" w:rsidRDefault="00C0642F" w:rsidP="00C0642F">
      <w:pPr>
        <w:rPr>
          <w:rFonts w:ascii="Calibri" w:hAnsi="Calibri"/>
          <w:szCs w:val="22"/>
          <w:lang w:val="en-US"/>
        </w:rPr>
      </w:pPr>
      <w:r w:rsidRPr="0062008E">
        <w:rPr>
          <w:rFonts w:ascii="Calibri" w:hAnsi="Calibri"/>
          <w:szCs w:val="22"/>
          <w:lang w:val="en-US"/>
        </w:rPr>
        <w:t xml:space="preserve">Articles 18(5) and 48 of Directive 2014/65/EU determine the obligation of trading venues (regulated markets, multilateral trading facilities and organised trading venues) to have adequate arrangements and capacity so as to undertake their business appropriately.  In this context, recitals (59) to (68) of Directive 2014/65/EU frame the obligations of trading venues permitting algorithmic trading through their systems under Article 48. Article 17 of Directive 2014/65/EU determines the organisational requirements for investment firms engaging in algorithmic trading.  </w:t>
      </w:r>
      <w:r w:rsidRPr="0062008E">
        <w:rPr>
          <w:rFonts w:ascii="Calibri" w:hAnsi="Calibri"/>
          <w:b/>
          <w:bCs/>
          <w:szCs w:val="22"/>
          <w:lang w:val="en-US"/>
        </w:rPr>
        <w:t xml:space="preserve">For clarity, the expression “order” does </w:t>
      </w:r>
      <w:r w:rsidRPr="0062008E">
        <w:rPr>
          <w:rFonts w:ascii="Calibri" w:hAnsi="Calibri"/>
          <w:b/>
          <w:bCs/>
          <w:szCs w:val="22"/>
          <w:u w:val="single"/>
          <w:lang w:val="en-US"/>
        </w:rPr>
        <w:t>not</w:t>
      </w:r>
      <w:r w:rsidRPr="0062008E">
        <w:rPr>
          <w:rFonts w:ascii="Calibri" w:hAnsi="Calibri"/>
          <w:b/>
          <w:bCs/>
          <w:szCs w:val="22"/>
          <w:lang w:val="en-US"/>
        </w:rPr>
        <w:t xml:space="preserve"> refer to IOIs.</w:t>
      </w:r>
    </w:p>
    <w:p w:rsidR="00C0642F" w:rsidRPr="0062008E" w:rsidRDefault="00C0642F" w:rsidP="00C0642F">
      <w:pPr>
        <w:ind w:left="426" w:hanging="426"/>
        <w:rPr>
          <w:rFonts w:ascii="Calibri" w:hAnsi="Calibri"/>
          <w:szCs w:val="22"/>
          <w:lang w:val="en-US"/>
        </w:rPr>
      </w:pPr>
      <w:r w:rsidRPr="0062008E">
        <w:rPr>
          <w:rFonts w:ascii="Calibri" w:hAnsi="Calibri"/>
          <w:b/>
          <w:bCs/>
          <w:szCs w:val="22"/>
          <w:lang w:val="en-US"/>
        </w:rPr>
        <w:t> </w:t>
      </w:r>
    </w:p>
    <w:p w:rsidR="00C0642F" w:rsidRPr="0062008E" w:rsidRDefault="00C0642F" w:rsidP="00C0642F">
      <w:pPr>
        <w:ind w:left="426" w:hanging="426"/>
        <w:rPr>
          <w:rFonts w:ascii="Calibri" w:hAnsi="Calibri"/>
          <w:szCs w:val="22"/>
          <w:lang w:val="en-US"/>
        </w:rPr>
      </w:pPr>
      <w:r w:rsidRPr="0062008E">
        <w:rPr>
          <w:rFonts w:ascii="Calibri" w:hAnsi="Calibri"/>
          <w:b/>
          <w:bCs/>
          <w:i/>
          <w:iCs/>
          <w:szCs w:val="22"/>
          <w:lang w:val="en-US"/>
        </w:rPr>
        <w:t>Recital 2</w:t>
      </w:r>
    </w:p>
    <w:p w:rsidR="00C0642F" w:rsidRPr="0062008E" w:rsidRDefault="00C0642F" w:rsidP="00C0642F">
      <w:pPr>
        <w:rPr>
          <w:rFonts w:ascii="Calibri" w:hAnsi="Calibri"/>
          <w:szCs w:val="22"/>
          <w:lang w:val="en-US"/>
        </w:rPr>
      </w:pPr>
      <w:r w:rsidRPr="0062008E">
        <w:rPr>
          <w:rFonts w:ascii="Calibri" w:hAnsi="Calibri"/>
          <w:szCs w:val="22"/>
          <w:lang w:val="en-US"/>
        </w:rPr>
        <w:t xml:space="preserve">The potential impact of technological developments is one of the main drivers to determine the capacity and arrangements to manage the potential risks of a trading venue.  The risks arising from algorithmic trading can be present in any trading model </w:t>
      </w:r>
      <w:r w:rsidRPr="0062008E">
        <w:rPr>
          <w:rFonts w:ascii="Calibri" w:hAnsi="Calibri"/>
          <w:strike/>
          <w:szCs w:val="22"/>
          <w:lang w:val="en-US"/>
        </w:rPr>
        <w:t xml:space="preserve">that is supported by electronic means </w:t>
      </w:r>
      <w:r w:rsidRPr="0062008E">
        <w:rPr>
          <w:rFonts w:ascii="Calibri" w:hAnsi="Calibri"/>
          <w:b/>
          <w:bCs/>
          <w:szCs w:val="22"/>
          <w:lang w:val="en-US"/>
        </w:rPr>
        <w:t>where orders placed by electronic means are derived from members using computers to automate their trading activity on the basis of pre-defined programming on a central limit order book model in accordance with the definition stated in Article 4 of Directive 2014/65/EU in paragraph 1 (39).</w:t>
      </w:r>
      <w:r w:rsidRPr="0062008E">
        <w:rPr>
          <w:rFonts w:ascii="Calibri" w:hAnsi="Calibri"/>
          <w:szCs w:val="22"/>
          <w:lang w:val="en-US"/>
        </w:rPr>
        <w:t xml:space="preserve">  Therefore, these Standards apply </w:t>
      </w:r>
      <w:r w:rsidRPr="0062008E">
        <w:rPr>
          <w:rFonts w:ascii="Calibri" w:hAnsi="Calibri"/>
          <w:b/>
          <w:bCs/>
          <w:szCs w:val="22"/>
          <w:lang w:val="en-US"/>
        </w:rPr>
        <w:t>to</w:t>
      </w:r>
      <w:r w:rsidRPr="0062008E">
        <w:rPr>
          <w:rFonts w:ascii="Calibri" w:hAnsi="Calibri"/>
          <w:szCs w:val="22"/>
          <w:lang w:val="en-US"/>
        </w:rPr>
        <w:t xml:space="preserve"> regulated markets, multilateral trading facilities and organised trading facilities allowing for or enabling algorithmic trading </w:t>
      </w:r>
      <w:r w:rsidRPr="0062008E">
        <w:rPr>
          <w:rFonts w:ascii="Calibri" w:hAnsi="Calibri"/>
          <w:b/>
          <w:bCs/>
          <w:szCs w:val="22"/>
          <w:lang w:val="en-US"/>
        </w:rPr>
        <w:t>as per this description</w:t>
      </w:r>
      <w:r w:rsidRPr="0062008E">
        <w:rPr>
          <w:rFonts w:ascii="Calibri" w:hAnsi="Calibri"/>
          <w:szCs w:val="22"/>
          <w:lang w:val="en-US"/>
        </w:rPr>
        <w:t xml:space="preserve"> through their systems considering as such those where algorithmic trading may take place as opposed to trading venues which do not permit algorithmic trading </w:t>
      </w:r>
      <w:r w:rsidRPr="0062008E">
        <w:rPr>
          <w:rFonts w:ascii="Calibri" w:hAnsi="Calibri"/>
          <w:b/>
          <w:bCs/>
          <w:szCs w:val="22"/>
          <w:lang w:val="en-US"/>
        </w:rPr>
        <w:t>or which operate voice, hybrid, quote-driven or request for quote activity models</w:t>
      </w:r>
      <w:r w:rsidRPr="0062008E">
        <w:rPr>
          <w:rFonts w:ascii="Calibri" w:hAnsi="Calibri"/>
          <w:szCs w:val="22"/>
          <w:lang w:val="en-US"/>
        </w:rPr>
        <w:t xml:space="preserve">. </w:t>
      </w:r>
    </w:p>
    <w:p w:rsidR="00C0642F" w:rsidRPr="0062008E" w:rsidRDefault="00C0642F" w:rsidP="00C0642F">
      <w:pPr>
        <w:ind w:left="426" w:hanging="426"/>
        <w:rPr>
          <w:rFonts w:ascii="Calibri" w:hAnsi="Calibri"/>
          <w:szCs w:val="22"/>
          <w:lang w:val="en-US"/>
        </w:rPr>
      </w:pPr>
      <w:r w:rsidRPr="0062008E">
        <w:rPr>
          <w:rFonts w:ascii="Calibri" w:hAnsi="Calibri"/>
          <w:b/>
          <w:bCs/>
          <w:szCs w:val="22"/>
          <w:lang w:val="en-US"/>
        </w:rPr>
        <w:t> </w:t>
      </w:r>
    </w:p>
    <w:p w:rsidR="00C0642F" w:rsidRPr="0062008E" w:rsidRDefault="00C0642F" w:rsidP="00C0642F">
      <w:pPr>
        <w:ind w:left="426" w:hanging="426"/>
        <w:rPr>
          <w:rFonts w:ascii="Calibri" w:hAnsi="Calibri"/>
          <w:szCs w:val="22"/>
          <w:lang w:val="en-US"/>
        </w:rPr>
      </w:pPr>
      <w:r w:rsidRPr="0062008E">
        <w:rPr>
          <w:rFonts w:ascii="Calibri" w:hAnsi="Calibri"/>
          <w:b/>
          <w:bCs/>
          <w:i/>
          <w:iCs/>
          <w:szCs w:val="22"/>
          <w:lang w:val="en-US"/>
        </w:rPr>
        <w:t>Article 1</w:t>
      </w:r>
    </w:p>
    <w:p w:rsidR="00C0642F" w:rsidRPr="0062008E" w:rsidRDefault="00C0642F" w:rsidP="00C0642F">
      <w:pPr>
        <w:ind w:left="426" w:hanging="426"/>
        <w:rPr>
          <w:rFonts w:ascii="Calibri" w:hAnsi="Calibri"/>
          <w:szCs w:val="22"/>
          <w:lang w:val="en-US"/>
        </w:rPr>
      </w:pPr>
      <w:r w:rsidRPr="0062008E">
        <w:rPr>
          <w:rFonts w:ascii="Calibri" w:hAnsi="Calibri"/>
          <w:b/>
          <w:bCs/>
          <w:i/>
          <w:iCs/>
          <w:szCs w:val="22"/>
          <w:lang w:val="en-US"/>
        </w:rPr>
        <w:t>Subject matter and scope</w:t>
      </w:r>
    </w:p>
    <w:p w:rsidR="00C0642F" w:rsidRPr="0062008E" w:rsidRDefault="00C0642F" w:rsidP="00C0642F">
      <w:pPr>
        <w:ind w:left="426" w:hanging="426"/>
        <w:rPr>
          <w:rFonts w:ascii="Calibri" w:hAnsi="Calibri"/>
          <w:szCs w:val="22"/>
          <w:lang w:val="en-US"/>
        </w:rPr>
      </w:pPr>
      <w:r w:rsidRPr="0062008E">
        <w:rPr>
          <w:rFonts w:ascii="Calibri" w:hAnsi="Calibri"/>
          <w:szCs w:val="22"/>
          <w:lang w:val="en-US"/>
        </w:rPr>
        <w:t xml:space="preserve">(2) </w:t>
      </w:r>
      <w:r w:rsidRPr="0062008E">
        <w:rPr>
          <w:rFonts w:ascii="Calibri" w:hAnsi="Calibri"/>
          <w:szCs w:val="22"/>
          <w:lang w:val="en-US"/>
        </w:rPr>
        <w:tab/>
        <w:t xml:space="preserve">For the purposes of this regulation, it is considered that a trading venue allows or enables algorithmic trading where </w:t>
      </w:r>
      <w:r w:rsidRPr="0062008E">
        <w:rPr>
          <w:rFonts w:ascii="Calibri" w:hAnsi="Calibri"/>
          <w:strike/>
          <w:szCs w:val="22"/>
          <w:lang w:val="en-US"/>
        </w:rPr>
        <w:t xml:space="preserve">order submission and order matching is facilitated by electronic means </w:t>
      </w:r>
      <w:r w:rsidRPr="0062008E">
        <w:rPr>
          <w:rFonts w:ascii="Calibri" w:hAnsi="Calibri"/>
          <w:b/>
          <w:bCs/>
          <w:szCs w:val="22"/>
          <w:lang w:val="en-US"/>
        </w:rPr>
        <w:t>orders placed by electronic means are derived from members using computers to automate their trading activity on the basis of pre-defined programming on a central limit order book model in accordance with the definition stated in Article 4 of Directive 2014/65/EU in paragraph 1 (39); this definition of algorithmic trading does not capture activity carried out on voice, hybrid, quote-driven or request for quote activity models</w:t>
      </w:r>
      <w:r w:rsidRPr="0062008E">
        <w:rPr>
          <w:rFonts w:ascii="Calibri" w:hAnsi="Calibri"/>
          <w:szCs w:val="22"/>
          <w:lang w:val="en-US"/>
        </w:rPr>
        <w:t>.</w:t>
      </w:r>
    </w:p>
    <w:p w:rsidR="00C0642F" w:rsidRPr="0062008E" w:rsidRDefault="00C0642F" w:rsidP="00C0642F">
      <w:pPr>
        <w:ind w:left="426" w:hanging="426"/>
        <w:rPr>
          <w:rFonts w:ascii="Calibri" w:hAnsi="Calibri"/>
          <w:szCs w:val="22"/>
          <w:lang w:val="en-US"/>
        </w:rPr>
      </w:pPr>
      <w:r w:rsidRPr="0062008E">
        <w:rPr>
          <w:rFonts w:ascii="Calibri" w:hAnsi="Calibri"/>
          <w:b/>
          <w:bCs/>
          <w:i/>
          <w:iCs/>
          <w:szCs w:val="22"/>
          <w:lang w:val="en-US"/>
        </w:rPr>
        <w:t> </w:t>
      </w:r>
    </w:p>
    <w:p w:rsidR="00C0642F" w:rsidRPr="0062008E" w:rsidRDefault="00C0642F" w:rsidP="00C0642F">
      <w:pPr>
        <w:ind w:left="426" w:hanging="426"/>
        <w:rPr>
          <w:rFonts w:ascii="Calibri" w:hAnsi="Calibri"/>
          <w:szCs w:val="22"/>
          <w:lang w:val="en-US"/>
        </w:rPr>
      </w:pPr>
      <w:r w:rsidRPr="0062008E">
        <w:rPr>
          <w:rFonts w:ascii="Calibri" w:hAnsi="Calibri"/>
          <w:b/>
          <w:bCs/>
          <w:i/>
          <w:iCs/>
          <w:szCs w:val="22"/>
          <w:lang w:val="en-US"/>
        </w:rPr>
        <w:t>Article 3</w:t>
      </w:r>
    </w:p>
    <w:p w:rsidR="00C0642F" w:rsidRPr="0062008E" w:rsidRDefault="00C0642F" w:rsidP="00C0642F">
      <w:pPr>
        <w:ind w:left="426" w:hanging="426"/>
        <w:rPr>
          <w:rFonts w:ascii="Calibri" w:hAnsi="Calibri"/>
          <w:szCs w:val="22"/>
          <w:lang w:val="en-US"/>
        </w:rPr>
      </w:pPr>
      <w:r w:rsidRPr="0062008E">
        <w:rPr>
          <w:rFonts w:ascii="Calibri" w:hAnsi="Calibri"/>
          <w:b/>
          <w:bCs/>
          <w:i/>
          <w:iCs/>
          <w:szCs w:val="22"/>
          <w:lang w:val="en-US"/>
        </w:rPr>
        <w:t>Organisational requirements for trading venues and the proportionality principle</w:t>
      </w:r>
    </w:p>
    <w:p w:rsidR="00C0642F" w:rsidRPr="00DE362E" w:rsidRDefault="00C0642F" w:rsidP="00C0642F">
      <w:pPr>
        <w:ind w:left="426" w:hanging="426"/>
        <w:rPr>
          <w:rFonts w:ascii="Calibri" w:hAnsi="Calibri"/>
          <w:szCs w:val="22"/>
          <w:lang w:val="en-US"/>
        </w:rPr>
      </w:pPr>
      <w:r w:rsidRPr="0062008E">
        <w:rPr>
          <w:rFonts w:ascii="Calibri" w:hAnsi="Calibri"/>
          <w:szCs w:val="22"/>
          <w:lang w:val="en-US"/>
        </w:rPr>
        <w:t xml:space="preserve">1. </w:t>
      </w:r>
      <w:r w:rsidRPr="0062008E">
        <w:rPr>
          <w:rFonts w:ascii="Calibri" w:hAnsi="Calibri"/>
          <w:szCs w:val="22"/>
          <w:lang w:val="en-US"/>
        </w:rPr>
        <w:tab/>
        <w:t xml:space="preserve">Before the deployment of a trading system and at least once a year, trading venues shall elaborate a report to assess their degree of compliance with Article 48 of Directive 2014/65/EU, taking into account the nature, scale and complexity of their business.  </w:t>
      </w:r>
      <w:r w:rsidRPr="0062008E">
        <w:rPr>
          <w:rFonts w:ascii="Calibri" w:hAnsi="Calibri"/>
          <w:b/>
          <w:bCs/>
          <w:szCs w:val="22"/>
          <w:lang w:val="en-US"/>
        </w:rPr>
        <w:t>The degree to which trading venues</w:t>
      </w:r>
      <w:r w:rsidRPr="00DE362E">
        <w:rPr>
          <w:rFonts w:ascii="Calibri" w:hAnsi="Calibri"/>
          <w:b/>
          <w:bCs/>
          <w:szCs w:val="22"/>
          <w:lang w:val="en-US"/>
        </w:rPr>
        <w:t xml:space="preserve"> should apply Article 48 of Directive 2014/65/EU and RTS 14 should also take account of the elements listed in Annex 1.</w:t>
      </w:r>
    </w:p>
    <w:p w:rsidR="00C0642F" w:rsidRPr="00DE362E" w:rsidRDefault="00C0642F" w:rsidP="00C0642F">
      <w:pPr>
        <w:ind w:left="426" w:hanging="426"/>
        <w:rPr>
          <w:rFonts w:ascii="Calibri" w:hAnsi="Calibri"/>
          <w:szCs w:val="22"/>
          <w:lang w:val="en-US"/>
        </w:rPr>
      </w:pPr>
      <w:r w:rsidRPr="00DE362E">
        <w:rPr>
          <w:rFonts w:ascii="Calibri" w:hAnsi="Calibri"/>
          <w:b/>
          <w:bCs/>
          <w:szCs w:val="22"/>
          <w:lang w:val="en-US"/>
        </w:rPr>
        <w:t> </w:t>
      </w:r>
    </w:p>
    <w:p w:rsidR="00C0642F" w:rsidRPr="00DE362E" w:rsidRDefault="00C0642F" w:rsidP="00C0642F">
      <w:pPr>
        <w:ind w:left="426" w:hanging="426"/>
        <w:rPr>
          <w:rFonts w:ascii="Calibri" w:hAnsi="Calibri"/>
          <w:szCs w:val="22"/>
          <w:lang w:val="en-US"/>
        </w:rPr>
      </w:pPr>
      <w:r w:rsidRPr="00DE362E">
        <w:rPr>
          <w:rFonts w:ascii="Calibri" w:hAnsi="Calibri"/>
          <w:b/>
          <w:bCs/>
          <w:i/>
          <w:iCs/>
          <w:szCs w:val="22"/>
          <w:lang w:val="en-US"/>
        </w:rPr>
        <w:t>Article 4</w:t>
      </w:r>
    </w:p>
    <w:p w:rsidR="00C0642F" w:rsidRPr="00DE362E" w:rsidRDefault="00C0642F" w:rsidP="00C0642F">
      <w:pPr>
        <w:ind w:left="426" w:hanging="426"/>
        <w:rPr>
          <w:rFonts w:ascii="Calibri" w:hAnsi="Calibri"/>
          <w:szCs w:val="22"/>
          <w:lang w:val="en-US"/>
        </w:rPr>
      </w:pPr>
      <w:r w:rsidRPr="00DE362E">
        <w:rPr>
          <w:rFonts w:ascii="Calibri" w:hAnsi="Calibri"/>
          <w:b/>
          <w:bCs/>
          <w:i/>
          <w:iCs/>
          <w:szCs w:val="22"/>
          <w:lang w:val="en-US"/>
        </w:rPr>
        <w:t>Governance</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 xml:space="preserve">2.            The senior management of the trading venue shall at least approve: </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 xml:space="preserve">(b)          the measures planned to expand the capacity of the trading venue following a </w:t>
      </w:r>
      <w:r w:rsidRPr="00DE362E">
        <w:rPr>
          <w:rFonts w:ascii="Calibri" w:hAnsi="Calibri"/>
          <w:b/>
          <w:bCs/>
          <w:szCs w:val="22"/>
          <w:lang w:val="en-US"/>
        </w:rPr>
        <w:t xml:space="preserve">five-year </w:t>
      </w:r>
      <w:r w:rsidRPr="00DE362E">
        <w:rPr>
          <w:rFonts w:ascii="Calibri" w:hAnsi="Calibri"/>
          <w:szCs w:val="22"/>
          <w:lang w:val="en-US"/>
        </w:rPr>
        <w:t>historical peak of messages;</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w:t>
      </w:r>
    </w:p>
    <w:p w:rsidR="00C0642F" w:rsidRPr="00DE362E" w:rsidRDefault="00C0642F" w:rsidP="00C0642F">
      <w:pPr>
        <w:ind w:left="426" w:hanging="426"/>
        <w:rPr>
          <w:rFonts w:ascii="Calibri" w:hAnsi="Calibri"/>
          <w:szCs w:val="22"/>
          <w:lang w:val="en-US"/>
        </w:rPr>
      </w:pPr>
      <w:r w:rsidRPr="00DE362E">
        <w:rPr>
          <w:rFonts w:ascii="Calibri" w:hAnsi="Calibri"/>
          <w:b/>
          <w:bCs/>
          <w:i/>
          <w:iCs/>
          <w:szCs w:val="22"/>
          <w:lang w:val="en-US"/>
        </w:rPr>
        <w:t> </w:t>
      </w:r>
    </w:p>
    <w:p w:rsidR="00C0642F" w:rsidRPr="00DE362E" w:rsidRDefault="00C0642F" w:rsidP="00C0642F">
      <w:pPr>
        <w:ind w:left="426" w:hanging="426"/>
        <w:rPr>
          <w:rFonts w:ascii="Calibri" w:hAnsi="Calibri"/>
          <w:szCs w:val="22"/>
          <w:lang w:val="en-US"/>
        </w:rPr>
      </w:pPr>
      <w:r w:rsidRPr="00DE362E">
        <w:rPr>
          <w:rFonts w:ascii="Calibri" w:hAnsi="Calibri"/>
          <w:b/>
          <w:bCs/>
          <w:i/>
          <w:iCs/>
          <w:szCs w:val="22"/>
          <w:lang w:val="en-US"/>
        </w:rPr>
        <w:t>Article 7</w:t>
      </w:r>
    </w:p>
    <w:p w:rsidR="00C0642F" w:rsidRPr="00DE362E" w:rsidRDefault="00C0642F" w:rsidP="00C0642F">
      <w:pPr>
        <w:ind w:left="426" w:hanging="426"/>
        <w:rPr>
          <w:rFonts w:ascii="Calibri" w:hAnsi="Calibri"/>
          <w:szCs w:val="22"/>
          <w:lang w:val="en-US"/>
        </w:rPr>
      </w:pPr>
      <w:r w:rsidRPr="00DE362E">
        <w:rPr>
          <w:rFonts w:ascii="Calibri" w:hAnsi="Calibri"/>
          <w:b/>
          <w:bCs/>
          <w:i/>
          <w:iCs/>
          <w:szCs w:val="22"/>
          <w:lang w:val="en-US"/>
        </w:rPr>
        <w:t>Outsourcing</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 xml:space="preserve">1. If a trading venue outsources all or part of its operational functions, it shall ensure that: </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(a) the outsourcing exclusively relate</w:t>
      </w:r>
      <w:r w:rsidRPr="00DE362E">
        <w:rPr>
          <w:rFonts w:ascii="Calibri" w:hAnsi="Calibri"/>
          <w:b/>
          <w:bCs/>
          <w:szCs w:val="22"/>
          <w:lang w:val="en-US"/>
        </w:rPr>
        <w:t>s</w:t>
      </w:r>
      <w:r w:rsidRPr="00DE362E">
        <w:rPr>
          <w:rFonts w:ascii="Calibri" w:hAnsi="Calibri"/>
          <w:szCs w:val="22"/>
          <w:lang w:val="en-US"/>
        </w:rPr>
        <w:t xml:space="preserve"> to operational functions and does not encompass the responsibilities of the senior management and the management body of their responsibilities </w:t>
      </w:r>
      <w:r w:rsidRPr="00DE362E">
        <w:rPr>
          <w:rFonts w:ascii="Calibri" w:hAnsi="Calibri"/>
          <w:b/>
          <w:bCs/>
          <w:szCs w:val="22"/>
          <w:lang w:val="en-US"/>
        </w:rPr>
        <w:t>except for internal intercompany outsourcing arrangements where the legal owner of the system and the operating/managing entity are within the same corporate group</w:t>
      </w:r>
      <w:r w:rsidRPr="00DE362E">
        <w:rPr>
          <w:rFonts w:ascii="Calibri" w:hAnsi="Calibri"/>
          <w:szCs w:val="22"/>
          <w:lang w:val="en-US"/>
        </w:rPr>
        <w:t xml:space="preserve">; </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 </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 </w:t>
      </w:r>
    </w:p>
    <w:p w:rsidR="00C0642F" w:rsidRPr="00DE362E" w:rsidRDefault="00C0642F" w:rsidP="00C0642F">
      <w:pPr>
        <w:ind w:left="426" w:hanging="426"/>
        <w:rPr>
          <w:rFonts w:ascii="Calibri" w:hAnsi="Calibri"/>
          <w:szCs w:val="22"/>
          <w:lang w:val="en-US"/>
        </w:rPr>
      </w:pPr>
      <w:r w:rsidRPr="00DE362E">
        <w:rPr>
          <w:rFonts w:ascii="Calibri" w:hAnsi="Calibri"/>
          <w:b/>
          <w:bCs/>
          <w:i/>
          <w:iCs/>
          <w:szCs w:val="22"/>
          <w:lang w:val="en-US"/>
        </w:rPr>
        <w:t>Article 8</w:t>
      </w:r>
    </w:p>
    <w:p w:rsidR="00C0642F" w:rsidRPr="00DE362E" w:rsidRDefault="00C0642F" w:rsidP="00C0642F">
      <w:pPr>
        <w:ind w:left="426" w:hanging="426"/>
        <w:rPr>
          <w:rFonts w:ascii="Calibri" w:hAnsi="Calibri"/>
          <w:szCs w:val="22"/>
          <w:lang w:val="en-US"/>
        </w:rPr>
      </w:pPr>
      <w:r w:rsidRPr="00DE362E">
        <w:rPr>
          <w:rFonts w:ascii="Calibri" w:hAnsi="Calibri"/>
          <w:b/>
          <w:bCs/>
          <w:i/>
          <w:iCs/>
          <w:szCs w:val="22"/>
          <w:lang w:val="en-US"/>
        </w:rPr>
        <w:t>Due diligence for members or participants of trading venues</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 xml:space="preserve">1. </w:t>
      </w:r>
      <w:r w:rsidRPr="00DE362E">
        <w:rPr>
          <w:rFonts w:ascii="Calibri" w:hAnsi="Calibri"/>
          <w:szCs w:val="22"/>
          <w:lang w:val="en-US"/>
        </w:rPr>
        <w:tab/>
        <w:t>A trading venue shall have pre-defined</w:t>
      </w:r>
      <w:r w:rsidRPr="00DE362E">
        <w:rPr>
          <w:rFonts w:ascii="Calibri" w:hAnsi="Calibri"/>
          <w:strike/>
          <w:szCs w:val="22"/>
          <w:lang w:val="en-US"/>
        </w:rPr>
        <w:t>, publicly available</w:t>
      </w:r>
      <w:r w:rsidRPr="00DE362E">
        <w:rPr>
          <w:rFonts w:ascii="Calibri" w:hAnsi="Calibri"/>
          <w:szCs w:val="22"/>
          <w:lang w:val="en-US"/>
        </w:rPr>
        <w:t xml:space="preserve"> standards </w:t>
      </w:r>
      <w:r w:rsidRPr="00DE362E">
        <w:rPr>
          <w:rFonts w:ascii="Calibri" w:hAnsi="Calibri"/>
          <w:b/>
          <w:bCs/>
          <w:szCs w:val="22"/>
          <w:lang w:val="en-US"/>
        </w:rPr>
        <w:t>available to the members or participants of the trading venue and</w:t>
      </w:r>
      <w:r w:rsidRPr="00DE362E">
        <w:rPr>
          <w:rFonts w:ascii="Calibri" w:hAnsi="Calibri"/>
          <w:szCs w:val="22"/>
          <w:lang w:val="en-US"/>
        </w:rPr>
        <w:t xml:space="preserve"> specifically relevant to its trading model which cover the knowledge and technical arrangements of the staff of the members for using the order submission systems of the trading venue. The standards shall cover, at least:</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 </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 xml:space="preserve">3.  </w:t>
      </w:r>
      <w:r w:rsidRPr="00DE362E">
        <w:rPr>
          <w:rFonts w:ascii="Calibri" w:hAnsi="Calibri"/>
          <w:szCs w:val="22"/>
          <w:lang w:val="en-US"/>
        </w:rPr>
        <w:tab/>
        <w:t xml:space="preserve">At least once a year, a trading venue shall </w:t>
      </w:r>
      <w:r w:rsidRPr="00DE362E">
        <w:rPr>
          <w:rFonts w:ascii="Calibri" w:hAnsi="Calibri"/>
          <w:strike/>
          <w:szCs w:val="22"/>
          <w:lang w:val="en-US"/>
        </w:rPr>
        <w:t xml:space="preserve">assess </w:t>
      </w:r>
      <w:r w:rsidRPr="00DE362E">
        <w:rPr>
          <w:rFonts w:ascii="Calibri" w:hAnsi="Calibri"/>
          <w:b/>
          <w:bCs/>
          <w:szCs w:val="22"/>
          <w:lang w:val="en-US"/>
        </w:rPr>
        <w:t>conduct an assessment using a risk-based approach of the</w:t>
      </w:r>
      <w:r w:rsidRPr="00DE362E">
        <w:rPr>
          <w:rFonts w:ascii="Calibri" w:hAnsi="Calibri"/>
          <w:szCs w:val="22"/>
          <w:lang w:val="en-US"/>
        </w:rPr>
        <w:t xml:space="preserve"> compliance of its members with the standards in paragraph 1 and check whether its members remain registered as investment firms.</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 </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 xml:space="preserve">5. </w:t>
      </w:r>
      <w:r w:rsidRPr="00DE362E">
        <w:rPr>
          <w:rFonts w:ascii="Calibri" w:hAnsi="Calibri"/>
          <w:szCs w:val="22"/>
          <w:lang w:val="en-US"/>
        </w:rPr>
        <w:tab/>
      </w:r>
      <w:r w:rsidRPr="00DE362E">
        <w:rPr>
          <w:rFonts w:ascii="Calibri" w:hAnsi="Calibri"/>
          <w:strike/>
          <w:szCs w:val="22"/>
          <w:lang w:val="en-US"/>
        </w:rPr>
        <w:t>A t</w:t>
      </w:r>
      <w:r w:rsidRPr="00DE362E">
        <w:rPr>
          <w:rFonts w:ascii="Calibri" w:hAnsi="Calibri"/>
          <w:b/>
          <w:bCs/>
          <w:szCs w:val="22"/>
          <w:lang w:val="en-US"/>
        </w:rPr>
        <w:t>T</w:t>
      </w:r>
      <w:r w:rsidRPr="00DE362E">
        <w:rPr>
          <w:rFonts w:ascii="Calibri" w:hAnsi="Calibri"/>
          <w:szCs w:val="22"/>
          <w:lang w:val="en-US"/>
        </w:rPr>
        <w:t xml:space="preserve">rading venues shall maintain </w:t>
      </w:r>
      <w:r w:rsidRPr="00DE362E">
        <w:rPr>
          <w:rFonts w:ascii="Calibri" w:hAnsi="Calibri"/>
          <w:b/>
          <w:bCs/>
          <w:szCs w:val="22"/>
          <w:lang w:val="en-US"/>
        </w:rPr>
        <w:t>for at least five years</w:t>
      </w:r>
      <w:r w:rsidRPr="00DE362E">
        <w:rPr>
          <w:rFonts w:ascii="Calibri" w:hAnsi="Calibri"/>
          <w:szCs w:val="22"/>
          <w:lang w:val="en-US"/>
        </w:rPr>
        <w:t xml:space="preserve"> records of:</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w:t>
      </w:r>
    </w:p>
    <w:p w:rsidR="00C0642F" w:rsidRPr="00DE362E" w:rsidRDefault="00C0642F" w:rsidP="00C0642F">
      <w:pPr>
        <w:ind w:left="426" w:hanging="426"/>
        <w:rPr>
          <w:rFonts w:ascii="Calibri" w:hAnsi="Calibri"/>
          <w:szCs w:val="22"/>
          <w:lang w:val="en-US"/>
        </w:rPr>
      </w:pPr>
      <w:r w:rsidRPr="00DE362E">
        <w:rPr>
          <w:rFonts w:ascii="Calibri" w:hAnsi="Calibri"/>
          <w:b/>
          <w:bCs/>
          <w:i/>
          <w:iCs/>
          <w:szCs w:val="22"/>
          <w:lang w:val="en-US"/>
        </w:rPr>
        <w:t> </w:t>
      </w:r>
    </w:p>
    <w:p w:rsidR="00C0642F" w:rsidRPr="00DE362E" w:rsidRDefault="00C0642F" w:rsidP="00C0642F">
      <w:pPr>
        <w:ind w:left="426" w:hanging="426"/>
        <w:rPr>
          <w:rFonts w:ascii="Calibri" w:hAnsi="Calibri"/>
          <w:szCs w:val="22"/>
          <w:lang w:val="en-US"/>
        </w:rPr>
      </w:pPr>
      <w:r w:rsidRPr="00DE362E">
        <w:rPr>
          <w:rFonts w:ascii="Calibri" w:hAnsi="Calibri"/>
          <w:b/>
          <w:bCs/>
          <w:i/>
          <w:iCs/>
          <w:szCs w:val="22"/>
          <w:lang w:val="en-US"/>
        </w:rPr>
        <w:t>Article 10</w:t>
      </w:r>
    </w:p>
    <w:p w:rsidR="00C0642F" w:rsidRPr="00DE362E" w:rsidRDefault="00C0642F" w:rsidP="00C0642F">
      <w:pPr>
        <w:ind w:left="426" w:hanging="426"/>
        <w:rPr>
          <w:rFonts w:ascii="Calibri" w:hAnsi="Calibri"/>
          <w:szCs w:val="22"/>
          <w:lang w:val="en-US"/>
        </w:rPr>
      </w:pPr>
      <w:r w:rsidRPr="00DE362E">
        <w:rPr>
          <w:rFonts w:ascii="Calibri" w:hAnsi="Calibri"/>
          <w:b/>
          <w:bCs/>
          <w:i/>
          <w:iCs/>
          <w:szCs w:val="22"/>
          <w:lang w:val="en-US"/>
        </w:rPr>
        <w:t>Testing the member’s capacity to assess trading systems</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 xml:space="preserve">1. </w:t>
      </w:r>
      <w:r w:rsidRPr="00DE362E">
        <w:rPr>
          <w:rFonts w:ascii="Calibri" w:hAnsi="Calibri"/>
          <w:szCs w:val="22"/>
          <w:lang w:val="en-US"/>
        </w:rPr>
        <w:tab/>
        <w:t>Trading venues shall pre-determine and require their members to undertake conformance testing:</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ab/>
        <w:t>[…]</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 xml:space="preserve">(b) </w:t>
      </w:r>
      <w:r w:rsidRPr="00DE362E">
        <w:rPr>
          <w:rFonts w:ascii="Calibri" w:hAnsi="Calibri"/>
          <w:szCs w:val="22"/>
          <w:lang w:val="en-US"/>
        </w:rPr>
        <w:tab/>
        <w:t xml:space="preserve">before deploying new algorithms </w:t>
      </w:r>
      <w:r w:rsidRPr="00DE362E">
        <w:rPr>
          <w:rFonts w:ascii="Calibri" w:hAnsi="Calibri"/>
          <w:strike/>
          <w:szCs w:val="22"/>
          <w:lang w:val="en-US"/>
        </w:rPr>
        <w:t>or, algorithms used in other trading venues</w:t>
      </w:r>
      <w:r w:rsidRPr="00DE362E">
        <w:rPr>
          <w:rFonts w:ascii="Calibri" w:hAnsi="Calibri"/>
          <w:szCs w:val="22"/>
          <w:lang w:val="en-US"/>
        </w:rPr>
        <w:t>; and</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ab/>
        <w:t>[…]</w:t>
      </w:r>
    </w:p>
    <w:p w:rsidR="00C0642F" w:rsidRPr="00DE362E" w:rsidRDefault="00C0642F" w:rsidP="00C0642F">
      <w:pPr>
        <w:ind w:left="426" w:hanging="426"/>
        <w:rPr>
          <w:rFonts w:ascii="Calibri" w:hAnsi="Calibri"/>
          <w:szCs w:val="22"/>
          <w:lang w:val="en-US"/>
        </w:rPr>
      </w:pPr>
    </w:p>
    <w:p w:rsidR="00C0642F" w:rsidRPr="00DE362E" w:rsidRDefault="00C0642F" w:rsidP="00C0642F">
      <w:pPr>
        <w:ind w:left="426" w:hanging="426"/>
        <w:rPr>
          <w:rFonts w:ascii="Calibri" w:hAnsi="Calibri"/>
          <w:szCs w:val="22"/>
          <w:lang w:val="en-US"/>
        </w:rPr>
      </w:pPr>
      <w:r w:rsidRPr="00DE362E">
        <w:rPr>
          <w:rFonts w:ascii="Calibri" w:hAnsi="Calibri"/>
          <w:b/>
          <w:bCs/>
          <w:i/>
          <w:iCs/>
          <w:szCs w:val="22"/>
          <w:lang w:val="en-US"/>
        </w:rPr>
        <w:t>Article 12</w:t>
      </w:r>
    </w:p>
    <w:p w:rsidR="00C0642F" w:rsidRPr="00DE362E" w:rsidRDefault="00C0642F" w:rsidP="00C0642F">
      <w:pPr>
        <w:ind w:left="426" w:hanging="426"/>
        <w:rPr>
          <w:rFonts w:ascii="Calibri" w:hAnsi="Calibri"/>
          <w:szCs w:val="22"/>
          <w:lang w:val="en-US"/>
        </w:rPr>
      </w:pPr>
      <w:r w:rsidRPr="00DE362E">
        <w:rPr>
          <w:rFonts w:ascii="Calibri" w:hAnsi="Calibri"/>
          <w:b/>
          <w:bCs/>
          <w:i/>
          <w:iCs/>
          <w:szCs w:val="22"/>
          <w:lang w:val="en-US"/>
        </w:rPr>
        <w:t>Trading venues’ capacity</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 xml:space="preserve">1. </w:t>
      </w:r>
      <w:r w:rsidRPr="00DE362E">
        <w:rPr>
          <w:rFonts w:ascii="Calibri" w:hAnsi="Calibri"/>
          <w:szCs w:val="22"/>
          <w:lang w:val="en-US"/>
        </w:rPr>
        <w:tab/>
        <w:t xml:space="preserve">Trading venues shall ensure that their trading systems have sufficient capacity to accommodate at least twice the highest number of messages per second and per value as the maximum recorded on that system in one day </w:t>
      </w:r>
      <w:r w:rsidRPr="00DE362E">
        <w:rPr>
          <w:rFonts w:ascii="Calibri" w:hAnsi="Calibri"/>
          <w:b/>
          <w:bCs/>
          <w:szCs w:val="22"/>
          <w:lang w:val="en-US"/>
        </w:rPr>
        <w:t xml:space="preserve">as recorded during the previous five years </w:t>
      </w:r>
      <w:r w:rsidRPr="00DE362E">
        <w:rPr>
          <w:rFonts w:ascii="Calibri" w:hAnsi="Calibri"/>
          <w:szCs w:val="22"/>
          <w:lang w:val="en-US"/>
        </w:rPr>
        <w:t>(</w:t>
      </w:r>
      <w:r w:rsidRPr="00DE362E">
        <w:rPr>
          <w:rFonts w:ascii="Calibri" w:hAnsi="Calibri"/>
          <w:b/>
          <w:bCs/>
          <w:szCs w:val="22"/>
          <w:lang w:val="en-US"/>
        </w:rPr>
        <w:t xml:space="preserve">five-year </w:t>
      </w:r>
      <w:r w:rsidRPr="00DE362E">
        <w:rPr>
          <w:rFonts w:ascii="Calibri" w:hAnsi="Calibri"/>
          <w:szCs w:val="22"/>
          <w:lang w:val="en-US"/>
        </w:rPr>
        <w:t xml:space="preserve">historical peak). </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 </w:t>
      </w:r>
    </w:p>
    <w:p w:rsidR="00C0642F" w:rsidRPr="00DE362E" w:rsidRDefault="00C0642F" w:rsidP="00C0642F">
      <w:pPr>
        <w:ind w:left="426" w:hanging="426"/>
        <w:rPr>
          <w:rFonts w:ascii="Calibri" w:hAnsi="Calibri"/>
          <w:szCs w:val="22"/>
          <w:lang w:val="en-US"/>
        </w:rPr>
      </w:pPr>
      <w:r w:rsidRPr="00DE362E">
        <w:rPr>
          <w:rFonts w:ascii="Calibri" w:hAnsi="Calibri"/>
          <w:b/>
          <w:bCs/>
          <w:i/>
          <w:iCs/>
          <w:szCs w:val="22"/>
          <w:lang w:val="en-US"/>
        </w:rPr>
        <w:t>Article 15</w:t>
      </w:r>
    </w:p>
    <w:p w:rsidR="00C0642F" w:rsidRPr="00DE362E" w:rsidRDefault="00C0642F" w:rsidP="00C0642F">
      <w:pPr>
        <w:ind w:left="426" w:hanging="426"/>
        <w:rPr>
          <w:rFonts w:ascii="Calibri" w:hAnsi="Calibri"/>
          <w:szCs w:val="22"/>
          <w:lang w:val="en-US"/>
        </w:rPr>
      </w:pPr>
      <w:r w:rsidRPr="00DE362E">
        <w:rPr>
          <w:rFonts w:ascii="Calibri" w:hAnsi="Calibri"/>
          <w:b/>
          <w:bCs/>
          <w:i/>
          <w:iCs/>
          <w:szCs w:val="22"/>
          <w:lang w:val="en-US"/>
        </w:rPr>
        <w:t>Periodic review of the performance and capacity of the trading systems</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 xml:space="preserve">1. </w:t>
      </w:r>
      <w:r w:rsidRPr="00DE362E">
        <w:rPr>
          <w:rFonts w:ascii="Calibri" w:hAnsi="Calibri"/>
          <w:szCs w:val="22"/>
          <w:lang w:val="en-US"/>
        </w:rPr>
        <w:tab/>
        <w:t xml:space="preserve">(a) the </w:t>
      </w:r>
      <w:r w:rsidRPr="00DE362E">
        <w:rPr>
          <w:rFonts w:ascii="Calibri" w:hAnsi="Calibri"/>
          <w:b/>
          <w:bCs/>
          <w:szCs w:val="22"/>
          <w:lang w:val="en-US"/>
        </w:rPr>
        <w:t xml:space="preserve">five-year </w:t>
      </w:r>
      <w:r w:rsidRPr="00DE362E">
        <w:rPr>
          <w:rFonts w:ascii="Calibri" w:hAnsi="Calibri"/>
          <w:szCs w:val="22"/>
          <w:lang w:val="en-US"/>
        </w:rPr>
        <w:t>historical peak of messages managed by the system and successive multipliers beyond that level;</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ab/>
        <w:t>[…]</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 </w:t>
      </w:r>
    </w:p>
    <w:p w:rsidR="00C0642F" w:rsidRPr="00DE362E" w:rsidRDefault="00C0642F" w:rsidP="00C0642F">
      <w:pPr>
        <w:ind w:left="426" w:hanging="426"/>
        <w:rPr>
          <w:rFonts w:ascii="Calibri" w:hAnsi="Calibri"/>
          <w:szCs w:val="22"/>
          <w:lang w:val="en-US"/>
        </w:rPr>
      </w:pPr>
      <w:r w:rsidRPr="00DE362E">
        <w:rPr>
          <w:rFonts w:ascii="Calibri" w:hAnsi="Calibri"/>
          <w:b/>
          <w:bCs/>
          <w:i/>
          <w:iCs/>
          <w:szCs w:val="22"/>
          <w:lang w:val="en-US"/>
        </w:rPr>
        <w:t>Article 16</w:t>
      </w:r>
    </w:p>
    <w:p w:rsidR="00C0642F" w:rsidRPr="00DE362E" w:rsidRDefault="00C0642F" w:rsidP="00C0642F">
      <w:pPr>
        <w:ind w:left="426" w:hanging="426"/>
        <w:rPr>
          <w:rFonts w:ascii="Calibri" w:hAnsi="Calibri"/>
          <w:szCs w:val="22"/>
          <w:lang w:val="en-US"/>
        </w:rPr>
      </w:pPr>
      <w:r w:rsidRPr="00DE362E">
        <w:rPr>
          <w:rFonts w:ascii="Calibri" w:hAnsi="Calibri"/>
          <w:b/>
          <w:bCs/>
          <w:i/>
          <w:iCs/>
          <w:szCs w:val="22"/>
          <w:lang w:val="en-US"/>
        </w:rPr>
        <w:t>Business continuity arrangements</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 xml:space="preserve">2. </w:t>
      </w:r>
      <w:r w:rsidRPr="00DE362E">
        <w:rPr>
          <w:rFonts w:ascii="Calibri" w:hAnsi="Calibri"/>
          <w:szCs w:val="22"/>
          <w:lang w:val="en-US"/>
        </w:rPr>
        <w:tab/>
        <w:t>The business continuity arrangements shall ensure a timely resumption of trading</w:t>
      </w:r>
      <w:r w:rsidRPr="00DE362E">
        <w:rPr>
          <w:rFonts w:ascii="Calibri" w:hAnsi="Calibri"/>
          <w:strike/>
          <w:szCs w:val="22"/>
          <w:lang w:val="en-US"/>
        </w:rPr>
        <w:t>, targeting a recovery time no later than 2 hours and a recovery point objective close to zero</w:t>
      </w:r>
      <w:r w:rsidRPr="00DE362E">
        <w:rPr>
          <w:rFonts w:ascii="Calibri" w:hAnsi="Calibri"/>
          <w:szCs w:val="22"/>
          <w:lang w:val="en-US"/>
        </w:rPr>
        <w:t xml:space="preserve"> appropriate to the circumstances causing the shut-down. </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 </w:t>
      </w:r>
    </w:p>
    <w:p w:rsidR="00C0642F" w:rsidRPr="00DE362E" w:rsidRDefault="00C0642F" w:rsidP="00C0642F">
      <w:pPr>
        <w:ind w:left="426" w:hanging="426"/>
        <w:rPr>
          <w:rFonts w:ascii="Calibri" w:hAnsi="Calibri"/>
          <w:szCs w:val="22"/>
          <w:lang w:val="en-US"/>
        </w:rPr>
      </w:pPr>
      <w:r w:rsidRPr="00DE362E">
        <w:rPr>
          <w:rFonts w:ascii="Calibri" w:hAnsi="Calibri"/>
          <w:b/>
          <w:bCs/>
          <w:i/>
          <w:iCs/>
          <w:szCs w:val="22"/>
          <w:lang w:val="en-US"/>
        </w:rPr>
        <w:t>Article 19</w:t>
      </w:r>
    </w:p>
    <w:p w:rsidR="00C0642F" w:rsidRPr="00DE362E" w:rsidRDefault="00C0642F" w:rsidP="00C0642F">
      <w:pPr>
        <w:ind w:left="426" w:hanging="426"/>
        <w:rPr>
          <w:rFonts w:ascii="Calibri" w:hAnsi="Calibri"/>
          <w:szCs w:val="22"/>
          <w:lang w:val="en-US"/>
        </w:rPr>
      </w:pPr>
      <w:r w:rsidRPr="00DE362E">
        <w:rPr>
          <w:rFonts w:ascii="Calibri" w:hAnsi="Calibri"/>
          <w:b/>
          <w:bCs/>
          <w:i/>
          <w:iCs/>
          <w:szCs w:val="22"/>
          <w:lang w:val="en-US"/>
        </w:rPr>
        <w:t>Prevention of disorderly trading conditions</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 xml:space="preserve">1. </w:t>
      </w:r>
      <w:r w:rsidRPr="00DE362E">
        <w:rPr>
          <w:rFonts w:ascii="Calibri" w:hAnsi="Calibri"/>
          <w:szCs w:val="22"/>
          <w:lang w:val="en-US"/>
        </w:rPr>
        <w:tab/>
        <w:t xml:space="preserve">Trading venues shall have at least the following arrangements to prevent disorderly trading and breaches of capacity limits </w:t>
      </w:r>
      <w:r w:rsidRPr="00DE362E">
        <w:rPr>
          <w:rFonts w:ascii="Calibri" w:hAnsi="Calibri"/>
          <w:b/>
          <w:bCs/>
          <w:szCs w:val="22"/>
          <w:lang w:val="en-US"/>
        </w:rPr>
        <w:t>appropriate to the nature, scale and complexity of the algorithmic activity prevalent on that venue as determined and applied using a risk-based approach</w:t>
      </w:r>
      <w:r w:rsidRPr="00DE362E">
        <w:rPr>
          <w:rFonts w:ascii="Calibri" w:hAnsi="Calibri"/>
          <w:szCs w:val="22"/>
          <w:lang w:val="en-US"/>
        </w:rPr>
        <w:t>:</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ab/>
        <w:t>(a) limits per member on the number of orders sent (throttle limits) per second to prevent flooding of the order book;</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ab/>
        <w:t>(b) mechanisms to manage volatility;</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ab/>
        <w:t xml:space="preserve">(c) pre- and post-trade controls </w:t>
      </w:r>
      <w:r w:rsidRPr="00DE362E">
        <w:rPr>
          <w:rFonts w:ascii="Calibri" w:hAnsi="Calibri"/>
          <w:b/>
          <w:bCs/>
          <w:szCs w:val="22"/>
          <w:lang w:val="en-US"/>
        </w:rPr>
        <w:t>as detailed in point 2 below</w:t>
      </w:r>
      <w:r w:rsidRPr="00DE362E">
        <w:rPr>
          <w:rFonts w:ascii="Calibri" w:hAnsi="Calibri"/>
          <w:szCs w:val="22"/>
          <w:lang w:val="en-US"/>
        </w:rPr>
        <w:t>;</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ab/>
        <w:t>(d) requirements on their members to have pre- and post-trade controls;</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 </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 xml:space="preserve">2. </w:t>
      </w:r>
      <w:r w:rsidRPr="00DE362E">
        <w:rPr>
          <w:rFonts w:ascii="Calibri" w:hAnsi="Calibri"/>
          <w:szCs w:val="22"/>
          <w:lang w:val="en-US"/>
        </w:rPr>
        <w:tab/>
        <w:t xml:space="preserve">Trading venues shall be able to: </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 </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 xml:space="preserve">(a) </w:t>
      </w:r>
      <w:r w:rsidRPr="00DE362E">
        <w:rPr>
          <w:rFonts w:ascii="Calibri" w:hAnsi="Calibri"/>
          <w:szCs w:val="22"/>
          <w:lang w:val="en-US"/>
        </w:rPr>
        <w:tab/>
        <w:t xml:space="preserve">obtain information from any member/participant or user to monitor compliance with the rules and procedures of the trading venue relating in particular to organisational requirements and trading controls; </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 xml:space="preserve">(b) </w:t>
      </w:r>
      <w:r w:rsidRPr="00DE362E">
        <w:rPr>
          <w:rFonts w:ascii="Calibri" w:hAnsi="Calibri"/>
          <w:szCs w:val="22"/>
          <w:lang w:val="en-US"/>
        </w:rPr>
        <w:tab/>
        <w:t xml:space="preserve">suspend the access of a member or a trader’s ID to the trading system at the trading venue’s own initiative or at the request of that member, a clearing member, the CCP (in the pre-defined cases by the CCP’s governing rules) or the competent authority; </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 xml:space="preserve">(c) </w:t>
      </w:r>
      <w:r w:rsidRPr="00DE362E">
        <w:rPr>
          <w:rFonts w:ascii="Calibri" w:hAnsi="Calibri"/>
          <w:szCs w:val="22"/>
          <w:lang w:val="en-US"/>
        </w:rPr>
        <w:tab/>
        <w:t xml:space="preserve">cancel orders at least under the following circumstances: </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ab/>
        <w:t xml:space="preserve">(i) </w:t>
      </w:r>
      <w:r w:rsidRPr="00DE362E">
        <w:rPr>
          <w:rFonts w:ascii="Calibri" w:hAnsi="Calibri"/>
          <w:szCs w:val="22"/>
          <w:lang w:val="en-US"/>
        </w:rPr>
        <w:tab/>
        <w:t xml:space="preserve">on request of a member that is technically unable to delete its own orders; </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ab/>
        <w:t xml:space="preserve">(ii) when the order book is corrupted by erroneous duplicated orders; </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ab/>
        <w:t xml:space="preserve">(iii) in cases of a suspension initiated either by the market operator or the regulator; and </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ab/>
        <w:t>(iv) in cases of a request from the CCP in the pre-defined cases of the CCP’s governing rules</w:t>
      </w:r>
      <w:r w:rsidRPr="00DE362E">
        <w:rPr>
          <w:rFonts w:ascii="Calibri" w:hAnsi="Calibri"/>
          <w:strike/>
          <w:szCs w:val="22"/>
          <w:lang w:val="en-US"/>
        </w:rPr>
        <w:t>.</w:t>
      </w:r>
      <w:r w:rsidRPr="00DE362E">
        <w:rPr>
          <w:rFonts w:ascii="Calibri" w:hAnsi="Calibri"/>
          <w:b/>
          <w:bCs/>
          <w:szCs w:val="22"/>
          <w:lang w:val="en-US"/>
        </w:rPr>
        <w:t>; and</w:t>
      </w:r>
    </w:p>
    <w:p w:rsidR="00C0642F" w:rsidRPr="00DE362E" w:rsidRDefault="00C0642F" w:rsidP="00C0642F">
      <w:pPr>
        <w:ind w:left="426" w:hanging="426"/>
        <w:rPr>
          <w:rFonts w:ascii="Calibri" w:hAnsi="Calibri"/>
          <w:szCs w:val="22"/>
          <w:lang w:val="en-US"/>
        </w:rPr>
      </w:pPr>
      <w:r w:rsidRPr="00DE362E">
        <w:rPr>
          <w:rFonts w:ascii="Calibri" w:hAnsi="Calibri"/>
          <w:strike/>
          <w:szCs w:val="22"/>
          <w:lang w:val="en-US"/>
        </w:rPr>
        <w:t xml:space="preserve">(d) </w:t>
      </w:r>
      <w:r w:rsidRPr="00DE362E">
        <w:rPr>
          <w:rFonts w:ascii="Calibri" w:hAnsi="Calibri"/>
          <w:strike/>
          <w:szCs w:val="22"/>
          <w:lang w:val="en-US"/>
        </w:rPr>
        <w:tab/>
        <w:t xml:space="preserve">cancel or correct transactions; and </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w:t>
      </w:r>
      <w:r w:rsidRPr="00DE362E">
        <w:rPr>
          <w:rFonts w:ascii="Calibri" w:hAnsi="Calibri"/>
          <w:strike/>
          <w:szCs w:val="22"/>
          <w:lang w:val="en-US"/>
        </w:rPr>
        <w:t>e</w:t>
      </w:r>
      <w:r w:rsidRPr="00DE362E">
        <w:rPr>
          <w:rFonts w:ascii="Calibri" w:hAnsi="Calibri"/>
          <w:b/>
          <w:bCs/>
          <w:szCs w:val="22"/>
          <w:lang w:val="en-US"/>
        </w:rPr>
        <w:t>d</w:t>
      </w:r>
      <w:r w:rsidRPr="00DE362E">
        <w:rPr>
          <w:rFonts w:ascii="Calibri" w:hAnsi="Calibri"/>
          <w:szCs w:val="22"/>
          <w:lang w:val="en-US"/>
        </w:rPr>
        <w:t xml:space="preserve">) balance order entrance between their different gateways to avoid collapses. </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 </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 xml:space="preserve">4.  Trading venues shall make </w:t>
      </w:r>
      <w:r w:rsidRPr="00DE362E">
        <w:rPr>
          <w:rFonts w:ascii="Calibri" w:hAnsi="Calibri"/>
          <w:strike/>
          <w:szCs w:val="22"/>
          <w:lang w:val="en-US"/>
        </w:rPr>
        <w:t>public</w:t>
      </w:r>
      <w:r w:rsidRPr="00DE362E">
        <w:rPr>
          <w:rFonts w:ascii="Calibri" w:hAnsi="Calibri"/>
          <w:szCs w:val="22"/>
          <w:lang w:val="en-US"/>
        </w:rPr>
        <w:t xml:space="preserve"> </w:t>
      </w:r>
      <w:r w:rsidRPr="00DE362E">
        <w:rPr>
          <w:rFonts w:ascii="Calibri" w:hAnsi="Calibri"/>
          <w:b/>
          <w:bCs/>
          <w:szCs w:val="22"/>
          <w:lang w:val="en-US"/>
        </w:rPr>
        <w:t xml:space="preserve">available to its members / participants </w:t>
      </w:r>
      <w:r w:rsidRPr="00DE362E">
        <w:rPr>
          <w:rFonts w:ascii="Calibri" w:hAnsi="Calibri"/>
          <w:szCs w:val="22"/>
          <w:lang w:val="en-US"/>
        </w:rPr>
        <w:t>the policies and procedures listed in paragraph 3.</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 </w:t>
      </w:r>
    </w:p>
    <w:p w:rsidR="00C0642F" w:rsidRPr="00DE362E" w:rsidRDefault="00C0642F" w:rsidP="00C0642F">
      <w:pPr>
        <w:ind w:left="426" w:hanging="426"/>
        <w:rPr>
          <w:rFonts w:ascii="Calibri" w:hAnsi="Calibri"/>
          <w:szCs w:val="22"/>
          <w:lang w:val="en-US"/>
        </w:rPr>
      </w:pPr>
      <w:r w:rsidRPr="00DE362E">
        <w:rPr>
          <w:rFonts w:ascii="Calibri" w:hAnsi="Calibri"/>
          <w:b/>
          <w:bCs/>
          <w:i/>
          <w:iCs/>
          <w:szCs w:val="22"/>
          <w:lang w:val="en-US"/>
        </w:rPr>
        <w:t>Article 20</w:t>
      </w:r>
    </w:p>
    <w:p w:rsidR="00C0642F" w:rsidRPr="00DE362E" w:rsidRDefault="00C0642F" w:rsidP="00C0642F">
      <w:pPr>
        <w:ind w:left="426" w:hanging="426"/>
        <w:rPr>
          <w:rFonts w:ascii="Calibri" w:hAnsi="Calibri"/>
          <w:szCs w:val="22"/>
          <w:lang w:val="en-US"/>
        </w:rPr>
      </w:pPr>
      <w:r w:rsidRPr="00DE362E">
        <w:rPr>
          <w:rFonts w:ascii="Calibri" w:hAnsi="Calibri"/>
          <w:b/>
          <w:bCs/>
          <w:i/>
          <w:iCs/>
          <w:szCs w:val="22"/>
          <w:lang w:val="en-US"/>
        </w:rPr>
        <w:t>Mechanisms to manage volatility</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 xml:space="preserve">1. </w:t>
      </w:r>
      <w:r w:rsidRPr="00DE362E">
        <w:rPr>
          <w:rFonts w:ascii="Calibri" w:hAnsi="Calibri"/>
          <w:szCs w:val="22"/>
          <w:lang w:val="en-US"/>
        </w:rPr>
        <w:tab/>
        <w:t xml:space="preserve">Trading venues shall ensure that </w:t>
      </w:r>
      <w:r w:rsidRPr="00DE362E">
        <w:rPr>
          <w:rFonts w:ascii="Calibri" w:hAnsi="Calibri"/>
          <w:strike/>
          <w:szCs w:val="22"/>
          <w:lang w:val="en-US"/>
        </w:rPr>
        <w:t xml:space="preserve">appropriate </w:t>
      </w:r>
      <w:r w:rsidRPr="00DE362E">
        <w:rPr>
          <w:rFonts w:ascii="Calibri" w:hAnsi="Calibri"/>
          <w:szCs w:val="22"/>
          <w:lang w:val="en-US"/>
        </w:rPr>
        <w:t xml:space="preserve">mechanisms </w:t>
      </w:r>
      <w:r w:rsidRPr="00DE362E">
        <w:rPr>
          <w:rFonts w:ascii="Calibri" w:hAnsi="Calibri"/>
          <w:b/>
          <w:bCs/>
          <w:szCs w:val="22"/>
          <w:lang w:val="en-US"/>
        </w:rPr>
        <w:t>that are appropriate to the nature, scale and complexity of the algorithmic activity prevalent on that venue as determined using a risk-based approach</w:t>
      </w:r>
      <w:r w:rsidRPr="00DE362E">
        <w:rPr>
          <w:rFonts w:ascii="Calibri" w:hAnsi="Calibri"/>
          <w:szCs w:val="22"/>
          <w:lang w:val="en-US"/>
        </w:rPr>
        <w:t xml:space="preserve"> to automatically halt or constrain trading are operational at all times in all phases of trading (from opening to close of trading) </w:t>
      </w:r>
      <w:r w:rsidRPr="00DE362E">
        <w:rPr>
          <w:rFonts w:ascii="Calibri" w:hAnsi="Calibri"/>
          <w:b/>
          <w:bCs/>
          <w:szCs w:val="22"/>
          <w:lang w:val="en-US"/>
        </w:rPr>
        <w:t xml:space="preserve">taking into account the factors cited in point 3 of Article 20. </w:t>
      </w:r>
      <w:r w:rsidRPr="00DE362E">
        <w:rPr>
          <w:rFonts w:ascii="Calibri" w:hAnsi="Calibri"/>
          <w:strike/>
          <w:szCs w:val="22"/>
          <w:lang w:val="en-US"/>
        </w:rPr>
        <w:t>and, to be informed where there is a significant price movement in a financial instrument traded on another trading venue where the same instrument is traded.</w:t>
      </w:r>
      <w:r w:rsidRPr="00DE362E">
        <w:rPr>
          <w:rFonts w:ascii="Calibri" w:hAnsi="Calibri"/>
          <w:szCs w:val="22"/>
          <w:lang w:val="en-US"/>
        </w:rPr>
        <w:t xml:space="preserve"> </w:t>
      </w:r>
    </w:p>
    <w:p w:rsidR="00C0642F" w:rsidRPr="00DE362E" w:rsidRDefault="00C0642F" w:rsidP="00C0642F">
      <w:pPr>
        <w:ind w:left="426" w:hanging="426"/>
        <w:rPr>
          <w:rFonts w:ascii="Calibri" w:hAnsi="Calibri"/>
          <w:szCs w:val="22"/>
          <w:lang w:val="en-US"/>
        </w:rPr>
      </w:pPr>
      <w:r w:rsidRPr="00DE362E">
        <w:rPr>
          <w:rFonts w:ascii="Calibri" w:hAnsi="Calibri"/>
          <w:color w:val="1F497D"/>
          <w:szCs w:val="22"/>
          <w:lang w:val="en-US"/>
        </w:rPr>
        <w:t> </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 xml:space="preserve">8. </w:t>
      </w:r>
      <w:r w:rsidRPr="00DE362E">
        <w:rPr>
          <w:rFonts w:ascii="Calibri" w:hAnsi="Calibri"/>
          <w:szCs w:val="22"/>
          <w:lang w:val="en-US"/>
        </w:rPr>
        <w:tab/>
        <w:t xml:space="preserve">Trading venues shall disclose on their </w:t>
      </w:r>
      <w:r w:rsidRPr="00DE362E">
        <w:rPr>
          <w:rFonts w:ascii="Calibri" w:hAnsi="Calibri"/>
          <w:b/>
          <w:bCs/>
          <w:szCs w:val="22"/>
          <w:lang w:val="en-US"/>
        </w:rPr>
        <w:t>member/participant accessible</w:t>
      </w:r>
      <w:r w:rsidRPr="00DE362E">
        <w:rPr>
          <w:rFonts w:ascii="Calibri" w:hAnsi="Calibri"/>
          <w:szCs w:val="22"/>
          <w:lang w:val="en-US"/>
        </w:rPr>
        <w:t xml:space="preserve"> websites the rules, policies and procedures relating to the operating conditions of the mechanisms to manage volatility. This obligation does not include the specific parameters of dynamic mechanisms to manage volatility.</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 </w:t>
      </w:r>
    </w:p>
    <w:p w:rsidR="00C0642F" w:rsidRPr="00DE362E" w:rsidRDefault="00C0642F" w:rsidP="00C0642F">
      <w:pPr>
        <w:ind w:left="426" w:hanging="426"/>
        <w:rPr>
          <w:rFonts w:ascii="Calibri" w:hAnsi="Calibri"/>
          <w:szCs w:val="22"/>
          <w:lang w:val="en-US"/>
        </w:rPr>
      </w:pPr>
      <w:r w:rsidRPr="00DE362E">
        <w:rPr>
          <w:rFonts w:ascii="Calibri" w:hAnsi="Calibri"/>
          <w:b/>
          <w:bCs/>
          <w:i/>
          <w:iCs/>
          <w:szCs w:val="22"/>
          <w:lang w:val="en-US"/>
        </w:rPr>
        <w:t>Article 21</w:t>
      </w:r>
    </w:p>
    <w:p w:rsidR="00C0642F" w:rsidRPr="00DE362E" w:rsidRDefault="00C0642F" w:rsidP="00C0642F">
      <w:pPr>
        <w:ind w:left="426" w:hanging="426"/>
        <w:rPr>
          <w:rFonts w:ascii="Calibri" w:hAnsi="Calibri"/>
          <w:szCs w:val="22"/>
          <w:lang w:val="en-US"/>
        </w:rPr>
      </w:pPr>
      <w:r w:rsidRPr="00DE362E">
        <w:rPr>
          <w:rFonts w:ascii="Calibri" w:hAnsi="Calibri"/>
          <w:b/>
          <w:bCs/>
          <w:i/>
          <w:iCs/>
          <w:szCs w:val="22"/>
          <w:lang w:val="en-US"/>
        </w:rPr>
        <w:t>Pre-trade controls</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 xml:space="preserve">1. </w:t>
      </w:r>
      <w:r w:rsidRPr="00DE362E">
        <w:rPr>
          <w:rFonts w:ascii="Calibri" w:hAnsi="Calibri"/>
          <w:szCs w:val="22"/>
          <w:lang w:val="en-US"/>
        </w:rPr>
        <w:tab/>
        <w:t xml:space="preserve">Trading venues shall ensure that their members operate the pre-trade risk limits and controls described in the Regulation on the organisational requirements for investment firms engaged in algorithmic trading. Additionally, trading venues </w:t>
      </w:r>
      <w:r w:rsidRPr="00DE362E">
        <w:rPr>
          <w:rFonts w:ascii="Calibri" w:hAnsi="Calibri"/>
          <w:strike/>
          <w:szCs w:val="22"/>
          <w:lang w:val="en-US"/>
        </w:rPr>
        <w:t>shall</w:t>
      </w:r>
      <w:r w:rsidRPr="00DE362E">
        <w:rPr>
          <w:rFonts w:ascii="Calibri" w:hAnsi="Calibri"/>
          <w:b/>
          <w:bCs/>
          <w:szCs w:val="22"/>
          <w:lang w:val="en-US"/>
        </w:rPr>
        <w:t xml:space="preserve">should determine using a risk-based approach and depending on the nature, scale and complexity of algorithmic activity prevalent on the venue whether any pre-trade controls appropriate to their market should be implemented.  </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ab/>
        <w:t>(</w:t>
      </w:r>
      <w:r w:rsidRPr="00DE362E">
        <w:rPr>
          <w:rFonts w:ascii="Calibri" w:hAnsi="Calibri"/>
          <w:strike/>
          <w:szCs w:val="22"/>
          <w:lang w:val="en-US"/>
        </w:rPr>
        <w:t>a) price collars which automatically block or cancel orders that do not meet set price parameters with respect to different financial instruments, both on an order-by-order basis and over a specified period of time</w:t>
      </w:r>
    </w:p>
    <w:p w:rsidR="00C0642F" w:rsidRPr="00DE362E" w:rsidRDefault="00C0642F" w:rsidP="00C0642F">
      <w:pPr>
        <w:ind w:left="426" w:hanging="426"/>
        <w:rPr>
          <w:rFonts w:ascii="Calibri" w:hAnsi="Calibri"/>
          <w:szCs w:val="22"/>
          <w:lang w:val="en-US"/>
        </w:rPr>
      </w:pPr>
      <w:r w:rsidRPr="00DE362E">
        <w:rPr>
          <w:rFonts w:ascii="Calibri" w:hAnsi="Calibri"/>
          <w:strike/>
          <w:szCs w:val="22"/>
          <w:lang w:val="en-US"/>
        </w:rPr>
        <w:tab/>
        <w:t xml:space="preserve"> (b) maximum order value (fat-finger notional limits) which prevent orders with uncommonly large order values from entering order books by reference to notional values per financial instrument; and</w:t>
      </w:r>
    </w:p>
    <w:p w:rsidR="00C0642F" w:rsidRPr="00DE362E" w:rsidRDefault="00C0642F" w:rsidP="00C0642F">
      <w:pPr>
        <w:ind w:left="426" w:hanging="426"/>
        <w:rPr>
          <w:rFonts w:ascii="Calibri" w:hAnsi="Calibri"/>
          <w:szCs w:val="22"/>
          <w:lang w:val="en-US"/>
        </w:rPr>
      </w:pPr>
      <w:r w:rsidRPr="00DE362E">
        <w:rPr>
          <w:rFonts w:ascii="Calibri" w:hAnsi="Calibri"/>
          <w:strike/>
          <w:szCs w:val="22"/>
          <w:lang w:val="en-US"/>
        </w:rPr>
        <w:tab/>
        <w:t>(c) maximum order volume which prevent orders with an uncommonly large order size from entering order books by reference to limits set in shares or lots.</w:t>
      </w:r>
    </w:p>
    <w:p w:rsidR="00C0642F" w:rsidRPr="00DE362E" w:rsidRDefault="00C0642F" w:rsidP="00C0642F">
      <w:pPr>
        <w:ind w:left="426" w:hanging="426"/>
        <w:rPr>
          <w:rFonts w:ascii="Calibri" w:hAnsi="Calibri"/>
          <w:szCs w:val="22"/>
          <w:lang w:val="en-US"/>
        </w:rPr>
      </w:pPr>
      <w:r w:rsidRPr="00DE362E">
        <w:rPr>
          <w:rFonts w:ascii="Calibri" w:hAnsi="Calibri"/>
          <w:color w:val="1F497D"/>
          <w:szCs w:val="22"/>
          <w:lang w:val="en-US"/>
        </w:rPr>
        <w:t> </w:t>
      </w:r>
    </w:p>
    <w:p w:rsidR="00C0642F" w:rsidRPr="00DE362E" w:rsidRDefault="00C0642F" w:rsidP="00C0642F">
      <w:pPr>
        <w:ind w:left="426" w:hanging="426"/>
        <w:rPr>
          <w:rFonts w:ascii="Calibri" w:hAnsi="Calibri"/>
          <w:szCs w:val="22"/>
          <w:lang w:val="en-US"/>
        </w:rPr>
      </w:pPr>
      <w:r w:rsidRPr="00DE362E">
        <w:rPr>
          <w:rFonts w:ascii="Calibri" w:hAnsi="Calibri"/>
          <w:b/>
          <w:bCs/>
          <w:i/>
          <w:iCs/>
          <w:szCs w:val="22"/>
          <w:lang w:val="en-US"/>
        </w:rPr>
        <w:t>Article 23</w:t>
      </w:r>
    </w:p>
    <w:p w:rsidR="00C0642F" w:rsidRPr="00DE362E" w:rsidRDefault="00C0642F" w:rsidP="00C0642F">
      <w:pPr>
        <w:ind w:left="426" w:hanging="426"/>
        <w:rPr>
          <w:rFonts w:ascii="Calibri" w:hAnsi="Calibri"/>
          <w:szCs w:val="22"/>
          <w:lang w:val="en-US"/>
        </w:rPr>
      </w:pPr>
      <w:r w:rsidRPr="00DE362E">
        <w:rPr>
          <w:rFonts w:ascii="Calibri" w:hAnsi="Calibri"/>
          <w:b/>
          <w:bCs/>
          <w:i/>
          <w:iCs/>
          <w:szCs w:val="22"/>
          <w:lang w:val="en-US"/>
        </w:rPr>
        <w:t>Pre-determination of the conditions to provide direct electronic access</w:t>
      </w:r>
    </w:p>
    <w:p w:rsidR="00C0642F" w:rsidRPr="00DE362E" w:rsidRDefault="00C0642F" w:rsidP="00C0642F">
      <w:pPr>
        <w:ind w:left="426" w:hanging="426"/>
        <w:rPr>
          <w:rFonts w:ascii="Calibri" w:hAnsi="Calibri"/>
          <w:szCs w:val="22"/>
          <w:lang w:val="en-US"/>
        </w:rPr>
      </w:pPr>
      <w:r w:rsidRPr="00DE362E">
        <w:rPr>
          <w:rFonts w:ascii="Calibri" w:hAnsi="Calibri"/>
          <w:szCs w:val="22"/>
          <w:lang w:val="en-US"/>
        </w:rPr>
        <w:t xml:space="preserve">1. </w:t>
      </w:r>
      <w:r w:rsidRPr="00DE362E">
        <w:rPr>
          <w:rFonts w:ascii="Calibri" w:hAnsi="Calibri"/>
          <w:szCs w:val="22"/>
          <w:lang w:val="en-US"/>
        </w:rPr>
        <w:tab/>
        <w:t xml:space="preserve">Trading venues permitting direct electronic access (DEA) through their systems shall set out and make </w:t>
      </w:r>
      <w:r w:rsidRPr="00DE362E">
        <w:rPr>
          <w:rFonts w:ascii="Calibri" w:hAnsi="Calibri"/>
          <w:strike/>
          <w:szCs w:val="22"/>
          <w:lang w:val="en-US"/>
        </w:rPr>
        <w:t>public</w:t>
      </w:r>
      <w:r w:rsidRPr="00DE362E">
        <w:rPr>
          <w:rFonts w:ascii="Calibri" w:hAnsi="Calibri"/>
          <w:szCs w:val="22"/>
          <w:lang w:val="en-US"/>
        </w:rPr>
        <w:t xml:space="preserve"> </w:t>
      </w:r>
      <w:r w:rsidRPr="00DE362E">
        <w:rPr>
          <w:rFonts w:ascii="Calibri" w:hAnsi="Calibri"/>
          <w:b/>
          <w:bCs/>
          <w:szCs w:val="22"/>
          <w:lang w:val="en-US"/>
        </w:rPr>
        <w:t>available to members and participants</w:t>
      </w:r>
      <w:r w:rsidRPr="00DE362E">
        <w:rPr>
          <w:rFonts w:ascii="Calibri" w:hAnsi="Calibri"/>
          <w:szCs w:val="22"/>
          <w:lang w:val="en-US"/>
        </w:rPr>
        <w:t xml:space="preserve"> the rules and conditions pursuant to which their members may provide DEA to their own clients [DEA users]. These rules and conditions shall at least cover:</w:t>
      </w:r>
    </w:p>
    <w:p w:rsidR="00C0642F" w:rsidRPr="00DE362E" w:rsidRDefault="00C0642F" w:rsidP="00C0642F">
      <w:pPr>
        <w:ind w:left="426" w:hanging="426"/>
        <w:rPr>
          <w:rFonts w:ascii="Calibri" w:hAnsi="Calibri"/>
          <w:szCs w:val="22"/>
        </w:rPr>
      </w:pPr>
      <w:r w:rsidRPr="00DE362E">
        <w:rPr>
          <w:rFonts w:ascii="Calibri" w:hAnsi="Calibri"/>
          <w:szCs w:val="22"/>
          <w:lang w:val="en-US"/>
        </w:rPr>
        <w:tab/>
        <w:t>[…]</w:t>
      </w:r>
    </w:p>
    <w:permEnd w:id="675423268"/>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733383" w:rsidRPr="0052636F" w:rsidRDefault="00733383" w:rsidP="00EC2C93">
      <w:pPr>
        <w:keepNext/>
        <w:rPr>
          <w:rFonts w:ascii="Calibri" w:hAnsi="Calibri"/>
        </w:rPr>
      </w:pPr>
      <w:permStart w:id="1476273576" w:edGrp="everyone"/>
      <w:r w:rsidRPr="0052636F">
        <w:rPr>
          <w:rFonts w:ascii="Calibri" w:hAnsi="Calibri"/>
        </w:rPr>
        <w:t xml:space="preserve">No, the WMBA sees no requirements for further clarification with respect to the outsourcing obligations for trading venues. </w:t>
      </w:r>
    </w:p>
    <w:permEnd w:id="1476273576"/>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733383" w:rsidRDefault="00733383" w:rsidP="00EC2C93">
      <w:pPr>
        <w:keepNext/>
      </w:pPr>
      <w:permStart w:id="1055358378" w:edGrp="everyone"/>
      <w:r w:rsidRPr="0052636F">
        <w:rPr>
          <w:rFonts w:ascii="Calibri" w:hAnsi="Calibri"/>
        </w:rPr>
        <w:t>No, the WMBA sees no requirements for further elements to be addressed with respect to the testing obligations</w:t>
      </w:r>
      <w:r w:rsidRPr="00733383">
        <w:t>.</w:t>
      </w:r>
    </w:p>
    <w:permEnd w:id="1055358378"/>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Pr="0052636F" w:rsidRDefault="00733383" w:rsidP="00EC2C93">
      <w:pPr>
        <w:keepNext/>
        <w:rPr>
          <w:rFonts w:ascii="Calibri" w:hAnsi="Calibri"/>
        </w:rPr>
      </w:pPr>
      <w:permStart w:id="2039047591" w:edGrp="everyone"/>
      <w:r w:rsidRPr="0052636F">
        <w:rPr>
          <w:rFonts w:ascii="Calibri" w:hAnsi="Calibri"/>
        </w:rPr>
        <w:t>No WMBA comment on DEA.</w:t>
      </w:r>
    </w:p>
    <w:permEnd w:id="2039047591"/>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733383" w:rsidRPr="0052636F" w:rsidRDefault="00733383" w:rsidP="00733383">
      <w:pPr>
        <w:spacing w:before="100" w:beforeAutospacing="1" w:after="100" w:afterAutospacing="1" w:line="240" w:lineRule="auto"/>
        <w:rPr>
          <w:rFonts w:ascii="Calibri" w:hAnsi="Calibri"/>
        </w:rPr>
      </w:pPr>
      <w:permStart w:id="896617221" w:edGrp="everyone"/>
      <w:r w:rsidRPr="0052636F">
        <w:rPr>
          <w:rFonts w:ascii="Calibri" w:hAnsi="Calibri"/>
        </w:rPr>
        <w:t xml:space="preserve">No, the WMBA disagrees with the proposed draft RTS for the following reasons:  </w:t>
      </w:r>
    </w:p>
    <w:p w:rsidR="00733383" w:rsidRPr="0052636F" w:rsidRDefault="00733383" w:rsidP="007D55BD">
      <w:pPr>
        <w:pStyle w:val="ListParagraph"/>
        <w:numPr>
          <w:ilvl w:val="0"/>
          <w:numId w:val="30"/>
        </w:numPr>
      </w:pPr>
      <w:r w:rsidRPr="0052636F">
        <w:t xml:space="preserve">Article 17(3) of Directive 2014/65/EU (MIFID II) states an investment firm that engages in algorithmic trading to pursue a market making strategy shall comply with Article 17(3)(a)-(c) taking into account the following considerations: ‘liquidity, scale and nature of the specific market and the characteristics of the instrument traded’.  </w:t>
      </w:r>
    </w:p>
    <w:p w:rsidR="00733383" w:rsidRPr="0052636F" w:rsidRDefault="00733383" w:rsidP="007D55BD">
      <w:pPr>
        <w:pStyle w:val="ListParagraph"/>
        <w:numPr>
          <w:ilvl w:val="0"/>
          <w:numId w:val="30"/>
        </w:numPr>
      </w:pPr>
      <w:r w:rsidRPr="0052636F">
        <w:t xml:space="preserve">In our view, the provisions of draft RTS 15 do not take into account these considerations.  Instead, the provisions appear to assume that the fact that an investment firm is engaging in algorithmic trading is the only sufficient consideration to be taken into account. Therefore, we do not believe that the provisions of draft RTS 15 are in line with the intention of Article 17(3) MiFID II. </w:t>
      </w:r>
    </w:p>
    <w:p w:rsidR="00733383" w:rsidRPr="0052636F" w:rsidRDefault="00733383" w:rsidP="007D55BD">
      <w:pPr>
        <w:pStyle w:val="ListParagraph"/>
        <w:numPr>
          <w:ilvl w:val="0"/>
          <w:numId w:val="30"/>
        </w:numPr>
      </w:pPr>
      <w:r w:rsidRPr="0052636F">
        <w:t xml:space="preserve">Further, it is our view that Article 3 draft RTS 15 carries the risk of capturing activity which should not ordinarily be characterised as the pursuit of a market making strategy.  This is because in trading environments, which are increasingly electronic, it is commonplace for buy/sell orders to be placed electronically by clients/members and for those orders to remain unexecuted for long periods of time. This is common practice in even small or illiquid electronic markets. There is a risk that even this practice will be deemed to be the pursuit of a market making strategy under Article 3 draft RTS 15.  We do not believe that this should be the case.  This is because the characterisation of this type of practice as a ‘market making strategy’ is likely to dissuade market participants from placing orders electronically, thereby reducing electronic market participation and ultimately detrimentally impacting transparency and liquidity. </w:t>
      </w:r>
    </w:p>
    <w:p w:rsidR="00733383" w:rsidRPr="0052636F" w:rsidRDefault="00733383" w:rsidP="007D55BD">
      <w:pPr>
        <w:pStyle w:val="ListParagraph"/>
        <w:numPr>
          <w:ilvl w:val="0"/>
          <w:numId w:val="30"/>
        </w:numPr>
      </w:pPr>
      <w:r w:rsidRPr="0052636F">
        <w:t>The WMBA also seeks simplicity in using the terms ‘</w:t>
      </w:r>
      <w:r w:rsidRPr="0052636F">
        <w:rPr>
          <w:i/>
        </w:rPr>
        <w:t xml:space="preserve">market hours, trading hours, normal trading hours, daily trading hours’ </w:t>
      </w:r>
      <w:r w:rsidRPr="0052636F">
        <w:t xml:space="preserve">ESMA is referring to European market hours.  Since WMBA members operate global platforms across all FICC markets that are ‘open’ continuously, it should be made clear throughout ESMA’s proposals in aid of consistency. Should ESMA’s intention not have been to specify the trading hours it references, then a clarification is </w:t>
      </w:r>
      <w:r w:rsidR="0052636F" w:rsidRPr="0052636F">
        <w:t>necessary?</w:t>
      </w:r>
      <w:r w:rsidRPr="0052636F">
        <w:t xml:space="preserve"> In operating these continuous venues, a considerable difference arises between imposing a quoting obligation of 30% compared to a quoting obligation of 50% during the hours of 8.30 and 16.30.  We would suggest that consideration be given to the differing trading venues’ trading hours and that a standard timeframe should be noted to avoid confusion.</w:t>
      </w:r>
    </w:p>
    <w:p w:rsidR="00733383" w:rsidRPr="0052636F" w:rsidRDefault="00733383" w:rsidP="007D55BD">
      <w:pPr>
        <w:pStyle w:val="ListParagraph"/>
        <w:numPr>
          <w:ilvl w:val="0"/>
          <w:numId w:val="30"/>
        </w:numPr>
      </w:pPr>
      <w:r w:rsidRPr="0052636F">
        <w:t>In order to address these real concerns in line with the intention of Article 17 MiFID II, we propose that ESMA should calibrate the criteria for qualification as a market making strategy as follows:</w:t>
      </w:r>
    </w:p>
    <w:p w:rsidR="00733383" w:rsidRPr="0052636F" w:rsidRDefault="00733383" w:rsidP="007D55BD">
      <w:pPr>
        <w:pStyle w:val="ListParagraph"/>
        <w:numPr>
          <w:ilvl w:val="0"/>
          <w:numId w:val="35"/>
        </w:numPr>
      </w:pPr>
      <w:r w:rsidRPr="0052636F">
        <w:t>Liquidity: ESMA should introduce a minimum number of price updates by market makers per day as well as carving out, from the identification of investment firms pursuing market making strategies, those firms that participate in markets deemed by ESMA to be illiquid. For example, a client/member who is content with leaving a firm static simultaneous two-way quote on an electronic trading platform for the entire trading day should not be deemed to be pursuing a market making strategy.</w:t>
      </w:r>
    </w:p>
    <w:p w:rsidR="00733383" w:rsidRPr="0052636F" w:rsidRDefault="00733383" w:rsidP="007D55BD">
      <w:pPr>
        <w:pStyle w:val="ListParagraph"/>
        <w:numPr>
          <w:ilvl w:val="0"/>
          <w:numId w:val="35"/>
        </w:numPr>
      </w:pPr>
      <w:r w:rsidRPr="0052636F">
        <w:t xml:space="preserve">Scale: ESMA should introduce a requirement for a minimum number of participants in the market below which any market making strategy calibration would not apply. For example, market making strategies should not be deemed to be pursued in markets with less than 50 participants. </w:t>
      </w:r>
    </w:p>
    <w:p w:rsidR="00733383" w:rsidRPr="0052636F" w:rsidRDefault="00733383" w:rsidP="007D55BD">
      <w:pPr>
        <w:pStyle w:val="ListParagraph"/>
        <w:numPr>
          <w:ilvl w:val="0"/>
          <w:numId w:val="35"/>
        </w:numPr>
      </w:pPr>
      <w:r w:rsidRPr="0052636F">
        <w:t>Nature: ESMA should take into account the episodic nature of capital markets. It is typical for markets and participants to experience ebbs and flows in liquidity. Therefore, ESMA should significantly broaden from ‘one trading day’ the time period during which the market making calibration is determined under Article 3 draft RTS 15.</w:t>
      </w:r>
    </w:p>
    <w:p w:rsidR="00733383" w:rsidRPr="0052636F" w:rsidRDefault="00733383" w:rsidP="00733383">
      <w:pPr>
        <w:spacing w:before="100" w:beforeAutospacing="1" w:after="100" w:afterAutospacing="1" w:line="240" w:lineRule="auto"/>
        <w:rPr>
          <w:rFonts w:ascii="Calibri" w:hAnsi="Calibri"/>
        </w:rPr>
      </w:pPr>
      <w:r w:rsidRPr="0052636F">
        <w:rPr>
          <w:rFonts w:ascii="Calibri" w:hAnsi="Calibri"/>
        </w:rPr>
        <w:t>The WMBA also disagrees with the comment in recital 2 that: “</w:t>
      </w:r>
      <w:r w:rsidRPr="0052636F">
        <w:rPr>
          <w:rFonts w:ascii="Calibri" w:hAnsi="Calibri"/>
          <w:i/>
        </w:rPr>
        <w:t>The risk arising from algorithmic trading can be present in any trading model that is supported by electronic means. Therefore, these Standards apply to RMs, MTFs and OTFs allowing for or enabling algorithmic trading through this systems</w:t>
      </w:r>
      <w:r w:rsidRPr="0052636F">
        <w:rPr>
          <w:rFonts w:ascii="Calibri" w:hAnsi="Calibri"/>
        </w:rPr>
        <w:t>”. This does not seem to acknowledge that there may be different risks depending on the type of trading system, and so the one-size-fits all approach is not appropriate.</w:t>
      </w:r>
    </w:p>
    <w:p w:rsidR="00733383" w:rsidRPr="0052636F" w:rsidRDefault="00733383" w:rsidP="00733383">
      <w:pPr>
        <w:spacing w:before="100" w:beforeAutospacing="1" w:after="100" w:afterAutospacing="1" w:line="240" w:lineRule="auto"/>
        <w:rPr>
          <w:rFonts w:ascii="Calibri" w:hAnsi="Calibri"/>
        </w:rPr>
      </w:pPr>
      <w:r w:rsidRPr="0052636F">
        <w:rPr>
          <w:rFonts w:ascii="Calibri" w:hAnsi="Calibri"/>
        </w:rPr>
        <w:t>Since the OTF venues require discretion, it would appear to be self-evident that they cannot therefore act as venues for DEA and receiving the routing of algorithmic orders. Therefore, they are incompatible with the comments in recital 2. The proposed definition of “allowing algorithmic activity” is also inconsistent with the definition in MiFID II Article 4, 1. (39)).</w:t>
      </w:r>
    </w:p>
    <w:p w:rsidR="00733383" w:rsidRPr="0052636F" w:rsidRDefault="00733383" w:rsidP="00733383">
      <w:pPr>
        <w:autoSpaceDE w:val="0"/>
        <w:autoSpaceDN w:val="0"/>
        <w:adjustRightInd w:val="0"/>
        <w:spacing w:before="100" w:beforeAutospacing="1" w:after="100" w:afterAutospacing="1" w:line="240" w:lineRule="auto"/>
        <w:rPr>
          <w:rFonts w:ascii="Calibri" w:hAnsi="Calibri" w:cs="Arial"/>
          <w:color w:val="000000"/>
        </w:rPr>
      </w:pPr>
      <w:r w:rsidRPr="0052636F">
        <w:rPr>
          <w:rFonts w:ascii="Calibri" w:hAnsi="Calibri" w:cs="Arial"/>
          <w:color w:val="000000"/>
        </w:rPr>
        <w:t>The WMBA would note on a more general basis that ‘</w:t>
      </w:r>
      <w:r w:rsidRPr="0052636F">
        <w:rPr>
          <w:rFonts w:ascii="Calibri" w:hAnsi="Calibri" w:cs="Arial"/>
          <w:i/>
          <w:color w:val="000000"/>
        </w:rPr>
        <w:t>market-making</w:t>
      </w:r>
      <w:r w:rsidRPr="0052636F">
        <w:rPr>
          <w:rFonts w:ascii="Calibri" w:hAnsi="Calibri" w:cs="Arial"/>
          <w:color w:val="000000"/>
        </w:rPr>
        <w:t xml:space="preserve">’ is a commercial activity and across all asset classes it is important that an appropriate commercial framework is put in place. Failure to do so will lead to a deliberate withdrawal of market making activities or particularly in the case of FICC markets, a broad move away from providing firm continuous quotes with a fall-back to indicative quotes only. In FICC markets, firm quotes are present today in some of the more liquid instruments but under threat from ill designed models.  </w:t>
      </w:r>
    </w:p>
    <w:p w:rsidR="00733383" w:rsidRPr="002C66BA" w:rsidRDefault="00733383" w:rsidP="00733383">
      <w:pPr>
        <w:autoSpaceDE w:val="0"/>
        <w:autoSpaceDN w:val="0"/>
        <w:adjustRightInd w:val="0"/>
        <w:spacing w:before="100" w:beforeAutospacing="1" w:after="100" w:afterAutospacing="1" w:line="240" w:lineRule="auto"/>
        <w:rPr>
          <w:rFonts w:cs="Arial"/>
          <w:color w:val="000000"/>
        </w:rPr>
      </w:pPr>
      <w:r w:rsidRPr="0052636F">
        <w:rPr>
          <w:rFonts w:ascii="Calibri" w:hAnsi="Calibri" w:cs="Arial"/>
          <w:color w:val="000000"/>
        </w:rPr>
        <w:t>The design of the structure needs to be based on a simple principle which is the deliberate intention by a firm to want to be a market maker. These requirements should encourage such activity and not try to undermine it by creating unclear open-ended obligations for these firms. We do not therefore believe that it is appropriate for a firm to be deemed to be pursuing a market making strategy based on the actions of a single trading day</w:t>
      </w:r>
      <w:r w:rsidRPr="002C66BA">
        <w:rPr>
          <w:rFonts w:cs="Arial"/>
          <w:color w:val="000000"/>
        </w:rPr>
        <w:t>.</w:t>
      </w:r>
    </w:p>
    <w:permEnd w:id="896617221"/>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B4120D" w:rsidRDefault="00B4120D" w:rsidP="00B4120D">
      <w:pPr>
        <w:spacing w:line="240" w:lineRule="auto"/>
        <w:rPr>
          <w:rFonts w:ascii="Calibri" w:eastAsia="Times New Roman" w:hAnsi="Calibri" w:cs="Times New Roman"/>
          <w:color w:val="000000"/>
          <w:szCs w:val="22"/>
          <w:lang w:eastAsia="en-GB"/>
        </w:rPr>
      </w:pPr>
      <w:permStart w:id="1805409882" w:edGrp="everyone"/>
      <w:r w:rsidRPr="00B4120D">
        <w:rPr>
          <w:rFonts w:ascii="Calibri" w:eastAsia="Times New Roman" w:hAnsi="Calibri" w:cs="Times New Roman"/>
          <w:color w:val="000000"/>
          <w:szCs w:val="22"/>
          <w:lang w:eastAsia="en-GB"/>
        </w:rPr>
        <w:t>No, the WMBA disagrees with the 30% threshold within the daily trading hours for the following reasons:</w:t>
      </w:r>
      <w:r w:rsidRPr="00B4120D">
        <w:rPr>
          <w:rFonts w:ascii="Calibri" w:eastAsia="Times New Roman" w:hAnsi="Calibri" w:cs="Times New Roman"/>
          <w:color w:val="000000"/>
          <w:szCs w:val="22"/>
          <w:lang w:eastAsia="en-GB"/>
        </w:rPr>
        <w:br/>
      </w:r>
      <w:r w:rsidRPr="00B4120D">
        <w:rPr>
          <w:rFonts w:ascii="Calibri" w:eastAsia="Times New Roman" w:hAnsi="Calibri" w:cs="Times New Roman"/>
          <w:color w:val="000000"/>
          <w:szCs w:val="22"/>
          <w:lang w:eastAsia="en-GB"/>
        </w:rPr>
        <w:br/>
        <w:t xml:space="preserve">1. Notwithstanding our answer to Q104 and the requirement for the ‘liquidity, scale and nature of the specific market and the characteristics of the instrument traded’ to be taken into account when complying with Article 17(3)(a)-(c) MiFID II, we fundamentally disagree with the imposition of a threshold proportion of the trading venue’s trading hours as a condition for the entry into a market making agreement.  In the interests of increased competition, trading venues should be afforded the freedom to establish thresholds for market making in accordance with their own circumstances, market knowledge and commercial judgment. In line with the spirit of Article 17 MiFID II, draft RTS 15 should go no further than requiring trading venues to enter into market making agreements with investment firms which are achievable and non-discriminatory. </w:t>
      </w:r>
    </w:p>
    <w:p w:rsidR="00B4120D" w:rsidRPr="00B4120D" w:rsidRDefault="00B4120D" w:rsidP="00B4120D">
      <w:pPr>
        <w:spacing w:line="240" w:lineRule="auto"/>
        <w:rPr>
          <w:rFonts w:ascii="Calibri" w:eastAsia="Times New Roman" w:hAnsi="Calibri" w:cs="Times New Roman"/>
          <w:color w:val="000000"/>
          <w:szCs w:val="22"/>
          <w:lang w:eastAsia="en-GB"/>
        </w:rPr>
      </w:pPr>
      <w:r w:rsidRPr="00B4120D">
        <w:rPr>
          <w:rFonts w:ascii="Calibri" w:eastAsia="Times New Roman" w:hAnsi="Calibri" w:cs="Times New Roman"/>
          <w:color w:val="000000"/>
          <w:szCs w:val="22"/>
          <w:lang w:eastAsia="en-GB"/>
        </w:rPr>
        <w:br/>
        <w:t>2. Further, it is our view that the thresholds of 30% (in Article 3(1) draft RTS 15) and 50% (in Article 4(2)</w:t>
      </w:r>
      <w:r>
        <w:rPr>
          <w:rFonts w:ascii="Calibri" w:eastAsia="Times New Roman" w:hAnsi="Calibri" w:cs="Times New Roman"/>
          <w:color w:val="000000"/>
          <w:szCs w:val="22"/>
          <w:lang w:eastAsia="en-GB"/>
        </w:rPr>
        <w:t xml:space="preserve"> </w:t>
      </w:r>
      <w:r w:rsidRPr="00B4120D">
        <w:rPr>
          <w:rFonts w:ascii="Calibri" w:eastAsia="Times New Roman" w:hAnsi="Calibri" w:cs="Times New Roman"/>
          <w:color w:val="000000"/>
          <w:szCs w:val="22"/>
          <w:lang w:eastAsia="en-GB"/>
        </w:rPr>
        <w:t>(a) and Article 8(1)</w:t>
      </w:r>
      <w:r>
        <w:rPr>
          <w:rFonts w:ascii="Calibri" w:eastAsia="Times New Roman" w:hAnsi="Calibri" w:cs="Times New Roman"/>
          <w:color w:val="000000"/>
          <w:szCs w:val="22"/>
          <w:lang w:eastAsia="en-GB"/>
        </w:rPr>
        <w:t xml:space="preserve"> </w:t>
      </w:r>
      <w:r w:rsidRPr="00B4120D">
        <w:rPr>
          <w:rFonts w:ascii="Calibri" w:eastAsia="Times New Roman" w:hAnsi="Calibri" w:cs="Times New Roman"/>
          <w:color w:val="000000"/>
          <w:szCs w:val="22"/>
          <w:lang w:eastAsia="en-GB"/>
        </w:rPr>
        <w:t>(b)</w:t>
      </w:r>
      <w:r>
        <w:rPr>
          <w:rFonts w:ascii="Calibri" w:eastAsia="Times New Roman" w:hAnsi="Calibri" w:cs="Times New Roman"/>
          <w:color w:val="000000"/>
          <w:szCs w:val="22"/>
          <w:lang w:eastAsia="en-GB"/>
        </w:rPr>
        <w:t xml:space="preserve"> </w:t>
      </w:r>
      <w:r w:rsidRPr="00B4120D">
        <w:rPr>
          <w:rFonts w:ascii="Calibri" w:eastAsia="Times New Roman" w:hAnsi="Calibri" w:cs="Times New Roman"/>
          <w:color w:val="000000"/>
          <w:szCs w:val="22"/>
          <w:lang w:eastAsia="en-GB"/>
        </w:rPr>
        <w:t xml:space="preserve">(i) draft RTS 15) are arbitrary ones, in light of which we strongly recommend that these thresholds should be the same rather than different numbers.  Market participants that typically provide liquidity to a trading venue which is close to these thresholds are likely to reduce liquidity provision merely in order to avoid the onerous requirement to enter into market making agreements rather than for sound commercial reasons. This risk is exacerbated by the short (one day) time period during which the market making calibration is determined under Article 3 draft RTS 15. We believe that this real risk will reduce market participants’ appetite for liquidity provision and is contrary to, as well as significantly undermines, the rationale behind the thresholds which the abovementioned Articles of the draft RTS 15 impose.  </w:t>
      </w:r>
    </w:p>
    <w:permEnd w:id="1805409882"/>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B4120D" w:rsidRDefault="00B4120D" w:rsidP="00B4120D">
      <w:pPr>
        <w:spacing w:line="240" w:lineRule="auto"/>
        <w:rPr>
          <w:rFonts w:ascii="Calibri" w:eastAsia="Times New Roman" w:hAnsi="Calibri" w:cs="Times New Roman"/>
          <w:color w:val="000000"/>
          <w:szCs w:val="22"/>
          <w:lang w:eastAsia="en-GB"/>
        </w:rPr>
      </w:pPr>
      <w:permStart w:id="1343364269" w:edGrp="everyone"/>
      <w:r w:rsidRPr="00B4120D">
        <w:rPr>
          <w:rFonts w:ascii="Calibri" w:eastAsia="Times New Roman" w:hAnsi="Calibri" w:cs="Times New Roman"/>
          <w:color w:val="000000"/>
          <w:szCs w:val="22"/>
          <w:lang w:eastAsia="en-GB"/>
        </w:rPr>
        <w:t>No, the WMBA disagrees that a market maker be obliged to remain present in the market for higher or lower than the proposed 50% of trading hours for the following reasons:</w:t>
      </w:r>
    </w:p>
    <w:p w:rsidR="00B4120D" w:rsidRDefault="00B4120D" w:rsidP="00B4120D">
      <w:pPr>
        <w:spacing w:line="240" w:lineRule="auto"/>
        <w:rPr>
          <w:rFonts w:ascii="Calibri" w:eastAsia="Times New Roman" w:hAnsi="Calibri" w:cs="Times New Roman"/>
          <w:color w:val="000000"/>
          <w:szCs w:val="22"/>
          <w:lang w:eastAsia="en-GB"/>
        </w:rPr>
      </w:pPr>
      <w:r w:rsidRPr="00B4120D">
        <w:rPr>
          <w:rFonts w:ascii="Calibri" w:eastAsia="Times New Roman" w:hAnsi="Calibri" w:cs="Times New Roman"/>
          <w:color w:val="000000"/>
          <w:szCs w:val="22"/>
          <w:lang w:eastAsia="en-GB"/>
        </w:rPr>
        <w:br/>
        <w:t>1. Notwithstanding our answer to Q104 and the requirement for the ‘liquidity, scale and nature of the specific market and the characteristics of the instrument traded’ to be taken into account when complying with Article 17(3)</w:t>
      </w:r>
      <w:r>
        <w:rPr>
          <w:rFonts w:ascii="Calibri" w:eastAsia="Times New Roman" w:hAnsi="Calibri" w:cs="Times New Roman"/>
          <w:color w:val="000000"/>
          <w:szCs w:val="22"/>
          <w:lang w:eastAsia="en-GB"/>
        </w:rPr>
        <w:t xml:space="preserve"> </w:t>
      </w:r>
      <w:r w:rsidRPr="00B4120D">
        <w:rPr>
          <w:rFonts w:ascii="Calibri" w:eastAsia="Times New Roman" w:hAnsi="Calibri" w:cs="Times New Roman"/>
          <w:color w:val="000000"/>
          <w:szCs w:val="22"/>
          <w:lang w:eastAsia="en-GB"/>
        </w:rPr>
        <w:t xml:space="preserve">(a)-(c) MiFID II, we fundamentally disagree with the imposition of a threshold proportion of the trading venue’s trading hours as a condition for the entry into a market making agreement.  In the interests of increased competition, trading venues should be afforded the freedom to establish thresholds for market making in accordance with their own circumstances, market knowledge and commercial judgment. In line with the spirit of Article 17 MiFID II, draft RTS 15 should go no further than requiring trading venues to enter into market making agreements with investment firms which are achievable and non-discriminatory. </w:t>
      </w:r>
    </w:p>
    <w:p w:rsidR="00B4120D" w:rsidRDefault="00B4120D" w:rsidP="00B4120D">
      <w:pPr>
        <w:spacing w:line="240" w:lineRule="auto"/>
        <w:rPr>
          <w:rFonts w:ascii="Calibri" w:eastAsia="Times New Roman" w:hAnsi="Calibri" w:cs="Times New Roman"/>
          <w:color w:val="000000"/>
          <w:szCs w:val="22"/>
          <w:lang w:eastAsia="en-GB"/>
        </w:rPr>
      </w:pPr>
      <w:r w:rsidRPr="00B4120D">
        <w:rPr>
          <w:rFonts w:ascii="Calibri" w:eastAsia="Times New Roman" w:hAnsi="Calibri" w:cs="Times New Roman"/>
          <w:color w:val="000000"/>
          <w:szCs w:val="22"/>
          <w:lang w:eastAsia="en-GB"/>
        </w:rPr>
        <w:br/>
        <w:t>2. Further, it is our view that the thresholds of 30% (in Article 3(1) draft RTS 15) and 50% (in Article 4(2)(a) and Article 8(1)(b)(i) draft RTS 15) are arbitrary ones, in light of which we strongly recommend that these thresholds should be the same rather than different numbers.  Market participants that typically provide liquidity to a trading venue which is close to these thresholds are likely to reduce liquidity provision merely in order to avoid the onerous requirement to enter into market making agreements rather than for sound commercial reasons. This risk is exacerbated by the short (one day) time period during which the market making calibration is determined under Article 3 draft RTS 15. We believe that this real risk will reduce market participants’ appetite for liquidity provision and is contrary to, as well as significantly undermines, the rationale behind the thresholds which the abovementioned Articles of the draft RTS 15 impose.</w:t>
      </w:r>
    </w:p>
    <w:p w:rsidR="00B4120D" w:rsidRDefault="00B4120D" w:rsidP="00B4120D">
      <w:pPr>
        <w:spacing w:line="240" w:lineRule="auto"/>
        <w:rPr>
          <w:rFonts w:ascii="Calibri" w:eastAsia="Times New Roman" w:hAnsi="Calibri" w:cs="Times New Roman"/>
          <w:color w:val="000000"/>
          <w:szCs w:val="22"/>
          <w:lang w:eastAsia="en-GB"/>
        </w:rPr>
      </w:pPr>
      <w:r w:rsidRPr="00B4120D">
        <w:rPr>
          <w:rFonts w:ascii="Calibri" w:eastAsia="Times New Roman" w:hAnsi="Calibri" w:cs="Times New Roman"/>
          <w:color w:val="000000"/>
          <w:szCs w:val="22"/>
          <w:lang w:eastAsia="en-GB"/>
        </w:rPr>
        <w:br/>
        <w:t>The WMBA also recognise the need not to make assessments on a monthly, rather than a daily basis; and note that as operators of MTFs, OTFs and SEFs which do not close throughout the global trading day, we call for clarity on the interpretation of market hours.</w:t>
      </w:r>
    </w:p>
    <w:p w:rsidR="00B4120D" w:rsidRPr="00B4120D" w:rsidRDefault="00B4120D" w:rsidP="00B4120D">
      <w:pPr>
        <w:spacing w:line="240" w:lineRule="auto"/>
        <w:rPr>
          <w:rFonts w:ascii="Calibri" w:eastAsia="Times New Roman" w:hAnsi="Calibri" w:cs="Times New Roman"/>
          <w:color w:val="000000"/>
          <w:szCs w:val="22"/>
          <w:lang w:eastAsia="en-GB"/>
        </w:rPr>
      </w:pPr>
    </w:p>
    <w:permEnd w:id="1343364269"/>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186650150" w:edGrp="everyone"/>
      <w:r>
        <w:t>TYPE YOUR TEXT HERE</w:t>
      </w:r>
    </w:p>
    <w:permEnd w:id="186650150"/>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t>&lt;ESMA_QUESTION_CP_MIFID_108&gt;</w:t>
      </w:r>
    </w:p>
    <w:p w:rsidR="00577C33" w:rsidRDefault="00577C33" w:rsidP="00EC2C93">
      <w:pPr>
        <w:keepNext/>
      </w:pPr>
      <w:permStart w:id="46927625" w:edGrp="everyone"/>
      <w:r>
        <w:t>TYPE YOUR TEXT HERE</w:t>
      </w:r>
    </w:p>
    <w:permEnd w:id="46927625"/>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D46B5F" w:rsidRDefault="00D46B5F" w:rsidP="00D46B5F">
      <w:pPr>
        <w:spacing w:line="240" w:lineRule="auto"/>
        <w:rPr>
          <w:rFonts w:ascii="Calibri" w:eastAsia="Times New Roman" w:hAnsi="Calibri" w:cs="Times New Roman"/>
          <w:color w:val="000000"/>
          <w:szCs w:val="22"/>
          <w:lang w:eastAsia="en-GB"/>
        </w:rPr>
      </w:pPr>
      <w:permStart w:id="1387099906" w:edGrp="everyone"/>
      <w:r w:rsidRPr="00D46B5F">
        <w:rPr>
          <w:rFonts w:ascii="Calibri" w:eastAsia="Times New Roman" w:hAnsi="Calibri" w:cs="Times New Roman"/>
          <w:color w:val="000000"/>
          <w:szCs w:val="22"/>
          <w:lang w:eastAsia="en-GB"/>
        </w:rPr>
        <w:t xml:space="preserve">The WMBA agrees with the right permitted to trading venues in Article 3(3) draft RTS 16 to apply a more granular approach at its discretion and determine the OTR at financial instrument level.  </w:t>
      </w:r>
    </w:p>
    <w:p w:rsidR="00D46B5F" w:rsidRDefault="00D46B5F" w:rsidP="00D46B5F">
      <w:pPr>
        <w:spacing w:line="240" w:lineRule="auto"/>
        <w:rPr>
          <w:rFonts w:ascii="Calibri" w:eastAsia="Times New Roman" w:hAnsi="Calibri" w:cs="Times New Roman"/>
          <w:color w:val="000000"/>
          <w:szCs w:val="22"/>
          <w:lang w:eastAsia="en-GB"/>
        </w:rPr>
      </w:pPr>
    </w:p>
    <w:p w:rsidR="00D46B5F" w:rsidRDefault="00D46B5F" w:rsidP="00D46B5F">
      <w:pPr>
        <w:spacing w:line="240" w:lineRule="auto"/>
        <w:rPr>
          <w:rFonts w:ascii="Calibri" w:eastAsia="Times New Roman" w:hAnsi="Calibri" w:cs="Times New Roman"/>
          <w:color w:val="000000"/>
          <w:szCs w:val="22"/>
          <w:lang w:eastAsia="en-GB"/>
        </w:rPr>
      </w:pPr>
      <w:r w:rsidRPr="00D46B5F">
        <w:rPr>
          <w:rFonts w:ascii="Calibri" w:eastAsia="Times New Roman" w:hAnsi="Calibri" w:cs="Times New Roman"/>
          <w:color w:val="000000"/>
          <w:szCs w:val="22"/>
          <w:lang w:eastAsia="en-GB"/>
        </w:rPr>
        <w:t xml:space="preserve">However, we disagree that OTR should be an absolute number as the WMBA clearly understands that it can only be a relative concept proportional to the parameters of the products traded on the venues and the number, nature and type of the market participants. </w:t>
      </w:r>
    </w:p>
    <w:p w:rsidR="00D46B5F" w:rsidRDefault="00D46B5F" w:rsidP="00D46B5F">
      <w:pPr>
        <w:spacing w:line="240" w:lineRule="auto"/>
        <w:rPr>
          <w:rFonts w:ascii="Calibri" w:eastAsia="Times New Roman" w:hAnsi="Calibri" w:cs="Times New Roman"/>
          <w:color w:val="000000"/>
          <w:szCs w:val="22"/>
          <w:lang w:eastAsia="en-GB"/>
        </w:rPr>
      </w:pPr>
    </w:p>
    <w:p w:rsidR="00D46B5F" w:rsidRDefault="00D46B5F" w:rsidP="00D46B5F">
      <w:pPr>
        <w:spacing w:line="240" w:lineRule="auto"/>
        <w:rPr>
          <w:rFonts w:ascii="Calibri" w:eastAsia="Times New Roman" w:hAnsi="Calibri" w:cs="Times New Roman"/>
          <w:color w:val="000000"/>
          <w:szCs w:val="22"/>
          <w:lang w:eastAsia="en-GB"/>
        </w:rPr>
      </w:pPr>
      <w:r w:rsidRPr="00D46B5F">
        <w:rPr>
          <w:rFonts w:ascii="Calibri" w:eastAsia="Times New Roman" w:hAnsi="Calibri" w:cs="Times New Roman"/>
          <w:color w:val="000000"/>
          <w:szCs w:val="22"/>
          <w:lang w:eastAsia="en-GB"/>
        </w:rPr>
        <w:t xml:space="preserve">Instead, we propose that trading venues should be afforded the flexibility to determine that the OTR is a function relative to the particular circumstances of the markets trading venue’s market and allowing trading venues to take into account, inter alia, the average level of participant activity for a particular financial instrument. </w:t>
      </w:r>
    </w:p>
    <w:p w:rsidR="00D46B5F" w:rsidRPr="00D46B5F" w:rsidRDefault="00D46B5F" w:rsidP="00D46B5F">
      <w:pPr>
        <w:spacing w:line="240" w:lineRule="auto"/>
        <w:rPr>
          <w:rFonts w:ascii="Calibri" w:eastAsia="Times New Roman" w:hAnsi="Calibri" w:cs="Times New Roman"/>
          <w:color w:val="000000"/>
          <w:szCs w:val="22"/>
          <w:lang w:eastAsia="en-GB"/>
        </w:rPr>
      </w:pPr>
      <w:r w:rsidRPr="00D46B5F">
        <w:rPr>
          <w:rFonts w:ascii="Calibri" w:eastAsia="Times New Roman" w:hAnsi="Calibri" w:cs="Times New Roman"/>
          <w:color w:val="000000"/>
          <w:szCs w:val="22"/>
          <w:lang w:eastAsia="en-GB"/>
        </w:rPr>
        <w:t xml:space="preserve"> </w:t>
      </w:r>
    </w:p>
    <w:permEnd w:id="1387099906"/>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D46B5F" w:rsidRDefault="00D46B5F" w:rsidP="00D46B5F">
      <w:pPr>
        <w:spacing w:line="240" w:lineRule="auto"/>
        <w:rPr>
          <w:rFonts w:ascii="Calibri" w:eastAsia="Times New Roman" w:hAnsi="Calibri" w:cs="Times New Roman"/>
          <w:color w:val="000000"/>
          <w:szCs w:val="22"/>
          <w:lang w:eastAsia="en-GB"/>
        </w:rPr>
      </w:pPr>
      <w:permStart w:id="1472687490" w:edGrp="everyone"/>
      <w:r w:rsidRPr="00D46B5F">
        <w:rPr>
          <w:rFonts w:ascii="Calibri" w:eastAsia="Times New Roman" w:hAnsi="Calibri" w:cs="Times New Roman"/>
          <w:color w:val="000000"/>
          <w:szCs w:val="22"/>
          <w:lang w:eastAsia="en-GB"/>
        </w:rPr>
        <w:t>No, the WMBA disagrees</w:t>
      </w:r>
      <w:r>
        <w:rPr>
          <w:rFonts w:ascii="Calibri" w:eastAsia="Times New Roman" w:hAnsi="Calibri" w:cs="Times New Roman"/>
          <w:color w:val="000000"/>
          <w:szCs w:val="22"/>
          <w:lang w:eastAsia="en-GB"/>
        </w:rPr>
        <w:t xml:space="preserve"> </w:t>
      </w:r>
      <w:r w:rsidRPr="00D46B5F">
        <w:rPr>
          <w:rFonts w:ascii="Calibri" w:eastAsia="Times New Roman" w:hAnsi="Calibri" w:cs="Times New Roman"/>
          <w:color w:val="000000"/>
          <w:szCs w:val="22"/>
          <w:lang w:eastAsia="en-GB"/>
        </w:rPr>
        <w:t xml:space="preserve">with the counting methodology proposed. </w:t>
      </w:r>
    </w:p>
    <w:p w:rsidR="00D46B5F" w:rsidRDefault="00D46B5F" w:rsidP="00D46B5F">
      <w:pPr>
        <w:spacing w:line="240" w:lineRule="auto"/>
        <w:rPr>
          <w:rFonts w:ascii="Calibri" w:eastAsia="Times New Roman" w:hAnsi="Calibri" w:cs="Times New Roman"/>
          <w:color w:val="000000"/>
          <w:szCs w:val="22"/>
          <w:lang w:eastAsia="en-GB"/>
        </w:rPr>
      </w:pPr>
    </w:p>
    <w:p w:rsidR="00D46B5F" w:rsidRDefault="00D46B5F" w:rsidP="00D46B5F">
      <w:pPr>
        <w:spacing w:line="240" w:lineRule="auto"/>
        <w:rPr>
          <w:rFonts w:ascii="Calibri" w:eastAsia="Times New Roman" w:hAnsi="Calibri" w:cs="Times New Roman"/>
          <w:color w:val="000000"/>
          <w:szCs w:val="22"/>
          <w:lang w:eastAsia="en-GB"/>
        </w:rPr>
      </w:pPr>
      <w:r w:rsidRPr="00D46B5F">
        <w:rPr>
          <w:rFonts w:ascii="Calibri" w:eastAsia="Times New Roman" w:hAnsi="Calibri" w:cs="Times New Roman"/>
          <w:color w:val="000000"/>
          <w:szCs w:val="22"/>
          <w:lang w:eastAsia="en-GB"/>
        </w:rPr>
        <w:t xml:space="preserve">We propose that that trading venues should be afforded the flexibility to determine that the OTR is a function relative to the particular circumstances of the markets trading venue’s market and allowing trading venues to take into account, inter alia, the average level of participant activity for a particular financial instrument.  </w:t>
      </w:r>
    </w:p>
    <w:p w:rsidR="00D46B5F" w:rsidRDefault="00D46B5F" w:rsidP="00D46B5F">
      <w:pPr>
        <w:spacing w:line="240" w:lineRule="auto"/>
        <w:rPr>
          <w:rFonts w:ascii="Calibri" w:eastAsia="Times New Roman" w:hAnsi="Calibri" w:cs="Times New Roman"/>
          <w:color w:val="000000"/>
          <w:szCs w:val="22"/>
          <w:lang w:eastAsia="en-GB"/>
        </w:rPr>
      </w:pPr>
    </w:p>
    <w:p w:rsidR="00D46B5F" w:rsidRDefault="00D46B5F" w:rsidP="00D46B5F">
      <w:pPr>
        <w:spacing w:line="240" w:lineRule="auto"/>
        <w:rPr>
          <w:rFonts w:ascii="Calibri" w:eastAsia="Times New Roman" w:hAnsi="Calibri" w:cs="Times New Roman"/>
          <w:color w:val="000000"/>
          <w:szCs w:val="22"/>
          <w:lang w:eastAsia="en-GB"/>
        </w:rPr>
      </w:pPr>
      <w:r w:rsidRPr="00D46B5F">
        <w:rPr>
          <w:rFonts w:ascii="Calibri" w:eastAsia="Times New Roman" w:hAnsi="Calibri" w:cs="Times New Roman"/>
          <w:color w:val="000000"/>
          <w:szCs w:val="22"/>
          <w:lang w:eastAsia="en-GB"/>
        </w:rPr>
        <w:t xml:space="preserve">Despite the fact that the OTR regime prima facie would empower venues over their participants, WMBA do not support the suggested RTS.  However, we disagree that OTR should be an absolute number as the WMBA clearly understands that it can only be a relative concept proportional to the parameters of the products traded on the venues and the number, nature and type of the market participants. </w:t>
      </w:r>
    </w:p>
    <w:p w:rsidR="00D46B5F" w:rsidRDefault="00D46B5F" w:rsidP="00D46B5F">
      <w:pPr>
        <w:spacing w:line="240" w:lineRule="auto"/>
        <w:rPr>
          <w:rFonts w:ascii="Calibri" w:eastAsia="Times New Roman" w:hAnsi="Calibri" w:cs="Times New Roman"/>
          <w:color w:val="000000"/>
          <w:szCs w:val="22"/>
          <w:lang w:eastAsia="en-GB"/>
        </w:rPr>
      </w:pPr>
    </w:p>
    <w:p w:rsidR="00D46B5F" w:rsidRDefault="00D46B5F" w:rsidP="00D46B5F">
      <w:pPr>
        <w:spacing w:line="240" w:lineRule="auto"/>
        <w:rPr>
          <w:rFonts w:ascii="Calibri" w:eastAsia="Times New Roman" w:hAnsi="Calibri" w:cs="Times New Roman"/>
          <w:color w:val="000000"/>
          <w:szCs w:val="22"/>
          <w:lang w:eastAsia="en-GB"/>
        </w:rPr>
      </w:pPr>
      <w:r w:rsidRPr="00D46B5F">
        <w:rPr>
          <w:rFonts w:ascii="Calibri" w:eastAsia="Times New Roman" w:hAnsi="Calibri" w:cs="Times New Roman"/>
          <w:color w:val="000000"/>
          <w:szCs w:val="22"/>
          <w:lang w:eastAsia="en-GB"/>
        </w:rPr>
        <w:t>Any venue should be allowed to set the OTR as a function of the general behaviour on the platform. This is because instruments are ephemerally or periodically liquidity and also they are occasionally derived and implied from other benchmark prices. Without this, the quantum would need to be regularly reset and almost always inappropriate.</w:t>
      </w:r>
    </w:p>
    <w:p w:rsidR="00D46B5F" w:rsidRPr="00D46B5F" w:rsidRDefault="00D46B5F" w:rsidP="00D46B5F">
      <w:pPr>
        <w:spacing w:line="240" w:lineRule="auto"/>
        <w:rPr>
          <w:rFonts w:ascii="Calibri" w:eastAsia="Times New Roman" w:hAnsi="Calibri" w:cs="Times New Roman"/>
          <w:color w:val="000000"/>
          <w:szCs w:val="22"/>
          <w:lang w:eastAsia="en-GB"/>
        </w:rPr>
      </w:pPr>
    </w:p>
    <w:permEnd w:id="1472687490"/>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D254B3" w:rsidRDefault="00D254B3" w:rsidP="00D254B3">
      <w:pPr>
        <w:spacing w:line="240" w:lineRule="auto"/>
        <w:rPr>
          <w:rFonts w:ascii="Calibri" w:eastAsia="Times New Roman" w:hAnsi="Calibri" w:cs="Times New Roman"/>
          <w:color w:val="000000"/>
          <w:szCs w:val="22"/>
          <w:lang w:eastAsia="en-GB"/>
        </w:rPr>
      </w:pPr>
      <w:permStart w:id="2103722031" w:edGrp="everyone"/>
      <w:r w:rsidRPr="00D254B3">
        <w:rPr>
          <w:rFonts w:ascii="Calibri" w:eastAsia="Times New Roman" w:hAnsi="Calibri" w:cs="Times New Roman"/>
          <w:color w:val="000000"/>
          <w:szCs w:val="22"/>
          <w:lang w:eastAsia="en-GB"/>
        </w:rPr>
        <w:t xml:space="preserve">No, the WMBA does not agree </w:t>
      </w:r>
      <w:r>
        <w:rPr>
          <w:rFonts w:ascii="Calibri" w:eastAsia="Times New Roman" w:hAnsi="Calibri" w:cs="Times New Roman"/>
          <w:color w:val="000000"/>
          <w:szCs w:val="22"/>
          <w:lang w:eastAsia="en-GB"/>
        </w:rPr>
        <w:t xml:space="preserve">with </w:t>
      </w:r>
      <w:r w:rsidRPr="00D254B3">
        <w:rPr>
          <w:rFonts w:ascii="Calibri" w:eastAsia="Times New Roman" w:hAnsi="Calibri" w:cs="Times New Roman"/>
          <w:color w:val="000000"/>
          <w:szCs w:val="22"/>
          <w:lang w:eastAsia="en-GB"/>
        </w:rPr>
        <w:t>the definition of “orders</w:t>
      </w:r>
      <w:r>
        <w:rPr>
          <w:rFonts w:ascii="Calibri" w:eastAsia="Times New Roman" w:hAnsi="Calibri" w:cs="Times New Roman"/>
          <w:color w:val="000000"/>
          <w:szCs w:val="22"/>
          <w:lang w:eastAsia="en-GB"/>
        </w:rPr>
        <w:t>,</w:t>
      </w:r>
      <w:r w:rsidRPr="00D254B3">
        <w:rPr>
          <w:rFonts w:ascii="Calibri" w:eastAsia="Times New Roman" w:hAnsi="Calibri" w:cs="Times New Roman"/>
          <w:color w:val="000000"/>
          <w:szCs w:val="22"/>
          <w:lang w:eastAsia="en-GB"/>
        </w:rPr>
        <w:t>” unless ESMA permits trading venues to determine that that the OTR is a function relative to the particu</w:t>
      </w:r>
      <w:r>
        <w:rPr>
          <w:rFonts w:ascii="Calibri" w:eastAsia="Times New Roman" w:hAnsi="Calibri" w:cs="Times New Roman"/>
          <w:color w:val="000000"/>
          <w:szCs w:val="22"/>
          <w:lang w:eastAsia="en-GB"/>
        </w:rPr>
        <w:t xml:space="preserve">lar circumstances of the </w:t>
      </w:r>
      <w:r w:rsidRPr="00D254B3">
        <w:rPr>
          <w:rFonts w:ascii="Calibri" w:eastAsia="Times New Roman" w:hAnsi="Calibri" w:cs="Times New Roman"/>
          <w:color w:val="000000"/>
          <w:szCs w:val="22"/>
          <w:lang w:eastAsia="en-GB"/>
        </w:rPr>
        <w:t xml:space="preserve">trading venue’s market and allowing </w:t>
      </w:r>
      <w:r>
        <w:rPr>
          <w:rFonts w:ascii="Calibri" w:eastAsia="Times New Roman" w:hAnsi="Calibri" w:cs="Times New Roman"/>
          <w:color w:val="000000"/>
          <w:szCs w:val="22"/>
          <w:lang w:eastAsia="en-GB"/>
        </w:rPr>
        <w:t xml:space="preserve">those </w:t>
      </w:r>
      <w:r w:rsidRPr="00D254B3">
        <w:rPr>
          <w:rFonts w:ascii="Calibri" w:eastAsia="Times New Roman" w:hAnsi="Calibri" w:cs="Times New Roman"/>
          <w:color w:val="000000"/>
          <w:szCs w:val="22"/>
          <w:lang w:eastAsia="en-GB"/>
        </w:rPr>
        <w:t xml:space="preserve">trading venues to take into account, inter alia, the average level of participant activity for a particular financial instrument.   </w:t>
      </w:r>
    </w:p>
    <w:p w:rsidR="00D254B3" w:rsidRDefault="00D254B3" w:rsidP="00D254B3">
      <w:pPr>
        <w:spacing w:line="240" w:lineRule="auto"/>
        <w:rPr>
          <w:rFonts w:ascii="Calibri" w:eastAsia="Times New Roman" w:hAnsi="Calibri" w:cs="Times New Roman"/>
          <w:color w:val="000000"/>
          <w:szCs w:val="22"/>
          <w:lang w:eastAsia="en-GB"/>
        </w:rPr>
      </w:pPr>
    </w:p>
    <w:p w:rsidR="00D254B3" w:rsidRPr="00D254B3" w:rsidRDefault="00D254B3" w:rsidP="00D254B3">
      <w:pPr>
        <w:spacing w:line="240" w:lineRule="auto"/>
        <w:rPr>
          <w:rFonts w:ascii="Calibri" w:eastAsia="Times New Roman" w:hAnsi="Calibri" w:cs="Times New Roman"/>
          <w:color w:val="000000"/>
          <w:szCs w:val="22"/>
          <w:lang w:eastAsia="en-GB"/>
        </w:rPr>
      </w:pPr>
      <w:r w:rsidRPr="00D254B3">
        <w:rPr>
          <w:rFonts w:ascii="Calibri" w:eastAsia="Times New Roman" w:hAnsi="Calibri" w:cs="Times New Roman"/>
          <w:color w:val="000000"/>
          <w:szCs w:val="22"/>
          <w:lang w:eastAsia="en-GB"/>
        </w:rPr>
        <w:t>The OTR should not be an absolute number as it can only be a relative concept proportional to the parameters of the products traded on the venues and the number, nature and type of the market participants.</w:t>
      </w:r>
    </w:p>
    <w:permEnd w:id="2103722031"/>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C068DA" w:rsidRPr="00C068DA" w:rsidRDefault="00C068DA" w:rsidP="00C068DA">
      <w:pPr>
        <w:spacing w:line="240" w:lineRule="auto"/>
        <w:rPr>
          <w:rFonts w:ascii="Calibri" w:eastAsia="Times New Roman" w:hAnsi="Calibri" w:cs="Times New Roman"/>
          <w:color w:val="000000"/>
          <w:szCs w:val="22"/>
          <w:lang w:eastAsia="en-GB"/>
        </w:rPr>
      </w:pPr>
      <w:permStart w:id="1396722604" w:edGrp="everyone"/>
      <w:r w:rsidRPr="00C068DA">
        <w:rPr>
          <w:rFonts w:ascii="Calibri" w:eastAsia="Times New Roman" w:hAnsi="Calibri" w:cs="Times New Roman"/>
          <w:color w:val="000000"/>
          <w:szCs w:val="22"/>
          <w:lang w:eastAsia="en-GB"/>
        </w:rPr>
        <w:t xml:space="preserve">No, the WMBA disagrees. </w:t>
      </w:r>
    </w:p>
    <w:permEnd w:id="1396722604"/>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C068DA" w:rsidRPr="00C068DA" w:rsidRDefault="00C068DA" w:rsidP="00C068DA">
      <w:pPr>
        <w:spacing w:line="240" w:lineRule="auto"/>
        <w:rPr>
          <w:rFonts w:ascii="Calibri" w:eastAsia="Times New Roman" w:hAnsi="Calibri" w:cs="Times New Roman"/>
          <w:color w:val="000000"/>
          <w:szCs w:val="22"/>
          <w:lang w:eastAsia="en-GB"/>
        </w:rPr>
      </w:pPr>
      <w:permStart w:id="2095710333" w:edGrp="everyone"/>
      <w:r w:rsidRPr="00C068DA">
        <w:rPr>
          <w:rFonts w:ascii="Calibri" w:eastAsia="Times New Roman" w:hAnsi="Calibri" w:cs="Times New Roman"/>
          <w:color w:val="000000"/>
          <w:szCs w:val="22"/>
          <w:lang w:eastAsia="en-GB"/>
        </w:rPr>
        <w:t>Yes, the WMBA agrees</w:t>
      </w:r>
      <w:r>
        <w:rPr>
          <w:rFonts w:ascii="Calibri" w:eastAsia="Times New Roman" w:hAnsi="Calibri" w:cs="Times New Roman"/>
          <w:color w:val="000000"/>
          <w:szCs w:val="22"/>
          <w:lang w:eastAsia="en-GB"/>
        </w:rPr>
        <w:t xml:space="preserve"> with an annual determination</w:t>
      </w:r>
      <w:r w:rsidRPr="00C068DA">
        <w:rPr>
          <w:rFonts w:ascii="Calibri" w:eastAsia="Times New Roman" w:hAnsi="Calibri" w:cs="Times New Roman"/>
          <w:color w:val="000000"/>
          <w:szCs w:val="22"/>
          <w:lang w:eastAsia="en-GB"/>
        </w:rPr>
        <w:t xml:space="preserve">, provided that ESMA permits trading venues to determine that that the OTR is a function relative to the particular circumstances of the markets trading venue’s market and allowing trading venues to take into account, inter alia, the average level of participant activity for a particular financial instrument.  </w:t>
      </w:r>
    </w:p>
    <w:permEnd w:id="2095710333"/>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C068DA" w:rsidRDefault="00C068DA" w:rsidP="00EC2C93">
      <w:pPr>
        <w:keepNext/>
      </w:pPr>
      <w:permStart w:id="1592549684" w:edGrp="everyone"/>
      <w:r w:rsidRPr="00C068DA">
        <w:t>WMBA no comment.</w:t>
      </w:r>
    </w:p>
    <w:permEnd w:id="1592549684"/>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C068DA" w:rsidRDefault="00C068DA" w:rsidP="00EC2C93">
      <w:pPr>
        <w:keepNext/>
      </w:pPr>
      <w:permStart w:id="894323681" w:edGrp="everyone"/>
      <w:r w:rsidRPr="00C068DA">
        <w:t>WMBA no comment.</w:t>
      </w:r>
    </w:p>
    <w:permEnd w:id="894323681"/>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t>&lt;ESMA_QUESTION_CP_MIFID_116&gt;</w:t>
      </w:r>
    </w:p>
    <w:p w:rsidR="00C068DA" w:rsidRDefault="00C068DA" w:rsidP="00EC2C93">
      <w:pPr>
        <w:keepNext/>
      </w:pPr>
      <w:permStart w:id="181545255" w:edGrp="everyone"/>
      <w:r w:rsidRPr="00C068DA">
        <w:t>WMBA no comment.</w:t>
      </w:r>
    </w:p>
    <w:permEnd w:id="181545255"/>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C068DA" w:rsidRDefault="00C068DA" w:rsidP="00EC2C93">
      <w:pPr>
        <w:keepNext/>
      </w:pPr>
      <w:permStart w:id="1414154193" w:edGrp="everyone"/>
      <w:r w:rsidRPr="00C068DA">
        <w:t>WMBA no comment.</w:t>
      </w:r>
    </w:p>
    <w:permEnd w:id="1414154193"/>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C068DA" w:rsidRDefault="00C068DA" w:rsidP="00EC2C93">
      <w:pPr>
        <w:keepNext/>
      </w:pPr>
      <w:permStart w:id="392196020" w:edGrp="everyone"/>
      <w:r w:rsidRPr="00C068DA">
        <w:t>WMBA no comment.</w:t>
      </w:r>
    </w:p>
    <w:permEnd w:id="392196020"/>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C068DA" w:rsidRDefault="00C068DA" w:rsidP="00EC2C93">
      <w:pPr>
        <w:keepNext/>
      </w:pPr>
      <w:permStart w:id="1078554476" w:edGrp="everyone"/>
      <w:r w:rsidRPr="00C068DA">
        <w:t>WMBA no comment.</w:t>
      </w:r>
    </w:p>
    <w:permEnd w:id="1078554476"/>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C068DA" w:rsidRDefault="00C068DA" w:rsidP="00EC2C93">
      <w:pPr>
        <w:keepNext/>
      </w:pPr>
      <w:permStart w:id="1581604849" w:edGrp="everyone"/>
      <w:r w:rsidRPr="00C068DA">
        <w:t>WMBA no comment.</w:t>
      </w:r>
    </w:p>
    <w:permEnd w:id="1581604849"/>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C068DA" w:rsidRDefault="00C068DA" w:rsidP="00EC2C93">
      <w:pPr>
        <w:keepNext/>
      </w:pPr>
      <w:permStart w:id="120143358" w:edGrp="everyone"/>
      <w:r w:rsidRPr="00C068DA">
        <w:t>WMBA no comment.</w:t>
      </w:r>
    </w:p>
    <w:permEnd w:id="120143358"/>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C068DA" w:rsidRPr="0052636F" w:rsidRDefault="00C068DA" w:rsidP="00EC2C93">
      <w:pPr>
        <w:keepNext/>
        <w:rPr>
          <w:rFonts w:ascii="Calibri" w:hAnsi="Calibri"/>
        </w:rPr>
      </w:pPr>
      <w:permStart w:id="1978821271" w:edGrp="everyone"/>
      <w:r w:rsidRPr="0052636F">
        <w:rPr>
          <w:rFonts w:ascii="Calibri" w:hAnsi="Calibri"/>
        </w:rPr>
        <w:t>WMBA no comment.</w:t>
      </w:r>
    </w:p>
    <w:permEnd w:id="1978821271"/>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t>&lt;ESMA_QUESTION_CP_MIFID_123&gt;</w:t>
      </w:r>
    </w:p>
    <w:p w:rsidR="00C068DA" w:rsidRPr="0052636F" w:rsidRDefault="00C068DA" w:rsidP="00C068DA">
      <w:pPr>
        <w:autoSpaceDE w:val="0"/>
        <w:autoSpaceDN w:val="0"/>
        <w:adjustRightInd w:val="0"/>
        <w:spacing w:line="240" w:lineRule="auto"/>
        <w:rPr>
          <w:rFonts w:ascii="Calibri" w:hAnsi="Calibri" w:cs="Arial"/>
          <w:color w:val="000000"/>
        </w:rPr>
      </w:pPr>
      <w:permStart w:id="1502679543" w:edGrp="everyone"/>
      <w:r w:rsidRPr="0052636F">
        <w:rPr>
          <w:rFonts w:ascii="Calibri" w:hAnsi="Calibri" w:cs="Arial"/>
          <w:color w:val="000000"/>
        </w:rPr>
        <w:t>The WMBA believes that the number of trades across all trading venues for any single financial instrument should be considered. Limiting this only to the most relevant market would result in an undercount in the number of daily trades which could ultimately lead to the instrument being assigned an incorrect liquidity band and, hence, the wrong tick size. Therefore, we would recommend a change to RTS 18 article 1 paragraph 3 to allow for the consolidation of trade counts across trading venues trading the same instrument:</w:t>
      </w:r>
    </w:p>
    <w:p w:rsidR="00C068DA" w:rsidRPr="0052636F" w:rsidRDefault="00C068DA" w:rsidP="00C068DA">
      <w:pPr>
        <w:autoSpaceDE w:val="0"/>
        <w:autoSpaceDN w:val="0"/>
        <w:adjustRightInd w:val="0"/>
        <w:spacing w:line="240" w:lineRule="auto"/>
        <w:rPr>
          <w:rFonts w:ascii="Calibri" w:hAnsi="Calibri" w:cs="Arial"/>
          <w:i/>
          <w:iCs/>
          <w:color w:val="000000"/>
        </w:rPr>
      </w:pPr>
    </w:p>
    <w:p w:rsidR="00C068DA" w:rsidRPr="0052636F" w:rsidRDefault="00C068DA" w:rsidP="00C068DA">
      <w:pPr>
        <w:autoSpaceDE w:val="0"/>
        <w:autoSpaceDN w:val="0"/>
        <w:adjustRightInd w:val="0"/>
        <w:spacing w:line="240" w:lineRule="auto"/>
        <w:ind w:left="720"/>
        <w:rPr>
          <w:rFonts w:ascii="Calibri" w:hAnsi="Calibri" w:cs="Arial"/>
          <w:i/>
          <w:iCs/>
          <w:color w:val="000000"/>
        </w:rPr>
      </w:pPr>
      <w:r w:rsidRPr="0052636F">
        <w:rPr>
          <w:rFonts w:ascii="Calibri" w:hAnsi="Calibri" w:cs="Arial"/>
          <w:i/>
          <w:iCs/>
          <w:color w:val="000000"/>
        </w:rPr>
        <w:t xml:space="preserve">‘number of trades per day’ means the number of transactions carried out in a given financial instrument </w:t>
      </w:r>
      <w:r w:rsidRPr="0052636F">
        <w:rPr>
          <w:rFonts w:ascii="Calibri" w:hAnsi="Calibri" w:cs="Arial"/>
          <w:b/>
          <w:bCs/>
          <w:i/>
          <w:iCs/>
          <w:color w:val="000000"/>
        </w:rPr>
        <w:t>on all trading venues</w:t>
      </w:r>
      <w:r w:rsidRPr="0052636F">
        <w:rPr>
          <w:rFonts w:ascii="Calibri" w:hAnsi="Calibri" w:cs="Arial"/>
          <w:i/>
          <w:iCs/>
          <w:color w:val="000000"/>
        </w:rPr>
        <w:t>, excluding...</w:t>
      </w:r>
    </w:p>
    <w:p w:rsidR="00C068DA" w:rsidRPr="0052636F" w:rsidRDefault="00C068DA" w:rsidP="00C068DA">
      <w:pPr>
        <w:autoSpaceDE w:val="0"/>
        <w:autoSpaceDN w:val="0"/>
        <w:adjustRightInd w:val="0"/>
        <w:spacing w:line="240" w:lineRule="auto"/>
        <w:rPr>
          <w:rFonts w:ascii="Calibri" w:hAnsi="Calibri" w:cs="Arial"/>
          <w:color w:val="000000"/>
        </w:rPr>
      </w:pPr>
    </w:p>
    <w:p w:rsidR="00C068DA" w:rsidRPr="0052636F" w:rsidRDefault="00C068DA" w:rsidP="00C068DA">
      <w:pPr>
        <w:autoSpaceDE w:val="0"/>
        <w:autoSpaceDN w:val="0"/>
        <w:adjustRightInd w:val="0"/>
        <w:spacing w:line="240" w:lineRule="auto"/>
        <w:rPr>
          <w:rFonts w:ascii="Calibri" w:hAnsi="Calibri" w:cs="Arial"/>
          <w:color w:val="000000"/>
        </w:rPr>
      </w:pPr>
      <w:r w:rsidRPr="0052636F">
        <w:rPr>
          <w:rFonts w:ascii="Calibri" w:hAnsi="Calibri" w:cs="Arial"/>
          <w:color w:val="000000"/>
        </w:rPr>
        <w:t xml:space="preserve">We note that under article 2 paragraph 2, this change would then require the </w:t>
      </w:r>
      <w:r w:rsidRPr="0052636F">
        <w:rPr>
          <w:rFonts w:ascii="Calibri" w:hAnsi="Calibri" w:cs="Arial"/>
          <w:b/>
          <w:i/>
          <w:color w:val="000000"/>
        </w:rPr>
        <w:t>most relevant market</w:t>
      </w:r>
      <w:r w:rsidRPr="0052636F">
        <w:rPr>
          <w:rFonts w:ascii="Calibri" w:hAnsi="Calibri" w:cs="Arial"/>
          <w:color w:val="000000"/>
        </w:rPr>
        <w:t xml:space="preserve"> to collect this information from other trading venues before presenting it to its competent authority. We note that the concept of </w:t>
      </w:r>
      <w:r w:rsidRPr="0052636F">
        <w:rPr>
          <w:rFonts w:ascii="Calibri" w:hAnsi="Calibri" w:cs="Arial"/>
          <w:b/>
          <w:i/>
          <w:color w:val="000000"/>
        </w:rPr>
        <w:t>most relevant market</w:t>
      </w:r>
      <w:r w:rsidRPr="0052636F">
        <w:rPr>
          <w:rFonts w:ascii="Calibri" w:hAnsi="Calibri" w:cs="Arial"/>
          <w:color w:val="000000"/>
        </w:rPr>
        <w:t xml:space="preserve"> is not applicable to non-equities markets where IP rights are not venue owned and open access is common.</w:t>
      </w:r>
    </w:p>
    <w:permEnd w:id="1502679543"/>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201824862" w:edGrp="everyone"/>
      <w:r>
        <w:t>TYPE YOUR TEXT HERE</w:t>
      </w:r>
    </w:p>
    <w:permEnd w:id="1201824862"/>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299602276" w:edGrp="everyone"/>
      <w:r>
        <w:t>TYPE YOUR TEXT HERE</w:t>
      </w:r>
    </w:p>
    <w:permEnd w:id="1299602276"/>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393386954" w:edGrp="everyone"/>
      <w:r>
        <w:t>TYPE YOUR TEXT HERE</w:t>
      </w:r>
    </w:p>
    <w:permEnd w:id="1393386954"/>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82939955" w:edGrp="everyone"/>
      <w:r>
        <w:t>TYPE YOUR TEXT HERE</w:t>
      </w:r>
    </w:p>
    <w:permEnd w:id="182939955"/>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402719180" w:edGrp="everyone"/>
      <w:r>
        <w:t>TYPE YOUR TEXT HERE</w:t>
      </w:r>
    </w:p>
    <w:permEnd w:id="402719180"/>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945035746" w:edGrp="everyone"/>
      <w:r>
        <w:t>TYPE YOUR TEXT HERE</w:t>
      </w:r>
    </w:p>
    <w:permEnd w:id="945035746"/>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t>&lt;ESMA_QUESTION_CP_MIFID_130&gt;</w:t>
      </w:r>
    </w:p>
    <w:p w:rsidR="00577C33" w:rsidRDefault="00577C33" w:rsidP="00EC2C93">
      <w:pPr>
        <w:keepNext/>
      </w:pPr>
      <w:permStart w:id="1619344553" w:edGrp="everyone"/>
      <w:r>
        <w:t>TYPE YOUR TEXT HERE</w:t>
      </w:r>
    </w:p>
    <w:permEnd w:id="1619344553"/>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13641054" w:edGrp="everyone"/>
      <w:r>
        <w:t>TYPE YOUR TEXT HERE</w:t>
      </w:r>
    </w:p>
    <w:permEnd w:id="113641054"/>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C068DA" w:rsidRPr="0052636F" w:rsidRDefault="00C068DA" w:rsidP="00C068DA">
      <w:pPr>
        <w:autoSpaceDE w:val="0"/>
        <w:autoSpaceDN w:val="0"/>
        <w:adjustRightInd w:val="0"/>
        <w:spacing w:line="240" w:lineRule="auto"/>
        <w:rPr>
          <w:rFonts w:ascii="Calibri" w:hAnsi="Calibri" w:cs="Arial"/>
          <w:color w:val="000000"/>
        </w:rPr>
      </w:pPr>
      <w:permStart w:id="394661532" w:edGrp="everyone"/>
      <w:r w:rsidRPr="0052636F">
        <w:rPr>
          <w:rFonts w:ascii="Calibri" w:hAnsi="Calibri" w:cs="Arial"/>
          <w:color w:val="000000"/>
        </w:rPr>
        <w:t xml:space="preserve">No, the WMBA disagrees. </w:t>
      </w:r>
    </w:p>
    <w:p w:rsidR="00C068DA" w:rsidRPr="0052636F" w:rsidRDefault="00C068DA" w:rsidP="00C068DA">
      <w:pPr>
        <w:autoSpaceDE w:val="0"/>
        <w:autoSpaceDN w:val="0"/>
        <w:adjustRightInd w:val="0"/>
        <w:spacing w:line="240" w:lineRule="auto"/>
        <w:rPr>
          <w:rFonts w:ascii="Calibri" w:hAnsi="Calibri" w:cs="Arial"/>
          <w:color w:val="000000"/>
        </w:rPr>
      </w:pPr>
    </w:p>
    <w:p w:rsidR="00C068DA" w:rsidRPr="0052636F" w:rsidRDefault="00C068DA" w:rsidP="00C068DA">
      <w:pPr>
        <w:autoSpaceDE w:val="0"/>
        <w:autoSpaceDN w:val="0"/>
        <w:adjustRightInd w:val="0"/>
        <w:spacing w:line="240" w:lineRule="auto"/>
        <w:rPr>
          <w:rFonts w:ascii="Calibri" w:hAnsi="Calibri" w:cs="Arial"/>
          <w:color w:val="000000"/>
        </w:rPr>
      </w:pPr>
      <w:r w:rsidRPr="0052636F">
        <w:rPr>
          <w:rFonts w:ascii="Calibri" w:hAnsi="Calibri" w:cs="Arial"/>
          <w:color w:val="000000"/>
        </w:rPr>
        <w:t xml:space="preserve">The draft RTS is unclear as to whether the material market test applies only to regulated markets or to all trading venues.  RTS 19 uses the term trading venue, which reads as applying to all venues (regulated markets, MTFs and OTFs).  We ask ESMA to provide clarity on this. </w:t>
      </w:r>
    </w:p>
    <w:p w:rsidR="00C068DA" w:rsidRPr="0052636F" w:rsidRDefault="00C068DA" w:rsidP="00C068DA">
      <w:pPr>
        <w:autoSpaceDE w:val="0"/>
        <w:autoSpaceDN w:val="0"/>
        <w:adjustRightInd w:val="0"/>
        <w:spacing w:line="240" w:lineRule="auto"/>
        <w:rPr>
          <w:rFonts w:ascii="Calibri" w:hAnsi="Calibri" w:cs="Arial"/>
          <w:color w:val="000000"/>
        </w:rPr>
      </w:pPr>
    </w:p>
    <w:p w:rsidR="00C068DA" w:rsidRPr="0052636F" w:rsidRDefault="00C068DA" w:rsidP="00C068DA">
      <w:pPr>
        <w:autoSpaceDE w:val="0"/>
        <w:autoSpaceDN w:val="0"/>
        <w:adjustRightInd w:val="0"/>
        <w:spacing w:line="240" w:lineRule="auto"/>
        <w:rPr>
          <w:rFonts w:ascii="Calibri" w:hAnsi="Calibri" w:cs="Arial"/>
          <w:color w:val="000000"/>
        </w:rPr>
      </w:pPr>
      <w:r w:rsidRPr="0052636F">
        <w:rPr>
          <w:rFonts w:ascii="Calibri" w:hAnsi="Calibri" w:cs="Arial"/>
          <w:color w:val="000000"/>
        </w:rPr>
        <w:t xml:space="preserve">With regards to fixed income, bonds are often listed on regulated markets (for many reasons) but never traded on these venues.  For those instruments that trade on venue, they often trade on platforms would be classified MTFs and OTFs in the new MiFID regime, which very often do not have lists of instruments admitted to trading. Article 1(1) applies to all instruments; therefore, it is important that it is workable and relevant for all markets.   </w:t>
      </w:r>
    </w:p>
    <w:p w:rsidR="00C068DA" w:rsidRPr="0052636F" w:rsidRDefault="00C068DA" w:rsidP="00C068DA">
      <w:pPr>
        <w:autoSpaceDE w:val="0"/>
        <w:autoSpaceDN w:val="0"/>
        <w:adjustRightInd w:val="0"/>
        <w:spacing w:line="240" w:lineRule="auto"/>
        <w:rPr>
          <w:rFonts w:ascii="Calibri" w:hAnsi="Calibri" w:cs="Arial"/>
          <w:color w:val="000000"/>
        </w:rPr>
      </w:pPr>
    </w:p>
    <w:p w:rsidR="00C068DA" w:rsidRPr="0052636F" w:rsidRDefault="00C068DA" w:rsidP="00C068DA">
      <w:pPr>
        <w:autoSpaceDE w:val="0"/>
        <w:autoSpaceDN w:val="0"/>
        <w:adjustRightInd w:val="0"/>
        <w:spacing w:line="240" w:lineRule="auto"/>
        <w:rPr>
          <w:rFonts w:ascii="Calibri" w:hAnsi="Calibri" w:cs="Arial"/>
          <w:color w:val="000000"/>
        </w:rPr>
      </w:pPr>
      <w:r w:rsidRPr="0052636F">
        <w:rPr>
          <w:rFonts w:ascii="Calibri" w:hAnsi="Calibri" w:cs="Arial"/>
          <w:color w:val="000000"/>
        </w:rPr>
        <w:t>The WMBA would be happy to provide ESMA with further information and data to help the development of such a regime.  We also recommend that ESMA ensure consistency with RTS 33 with regards to the use of the term admitted to trading and traded on a trading venue.</w:t>
      </w:r>
    </w:p>
    <w:permEnd w:id="394661532"/>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867EE8" w:rsidRPr="00867EE8" w:rsidRDefault="00867EE8" w:rsidP="00867EE8">
      <w:pPr>
        <w:spacing w:line="240" w:lineRule="auto"/>
        <w:rPr>
          <w:rFonts w:ascii="Calibri" w:eastAsia="Times New Roman" w:hAnsi="Calibri" w:cs="Times New Roman"/>
          <w:color w:val="000000"/>
          <w:szCs w:val="22"/>
          <w:lang w:eastAsia="en-GB"/>
        </w:rPr>
      </w:pPr>
      <w:permStart w:id="1188699345" w:edGrp="everyone"/>
      <w:r w:rsidRPr="00867EE8">
        <w:rPr>
          <w:rFonts w:ascii="Calibri" w:eastAsia="Times New Roman" w:hAnsi="Calibri" w:cs="Times New Roman"/>
          <w:color w:val="000000"/>
          <w:szCs w:val="22"/>
          <w:lang w:eastAsia="en-GB"/>
        </w:rPr>
        <w:t>The WMBA believes that the concept of “</w:t>
      </w:r>
      <w:r w:rsidRPr="00867EE8">
        <w:rPr>
          <w:rFonts w:ascii="Calibri" w:eastAsia="Times New Roman" w:hAnsi="Calibri" w:cs="Times New Roman"/>
          <w:i/>
          <w:iCs/>
          <w:color w:val="000000"/>
          <w:szCs w:val="22"/>
          <w:lang w:eastAsia="en-GB"/>
        </w:rPr>
        <w:t>material in terms of liquidity</w:t>
      </w:r>
      <w:r w:rsidRPr="00867EE8">
        <w:rPr>
          <w:rFonts w:ascii="Calibri" w:eastAsia="Times New Roman" w:hAnsi="Calibri" w:cs="Times New Roman"/>
          <w:color w:val="000000"/>
          <w:szCs w:val="22"/>
          <w:lang w:eastAsia="en-GB"/>
        </w:rPr>
        <w:t>” is inappropriate for non-equities markets where trades are fungible and no IP rights are owned by venues.</w:t>
      </w:r>
    </w:p>
    <w:permEnd w:id="1188699345"/>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545496244" w:edGrp="everyone"/>
      <w:r>
        <w:t>TYPE YOUR TEXT HERE</w:t>
      </w:r>
    </w:p>
    <w:permEnd w:id="1545496244"/>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262485098" w:edGrp="everyone"/>
      <w:r>
        <w:t>TYPE YOUR TEXT HERE</w:t>
      </w:r>
    </w:p>
    <w:permEnd w:id="262485098"/>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1598445889" w:edGrp="everyone"/>
      <w:r>
        <w:t>TYPE YOUR TEXT HERE</w:t>
      </w:r>
    </w:p>
    <w:permEnd w:id="1598445889"/>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660690990" w:edGrp="everyone"/>
      <w:r>
        <w:t>TYPE YOUR TEXT HERE</w:t>
      </w:r>
    </w:p>
    <w:permEnd w:id="660690990"/>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AD537B" w:rsidRPr="00AD537B" w:rsidRDefault="00AD537B" w:rsidP="00AD537B">
      <w:pPr>
        <w:spacing w:line="240" w:lineRule="auto"/>
        <w:rPr>
          <w:rFonts w:ascii="Calibri" w:eastAsia="Times New Roman" w:hAnsi="Calibri" w:cs="Times New Roman"/>
          <w:color w:val="000000"/>
          <w:szCs w:val="22"/>
          <w:lang w:eastAsia="en-GB"/>
        </w:rPr>
      </w:pPr>
      <w:permStart w:id="1290558688" w:edGrp="everyone"/>
      <w:r w:rsidRPr="00AD537B">
        <w:rPr>
          <w:rFonts w:ascii="Calibri" w:eastAsia="Times New Roman" w:hAnsi="Calibri" w:cs="Times New Roman"/>
          <w:color w:val="000000"/>
          <w:szCs w:val="22"/>
          <w:lang w:eastAsia="en-GB"/>
        </w:rPr>
        <w:t>The WMBA notes that despite the fact that the CTP regime will impact non-equities, the ESMA provisions only focus on equity and equity-like instruments.  We urge ESMA to also consider non-equity products.</w:t>
      </w:r>
    </w:p>
    <w:permEnd w:id="1290558688"/>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AD537B" w:rsidRPr="00AD537B" w:rsidRDefault="00AD537B" w:rsidP="00AD537B">
      <w:pPr>
        <w:spacing w:line="240" w:lineRule="auto"/>
        <w:rPr>
          <w:rFonts w:ascii="Calibri" w:eastAsia="Times New Roman" w:hAnsi="Calibri" w:cs="Times New Roman"/>
          <w:color w:val="000000"/>
          <w:szCs w:val="22"/>
          <w:lang w:eastAsia="en-GB"/>
        </w:rPr>
      </w:pPr>
      <w:permStart w:id="982794118" w:edGrp="everyone"/>
      <w:r w:rsidRPr="00AD537B">
        <w:rPr>
          <w:rFonts w:ascii="Calibri" w:eastAsia="Times New Roman" w:hAnsi="Calibri" w:cs="Times New Roman"/>
          <w:color w:val="000000"/>
          <w:szCs w:val="22"/>
          <w:lang w:eastAsia="en-GB"/>
        </w:rPr>
        <w:t>WMBA is not clear that this section only applies to equities (as per Q 138 and Q140) or wider. If wider WMBA are concerned that the data in an APA should only be viewed, but not consumed with free manipulation rights.</w:t>
      </w:r>
    </w:p>
    <w:permEnd w:id="982794118"/>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AD537B" w:rsidRPr="00AD537B" w:rsidRDefault="00AD537B" w:rsidP="00AD537B">
      <w:pPr>
        <w:spacing w:line="240" w:lineRule="auto"/>
        <w:rPr>
          <w:rFonts w:ascii="Calibri" w:eastAsia="Times New Roman" w:hAnsi="Calibri" w:cs="Times New Roman"/>
          <w:color w:val="000000"/>
          <w:szCs w:val="22"/>
          <w:lang w:eastAsia="en-GB"/>
        </w:rPr>
      </w:pPr>
      <w:permStart w:id="969084376" w:edGrp="everyone"/>
      <w:r w:rsidRPr="00AD537B">
        <w:rPr>
          <w:rFonts w:ascii="Calibri" w:eastAsia="Times New Roman" w:hAnsi="Calibri" w:cs="Times New Roman"/>
          <w:color w:val="000000"/>
          <w:szCs w:val="22"/>
          <w:lang w:eastAsia="en-GB"/>
        </w:rPr>
        <w:t>The WMBA notes that despite the fact that the CTP regime will impact non-equities, the ESMA provisions only focus on equity and equity-like instruments.  We urge ESMA to also consider non-equity products.</w:t>
      </w:r>
    </w:p>
    <w:permEnd w:id="969084376"/>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t>&lt;ESMA_QUESTION_CP_MIFID_141&gt;</w:t>
      </w:r>
    </w:p>
    <w:p w:rsidR="00577C33" w:rsidRPr="00AD537B" w:rsidRDefault="00AD537B" w:rsidP="00EC2C93">
      <w:pPr>
        <w:keepNext/>
        <w:rPr>
          <w:rFonts w:ascii="Calibri" w:hAnsi="Calibri"/>
        </w:rPr>
      </w:pPr>
      <w:permStart w:id="1950625454" w:edGrp="everyone"/>
      <w:r w:rsidRPr="00AD537B">
        <w:rPr>
          <w:rFonts w:ascii="Calibri" w:hAnsi="Calibri"/>
        </w:rPr>
        <w:t>The WMBA makes no comment.</w:t>
      </w:r>
    </w:p>
    <w:permEnd w:id="1950625454"/>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AD537B" w:rsidRPr="00AD537B" w:rsidRDefault="00AD537B" w:rsidP="00AD537B">
      <w:pPr>
        <w:spacing w:line="240" w:lineRule="auto"/>
        <w:rPr>
          <w:rFonts w:ascii="Calibri" w:eastAsia="Times New Roman" w:hAnsi="Calibri" w:cs="Times New Roman"/>
          <w:color w:val="000000"/>
          <w:szCs w:val="22"/>
          <w:lang w:eastAsia="en-GB"/>
        </w:rPr>
      </w:pPr>
      <w:permStart w:id="92549750" w:edGrp="everyone"/>
      <w:r w:rsidRPr="00AD537B">
        <w:rPr>
          <w:rFonts w:ascii="Calibri" w:eastAsia="Times New Roman" w:hAnsi="Calibri" w:cs="Times New Roman"/>
          <w:color w:val="000000"/>
          <w:szCs w:val="22"/>
          <w:lang w:eastAsia="en-GB"/>
        </w:rPr>
        <w:t xml:space="preserve">The WMBA believes that the APA publication and actual execution times are sufficient. </w:t>
      </w:r>
    </w:p>
    <w:permEnd w:id="92549750"/>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AD537B" w:rsidRPr="00AD537B" w:rsidRDefault="00AD537B" w:rsidP="00AD537B">
      <w:pPr>
        <w:keepNext/>
        <w:rPr>
          <w:rFonts w:ascii="Calibri" w:hAnsi="Calibri"/>
        </w:rPr>
      </w:pPr>
      <w:permStart w:id="1886803335" w:edGrp="everyone"/>
      <w:r w:rsidRPr="00AD537B">
        <w:rPr>
          <w:rFonts w:ascii="Calibri" w:hAnsi="Calibri"/>
        </w:rPr>
        <w:t>The WMBA makes no comment.</w:t>
      </w:r>
    </w:p>
    <w:permEnd w:id="1886803335"/>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AD537B" w:rsidRPr="00AD537B" w:rsidRDefault="00AD537B" w:rsidP="00AD537B">
      <w:pPr>
        <w:keepNext/>
        <w:rPr>
          <w:rFonts w:ascii="Calibri" w:hAnsi="Calibri"/>
        </w:rPr>
      </w:pPr>
      <w:permStart w:id="841033371" w:edGrp="everyone"/>
      <w:r w:rsidRPr="00AD537B">
        <w:rPr>
          <w:rFonts w:ascii="Calibri" w:hAnsi="Calibri"/>
        </w:rPr>
        <w:t>The WMBA makes no comment.</w:t>
      </w:r>
    </w:p>
    <w:permEnd w:id="841033371"/>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AC5E47" w:rsidRPr="00AD537B" w:rsidRDefault="00AC5E47" w:rsidP="00AC5E47">
      <w:pPr>
        <w:keepNext/>
        <w:rPr>
          <w:rFonts w:ascii="Calibri" w:hAnsi="Calibri"/>
        </w:rPr>
      </w:pPr>
      <w:permStart w:id="1465408249" w:edGrp="everyone"/>
      <w:r w:rsidRPr="00AD537B">
        <w:rPr>
          <w:rFonts w:ascii="Calibri" w:hAnsi="Calibri"/>
        </w:rPr>
        <w:t>The WMBA makes no comment.</w:t>
      </w:r>
    </w:p>
    <w:permEnd w:id="1465408249"/>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AC5E47" w:rsidRPr="00AD537B" w:rsidRDefault="00AC5E47" w:rsidP="00AC5E47">
      <w:pPr>
        <w:keepNext/>
        <w:rPr>
          <w:rFonts w:ascii="Calibri" w:hAnsi="Calibri"/>
        </w:rPr>
      </w:pPr>
      <w:permStart w:id="647758094" w:edGrp="everyone"/>
      <w:r w:rsidRPr="00AD537B">
        <w:rPr>
          <w:rFonts w:ascii="Calibri" w:hAnsi="Calibri"/>
        </w:rPr>
        <w:t>The WMBA makes no comment.</w:t>
      </w:r>
    </w:p>
    <w:permEnd w:id="647758094"/>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AC5E47" w:rsidRPr="00AD537B" w:rsidRDefault="00AC5E47" w:rsidP="00AC5E47">
      <w:pPr>
        <w:keepNext/>
        <w:rPr>
          <w:rFonts w:ascii="Calibri" w:hAnsi="Calibri"/>
        </w:rPr>
      </w:pPr>
      <w:permStart w:id="1318022286" w:edGrp="everyone"/>
      <w:r w:rsidRPr="00AD537B">
        <w:rPr>
          <w:rFonts w:ascii="Calibri" w:hAnsi="Calibri"/>
        </w:rPr>
        <w:t>The WMBA makes no comment.</w:t>
      </w:r>
    </w:p>
    <w:permEnd w:id="1318022286"/>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t>&lt;ESMA_QUESTION_CP_MIFID_148&gt;</w:t>
      </w:r>
    </w:p>
    <w:p w:rsidR="00AD537B" w:rsidRPr="00824D04" w:rsidRDefault="00AD537B" w:rsidP="00AC5E47">
      <w:pPr>
        <w:spacing w:before="100" w:beforeAutospacing="1" w:after="100" w:afterAutospacing="1" w:line="240" w:lineRule="auto"/>
        <w:rPr>
          <w:rFonts w:ascii="Calibri" w:eastAsia="Times New Roman" w:hAnsi="Calibri" w:cs="Times New Roman"/>
          <w:color w:val="000000"/>
          <w:szCs w:val="22"/>
          <w:lang w:eastAsia="en-GB"/>
        </w:rPr>
      </w:pPr>
      <w:permStart w:id="1132729783" w:edGrp="everyone"/>
      <w:r w:rsidRPr="00824D04">
        <w:rPr>
          <w:rFonts w:ascii="Calibri" w:eastAsia="Times New Roman" w:hAnsi="Calibri" w:cs="Times New Roman"/>
          <w:color w:val="000000"/>
          <w:szCs w:val="22"/>
          <w:lang w:eastAsia="en-GB"/>
        </w:rPr>
        <w:t>WMBA do not agree with the elements of the draft RTS that cover a CCP’s ability to deny access.</w:t>
      </w:r>
    </w:p>
    <w:p w:rsidR="008C2E2D" w:rsidRPr="00824D04" w:rsidRDefault="008C2E2D" w:rsidP="00AC5E47">
      <w:pPr>
        <w:spacing w:before="100" w:beforeAutospacing="1" w:after="100" w:afterAutospacing="1" w:line="240" w:lineRule="auto"/>
        <w:rPr>
          <w:rFonts w:ascii="Calibri" w:eastAsia="Times New Roman" w:hAnsi="Calibri" w:cs="Times New Roman"/>
          <w:color w:val="000000"/>
          <w:szCs w:val="22"/>
          <w:lang w:eastAsia="en-GB"/>
        </w:rPr>
      </w:pPr>
      <w:r w:rsidRPr="00824D04">
        <w:rPr>
          <w:rFonts w:ascii="Calibri" w:eastAsia="Times New Roman" w:hAnsi="Calibri" w:cs="Times New Roman"/>
          <w:color w:val="000000"/>
          <w:szCs w:val="22"/>
          <w:lang w:eastAsia="en-GB"/>
        </w:rPr>
        <w:t xml:space="preserve">In principle the WMBA endorses: </w:t>
      </w:r>
    </w:p>
    <w:p w:rsidR="008C2E2D" w:rsidRPr="00824D04" w:rsidRDefault="008C2E2D" w:rsidP="007D55BD">
      <w:pPr>
        <w:pStyle w:val="ListParagraph"/>
        <w:rPr>
          <w:rFonts w:eastAsia="Times New Roman"/>
          <w:lang w:eastAsia="en-GB"/>
        </w:rPr>
      </w:pPr>
      <w:r w:rsidRPr="00824D04">
        <w:rPr>
          <w:rFonts w:eastAsia="Times New Roman"/>
          <w:lang w:eastAsia="en-GB"/>
        </w:rPr>
        <w:t>Support for access between trading venues and CCPs;</w:t>
      </w:r>
    </w:p>
    <w:p w:rsidR="008C2E2D" w:rsidRPr="00824D04" w:rsidRDefault="008C2E2D" w:rsidP="007D55BD">
      <w:pPr>
        <w:pStyle w:val="ListParagraph"/>
        <w:rPr>
          <w:rFonts w:eastAsia="Times New Roman"/>
          <w:lang w:eastAsia="en-GB"/>
        </w:rPr>
      </w:pPr>
      <w:r w:rsidRPr="00824D04">
        <w:rPr>
          <w:rFonts w:eastAsia="Times New Roman"/>
          <w:lang w:eastAsia="en-GB"/>
        </w:rPr>
        <w:t>Expectation that CCPs should be able to handle the incremental volumes created by a new trading venue, and not seek to avoid competition;</w:t>
      </w:r>
    </w:p>
    <w:p w:rsidR="008C2E2D" w:rsidRPr="00824D04" w:rsidRDefault="008C2E2D" w:rsidP="007D55BD">
      <w:pPr>
        <w:pStyle w:val="ListParagraph"/>
        <w:rPr>
          <w:rFonts w:eastAsia="Times New Roman"/>
          <w:lang w:eastAsia="en-GB"/>
        </w:rPr>
      </w:pPr>
      <w:r w:rsidRPr="00824D04">
        <w:rPr>
          <w:rFonts w:eastAsia="Times New Roman"/>
          <w:lang w:eastAsia="en-GB"/>
        </w:rPr>
        <w:t xml:space="preserve">Analysis that incompatibility of trading venue and IT systems is not an issue for operational risk / complexity; </w:t>
      </w:r>
    </w:p>
    <w:p w:rsidR="008C2E2D" w:rsidRPr="00824D04" w:rsidRDefault="008C2E2D" w:rsidP="007D55BD">
      <w:pPr>
        <w:pStyle w:val="ListParagraph"/>
        <w:rPr>
          <w:rFonts w:eastAsia="Times New Roman"/>
          <w:lang w:eastAsia="en-GB"/>
        </w:rPr>
      </w:pPr>
      <w:r w:rsidRPr="00824D04">
        <w:rPr>
          <w:rFonts w:eastAsia="Times New Roman"/>
          <w:lang w:eastAsia="en-GB"/>
        </w:rPr>
        <w:t>Clarity on which insolvency law / default procedure applies if the trading venue and CCP are in different jurisdictions.</w:t>
      </w:r>
    </w:p>
    <w:p w:rsidR="00AD537B" w:rsidRPr="00824D04" w:rsidRDefault="00AD537B" w:rsidP="00AC5E47">
      <w:pPr>
        <w:spacing w:before="100" w:beforeAutospacing="1" w:after="100" w:afterAutospacing="1" w:line="240" w:lineRule="auto"/>
        <w:rPr>
          <w:rFonts w:ascii="Calibri" w:eastAsia="Times New Roman" w:hAnsi="Calibri" w:cs="Times New Roman"/>
          <w:color w:val="000000"/>
          <w:szCs w:val="22"/>
          <w:lang w:eastAsia="en-GB"/>
        </w:rPr>
      </w:pPr>
      <w:r w:rsidRPr="00824D04">
        <w:rPr>
          <w:rFonts w:ascii="Calibri" w:eastAsia="Times New Roman" w:hAnsi="Calibri" w:cs="Times New Roman"/>
          <w:color w:val="000000"/>
          <w:szCs w:val="22"/>
          <w:lang w:eastAsia="en-GB"/>
        </w:rPr>
        <w:t>Specifically:</w:t>
      </w:r>
    </w:p>
    <w:p w:rsidR="00AD537B" w:rsidRPr="00824D04" w:rsidRDefault="00AD537B" w:rsidP="007D55BD">
      <w:pPr>
        <w:pStyle w:val="ListParagraph"/>
        <w:numPr>
          <w:ilvl w:val="0"/>
          <w:numId w:val="31"/>
        </w:numPr>
        <w:rPr>
          <w:rFonts w:eastAsia="Times New Roman" w:cs="Times New Roman"/>
          <w:color w:val="000000"/>
          <w:szCs w:val="22"/>
          <w:lang w:eastAsia="en-GB"/>
        </w:rPr>
      </w:pPr>
      <w:r w:rsidRPr="00824D04">
        <w:rPr>
          <w:rFonts w:eastAsia="Times New Roman"/>
          <w:lang w:eastAsia="en-GB"/>
        </w:rPr>
        <w:t>The WMBA does not agree with ESMA that, “</w:t>
      </w:r>
      <w:r w:rsidRPr="00824D04">
        <w:rPr>
          <w:rFonts w:eastAsia="Times New Roman"/>
          <w:i/>
          <w:lang w:eastAsia="en-GB"/>
        </w:rPr>
        <w:t>incompatibility of IT systems such that the CCP cannot provide for connectivity</w:t>
      </w:r>
      <w:r w:rsidRPr="00824D04">
        <w:rPr>
          <w:rFonts w:eastAsia="Times New Roman"/>
          <w:lang w:eastAsia="en-GB"/>
        </w:rPr>
        <w:t xml:space="preserve">” is a valid reason to deny access. We believe that IT compatibility and connectivity issues should be rectifiable in the development phase. </w:t>
      </w:r>
    </w:p>
    <w:p w:rsidR="00AD537B" w:rsidRPr="00824D04" w:rsidRDefault="00AD537B" w:rsidP="007D55BD">
      <w:pPr>
        <w:pStyle w:val="ListParagraph"/>
        <w:numPr>
          <w:ilvl w:val="0"/>
          <w:numId w:val="31"/>
        </w:numPr>
        <w:rPr>
          <w:rFonts w:eastAsia="Times New Roman"/>
          <w:lang w:eastAsia="en-GB"/>
        </w:rPr>
      </w:pPr>
      <w:r w:rsidRPr="00824D04">
        <w:rPr>
          <w:rFonts w:eastAsia="Times New Roman"/>
          <w:lang w:eastAsia="en-GB"/>
        </w:rPr>
        <w:t>We note RTS 24, Art 3 which suggests that the two considerations 2(a) and 2(b) are the “</w:t>
      </w:r>
      <w:r w:rsidRPr="00824D04">
        <w:rPr>
          <w:rFonts w:eastAsia="Times New Roman"/>
          <w:i/>
          <w:lang w:eastAsia="en-GB"/>
        </w:rPr>
        <w:t>relevant type of risk, among others</w:t>
      </w:r>
      <w:r w:rsidRPr="00824D04">
        <w:rPr>
          <w:rFonts w:eastAsia="Times New Roman"/>
          <w:lang w:eastAsia="en-GB"/>
        </w:rPr>
        <w:t>”. This raises the question as to quite what are those other risks which ESMA has identified. WMBA would prefer that this list was exhaustive, and are against the use of the vague term, “</w:t>
      </w:r>
      <w:r w:rsidRPr="00824D04">
        <w:rPr>
          <w:rFonts w:eastAsia="Times New Roman"/>
          <w:i/>
          <w:lang w:eastAsia="en-GB"/>
        </w:rPr>
        <w:t>among others</w:t>
      </w:r>
      <w:r w:rsidRPr="00824D04">
        <w:rPr>
          <w:rFonts w:eastAsia="Times New Roman"/>
          <w:lang w:eastAsia="en-GB"/>
        </w:rPr>
        <w:t>”.</w:t>
      </w:r>
    </w:p>
    <w:p w:rsidR="00AD537B" w:rsidRPr="00824D04" w:rsidRDefault="00AD537B" w:rsidP="007D55BD">
      <w:pPr>
        <w:pStyle w:val="ListParagraph"/>
        <w:numPr>
          <w:ilvl w:val="0"/>
          <w:numId w:val="31"/>
        </w:numPr>
        <w:rPr>
          <w:rFonts w:eastAsia="Times New Roman"/>
          <w:lang w:eastAsia="en-GB"/>
        </w:rPr>
      </w:pPr>
      <w:r w:rsidRPr="00824D04">
        <w:rPr>
          <w:rFonts w:eastAsia="Times New Roman"/>
          <w:lang w:eastAsia="en-GB"/>
        </w:rPr>
        <w:t>It’s not clear to us which are the situations that ESMA envisages when it refers to the, “</w:t>
      </w:r>
      <w:r w:rsidRPr="00824D04">
        <w:rPr>
          <w:rFonts w:eastAsia="Times New Roman"/>
          <w:i/>
          <w:lang w:eastAsia="en-GB"/>
        </w:rPr>
        <w:t>incompatibility of trading venue and CCP rules that cannot be remedied</w:t>
      </w:r>
      <w:r w:rsidRPr="00824D04">
        <w:rPr>
          <w:rFonts w:eastAsia="Times New Roman"/>
          <w:lang w:eastAsia="en-GB"/>
        </w:rPr>
        <w:t>”. Does ESMA refer to the risk of different trade acceptance models? Again, to the WMBA it would appear that these are covered in “</w:t>
      </w:r>
      <w:r w:rsidRPr="00824D04">
        <w:rPr>
          <w:rFonts w:eastAsia="Times New Roman"/>
          <w:i/>
          <w:lang w:eastAsia="en-GB"/>
        </w:rPr>
        <w:t>legal risks</w:t>
      </w:r>
      <w:r w:rsidRPr="00824D04">
        <w:rPr>
          <w:rFonts w:eastAsia="Times New Roman"/>
          <w:lang w:eastAsia="en-GB"/>
        </w:rPr>
        <w:t>” [para 35 and Art 4(1) c]. This needs to be defined further, or excluded.  Again the WMBA preference is for an exhaustive list of risks.</w:t>
      </w:r>
    </w:p>
    <w:p w:rsidR="00AD537B" w:rsidRPr="00824D04" w:rsidRDefault="00AD537B" w:rsidP="00AC5E47">
      <w:pPr>
        <w:spacing w:before="100" w:beforeAutospacing="1" w:after="100" w:afterAutospacing="1" w:line="240" w:lineRule="auto"/>
        <w:rPr>
          <w:rFonts w:ascii="Calibri" w:eastAsia="Times New Roman" w:hAnsi="Calibri" w:cs="Times New Roman"/>
          <w:color w:val="000000"/>
          <w:szCs w:val="22"/>
          <w:lang w:eastAsia="en-GB"/>
        </w:rPr>
      </w:pPr>
      <w:r w:rsidRPr="00824D04">
        <w:rPr>
          <w:rFonts w:ascii="Calibri" w:eastAsia="Times New Roman" w:hAnsi="Calibri" w:cs="Times New Roman"/>
          <w:color w:val="000000"/>
          <w:szCs w:val="22"/>
          <w:lang w:eastAsia="en-GB"/>
        </w:rPr>
        <w:t>Therefore we would endorse the deletion of the terms “among others” and of 2(a) in its entirety.</w:t>
      </w:r>
    </w:p>
    <w:permEnd w:id="1132729783"/>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7E650F" w:rsidRPr="00824D04" w:rsidRDefault="007E650F" w:rsidP="00AC5E47">
      <w:pPr>
        <w:spacing w:before="100" w:beforeAutospacing="1" w:after="100" w:afterAutospacing="1" w:line="240" w:lineRule="auto"/>
        <w:rPr>
          <w:rFonts w:ascii="Calibri" w:eastAsia="Times New Roman" w:hAnsi="Calibri" w:cs="Times New Roman"/>
          <w:color w:val="000000"/>
          <w:szCs w:val="22"/>
          <w:lang w:eastAsia="en-GB"/>
        </w:rPr>
      </w:pPr>
      <w:permStart w:id="900097392" w:edGrp="everyone"/>
      <w:r w:rsidRPr="00824D04">
        <w:rPr>
          <w:rFonts w:ascii="Calibri" w:eastAsia="Times New Roman" w:hAnsi="Calibri" w:cs="Times New Roman"/>
          <w:color w:val="000000"/>
          <w:szCs w:val="22"/>
          <w:lang w:eastAsia="en-GB"/>
        </w:rPr>
        <w:t>WMBA do broadly agree with the elements of the draft RTS that cover a trading venue’s ability to deny access.</w:t>
      </w:r>
    </w:p>
    <w:p w:rsidR="007E650F" w:rsidRPr="00824D04" w:rsidRDefault="007E650F" w:rsidP="00AC5E47">
      <w:pPr>
        <w:spacing w:before="100" w:beforeAutospacing="1" w:after="100" w:afterAutospacing="1" w:line="240" w:lineRule="auto"/>
        <w:rPr>
          <w:rFonts w:ascii="Calibri" w:eastAsia="Times New Roman" w:hAnsi="Calibri" w:cs="Times New Roman"/>
          <w:color w:val="000000"/>
          <w:szCs w:val="22"/>
          <w:lang w:eastAsia="en-GB"/>
        </w:rPr>
      </w:pPr>
      <w:r w:rsidRPr="00824D04">
        <w:rPr>
          <w:rFonts w:ascii="Calibri" w:eastAsia="Times New Roman" w:hAnsi="Calibri" w:cs="Times New Roman"/>
          <w:color w:val="000000"/>
          <w:szCs w:val="22"/>
          <w:lang w:eastAsia="en-GB"/>
        </w:rPr>
        <w:t>However:</w:t>
      </w:r>
    </w:p>
    <w:p w:rsidR="007E650F" w:rsidRPr="00824D04" w:rsidRDefault="007E650F" w:rsidP="007D55BD">
      <w:pPr>
        <w:pStyle w:val="ListParagraph"/>
        <w:numPr>
          <w:ilvl w:val="0"/>
          <w:numId w:val="32"/>
        </w:numPr>
        <w:rPr>
          <w:rFonts w:eastAsia="Times New Roman"/>
          <w:lang w:eastAsia="en-GB"/>
        </w:rPr>
      </w:pPr>
      <w:r w:rsidRPr="00824D04">
        <w:rPr>
          <w:rFonts w:eastAsia="Times New Roman"/>
          <w:lang w:eastAsia="en-GB"/>
        </w:rPr>
        <w:t>In respect of Paragraph 42, the WMBA does not agree with ESMA that, “</w:t>
      </w:r>
      <w:r w:rsidRPr="00824D04">
        <w:rPr>
          <w:rFonts w:eastAsia="Times New Roman"/>
          <w:i/>
          <w:lang w:eastAsia="en-GB"/>
        </w:rPr>
        <w:t>incompatibility of IT systems such that the trading venue cannot provide for connectivity</w:t>
      </w:r>
      <w:r w:rsidRPr="00824D04">
        <w:rPr>
          <w:rFonts w:eastAsia="Times New Roman"/>
          <w:lang w:eastAsia="en-GB"/>
        </w:rPr>
        <w:t>” is a valid reason to deny access</w:t>
      </w:r>
    </w:p>
    <w:p w:rsidR="007E650F" w:rsidRPr="00824D04" w:rsidRDefault="007E650F" w:rsidP="007D55BD">
      <w:pPr>
        <w:pStyle w:val="ListParagraph"/>
        <w:numPr>
          <w:ilvl w:val="0"/>
          <w:numId w:val="32"/>
        </w:numPr>
        <w:rPr>
          <w:rFonts w:eastAsia="Times New Roman"/>
          <w:lang w:eastAsia="en-GB"/>
        </w:rPr>
      </w:pPr>
      <w:r w:rsidRPr="00824D04">
        <w:rPr>
          <w:rFonts w:eastAsia="Times New Roman"/>
          <w:lang w:eastAsia="en-GB"/>
        </w:rPr>
        <w:t>Significant IT compatibility and connectivity issues should be rectifiable in the development phase</w:t>
      </w:r>
    </w:p>
    <w:p w:rsidR="007E650F" w:rsidRPr="00824D04" w:rsidRDefault="007E650F" w:rsidP="007D55BD">
      <w:pPr>
        <w:pStyle w:val="ListParagraph"/>
        <w:numPr>
          <w:ilvl w:val="0"/>
          <w:numId w:val="32"/>
        </w:numPr>
        <w:rPr>
          <w:rFonts w:eastAsia="Times New Roman"/>
          <w:lang w:eastAsia="en-GB"/>
        </w:rPr>
      </w:pPr>
      <w:r w:rsidRPr="00824D04">
        <w:rPr>
          <w:rFonts w:eastAsia="Times New Roman"/>
          <w:lang w:eastAsia="en-GB"/>
        </w:rPr>
        <w:t>Therefore we would endorse the deletion of Article 5 point 2 in its entirety</w:t>
      </w:r>
    </w:p>
    <w:p w:rsidR="007E650F" w:rsidRPr="00824D04" w:rsidRDefault="007E650F" w:rsidP="007D55BD">
      <w:pPr>
        <w:pStyle w:val="ListParagraph"/>
        <w:rPr>
          <w:rFonts w:eastAsia="Times New Roman"/>
          <w:lang w:eastAsia="en-GB"/>
        </w:rPr>
      </w:pPr>
      <w:r w:rsidRPr="00824D04">
        <w:rPr>
          <w:rFonts w:eastAsia="Times New Roman"/>
          <w:lang w:eastAsia="en-GB"/>
        </w:rPr>
        <w:t>In principle WMBA supports more clarity around the controls over, and the ability to deny access on grounds of each of:</w:t>
      </w:r>
    </w:p>
    <w:p w:rsidR="007E650F" w:rsidRPr="00824D04" w:rsidRDefault="007E650F" w:rsidP="007D55BD">
      <w:pPr>
        <w:pStyle w:val="ListParagraph"/>
        <w:numPr>
          <w:ilvl w:val="2"/>
          <w:numId w:val="7"/>
        </w:numPr>
        <w:rPr>
          <w:rFonts w:eastAsia="Times New Roman"/>
          <w:lang w:eastAsia="en-GB"/>
        </w:rPr>
      </w:pPr>
      <w:r w:rsidRPr="00824D04">
        <w:rPr>
          <w:rFonts w:eastAsia="Times New Roman"/>
          <w:lang w:eastAsia="en-GB"/>
        </w:rPr>
        <w:t>IT incompatibility</w:t>
      </w:r>
    </w:p>
    <w:p w:rsidR="007E650F" w:rsidRPr="00824D04" w:rsidRDefault="007E650F" w:rsidP="007D55BD">
      <w:pPr>
        <w:pStyle w:val="ListParagraph"/>
        <w:numPr>
          <w:ilvl w:val="2"/>
          <w:numId w:val="7"/>
        </w:numPr>
        <w:rPr>
          <w:rFonts w:eastAsia="Times New Roman"/>
          <w:lang w:eastAsia="en-GB"/>
        </w:rPr>
      </w:pPr>
      <w:r w:rsidRPr="00824D04">
        <w:rPr>
          <w:rFonts w:eastAsia="Times New Roman"/>
          <w:lang w:eastAsia="en-GB"/>
        </w:rPr>
        <w:t>Threat to the viability or minimum capital requirements of a trading venue</w:t>
      </w:r>
    </w:p>
    <w:p w:rsidR="007E650F" w:rsidRPr="00824D04" w:rsidRDefault="007E650F" w:rsidP="007D55BD">
      <w:pPr>
        <w:pStyle w:val="ListParagraph"/>
        <w:numPr>
          <w:ilvl w:val="2"/>
          <w:numId w:val="7"/>
        </w:numPr>
        <w:rPr>
          <w:rFonts w:eastAsia="Times New Roman"/>
          <w:lang w:eastAsia="en-GB"/>
        </w:rPr>
      </w:pPr>
      <w:r w:rsidRPr="00824D04">
        <w:rPr>
          <w:rFonts w:eastAsia="Times New Roman"/>
          <w:lang w:eastAsia="en-GB"/>
        </w:rPr>
        <w:t>Incompatibility of infrastructure</w:t>
      </w:r>
    </w:p>
    <w:p w:rsidR="007E650F" w:rsidRPr="00824D04" w:rsidRDefault="007E650F" w:rsidP="007D55BD">
      <w:pPr>
        <w:pStyle w:val="ListParagraph"/>
        <w:numPr>
          <w:ilvl w:val="2"/>
          <w:numId w:val="7"/>
        </w:numPr>
        <w:rPr>
          <w:rFonts w:eastAsia="Times New Roman"/>
          <w:lang w:eastAsia="en-GB"/>
        </w:rPr>
      </w:pPr>
      <w:r w:rsidRPr="00824D04">
        <w:rPr>
          <w:rFonts w:eastAsia="Times New Roman"/>
          <w:lang w:eastAsia="en-GB"/>
        </w:rPr>
        <w:t>Clearing of products outside a CCP’s EMIR authorisation</w:t>
      </w:r>
    </w:p>
    <w:permEnd w:id="900097392"/>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AC5E47" w:rsidRDefault="00AC5E47" w:rsidP="00AC5E47">
      <w:pPr>
        <w:spacing w:line="240" w:lineRule="auto"/>
        <w:rPr>
          <w:rFonts w:ascii="Calibri" w:eastAsia="Times New Roman" w:hAnsi="Calibri" w:cs="Times New Roman"/>
          <w:color w:val="000000"/>
          <w:szCs w:val="22"/>
          <w:lang w:eastAsia="en-GB"/>
        </w:rPr>
      </w:pPr>
      <w:permStart w:id="954756568" w:edGrp="everyone"/>
      <w:r>
        <w:rPr>
          <w:rFonts w:ascii="Calibri" w:eastAsia="Times New Roman" w:hAnsi="Calibri" w:cs="Times New Roman"/>
          <w:color w:val="000000"/>
          <w:szCs w:val="22"/>
          <w:lang w:eastAsia="en-GB"/>
        </w:rPr>
        <w:t xml:space="preserve">The </w:t>
      </w:r>
      <w:r w:rsidRPr="00AC5E47">
        <w:rPr>
          <w:rFonts w:ascii="Calibri" w:eastAsia="Times New Roman" w:hAnsi="Calibri" w:cs="Times New Roman"/>
          <w:color w:val="000000"/>
          <w:szCs w:val="22"/>
          <w:lang w:eastAsia="en-GB"/>
        </w:rPr>
        <w:t>WMBA do</w:t>
      </w:r>
      <w:r>
        <w:rPr>
          <w:rFonts w:ascii="Calibri" w:eastAsia="Times New Roman" w:hAnsi="Calibri" w:cs="Times New Roman"/>
          <w:color w:val="000000"/>
          <w:szCs w:val="22"/>
          <w:lang w:eastAsia="en-GB"/>
        </w:rPr>
        <w:t>es</w:t>
      </w:r>
      <w:r w:rsidRPr="00AC5E47">
        <w:rPr>
          <w:rFonts w:ascii="Calibri" w:eastAsia="Times New Roman" w:hAnsi="Calibri" w:cs="Times New Roman"/>
          <w:color w:val="000000"/>
          <w:szCs w:val="22"/>
          <w:lang w:eastAsia="en-GB"/>
        </w:rPr>
        <w:t xml:space="preserve"> not agree with ESMA’s assessment that human resource requirements should not have the same timeliness and relevance for trading </w:t>
      </w:r>
      <w:r>
        <w:rPr>
          <w:rFonts w:ascii="Calibri" w:eastAsia="Times New Roman" w:hAnsi="Calibri" w:cs="Times New Roman"/>
          <w:color w:val="000000"/>
          <w:szCs w:val="22"/>
          <w:lang w:eastAsia="en-GB"/>
        </w:rPr>
        <w:t>venues as it has regarding CCPs.</w:t>
      </w:r>
    </w:p>
    <w:p w:rsidR="00AC5E47" w:rsidRDefault="00AC5E47" w:rsidP="00AC5E47">
      <w:pPr>
        <w:spacing w:line="240" w:lineRule="auto"/>
        <w:rPr>
          <w:rFonts w:ascii="Calibri" w:eastAsia="Times New Roman" w:hAnsi="Calibri" w:cs="Times New Roman"/>
          <w:color w:val="000000"/>
          <w:szCs w:val="22"/>
          <w:lang w:eastAsia="en-GB"/>
        </w:rPr>
      </w:pPr>
    </w:p>
    <w:p w:rsidR="00AC5E47" w:rsidRPr="00AC5E47" w:rsidRDefault="00AC5E47" w:rsidP="00AC5E47">
      <w:pPr>
        <w:spacing w:line="240" w:lineRule="auto"/>
        <w:rPr>
          <w:rFonts w:ascii="Calibri" w:eastAsia="Times New Roman" w:hAnsi="Calibri" w:cs="Times New Roman"/>
          <w:color w:val="000000"/>
          <w:szCs w:val="22"/>
          <w:lang w:eastAsia="en-GB"/>
        </w:rPr>
      </w:pPr>
      <w:r>
        <w:rPr>
          <w:rFonts w:ascii="Calibri" w:eastAsia="Times New Roman" w:hAnsi="Calibri" w:cs="Times New Roman"/>
          <w:color w:val="000000"/>
          <w:szCs w:val="22"/>
          <w:lang w:eastAsia="en-GB"/>
        </w:rPr>
        <w:t>In our opinion, a</w:t>
      </w:r>
      <w:r w:rsidRPr="00AC5E47">
        <w:rPr>
          <w:rFonts w:ascii="Calibri" w:eastAsia="Times New Roman" w:hAnsi="Calibri" w:cs="Times New Roman"/>
          <w:color w:val="000000"/>
          <w:szCs w:val="22"/>
          <w:lang w:eastAsia="en-GB"/>
        </w:rPr>
        <w:t xml:space="preserve"> similar consideration is needed for venues. Trading venue would need to require adequate and appropriately skilled human resources for the provision of feeds to multiple CCPs. This is particularly relevant if the product category in the access request is new, i.e. the venue does not provide for trading in that product (bu</w:t>
      </w:r>
      <w:r>
        <w:rPr>
          <w:rFonts w:ascii="Calibri" w:eastAsia="Times New Roman" w:hAnsi="Calibri" w:cs="Times New Roman"/>
          <w:color w:val="000000"/>
          <w:szCs w:val="22"/>
          <w:lang w:eastAsia="en-GB"/>
        </w:rPr>
        <w:t>t the CCP provides for clearing</w:t>
      </w:r>
      <w:r w:rsidRPr="00AC5E47">
        <w:rPr>
          <w:rFonts w:ascii="Calibri" w:eastAsia="Times New Roman" w:hAnsi="Calibri" w:cs="Times New Roman"/>
          <w:color w:val="000000"/>
          <w:szCs w:val="22"/>
          <w:lang w:eastAsia="en-GB"/>
        </w:rPr>
        <w:t>.</w:t>
      </w:r>
    </w:p>
    <w:permEnd w:id="954756568"/>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AE58EB" w:rsidRDefault="00AE58EB" w:rsidP="00AE58EB">
      <w:pPr>
        <w:spacing w:line="240" w:lineRule="auto"/>
        <w:rPr>
          <w:rFonts w:ascii="Calibri" w:eastAsia="Times New Roman" w:hAnsi="Calibri" w:cs="Times New Roman"/>
          <w:color w:val="000000"/>
          <w:szCs w:val="22"/>
          <w:lang w:eastAsia="en-GB"/>
        </w:rPr>
      </w:pPr>
      <w:permStart w:id="1323321997" w:edGrp="everyone"/>
      <w:r>
        <w:rPr>
          <w:rFonts w:ascii="Calibri" w:eastAsia="Times New Roman" w:hAnsi="Calibri" w:cs="Times New Roman"/>
          <w:color w:val="000000"/>
          <w:szCs w:val="22"/>
          <w:lang w:eastAsia="en-GB"/>
        </w:rPr>
        <w:t xml:space="preserve">The </w:t>
      </w:r>
      <w:r w:rsidRPr="00AE58EB">
        <w:rPr>
          <w:rFonts w:ascii="Calibri" w:eastAsia="Times New Roman" w:hAnsi="Calibri" w:cs="Times New Roman"/>
          <w:color w:val="000000"/>
          <w:szCs w:val="22"/>
          <w:lang w:eastAsia="en-GB"/>
        </w:rPr>
        <w:t>WMBA does agree with ESMA’s assessment that the elements of the draft RTS that cover an NCA’s ability to deny access</w:t>
      </w:r>
      <w:r>
        <w:rPr>
          <w:rFonts w:ascii="Calibri" w:eastAsia="Times New Roman" w:hAnsi="Calibri" w:cs="Times New Roman"/>
          <w:color w:val="000000"/>
          <w:szCs w:val="22"/>
          <w:lang w:eastAsia="en-GB"/>
        </w:rPr>
        <w:t>.</w:t>
      </w:r>
    </w:p>
    <w:p w:rsidR="00AE58EB" w:rsidRDefault="00AE58EB" w:rsidP="00AE58EB">
      <w:pPr>
        <w:spacing w:line="240" w:lineRule="auto"/>
        <w:rPr>
          <w:rFonts w:ascii="Calibri" w:eastAsia="Times New Roman" w:hAnsi="Calibri" w:cs="Times New Roman"/>
          <w:color w:val="000000"/>
          <w:szCs w:val="22"/>
          <w:lang w:eastAsia="en-GB"/>
        </w:rPr>
      </w:pPr>
      <w:r w:rsidRPr="00AE58EB">
        <w:rPr>
          <w:rFonts w:ascii="Calibri" w:eastAsia="Times New Roman" w:hAnsi="Calibri" w:cs="Times New Roman"/>
          <w:color w:val="000000"/>
          <w:szCs w:val="22"/>
          <w:lang w:eastAsia="en-GB"/>
        </w:rPr>
        <w:t xml:space="preserve"> </w:t>
      </w:r>
      <w:r w:rsidRPr="00AE58EB">
        <w:rPr>
          <w:rFonts w:ascii="Calibri" w:eastAsia="Times New Roman" w:hAnsi="Calibri" w:cs="Times New Roman"/>
          <w:color w:val="000000"/>
          <w:szCs w:val="22"/>
          <w:lang w:eastAsia="en-GB"/>
        </w:rPr>
        <w:br/>
        <w:t xml:space="preserve">In paragraph 49, we </w:t>
      </w:r>
      <w:r>
        <w:rPr>
          <w:rFonts w:ascii="Calibri" w:eastAsia="Times New Roman" w:hAnsi="Calibri" w:cs="Times New Roman"/>
          <w:color w:val="000000"/>
          <w:szCs w:val="22"/>
          <w:lang w:eastAsia="en-GB"/>
        </w:rPr>
        <w:t xml:space="preserve">would </w:t>
      </w:r>
      <w:r w:rsidRPr="00AE58EB">
        <w:rPr>
          <w:rFonts w:ascii="Calibri" w:eastAsia="Times New Roman" w:hAnsi="Calibri" w:cs="Times New Roman"/>
          <w:color w:val="000000"/>
          <w:szCs w:val="22"/>
          <w:lang w:eastAsia="en-GB"/>
        </w:rPr>
        <w:t>assume that ESMA is referring to a trading venue</w:t>
      </w:r>
      <w:r>
        <w:rPr>
          <w:rFonts w:ascii="Calibri" w:eastAsia="Times New Roman" w:hAnsi="Calibri" w:cs="Times New Roman"/>
          <w:color w:val="000000"/>
          <w:szCs w:val="22"/>
          <w:lang w:eastAsia="en-GB"/>
        </w:rPr>
        <w:t xml:space="preserve"> or a </w:t>
      </w:r>
      <w:r w:rsidRPr="00AE58EB">
        <w:rPr>
          <w:rFonts w:ascii="Calibri" w:eastAsia="Times New Roman" w:hAnsi="Calibri" w:cs="Times New Roman"/>
          <w:color w:val="000000"/>
          <w:szCs w:val="22"/>
          <w:lang w:eastAsia="en-GB"/>
        </w:rPr>
        <w:t>CCP's "</w:t>
      </w:r>
      <w:r w:rsidRPr="00AE58EB">
        <w:rPr>
          <w:rFonts w:ascii="Calibri" w:eastAsia="Times New Roman" w:hAnsi="Calibri" w:cs="Times New Roman"/>
          <w:i/>
          <w:color w:val="000000"/>
          <w:szCs w:val="22"/>
          <w:lang w:eastAsia="en-GB"/>
        </w:rPr>
        <w:t>regulatory</w:t>
      </w:r>
      <w:r w:rsidRPr="00AE58EB">
        <w:rPr>
          <w:rFonts w:ascii="Calibri" w:eastAsia="Times New Roman" w:hAnsi="Calibri" w:cs="Times New Roman"/>
          <w:color w:val="000000"/>
          <w:szCs w:val="22"/>
          <w:lang w:eastAsia="en-GB"/>
        </w:rPr>
        <w:t>" obligations rather than any "</w:t>
      </w:r>
      <w:r w:rsidRPr="00AE58EB">
        <w:rPr>
          <w:rFonts w:ascii="Calibri" w:eastAsia="Times New Roman" w:hAnsi="Calibri" w:cs="Times New Roman"/>
          <w:i/>
          <w:color w:val="000000"/>
          <w:szCs w:val="22"/>
          <w:lang w:eastAsia="en-GB"/>
        </w:rPr>
        <w:t>legal</w:t>
      </w:r>
      <w:r w:rsidRPr="00AE58EB">
        <w:rPr>
          <w:rFonts w:ascii="Calibri" w:eastAsia="Times New Roman" w:hAnsi="Calibri" w:cs="Times New Roman"/>
          <w:color w:val="000000"/>
          <w:szCs w:val="22"/>
          <w:lang w:eastAsia="en-GB"/>
        </w:rPr>
        <w:t>" obligations. Th</w:t>
      </w:r>
      <w:r>
        <w:rPr>
          <w:rFonts w:ascii="Calibri" w:eastAsia="Times New Roman" w:hAnsi="Calibri" w:cs="Times New Roman"/>
          <w:color w:val="000000"/>
          <w:szCs w:val="22"/>
          <w:lang w:eastAsia="en-GB"/>
        </w:rPr>
        <w:t xml:space="preserve">at is, supposing that a trading venue or a </w:t>
      </w:r>
      <w:r w:rsidRPr="00AE58EB">
        <w:rPr>
          <w:rFonts w:ascii="Calibri" w:eastAsia="Times New Roman" w:hAnsi="Calibri" w:cs="Times New Roman"/>
          <w:color w:val="000000"/>
          <w:szCs w:val="22"/>
          <w:lang w:eastAsia="en-GB"/>
        </w:rPr>
        <w:t xml:space="preserve">CCP has a contract with exclusivity? Is that </w:t>
      </w:r>
      <w:r>
        <w:rPr>
          <w:rFonts w:ascii="Calibri" w:eastAsia="Times New Roman" w:hAnsi="Calibri" w:cs="Times New Roman"/>
          <w:color w:val="000000"/>
          <w:szCs w:val="22"/>
          <w:lang w:eastAsia="en-GB"/>
        </w:rPr>
        <w:t xml:space="preserve">then </w:t>
      </w:r>
      <w:r w:rsidRPr="00AE58EB">
        <w:rPr>
          <w:rFonts w:ascii="Calibri" w:eastAsia="Times New Roman" w:hAnsi="Calibri" w:cs="Times New Roman"/>
          <w:color w:val="000000"/>
          <w:szCs w:val="22"/>
          <w:lang w:eastAsia="en-GB"/>
        </w:rPr>
        <w:t>a legal obligation it wouldn't be able to meet when granting access?</w:t>
      </w:r>
    </w:p>
    <w:p w:rsidR="00AE58EB" w:rsidRPr="00AE58EB" w:rsidRDefault="00AE58EB" w:rsidP="00AE58EB">
      <w:pPr>
        <w:spacing w:line="240" w:lineRule="auto"/>
        <w:rPr>
          <w:rFonts w:ascii="Calibri" w:eastAsia="Times New Roman" w:hAnsi="Calibri" w:cs="Times New Roman"/>
          <w:color w:val="000000"/>
          <w:szCs w:val="22"/>
          <w:lang w:eastAsia="en-GB"/>
        </w:rPr>
      </w:pPr>
      <w:r w:rsidRPr="00AE58EB">
        <w:rPr>
          <w:rFonts w:ascii="Calibri" w:eastAsia="Times New Roman" w:hAnsi="Calibri" w:cs="Times New Roman"/>
          <w:color w:val="000000"/>
          <w:szCs w:val="22"/>
          <w:lang w:eastAsia="en-GB"/>
        </w:rPr>
        <w:br/>
        <w:t>Therefore we would endorse the deletion of the term "</w:t>
      </w:r>
      <w:r w:rsidRPr="00AE58EB">
        <w:rPr>
          <w:rFonts w:ascii="Calibri" w:eastAsia="Times New Roman" w:hAnsi="Calibri" w:cs="Times New Roman"/>
          <w:i/>
          <w:color w:val="000000"/>
          <w:szCs w:val="22"/>
          <w:lang w:eastAsia="en-GB"/>
        </w:rPr>
        <w:t>legal</w:t>
      </w:r>
      <w:r w:rsidRPr="00AE58EB">
        <w:rPr>
          <w:rFonts w:ascii="Calibri" w:eastAsia="Times New Roman" w:hAnsi="Calibri" w:cs="Times New Roman"/>
          <w:color w:val="000000"/>
          <w:szCs w:val="22"/>
          <w:lang w:eastAsia="en-GB"/>
        </w:rPr>
        <w:t>" in Article 7 point (a) and replace with the term "</w:t>
      </w:r>
      <w:r w:rsidRPr="00AE58EB">
        <w:rPr>
          <w:rFonts w:ascii="Calibri" w:eastAsia="Times New Roman" w:hAnsi="Calibri" w:cs="Times New Roman"/>
          <w:i/>
          <w:color w:val="000000"/>
          <w:szCs w:val="22"/>
          <w:lang w:eastAsia="en-GB"/>
        </w:rPr>
        <w:t>regulatory</w:t>
      </w:r>
      <w:r w:rsidRPr="00AE58EB">
        <w:rPr>
          <w:rFonts w:ascii="Calibri" w:eastAsia="Times New Roman" w:hAnsi="Calibri" w:cs="Times New Roman"/>
          <w:color w:val="000000"/>
          <w:szCs w:val="22"/>
          <w:lang w:eastAsia="en-GB"/>
        </w:rPr>
        <w:t>".</w:t>
      </w:r>
    </w:p>
    <w:permEnd w:id="1323321997"/>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442D75" w:rsidRPr="00442D75" w:rsidRDefault="00442D75" w:rsidP="00442D75">
      <w:pPr>
        <w:spacing w:line="240" w:lineRule="auto"/>
        <w:rPr>
          <w:rFonts w:ascii="Calibri" w:eastAsia="Times New Roman" w:hAnsi="Calibri" w:cs="Times New Roman"/>
          <w:color w:val="000000"/>
          <w:szCs w:val="22"/>
          <w:lang w:eastAsia="en-GB"/>
        </w:rPr>
      </w:pPr>
      <w:permStart w:id="117914901" w:edGrp="everyone"/>
      <w:r>
        <w:rPr>
          <w:rFonts w:ascii="Calibri" w:eastAsia="Times New Roman" w:hAnsi="Calibri" w:cs="Times New Roman"/>
          <w:color w:val="000000"/>
          <w:szCs w:val="22"/>
          <w:lang w:eastAsia="en-GB"/>
        </w:rPr>
        <w:t xml:space="preserve">The </w:t>
      </w:r>
      <w:r w:rsidRPr="00442D75">
        <w:rPr>
          <w:rFonts w:ascii="Calibri" w:eastAsia="Times New Roman" w:hAnsi="Calibri" w:cs="Times New Roman"/>
          <w:color w:val="000000"/>
          <w:szCs w:val="22"/>
          <w:lang w:eastAsia="en-GB"/>
        </w:rPr>
        <w:t>WMBA does agree with ESMA’s assessment of the draft RTS that cover the conditions under which access is granted.</w:t>
      </w:r>
    </w:p>
    <w:permEnd w:id="117914901"/>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442D75" w:rsidRDefault="00442D75" w:rsidP="00442D75">
      <w:pPr>
        <w:spacing w:line="240" w:lineRule="auto"/>
        <w:rPr>
          <w:rFonts w:ascii="Calibri" w:eastAsia="Times New Roman" w:hAnsi="Calibri" w:cs="Times New Roman"/>
          <w:color w:val="000000"/>
          <w:szCs w:val="22"/>
          <w:lang w:eastAsia="en-GB"/>
        </w:rPr>
      </w:pPr>
      <w:permStart w:id="675628454" w:edGrp="everyone"/>
      <w:r>
        <w:rPr>
          <w:rFonts w:ascii="Calibri" w:eastAsia="Times New Roman" w:hAnsi="Calibri" w:cs="Times New Roman"/>
          <w:color w:val="000000"/>
          <w:szCs w:val="22"/>
          <w:lang w:eastAsia="en-GB"/>
        </w:rPr>
        <w:t xml:space="preserve">The </w:t>
      </w:r>
      <w:r w:rsidRPr="00442D75">
        <w:rPr>
          <w:rFonts w:ascii="Calibri" w:eastAsia="Times New Roman" w:hAnsi="Calibri" w:cs="Times New Roman"/>
          <w:color w:val="000000"/>
          <w:szCs w:val="22"/>
          <w:lang w:eastAsia="en-GB"/>
        </w:rPr>
        <w:t>WMBA does agree with ESMA’s assessment of the elements of the draft RTS that cover fees</w:t>
      </w:r>
      <w:r>
        <w:rPr>
          <w:rFonts w:ascii="Calibri" w:eastAsia="Times New Roman" w:hAnsi="Calibri" w:cs="Times New Roman"/>
          <w:color w:val="000000"/>
          <w:szCs w:val="22"/>
          <w:lang w:eastAsia="en-GB"/>
        </w:rPr>
        <w:t>.</w:t>
      </w:r>
    </w:p>
    <w:p w:rsidR="00442D75" w:rsidRPr="00442D75" w:rsidRDefault="00442D75" w:rsidP="00442D75">
      <w:pPr>
        <w:spacing w:line="240" w:lineRule="auto"/>
        <w:rPr>
          <w:rFonts w:ascii="Calibri" w:eastAsia="Times New Roman" w:hAnsi="Calibri" w:cs="Times New Roman"/>
          <w:color w:val="000000"/>
          <w:szCs w:val="22"/>
          <w:lang w:eastAsia="en-GB"/>
        </w:rPr>
      </w:pPr>
      <w:r w:rsidRPr="00442D75">
        <w:rPr>
          <w:rFonts w:ascii="Calibri" w:eastAsia="Times New Roman" w:hAnsi="Calibri" w:cs="Times New Roman"/>
          <w:color w:val="000000"/>
          <w:szCs w:val="22"/>
          <w:lang w:eastAsia="en-GB"/>
        </w:rPr>
        <w:br/>
        <w:t>Any costs of granting the access request need to be evidenced, justified and reasonable. It is important that different fees for diff</w:t>
      </w:r>
      <w:r>
        <w:rPr>
          <w:rFonts w:ascii="Calibri" w:eastAsia="Times New Roman" w:hAnsi="Calibri" w:cs="Times New Roman"/>
          <w:color w:val="000000"/>
          <w:szCs w:val="22"/>
          <w:lang w:eastAsia="en-GB"/>
        </w:rPr>
        <w:t xml:space="preserve">erent trading venues, </w:t>
      </w:r>
      <w:r w:rsidRPr="00442D75">
        <w:rPr>
          <w:rFonts w:ascii="Calibri" w:eastAsia="Times New Roman" w:hAnsi="Calibri" w:cs="Times New Roman"/>
          <w:color w:val="000000"/>
          <w:szCs w:val="22"/>
          <w:lang w:eastAsia="en-GB"/>
        </w:rPr>
        <w:t>CCPs</w:t>
      </w:r>
      <w:r>
        <w:rPr>
          <w:rFonts w:ascii="Calibri" w:eastAsia="Times New Roman" w:hAnsi="Calibri" w:cs="Times New Roman"/>
          <w:color w:val="000000"/>
          <w:szCs w:val="22"/>
          <w:lang w:eastAsia="en-GB"/>
        </w:rPr>
        <w:t xml:space="preserve"> or</w:t>
      </w:r>
      <w:r w:rsidRPr="00442D75">
        <w:rPr>
          <w:rFonts w:ascii="Calibri" w:eastAsia="Times New Roman" w:hAnsi="Calibri" w:cs="Times New Roman"/>
          <w:color w:val="000000"/>
          <w:szCs w:val="22"/>
          <w:lang w:eastAsia="en-GB"/>
        </w:rPr>
        <w:t xml:space="preserve"> </w:t>
      </w:r>
      <w:r>
        <w:rPr>
          <w:rFonts w:ascii="Calibri" w:eastAsia="Times New Roman" w:hAnsi="Calibri" w:cs="Times New Roman"/>
          <w:color w:val="000000"/>
          <w:szCs w:val="22"/>
          <w:lang w:eastAsia="en-GB"/>
        </w:rPr>
        <w:t>its c</w:t>
      </w:r>
      <w:r w:rsidRPr="00442D75">
        <w:rPr>
          <w:rFonts w:ascii="Calibri" w:eastAsia="Times New Roman" w:hAnsi="Calibri" w:cs="Times New Roman"/>
          <w:color w:val="000000"/>
          <w:szCs w:val="22"/>
          <w:lang w:eastAsia="en-GB"/>
        </w:rPr>
        <w:t xml:space="preserve">learing </w:t>
      </w:r>
      <w:r>
        <w:rPr>
          <w:rFonts w:ascii="Calibri" w:eastAsia="Times New Roman" w:hAnsi="Calibri" w:cs="Times New Roman"/>
          <w:color w:val="000000"/>
          <w:szCs w:val="22"/>
          <w:lang w:eastAsia="en-GB"/>
        </w:rPr>
        <w:t>m</w:t>
      </w:r>
      <w:r w:rsidRPr="00442D75">
        <w:rPr>
          <w:rFonts w:ascii="Calibri" w:eastAsia="Times New Roman" w:hAnsi="Calibri" w:cs="Times New Roman"/>
          <w:color w:val="000000"/>
          <w:szCs w:val="22"/>
          <w:lang w:eastAsia="en-GB"/>
        </w:rPr>
        <w:t>embers are not used to frustrate the benefits of access.</w:t>
      </w:r>
    </w:p>
    <w:permEnd w:id="675628454"/>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442D75" w:rsidRPr="00824D04" w:rsidRDefault="00442D75" w:rsidP="00442D75">
      <w:pPr>
        <w:spacing w:line="240" w:lineRule="auto"/>
        <w:rPr>
          <w:rFonts w:ascii="Calibri" w:eastAsia="Times New Roman" w:hAnsi="Calibri" w:cs="Times New Roman"/>
          <w:color w:val="000000"/>
          <w:szCs w:val="22"/>
          <w:lang w:eastAsia="en-GB"/>
        </w:rPr>
      </w:pPr>
      <w:permStart w:id="1437010802" w:edGrp="everyone"/>
      <w:r w:rsidRPr="00824D04">
        <w:rPr>
          <w:rFonts w:ascii="Calibri" w:eastAsia="Times New Roman" w:hAnsi="Calibri" w:cs="Times New Roman"/>
          <w:color w:val="000000"/>
          <w:szCs w:val="22"/>
          <w:lang w:eastAsia="en-GB"/>
        </w:rPr>
        <w:t>No, WMBA does not agree with ESMA’s proposed draft RTS. ESMA's approach may work to some extent, but there are clearly are better solutions available.</w:t>
      </w:r>
    </w:p>
    <w:p w:rsidR="001C781D" w:rsidRPr="00824D04" w:rsidRDefault="00442D75" w:rsidP="00442D75">
      <w:pPr>
        <w:spacing w:line="240" w:lineRule="auto"/>
        <w:rPr>
          <w:rFonts w:ascii="Calibri" w:eastAsia="Times New Roman" w:hAnsi="Calibri" w:cs="Times New Roman"/>
          <w:color w:val="000000"/>
          <w:szCs w:val="22"/>
          <w:lang w:eastAsia="en-GB"/>
        </w:rPr>
      </w:pPr>
      <w:r w:rsidRPr="00824D04">
        <w:rPr>
          <w:rFonts w:ascii="Calibri" w:eastAsia="Times New Roman" w:hAnsi="Calibri" w:cs="Times New Roman"/>
          <w:color w:val="000000"/>
          <w:szCs w:val="22"/>
          <w:lang w:eastAsia="en-GB"/>
        </w:rPr>
        <w:br/>
        <w:t>We understand that ESMA will require that all contracts cleared by a CCP within a</w:t>
      </w:r>
      <w:r w:rsidR="001C781D" w:rsidRPr="00824D04">
        <w:rPr>
          <w:rFonts w:ascii="Calibri" w:eastAsia="Times New Roman" w:hAnsi="Calibri" w:cs="Times New Roman"/>
          <w:color w:val="000000"/>
          <w:szCs w:val="22"/>
          <w:lang w:eastAsia="en-GB"/>
        </w:rPr>
        <w:t xml:space="preserve"> prescribed</w:t>
      </w:r>
      <w:r w:rsidRPr="00824D04">
        <w:rPr>
          <w:rFonts w:ascii="Calibri" w:eastAsia="Times New Roman" w:hAnsi="Calibri" w:cs="Times New Roman"/>
          <w:color w:val="000000"/>
          <w:szCs w:val="22"/>
          <w:lang w:eastAsia="en-GB"/>
        </w:rPr>
        <w:t xml:space="preserve"> EMIR categorisation for which </w:t>
      </w:r>
      <w:r w:rsidR="001C781D" w:rsidRPr="00824D04">
        <w:rPr>
          <w:rFonts w:ascii="Calibri" w:eastAsia="Times New Roman" w:hAnsi="Calibri" w:cs="Times New Roman"/>
          <w:color w:val="000000"/>
          <w:szCs w:val="22"/>
          <w:lang w:eastAsia="en-GB"/>
        </w:rPr>
        <w:t xml:space="preserve">it </w:t>
      </w:r>
      <w:r w:rsidRPr="00824D04">
        <w:rPr>
          <w:rFonts w:ascii="Calibri" w:eastAsia="Times New Roman" w:hAnsi="Calibri" w:cs="Times New Roman"/>
          <w:color w:val="000000"/>
          <w:szCs w:val="22"/>
          <w:lang w:eastAsia="en-GB"/>
        </w:rPr>
        <w:t>is authorised</w:t>
      </w:r>
      <w:r w:rsidR="001C781D" w:rsidRPr="00824D04">
        <w:rPr>
          <w:rFonts w:ascii="Calibri" w:eastAsia="Times New Roman" w:hAnsi="Calibri" w:cs="Times New Roman"/>
          <w:color w:val="000000"/>
          <w:szCs w:val="22"/>
          <w:lang w:eastAsia="en-GB"/>
        </w:rPr>
        <w:t>,</w:t>
      </w:r>
      <w:r w:rsidRPr="00824D04">
        <w:rPr>
          <w:rFonts w:ascii="Calibri" w:eastAsia="Times New Roman" w:hAnsi="Calibri" w:cs="Times New Roman"/>
          <w:color w:val="000000"/>
          <w:szCs w:val="22"/>
          <w:lang w:eastAsia="en-GB"/>
        </w:rPr>
        <w:t xml:space="preserve"> will be deemed to be economically equivalent, and thus suitable for the same collateral requirements and netting. </w:t>
      </w:r>
      <w:r w:rsidR="001C781D" w:rsidRPr="00824D04">
        <w:rPr>
          <w:rFonts w:ascii="Calibri" w:eastAsia="Times New Roman" w:hAnsi="Calibri" w:cs="Times New Roman"/>
          <w:color w:val="000000"/>
          <w:szCs w:val="22"/>
          <w:lang w:eastAsia="en-GB"/>
        </w:rPr>
        <w:t>However</w:t>
      </w:r>
      <w:r w:rsidRPr="00824D04">
        <w:rPr>
          <w:rFonts w:ascii="Calibri" w:eastAsia="Times New Roman" w:hAnsi="Calibri" w:cs="Times New Roman"/>
          <w:color w:val="000000"/>
          <w:szCs w:val="22"/>
          <w:lang w:eastAsia="en-GB"/>
        </w:rPr>
        <w:t xml:space="preserve"> in </w:t>
      </w:r>
      <w:r w:rsidR="001C781D" w:rsidRPr="00824D04">
        <w:rPr>
          <w:rFonts w:ascii="Calibri" w:eastAsia="Times New Roman" w:hAnsi="Calibri" w:cs="Times New Roman"/>
          <w:color w:val="000000"/>
          <w:szCs w:val="22"/>
          <w:lang w:eastAsia="en-GB"/>
        </w:rPr>
        <w:t>reality</w:t>
      </w:r>
      <w:r w:rsidRPr="00824D04">
        <w:rPr>
          <w:rFonts w:ascii="Calibri" w:eastAsia="Times New Roman" w:hAnsi="Calibri" w:cs="Times New Roman"/>
          <w:color w:val="000000"/>
          <w:szCs w:val="22"/>
          <w:lang w:eastAsia="en-GB"/>
        </w:rPr>
        <w:t xml:space="preserve">, </w:t>
      </w:r>
      <w:r w:rsidR="001C781D" w:rsidRPr="00824D04">
        <w:rPr>
          <w:rFonts w:ascii="Calibri" w:eastAsia="Times New Roman" w:hAnsi="Calibri" w:cs="Times New Roman"/>
          <w:color w:val="000000"/>
          <w:szCs w:val="22"/>
          <w:lang w:eastAsia="en-GB"/>
        </w:rPr>
        <w:t>we believe</w:t>
      </w:r>
      <w:r w:rsidRPr="00824D04">
        <w:rPr>
          <w:rFonts w:ascii="Calibri" w:eastAsia="Times New Roman" w:hAnsi="Calibri" w:cs="Times New Roman"/>
          <w:color w:val="000000"/>
          <w:szCs w:val="22"/>
          <w:lang w:eastAsia="en-GB"/>
        </w:rPr>
        <w:t xml:space="preserve"> that CCPs will use the provisions in Art 12(2) – </w:t>
      </w:r>
      <w:r w:rsidR="001C781D" w:rsidRPr="00824D04">
        <w:rPr>
          <w:rFonts w:ascii="Calibri" w:eastAsia="Times New Roman" w:hAnsi="Calibri" w:cs="Times New Roman"/>
          <w:color w:val="000000"/>
          <w:szCs w:val="22"/>
          <w:lang w:eastAsia="en-GB"/>
        </w:rPr>
        <w:t>which empowers</w:t>
      </w:r>
      <w:r w:rsidRPr="00824D04">
        <w:rPr>
          <w:rFonts w:ascii="Calibri" w:eastAsia="Times New Roman" w:hAnsi="Calibri" w:cs="Times New Roman"/>
          <w:color w:val="000000"/>
          <w:szCs w:val="22"/>
          <w:lang w:eastAsia="en-GB"/>
        </w:rPr>
        <w:t xml:space="preserve"> CCPs </w:t>
      </w:r>
      <w:r w:rsidR="001C781D" w:rsidRPr="00824D04">
        <w:rPr>
          <w:rFonts w:ascii="Calibri" w:eastAsia="Times New Roman" w:hAnsi="Calibri" w:cs="Times New Roman"/>
          <w:color w:val="000000"/>
          <w:szCs w:val="22"/>
          <w:lang w:eastAsia="en-GB"/>
        </w:rPr>
        <w:t>to</w:t>
      </w:r>
      <w:r w:rsidRPr="00824D04">
        <w:rPr>
          <w:rFonts w:ascii="Calibri" w:eastAsia="Times New Roman" w:hAnsi="Calibri" w:cs="Times New Roman"/>
          <w:color w:val="000000"/>
          <w:szCs w:val="22"/>
          <w:lang w:eastAsia="en-GB"/>
        </w:rPr>
        <w:t xml:space="preserve"> exclude such contracts from that netting process (</w:t>
      </w:r>
      <w:r w:rsidRPr="00824D04">
        <w:rPr>
          <w:rFonts w:ascii="Calibri" w:eastAsia="Times New Roman" w:hAnsi="Calibri" w:cs="Times New Roman"/>
          <w:i/>
          <w:color w:val="000000"/>
          <w:szCs w:val="22"/>
          <w:lang w:eastAsia="en-GB"/>
        </w:rPr>
        <w:t>when it considers that the legal or basis risk is not sufficiently mitigated</w:t>
      </w:r>
      <w:r w:rsidRPr="00824D04">
        <w:rPr>
          <w:rFonts w:ascii="Calibri" w:eastAsia="Times New Roman" w:hAnsi="Calibri" w:cs="Times New Roman"/>
          <w:color w:val="000000"/>
          <w:szCs w:val="22"/>
          <w:lang w:eastAsia="en-GB"/>
        </w:rPr>
        <w:t xml:space="preserve">) to narrow down the set of contracts that it nets. </w:t>
      </w:r>
      <w:r w:rsidR="001C781D" w:rsidRPr="00824D04">
        <w:rPr>
          <w:rFonts w:ascii="Calibri" w:eastAsia="Times New Roman" w:hAnsi="Calibri" w:cs="Times New Roman"/>
          <w:color w:val="000000"/>
          <w:szCs w:val="22"/>
          <w:lang w:eastAsia="en-GB"/>
        </w:rPr>
        <w:t xml:space="preserve">This may commonly result in the </w:t>
      </w:r>
      <w:r w:rsidRPr="00824D04">
        <w:rPr>
          <w:rFonts w:ascii="Calibri" w:eastAsia="Times New Roman" w:hAnsi="Calibri" w:cs="Times New Roman"/>
          <w:color w:val="000000"/>
          <w:szCs w:val="22"/>
          <w:lang w:eastAsia="en-GB"/>
        </w:rPr>
        <w:t xml:space="preserve">Risk Committees </w:t>
      </w:r>
      <w:r w:rsidR="001C781D" w:rsidRPr="00824D04">
        <w:rPr>
          <w:rFonts w:ascii="Calibri" w:eastAsia="Times New Roman" w:hAnsi="Calibri" w:cs="Times New Roman"/>
          <w:color w:val="000000"/>
          <w:szCs w:val="22"/>
          <w:lang w:eastAsia="en-GB"/>
        </w:rPr>
        <w:t xml:space="preserve">of the CCP </w:t>
      </w:r>
      <w:r w:rsidRPr="00824D04">
        <w:rPr>
          <w:rFonts w:ascii="Calibri" w:eastAsia="Times New Roman" w:hAnsi="Calibri" w:cs="Times New Roman"/>
          <w:color w:val="000000"/>
          <w:szCs w:val="22"/>
          <w:lang w:eastAsia="en-GB"/>
        </w:rPr>
        <w:t>may be conflicted and the Article 49 procedure may take a while to conclude on the right approach to netting.</w:t>
      </w:r>
    </w:p>
    <w:p w:rsidR="001C781D" w:rsidRPr="00824D04" w:rsidRDefault="00442D75" w:rsidP="00442D75">
      <w:pPr>
        <w:spacing w:line="240" w:lineRule="auto"/>
        <w:rPr>
          <w:rFonts w:ascii="Calibri" w:eastAsia="Times New Roman" w:hAnsi="Calibri" w:cs="Times New Roman"/>
          <w:color w:val="000000"/>
          <w:szCs w:val="22"/>
          <w:lang w:eastAsia="en-GB"/>
        </w:rPr>
      </w:pPr>
      <w:r w:rsidRPr="00824D04">
        <w:rPr>
          <w:rFonts w:ascii="Calibri" w:eastAsia="Times New Roman" w:hAnsi="Calibri" w:cs="Times New Roman"/>
          <w:color w:val="000000"/>
          <w:szCs w:val="22"/>
          <w:lang w:eastAsia="en-GB"/>
        </w:rPr>
        <w:br/>
      </w:r>
      <w:r w:rsidR="001C781D" w:rsidRPr="00824D04">
        <w:rPr>
          <w:rFonts w:ascii="Calibri" w:eastAsia="Times New Roman" w:hAnsi="Calibri" w:cs="Times New Roman"/>
          <w:color w:val="000000"/>
          <w:szCs w:val="22"/>
          <w:lang w:eastAsia="en-GB"/>
        </w:rPr>
        <w:t xml:space="preserve">Further, we think that </w:t>
      </w:r>
      <w:r w:rsidRPr="00824D04">
        <w:rPr>
          <w:rFonts w:ascii="Calibri" w:eastAsia="Times New Roman" w:hAnsi="Calibri" w:cs="Times New Roman"/>
          <w:color w:val="000000"/>
          <w:szCs w:val="22"/>
          <w:lang w:eastAsia="en-GB"/>
        </w:rPr>
        <w:t>"Basis risk" is not a valid reason to exclude a contract from netting - this is not in line with Level 1, which refers to legal risk ("applicable insolvency law" - see Art 35(1)(a))</w:t>
      </w:r>
    </w:p>
    <w:p w:rsidR="001C781D" w:rsidRPr="00824D04" w:rsidRDefault="00442D75" w:rsidP="00442D75">
      <w:pPr>
        <w:spacing w:line="240" w:lineRule="auto"/>
        <w:rPr>
          <w:rFonts w:ascii="Calibri" w:eastAsia="Times New Roman" w:hAnsi="Calibri" w:cs="Times New Roman"/>
          <w:color w:val="000000"/>
          <w:szCs w:val="22"/>
          <w:lang w:eastAsia="en-GB"/>
        </w:rPr>
      </w:pPr>
      <w:r w:rsidRPr="00824D04">
        <w:rPr>
          <w:rFonts w:ascii="Calibri" w:eastAsia="Times New Roman" w:hAnsi="Calibri" w:cs="Times New Roman"/>
          <w:color w:val="000000"/>
          <w:szCs w:val="22"/>
          <w:lang w:eastAsia="en-GB"/>
        </w:rPr>
        <w:br/>
        <w:t>In terms of Costs/ Benefits and disadvantages:</w:t>
      </w:r>
    </w:p>
    <w:p w:rsidR="001C781D" w:rsidRPr="00824D04" w:rsidRDefault="00442D75" w:rsidP="007D55BD">
      <w:pPr>
        <w:pStyle w:val="ListParagraph"/>
        <w:numPr>
          <w:ilvl w:val="0"/>
          <w:numId w:val="33"/>
        </w:numPr>
        <w:rPr>
          <w:rFonts w:eastAsia="Times New Roman"/>
          <w:lang w:eastAsia="en-GB"/>
        </w:rPr>
      </w:pPr>
      <w:r w:rsidRPr="00824D04">
        <w:rPr>
          <w:rFonts w:eastAsia="Times New Roman"/>
          <w:lang w:eastAsia="en-GB"/>
        </w:rPr>
        <w:t>Legal &amp; Compliance costs will rise as CCPs will continuously resort to legal opinions to rule out con</w:t>
      </w:r>
      <w:r w:rsidR="001C781D" w:rsidRPr="00824D04">
        <w:rPr>
          <w:rFonts w:eastAsia="Times New Roman"/>
          <w:lang w:eastAsia="en-GB"/>
        </w:rPr>
        <w:t>tracts from netting procedures.</w:t>
      </w:r>
    </w:p>
    <w:p w:rsidR="001C781D" w:rsidRPr="00824D04" w:rsidRDefault="00442D75" w:rsidP="007D55BD">
      <w:pPr>
        <w:pStyle w:val="ListParagraph"/>
        <w:numPr>
          <w:ilvl w:val="0"/>
          <w:numId w:val="33"/>
        </w:numPr>
        <w:rPr>
          <w:rFonts w:eastAsia="Times New Roman"/>
          <w:lang w:eastAsia="en-GB"/>
        </w:rPr>
      </w:pPr>
      <w:r w:rsidRPr="00824D04">
        <w:rPr>
          <w:rFonts w:eastAsia="Times New Roman"/>
          <w:lang w:eastAsia="en-GB"/>
        </w:rPr>
        <w:t>Lack of harmonisation - different CCPs will apply the provisions differently. There will be no consistency across the EU.</w:t>
      </w:r>
    </w:p>
    <w:p w:rsidR="001C781D" w:rsidRPr="00824D04" w:rsidRDefault="001C781D" w:rsidP="00442D75">
      <w:pPr>
        <w:spacing w:line="240" w:lineRule="auto"/>
        <w:rPr>
          <w:rFonts w:ascii="Calibri" w:eastAsia="Times New Roman" w:hAnsi="Calibri" w:cs="Times New Roman"/>
          <w:color w:val="000000"/>
          <w:szCs w:val="22"/>
          <w:lang w:eastAsia="en-GB"/>
        </w:rPr>
      </w:pPr>
      <w:r w:rsidRPr="00824D04">
        <w:rPr>
          <w:rFonts w:ascii="Calibri" w:eastAsia="Times New Roman" w:hAnsi="Calibri" w:cs="Times New Roman"/>
          <w:color w:val="000000"/>
          <w:szCs w:val="22"/>
          <w:lang w:eastAsia="en-GB"/>
        </w:rPr>
        <w:t xml:space="preserve">Therefore the WMBA would join others in advocating an alternative approach wherein </w:t>
      </w:r>
      <w:r w:rsidR="00442D75" w:rsidRPr="00824D04">
        <w:rPr>
          <w:rFonts w:ascii="Calibri" w:eastAsia="Times New Roman" w:hAnsi="Calibri" w:cs="Times New Roman"/>
          <w:color w:val="000000"/>
          <w:szCs w:val="22"/>
          <w:lang w:eastAsia="en-GB"/>
        </w:rPr>
        <w:t xml:space="preserve">ESMA </w:t>
      </w:r>
      <w:r w:rsidRPr="00824D04">
        <w:rPr>
          <w:rFonts w:ascii="Calibri" w:eastAsia="Times New Roman" w:hAnsi="Calibri" w:cs="Times New Roman"/>
          <w:color w:val="000000"/>
          <w:szCs w:val="22"/>
          <w:lang w:eastAsia="en-GB"/>
        </w:rPr>
        <w:t xml:space="preserve">would </w:t>
      </w:r>
      <w:r w:rsidR="00442D75" w:rsidRPr="00824D04">
        <w:rPr>
          <w:rFonts w:ascii="Calibri" w:eastAsia="Times New Roman" w:hAnsi="Calibri" w:cs="Times New Roman"/>
          <w:color w:val="000000"/>
          <w:szCs w:val="22"/>
          <w:lang w:eastAsia="en-GB"/>
        </w:rPr>
        <w:t xml:space="preserve">establish guidelines in the RTS to determine what netting processes apply and for what type of economically equivalent contracts. </w:t>
      </w:r>
    </w:p>
    <w:permEnd w:id="1437010802"/>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t>&lt;ESMA_QUESTION_CP_MIFID_155&gt;</w:t>
      </w:r>
    </w:p>
    <w:p w:rsidR="00A52126" w:rsidRPr="00A52126" w:rsidRDefault="00A52126" w:rsidP="00A52126">
      <w:pPr>
        <w:spacing w:line="240" w:lineRule="auto"/>
        <w:rPr>
          <w:rFonts w:ascii="Calibri" w:eastAsia="Times New Roman" w:hAnsi="Calibri" w:cs="Times New Roman"/>
          <w:color w:val="000000"/>
          <w:szCs w:val="22"/>
          <w:lang w:eastAsia="en-GB"/>
        </w:rPr>
      </w:pPr>
      <w:permStart w:id="1342325048" w:edGrp="everyone"/>
      <w:r>
        <w:rPr>
          <w:rFonts w:ascii="Calibri" w:eastAsia="Times New Roman" w:hAnsi="Calibri" w:cs="Times New Roman"/>
          <w:color w:val="000000"/>
          <w:szCs w:val="22"/>
          <w:lang w:eastAsia="en-GB"/>
        </w:rPr>
        <w:t xml:space="preserve">The </w:t>
      </w:r>
      <w:r w:rsidRPr="00A52126">
        <w:rPr>
          <w:rFonts w:ascii="Calibri" w:eastAsia="Times New Roman" w:hAnsi="Calibri" w:cs="Times New Roman"/>
          <w:color w:val="000000"/>
          <w:szCs w:val="22"/>
          <w:lang w:eastAsia="en-GB"/>
        </w:rPr>
        <w:t>WMBA agrees with the elements of the draft RTS 24 that cover notification procedures.</w:t>
      </w:r>
    </w:p>
    <w:permEnd w:id="1342325048"/>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A52126" w:rsidRPr="00A52126" w:rsidRDefault="00A52126" w:rsidP="00A52126">
      <w:pPr>
        <w:spacing w:line="240" w:lineRule="auto"/>
        <w:rPr>
          <w:rFonts w:ascii="Calibri" w:eastAsia="Times New Roman" w:hAnsi="Calibri" w:cs="Times New Roman"/>
          <w:color w:val="000000"/>
          <w:szCs w:val="22"/>
          <w:lang w:eastAsia="en-GB"/>
        </w:rPr>
      </w:pPr>
      <w:permStart w:id="1201941544" w:edGrp="everyone"/>
      <w:r>
        <w:rPr>
          <w:rFonts w:ascii="Calibri" w:eastAsia="Times New Roman" w:hAnsi="Calibri" w:cs="Times New Roman"/>
          <w:color w:val="000000"/>
          <w:szCs w:val="22"/>
          <w:lang w:eastAsia="en-GB"/>
        </w:rPr>
        <w:t xml:space="preserve">The </w:t>
      </w:r>
      <w:r w:rsidRPr="00A52126">
        <w:rPr>
          <w:rFonts w:ascii="Calibri" w:eastAsia="Times New Roman" w:hAnsi="Calibri" w:cs="Times New Roman"/>
          <w:color w:val="000000"/>
          <w:szCs w:val="22"/>
          <w:lang w:eastAsia="en-GB"/>
        </w:rPr>
        <w:t>WMBA agrees with the elements of the draft RTS that cover the calculation of notional amount. Specifically the higher value should be used.</w:t>
      </w:r>
    </w:p>
    <w:permEnd w:id="1201941544"/>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A52126" w:rsidRDefault="00A52126" w:rsidP="00A52126">
      <w:pPr>
        <w:spacing w:line="240" w:lineRule="auto"/>
        <w:rPr>
          <w:rFonts w:ascii="Calibri" w:eastAsia="Times New Roman" w:hAnsi="Calibri" w:cs="Times New Roman"/>
          <w:color w:val="000000"/>
          <w:szCs w:val="22"/>
          <w:lang w:eastAsia="en-GB"/>
        </w:rPr>
      </w:pPr>
      <w:permStart w:id="544090411" w:edGrp="everyone"/>
      <w:r>
        <w:rPr>
          <w:rFonts w:ascii="Calibri" w:eastAsia="Times New Roman" w:hAnsi="Calibri" w:cs="Times New Roman"/>
          <w:color w:val="000000"/>
          <w:szCs w:val="22"/>
          <w:lang w:eastAsia="en-GB"/>
        </w:rPr>
        <w:t xml:space="preserve">The </w:t>
      </w:r>
      <w:r w:rsidRPr="00A52126">
        <w:rPr>
          <w:rFonts w:ascii="Calibri" w:eastAsia="Times New Roman" w:hAnsi="Calibri" w:cs="Times New Roman"/>
          <w:color w:val="000000"/>
          <w:szCs w:val="22"/>
          <w:lang w:eastAsia="en-GB"/>
        </w:rPr>
        <w:t xml:space="preserve">WMBA </w:t>
      </w:r>
      <w:r>
        <w:rPr>
          <w:rFonts w:ascii="Calibri" w:eastAsia="Times New Roman" w:hAnsi="Calibri" w:cs="Times New Roman"/>
          <w:color w:val="000000"/>
          <w:szCs w:val="22"/>
          <w:lang w:eastAsia="en-GB"/>
        </w:rPr>
        <w:t xml:space="preserve">does </w:t>
      </w:r>
      <w:r w:rsidRPr="00A52126">
        <w:rPr>
          <w:rFonts w:ascii="Calibri" w:eastAsia="Times New Roman" w:hAnsi="Calibri" w:cs="Times New Roman"/>
          <w:color w:val="000000"/>
          <w:szCs w:val="22"/>
          <w:lang w:eastAsia="en-GB"/>
        </w:rPr>
        <w:t xml:space="preserve">agree with ESMA's approach. </w:t>
      </w:r>
    </w:p>
    <w:p w:rsidR="00A52126" w:rsidRDefault="00A52126" w:rsidP="00A52126">
      <w:pPr>
        <w:spacing w:line="240" w:lineRule="auto"/>
        <w:rPr>
          <w:rFonts w:ascii="Calibri" w:eastAsia="Times New Roman" w:hAnsi="Calibri" w:cs="Times New Roman"/>
          <w:color w:val="000000"/>
          <w:szCs w:val="22"/>
          <w:lang w:eastAsia="en-GB"/>
        </w:rPr>
      </w:pPr>
    </w:p>
    <w:p w:rsidR="003C7425" w:rsidRDefault="00A52126" w:rsidP="00A52126">
      <w:pPr>
        <w:spacing w:line="240" w:lineRule="auto"/>
        <w:rPr>
          <w:rFonts w:ascii="Calibri" w:eastAsia="Times New Roman" w:hAnsi="Calibri" w:cs="Times New Roman"/>
          <w:color w:val="000000"/>
          <w:szCs w:val="22"/>
          <w:lang w:eastAsia="en-GB"/>
        </w:rPr>
      </w:pPr>
      <w:r w:rsidRPr="00A52126">
        <w:rPr>
          <w:rFonts w:ascii="Calibri" w:eastAsia="Times New Roman" w:hAnsi="Calibri" w:cs="Times New Roman"/>
          <w:color w:val="000000"/>
          <w:szCs w:val="22"/>
          <w:lang w:eastAsia="en-GB"/>
        </w:rPr>
        <w:t xml:space="preserve">We do note how difficult it is for trading venues and CCPs to </w:t>
      </w:r>
      <w:r>
        <w:rPr>
          <w:rFonts w:ascii="Calibri" w:eastAsia="Times New Roman" w:hAnsi="Calibri" w:cs="Times New Roman"/>
          <w:color w:val="000000"/>
          <w:szCs w:val="22"/>
          <w:lang w:eastAsia="en-GB"/>
        </w:rPr>
        <w:t>confirm</w:t>
      </w:r>
      <w:r w:rsidRPr="00A52126">
        <w:rPr>
          <w:rFonts w:ascii="Calibri" w:eastAsia="Times New Roman" w:hAnsi="Calibri" w:cs="Times New Roman"/>
          <w:color w:val="000000"/>
          <w:szCs w:val="22"/>
          <w:lang w:eastAsia="en-GB"/>
        </w:rPr>
        <w:t xml:space="preserve"> whether they are being treated in a non-discriminatory manner by the owner of proprietary rights to a benchmark, because price information is not public (</w:t>
      </w:r>
      <w:r>
        <w:rPr>
          <w:rFonts w:ascii="Calibri" w:eastAsia="Times New Roman" w:hAnsi="Calibri" w:cs="Times New Roman"/>
          <w:color w:val="000000"/>
          <w:szCs w:val="22"/>
          <w:lang w:eastAsia="en-GB"/>
        </w:rPr>
        <w:t>as per</w:t>
      </w:r>
      <w:r w:rsidRPr="00A52126">
        <w:rPr>
          <w:rFonts w:ascii="Calibri" w:eastAsia="Times New Roman" w:hAnsi="Calibri" w:cs="Times New Roman"/>
          <w:color w:val="000000"/>
          <w:szCs w:val="22"/>
          <w:lang w:eastAsia="en-GB"/>
        </w:rPr>
        <w:t xml:space="preserve"> Art 20(4-5) of RTS 24). </w:t>
      </w:r>
    </w:p>
    <w:p w:rsidR="003C7425" w:rsidRDefault="003C7425" w:rsidP="00A52126">
      <w:pPr>
        <w:spacing w:line="240" w:lineRule="auto"/>
        <w:rPr>
          <w:rFonts w:ascii="Calibri" w:eastAsia="Times New Roman" w:hAnsi="Calibri" w:cs="Times New Roman"/>
          <w:color w:val="000000"/>
          <w:szCs w:val="22"/>
          <w:lang w:eastAsia="en-GB"/>
        </w:rPr>
      </w:pPr>
    </w:p>
    <w:p w:rsidR="00A52126" w:rsidRDefault="00A52126" w:rsidP="00A52126">
      <w:pPr>
        <w:spacing w:line="240" w:lineRule="auto"/>
        <w:rPr>
          <w:rFonts w:ascii="Calibri" w:eastAsia="Times New Roman" w:hAnsi="Calibri" w:cs="Times New Roman"/>
          <w:color w:val="000000"/>
          <w:szCs w:val="22"/>
          <w:lang w:eastAsia="en-GB"/>
        </w:rPr>
      </w:pPr>
      <w:r w:rsidRPr="00A52126">
        <w:rPr>
          <w:rFonts w:ascii="Calibri" w:eastAsia="Times New Roman" w:hAnsi="Calibri" w:cs="Times New Roman"/>
          <w:color w:val="000000"/>
          <w:szCs w:val="22"/>
          <w:lang w:eastAsia="en-GB"/>
        </w:rPr>
        <w:t xml:space="preserve">In this regard the WMBA would particularly </w:t>
      </w:r>
      <w:r w:rsidR="003C7425">
        <w:rPr>
          <w:rFonts w:ascii="Calibri" w:eastAsia="Times New Roman" w:hAnsi="Calibri" w:cs="Times New Roman"/>
          <w:color w:val="000000"/>
          <w:szCs w:val="22"/>
          <w:lang w:eastAsia="en-GB"/>
        </w:rPr>
        <w:t>offer the case example of</w:t>
      </w:r>
      <w:r w:rsidRPr="00A52126">
        <w:rPr>
          <w:rFonts w:ascii="Calibri" w:eastAsia="Times New Roman" w:hAnsi="Calibri" w:cs="Times New Roman"/>
          <w:color w:val="000000"/>
          <w:szCs w:val="22"/>
          <w:lang w:eastAsia="en-GB"/>
        </w:rPr>
        <w:t xml:space="preserve"> the cost of </w:t>
      </w:r>
      <w:r w:rsidR="003C7425">
        <w:rPr>
          <w:rFonts w:ascii="Calibri" w:eastAsia="Times New Roman" w:hAnsi="Calibri" w:cs="Times New Roman"/>
          <w:color w:val="000000"/>
          <w:szCs w:val="22"/>
          <w:lang w:eastAsia="en-GB"/>
        </w:rPr>
        <w:t>the credit index ‘</w:t>
      </w:r>
      <w:r w:rsidRPr="00A52126">
        <w:rPr>
          <w:rFonts w:ascii="Calibri" w:eastAsia="Times New Roman" w:hAnsi="Calibri" w:cs="Times New Roman"/>
          <w:color w:val="000000"/>
          <w:szCs w:val="22"/>
          <w:lang w:eastAsia="en-GB"/>
        </w:rPr>
        <w:t>ITRAXX</w:t>
      </w:r>
      <w:r w:rsidR="003C7425">
        <w:rPr>
          <w:rFonts w:ascii="Calibri" w:eastAsia="Times New Roman" w:hAnsi="Calibri" w:cs="Times New Roman"/>
          <w:color w:val="000000"/>
          <w:szCs w:val="22"/>
          <w:lang w:eastAsia="en-GB"/>
        </w:rPr>
        <w:t>’</w:t>
      </w:r>
      <w:r w:rsidRPr="00A52126">
        <w:rPr>
          <w:rFonts w:ascii="Calibri" w:eastAsia="Times New Roman" w:hAnsi="Calibri" w:cs="Times New Roman"/>
          <w:color w:val="000000"/>
          <w:szCs w:val="22"/>
          <w:lang w:eastAsia="en-GB"/>
        </w:rPr>
        <w:t xml:space="preserve"> index generation fee's</w:t>
      </w:r>
      <w:r w:rsidR="003C7425">
        <w:rPr>
          <w:rFonts w:ascii="Calibri" w:eastAsia="Times New Roman" w:hAnsi="Calibri" w:cs="Times New Roman"/>
          <w:color w:val="000000"/>
          <w:szCs w:val="22"/>
          <w:lang w:eastAsia="en-GB"/>
        </w:rPr>
        <w:t>;</w:t>
      </w:r>
      <w:r w:rsidRPr="00A52126">
        <w:rPr>
          <w:rFonts w:ascii="Calibri" w:eastAsia="Times New Roman" w:hAnsi="Calibri" w:cs="Times New Roman"/>
          <w:color w:val="000000"/>
          <w:szCs w:val="22"/>
          <w:lang w:eastAsia="en-GB"/>
        </w:rPr>
        <w:t xml:space="preserve"> for which access costs amount to between 5-10% of all execution costs</w:t>
      </w:r>
      <w:r w:rsidR="003C7425">
        <w:rPr>
          <w:rFonts w:ascii="Calibri" w:eastAsia="Times New Roman" w:hAnsi="Calibri" w:cs="Times New Roman"/>
          <w:color w:val="000000"/>
          <w:szCs w:val="22"/>
          <w:lang w:eastAsia="en-GB"/>
        </w:rPr>
        <w:t>. This is, notably</w:t>
      </w:r>
      <w:r w:rsidRPr="00A52126">
        <w:rPr>
          <w:rFonts w:ascii="Calibri" w:eastAsia="Times New Roman" w:hAnsi="Calibri" w:cs="Times New Roman"/>
          <w:color w:val="000000"/>
          <w:szCs w:val="22"/>
          <w:lang w:eastAsia="en-GB"/>
        </w:rPr>
        <w:t xml:space="preserve"> in addition to </w:t>
      </w:r>
      <w:r w:rsidR="003C7425">
        <w:rPr>
          <w:rFonts w:ascii="Calibri" w:eastAsia="Times New Roman" w:hAnsi="Calibri" w:cs="Times New Roman"/>
          <w:color w:val="000000"/>
          <w:szCs w:val="22"/>
          <w:lang w:eastAsia="en-GB"/>
        </w:rPr>
        <w:t xml:space="preserve">the closely related and </w:t>
      </w:r>
      <w:r w:rsidRPr="00A52126">
        <w:rPr>
          <w:rFonts w:ascii="Calibri" w:eastAsia="Times New Roman" w:hAnsi="Calibri" w:cs="Times New Roman"/>
          <w:color w:val="000000"/>
          <w:szCs w:val="22"/>
          <w:lang w:eastAsia="en-GB"/>
        </w:rPr>
        <w:t xml:space="preserve">already substantial </w:t>
      </w:r>
      <w:r w:rsidR="003C7425">
        <w:rPr>
          <w:rFonts w:ascii="Calibri" w:eastAsia="Times New Roman" w:hAnsi="Calibri" w:cs="Times New Roman"/>
          <w:color w:val="000000"/>
          <w:szCs w:val="22"/>
          <w:lang w:eastAsia="en-GB"/>
        </w:rPr>
        <w:t>Markit ‘</w:t>
      </w:r>
      <w:r w:rsidRPr="00A52126">
        <w:rPr>
          <w:rFonts w:ascii="Calibri" w:eastAsia="Times New Roman" w:hAnsi="Calibri" w:cs="Times New Roman"/>
          <w:color w:val="000000"/>
          <w:szCs w:val="22"/>
          <w:lang w:eastAsia="en-GB"/>
        </w:rPr>
        <w:t>RED</w:t>
      </w:r>
      <w:r w:rsidR="003C7425">
        <w:rPr>
          <w:rFonts w:ascii="Calibri" w:eastAsia="Times New Roman" w:hAnsi="Calibri" w:cs="Times New Roman"/>
          <w:color w:val="000000"/>
          <w:szCs w:val="22"/>
          <w:lang w:eastAsia="en-GB"/>
        </w:rPr>
        <w:t xml:space="preserve"> </w:t>
      </w:r>
      <w:r w:rsidRPr="00A52126">
        <w:rPr>
          <w:rFonts w:ascii="Calibri" w:eastAsia="Times New Roman" w:hAnsi="Calibri" w:cs="Times New Roman"/>
          <w:color w:val="000000"/>
          <w:szCs w:val="22"/>
          <w:lang w:eastAsia="en-GB"/>
        </w:rPr>
        <w:t>CODE</w:t>
      </w:r>
      <w:r w:rsidR="003C7425">
        <w:rPr>
          <w:rFonts w:ascii="Calibri" w:eastAsia="Times New Roman" w:hAnsi="Calibri" w:cs="Times New Roman"/>
          <w:color w:val="000000"/>
          <w:szCs w:val="22"/>
          <w:lang w:eastAsia="en-GB"/>
        </w:rPr>
        <w:t>’</w:t>
      </w:r>
      <w:r w:rsidRPr="00A52126">
        <w:rPr>
          <w:rFonts w:ascii="Calibri" w:eastAsia="Times New Roman" w:hAnsi="Calibri" w:cs="Times New Roman"/>
          <w:color w:val="000000"/>
          <w:szCs w:val="22"/>
          <w:lang w:eastAsia="en-GB"/>
        </w:rPr>
        <w:t xml:space="preserve"> costs.</w:t>
      </w:r>
    </w:p>
    <w:p w:rsidR="00E37EE4" w:rsidRDefault="00E37EE4" w:rsidP="00A52126">
      <w:pPr>
        <w:spacing w:line="240" w:lineRule="auto"/>
        <w:rPr>
          <w:rFonts w:ascii="Calibri" w:eastAsia="Times New Roman" w:hAnsi="Calibri" w:cs="Times New Roman"/>
          <w:color w:val="000000"/>
          <w:szCs w:val="22"/>
          <w:lang w:eastAsia="en-GB"/>
        </w:rPr>
      </w:pPr>
    </w:p>
    <w:p w:rsidR="00E37EE4" w:rsidRPr="00A52126" w:rsidRDefault="00E37EE4" w:rsidP="00A52126">
      <w:pPr>
        <w:spacing w:line="240" w:lineRule="auto"/>
        <w:rPr>
          <w:rFonts w:ascii="Calibri" w:eastAsia="Times New Roman" w:hAnsi="Calibri" w:cs="Times New Roman"/>
          <w:color w:val="000000"/>
          <w:szCs w:val="22"/>
          <w:lang w:eastAsia="en-GB"/>
        </w:rPr>
      </w:pPr>
      <w:r>
        <w:rPr>
          <w:rFonts w:ascii="Calibri" w:eastAsia="Times New Roman" w:hAnsi="Calibri" w:cs="Times New Roman"/>
          <w:color w:val="000000"/>
          <w:szCs w:val="22"/>
          <w:lang w:eastAsia="en-GB"/>
        </w:rPr>
        <w:t xml:space="preserve">Rather, the </w:t>
      </w:r>
      <w:r w:rsidRPr="00A52126">
        <w:rPr>
          <w:rFonts w:ascii="Calibri" w:eastAsia="Times New Roman" w:hAnsi="Calibri" w:cs="Times New Roman"/>
          <w:color w:val="000000"/>
          <w:szCs w:val="22"/>
          <w:lang w:eastAsia="en-GB"/>
        </w:rPr>
        <w:t>WMBA</w:t>
      </w:r>
      <w:r w:rsidRPr="00E37EE4">
        <w:rPr>
          <w:rFonts w:ascii="Calibri" w:eastAsia="Times New Roman" w:hAnsi="Calibri" w:cs="Times New Roman"/>
          <w:color w:val="000000"/>
          <w:szCs w:val="22"/>
          <w:lang w:eastAsia="en-GB"/>
        </w:rPr>
        <w:t xml:space="preserve"> believes that the list of information that a CCP or trading venue can request should be finite to reduce the potential administration burden on the benchmark administrator.  </w:t>
      </w:r>
    </w:p>
    <w:permEnd w:id="544090411"/>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3C7425" w:rsidRPr="003C7425" w:rsidRDefault="003C7425" w:rsidP="003C7425">
      <w:pPr>
        <w:spacing w:line="240" w:lineRule="auto"/>
        <w:rPr>
          <w:rFonts w:ascii="Calibri" w:eastAsia="Times New Roman" w:hAnsi="Calibri" w:cs="Times New Roman"/>
          <w:color w:val="000000"/>
          <w:szCs w:val="22"/>
          <w:lang w:eastAsia="en-GB"/>
        </w:rPr>
      </w:pPr>
      <w:permStart w:id="1908494283" w:edGrp="everyone"/>
      <w:r>
        <w:rPr>
          <w:rFonts w:ascii="Calibri" w:eastAsia="Times New Roman" w:hAnsi="Calibri" w:cs="Times New Roman"/>
          <w:color w:val="000000"/>
          <w:szCs w:val="22"/>
          <w:lang w:eastAsia="en-GB"/>
        </w:rPr>
        <w:t xml:space="preserve">The </w:t>
      </w:r>
      <w:r w:rsidRPr="003C7425">
        <w:rPr>
          <w:rFonts w:ascii="Calibri" w:eastAsia="Times New Roman" w:hAnsi="Calibri" w:cs="Times New Roman"/>
          <w:color w:val="000000"/>
          <w:szCs w:val="22"/>
          <w:lang w:eastAsia="en-GB"/>
        </w:rPr>
        <w:t xml:space="preserve">WMBA agrees with ESMA's approach. </w:t>
      </w:r>
    </w:p>
    <w:permEnd w:id="1908494283"/>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3C7425" w:rsidRPr="003C7425" w:rsidRDefault="003C7425" w:rsidP="003C7425">
      <w:pPr>
        <w:spacing w:line="240" w:lineRule="auto"/>
        <w:rPr>
          <w:rFonts w:ascii="Calibri" w:eastAsia="Times New Roman" w:hAnsi="Calibri" w:cs="Times New Roman"/>
          <w:color w:val="000000"/>
          <w:szCs w:val="22"/>
          <w:lang w:eastAsia="en-GB"/>
        </w:rPr>
      </w:pPr>
      <w:permStart w:id="1016222393" w:edGrp="everyone"/>
      <w:r>
        <w:rPr>
          <w:rFonts w:ascii="Calibri" w:eastAsia="Times New Roman" w:hAnsi="Calibri" w:cs="Times New Roman"/>
          <w:color w:val="000000"/>
          <w:szCs w:val="22"/>
          <w:lang w:eastAsia="en-GB"/>
        </w:rPr>
        <w:t xml:space="preserve">The </w:t>
      </w:r>
      <w:r w:rsidRPr="003C7425">
        <w:rPr>
          <w:rFonts w:ascii="Calibri" w:eastAsia="Times New Roman" w:hAnsi="Calibri" w:cs="Times New Roman"/>
          <w:color w:val="000000"/>
          <w:szCs w:val="22"/>
          <w:lang w:eastAsia="en-GB"/>
        </w:rPr>
        <w:t xml:space="preserve">WMBA agrees with ESMA's approach. </w:t>
      </w:r>
      <w:r w:rsidR="00E37EE4">
        <w:rPr>
          <w:rFonts w:ascii="Calibri" w:eastAsia="Times New Roman" w:hAnsi="Calibri" w:cs="Times New Roman"/>
          <w:color w:val="000000"/>
          <w:szCs w:val="22"/>
          <w:lang w:eastAsia="en-GB"/>
        </w:rPr>
        <w:t xml:space="preserve">We </w:t>
      </w:r>
      <w:r w:rsidR="00E37EE4" w:rsidRPr="00E37EE4">
        <w:rPr>
          <w:rFonts w:ascii="Calibri" w:eastAsia="Times New Roman" w:hAnsi="Calibri" w:cs="Times New Roman"/>
          <w:color w:val="000000"/>
          <w:szCs w:val="22"/>
          <w:lang w:eastAsia="en-GB"/>
        </w:rPr>
        <w:t xml:space="preserve">would like </w:t>
      </w:r>
      <w:r w:rsidR="00E37EE4">
        <w:rPr>
          <w:rFonts w:ascii="Calibri" w:eastAsia="Times New Roman" w:hAnsi="Calibri" w:cs="Times New Roman"/>
          <w:color w:val="000000"/>
          <w:szCs w:val="22"/>
          <w:lang w:eastAsia="en-GB"/>
        </w:rPr>
        <w:t xml:space="preserve">also </w:t>
      </w:r>
      <w:r w:rsidR="00E37EE4" w:rsidRPr="00E37EE4">
        <w:rPr>
          <w:rFonts w:ascii="Calibri" w:eastAsia="Times New Roman" w:hAnsi="Calibri" w:cs="Times New Roman"/>
          <w:color w:val="000000"/>
          <w:szCs w:val="22"/>
          <w:lang w:eastAsia="en-GB"/>
        </w:rPr>
        <w:t>clarify that the 30 months grace period cited should be dated from when a benchmark first has a financial product based on it</w:t>
      </w:r>
      <w:r w:rsidR="00E37EE4">
        <w:rPr>
          <w:rFonts w:ascii="Calibri" w:eastAsia="Times New Roman" w:hAnsi="Calibri" w:cs="Times New Roman"/>
          <w:color w:val="000000"/>
          <w:szCs w:val="22"/>
          <w:lang w:eastAsia="en-GB"/>
        </w:rPr>
        <w:t>.</w:t>
      </w:r>
    </w:p>
    <w:permEnd w:id="1016222393"/>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F45F5F" w:rsidRPr="00AD537B" w:rsidRDefault="00F45F5F" w:rsidP="00F45F5F">
      <w:pPr>
        <w:keepNext/>
        <w:rPr>
          <w:rFonts w:ascii="Calibri" w:hAnsi="Calibri"/>
        </w:rPr>
      </w:pPr>
      <w:permStart w:id="1827307290" w:edGrp="everyone"/>
      <w:r w:rsidRPr="00AD537B">
        <w:rPr>
          <w:rFonts w:ascii="Calibri" w:hAnsi="Calibri"/>
        </w:rPr>
        <w:t>The WMBA makes no comment.</w:t>
      </w:r>
    </w:p>
    <w:permEnd w:id="1827307290"/>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F45F5F" w:rsidRPr="00AD537B" w:rsidRDefault="00F45F5F" w:rsidP="00F45F5F">
      <w:pPr>
        <w:keepNext/>
        <w:rPr>
          <w:rFonts w:ascii="Calibri" w:hAnsi="Calibri"/>
        </w:rPr>
      </w:pPr>
      <w:permStart w:id="1202591673" w:edGrp="everyone"/>
      <w:r w:rsidRPr="00AD537B">
        <w:rPr>
          <w:rFonts w:ascii="Calibri" w:hAnsi="Calibri"/>
        </w:rPr>
        <w:t>The WMBA makes no comment.</w:t>
      </w:r>
    </w:p>
    <w:permEnd w:id="1202591673"/>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F45F5F" w:rsidRPr="00AD537B" w:rsidRDefault="00F45F5F" w:rsidP="00F45F5F">
      <w:pPr>
        <w:keepNext/>
        <w:rPr>
          <w:rFonts w:ascii="Calibri" w:hAnsi="Calibri"/>
        </w:rPr>
      </w:pPr>
      <w:permStart w:id="1622348529" w:edGrp="everyone"/>
      <w:r w:rsidRPr="00AD537B">
        <w:rPr>
          <w:rFonts w:ascii="Calibri" w:hAnsi="Calibri"/>
        </w:rPr>
        <w:t>The WMBA makes no comment.</w:t>
      </w:r>
    </w:p>
    <w:permEnd w:id="1622348529"/>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F45F5F" w:rsidRPr="00AD537B" w:rsidRDefault="00F45F5F" w:rsidP="00F45F5F">
      <w:pPr>
        <w:keepNext/>
        <w:rPr>
          <w:rFonts w:ascii="Calibri" w:hAnsi="Calibri"/>
        </w:rPr>
      </w:pPr>
      <w:permStart w:id="900990293" w:edGrp="everyone"/>
      <w:r w:rsidRPr="00AD537B">
        <w:rPr>
          <w:rFonts w:ascii="Calibri" w:hAnsi="Calibri"/>
        </w:rPr>
        <w:t>The WMBA makes no comment.</w:t>
      </w:r>
    </w:p>
    <w:permEnd w:id="900990293"/>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F45F5F" w:rsidRPr="00824D04" w:rsidRDefault="00F45F5F" w:rsidP="00F45F5F">
      <w:pPr>
        <w:spacing w:line="240" w:lineRule="auto"/>
        <w:rPr>
          <w:rFonts w:ascii="Calibri" w:eastAsia="Times New Roman" w:hAnsi="Calibri" w:cs="Times New Roman"/>
          <w:color w:val="000000"/>
          <w:szCs w:val="22"/>
          <w:lang w:eastAsia="en-GB"/>
        </w:rPr>
      </w:pPr>
      <w:permStart w:id="26044175" w:edGrp="everyone"/>
      <w:r w:rsidRPr="00824D04">
        <w:rPr>
          <w:rFonts w:ascii="Calibri" w:eastAsia="Times New Roman" w:hAnsi="Calibri" w:cs="Times New Roman"/>
          <w:color w:val="000000"/>
          <w:szCs w:val="22"/>
          <w:lang w:eastAsia="en-GB"/>
        </w:rPr>
        <w:t xml:space="preserve">No the WMBA does not agree. </w:t>
      </w:r>
    </w:p>
    <w:p w:rsidR="00F45F5F" w:rsidRPr="00824D04" w:rsidRDefault="00F45F5F" w:rsidP="00F45F5F">
      <w:pPr>
        <w:spacing w:line="240" w:lineRule="auto"/>
        <w:rPr>
          <w:rFonts w:ascii="Calibri" w:eastAsia="Times New Roman" w:hAnsi="Calibri" w:cs="Times New Roman"/>
          <w:color w:val="000000"/>
          <w:szCs w:val="22"/>
          <w:lang w:eastAsia="en-GB"/>
        </w:rPr>
      </w:pPr>
      <w:r w:rsidRPr="00824D04">
        <w:rPr>
          <w:rFonts w:ascii="Calibri" w:eastAsia="Times New Roman" w:hAnsi="Calibri" w:cs="Times New Roman"/>
          <w:color w:val="000000"/>
          <w:szCs w:val="22"/>
          <w:lang w:eastAsia="en-GB"/>
        </w:rPr>
        <w:t>The main area to concern the WMBA in this section is the straight copy across of the market making requirements for Regulated Markets (in Article 48 and 49 of MiFID) to MTFs and OTFs.</w:t>
      </w:r>
    </w:p>
    <w:p w:rsidR="00F45F5F" w:rsidRPr="00824D04" w:rsidRDefault="00F45F5F" w:rsidP="00F45F5F">
      <w:pPr>
        <w:spacing w:line="240" w:lineRule="auto"/>
        <w:rPr>
          <w:rFonts w:ascii="Calibri" w:eastAsia="Times New Roman" w:hAnsi="Calibri" w:cs="Times New Roman"/>
          <w:color w:val="000000"/>
          <w:szCs w:val="22"/>
          <w:lang w:eastAsia="en-GB"/>
        </w:rPr>
      </w:pPr>
      <w:r w:rsidRPr="00824D04">
        <w:rPr>
          <w:rFonts w:ascii="Calibri" w:eastAsia="Times New Roman" w:hAnsi="Calibri" w:cs="Times New Roman"/>
          <w:color w:val="000000"/>
          <w:szCs w:val="22"/>
          <w:lang w:eastAsia="en-GB"/>
        </w:rPr>
        <w:br/>
        <w:t>In respect of the other reporting requirements for MTFs the underlying rules and procedures are already current requirements under the FCA rules and hence should not pose a problem for member firm.</w:t>
      </w:r>
      <w:r w:rsidRPr="00824D04">
        <w:rPr>
          <w:rFonts w:ascii="Calibri" w:eastAsia="Times New Roman" w:hAnsi="Calibri" w:cs="Times New Roman"/>
          <w:color w:val="000000"/>
          <w:szCs w:val="22"/>
          <w:lang w:eastAsia="en-GB"/>
        </w:rPr>
        <w:br/>
      </w:r>
      <w:r w:rsidRPr="00824D04">
        <w:rPr>
          <w:rFonts w:ascii="Calibri" w:eastAsia="Times New Roman" w:hAnsi="Calibri" w:cs="Times New Roman"/>
          <w:color w:val="000000"/>
          <w:szCs w:val="22"/>
          <w:lang w:eastAsia="en-GB"/>
        </w:rPr>
        <w:br/>
        <w:t>In respect of the other reporting requirements for OTFs the WMBA would draw attention to the following areas which we do not consider appropriate for voice and hybrid systems:</w:t>
      </w:r>
    </w:p>
    <w:p w:rsidR="00F45F5F" w:rsidRPr="00824D04" w:rsidRDefault="00F45F5F" w:rsidP="007D55BD">
      <w:pPr>
        <w:pStyle w:val="ListParagraph"/>
        <w:rPr>
          <w:rFonts w:eastAsia="Times New Roman"/>
          <w:lang w:eastAsia="en-GB"/>
        </w:rPr>
      </w:pPr>
      <w:r w:rsidRPr="00824D04">
        <w:rPr>
          <w:rFonts w:eastAsia="Times New Roman"/>
          <w:lang w:eastAsia="en-GB"/>
        </w:rPr>
        <w:t>Rules and procedures for making financial instruments available to trade together with details of the publication arrangements used to make that information available to the public (IT 27 Article 2 1 b)</w:t>
      </w:r>
    </w:p>
    <w:p w:rsidR="00F45F5F" w:rsidRPr="00824D04" w:rsidRDefault="00F45F5F" w:rsidP="007D55BD">
      <w:pPr>
        <w:pStyle w:val="ListParagraph"/>
        <w:rPr>
          <w:rFonts w:eastAsia="Times New Roman"/>
          <w:lang w:eastAsia="en-GB"/>
        </w:rPr>
      </w:pPr>
      <w:r w:rsidRPr="00824D04">
        <w:rPr>
          <w:rFonts w:eastAsia="Times New Roman"/>
          <w:lang w:eastAsia="en-GB"/>
        </w:rPr>
        <w:t>Description of arrangements to facilitate the provision of liquidity to the system (IT 27 Article 2 1 f)</w:t>
      </w:r>
    </w:p>
    <w:p w:rsidR="00E37EE4" w:rsidRPr="00824D04" w:rsidRDefault="00E37EE4" w:rsidP="00E37EE4">
      <w:pPr>
        <w:keepNext/>
        <w:rPr>
          <w:rFonts w:ascii="Calibri" w:hAnsi="Calibri"/>
        </w:rPr>
      </w:pPr>
      <w:r w:rsidRPr="00824D04">
        <w:rPr>
          <w:rFonts w:ascii="Calibri" w:hAnsi="Calibri"/>
        </w:rPr>
        <w:t>Since it should be encouraged that each venue would operate with competing methods and operate different markets, a very prescriptive list would result in duplication of information throughout.  For example, a number of the CFTC SEF application exhibits, per the required list, are copies of other exhibits where the information is already provided making the application 1000+ pages.  It should be up to the local NCA to deem what information they need/how prescriptive this list needs to be.</w:t>
      </w:r>
    </w:p>
    <w:p w:rsidR="00E37EE4" w:rsidRPr="00824D04" w:rsidRDefault="00E37EE4" w:rsidP="00E37EE4">
      <w:pPr>
        <w:keepNext/>
        <w:rPr>
          <w:rFonts w:ascii="Calibri" w:hAnsi="Calibri"/>
        </w:rPr>
      </w:pPr>
    </w:p>
    <w:p w:rsidR="00E37EE4" w:rsidRPr="00824D04" w:rsidRDefault="00E37EE4" w:rsidP="00E37EE4">
      <w:pPr>
        <w:keepNext/>
        <w:rPr>
          <w:rFonts w:ascii="Calibri" w:hAnsi="Calibri"/>
        </w:rPr>
      </w:pPr>
      <w:r w:rsidRPr="00824D04">
        <w:rPr>
          <w:rFonts w:ascii="Calibri" w:hAnsi="Calibri"/>
        </w:rPr>
        <w:t>We would also like to highlight the following points:</w:t>
      </w:r>
    </w:p>
    <w:p w:rsidR="00E37EE4" w:rsidRPr="00824D04" w:rsidRDefault="00E37EE4" w:rsidP="00E37EE4">
      <w:pPr>
        <w:keepNext/>
        <w:rPr>
          <w:rFonts w:ascii="Calibri" w:hAnsi="Calibri"/>
        </w:rPr>
      </w:pPr>
    </w:p>
    <w:p w:rsidR="00E37EE4" w:rsidRPr="00824D04" w:rsidRDefault="00E37EE4" w:rsidP="007306CC">
      <w:pPr>
        <w:keepNext/>
        <w:numPr>
          <w:ilvl w:val="0"/>
          <w:numId w:val="34"/>
        </w:numPr>
        <w:rPr>
          <w:rFonts w:ascii="Calibri" w:hAnsi="Calibri"/>
        </w:rPr>
      </w:pPr>
      <w:r w:rsidRPr="00824D04">
        <w:rPr>
          <w:rFonts w:ascii="Calibri" w:hAnsi="Calibri"/>
        </w:rPr>
        <w:t xml:space="preserve">Given the commercial sensitivity of the application, it should be treated confidentially  </w:t>
      </w:r>
    </w:p>
    <w:p w:rsidR="00E37EE4" w:rsidRPr="00824D04" w:rsidRDefault="00E37EE4" w:rsidP="007306CC">
      <w:pPr>
        <w:keepNext/>
        <w:numPr>
          <w:ilvl w:val="0"/>
          <w:numId w:val="34"/>
        </w:numPr>
        <w:rPr>
          <w:rFonts w:ascii="Calibri" w:hAnsi="Calibri"/>
        </w:rPr>
      </w:pPr>
      <w:r w:rsidRPr="00824D04">
        <w:rPr>
          <w:rFonts w:ascii="Calibri" w:hAnsi="Calibri"/>
        </w:rPr>
        <w:t xml:space="preserve">Under Art 2.1k, the venue shall provide a list of participants. It is not clear what ‘participants’ are being referred to here given that, at the point of application, the venue may not have any true participants. </w:t>
      </w:r>
    </w:p>
    <w:p w:rsidR="00E37EE4" w:rsidRPr="00824D04" w:rsidRDefault="00E37EE4" w:rsidP="007306CC">
      <w:pPr>
        <w:keepNext/>
        <w:numPr>
          <w:ilvl w:val="0"/>
          <w:numId w:val="34"/>
        </w:numPr>
        <w:rPr>
          <w:rFonts w:ascii="Calibri" w:hAnsi="Calibri"/>
        </w:rPr>
      </w:pPr>
      <w:r w:rsidRPr="00824D04">
        <w:rPr>
          <w:rFonts w:ascii="Calibri" w:hAnsi="Calibri"/>
        </w:rPr>
        <w:t xml:space="preserve">Art 7. 2 should specify the level of granularity for the tradable asset classes, otherwise the list could become unmanageable. </w:t>
      </w:r>
    </w:p>
    <w:p w:rsidR="00E37EE4" w:rsidRPr="00824D04" w:rsidRDefault="00E37EE4" w:rsidP="00E37EE4">
      <w:pPr>
        <w:keepNext/>
        <w:rPr>
          <w:rFonts w:ascii="Calibri" w:hAnsi="Calibri"/>
        </w:rPr>
      </w:pPr>
    </w:p>
    <w:p w:rsidR="00E37EE4" w:rsidRPr="00824D04" w:rsidRDefault="00E37EE4" w:rsidP="00824D04">
      <w:pPr>
        <w:keepNext/>
        <w:rPr>
          <w:rFonts w:ascii="Calibri" w:eastAsia="Times New Roman" w:hAnsi="Calibri" w:cs="Times New Roman"/>
          <w:color w:val="000000"/>
          <w:szCs w:val="22"/>
          <w:lang w:eastAsia="en-GB"/>
        </w:rPr>
      </w:pPr>
      <w:r w:rsidRPr="00824D04">
        <w:rPr>
          <w:rFonts w:ascii="Calibri" w:hAnsi="Calibri"/>
        </w:rPr>
        <w:t>Another key point is timing of the application. We would request clarification when NCAs expect venues to apply / re-apply for authorisation – especially in light of proposed national implementation guidance in the course of 2016.</w:t>
      </w:r>
    </w:p>
    <w:permEnd w:id="26044175"/>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Pr="00824D04" w:rsidRDefault="00F45F5F" w:rsidP="00EC2C93">
      <w:pPr>
        <w:keepNext/>
        <w:rPr>
          <w:rFonts w:ascii="Calibri" w:hAnsi="Calibri"/>
        </w:rPr>
      </w:pPr>
      <w:permStart w:id="1103108886" w:edGrp="everyone"/>
      <w:r w:rsidRPr="00824D04">
        <w:rPr>
          <w:rFonts w:ascii="Calibri" w:hAnsi="Calibri"/>
        </w:rPr>
        <w:t>Yes, the WMBA agrees on the standardisation of reporting formats.</w:t>
      </w:r>
    </w:p>
    <w:permEnd w:id="1103108886"/>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F45F5F" w:rsidRPr="00824D04" w:rsidRDefault="00F45F5F" w:rsidP="00F45F5F">
      <w:pPr>
        <w:keepNext/>
        <w:rPr>
          <w:rFonts w:ascii="Calibri" w:hAnsi="Calibri"/>
        </w:rPr>
      </w:pPr>
      <w:permStart w:id="1295593870" w:edGrp="everyone"/>
      <w:r w:rsidRPr="00824D04">
        <w:rPr>
          <w:rFonts w:ascii="Calibri" w:hAnsi="Calibri"/>
        </w:rPr>
        <w:t>Yes, the WMBA agrees on the standardisation of reporting formats.</w:t>
      </w:r>
    </w:p>
    <w:permEnd w:id="1295593870"/>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t>&lt;ESMA_QUESTION_CP_MIFID_167&gt;</w:t>
      </w:r>
    </w:p>
    <w:p w:rsidR="00F45F5F" w:rsidRPr="00AD537B" w:rsidRDefault="00F45F5F" w:rsidP="00F45F5F">
      <w:pPr>
        <w:keepNext/>
        <w:rPr>
          <w:rFonts w:ascii="Calibri" w:hAnsi="Calibri"/>
        </w:rPr>
      </w:pPr>
      <w:permStart w:id="1272200140" w:edGrp="everyone"/>
      <w:r w:rsidRPr="00AD537B">
        <w:rPr>
          <w:rFonts w:ascii="Calibri" w:hAnsi="Calibri"/>
        </w:rPr>
        <w:t>The WMBA makes no comment.</w:t>
      </w:r>
    </w:p>
    <w:permEnd w:id="1272200140"/>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926895080" w:edGrp="everyone"/>
      <w:r>
        <w:t>TYPE YOUR TEXT HERE</w:t>
      </w:r>
    </w:p>
    <w:permEnd w:id="926895080"/>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207042683" w:edGrp="everyone"/>
      <w:r>
        <w:t>TYPE YOUR TEXT HERE</w:t>
      </w:r>
    </w:p>
    <w:permEnd w:id="207042683"/>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1049167439" w:edGrp="everyone"/>
      <w:r>
        <w:t>TYPE YOUR TEXT HERE</w:t>
      </w:r>
    </w:p>
    <w:permEnd w:id="1049167439"/>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940524582" w:edGrp="everyone"/>
      <w:r>
        <w:t>TYPE YOUR TEXT HERE</w:t>
      </w:r>
    </w:p>
    <w:permEnd w:id="940524582"/>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962679244" w:edGrp="everyone"/>
      <w:r>
        <w:t>TYPE YOUR TEXT HERE</w:t>
      </w:r>
    </w:p>
    <w:permEnd w:id="962679244"/>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1463943409" w:edGrp="everyone"/>
      <w:r>
        <w:t>TYPE YOUR TEXT HERE</w:t>
      </w:r>
    </w:p>
    <w:permEnd w:id="1463943409"/>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577C33" w:rsidRDefault="00577C33" w:rsidP="00EC2C93">
      <w:pPr>
        <w:keepNext/>
      </w:pPr>
      <w:permStart w:id="310459582" w:edGrp="everyone"/>
      <w:r>
        <w:t>TYPE YOUR TEXT HERE</w:t>
      </w:r>
    </w:p>
    <w:permEnd w:id="310459582"/>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825836001" w:edGrp="everyone"/>
      <w:r>
        <w:t>TYPE YOUR TEXT HERE</w:t>
      </w:r>
    </w:p>
    <w:permEnd w:id="1825836001"/>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E37EE4" w:rsidRPr="00824D04" w:rsidRDefault="00E37EE4" w:rsidP="00EC2C93">
      <w:pPr>
        <w:keepNext/>
        <w:rPr>
          <w:rFonts w:ascii="Calibri" w:hAnsi="Calibri"/>
        </w:rPr>
      </w:pPr>
      <w:permStart w:id="519986195" w:edGrp="everyone"/>
      <w:r w:rsidRPr="00824D04">
        <w:rPr>
          <w:rFonts w:ascii="Calibri" w:hAnsi="Calibri"/>
        </w:rPr>
        <w:t>The WMBA and LEBA do not agree with the proposal to use the gross notional of contracts. We would propose to use ‘lots’ as the appropriate indicator for contracts</w:t>
      </w:r>
    </w:p>
    <w:p w:rsidR="00E37EE4" w:rsidRPr="00824D04" w:rsidRDefault="00E37EE4" w:rsidP="00EC2C93">
      <w:pPr>
        <w:keepNext/>
        <w:rPr>
          <w:rFonts w:ascii="Calibri" w:hAnsi="Calibri"/>
        </w:rPr>
      </w:pPr>
    </w:p>
    <w:p w:rsidR="00824D04" w:rsidRPr="00824D04" w:rsidRDefault="00E37EE4" w:rsidP="00EC2C93">
      <w:pPr>
        <w:keepNext/>
        <w:rPr>
          <w:rFonts w:ascii="Calibri" w:hAnsi="Calibri"/>
        </w:rPr>
      </w:pPr>
      <w:r w:rsidRPr="00824D04">
        <w:rPr>
          <w:rFonts w:ascii="Calibri" w:hAnsi="Calibri"/>
        </w:rPr>
        <w:t xml:space="preserve">To elaborate, should a business be forced to use gross notional as the baseline indicator, when the underlying instruments’ price fluctuates the ratio would also change. </w:t>
      </w:r>
    </w:p>
    <w:permEnd w:id="519986195"/>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1604330550" w:edGrp="everyone"/>
      <w:r>
        <w:t>TYPE YOUR TEXT HERE</w:t>
      </w:r>
    </w:p>
    <w:permEnd w:id="1604330550"/>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E37EE4" w:rsidRPr="00824D04" w:rsidRDefault="00E37EE4" w:rsidP="00DE362E">
      <w:pPr>
        <w:keepNext/>
        <w:rPr>
          <w:rFonts w:ascii="Calibri" w:hAnsi="Calibri"/>
        </w:rPr>
      </w:pPr>
      <w:permStart w:id="721763265" w:edGrp="everyone"/>
      <w:r w:rsidRPr="00824D04">
        <w:rPr>
          <w:rFonts w:ascii="Calibri" w:hAnsi="Calibri"/>
        </w:rPr>
        <w:t xml:space="preserve">No, in the view of the WMBA and LEBA it would be better if freight fell under the commodities section in C6 and C7, and possibly subcategorised further into oil.  </w:t>
      </w:r>
    </w:p>
    <w:p w:rsidR="00E37EE4" w:rsidRPr="00824D04" w:rsidRDefault="00E37EE4" w:rsidP="00DE362E">
      <w:pPr>
        <w:keepNext/>
        <w:rPr>
          <w:rFonts w:ascii="Calibri" w:hAnsi="Calibri"/>
        </w:rPr>
      </w:pPr>
    </w:p>
    <w:p w:rsidR="00E37EE4" w:rsidRPr="00824D04" w:rsidRDefault="00E37EE4" w:rsidP="00DE362E">
      <w:pPr>
        <w:keepNext/>
        <w:rPr>
          <w:rFonts w:ascii="Calibri" w:hAnsi="Calibri"/>
        </w:rPr>
      </w:pPr>
      <w:r w:rsidRPr="00824D04">
        <w:rPr>
          <w:rFonts w:ascii="Calibri" w:hAnsi="Calibri"/>
        </w:rPr>
        <w:t>If freight remains as an asset class of its own, as there are only around 60 players in wet freight, the market is not large enough for companies to trade without breeching the 0.5% threshold. Looking at actual trade data over the last two and a half years, we have calculated that a firm could not even trade the minimum trade size outlined by Dodd Frank (block future minimum clip size) without breaching the threshold. The approach as suggested could thus lead to the closing of the market (at least in the EU).</w:t>
      </w:r>
    </w:p>
    <w:p w:rsidR="00E37EE4" w:rsidRPr="00824D04" w:rsidRDefault="00E37EE4" w:rsidP="00DE362E">
      <w:pPr>
        <w:keepNext/>
        <w:rPr>
          <w:rFonts w:ascii="Calibri" w:hAnsi="Calibri"/>
        </w:rPr>
      </w:pPr>
    </w:p>
    <w:p w:rsidR="00E37EE4" w:rsidRPr="00824D04" w:rsidRDefault="00E37EE4" w:rsidP="00DE362E">
      <w:pPr>
        <w:keepNext/>
        <w:rPr>
          <w:rFonts w:ascii="Calibri" w:hAnsi="Calibri"/>
        </w:rPr>
      </w:pPr>
      <w:r w:rsidRPr="00824D04">
        <w:rPr>
          <w:rFonts w:ascii="Calibri" w:hAnsi="Calibri"/>
        </w:rPr>
        <w:t xml:space="preserve">Our preference to ensure that the freight market can survive and continue to grow, is to reassign our classification with energy commodity products. </w:t>
      </w:r>
    </w:p>
    <w:p w:rsidR="00E37EE4" w:rsidRPr="00824D04" w:rsidRDefault="00E37EE4" w:rsidP="00DE362E">
      <w:pPr>
        <w:keepNext/>
        <w:rPr>
          <w:rFonts w:ascii="Calibri" w:hAnsi="Calibri"/>
        </w:rPr>
      </w:pPr>
    </w:p>
    <w:p w:rsidR="00E37EE4" w:rsidRPr="00824D04" w:rsidRDefault="00E37EE4" w:rsidP="00EC2C93">
      <w:pPr>
        <w:keepNext/>
        <w:rPr>
          <w:rFonts w:ascii="Calibri" w:hAnsi="Calibri"/>
        </w:rPr>
      </w:pPr>
      <w:r w:rsidRPr="00824D04">
        <w:rPr>
          <w:rFonts w:ascii="Calibri" w:hAnsi="Calibri"/>
        </w:rPr>
        <w:t xml:space="preserve">The Wet FFA Market is a place for owners, trading houses, majors and other financial institutions to hedge their exposure, but they cannot do that without someone taking the other side of the trade. As such people need to be able to speculate as no market is ever likely to be perfectly balanced. </w:t>
      </w:r>
    </w:p>
    <w:permEnd w:id="721763265"/>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E37EE4" w:rsidRPr="00824D04" w:rsidRDefault="00E37EE4" w:rsidP="00EC2C93">
      <w:pPr>
        <w:keepNext/>
        <w:rPr>
          <w:rFonts w:ascii="Calibri" w:eastAsiaTheme="minorHAnsi" w:hAnsi="Calibri" w:cs="Times New Roman"/>
          <w:szCs w:val="22"/>
        </w:rPr>
      </w:pPr>
      <w:permStart w:id="671754650" w:edGrp="everyone"/>
      <w:r w:rsidRPr="00824D04">
        <w:rPr>
          <w:rFonts w:ascii="Calibri" w:eastAsiaTheme="minorHAnsi" w:hAnsi="Calibri" w:cs="Times New Roman"/>
          <w:spacing w:val="-1"/>
          <w:szCs w:val="22"/>
        </w:rPr>
        <w:t xml:space="preserve">In defining the threshold for ancillary activities, ESMA should take account of the profile of the market segment in question.  </w:t>
      </w:r>
      <w:r w:rsidRPr="00824D04">
        <w:rPr>
          <w:rFonts w:ascii="Calibri" w:eastAsiaTheme="minorHAnsi" w:hAnsi="Calibri" w:cs="Times New Roman"/>
          <w:szCs w:val="22"/>
        </w:rPr>
        <w:t>In many more regional or specialised commodity products, where very few market participants exist with respect to a contract, trading volumes will naturally be limited. As an example, the relatively small size of certain contract markets (e.g. the freight derivatives market) may mean that a single position could trigger a firm to exceed their ancillary activities thresholds as outlined in response to question 178</w:t>
      </w:r>
    </w:p>
    <w:permEnd w:id="671754650"/>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1258114992" w:edGrp="everyone"/>
      <w:r>
        <w:t>TYPE YOUR TEXT HERE</w:t>
      </w:r>
    </w:p>
    <w:permEnd w:id="1258114992"/>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577C33" w:rsidRDefault="00577C33" w:rsidP="00EC2C93">
      <w:pPr>
        <w:keepNext/>
      </w:pPr>
      <w:permStart w:id="1916144890" w:edGrp="everyone"/>
      <w:r>
        <w:t>TYPE YOUR TEXT HERE</w:t>
      </w:r>
    </w:p>
    <w:permEnd w:id="1916144890"/>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38558769" w:edGrp="everyone"/>
      <w:r>
        <w:t>TYPE YOUR TEXT HERE</w:t>
      </w:r>
    </w:p>
    <w:permEnd w:id="38558769"/>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1979138695" w:edGrp="everyone"/>
      <w:r>
        <w:t>TYPE YOUR TEXT HERE</w:t>
      </w:r>
    </w:p>
    <w:permEnd w:id="1979138695"/>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298877606" w:edGrp="everyone"/>
      <w:r>
        <w:t>TYPE YOUR TEXT HERE</w:t>
      </w:r>
    </w:p>
    <w:permEnd w:id="1298877606"/>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90324835" w:edGrp="everyone"/>
      <w:r>
        <w:t>TYPE YOUR TEXT HERE</w:t>
      </w:r>
    </w:p>
    <w:permEnd w:id="90324835"/>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822489378" w:edGrp="everyone"/>
      <w:r>
        <w:t>TYPE YOUR TEXT HERE</w:t>
      </w:r>
    </w:p>
    <w:permEnd w:id="822489378"/>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116431207" w:edGrp="everyone"/>
      <w:r>
        <w:t>TYPE YOUR TEXT HERE</w:t>
      </w:r>
    </w:p>
    <w:permEnd w:id="1116431207"/>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577C33" w:rsidRDefault="00577C33" w:rsidP="00EC2C93">
      <w:pPr>
        <w:keepNext/>
      </w:pPr>
      <w:permStart w:id="1845562537" w:edGrp="everyone"/>
      <w:r>
        <w:t>TYPE YOUR TEXT HERE</w:t>
      </w:r>
    </w:p>
    <w:permEnd w:id="1845562537"/>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E37EE4" w:rsidRDefault="00E37EE4" w:rsidP="00E37EE4">
      <w:pPr>
        <w:keepNext/>
      </w:pPr>
      <w:permStart w:id="537025165" w:edGrp="everyone"/>
      <w:r>
        <w:t>WMBA and LEBA believe that any position limits should take account of the liquidity profile but also the number of participants and the size of the market in question to ensure that the limits do not damage developing and existing liquidity in these contracts</w:t>
      </w:r>
    </w:p>
    <w:p w:rsidR="00E37EE4" w:rsidRDefault="00E37EE4" w:rsidP="00E37EE4">
      <w:pPr>
        <w:keepNext/>
      </w:pPr>
    </w:p>
    <w:p w:rsidR="00E37EE4" w:rsidRDefault="00E37EE4" w:rsidP="00E37EE4">
      <w:pPr>
        <w:keepNext/>
      </w:pPr>
      <w:r>
        <w:t>In many more regional or specialised commodity products, where very few market participants exist with respect to a contract, liquidity will naturally be limited. Any consideration and/or methodology adopted for new contracts should therefore be extended to existing illiquid contracts.</w:t>
      </w:r>
    </w:p>
    <w:permEnd w:id="537025165"/>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E37EE4" w:rsidP="00EC2C93">
      <w:pPr>
        <w:keepNext/>
      </w:pPr>
      <w:permStart w:id="1327374743" w:edGrp="everyone"/>
      <w:r>
        <w:t>WMBA and LEBA note that the deliverable supply is better suited for calculating positions in the spot month. Beyond that we again recommend a reversion to daily turnover.</w:t>
      </w:r>
    </w:p>
    <w:permEnd w:id="1327374743"/>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593297708" w:edGrp="everyone"/>
      <w:r>
        <w:t>TYPE YOUR TEXT HERE</w:t>
      </w:r>
    </w:p>
    <w:permEnd w:id="593297708"/>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1006919684" w:edGrp="everyone"/>
      <w:r>
        <w:t>TYPE YOUR TEXT HERE</w:t>
      </w:r>
    </w:p>
    <w:permEnd w:id="1006919684"/>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768686261" w:edGrp="everyone"/>
      <w:r>
        <w:t>TYPE YOUR TEXT HERE</w:t>
      </w:r>
    </w:p>
    <w:permEnd w:id="768686261"/>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225206011" w:edGrp="everyone"/>
      <w:r>
        <w:t>TYPE YOUR TEXT HERE</w:t>
      </w:r>
    </w:p>
    <w:permEnd w:id="225206011"/>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E3422E" w:rsidRDefault="00E3422E" w:rsidP="00EC2C93">
      <w:pPr>
        <w:keepNext/>
      </w:pPr>
      <w:permStart w:id="1663117917" w:edGrp="everyone"/>
      <w:r>
        <w:t>The WMBA and LEBA do</w:t>
      </w:r>
      <w:r w:rsidRPr="00E3422E">
        <w:t xml:space="preserve"> not agree that a specified period is a sufficient consideration in determining whether a contract is ‘new’. The liquidity of a given contract should be the determining feature when a contract starts trading. Not until a certain minimum level of liquidity is met, should a contract be treated as ‘new’. </w:t>
      </w:r>
    </w:p>
    <w:permEnd w:id="1663117917"/>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E3422E" w:rsidRDefault="00E3422E" w:rsidP="00EC2C93">
      <w:pPr>
        <w:keepNext/>
      </w:pPr>
      <w:permStart w:id="239284043" w:edGrp="everyone"/>
      <w:r>
        <w:t xml:space="preserve">The WMBA and LEBA would add </w:t>
      </w:r>
      <w:r w:rsidRPr="00E3422E">
        <w:t xml:space="preserve">that the ongoing liquidity of a contract is the appropriate measure </w:t>
      </w:r>
    </w:p>
    <w:permEnd w:id="239284043"/>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1211909062" w:edGrp="everyone"/>
      <w:r>
        <w:t>TYPE YOUR TEXT HERE</w:t>
      </w:r>
    </w:p>
    <w:permEnd w:id="1211909062"/>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433346532" w:edGrp="everyone"/>
      <w:r>
        <w:t>TYPE YOUR TEXT HERE</w:t>
      </w:r>
    </w:p>
    <w:permEnd w:id="433346532"/>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1299389580" w:edGrp="everyone"/>
      <w:r>
        <w:t>TYPE YOUR TEXT HERE</w:t>
      </w:r>
    </w:p>
    <w:permEnd w:id="1299389580"/>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1770549201" w:edGrp="everyone"/>
      <w:r>
        <w:t>TYPE YOUR TEXT HERE</w:t>
      </w:r>
    </w:p>
    <w:permEnd w:id="1770549201"/>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1562468961" w:edGrp="everyone"/>
      <w:r>
        <w:t>TYPE YOUR TEXT HERE</w:t>
      </w:r>
    </w:p>
    <w:permEnd w:id="1562468961"/>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338065876" w:edGrp="everyone"/>
      <w:r>
        <w:t>TYPE YOUR TEXT HERE</w:t>
      </w:r>
    </w:p>
    <w:permEnd w:id="338065876"/>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Default="00577C33" w:rsidP="00EC2C93">
      <w:pPr>
        <w:keepNext/>
      </w:pPr>
      <w:permStart w:id="670837740" w:edGrp="everyone"/>
      <w:r>
        <w:t>TYPE YOUR TEXT HERE</w:t>
      </w:r>
    </w:p>
    <w:permEnd w:id="670837740"/>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1771117398" w:edGrp="everyone"/>
      <w:r>
        <w:t>TYPE YOUR TEXT HERE</w:t>
      </w:r>
    </w:p>
    <w:permEnd w:id="1771117398"/>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386674267" w:edGrp="everyone"/>
      <w:r>
        <w:t>TYPE YOUR TEXT HERE</w:t>
      </w:r>
    </w:p>
    <w:permEnd w:id="386674267"/>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1991469849" w:edGrp="everyone"/>
      <w:r>
        <w:t>TYPE YOUR TEXT HERE</w:t>
      </w:r>
    </w:p>
    <w:permEnd w:id="1991469849"/>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1059092289" w:edGrp="everyone"/>
      <w:r>
        <w:t>TYPE YOUR TEXT HERE</w:t>
      </w:r>
    </w:p>
    <w:permEnd w:id="1059092289"/>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1504737513" w:edGrp="everyone"/>
      <w:r>
        <w:t>TYPE YOUR TEXT HERE</w:t>
      </w:r>
    </w:p>
    <w:permEnd w:id="1504737513"/>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1134722351" w:edGrp="everyone"/>
      <w:r>
        <w:t>TYPE YOUR TEXT HERE</w:t>
      </w:r>
    </w:p>
    <w:permEnd w:id="1134722351"/>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F45F5F" w:rsidRDefault="00F45F5F" w:rsidP="00F45F5F">
      <w:pPr>
        <w:spacing w:line="240" w:lineRule="auto"/>
        <w:rPr>
          <w:rFonts w:ascii="Calibri" w:eastAsia="Times New Roman" w:hAnsi="Calibri" w:cs="Times New Roman"/>
          <w:color w:val="000000"/>
          <w:szCs w:val="22"/>
          <w:lang w:eastAsia="en-GB"/>
        </w:rPr>
      </w:pPr>
      <w:permStart w:id="261643947" w:edGrp="everyone"/>
      <w:r w:rsidRPr="00F45F5F">
        <w:rPr>
          <w:rFonts w:ascii="Calibri" w:eastAsia="Times New Roman" w:hAnsi="Calibri" w:cs="Times New Roman"/>
          <w:color w:val="000000"/>
          <w:szCs w:val="22"/>
          <w:lang w:eastAsia="en-GB"/>
        </w:rPr>
        <w:t>WMBA/LEBA firmly disagrees with the proposed formats of CoT reports as detailed in the annex of the draft ITS. Neither the categories (x axis measures) nor the classes (y-axis measures) exist for commodity derivatives traded and executed on MTFs and OTFs. We therefore would recommend that the approach taken in the reference data reporting is adopted wherein only individual instruments that are included into the specified list are eligible for CoT reports.</w:t>
      </w:r>
    </w:p>
    <w:p w:rsidR="00F45F5F" w:rsidRDefault="00F45F5F" w:rsidP="00F45F5F">
      <w:pPr>
        <w:spacing w:line="240" w:lineRule="auto"/>
        <w:rPr>
          <w:rFonts w:ascii="Calibri" w:eastAsia="Times New Roman" w:hAnsi="Calibri" w:cs="Times New Roman"/>
          <w:color w:val="000000"/>
          <w:szCs w:val="22"/>
          <w:lang w:eastAsia="en-GB"/>
        </w:rPr>
      </w:pPr>
      <w:r w:rsidRPr="00F45F5F">
        <w:rPr>
          <w:rFonts w:ascii="Calibri" w:eastAsia="Times New Roman" w:hAnsi="Calibri" w:cs="Times New Roman"/>
          <w:color w:val="000000"/>
          <w:szCs w:val="22"/>
          <w:lang w:eastAsia="en-GB"/>
        </w:rPr>
        <w:br/>
        <w:t xml:space="preserve">Evidently it is remains clearly both impractical and inefficient that venues should receive position reports from their clients solely for the purpose of onward reporting, this creates exponential duplication as each market participant would send all their own client chain reports to all the venues that they employ across the EU. </w:t>
      </w:r>
    </w:p>
    <w:p w:rsidR="00F45F5F" w:rsidRDefault="00F45F5F" w:rsidP="00F45F5F">
      <w:pPr>
        <w:spacing w:line="240" w:lineRule="auto"/>
        <w:rPr>
          <w:rFonts w:ascii="Calibri" w:eastAsia="Times New Roman" w:hAnsi="Calibri" w:cs="Times New Roman"/>
          <w:color w:val="000000"/>
          <w:szCs w:val="22"/>
          <w:lang w:eastAsia="en-GB"/>
        </w:rPr>
      </w:pPr>
      <w:r w:rsidRPr="00F45F5F">
        <w:rPr>
          <w:rFonts w:ascii="Calibri" w:eastAsia="Times New Roman" w:hAnsi="Calibri" w:cs="Times New Roman"/>
          <w:color w:val="000000"/>
          <w:szCs w:val="22"/>
          <w:lang w:eastAsia="en-GB"/>
        </w:rPr>
        <w:br/>
        <w:t xml:space="preserve">ESMA, as was still very apparent at the Paris open hearing last week, </w:t>
      </w:r>
      <w:r>
        <w:rPr>
          <w:rFonts w:ascii="Calibri" w:eastAsia="Times New Roman" w:hAnsi="Calibri" w:cs="Times New Roman"/>
          <w:color w:val="000000"/>
          <w:szCs w:val="22"/>
          <w:lang w:eastAsia="en-GB"/>
        </w:rPr>
        <w:t>still does not</w:t>
      </w:r>
      <w:r w:rsidRPr="00F45F5F">
        <w:rPr>
          <w:rFonts w:ascii="Calibri" w:eastAsia="Times New Roman" w:hAnsi="Calibri" w:cs="Times New Roman"/>
          <w:color w:val="000000"/>
          <w:szCs w:val="22"/>
          <w:lang w:eastAsia="en-GB"/>
        </w:rPr>
        <w:t xml:space="preserve"> </w:t>
      </w:r>
      <w:r>
        <w:rPr>
          <w:rFonts w:ascii="Calibri" w:eastAsia="Times New Roman" w:hAnsi="Calibri" w:cs="Times New Roman"/>
          <w:color w:val="000000"/>
          <w:szCs w:val="22"/>
          <w:lang w:eastAsia="en-GB"/>
        </w:rPr>
        <w:t>comprehend</w:t>
      </w:r>
      <w:r w:rsidRPr="00F45F5F">
        <w:rPr>
          <w:rFonts w:ascii="Calibri" w:eastAsia="Times New Roman" w:hAnsi="Calibri" w:cs="Times New Roman"/>
          <w:color w:val="000000"/>
          <w:szCs w:val="22"/>
          <w:lang w:eastAsia="en-GB"/>
        </w:rPr>
        <w:t xml:space="preserve"> the difference between venues and siloed exchanges which include CCPs</w:t>
      </w:r>
      <w:r>
        <w:rPr>
          <w:rFonts w:ascii="Calibri" w:eastAsia="Times New Roman" w:hAnsi="Calibri" w:cs="Times New Roman"/>
          <w:color w:val="000000"/>
          <w:szCs w:val="22"/>
          <w:lang w:eastAsia="en-GB"/>
        </w:rPr>
        <w:t xml:space="preserve"> and therefore the post-trade cleared positions</w:t>
      </w:r>
      <w:r w:rsidRPr="00F45F5F">
        <w:rPr>
          <w:rFonts w:ascii="Calibri" w:eastAsia="Times New Roman" w:hAnsi="Calibri" w:cs="Times New Roman"/>
          <w:color w:val="000000"/>
          <w:szCs w:val="22"/>
          <w:lang w:eastAsia="en-GB"/>
        </w:rPr>
        <w:t xml:space="preserve">. ESMA </w:t>
      </w:r>
      <w:r>
        <w:rPr>
          <w:rFonts w:ascii="Calibri" w:eastAsia="Times New Roman" w:hAnsi="Calibri" w:cs="Times New Roman"/>
          <w:color w:val="000000"/>
          <w:szCs w:val="22"/>
          <w:lang w:eastAsia="en-GB"/>
        </w:rPr>
        <w:t>demonstrated that it does not appreciate</w:t>
      </w:r>
      <w:r w:rsidRPr="00F45F5F">
        <w:rPr>
          <w:rFonts w:ascii="Calibri" w:eastAsia="Times New Roman" w:hAnsi="Calibri" w:cs="Times New Roman"/>
          <w:color w:val="000000"/>
          <w:szCs w:val="22"/>
          <w:lang w:eastAsia="en-GB"/>
        </w:rPr>
        <w:t xml:space="preserve"> that only 10% of EU traded energy market volumes are cleared (see Trayport monthly reporting). </w:t>
      </w:r>
    </w:p>
    <w:p w:rsidR="00016A3A" w:rsidRDefault="00016A3A" w:rsidP="00F45F5F">
      <w:pPr>
        <w:spacing w:line="240" w:lineRule="auto"/>
        <w:rPr>
          <w:rFonts w:ascii="Calibri" w:eastAsia="Times New Roman" w:hAnsi="Calibri" w:cs="Times New Roman"/>
          <w:color w:val="000000"/>
          <w:szCs w:val="22"/>
          <w:lang w:eastAsia="en-GB"/>
        </w:rPr>
      </w:pPr>
    </w:p>
    <w:p w:rsidR="00016A3A" w:rsidRDefault="00F45F5F" w:rsidP="00F45F5F">
      <w:pPr>
        <w:spacing w:line="240" w:lineRule="auto"/>
        <w:rPr>
          <w:rFonts w:ascii="Calibri" w:eastAsia="Times New Roman" w:hAnsi="Calibri" w:cs="Times New Roman"/>
          <w:color w:val="000000"/>
          <w:szCs w:val="22"/>
          <w:lang w:eastAsia="en-GB"/>
        </w:rPr>
      </w:pPr>
      <w:r>
        <w:rPr>
          <w:noProof/>
          <w:lang w:eastAsia="en-GB"/>
        </w:rPr>
        <w:drawing>
          <wp:inline distT="0" distB="0" distL="0" distR="0" wp14:anchorId="14666D27" wp14:editId="387633A1">
            <wp:extent cx="5760720" cy="401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4019550"/>
                    </a:xfrm>
                    <a:prstGeom prst="rect">
                      <a:avLst/>
                    </a:prstGeom>
                  </pic:spPr>
                </pic:pic>
              </a:graphicData>
            </a:graphic>
          </wp:inline>
        </w:drawing>
      </w:r>
    </w:p>
    <w:p w:rsidR="00016A3A" w:rsidRDefault="00F45F5F" w:rsidP="00F45F5F">
      <w:pPr>
        <w:spacing w:line="240" w:lineRule="auto"/>
        <w:rPr>
          <w:rFonts w:ascii="Calibri" w:eastAsia="Times New Roman" w:hAnsi="Calibri" w:cs="Times New Roman"/>
          <w:color w:val="000000"/>
          <w:szCs w:val="22"/>
          <w:lang w:eastAsia="en-GB"/>
        </w:rPr>
      </w:pPr>
      <w:r w:rsidRPr="00F45F5F">
        <w:rPr>
          <w:rFonts w:ascii="Calibri" w:eastAsia="Times New Roman" w:hAnsi="Calibri" w:cs="Times New Roman"/>
          <w:color w:val="000000"/>
          <w:szCs w:val="22"/>
          <w:lang w:eastAsia="en-GB"/>
        </w:rPr>
        <w:br/>
        <w:t xml:space="preserve">Rather, </w:t>
      </w:r>
      <w:r w:rsidR="00016A3A">
        <w:rPr>
          <w:rFonts w:ascii="Calibri" w:eastAsia="Times New Roman" w:hAnsi="Calibri" w:cs="Times New Roman"/>
          <w:color w:val="000000"/>
          <w:szCs w:val="22"/>
          <w:lang w:eastAsia="en-GB"/>
        </w:rPr>
        <w:t xml:space="preserve">the </w:t>
      </w:r>
      <w:r w:rsidRPr="00F45F5F">
        <w:rPr>
          <w:rFonts w:ascii="Calibri" w:eastAsia="Times New Roman" w:hAnsi="Calibri" w:cs="Times New Roman"/>
          <w:color w:val="000000"/>
          <w:szCs w:val="22"/>
          <w:lang w:eastAsia="en-GB"/>
        </w:rPr>
        <w:t>WMBA/LEBA recommend that ESMA consider a process akin to that in the US under Dodd Frank where the ‘</w:t>
      </w:r>
      <w:r w:rsidRPr="00F45F5F">
        <w:rPr>
          <w:rFonts w:ascii="Calibri" w:eastAsia="Times New Roman" w:hAnsi="Calibri" w:cs="Times New Roman"/>
          <w:b/>
          <w:i/>
          <w:color w:val="000000"/>
          <w:szCs w:val="22"/>
          <w:lang w:eastAsia="en-GB"/>
        </w:rPr>
        <w:t>Form 40</w:t>
      </w:r>
      <w:r w:rsidRPr="00F45F5F">
        <w:rPr>
          <w:rFonts w:ascii="Calibri" w:eastAsia="Times New Roman" w:hAnsi="Calibri" w:cs="Times New Roman"/>
          <w:color w:val="000000"/>
          <w:szCs w:val="22"/>
          <w:lang w:eastAsia="en-GB"/>
        </w:rPr>
        <w:t xml:space="preserve">’ under the CFTC rules enables the end-client to directly send the relevant information to the CFTC without passing through the chain of intermediaries. This preserves data quality, reduces duplications and protects client confidentiality vis-à-vis the intermediaries therefore removing the conflict with EU data </w:t>
      </w:r>
      <w:r w:rsidR="00016A3A">
        <w:rPr>
          <w:rFonts w:ascii="Calibri" w:eastAsia="Times New Roman" w:hAnsi="Calibri" w:cs="Times New Roman"/>
          <w:color w:val="000000"/>
          <w:szCs w:val="22"/>
          <w:lang w:eastAsia="en-GB"/>
        </w:rPr>
        <w:t>and with national privacy laws.</w:t>
      </w:r>
    </w:p>
    <w:p w:rsidR="00016A3A" w:rsidRDefault="00F45F5F" w:rsidP="00F45F5F">
      <w:pPr>
        <w:spacing w:line="240" w:lineRule="auto"/>
        <w:rPr>
          <w:rFonts w:ascii="Calibri" w:eastAsia="Times New Roman" w:hAnsi="Calibri" w:cs="Times New Roman"/>
          <w:color w:val="000000"/>
          <w:szCs w:val="22"/>
          <w:lang w:eastAsia="en-GB"/>
        </w:rPr>
      </w:pPr>
      <w:r w:rsidRPr="00F45F5F">
        <w:rPr>
          <w:rFonts w:ascii="Calibri" w:eastAsia="Times New Roman" w:hAnsi="Calibri" w:cs="Times New Roman"/>
          <w:color w:val="000000"/>
          <w:szCs w:val="22"/>
          <w:lang w:eastAsia="en-GB"/>
        </w:rPr>
        <w:br/>
        <w:t xml:space="preserve">For CoT reports as mandated by the level 1 text, venues should only report that business that they are direct witnesses to, rather than acting as a </w:t>
      </w:r>
      <w:r w:rsidR="00016A3A" w:rsidRPr="00016A3A">
        <w:rPr>
          <w:rFonts w:ascii="Calibri" w:eastAsia="Times New Roman" w:hAnsi="Calibri" w:cs="Times New Roman"/>
          <w:b/>
          <w:i/>
          <w:color w:val="000000"/>
          <w:szCs w:val="22"/>
          <w:lang w:eastAsia="en-GB"/>
        </w:rPr>
        <w:t>quasi-trade</w:t>
      </w:r>
      <w:r w:rsidRPr="00F45F5F">
        <w:rPr>
          <w:rFonts w:ascii="Calibri" w:eastAsia="Times New Roman" w:hAnsi="Calibri" w:cs="Times New Roman"/>
          <w:b/>
          <w:i/>
          <w:color w:val="000000"/>
          <w:szCs w:val="22"/>
          <w:lang w:eastAsia="en-GB"/>
        </w:rPr>
        <w:t xml:space="preserve"> repository</w:t>
      </w:r>
      <w:r w:rsidRPr="00F45F5F">
        <w:rPr>
          <w:rFonts w:ascii="Calibri" w:eastAsia="Times New Roman" w:hAnsi="Calibri" w:cs="Times New Roman"/>
          <w:color w:val="000000"/>
          <w:szCs w:val="22"/>
          <w:lang w:eastAsia="en-GB"/>
        </w:rPr>
        <w:t xml:space="preserve"> to clients' external risk positions. </w:t>
      </w:r>
      <w:r w:rsidRPr="00F45F5F">
        <w:rPr>
          <w:rFonts w:ascii="Calibri" w:eastAsia="Times New Roman" w:hAnsi="Calibri" w:cs="Times New Roman"/>
          <w:color w:val="000000"/>
          <w:szCs w:val="22"/>
          <w:lang w:eastAsia="en-GB"/>
        </w:rPr>
        <w:br/>
        <w:t xml:space="preserve">For  all MTF and OTF trades there is no concept or quantum for 'open interest', nor is there client categorisation as detailed into 'Investment Firms', 'Investment Funds', 'Other Financial Institutions', 'Commercial Undertakings' or even 'Emission Operators'. </w:t>
      </w:r>
    </w:p>
    <w:p w:rsidR="00016A3A" w:rsidRDefault="00F45F5F" w:rsidP="00F45F5F">
      <w:pPr>
        <w:spacing w:line="240" w:lineRule="auto"/>
        <w:rPr>
          <w:rFonts w:ascii="Calibri" w:eastAsia="Times New Roman" w:hAnsi="Calibri" w:cs="Times New Roman"/>
          <w:color w:val="000000"/>
          <w:szCs w:val="22"/>
          <w:lang w:eastAsia="en-GB"/>
        </w:rPr>
      </w:pPr>
      <w:r w:rsidRPr="00F45F5F">
        <w:rPr>
          <w:rFonts w:ascii="Calibri" w:eastAsia="Times New Roman" w:hAnsi="Calibri" w:cs="Times New Roman"/>
          <w:color w:val="000000"/>
          <w:szCs w:val="22"/>
          <w:lang w:eastAsia="en-GB"/>
        </w:rPr>
        <w:br/>
        <w:t>Further, for packaged transactions and other derivatives there is no notion of long and short, rather the position may be in volat</w:t>
      </w:r>
      <w:r w:rsidR="00016A3A">
        <w:rPr>
          <w:rFonts w:ascii="Calibri" w:eastAsia="Times New Roman" w:hAnsi="Calibri" w:cs="Times New Roman"/>
          <w:color w:val="000000"/>
          <w:szCs w:val="22"/>
          <w:lang w:eastAsia="en-GB"/>
        </w:rPr>
        <w:t>ility, spreads or correlations.</w:t>
      </w:r>
    </w:p>
    <w:p w:rsidR="00F45F5F" w:rsidRPr="00F45F5F" w:rsidRDefault="00F45F5F" w:rsidP="00F45F5F">
      <w:pPr>
        <w:spacing w:line="240" w:lineRule="auto"/>
        <w:rPr>
          <w:rFonts w:ascii="Calibri" w:eastAsia="Times New Roman" w:hAnsi="Calibri" w:cs="Times New Roman"/>
          <w:color w:val="000000"/>
          <w:szCs w:val="22"/>
          <w:lang w:eastAsia="en-GB"/>
        </w:rPr>
      </w:pPr>
      <w:r w:rsidRPr="00F45F5F">
        <w:rPr>
          <w:rFonts w:ascii="Calibri" w:eastAsia="Times New Roman" w:hAnsi="Calibri" w:cs="Times New Roman"/>
          <w:color w:val="000000"/>
          <w:szCs w:val="22"/>
          <w:lang w:eastAsia="en-GB"/>
        </w:rPr>
        <w:br/>
        <w:t xml:space="preserve">Trade repositories already exist in the EU; the point of asking trade venues to duplicate this appears to us to be simply bizarre. The venue s are able to collect and therefore to report flow data only. </w:t>
      </w:r>
      <w:r w:rsidRPr="00F45F5F">
        <w:rPr>
          <w:rFonts w:ascii="Calibri" w:eastAsia="Times New Roman" w:hAnsi="Calibri" w:cs="Times New Roman"/>
          <w:color w:val="000000"/>
          <w:szCs w:val="22"/>
          <w:lang w:eastAsia="en-GB"/>
        </w:rPr>
        <w:br/>
        <w:t>Therefore, any venue should aggregate the flows executed on its own venue in each financial instrument, or class thereof, on a weekly basis per customer.</w:t>
      </w:r>
    </w:p>
    <w:permEnd w:id="261643947"/>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016A3A" w:rsidRDefault="00016A3A" w:rsidP="00016A3A">
      <w:pPr>
        <w:spacing w:line="240" w:lineRule="auto"/>
        <w:rPr>
          <w:rFonts w:ascii="Calibri" w:eastAsia="Times New Roman" w:hAnsi="Calibri" w:cs="Times New Roman"/>
          <w:color w:val="000000"/>
          <w:szCs w:val="22"/>
          <w:lang w:eastAsia="en-GB"/>
        </w:rPr>
      </w:pPr>
      <w:permStart w:id="421096535" w:edGrp="everyone"/>
      <w:r>
        <w:rPr>
          <w:rFonts w:ascii="Calibri" w:eastAsia="Times New Roman" w:hAnsi="Calibri" w:cs="Times New Roman"/>
          <w:color w:val="000000"/>
          <w:szCs w:val="22"/>
          <w:lang w:eastAsia="en-GB"/>
        </w:rPr>
        <w:t xml:space="preserve">The WMBA and </w:t>
      </w:r>
      <w:r w:rsidRPr="00016A3A">
        <w:rPr>
          <w:rFonts w:ascii="Calibri" w:eastAsia="Times New Roman" w:hAnsi="Calibri" w:cs="Times New Roman"/>
          <w:color w:val="000000"/>
          <w:szCs w:val="22"/>
          <w:lang w:eastAsia="en-GB"/>
        </w:rPr>
        <w:t xml:space="preserve">LEBA </w:t>
      </w:r>
      <w:r>
        <w:rPr>
          <w:rFonts w:ascii="Calibri" w:eastAsia="Times New Roman" w:hAnsi="Calibri" w:cs="Times New Roman"/>
          <w:color w:val="000000"/>
          <w:szCs w:val="22"/>
          <w:lang w:eastAsia="en-GB"/>
        </w:rPr>
        <w:t>firmly disagree</w:t>
      </w:r>
      <w:r w:rsidRPr="00016A3A">
        <w:rPr>
          <w:rFonts w:ascii="Calibri" w:eastAsia="Times New Roman" w:hAnsi="Calibri" w:cs="Times New Roman"/>
          <w:color w:val="000000"/>
          <w:szCs w:val="22"/>
          <w:lang w:eastAsia="en-GB"/>
        </w:rPr>
        <w:t xml:space="preserve"> with the proposed formats of </w:t>
      </w:r>
      <w:r>
        <w:rPr>
          <w:rFonts w:ascii="Calibri" w:eastAsia="Times New Roman" w:hAnsi="Calibri" w:cs="Times New Roman"/>
          <w:color w:val="000000"/>
          <w:szCs w:val="22"/>
          <w:lang w:eastAsia="en-GB"/>
        </w:rPr>
        <w:t>‘</w:t>
      </w:r>
      <w:r w:rsidRPr="00016A3A">
        <w:rPr>
          <w:rFonts w:ascii="Calibri" w:eastAsia="Times New Roman" w:hAnsi="Calibri" w:cs="Times New Roman"/>
          <w:i/>
          <w:color w:val="000000"/>
          <w:szCs w:val="22"/>
          <w:lang w:eastAsia="en-GB"/>
        </w:rPr>
        <w:t>Daily Position Reports</w:t>
      </w:r>
      <w:r>
        <w:rPr>
          <w:rFonts w:ascii="Calibri" w:eastAsia="Times New Roman" w:hAnsi="Calibri" w:cs="Times New Roman"/>
          <w:color w:val="000000"/>
          <w:szCs w:val="22"/>
          <w:lang w:eastAsia="en-GB"/>
        </w:rPr>
        <w:t>’</w:t>
      </w:r>
      <w:r w:rsidRPr="00016A3A">
        <w:rPr>
          <w:rFonts w:ascii="Calibri" w:eastAsia="Times New Roman" w:hAnsi="Calibri" w:cs="Times New Roman"/>
          <w:color w:val="000000"/>
          <w:szCs w:val="22"/>
          <w:lang w:eastAsia="en-GB"/>
        </w:rPr>
        <w:t xml:space="preserve"> as detailed in the annex of the draft ITS. </w:t>
      </w:r>
      <w:r>
        <w:rPr>
          <w:rFonts w:ascii="Calibri" w:eastAsia="Times New Roman" w:hAnsi="Calibri" w:cs="Times New Roman"/>
          <w:color w:val="000000"/>
          <w:szCs w:val="22"/>
          <w:lang w:eastAsia="en-GB"/>
        </w:rPr>
        <w:t>This is specifically because n</w:t>
      </w:r>
      <w:r w:rsidRPr="00016A3A">
        <w:rPr>
          <w:rFonts w:ascii="Calibri" w:eastAsia="Times New Roman" w:hAnsi="Calibri" w:cs="Times New Roman"/>
          <w:color w:val="000000"/>
          <w:szCs w:val="22"/>
          <w:lang w:eastAsia="en-GB"/>
        </w:rPr>
        <w:t xml:space="preserve">either the categories (x axis measures) nor the classes (y-axis measures) exist for commodity derivatives traded and executed on MTFs and OTFs. </w:t>
      </w:r>
    </w:p>
    <w:p w:rsidR="00016A3A" w:rsidRDefault="00016A3A" w:rsidP="00016A3A">
      <w:pPr>
        <w:spacing w:line="240" w:lineRule="auto"/>
        <w:rPr>
          <w:rFonts w:ascii="Calibri" w:eastAsia="Times New Roman" w:hAnsi="Calibri" w:cs="Times New Roman"/>
          <w:color w:val="000000"/>
          <w:szCs w:val="22"/>
          <w:lang w:eastAsia="en-GB"/>
        </w:rPr>
      </w:pPr>
    </w:p>
    <w:p w:rsidR="00016A3A" w:rsidRDefault="00016A3A" w:rsidP="00016A3A">
      <w:pPr>
        <w:spacing w:line="240" w:lineRule="auto"/>
        <w:rPr>
          <w:rFonts w:ascii="Calibri" w:eastAsia="Times New Roman" w:hAnsi="Calibri" w:cs="Times New Roman"/>
          <w:color w:val="000000"/>
          <w:szCs w:val="22"/>
          <w:lang w:eastAsia="en-GB"/>
        </w:rPr>
      </w:pPr>
      <w:r w:rsidRPr="00016A3A">
        <w:rPr>
          <w:rFonts w:ascii="Calibri" w:eastAsia="Times New Roman" w:hAnsi="Calibri" w:cs="Times New Roman"/>
          <w:color w:val="000000"/>
          <w:szCs w:val="22"/>
          <w:lang w:eastAsia="en-GB"/>
        </w:rPr>
        <w:t>We therefore would recommend that the approach taken in the reference data reporting is adopted wherein only individual instruments that are included into the specified list are eligible for CoT reports.</w:t>
      </w:r>
    </w:p>
    <w:p w:rsidR="00016A3A" w:rsidRDefault="00016A3A" w:rsidP="00016A3A">
      <w:pPr>
        <w:spacing w:line="240" w:lineRule="auto"/>
        <w:rPr>
          <w:rFonts w:ascii="Calibri" w:eastAsia="Times New Roman" w:hAnsi="Calibri" w:cs="Times New Roman"/>
          <w:color w:val="000000"/>
          <w:szCs w:val="22"/>
          <w:lang w:eastAsia="en-GB"/>
        </w:rPr>
      </w:pPr>
      <w:r w:rsidRPr="00016A3A">
        <w:rPr>
          <w:rFonts w:ascii="Calibri" w:eastAsia="Times New Roman" w:hAnsi="Calibri" w:cs="Times New Roman"/>
          <w:color w:val="000000"/>
          <w:szCs w:val="22"/>
          <w:lang w:eastAsia="en-GB"/>
        </w:rPr>
        <w:br/>
        <w:t>Article 58 of MiFID2 states that venues should:</w:t>
      </w:r>
    </w:p>
    <w:p w:rsidR="00016A3A" w:rsidRPr="00016A3A" w:rsidRDefault="00016A3A" w:rsidP="00016A3A">
      <w:pPr>
        <w:spacing w:line="240" w:lineRule="auto"/>
        <w:ind w:left="708"/>
        <w:rPr>
          <w:rFonts w:ascii="Calibri" w:eastAsia="Times New Roman" w:hAnsi="Calibri" w:cs="Times New Roman"/>
          <w:i/>
          <w:color w:val="000000"/>
          <w:szCs w:val="22"/>
          <w:lang w:eastAsia="en-GB"/>
        </w:rPr>
      </w:pPr>
      <w:r w:rsidRPr="00016A3A">
        <w:rPr>
          <w:rFonts w:ascii="Calibri" w:eastAsia="Times New Roman" w:hAnsi="Calibri" w:cs="Times New Roman"/>
          <w:i/>
          <w:color w:val="000000"/>
          <w:szCs w:val="22"/>
          <w:lang w:eastAsia="en-GB"/>
        </w:rPr>
        <w:t xml:space="preserve"> ‘provide the competent authority with a complete breakdown of the positions held by all persons, including the members or participants and the clients thereof, on that trading venue, at least on a daily basis.‘</w:t>
      </w:r>
    </w:p>
    <w:p w:rsidR="00016A3A" w:rsidRDefault="00016A3A" w:rsidP="00016A3A">
      <w:pPr>
        <w:spacing w:line="240" w:lineRule="auto"/>
        <w:rPr>
          <w:rFonts w:ascii="Calibri" w:eastAsia="Times New Roman" w:hAnsi="Calibri" w:cs="Times New Roman"/>
          <w:color w:val="000000"/>
          <w:szCs w:val="22"/>
          <w:lang w:eastAsia="en-GB"/>
        </w:rPr>
      </w:pPr>
      <w:r w:rsidRPr="00016A3A">
        <w:rPr>
          <w:rFonts w:ascii="Calibri" w:eastAsia="Times New Roman" w:hAnsi="Calibri" w:cs="Times New Roman"/>
          <w:color w:val="000000"/>
          <w:szCs w:val="22"/>
          <w:lang w:eastAsia="en-GB"/>
        </w:rPr>
        <w:br/>
      </w:r>
      <w:r>
        <w:rPr>
          <w:rFonts w:ascii="Calibri" w:eastAsia="Times New Roman" w:hAnsi="Calibri" w:cs="Times New Roman"/>
          <w:color w:val="000000"/>
          <w:szCs w:val="22"/>
          <w:lang w:eastAsia="en-GB"/>
        </w:rPr>
        <w:t xml:space="preserve">The WMBA and </w:t>
      </w:r>
      <w:r w:rsidRPr="00016A3A">
        <w:rPr>
          <w:rFonts w:ascii="Calibri" w:eastAsia="Times New Roman" w:hAnsi="Calibri" w:cs="Times New Roman"/>
          <w:color w:val="000000"/>
          <w:szCs w:val="22"/>
          <w:lang w:eastAsia="en-GB"/>
        </w:rPr>
        <w:t>LEBA note that neither MTFs nor OTFs actually “</w:t>
      </w:r>
      <w:r w:rsidRPr="00016A3A">
        <w:rPr>
          <w:rFonts w:ascii="Calibri" w:eastAsia="Times New Roman" w:hAnsi="Calibri" w:cs="Times New Roman"/>
          <w:b/>
          <w:i/>
          <w:color w:val="000000"/>
          <w:szCs w:val="22"/>
          <w:lang w:eastAsia="en-GB"/>
        </w:rPr>
        <w:t>hold positions on that trading venue</w:t>
      </w:r>
      <w:r w:rsidRPr="00016A3A">
        <w:rPr>
          <w:rFonts w:ascii="Calibri" w:eastAsia="Times New Roman" w:hAnsi="Calibri" w:cs="Times New Roman"/>
          <w:color w:val="000000"/>
          <w:szCs w:val="22"/>
          <w:lang w:eastAsia="en-GB"/>
        </w:rPr>
        <w:t xml:space="preserve">”. </w:t>
      </w:r>
    </w:p>
    <w:p w:rsidR="00016A3A" w:rsidRDefault="00016A3A" w:rsidP="00016A3A">
      <w:pPr>
        <w:spacing w:line="240" w:lineRule="auto"/>
        <w:rPr>
          <w:rFonts w:ascii="Calibri" w:eastAsia="Times New Roman" w:hAnsi="Calibri" w:cs="Times New Roman"/>
          <w:color w:val="000000"/>
          <w:szCs w:val="22"/>
          <w:lang w:eastAsia="en-GB"/>
        </w:rPr>
      </w:pPr>
      <w:r w:rsidRPr="00016A3A">
        <w:rPr>
          <w:rFonts w:ascii="Calibri" w:eastAsia="Times New Roman" w:hAnsi="Calibri" w:cs="Times New Roman"/>
          <w:color w:val="000000"/>
          <w:szCs w:val="22"/>
          <w:lang w:eastAsia="en-GB"/>
        </w:rPr>
        <w:br/>
        <w:t>Therefore we would ask that ESMA clarify that the daily position reports do not apply to all MiFID venues, but rather only to RMs where the position is cleared into CCP within the vertical silo or into an equivalent tied warehouse.</w:t>
      </w:r>
    </w:p>
    <w:p w:rsidR="00016A3A" w:rsidRDefault="00016A3A" w:rsidP="00016A3A">
      <w:pPr>
        <w:spacing w:line="240" w:lineRule="auto"/>
        <w:rPr>
          <w:rFonts w:ascii="Calibri" w:eastAsia="Times New Roman" w:hAnsi="Calibri" w:cs="Times New Roman"/>
          <w:color w:val="000000"/>
          <w:szCs w:val="22"/>
          <w:lang w:eastAsia="en-GB"/>
        </w:rPr>
      </w:pPr>
      <w:r w:rsidRPr="00016A3A">
        <w:rPr>
          <w:rFonts w:ascii="Calibri" w:eastAsia="Times New Roman" w:hAnsi="Calibri" w:cs="Times New Roman"/>
          <w:color w:val="000000"/>
          <w:szCs w:val="22"/>
          <w:lang w:eastAsia="en-GB"/>
        </w:rPr>
        <w:br/>
        <w:t>Evidently it is remains clearly both impractical and inefficient that venues should receive position reports from their clients solely for the purpose of onward reporting, this creates exponential duplication as each market participant would send all their own client chain reports to all the venues that they employ across the EU.</w:t>
      </w:r>
    </w:p>
    <w:p w:rsidR="00016A3A" w:rsidRDefault="00016A3A" w:rsidP="00016A3A">
      <w:pPr>
        <w:spacing w:line="240" w:lineRule="auto"/>
        <w:rPr>
          <w:rFonts w:ascii="Calibri" w:eastAsia="Times New Roman" w:hAnsi="Calibri" w:cs="Times New Roman"/>
          <w:color w:val="000000"/>
          <w:szCs w:val="22"/>
          <w:lang w:eastAsia="en-GB"/>
        </w:rPr>
      </w:pPr>
      <w:r w:rsidRPr="00016A3A">
        <w:rPr>
          <w:rFonts w:ascii="Calibri" w:eastAsia="Times New Roman" w:hAnsi="Calibri" w:cs="Times New Roman"/>
          <w:color w:val="000000"/>
          <w:szCs w:val="22"/>
          <w:lang w:eastAsia="en-GB"/>
        </w:rPr>
        <w:br/>
        <w:t xml:space="preserve">ESMA, as was still very apparent at the Paris open hearing last week, fail to understand the difference between venues and siloed exchanges which include CCPs. ESMA also fail to understand that only 10% of EU traded energy market volumes are cleared (see Trayport monthly reporting). </w:t>
      </w:r>
    </w:p>
    <w:p w:rsidR="00016A3A" w:rsidRDefault="00016A3A" w:rsidP="00016A3A">
      <w:pPr>
        <w:spacing w:line="240" w:lineRule="auto"/>
        <w:rPr>
          <w:rFonts w:ascii="Calibri" w:eastAsia="Times New Roman" w:hAnsi="Calibri" w:cs="Times New Roman"/>
          <w:color w:val="000000"/>
          <w:szCs w:val="22"/>
          <w:lang w:eastAsia="en-GB"/>
        </w:rPr>
      </w:pPr>
    </w:p>
    <w:p w:rsidR="00016A3A" w:rsidRDefault="00016A3A" w:rsidP="00016A3A">
      <w:pPr>
        <w:spacing w:line="240" w:lineRule="auto"/>
        <w:rPr>
          <w:rFonts w:ascii="Calibri" w:eastAsia="Times New Roman" w:hAnsi="Calibri" w:cs="Times New Roman"/>
          <w:color w:val="000000"/>
          <w:szCs w:val="22"/>
          <w:lang w:eastAsia="en-GB"/>
        </w:rPr>
      </w:pPr>
      <w:r>
        <w:rPr>
          <w:noProof/>
          <w:lang w:eastAsia="en-GB"/>
        </w:rPr>
        <w:drawing>
          <wp:inline distT="0" distB="0" distL="0" distR="0" wp14:anchorId="29A785C0" wp14:editId="1AC2DD8F">
            <wp:extent cx="5760720" cy="401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4019550"/>
                    </a:xfrm>
                    <a:prstGeom prst="rect">
                      <a:avLst/>
                    </a:prstGeom>
                  </pic:spPr>
                </pic:pic>
              </a:graphicData>
            </a:graphic>
          </wp:inline>
        </w:drawing>
      </w:r>
    </w:p>
    <w:p w:rsidR="00016A3A" w:rsidRPr="00016A3A" w:rsidRDefault="00016A3A" w:rsidP="00016A3A">
      <w:pPr>
        <w:spacing w:line="240" w:lineRule="auto"/>
        <w:rPr>
          <w:rFonts w:ascii="Calibri" w:eastAsia="Times New Roman" w:hAnsi="Calibri" w:cs="Times New Roman"/>
          <w:color w:val="000000"/>
          <w:szCs w:val="22"/>
          <w:lang w:eastAsia="en-GB"/>
        </w:rPr>
      </w:pPr>
    </w:p>
    <w:permEnd w:id="421096535"/>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016A3A" w:rsidRDefault="00016A3A" w:rsidP="00016A3A">
      <w:pPr>
        <w:spacing w:line="240" w:lineRule="auto"/>
        <w:rPr>
          <w:rFonts w:ascii="Calibri" w:eastAsia="Times New Roman" w:hAnsi="Calibri" w:cs="Times New Roman"/>
          <w:color w:val="000000"/>
          <w:szCs w:val="22"/>
          <w:lang w:eastAsia="en-GB"/>
        </w:rPr>
      </w:pPr>
      <w:permStart w:id="477763875" w:edGrp="everyone"/>
      <w:r w:rsidRPr="00016A3A">
        <w:rPr>
          <w:rFonts w:ascii="Calibri" w:eastAsia="Times New Roman" w:hAnsi="Calibri" w:cs="Times New Roman"/>
          <w:color w:val="000000"/>
          <w:szCs w:val="22"/>
          <w:lang w:eastAsia="en-GB"/>
        </w:rPr>
        <w:t xml:space="preserve">Evidently it is remains clearly outlandish </w:t>
      </w:r>
      <w:r>
        <w:rPr>
          <w:rFonts w:ascii="Calibri" w:eastAsia="Times New Roman" w:hAnsi="Calibri" w:cs="Times New Roman"/>
          <w:color w:val="000000"/>
          <w:szCs w:val="22"/>
          <w:lang w:eastAsia="en-GB"/>
        </w:rPr>
        <w:t xml:space="preserve">and unreasonable to all parties </w:t>
      </w:r>
      <w:r w:rsidRPr="00016A3A">
        <w:rPr>
          <w:rFonts w:ascii="Calibri" w:eastAsia="Times New Roman" w:hAnsi="Calibri" w:cs="Times New Roman"/>
          <w:color w:val="000000"/>
          <w:szCs w:val="22"/>
          <w:lang w:eastAsia="en-GB"/>
        </w:rPr>
        <w:t xml:space="preserve">that venues </w:t>
      </w:r>
      <w:r>
        <w:rPr>
          <w:rFonts w:ascii="Calibri" w:eastAsia="Times New Roman" w:hAnsi="Calibri" w:cs="Times New Roman"/>
          <w:color w:val="000000"/>
          <w:szCs w:val="22"/>
          <w:lang w:eastAsia="en-GB"/>
        </w:rPr>
        <w:t xml:space="preserve">(that is all the venues used by any counterparty) </w:t>
      </w:r>
      <w:r w:rsidRPr="00016A3A">
        <w:rPr>
          <w:rFonts w:ascii="Calibri" w:eastAsia="Times New Roman" w:hAnsi="Calibri" w:cs="Times New Roman"/>
          <w:color w:val="000000"/>
          <w:szCs w:val="22"/>
          <w:lang w:eastAsia="en-GB"/>
        </w:rPr>
        <w:t xml:space="preserve">should receive position reports from </w:t>
      </w:r>
      <w:r>
        <w:rPr>
          <w:rFonts w:ascii="Calibri" w:eastAsia="Times New Roman" w:hAnsi="Calibri" w:cs="Times New Roman"/>
          <w:color w:val="000000"/>
          <w:szCs w:val="22"/>
          <w:lang w:eastAsia="en-GB"/>
        </w:rPr>
        <w:t xml:space="preserve">each of </w:t>
      </w:r>
      <w:r w:rsidRPr="00016A3A">
        <w:rPr>
          <w:rFonts w:ascii="Calibri" w:eastAsia="Times New Roman" w:hAnsi="Calibri" w:cs="Times New Roman"/>
          <w:color w:val="000000"/>
          <w:szCs w:val="22"/>
          <w:lang w:eastAsia="en-GB"/>
        </w:rPr>
        <w:t xml:space="preserve">their clients </w:t>
      </w:r>
      <w:r>
        <w:rPr>
          <w:rFonts w:ascii="Calibri" w:eastAsia="Times New Roman" w:hAnsi="Calibri" w:cs="Times New Roman"/>
          <w:color w:val="000000"/>
          <w:szCs w:val="22"/>
          <w:lang w:eastAsia="en-GB"/>
        </w:rPr>
        <w:t xml:space="preserve">(and the backward client chain) </w:t>
      </w:r>
      <w:r w:rsidRPr="00016A3A">
        <w:rPr>
          <w:rFonts w:ascii="Calibri" w:eastAsia="Times New Roman" w:hAnsi="Calibri" w:cs="Times New Roman"/>
          <w:color w:val="000000"/>
          <w:szCs w:val="22"/>
          <w:lang w:eastAsia="en-GB"/>
        </w:rPr>
        <w:t xml:space="preserve">solely for the purpose of onward reporting, this creates exponential duplication as each market participant would send all their own </w:t>
      </w:r>
      <w:r>
        <w:rPr>
          <w:rFonts w:ascii="Calibri" w:eastAsia="Times New Roman" w:hAnsi="Calibri" w:cs="Times New Roman"/>
          <w:color w:val="000000"/>
          <w:szCs w:val="22"/>
          <w:lang w:eastAsia="en-GB"/>
        </w:rPr>
        <w:t xml:space="preserve">positions plus all their </w:t>
      </w:r>
      <w:r w:rsidRPr="00016A3A">
        <w:rPr>
          <w:rFonts w:ascii="Calibri" w:eastAsia="Times New Roman" w:hAnsi="Calibri" w:cs="Times New Roman"/>
          <w:color w:val="000000"/>
          <w:szCs w:val="22"/>
          <w:lang w:eastAsia="en-GB"/>
        </w:rPr>
        <w:t>client</w:t>
      </w:r>
      <w:r>
        <w:rPr>
          <w:rFonts w:ascii="Calibri" w:eastAsia="Times New Roman" w:hAnsi="Calibri" w:cs="Times New Roman"/>
          <w:color w:val="000000"/>
          <w:szCs w:val="22"/>
          <w:lang w:eastAsia="en-GB"/>
        </w:rPr>
        <w:t>s’</w:t>
      </w:r>
      <w:r w:rsidRPr="00016A3A">
        <w:rPr>
          <w:rFonts w:ascii="Calibri" w:eastAsia="Times New Roman" w:hAnsi="Calibri" w:cs="Times New Roman"/>
          <w:color w:val="000000"/>
          <w:szCs w:val="22"/>
          <w:lang w:eastAsia="en-GB"/>
        </w:rPr>
        <w:t xml:space="preserve"> reports to all </w:t>
      </w:r>
      <w:r>
        <w:rPr>
          <w:rFonts w:ascii="Calibri" w:eastAsia="Times New Roman" w:hAnsi="Calibri" w:cs="Times New Roman"/>
          <w:color w:val="000000"/>
          <w:szCs w:val="22"/>
          <w:lang w:eastAsia="en-GB"/>
        </w:rPr>
        <w:t xml:space="preserve">and each of </w:t>
      </w:r>
      <w:r w:rsidRPr="00016A3A">
        <w:rPr>
          <w:rFonts w:ascii="Calibri" w:eastAsia="Times New Roman" w:hAnsi="Calibri" w:cs="Times New Roman"/>
          <w:color w:val="000000"/>
          <w:szCs w:val="22"/>
          <w:lang w:eastAsia="en-GB"/>
        </w:rPr>
        <w:t xml:space="preserve">the venues that they </w:t>
      </w:r>
      <w:r>
        <w:rPr>
          <w:rFonts w:ascii="Calibri" w:eastAsia="Times New Roman" w:hAnsi="Calibri" w:cs="Times New Roman"/>
          <w:color w:val="000000"/>
          <w:szCs w:val="22"/>
          <w:lang w:eastAsia="en-GB"/>
        </w:rPr>
        <w:t>utilise</w:t>
      </w:r>
      <w:r w:rsidRPr="00016A3A">
        <w:rPr>
          <w:rFonts w:ascii="Calibri" w:eastAsia="Times New Roman" w:hAnsi="Calibri" w:cs="Times New Roman"/>
          <w:color w:val="000000"/>
          <w:szCs w:val="22"/>
          <w:lang w:eastAsia="en-GB"/>
        </w:rPr>
        <w:t xml:space="preserve"> across the EU. </w:t>
      </w:r>
    </w:p>
    <w:p w:rsidR="001133D1" w:rsidRDefault="00016A3A" w:rsidP="001133D1">
      <w:pPr>
        <w:spacing w:line="240" w:lineRule="auto"/>
        <w:rPr>
          <w:rFonts w:ascii="Calibri" w:eastAsia="Times New Roman" w:hAnsi="Calibri" w:cs="Times New Roman"/>
          <w:color w:val="000000"/>
          <w:szCs w:val="22"/>
          <w:lang w:eastAsia="en-GB"/>
        </w:rPr>
      </w:pPr>
      <w:r w:rsidRPr="00016A3A">
        <w:rPr>
          <w:rFonts w:ascii="Calibri" w:eastAsia="Times New Roman" w:hAnsi="Calibri" w:cs="Times New Roman"/>
          <w:color w:val="000000"/>
          <w:szCs w:val="22"/>
          <w:lang w:eastAsia="en-GB"/>
        </w:rPr>
        <w:br/>
      </w:r>
      <w:r w:rsidR="00E3422E" w:rsidRPr="00E3422E">
        <w:rPr>
          <w:rFonts w:ascii="Calibri" w:eastAsia="Times New Roman" w:hAnsi="Calibri" w:cs="Times New Roman"/>
          <w:color w:val="000000"/>
          <w:szCs w:val="22"/>
          <w:lang w:eastAsia="en-GB"/>
        </w:rPr>
        <w:t>In order to avoid issues of data protection and confidentiality, we w</w:t>
      </w:r>
      <w:r w:rsidR="00E3422E">
        <w:rPr>
          <w:rFonts w:ascii="Calibri" w:eastAsia="Times New Roman" w:hAnsi="Calibri" w:cs="Times New Roman"/>
          <w:color w:val="000000"/>
          <w:szCs w:val="22"/>
          <w:lang w:eastAsia="en-GB"/>
        </w:rPr>
        <w:t>ould propose that participants and their</w:t>
      </w:r>
      <w:r w:rsidR="00E3422E" w:rsidRPr="00E3422E">
        <w:rPr>
          <w:rFonts w:ascii="Calibri" w:eastAsia="Times New Roman" w:hAnsi="Calibri" w:cs="Times New Roman"/>
          <w:color w:val="000000"/>
          <w:szCs w:val="22"/>
          <w:lang w:eastAsia="en-GB"/>
        </w:rPr>
        <w:t xml:space="preserve"> clients can report their positions themselves. </w:t>
      </w:r>
      <w:r w:rsidR="001133D1" w:rsidRPr="00016A3A">
        <w:rPr>
          <w:rFonts w:ascii="Calibri" w:eastAsia="Times New Roman" w:hAnsi="Calibri" w:cs="Times New Roman"/>
          <w:color w:val="000000"/>
          <w:szCs w:val="22"/>
          <w:lang w:eastAsia="en-GB"/>
        </w:rPr>
        <w:t xml:space="preserve">ESMA, as was still very apparent at the Paris open hearing last week, fail to understand the difference between venues and siloed exchanges which include CCPs. ESMA also fail to understand that only 10% of EU traded energy market volumes are cleared (see Trayport monthly reporting). </w:t>
      </w:r>
    </w:p>
    <w:p w:rsidR="001133D1" w:rsidRDefault="00016A3A" w:rsidP="00016A3A">
      <w:pPr>
        <w:spacing w:line="240" w:lineRule="auto"/>
        <w:rPr>
          <w:rFonts w:ascii="Calibri" w:eastAsia="Times New Roman" w:hAnsi="Calibri" w:cs="Times New Roman"/>
          <w:color w:val="000000"/>
          <w:szCs w:val="22"/>
          <w:lang w:eastAsia="en-GB"/>
        </w:rPr>
      </w:pPr>
      <w:r w:rsidRPr="00016A3A">
        <w:rPr>
          <w:rFonts w:ascii="Calibri" w:eastAsia="Times New Roman" w:hAnsi="Calibri" w:cs="Times New Roman"/>
          <w:color w:val="000000"/>
          <w:szCs w:val="22"/>
          <w:lang w:eastAsia="en-GB"/>
        </w:rPr>
        <w:br/>
        <w:t xml:space="preserve">Rather, WMBA/LEBA recommend that ESMA consider a process akin to that in the US under Dodd Frank where the ‘Form 40’ under the CFTC rules enables the end-client to directly send the relevant information to the CFTC without passing through the chain of intermediaries. This preserves data quality, reduces duplications and protects client confidentiality vis-à-vis the intermediaries therefore removing the conflict with EU data </w:t>
      </w:r>
      <w:r w:rsidR="001133D1">
        <w:rPr>
          <w:rFonts w:ascii="Calibri" w:eastAsia="Times New Roman" w:hAnsi="Calibri" w:cs="Times New Roman"/>
          <w:color w:val="000000"/>
          <w:szCs w:val="22"/>
          <w:lang w:eastAsia="en-GB"/>
        </w:rPr>
        <w:t>and with national privacy laws.</w:t>
      </w:r>
    </w:p>
    <w:p w:rsidR="001133D1" w:rsidRDefault="00016A3A" w:rsidP="00016A3A">
      <w:pPr>
        <w:spacing w:line="240" w:lineRule="auto"/>
        <w:rPr>
          <w:rFonts w:ascii="Calibri" w:eastAsia="Times New Roman" w:hAnsi="Calibri" w:cs="Times New Roman"/>
          <w:color w:val="000000"/>
          <w:szCs w:val="22"/>
          <w:lang w:eastAsia="en-GB"/>
        </w:rPr>
      </w:pPr>
      <w:r w:rsidRPr="00016A3A">
        <w:rPr>
          <w:rFonts w:ascii="Calibri" w:eastAsia="Times New Roman" w:hAnsi="Calibri" w:cs="Times New Roman"/>
          <w:color w:val="000000"/>
          <w:szCs w:val="22"/>
          <w:lang w:eastAsia="en-GB"/>
        </w:rPr>
        <w:br/>
      </w:r>
      <w:r w:rsidR="001133D1">
        <w:rPr>
          <w:rFonts w:ascii="Calibri" w:eastAsia="Times New Roman" w:hAnsi="Calibri" w:cs="Times New Roman"/>
          <w:color w:val="000000"/>
          <w:szCs w:val="22"/>
          <w:lang w:eastAsia="en-GB"/>
        </w:rPr>
        <w:t>The WMBA and LEBA also note</w:t>
      </w:r>
      <w:r w:rsidRPr="00016A3A">
        <w:rPr>
          <w:rFonts w:ascii="Calibri" w:eastAsia="Times New Roman" w:hAnsi="Calibri" w:cs="Times New Roman"/>
          <w:color w:val="000000"/>
          <w:szCs w:val="22"/>
          <w:lang w:eastAsia="en-GB"/>
        </w:rPr>
        <w:t xml:space="preserve"> that venues would not be able to delineate between hedges [risk reducing] and [exempt] intercompany trades. It is also unclear how chains of back-to-back contracts should be treated by a receiving venue. In addition, </w:t>
      </w:r>
      <w:r w:rsidR="001133D1" w:rsidRPr="00016A3A">
        <w:rPr>
          <w:rFonts w:ascii="Calibri" w:eastAsia="Times New Roman" w:hAnsi="Calibri" w:cs="Times New Roman"/>
          <w:color w:val="000000"/>
          <w:szCs w:val="22"/>
          <w:lang w:eastAsia="en-GB"/>
        </w:rPr>
        <w:t>it</w:t>
      </w:r>
      <w:r w:rsidRPr="00016A3A">
        <w:rPr>
          <w:rFonts w:ascii="Calibri" w:eastAsia="Times New Roman" w:hAnsi="Calibri" w:cs="Times New Roman"/>
          <w:color w:val="000000"/>
          <w:szCs w:val="22"/>
          <w:lang w:eastAsia="en-GB"/>
        </w:rPr>
        <w:t xml:space="preserve"> is </w:t>
      </w:r>
      <w:r w:rsidR="001133D1">
        <w:rPr>
          <w:rFonts w:ascii="Calibri" w:eastAsia="Times New Roman" w:hAnsi="Calibri" w:cs="Times New Roman"/>
          <w:color w:val="000000"/>
          <w:szCs w:val="22"/>
          <w:lang w:eastAsia="en-GB"/>
        </w:rPr>
        <w:t>likely</w:t>
      </w:r>
      <w:r w:rsidRPr="00016A3A">
        <w:rPr>
          <w:rFonts w:ascii="Calibri" w:eastAsia="Times New Roman" w:hAnsi="Calibri" w:cs="Times New Roman"/>
          <w:color w:val="000000"/>
          <w:szCs w:val="22"/>
          <w:lang w:eastAsia="en-GB"/>
        </w:rPr>
        <w:t xml:space="preserve"> that an OTC contract may be economically equivalent to contracts traded on two or more venues (perhaps with different competent authorities). It is not </w:t>
      </w:r>
      <w:r w:rsidR="001133D1">
        <w:rPr>
          <w:rFonts w:ascii="Calibri" w:eastAsia="Times New Roman" w:hAnsi="Calibri" w:cs="Times New Roman"/>
          <w:color w:val="000000"/>
          <w:szCs w:val="22"/>
          <w:lang w:eastAsia="en-GB"/>
        </w:rPr>
        <w:t xml:space="preserve">then </w:t>
      </w:r>
      <w:r w:rsidRPr="00016A3A">
        <w:rPr>
          <w:rFonts w:ascii="Calibri" w:eastAsia="Times New Roman" w:hAnsi="Calibri" w:cs="Times New Roman"/>
          <w:color w:val="000000"/>
          <w:szCs w:val="22"/>
          <w:lang w:eastAsia="en-GB"/>
        </w:rPr>
        <w:t xml:space="preserve">clear whether it </w:t>
      </w:r>
      <w:r w:rsidR="001133D1">
        <w:rPr>
          <w:rFonts w:ascii="Calibri" w:eastAsia="Times New Roman" w:hAnsi="Calibri" w:cs="Times New Roman"/>
          <w:color w:val="000000"/>
          <w:szCs w:val="22"/>
          <w:lang w:eastAsia="en-GB"/>
        </w:rPr>
        <w:t>should be</w:t>
      </w:r>
      <w:r w:rsidRPr="00016A3A">
        <w:rPr>
          <w:rFonts w:ascii="Calibri" w:eastAsia="Times New Roman" w:hAnsi="Calibri" w:cs="Times New Roman"/>
          <w:color w:val="000000"/>
          <w:szCs w:val="22"/>
          <w:lang w:eastAsia="en-GB"/>
        </w:rPr>
        <w:t xml:space="preserve"> expected that a position in those contracts </w:t>
      </w:r>
      <w:r w:rsidR="001133D1">
        <w:rPr>
          <w:rFonts w:ascii="Calibri" w:eastAsia="Times New Roman" w:hAnsi="Calibri" w:cs="Times New Roman"/>
          <w:color w:val="000000"/>
          <w:szCs w:val="22"/>
          <w:lang w:eastAsia="en-GB"/>
        </w:rPr>
        <w:t>would</w:t>
      </w:r>
      <w:r w:rsidRPr="00016A3A">
        <w:rPr>
          <w:rFonts w:ascii="Calibri" w:eastAsia="Times New Roman" w:hAnsi="Calibri" w:cs="Times New Roman"/>
          <w:color w:val="000000"/>
          <w:szCs w:val="22"/>
          <w:lang w:eastAsia="en-GB"/>
        </w:rPr>
        <w:t xml:space="preserve"> be reported separately to each relevant competent authority. </w:t>
      </w:r>
    </w:p>
    <w:p w:rsidR="001133D1" w:rsidRDefault="00016A3A" w:rsidP="00016A3A">
      <w:pPr>
        <w:spacing w:line="240" w:lineRule="auto"/>
        <w:rPr>
          <w:rFonts w:ascii="Calibri" w:eastAsia="Times New Roman" w:hAnsi="Calibri" w:cs="Times New Roman"/>
          <w:color w:val="000000"/>
          <w:szCs w:val="22"/>
          <w:lang w:eastAsia="en-GB"/>
        </w:rPr>
      </w:pPr>
      <w:r w:rsidRPr="00016A3A">
        <w:rPr>
          <w:rFonts w:ascii="Calibri" w:eastAsia="Times New Roman" w:hAnsi="Calibri" w:cs="Times New Roman"/>
          <w:color w:val="000000"/>
          <w:szCs w:val="22"/>
          <w:lang w:eastAsia="en-GB"/>
        </w:rPr>
        <w:br/>
        <w:t xml:space="preserve">Further, there will likely be no unique product identifier </w:t>
      </w:r>
      <w:r w:rsidR="001133D1">
        <w:rPr>
          <w:rFonts w:ascii="Calibri" w:eastAsia="Times New Roman" w:hAnsi="Calibri" w:cs="Times New Roman"/>
          <w:color w:val="000000"/>
          <w:szCs w:val="22"/>
          <w:lang w:eastAsia="en-GB"/>
        </w:rPr>
        <w:t xml:space="preserve">for commodity forwards and packaged products of such which are the most common trade shapes. WMBA and LEBA would again highlight the valuable and robust work done by ACER to develop the TRUM under REMIT and repeat out calls on ESMA to defer reporting to REMIT wherever feasible. Conversely </w:t>
      </w:r>
      <w:r w:rsidRPr="00016A3A">
        <w:rPr>
          <w:rFonts w:ascii="Calibri" w:eastAsia="Times New Roman" w:hAnsi="Calibri" w:cs="Times New Roman"/>
          <w:color w:val="000000"/>
          <w:szCs w:val="22"/>
          <w:lang w:eastAsia="en-GB"/>
        </w:rPr>
        <w:t>for warrants</w:t>
      </w:r>
      <w:r w:rsidR="001133D1">
        <w:rPr>
          <w:rFonts w:ascii="Calibri" w:eastAsia="Times New Roman" w:hAnsi="Calibri" w:cs="Times New Roman"/>
          <w:color w:val="000000"/>
          <w:szCs w:val="22"/>
          <w:lang w:eastAsia="en-GB"/>
        </w:rPr>
        <w:t xml:space="preserve">, we add that </w:t>
      </w:r>
      <w:r w:rsidRPr="00016A3A">
        <w:rPr>
          <w:rFonts w:ascii="Calibri" w:eastAsia="Times New Roman" w:hAnsi="Calibri" w:cs="Times New Roman"/>
          <w:color w:val="000000"/>
          <w:szCs w:val="22"/>
          <w:lang w:eastAsia="en-GB"/>
        </w:rPr>
        <w:t xml:space="preserve">there may also be an ISIN as well as or rather than, an Alternative Instrument Identifier. </w:t>
      </w:r>
    </w:p>
    <w:p w:rsidR="00016A3A" w:rsidRPr="00016A3A" w:rsidRDefault="00016A3A" w:rsidP="00016A3A">
      <w:pPr>
        <w:spacing w:line="240" w:lineRule="auto"/>
        <w:rPr>
          <w:rFonts w:ascii="Calibri" w:eastAsia="Times New Roman" w:hAnsi="Calibri" w:cs="Times New Roman"/>
          <w:color w:val="000000"/>
          <w:szCs w:val="22"/>
          <w:lang w:eastAsia="en-GB"/>
        </w:rPr>
      </w:pPr>
      <w:r w:rsidRPr="00016A3A">
        <w:rPr>
          <w:rFonts w:ascii="Calibri" w:eastAsia="Times New Roman" w:hAnsi="Calibri" w:cs="Times New Roman"/>
          <w:color w:val="000000"/>
          <w:szCs w:val="22"/>
          <w:lang w:eastAsia="en-GB"/>
        </w:rPr>
        <w:br/>
      </w:r>
      <w:r w:rsidR="001133D1">
        <w:rPr>
          <w:rFonts w:ascii="Calibri" w:eastAsia="Times New Roman" w:hAnsi="Calibri" w:cs="Times New Roman"/>
          <w:color w:val="000000"/>
          <w:szCs w:val="22"/>
          <w:lang w:eastAsia="en-GB"/>
        </w:rPr>
        <w:t xml:space="preserve">WMBA and </w:t>
      </w:r>
      <w:r w:rsidRPr="00016A3A">
        <w:rPr>
          <w:rFonts w:ascii="Calibri" w:eastAsia="Times New Roman" w:hAnsi="Calibri" w:cs="Times New Roman"/>
          <w:color w:val="000000"/>
          <w:szCs w:val="22"/>
          <w:lang w:eastAsia="en-GB"/>
        </w:rPr>
        <w:t xml:space="preserve">LEBA </w:t>
      </w:r>
      <w:r w:rsidR="001133D1">
        <w:rPr>
          <w:rFonts w:ascii="Calibri" w:eastAsia="Times New Roman" w:hAnsi="Calibri" w:cs="Times New Roman"/>
          <w:color w:val="000000"/>
          <w:szCs w:val="22"/>
          <w:lang w:eastAsia="en-GB"/>
        </w:rPr>
        <w:t>would also point out</w:t>
      </w:r>
      <w:r w:rsidRPr="00016A3A">
        <w:rPr>
          <w:rFonts w:ascii="Calibri" w:eastAsia="Times New Roman" w:hAnsi="Calibri" w:cs="Times New Roman"/>
          <w:color w:val="000000"/>
          <w:szCs w:val="22"/>
          <w:lang w:eastAsia="en-GB"/>
        </w:rPr>
        <w:t xml:space="preserve"> that for forwards traded on OTFs, OTC derivatives, derivative warrants and emission allowances, the "number of contracts" may not be a meaningful measure (or possible to calculate). The notional amount, number of warrants, units of allowances, and others, may be more meaningful.</w:t>
      </w:r>
    </w:p>
    <w:permEnd w:id="477763875"/>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DE362E" w:rsidRDefault="00DE362E" w:rsidP="00DE362E">
      <w:pPr>
        <w:keepNext/>
      </w:pPr>
      <w:permStart w:id="419307472" w:edGrp="everyone"/>
      <w:r w:rsidRPr="00C068DA">
        <w:t>WMBA no comment.</w:t>
      </w:r>
    </w:p>
    <w:permEnd w:id="419307472"/>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DE362E" w:rsidRDefault="00DE362E" w:rsidP="00DE362E">
      <w:pPr>
        <w:keepNext/>
      </w:pPr>
      <w:permStart w:id="145257686" w:edGrp="everyone"/>
      <w:r w:rsidRPr="00C068DA">
        <w:t>WMBA no comment.</w:t>
      </w:r>
    </w:p>
    <w:permEnd w:id="145257686"/>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284BC5" w:rsidRPr="00284BC5" w:rsidRDefault="00284BC5" w:rsidP="00284BC5">
      <w:pPr>
        <w:keepNext/>
        <w:rPr>
          <w:rFonts w:ascii="Calibri" w:hAnsi="Calibri"/>
        </w:rPr>
      </w:pPr>
      <w:permStart w:id="1442529746" w:edGrp="everyone"/>
      <w:r w:rsidRPr="00284BC5">
        <w:rPr>
          <w:rFonts w:ascii="Calibri" w:hAnsi="Calibri"/>
        </w:rPr>
        <w:t>The WMBA disagrees with the exclusions from the definition of transaction or execution. There may be a difference in the implementation timing of MiFIR and the Securities Financing Transaction Regulation (“SFTR”), as well as potential exemptions from reporting under the SFTR which may not be carried through to the MiFIR reporting framework under the current draft of Article 3(3)(a) of RTS 32.</w:t>
      </w:r>
    </w:p>
    <w:p w:rsidR="00284BC5" w:rsidRPr="00284BC5" w:rsidRDefault="00284BC5" w:rsidP="00284BC5">
      <w:pPr>
        <w:keepNext/>
        <w:rPr>
          <w:rFonts w:ascii="Calibri" w:hAnsi="Calibri"/>
        </w:rPr>
      </w:pPr>
    </w:p>
    <w:p w:rsidR="00284BC5" w:rsidRDefault="00284BC5" w:rsidP="00EC2C93">
      <w:pPr>
        <w:keepNext/>
      </w:pPr>
      <w:r w:rsidRPr="00284BC5">
        <w:rPr>
          <w:rFonts w:ascii="Calibri" w:hAnsi="Calibri"/>
        </w:rPr>
        <w:t>We do not consider that investment firms should be required to report SFTs under MiFIR for the period between MiFIR implementation and SFTR implementation, nor should they need to transaction report particular SFTs if such transactions are exempt from reporting under SFTR.  We therefore suggest redrafting Article 3(3)(a) in order to avoid any such consequences – we would suggest that the Article is re-drafted simply to read “Securities financing transactions”, and that an additional definition of “securities financing transaction” as is used in RTS 8 could be added to RTS 32 – namely “securities financing transactions means an instance of stock lending or stock borrowing or the lending or borrowing of other financial instruments, a repurchase or reverse repurchase transaction, or a buy-sell or sell-buy back transaction</w:t>
      </w:r>
      <w:r>
        <w:t>.</w:t>
      </w:r>
    </w:p>
    <w:permEnd w:id="1442529746"/>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DE362E" w:rsidRDefault="00DE362E" w:rsidP="00DE362E">
      <w:pPr>
        <w:spacing w:line="240" w:lineRule="auto"/>
        <w:rPr>
          <w:rFonts w:ascii="Calibri" w:eastAsia="Times New Roman" w:hAnsi="Calibri" w:cs="Times New Roman"/>
          <w:color w:val="000000"/>
          <w:szCs w:val="22"/>
          <w:lang w:eastAsia="en-GB"/>
        </w:rPr>
      </w:pPr>
      <w:permStart w:id="1981100828" w:edGrp="everyone"/>
      <w:r>
        <w:rPr>
          <w:rFonts w:ascii="Calibri" w:eastAsia="Times New Roman" w:hAnsi="Calibri" w:cs="Times New Roman"/>
          <w:color w:val="000000"/>
          <w:szCs w:val="22"/>
          <w:lang w:eastAsia="en-GB"/>
        </w:rPr>
        <w:t xml:space="preserve">The </w:t>
      </w:r>
      <w:r w:rsidRPr="00DE362E">
        <w:rPr>
          <w:rFonts w:ascii="Calibri" w:eastAsia="Times New Roman" w:hAnsi="Calibri" w:cs="Times New Roman"/>
          <w:color w:val="000000"/>
          <w:szCs w:val="22"/>
          <w:lang w:eastAsia="en-GB"/>
        </w:rPr>
        <w:t>WMBA note</w:t>
      </w:r>
      <w:r>
        <w:rPr>
          <w:rFonts w:ascii="Calibri" w:eastAsia="Times New Roman" w:hAnsi="Calibri" w:cs="Times New Roman"/>
          <w:color w:val="000000"/>
          <w:szCs w:val="22"/>
          <w:lang w:eastAsia="en-GB"/>
        </w:rPr>
        <w:t>s</w:t>
      </w:r>
      <w:r w:rsidRPr="00DE362E">
        <w:rPr>
          <w:rFonts w:ascii="Calibri" w:eastAsia="Times New Roman" w:hAnsi="Calibri" w:cs="Times New Roman"/>
          <w:color w:val="000000"/>
          <w:szCs w:val="22"/>
          <w:lang w:eastAsia="en-GB"/>
        </w:rPr>
        <w:t xml:space="preserve"> that the business model of the name passing broker is the reception of orders rather than their transmission. We therefore welcome further clarity to distinguish between receiving and transmission and the obligations attached. </w:t>
      </w:r>
    </w:p>
    <w:p w:rsidR="00DE362E" w:rsidRDefault="00DE362E" w:rsidP="00DE362E">
      <w:pPr>
        <w:spacing w:line="240" w:lineRule="auto"/>
        <w:rPr>
          <w:rFonts w:ascii="Calibri" w:eastAsia="Times New Roman" w:hAnsi="Calibri" w:cs="Times New Roman"/>
          <w:color w:val="000000"/>
          <w:szCs w:val="22"/>
          <w:lang w:eastAsia="en-GB"/>
        </w:rPr>
      </w:pPr>
    </w:p>
    <w:p w:rsidR="00DE362E" w:rsidRDefault="00DE362E" w:rsidP="00DE362E">
      <w:pPr>
        <w:spacing w:line="240" w:lineRule="auto"/>
        <w:rPr>
          <w:rFonts w:ascii="Calibri" w:eastAsia="Times New Roman" w:hAnsi="Calibri" w:cs="Times New Roman"/>
          <w:color w:val="000000"/>
          <w:szCs w:val="22"/>
          <w:lang w:eastAsia="en-GB"/>
        </w:rPr>
      </w:pPr>
      <w:r w:rsidRPr="00DE362E">
        <w:rPr>
          <w:rFonts w:ascii="Calibri" w:eastAsia="Times New Roman" w:hAnsi="Calibri" w:cs="Times New Roman"/>
          <w:color w:val="000000"/>
          <w:szCs w:val="22"/>
          <w:lang w:eastAsia="en-GB"/>
        </w:rPr>
        <w:t xml:space="preserve">There are two major issues with venues being mandated to report on behalf of non-MIFIR firms.  The first is that the venue will not have access to all the fields – they are not naturally provided in the normal course of business, so this will be operationally costly to implement for both firm and venue, and secondly the firm may not want to provide that information, or may not be able to (e.g. in countries with increased DP/secrecy laws).  What happens then?  It could drive business to venues outside the EU? </w:t>
      </w:r>
    </w:p>
    <w:p w:rsidR="00DE362E" w:rsidRDefault="00DE362E" w:rsidP="00DE362E">
      <w:pPr>
        <w:spacing w:line="240" w:lineRule="auto"/>
        <w:rPr>
          <w:rFonts w:ascii="Calibri" w:eastAsia="Times New Roman" w:hAnsi="Calibri" w:cs="Times New Roman"/>
          <w:color w:val="000000"/>
          <w:szCs w:val="22"/>
          <w:lang w:eastAsia="en-GB"/>
        </w:rPr>
      </w:pPr>
      <w:r w:rsidRPr="00DE362E">
        <w:rPr>
          <w:rFonts w:ascii="Calibri" w:eastAsia="Times New Roman" w:hAnsi="Calibri" w:cs="Times New Roman"/>
          <w:color w:val="000000"/>
          <w:szCs w:val="22"/>
          <w:lang w:eastAsia="en-GB"/>
        </w:rPr>
        <w:t xml:space="preserve"> </w:t>
      </w:r>
      <w:r w:rsidRPr="00DE362E">
        <w:rPr>
          <w:rFonts w:ascii="Calibri" w:eastAsia="Times New Roman" w:hAnsi="Calibri" w:cs="Times New Roman"/>
          <w:color w:val="000000"/>
          <w:szCs w:val="22"/>
          <w:lang w:eastAsia="en-GB"/>
        </w:rPr>
        <w:br/>
      </w:r>
      <w:r w:rsidRPr="00DE362E">
        <w:rPr>
          <w:rFonts w:ascii="Calibri" w:eastAsia="Times New Roman" w:hAnsi="Calibri" w:cs="Times New Roman"/>
          <w:color w:val="000000"/>
          <w:szCs w:val="22"/>
          <w:lang w:eastAsia="en-GB"/>
        </w:rPr>
        <w:br/>
        <w:t xml:space="preserve">Secondly, the way the reports </w:t>
      </w:r>
      <w:r>
        <w:rPr>
          <w:rFonts w:ascii="Calibri" w:eastAsia="Times New Roman" w:hAnsi="Calibri" w:cs="Times New Roman"/>
          <w:color w:val="000000"/>
          <w:szCs w:val="22"/>
          <w:lang w:eastAsia="en-GB"/>
        </w:rPr>
        <w:t>have been</w:t>
      </w:r>
      <w:r w:rsidRPr="00DE362E">
        <w:rPr>
          <w:rFonts w:ascii="Calibri" w:eastAsia="Times New Roman" w:hAnsi="Calibri" w:cs="Times New Roman"/>
          <w:color w:val="000000"/>
          <w:szCs w:val="22"/>
          <w:lang w:eastAsia="en-GB"/>
        </w:rPr>
        <w:t xml:space="preserve"> structured require</w:t>
      </w:r>
      <w:r>
        <w:rPr>
          <w:rFonts w:ascii="Calibri" w:eastAsia="Times New Roman" w:hAnsi="Calibri" w:cs="Times New Roman"/>
          <w:color w:val="000000"/>
          <w:szCs w:val="22"/>
          <w:lang w:eastAsia="en-GB"/>
        </w:rPr>
        <w:t>s</w:t>
      </w:r>
      <w:r w:rsidRPr="00DE362E">
        <w:rPr>
          <w:rFonts w:ascii="Calibri" w:eastAsia="Times New Roman" w:hAnsi="Calibri" w:cs="Times New Roman"/>
          <w:color w:val="000000"/>
          <w:szCs w:val="22"/>
          <w:lang w:eastAsia="en-GB"/>
        </w:rPr>
        <w:t xml:space="preserve"> </w:t>
      </w:r>
      <w:r>
        <w:rPr>
          <w:rFonts w:ascii="Calibri" w:eastAsia="Times New Roman" w:hAnsi="Calibri" w:cs="Times New Roman"/>
          <w:color w:val="000000"/>
          <w:szCs w:val="22"/>
          <w:lang w:eastAsia="en-GB"/>
        </w:rPr>
        <w:t xml:space="preserve">both </w:t>
      </w:r>
      <w:r w:rsidRPr="00DE362E">
        <w:rPr>
          <w:rFonts w:ascii="Calibri" w:eastAsia="Times New Roman" w:hAnsi="Calibri" w:cs="Times New Roman"/>
          <w:color w:val="000000"/>
          <w:szCs w:val="22"/>
          <w:lang w:eastAsia="en-GB"/>
        </w:rPr>
        <w:t>the buyer and seller field</w:t>
      </w:r>
      <w:r>
        <w:rPr>
          <w:rFonts w:ascii="Calibri" w:eastAsia="Times New Roman" w:hAnsi="Calibri" w:cs="Times New Roman"/>
          <w:color w:val="000000"/>
          <w:szCs w:val="22"/>
          <w:lang w:eastAsia="en-GB"/>
        </w:rPr>
        <w:t>s</w:t>
      </w:r>
      <w:r w:rsidRPr="00DE362E">
        <w:rPr>
          <w:rFonts w:ascii="Calibri" w:eastAsia="Times New Roman" w:hAnsi="Calibri" w:cs="Times New Roman"/>
          <w:color w:val="000000"/>
          <w:szCs w:val="22"/>
          <w:lang w:eastAsia="en-GB"/>
        </w:rPr>
        <w:t xml:space="preserve"> to be populated.  Venues </w:t>
      </w:r>
      <w:r>
        <w:rPr>
          <w:rFonts w:ascii="Calibri" w:eastAsia="Times New Roman" w:hAnsi="Calibri" w:cs="Times New Roman"/>
          <w:color w:val="000000"/>
          <w:szCs w:val="22"/>
          <w:lang w:eastAsia="en-GB"/>
        </w:rPr>
        <w:t>should</w:t>
      </w:r>
      <w:r w:rsidRPr="00DE362E">
        <w:rPr>
          <w:rFonts w:ascii="Calibri" w:eastAsia="Times New Roman" w:hAnsi="Calibri" w:cs="Times New Roman"/>
          <w:color w:val="000000"/>
          <w:szCs w:val="22"/>
          <w:lang w:eastAsia="en-GB"/>
        </w:rPr>
        <w:t xml:space="preserve"> complete both these fields in a single report as they see both sides of the transaction, and </w:t>
      </w:r>
      <w:r>
        <w:rPr>
          <w:rFonts w:ascii="Calibri" w:eastAsia="Times New Roman" w:hAnsi="Calibri" w:cs="Times New Roman"/>
          <w:color w:val="000000"/>
          <w:szCs w:val="22"/>
          <w:lang w:eastAsia="en-GB"/>
        </w:rPr>
        <w:t>should therefore also</w:t>
      </w:r>
      <w:r w:rsidRPr="00DE362E">
        <w:rPr>
          <w:rFonts w:ascii="Calibri" w:eastAsia="Times New Roman" w:hAnsi="Calibri" w:cs="Times New Roman"/>
          <w:color w:val="000000"/>
          <w:szCs w:val="22"/>
          <w:lang w:eastAsia="en-GB"/>
        </w:rPr>
        <w:t xml:space="preserve"> populate the venue field.  </w:t>
      </w:r>
      <w:r>
        <w:rPr>
          <w:rFonts w:ascii="Calibri" w:eastAsia="Times New Roman" w:hAnsi="Calibri" w:cs="Times New Roman"/>
          <w:color w:val="000000"/>
          <w:szCs w:val="22"/>
          <w:lang w:eastAsia="en-GB"/>
        </w:rPr>
        <w:t>However</w:t>
      </w:r>
      <w:r w:rsidRPr="00DE362E">
        <w:rPr>
          <w:rFonts w:ascii="Calibri" w:eastAsia="Times New Roman" w:hAnsi="Calibri" w:cs="Times New Roman"/>
          <w:color w:val="000000"/>
          <w:szCs w:val="22"/>
          <w:lang w:eastAsia="en-GB"/>
        </w:rPr>
        <w:t>,</w:t>
      </w:r>
      <w:r>
        <w:rPr>
          <w:rFonts w:ascii="Calibri" w:eastAsia="Times New Roman" w:hAnsi="Calibri" w:cs="Times New Roman"/>
          <w:color w:val="000000"/>
          <w:szCs w:val="22"/>
          <w:lang w:eastAsia="en-GB"/>
        </w:rPr>
        <w:t xml:space="preserve"> we note that </w:t>
      </w:r>
      <w:r w:rsidRPr="00DE362E">
        <w:rPr>
          <w:rFonts w:ascii="Calibri" w:eastAsia="Times New Roman" w:hAnsi="Calibri" w:cs="Times New Roman"/>
          <w:color w:val="000000"/>
          <w:szCs w:val="22"/>
          <w:lang w:eastAsia="en-GB"/>
        </w:rPr>
        <w:t xml:space="preserve">there is only </w:t>
      </w:r>
      <w:r>
        <w:rPr>
          <w:rFonts w:ascii="Calibri" w:eastAsia="Times New Roman" w:hAnsi="Calibri" w:cs="Times New Roman"/>
          <w:color w:val="000000"/>
          <w:szCs w:val="22"/>
          <w:lang w:eastAsia="en-GB"/>
        </w:rPr>
        <w:t xml:space="preserve">a single </w:t>
      </w:r>
      <w:r w:rsidRPr="00DE362E">
        <w:rPr>
          <w:rFonts w:ascii="Calibri" w:eastAsia="Times New Roman" w:hAnsi="Calibri" w:cs="Times New Roman"/>
          <w:color w:val="000000"/>
          <w:szCs w:val="22"/>
          <w:lang w:eastAsia="en-GB"/>
        </w:rPr>
        <w:t>capacity field and it’s not clear whether this relates to the buyer</w:t>
      </w:r>
      <w:r>
        <w:rPr>
          <w:rFonts w:ascii="Calibri" w:eastAsia="Times New Roman" w:hAnsi="Calibri" w:cs="Times New Roman"/>
          <w:color w:val="000000"/>
          <w:szCs w:val="22"/>
          <w:lang w:eastAsia="en-GB"/>
        </w:rPr>
        <w:t>,</w:t>
      </w:r>
      <w:r w:rsidRPr="00DE362E">
        <w:rPr>
          <w:rFonts w:ascii="Calibri" w:eastAsia="Times New Roman" w:hAnsi="Calibri" w:cs="Times New Roman"/>
          <w:color w:val="000000"/>
          <w:szCs w:val="22"/>
          <w:lang w:eastAsia="en-GB"/>
        </w:rPr>
        <w:t xml:space="preserve"> the seller</w:t>
      </w:r>
      <w:r>
        <w:rPr>
          <w:rFonts w:ascii="Calibri" w:eastAsia="Times New Roman" w:hAnsi="Calibri" w:cs="Times New Roman"/>
          <w:color w:val="000000"/>
          <w:szCs w:val="22"/>
          <w:lang w:eastAsia="en-GB"/>
        </w:rPr>
        <w:t xml:space="preserve"> or the venue</w:t>
      </w:r>
      <w:r w:rsidRPr="00DE362E">
        <w:rPr>
          <w:rFonts w:ascii="Calibri" w:eastAsia="Times New Roman" w:hAnsi="Calibri" w:cs="Times New Roman"/>
          <w:color w:val="000000"/>
          <w:szCs w:val="22"/>
          <w:lang w:eastAsia="en-GB"/>
        </w:rPr>
        <w:t xml:space="preserve">. </w:t>
      </w:r>
    </w:p>
    <w:p w:rsidR="00DE362E" w:rsidRDefault="00DE362E" w:rsidP="00DE362E">
      <w:pPr>
        <w:spacing w:line="240" w:lineRule="auto"/>
        <w:rPr>
          <w:rFonts w:ascii="Calibri" w:eastAsia="Times New Roman" w:hAnsi="Calibri" w:cs="Times New Roman"/>
          <w:color w:val="000000"/>
          <w:szCs w:val="22"/>
          <w:lang w:eastAsia="en-GB"/>
        </w:rPr>
      </w:pPr>
    </w:p>
    <w:p w:rsidR="00DE362E" w:rsidRPr="00DE362E" w:rsidRDefault="00DE362E" w:rsidP="00DE362E">
      <w:pPr>
        <w:spacing w:line="240" w:lineRule="auto"/>
        <w:rPr>
          <w:rFonts w:ascii="Calibri" w:eastAsia="Times New Roman" w:hAnsi="Calibri" w:cs="Times New Roman"/>
          <w:color w:val="000000"/>
          <w:szCs w:val="22"/>
          <w:lang w:eastAsia="en-GB"/>
        </w:rPr>
      </w:pPr>
      <w:r>
        <w:rPr>
          <w:rFonts w:ascii="Calibri" w:eastAsia="Times New Roman" w:hAnsi="Calibri" w:cs="Times New Roman"/>
          <w:color w:val="000000"/>
          <w:szCs w:val="22"/>
          <w:lang w:eastAsia="en-GB"/>
        </w:rPr>
        <w:t>Further, as venues, WMBA members</w:t>
      </w:r>
      <w:r w:rsidRPr="00DE362E">
        <w:rPr>
          <w:rFonts w:ascii="Calibri" w:eastAsia="Times New Roman" w:hAnsi="Calibri" w:cs="Times New Roman"/>
          <w:color w:val="000000"/>
          <w:szCs w:val="22"/>
          <w:lang w:eastAsia="en-GB"/>
        </w:rPr>
        <w:t xml:space="preserve"> would </w:t>
      </w:r>
      <w:r>
        <w:rPr>
          <w:rFonts w:ascii="Calibri" w:eastAsia="Times New Roman" w:hAnsi="Calibri" w:cs="Times New Roman"/>
          <w:color w:val="000000"/>
          <w:szCs w:val="22"/>
          <w:lang w:eastAsia="en-GB"/>
        </w:rPr>
        <w:t xml:space="preserve">not </w:t>
      </w:r>
      <w:r w:rsidRPr="00DE362E">
        <w:rPr>
          <w:rFonts w:ascii="Calibri" w:eastAsia="Times New Roman" w:hAnsi="Calibri" w:cs="Times New Roman"/>
          <w:color w:val="000000"/>
          <w:szCs w:val="22"/>
          <w:lang w:eastAsia="en-GB"/>
        </w:rPr>
        <w:t xml:space="preserve">expect that information pertaining to algo orders (i.e. algo id) </w:t>
      </w:r>
      <w:r>
        <w:rPr>
          <w:rFonts w:ascii="Calibri" w:eastAsia="Times New Roman" w:hAnsi="Calibri" w:cs="Times New Roman"/>
          <w:color w:val="000000"/>
          <w:szCs w:val="22"/>
          <w:lang w:eastAsia="en-GB"/>
        </w:rPr>
        <w:t>to</w:t>
      </w:r>
      <w:r w:rsidRPr="00DE362E">
        <w:rPr>
          <w:rFonts w:ascii="Calibri" w:eastAsia="Times New Roman" w:hAnsi="Calibri" w:cs="Times New Roman"/>
          <w:color w:val="000000"/>
          <w:szCs w:val="22"/>
          <w:lang w:eastAsia="en-GB"/>
        </w:rPr>
        <w:t xml:space="preserve"> be made available. </w:t>
      </w:r>
      <w:r>
        <w:rPr>
          <w:rFonts w:ascii="Calibri" w:eastAsia="Times New Roman" w:hAnsi="Calibri" w:cs="Times New Roman"/>
          <w:color w:val="000000"/>
          <w:szCs w:val="22"/>
          <w:lang w:eastAsia="en-GB"/>
        </w:rPr>
        <w:t>WMBA members</w:t>
      </w:r>
      <w:r w:rsidRPr="00DE362E">
        <w:rPr>
          <w:rFonts w:ascii="Calibri" w:eastAsia="Times New Roman" w:hAnsi="Calibri" w:cs="Times New Roman"/>
          <w:color w:val="000000"/>
          <w:szCs w:val="22"/>
          <w:lang w:eastAsia="en-GB"/>
        </w:rPr>
        <w:t xml:space="preserve"> </w:t>
      </w:r>
      <w:r>
        <w:rPr>
          <w:rFonts w:ascii="Calibri" w:eastAsia="Times New Roman" w:hAnsi="Calibri" w:cs="Times New Roman"/>
          <w:color w:val="000000"/>
          <w:szCs w:val="22"/>
          <w:lang w:eastAsia="en-GB"/>
        </w:rPr>
        <w:t xml:space="preserve">as venues </w:t>
      </w:r>
      <w:r w:rsidRPr="00DE362E">
        <w:rPr>
          <w:rFonts w:ascii="Calibri" w:eastAsia="Times New Roman" w:hAnsi="Calibri" w:cs="Times New Roman"/>
          <w:color w:val="000000"/>
          <w:szCs w:val="22"/>
          <w:lang w:eastAsia="en-GB"/>
        </w:rPr>
        <w:t>will only have access to the name of the executing person, not the investment decision maker if different. Similarly, venue</w:t>
      </w:r>
      <w:r>
        <w:rPr>
          <w:rFonts w:ascii="Calibri" w:eastAsia="Times New Roman" w:hAnsi="Calibri" w:cs="Times New Roman"/>
          <w:color w:val="000000"/>
          <w:szCs w:val="22"/>
          <w:lang w:eastAsia="en-GB"/>
        </w:rPr>
        <w:t>s</w:t>
      </w:r>
      <w:r w:rsidRPr="00DE362E">
        <w:rPr>
          <w:rFonts w:ascii="Calibri" w:eastAsia="Times New Roman" w:hAnsi="Calibri" w:cs="Times New Roman"/>
          <w:color w:val="000000"/>
          <w:szCs w:val="22"/>
          <w:lang w:eastAsia="en-GB"/>
        </w:rPr>
        <w:t xml:space="preserve"> (reporting on behalf of non-MiFID firms) </w:t>
      </w:r>
      <w:r>
        <w:rPr>
          <w:rFonts w:ascii="Calibri" w:eastAsia="Times New Roman" w:hAnsi="Calibri" w:cs="Times New Roman"/>
          <w:color w:val="000000"/>
          <w:szCs w:val="22"/>
          <w:lang w:eastAsia="en-GB"/>
        </w:rPr>
        <w:t>would</w:t>
      </w:r>
      <w:r w:rsidRPr="00DE362E">
        <w:rPr>
          <w:rFonts w:ascii="Calibri" w:eastAsia="Times New Roman" w:hAnsi="Calibri" w:cs="Times New Roman"/>
          <w:color w:val="000000"/>
          <w:szCs w:val="22"/>
          <w:lang w:eastAsia="en-GB"/>
        </w:rPr>
        <w:t xml:space="preserve"> only have access to the counterparty </w:t>
      </w:r>
      <w:r>
        <w:rPr>
          <w:rFonts w:ascii="Calibri" w:eastAsia="Times New Roman" w:hAnsi="Calibri" w:cs="Times New Roman"/>
          <w:color w:val="000000"/>
          <w:szCs w:val="22"/>
          <w:lang w:eastAsia="en-GB"/>
        </w:rPr>
        <w:t>ID</w:t>
      </w:r>
      <w:r w:rsidRPr="00DE362E">
        <w:rPr>
          <w:rFonts w:ascii="Calibri" w:eastAsia="Times New Roman" w:hAnsi="Calibri" w:cs="Times New Roman"/>
          <w:color w:val="000000"/>
          <w:szCs w:val="22"/>
          <w:lang w:eastAsia="en-GB"/>
        </w:rPr>
        <w:t xml:space="preserve">, not their client’s information. Lastly, short selling is not a meaningful concept in the </w:t>
      </w:r>
      <w:r>
        <w:rPr>
          <w:rFonts w:ascii="Calibri" w:eastAsia="Times New Roman" w:hAnsi="Calibri" w:cs="Times New Roman"/>
          <w:color w:val="000000"/>
          <w:szCs w:val="22"/>
          <w:lang w:eastAsia="en-GB"/>
        </w:rPr>
        <w:t>array of non-equities markets.</w:t>
      </w:r>
    </w:p>
    <w:permEnd w:id="1981100828"/>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D140B0" w:rsidRPr="00D140B0" w:rsidRDefault="00DE362E" w:rsidP="00D140B0">
      <w:pPr>
        <w:keepNext/>
        <w:rPr>
          <w:rFonts w:ascii="Calibri" w:hAnsi="Calibri"/>
        </w:rPr>
      </w:pPr>
      <w:permStart w:id="78008915" w:edGrp="everyone"/>
      <w:r>
        <w:t>"</w:t>
      </w:r>
      <w:r w:rsidRPr="00DE362E">
        <w:rPr>
          <w:rFonts w:ascii="Calibri" w:hAnsi="Calibri"/>
        </w:rPr>
        <w:t>The WMBA does agree in principle with ESMA’s proposed approach</w:t>
      </w:r>
      <w:r w:rsidR="00D140B0">
        <w:rPr>
          <w:rFonts w:ascii="Calibri" w:hAnsi="Calibri"/>
        </w:rPr>
        <w:t>, the</w:t>
      </w:r>
      <w:r w:rsidR="00D140B0" w:rsidRPr="00D140B0">
        <w:rPr>
          <w:rFonts w:ascii="Calibri" w:hAnsi="Calibri"/>
        </w:rPr>
        <w:t xml:space="preserve"> fields are too wide ranging</w:t>
      </w:r>
      <w:r w:rsidR="00D140B0">
        <w:rPr>
          <w:rFonts w:ascii="Calibri" w:hAnsi="Calibri"/>
        </w:rPr>
        <w:t>, and</w:t>
      </w:r>
      <w:r w:rsidRPr="00DE362E">
        <w:rPr>
          <w:rFonts w:ascii="Calibri" w:hAnsi="Calibri"/>
        </w:rPr>
        <w:t xml:space="preserve"> it should be noted that it is not</w:t>
      </w:r>
      <w:r w:rsidR="00D140B0">
        <w:rPr>
          <w:rFonts w:ascii="Calibri" w:hAnsi="Calibri"/>
        </w:rPr>
        <w:t xml:space="preserve"> a “one size fits all” approach</w:t>
      </w:r>
      <w:r w:rsidR="00D140B0" w:rsidRPr="00D140B0">
        <w:rPr>
          <w:rFonts w:ascii="Calibri" w:hAnsi="Calibri"/>
        </w:rPr>
        <w:t>.</w:t>
      </w:r>
      <w:r w:rsidR="00D140B0">
        <w:rPr>
          <w:rFonts w:ascii="Calibri" w:hAnsi="Calibri"/>
        </w:rPr>
        <w:t xml:space="preserve"> </w:t>
      </w:r>
      <w:r w:rsidR="00D140B0" w:rsidRPr="00D140B0">
        <w:rPr>
          <w:rFonts w:ascii="Calibri" w:hAnsi="Calibri"/>
        </w:rPr>
        <w:t>In all likelihood, if we have to deliver reporting on such scale, it will lead for bifurcation of liquidity in those markets that are currently truly global in scope.</w:t>
      </w:r>
    </w:p>
    <w:p w:rsidR="00D140B0" w:rsidRPr="00D140B0" w:rsidRDefault="00D140B0" w:rsidP="00D140B0">
      <w:pPr>
        <w:keepNext/>
        <w:rPr>
          <w:rFonts w:ascii="Calibri" w:hAnsi="Calibri"/>
        </w:rPr>
      </w:pPr>
    </w:p>
    <w:p w:rsidR="00DE362E" w:rsidRPr="00DE362E" w:rsidRDefault="00D140B0" w:rsidP="00D140B0">
      <w:pPr>
        <w:keepNext/>
        <w:rPr>
          <w:rFonts w:ascii="Calibri" w:hAnsi="Calibri"/>
        </w:rPr>
      </w:pPr>
      <w:r w:rsidRPr="00D140B0">
        <w:rPr>
          <w:rFonts w:ascii="Calibri" w:hAnsi="Calibri"/>
        </w:rPr>
        <w:t>When proposing a similar regime in the US, it was determined that the CFTC’s reporting requirements were too burdensome and the regime was amended to include a trader ID within the firm but not an identification process for the natural person.</w:t>
      </w:r>
      <w:r>
        <w:rPr>
          <w:rFonts w:ascii="Calibri" w:hAnsi="Calibri"/>
        </w:rPr>
        <w:t xml:space="preserve"> </w:t>
      </w:r>
      <w:r w:rsidRPr="00D140B0">
        <w:rPr>
          <w:rFonts w:ascii="Calibri" w:hAnsi="Calibri"/>
        </w:rPr>
        <w:t>In the case where venues have to report for non-MiFID firms, requiring details such as date of birth, identification number, short selling information, will not be obtainable. In some cases, these will contravene local confidentiality and data protection rules, in other instances the clients will already have local reporting obligations and will thus be reluctant to agree to dual reporting to a foreign NCA.</w:t>
      </w:r>
    </w:p>
    <w:p w:rsidR="00DE362E" w:rsidRPr="00DE362E" w:rsidRDefault="00DE362E" w:rsidP="00DE362E">
      <w:pPr>
        <w:keepNext/>
        <w:rPr>
          <w:rFonts w:ascii="Calibri" w:hAnsi="Calibri"/>
        </w:rPr>
      </w:pPr>
    </w:p>
    <w:p w:rsidR="00DE362E" w:rsidRPr="00DE362E" w:rsidRDefault="00DE362E" w:rsidP="00DE362E">
      <w:pPr>
        <w:keepNext/>
        <w:rPr>
          <w:rFonts w:ascii="Calibri" w:hAnsi="Calibri"/>
        </w:rPr>
      </w:pPr>
      <w:r w:rsidRPr="00DE362E">
        <w:rPr>
          <w:rFonts w:ascii="Calibri" w:hAnsi="Calibri"/>
        </w:rPr>
        <w:t>This approach for example does not consider the characteristics of some OTC derivatives products which may make the determination of the buyer and seller subjective, leading to inconsistencies in reporting between firms. Especially, in an FX, FRA or a swap transaction it is not always clear which counterparty to the trade originated the transaction and therefore who should be assigned buyer or seller of the trade. In order to ensure the determination of buyer and seller is done as consistently and accurately as possible, firms would urge ESMA to work with the industry to develop Level 3 guidelines regarding pre-set criteria as a standard mechanism to determine the buyer and seller for different types of asset classes of OTC derivatives.</w:t>
      </w:r>
    </w:p>
    <w:p w:rsidR="00DE362E" w:rsidRPr="00DE362E" w:rsidRDefault="00DE362E" w:rsidP="00DE362E">
      <w:pPr>
        <w:keepNext/>
        <w:rPr>
          <w:rFonts w:ascii="Calibri" w:hAnsi="Calibri"/>
        </w:rPr>
      </w:pPr>
    </w:p>
    <w:p w:rsidR="00DE362E" w:rsidRPr="00DE362E" w:rsidRDefault="00DE362E" w:rsidP="00DE362E">
      <w:pPr>
        <w:keepNext/>
        <w:rPr>
          <w:rFonts w:ascii="Calibri" w:hAnsi="Calibri"/>
        </w:rPr>
      </w:pPr>
      <w:r w:rsidRPr="00DE362E">
        <w:rPr>
          <w:rFonts w:ascii="Calibri" w:hAnsi="Calibri"/>
        </w:rPr>
        <w:t>Indeed quantity may not be known at the point of working the trade because it is dependent upon a further quantity, spread, or option dynamic. For example the industry already uses conventions that assign roles to counterparties to a trade e.g. in the case of a fixed / float interest rate swap, the payer of the fixed rate may be assigned the role of BUYER and the payer of the floating rate may be assigned the role of the SELLER.</w:t>
      </w:r>
    </w:p>
    <w:p w:rsidR="00DE362E" w:rsidRPr="00DE362E" w:rsidRDefault="00DE362E" w:rsidP="00DE362E">
      <w:pPr>
        <w:keepNext/>
        <w:rPr>
          <w:rFonts w:ascii="Calibri" w:hAnsi="Calibri"/>
        </w:rPr>
      </w:pPr>
    </w:p>
    <w:p w:rsidR="00DE362E" w:rsidRDefault="00DE362E" w:rsidP="00DE362E">
      <w:pPr>
        <w:keepNext/>
        <w:rPr>
          <w:rFonts w:ascii="Calibri" w:hAnsi="Calibri"/>
        </w:rPr>
      </w:pPr>
      <w:r w:rsidRPr="00DE362E">
        <w:rPr>
          <w:rFonts w:ascii="Calibri" w:hAnsi="Calibri"/>
        </w:rPr>
        <w:t>Additionally, firms would prefer to opt for an approach which is consistent and harmonised with the requirements to retain detailed records of orders. If ESMA decides to opt for this approach for transaction reporting, we would suggest for this approach to also be applied to orders to be stored under RTS 34/35 so that the buyer/ seller information is stored in a consistent manner.</w:t>
      </w:r>
    </w:p>
    <w:p w:rsidR="00DE362E" w:rsidRPr="00DE362E" w:rsidRDefault="00DE362E" w:rsidP="00DE362E">
      <w:pPr>
        <w:keepNext/>
        <w:rPr>
          <w:rFonts w:ascii="Calibri" w:hAnsi="Calibri"/>
        </w:rPr>
      </w:pPr>
    </w:p>
    <w:p w:rsidR="004E26B2" w:rsidRDefault="00DE362E" w:rsidP="00EC2C93">
      <w:pPr>
        <w:keepNext/>
      </w:pPr>
      <w:r w:rsidRPr="00DE362E">
        <w:rPr>
          <w:rFonts w:ascii="Calibri" w:hAnsi="Calibri"/>
        </w:rPr>
        <w:t>As arrangers of transactions rather than acting as agent for any one counterparty side, the WMBA notes concerns with the new approach for reporting laid out in scenario 4, where we consider that ESMA appears to be confusing the trading capacity of Agent with receipt and transmission of an order which is incorrect.</w:t>
      </w:r>
      <w:r>
        <w:t>"</w:t>
      </w:r>
      <w:r w:rsidR="004E26B2">
        <w:t xml:space="preserve"> </w:t>
      </w:r>
      <w:r>
        <w:t xml:space="preserve"> </w:t>
      </w:r>
    </w:p>
    <w:permEnd w:id="78008915"/>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DE362E" w:rsidRPr="00DE362E" w:rsidRDefault="00DE362E" w:rsidP="00DE362E">
      <w:pPr>
        <w:spacing w:line="240" w:lineRule="auto"/>
        <w:rPr>
          <w:rFonts w:ascii="Calibri" w:eastAsia="Times New Roman" w:hAnsi="Calibri" w:cs="Times New Roman"/>
          <w:b/>
          <w:color w:val="000000"/>
          <w:szCs w:val="22"/>
          <w:u w:val="single"/>
          <w:lang w:eastAsia="en-GB"/>
        </w:rPr>
      </w:pPr>
      <w:permStart w:id="581202682" w:edGrp="everyone"/>
      <w:r w:rsidRPr="00DE362E">
        <w:rPr>
          <w:rFonts w:ascii="Calibri" w:eastAsia="Times New Roman" w:hAnsi="Calibri" w:cs="Times New Roman"/>
          <w:b/>
          <w:color w:val="000000"/>
          <w:szCs w:val="22"/>
          <w:u w:val="single"/>
          <w:lang w:eastAsia="en-GB"/>
        </w:rPr>
        <w:t>Field Specific comments</w:t>
      </w:r>
    </w:p>
    <w:p w:rsidR="00DE362E" w:rsidRPr="00DE362E" w:rsidRDefault="00DE362E" w:rsidP="00DE362E">
      <w:pPr>
        <w:spacing w:line="240" w:lineRule="auto"/>
        <w:rPr>
          <w:rFonts w:ascii="Calibri" w:eastAsia="Times New Roman" w:hAnsi="Calibri" w:cs="Times New Roman"/>
          <w:b/>
          <w:i/>
          <w:color w:val="000000"/>
          <w:szCs w:val="22"/>
          <w:lang w:eastAsia="en-GB"/>
        </w:rPr>
      </w:pPr>
      <w:r w:rsidRPr="00DE362E">
        <w:rPr>
          <w:rFonts w:ascii="Calibri" w:eastAsia="Times New Roman" w:hAnsi="Calibri" w:cs="Times New Roman"/>
          <w:color w:val="000000"/>
          <w:szCs w:val="22"/>
          <w:lang w:eastAsia="en-GB"/>
        </w:rPr>
        <w:br/>
      </w:r>
      <w:r w:rsidRPr="00DE362E">
        <w:rPr>
          <w:rFonts w:ascii="Calibri" w:eastAsia="Times New Roman" w:hAnsi="Calibri" w:cs="Times New Roman"/>
          <w:b/>
          <w:i/>
          <w:color w:val="000000"/>
          <w:szCs w:val="22"/>
          <w:lang w:eastAsia="en-GB"/>
        </w:rPr>
        <w:t xml:space="preserve">Natural person information: </w:t>
      </w:r>
    </w:p>
    <w:p w:rsidR="007024C3" w:rsidRDefault="00DE362E" w:rsidP="00DE362E">
      <w:pPr>
        <w:spacing w:line="240" w:lineRule="auto"/>
        <w:rPr>
          <w:rFonts w:ascii="Calibri" w:eastAsia="Times New Roman" w:hAnsi="Calibri" w:cs="Times New Roman"/>
          <w:color w:val="000000"/>
          <w:szCs w:val="22"/>
          <w:lang w:eastAsia="en-GB"/>
        </w:rPr>
      </w:pPr>
      <w:r w:rsidRPr="00DE362E">
        <w:rPr>
          <w:rFonts w:ascii="Calibri" w:eastAsia="Times New Roman" w:hAnsi="Calibri" w:cs="Times New Roman"/>
          <w:color w:val="000000"/>
          <w:szCs w:val="22"/>
          <w:lang w:eastAsia="en-GB"/>
        </w:rPr>
        <w:t>Fields 8 – 19 &amp; 23-34- The amount of personal data that ESMA is suggesting to include in each transaction report is both impractical and unfeasible for global counterparties.</w:t>
      </w:r>
    </w:p>
    <w:p w:rsidR="007024C3" w:rsidRDefault="00DE362E" w:rsidP="00DE362E">
      <w:pPr>
        <w:spacing w:line="240" w:lineRule="auto"/>
        <w:rPr>
          <w:rFonts w:ascii="Calibri" w:eastAsia="Times New Roman" w:hAnsi="Calibri" w:cs="Times New Roman"/>
          <w:color w:val="000000"/>
          <w:szCs w:val="22"/>
          <w:lang w:eastAsia="en-GB"/>
        </w:rPr>
      </w:pPr>
      <w:r w:rsidRPr="00DE362E">
        <w:rPr>
          <w:rFonts w:ascii="Calibri" w:eastAsia="Times New Roman" w:hAnsi="Calibri" w:cs="Times New Roman"/>
          <w:color w:val="000000"/>
          <w:szCs w:val="22"/>
          <w:lang w:eastAsia="en-GB"/>
        </w:rPr>
        <w:br/>
        <w:t xml:space="preserve">We believe that ESMA’s proposals to have natural persons identified by a national ID number robustly and uniquely identifies each natural person is already inflexible and excessive and should be supplanted by authorisation identifiers for transaction reporting purposes. WMBA members have found similar requirements for SEFs under Dodd Frank to be difficult to comply with. </w:t>
      </w:r>
    </w:p>
    <w:p w:rsidR="007024C3" w:rsidRDefault="00DE362E" w:rsidP="00DE362E">
      <w:pPr>
        <w:spacing w:line="240" w:lineRule="auto"/>
        <w:rPr>
          <w:rFonts w:ascii="Calibri" w:eastAsia="Times New Roman" w:hAnsi="Calibri" w:cs="Times New Roman"/>
          <w:color w:val="000000"/>
          <w:szCs w:val="22"/>
          <w:lang w:eastAsia="en-GB"/>
        </w:rPr>
      </w:pPr>
      <w:r w:rsidRPr="00DE362E">
        <w:rPr>
          <w:rFonts w:ascii="Calibri" w:eastAsia="Times New Roman" w:hAnsi="Calibri" w:cs="Times New Roman"/>
          <w:color w:val="000000"/>
          <w:szCs w:val="22"/>
          <w:lang w:eastAsia="en-GB"/>
        </w:rPr>
        <w:br/>
        <w:t xml:space="preserve">We do not agree that additional information such as the name, the surname, the date of birth, the country of residence and the post code is required in order for competent authorities to monitor for market abuse.  The proposed additional information might on the contrary overcomplicate the report with unnecessary attributes in the reports as it leaves more room for errors. For example, we question how including the date of birth of an individual in the reports is considered as an essential piece of information for market abuse purposes when that person is already uniquely identified by their national ID number. </w:t>
      </w:r>
    </w:p>
    <w:p w:rsidR="007024C3" w:rsidRDefault="007024C3" w:rsidP="00DE362E">
      <w:pPr>
        <w:spacing w:line="240" w:lineRule="auto"/>
        <w:rPr>
          <w:rFonts w:ascii="Calibri" w:eastAsia="Times New Roman" w:hAnsi="Calibri" w:cs="Times New Roman"/>
          <w:color w:val="000000"/>
          <w:szCs w:val="22"/>
          <w:lang w:eastAsia="en-GB"/>
        </w:rPr>
      </w:pPr>
    </w:p>
    <w:p w:rsidR="007024C3" w:rsidRDefault="00DE362E" w:rsidP="00DE362E">
      <w:pPr>
        <w:spacing w:line="240" w:lineRule="auto"/>
        <w:rPr>
          <w:rFonts w:ascii="Calibri" w:eastAsia="Times New Roman" w:hAnsi="Calibri" w:cs="Times New Roman"/>
          <w:color w:val="000000"/>
          <w:szCs w:val="22"/>
          <w:lang w:eastAsia="en-GB"/>
        </w:rPr>
      </w:pPr>
      <w:r w:rsidRPr="00DE362E">
        <w:rPr>
          <w:rFonts w:ascii="Calibri" w:eastAsia="Times New Roman" w:hAnsi="Calibri" w:cs="Times New Roman"/>
          <w:color w:val="000000"/>
          <w:szCs w:val="22"/>
          <w:lang w:eastAsia="en-GB"/>
        </w:rPr>
        <w:t xml:space="preserve">Further, two natural persons will not have the same national ID number so we do not see how adding its date of birth to the report will provide any additional useful information to the regulators. In addition, ESMA also requires the post code of natural persons to be identified in the reports. As ESMA is aware individuals frequently change addresses and/or could have multiple addresses. For all these reasons, we think that requiring firms to include all this additional information in the transaction reports is not properly justified, and is unreasonable and disproportionate.  We would urge ESMA to review the amount of personal data that it is proposing to include in transaction reports and to reduce it to a minimum. </w:t>
      </w:r>
    </w:p>
    <w:p w:rsidR="007024C3" w:rsidRDefault="00DE362E" w:rsidP="00DE362E">
      <w:pPr>
        <w:spacing w:line="240" w:lineRule="auto"/>
        <w:rPr>
          <w:rFonts w:ascii="Calibri" w:eastAsia="Times New Roman" w:hAnsi="Calibri" w:cs="Times New Roman"/>
          <w:color w:val="000000"/>
          <w:szCs w:val="22"/>
          <w:lang w:eastAsia="en-GB"/>
        </w:rPr>
      </w:pPr>
      <w:r w:rsidRPr="00DE362E">
        <w:rPr>
          <w:rFonts w:ascii="Calibri" w:eastAsia="Times New Roman" w:hAnsi="Calibri" w:cs="Times New Roman"/>
          <w:color w:val="000000"/>
          <w:szCs w:val="22"/>
          <w:lang w:eastAsia="en-GB"/>
        </w:rPr>
        <w:br/>
        <w:t xml:space="preserve">In the consultation paper (paragraph 98), ESMA’s acknowledges concerns related to data protection and states that it will ensure full compliance with the data protection law. Providing personal data in transaction reports greatly increases the risk of personal data fraud, risks of identity theft and raises important privacy concerns under EC Data Protection Directive. </w:t>
      </w:r>
    </w:p>
    <w:p w:rsidR="007024C3" w:rsidRPr="007024C3" w:rsidRDefault="00DE362E" w:rsidP="00DE362E">
      <w:pPr>
        <w:spacing w:line="240" w:lineRule="auto"/>
        <w:rPr>
          <w:rFonts w:ascii="Calibri" w:eastAsia="Times New Roman" w:hAnsi="Calibri" w:cs="Times New Roman"/>
          <w:b/>
          <w:i/>
          <w:color w:val="000000"/>
          <w:szCs w:val="22"/>
          <w:lang w:eastAsia="en-GB"/>
        </w:rPr>
      </w:pPr>
      <w:r w:rsidRPr="007024C3">
        <w:rPr>
          <w:rFonts w:ascii="Calibri" w:eastAsia="Times New Roman" w:hAnsi="Calibri" w:cs="Times New Roman"/>
          <w:i/>
          <w:color w:val="000000"/>
          <w:szCs w:val="22"/>
          <w:lang w:eastAsia="en-GB"/>
        </w:rPr>
        <w:t xml:space="preserve"> </w:t>
      </w:r>
      <w:r w:rsidRPr="007024C3">
        <w:rPr>
          <w:rFonts w:ascii="Calibri" w:eastAsia="Times New Roman" w:hAnsi="Calibri" w:cs="Times New Roman"/>
          <w:i/>
          <w:color w:val="000000"/>
          <w:szCs w:val="22"/>
          <w:lang w:eastAsia="en-GB"/>
        </w:rPr>
        <w:br/>
      </w:r>
      <w:r w:rsidRPr="007024C3">
        <w:rPr>
          <w:rFonts w:ascii="Calibri" w:eastAsia="Times New Roman" w:hAnsi="Calibri" w:cs="Times New Roman"/>
          <w:b/>
          <w:i/>
          <w:color w:val="000000"/>
          <w:szCs w:val="22"/>
          <w:lang w:eastAsia="en-GB"/>
        </w:rPr>
        <w:t>Execution Time – Field 41</w:t>
      </w:r>
    </w:p>
    <w:p w:rsidR="007024C3" w:rsidRDefault="00DE362E" w:rsidP="00DE362E">
      <w:pPr>
        <w:spacing w:line="240" w:lineRule="auto"/>
        <w:rPr>
          <w:rFonts w:ascii="Calibri" w:eastAsia="Times New Roman" w:hAnsi="Calibri" w:cs="Times New Roman"/>
          <w:color w:val="000000"/>
          <w:szCs w:val="22"/>
          <w:lang w:eastAsia="en-GB"/>
        </w:rPr>
      </w:pPr>
      <w:r w:rsidRPr="00DE362E">
        <w:rPr>
          <w:rFonts w:ascii="Calibri" w:eastAsia="Times New Roman" w:hAnsi="Calibri" w:cs="Times New Roman"/>
          <w:color w:val="000000"/>
          <w:szCs w:val="22"/>
          <w:lang w:eastAsia="en-GB"/>
        </w:rPr>
        <w:t>ESMA should set a fixed format for reporting of execution timestamp to enable firms to implement more efficiently and enable their control frameworks to operate with a standard field length.</w:t>
      </w:r>
    </w:p>
    <w:p w:rsidR="007024C3" w:rsidRPr="007024C3" w:rsidRDefault="00DE362E" w:rsidP="00DE362E">
      <w:pPr>
        <w:spacing w:line="240" w:lineRule="auto"/>
        <w:rPr>
          <w:rFonts w:ascii="Calibri" w:eastAsia="Times New Roman" w:hAnsi="Calibri" w:cs="Times New Roman"/>
          <w:b/>
          <w:i/>
          <w:color w:val="000000"/>
          <w:szCs w:val="22"/>
          <w:lang w:eastAsia="en-GB"/>
        </w:rPr>
      </w:pPr>
      <w:r w:rsidRPr="007024C3">
        <w:rPr>
          <w:rFonts w:ascii="Calibri" w:eastAsia="Times New Roman" w:hAnsi="Calibri" w:cs="Times New Roman"/>
          <w:i/>
          <w:color w:val="000000"/>
          <w:szCs w:val="22"/>
          <w:lang w:eastAsia="en-GB"/>
        </w:rPr>
        <w:br/>
      </w:r>
      <w:r w:rsidRPr="007024C3">
        <w:rPr>
          <w:rFonts w:ascii="Calibri" w:eastAsia="Times New Roman" w:hAnsi="Calibri" w:cs="Times New Roman"/>
          <w:b/>
          <w:i/>
          <w:color w:val="000000"/>
          <w:szCs w:val="22"/>
          <w:lang w:eastAsia="en-GB"/>
        </w:rPr>
        <w:t>Information on prices: Fields 45 -50</w:t>
      </w:r>
    </w:p>
    <w:p w:rsidR="007024C3" w:rsidRDefault="00DE362E" w:rsidP="00DE362E">
      <w:pPr>
        <w:spacing w:line="240" w:lineRule="auto"/>
        <w:rPr>
          <w:rFonts w:ascii="Calibri" w:eastAsia="Times New Roman" w:hAnsi="Calibri" w:cs="Times New Roman"/>
          <w:color w:val="000000"/>
          <w:szCs w:val="22"/>
          <w:lang w:eastAsia="en-GB"/>
        </w:rPr>
      </w:pPr>
      <w:r w:rsidRPr="00DE362E">
        <w:rPr>
          <w:rFonts w:ascii="Calibri" w:eastAsia="Times New Roman" w:hAnsi="Calibri" w:cs="Times New Roman"/>
          <w:color w:val="000000"/>
          <w:szCs w:val="22"/>
          <w:lang w:eastAsia="en-GB"/>
        </w:rPr>
        <w:t xml:space="preserve">The consideration field is subject to interpretation and question e.g. listed futures transactions do not have a ‘settlement consideration’ and other derivative transactions will have complex calculations to determine consideration, a consideration in many cases not existing at all. </w:t>
      </w:r>
    </w:p>
    <w:p w:rsidR="00D140B0" w:rsidRDefault="00DE362E" w:rsidP="00DE362E">
      <w:pPr>
        <w:spacing w:line="240" w:lineRule="auto"/>
        <w:rPr>
          <w:rFonts w:ascii="Calibri" w:eastAsia="Times New Roman" w:hAnsi="Calibri" w:cs="Times New Roman"/>
          <w:color w:val="000000"/>
          <w:szCs w:val="22"/>
          <w:lang w:eastAsia="en-GB"/>
        </w:rPr>
      </w:pPr>
      <w:r w:rsidRPr="00DE362E">
        <w:rPr>
          <w:rFonts w:ascii="Calibri" w:eastAsia="Times New Roman" w:hAnsi="Calibri" w:cs="Times New Roman"/>
          <w:color w:val="000000"/>
          <w:szCs w:val="22"/>
          <w:lang w:eastAsia="en-GB"/>
        </w:rPr>
        <w:br/>
        <w:t xml:space="preserve">Currency throughout a trade is not always consistent, with executed price currency (field 47), underlying instrument currency where applicable (field 48) and consideration (settlement) currency often differing (field 50), which can be dependent on client </w:t>
      </w:r>
      <w:r w:rsidR="00D140B0">
        <w:rPr>
          <w:rFonts w:ascii="Calibri" w:eastAsia="Times New Roman" w:hAnsi="Calibri" w:cs="Times New Roman"/>
          <w:color w:val="000000"/>
          <w:szCs w:val="22"/>
          <w:lang w:eastAsia="en-GB"/>
        </w:rPr>
        <w:t xml:space="preserve">and </w:t>
      </w:r>
      <w:r w:rsidRPr="00DE362E">
        <w:rPr>
          <w:rFonts w:ascii="Calibri" w:eastAsia="Times New Roman" w:hAnsi="Calibri" w:cs="Times New Roman"/>
          <w:color w:val="000000"/>
          <w:szCs w:val="22"/>
          <w:lang w:eastAsia="en-GB"/>
        </w:rPr>
        <w:t xml:space="preserve">counterparty preference. </w:t>
      </w:r>
    </w:p>
    <w:p w:rsidR="00D140B0" w:rsidRDefault="00DE362E" w:rsidP="00DE362E">
      <w:pPr>
        <w:spacing w:line="240" w:lineRule="auto"/>
        <w:rPr>
          <w:rFonts w:ascii="Calibri" w:eastAsia="Times New Roman" w:hAnsi="Calibri" w:cs="Times New Roman"/>
          <w:color w:val="000000"/>
          <w:szCs w:val="22"/>
          <w:lang w:eastAsia="en-GB"/>
        </w:rPr>
      </w:pPr>
      <w:r w:rsidRPr="00DE362E">
        <w:rPr>
          <w:rFonts w:ascii="Calibri" w:eastAsia="Times New Roman" w:hAnsi="Calibri" w:cs="Times New Roman"/>
          <w:color w:val="000000"/>
          <w:szCs w:val="22"/>
          <w:lang w:eastAsia="en-GB"/>
        </w:rPr>
        <w:t xml:space="preserve"> </w:t>
      </w:r>
      <w:r w:rsidRPr="00DE362E">
        <w:rPr>
          <w:rFonts w:ascii="Calibri" w:eastAsia="Times New Roman" w:hAnsi="Calibri" w:cs="Times New Roman"/>
          <w:color w:val="000000"/>
          <w:szCs w:val="22"/>
          <w:lang w:eastAsia="en-GB"/>
        </w:rPr>
        <w:br/>
      </w:r>
      <w:r w:rsidRPr="00D140B0">
        <w:rPr>
          <w:rFonts w:ascii="Calibri" w:eastAsia="Times New Roman" w:hAnsi="Calibri" w:cs="Times New Roman"/>
          <w:b/>
          <w:i/>
          <w:color w:val="000000"/>
          <w:szCs w:val="22"/>
          <w:lang w:eastAsia="en-GB"/>
        </w:rPr>
        <w:t>Instrument identification code: Field 54</w:t>
      </w:r>
      <w:r w:rsidRPr="00DE362E">
        <w:rPr>
          <w:rFonts w:ascii="Calibri" w:eastAsia="Times New Roman" w:hAnsi="Calibri" w:cs="Times New Roman"/>
          <w:color w:val="000000"/>
          <w:szCs w:val="22"/>
          <w:lang w:eastAsia="en-GB"/>
        </w:rPr>
        <w:t xml:space="preserve"> </w:t>
      </w:r>
    </w:p>
    <w:p w:rsidR="007024C3" w:rsidRDefault="00DE362E" w:rsidP="00DE362E">
      <w:pPr>
        <w:spacing w:line="240" w:lineRule="auto"/>
        <w:rPr>
          <w:rFonts w:ascii="Calibri" w:eastAsia="Times New Roman" w:hAnsi="Calibri" w:cs="Times New Roman"/>
          <w:color w:val="000000"/>
          <w:szCs w:val="22"/>
          <w:lang w:eastAsia="en-GB"/>
        </w:rPr>
      </w:pPr>
      <w:r w:rsidRPr="00DE362E">
        <w:rPr>
          <w:rFonts w:ascii="Calibri" w:eastAsia="Times New Roman" w:hAnsi="Calibri" w:cs="Times New Roman"/>
          <w:color w:val="000000"/>
          <w:szCs w:val="22"/>
          <w:lang w:eastAsia="en-GB"/>
        </w:rPr>
        <w:t>Firms note that the details required when using an AII (or Aii) would not accommodate the information that is provided to the regulator today, whilst derivatives do not currently have a global UTI regime, although the WMBA is endorsing the FIGI approach. ESMA has not allowed an alternative identifier where neither an ISIN nor AII exists.  We prefer that an option is included to cater for such occurrences otherwise firms will be unable to make the necessary transaction reports.</w:t>
      </w:r>
    </w:p>
    <w:p w:rsidR="007024C3" w:rsidRDefault="00DE362E" w:rsidP="00DE362E">
      <w:pPr>
        <w:spacing w:line="240" w:lineRule="auto"/>
        <w:rPr>
          <w:rFonts w:ascii="Calibri" w:eastAsia="Times New Roman" w:hAnsi="Calibri" w:cs="Times New Roman"/>
          <w:color w:val="000000"/>
          <w:szCs w:val="22"/>
          <w:lang w:eastAsia="en-GB"/>
        </w:rPr>
      </w:pPr>
      <w:r w:rsidRPr="00DE362E">
        <w:rPr>
          <w:rFonts w:ascii="Calibri" w:eastAsia="Times New Roman" w:hAnsi="Calibri" w:cs="Times New Roman"/>
          <w:color w:val="000000"/>
          <w:szCs w:val="22"/>
          <w:lang w:eastAsia="en-GB"/>
        </w:rPr>
        <w:br/>
        <w:t>The information on the venue is already specified in Field 51 so there is no need to include this information twice. An OTHER category would allow a report to be made and ESMA should encourage firms to minimise use of the OTHER categorisation.</w:t>
      </w:r>
    </w:p>
    <w:p w:rsidR="007024C3" w:rsidRPr="007024C3" w:rsidRDefault="00DE362E" w:rsidP="00DE362E">
      <w:pPr>
        <w:spacing w:line="240" w:lineRule="auto"/>
        <w:rPr>
          <w:rFonts w:ascii="Calibri" w:eastAsia="Times New Roman" w:hAnsi="Calibri" w:cs="Times New Roman"/>
          <w:b/>
          <w:i/>
          <w:color w:val="000000"/>
          <w:szCs w:val="22"/>
          <w:lang w:eastAsia="en-GB"/>
        </w:rPr>
      </w:pPr>
      <w:r w:rsidRPr="007024C3">
        <w:rPr>
          <w:rFonts w:ascii="Calibri" w:eastAsia="Times New Roman" w:hAnsi="Calibri" w:cs="Times New Roman"/>
          <w:b/>
          <w:i/>
          <w:color w:val="000000"/>
          <w:szCs w:val="22"/>
          <w:lang w:eastAsia="en-GB"/>
        </w:rPr>
        <w:br/>
        <w:t xml:space="preserve">Instrument classification: Fields 55 - 56 </w:t>
      </w:r>
    </w:p>
    <w:p w:rsidR="007024C3" w:rsidRDefault="00DE362E" w:rsidP="00DE362E">
      <w:pPr>
        <w:spacing w:line="240" w:lineRule="auto"/>
        <w:rPr>
          <w:rFonts w:ascii="Calibri" w:eastAsia="Times New Roman" w:hAnsi="Calibri" w:cs="Times New Roman"/>
          <w:color w:val="000000"/>
          <w:szCs w:val="22"/>
          <w:lang w:eastAsia="en-GB"/>
        </w:rPr>
      </w:pPr>
      <w:r w:rsidRPr="00DE362E">
        <w:rPr>
          <w:rFonts w:ascii="Calibri" w:eastAsia="Times New Roman" w:hAnsi="Calibri" w:cs="Times New Roman"/>
          <w:color w:val="000000"/>
          <w:szCs w:val="22"/>
          <w:lang w:eastAsia="en-GB"/>
        </w:rPr>
        <w:t>The CFI code is not available for OTC derivatives as it currently only exists for listed instruments with an ISIN.  Where the CFI code is unavailable for classes of derivatives that are traded on a platform under MiFIR that firms derive their own internal CFI in the interim until international standards are agreed for UPI</w:t>
      </w:r>
    </w:p>
    <w:p w:rsidR="007024C3" w:rsidRPr="007024C3" w:rsidRDefault="00DE362E" w:rsidP="00DE362E">
      <w:pPr>
        <w:spacing w:line="240" w:lineRule="auto"/>
        <w:rPr>
          <w:rFonts w:ascii="Calibri" w:eastAsia="Times New Roman" w:hAnsi="Calibri" w:cs="Times New Roman"/>
          <w:b/>
          <w:i/>
          <w:color w:val="000000"/>
          <w:szCs w:val="22"/>
          <w:lang w:eastAsia="en-GB"/>
        </w:rPr>
      </w:pPr>
      <w:r w:rsidRPr="007024C3">
        <w:rPr>
          <w:rFonts w:ascii="Calibri" w:eastAsia="Times New Roman" w:hAnsi="Calibri" w:cs="Times New Roman"/>
          <w:b/>
          <w:i/>
          <w:color w:val="000000"/>
          <w:szCs w:val="22"/>
          <w:lang w:eastAsia="en-GB"/>
        </w:rPr>
        <w:br/>
        <w:t>Ultimate unde</w:t>
      </w:r>
      <w:r w:rsidR="007024C3" w:rsidRPr="007024C3">
        <w:rPr>
          <w:rFonts w:ascii="Calibri" w:eastAsia="Times New Roman" w:hAnsi="Calibri" w:cs="Times New Roman"/>
          <w:b/>
          <w:i/>
          <w:color w:val="000000"/>
          <w:szCs w:val="22"/>
          <w:lang w:eastAsia="en-GB"/>
        </w:rPr>
        <w:t>rlying instrument code Field 58</w:t>
      </w:r>
    </w:p>
    <w:p w:rsidR="007024C3" w:rsidRDefault="00DE362E" w:rsidP="00DE362E">
      <w:pPr>
        <w:spacing w:line="240" w:lineRule="auto"/>
        <w:rPr>
          <w:rFonts w:ascii="Calibri" w:eastAsia="Times New Roman" w:hAnsi="Calibri" w:cs="Times New Roman"/>
          <w:color w:val="000000"/>
          <w:szCs w:val="22"/>
          <w:lang w:eastAsia="en-GB"/>
        </w:rPr>
      </w:pPr>
      <w:r w:rsidRPr="00DE362E">
        <w:rPr>
          <w:rFonts w:ascii="Calibri" w:eastAsia="Times New Roman" w:hAnsi="Calibri" w:cs="Times New Roman"/>
          <w:color w:val="000000"/>
          <w:szCs w:val="22"/>
          <w:lang w:eastAsia="en-GB"/>
        </w:rPr>
        <w:t>WMBA would ask ESMA to revise the guidance in RTS32 so that derivatives where there is for example no underlying ISIN, Aii, ISO or LEI can be reported as ‘OTHER’.  Examples would include FX derivatives, CDS, issuers and commodities.</w:t>
      </w:r>
    </w:p>
    <w:p w:rsidR="007024C3" w:rsidRPr="007024C3" w:rsidRDefault="00DE362E" w:rsidP="00DE362E">
      <w:pPr>
        <w:spacing w:line="240" w:lineRule="auto"/>
        <w:rPr>
          <w:rFonts w:ascii="Calibri" w:eastAsia="Times New Roman" w:hAnsi="Calibri" w:cs="Times New Roman"/>
          <w:b/>
          <w:i/>
          <w:color w:val="000000"/>
          <w:szCs w:val="22"/>
          <w:lang w:eastAsia="en-GB"/>
        </w:rPr>
      </w:pPr>
      <w:r w:rsidRPr="007024C3">
        <w:rPr>
          <w:rFonts w:ascii="Calibri" w:eastAsia="Times New Roman" w:hAnsi="Calibri" w:cs="Times New Roman"/>
          <w:b/>
          <w:i/>
          <w:color w:val="000000"/>
          <w:szCs w:val="22"/>
          <w:lang w:eastAsia="en-GB"/>
        </w:rPr>
        <w:br/>
        <w:t>Baskets Field 58</w:t>
      </w:r>
    </w:p>
    <w:p w:rsidR="007024C3" w:rsidRDefault="00DE362E" w:rsidP="00DE362E">
      <w:pPr>
        <w:spacing w:line="240" w:lineRule="auto"/>
        <w:rPr>
          <w:rFonts w:ascii="Calibri" w:eastAsia="Times New Roman" w:hAnsi="Calibri" w:cs="Times New Roman"/>
          <w:color w:val="000000"/>
          <w:szCs w:val="22"/>
          <w:lang w:eastAsia="en-GB"/>
        </w:rPr>
      </w:pPr>
      <w:r w:rsidRPr="00DE362E">
        <w:rPr>
          <w:rFonts w:ascii="Calibri" w:eastAsia="Times New Roman" w:hAnsi="Calibri" w:cs="Times New Roman"/>
          <w:color w:val="000000"/>
          <w:szCs w:val="22"/>
          <w:lang w:eastAsia="en-GB"/>
        </w:rPr>
        <w:t xml:space="preserve">This field poses problems in terms of the potential large number of underlying identifiers that may not even have ISINs that firms might have to populate in this field. </w:t>
      </w:r>
    </w:p>
    <w:p w:rsidR="007024C3" w:rsidRDefault="00DE362E" w:rsidP="00DE362E">
      <w:pPr>
        <w:spacing w:line="240" w:lineRule="auto"/>
        <w:rPr>
          <w:rFonts w:ascii="Calibri" w:eastAsia="Times New Roman" w:hAnsi="Calibri" w:cs="Times New Roman"/>
          <w:color w:val="000000"/>
          <w:szCs w:val="22"/>
          <w:lang w:eastAsia="en-GB"/>
        </w:rPr>
      </w:pPr>
      <w:r w:rsidRPr="00DE362E">
        <w:rPr>
          <w:rFonts w:ascii="Calibri" w:eastAsia="Times New Roman" w:hAnsi="Calibri" w:cs="Times New Roman"/>
          <w:color w:val="000000"/>
          <w:szCs w:val="22"/>
          <w:lang w:eastAsia="en-GB"/>
        </w:rPr>
        <w:t xml:space="preserve"> </w:t>
      </w:r>
      <w:r w:rsidRPr="00DE362E">
        <w:rPr>
          <w:rFonts w:ascii="Calibri" w:eastAsia="Times New Roman" w:hAnsi="Calibri" w:cs="Times New Roman"/>
          <w:color w:val="000000"/>
          <w:szCs w:val="22"/>
          <w:lang w:eastAsia="en-GB"/>
        </w:rPr>
        <w:br/>
        <w:t xml:space="preserve">For example an Equity Swap on a bespoke basket of the FTSE250 index with the banking stocks removed – would result in a repeating group population of in excess of 200 lines.  The 25 alphanumerical characters allowed will not be sufficient to accommodate these types of baskets. </w:t>
      </w:r>
      <w:r w:rsidRPr="00DE362E">
        <w:rPr>
          <w:rFonts w:ascii="Calibri" w:eastAsia="Times New Roman" w:hAnsi="Calibri" w:cs="Times New Roman"/>
          <w:color w:val="000000"/>
          <w:szCs w:val="22"/>
          <w:lang w:eastAsia="en-GB"/>
        </w:rPr>
        <w:br/>
        <w:t xml:space="preserve">Firms suggest that where an ISIN or name (if the name is official) is available to identify baskets, sectors or indices then these should be allowed to be used as opposed to free form text which is likely to be widely different amongst firms and therefore less helpful to regulators in detecting market abuse.  </w:t>
      </w:r>
      <w:r w:rsidRPr="00DE362E">
        <w:rPr>
          <w:rFonts w:ascii="Calibri" w:eastAsia="Times New Roman" w:hAnsi="Calibri" w:cs="Times New Roman"/>
          <w:color w:val="000000"/>
          <w:szCs w:val="22"/>
          <w:lang w:eastAsia="en-GB"/>
        </w:rPr>
        <w:br/>
        <w:t>Firms would ask that Article 3 (3) (h) is amended to ensure that changes in compositions of baskets are also not reportable after a transaction has occurred: “A change in the composition of an index or basket after a transaction occurred is not reportable”</w:t>
      </w:r>
    </w:p>
    <w:p w:rsidR="007024C3" w:rsidRPr="007024C3" w:rsidRDefault="00DE362E" w:rsidP="00DE362E">
      <w:pPr>
        <w:spacing w:line="240" w:lineRule="auto"/>
        <w:rPr>
          <w:rFonts w:ascii="Calibri" w:eastAsia="Times New Roman" w:hAnsi="Calibri" w:cs="Times New Roman"/>
          <w:b/>
          <w:i/>
          <w:color w:val="000000"/>
          <w:szCs w:val="22"/>
          <w:lang w:eastAsia="en-GB"/>
        </w:rPr>
      </w:pPr>
      <w:r w:rsidRPr="007024C3">
        <w:rPr>
          <w:rFonts w:ascii="Calibri" w:eastAsia="Times New Roman" w:hAnsi="Calibri" w:cs="Times New Roman"/>
          <w:b/>
          <w:i/>
          <w:color w:val="000000"/>
          <w:szCs w:val="22"/>
          <w:lang w:eastAsia="en-GB"/>
        </w:rPr>
        <w:br/>
        <w:t>Option style: Field 61</w:t>
      </w:r>
    </w:p>
    <w:p w:rsidR="007024C3" w:rsidRDefault="00DE362E" w:rsidP="00DE362E">
      <w:pPr>
        <w:spacing w:line="240" w:lineRule="auto"/>
        <w:rPr>
          <w:rFonts w:ascii="Calibri" w:eastAsia="Times New Roman" w:hAnsi="Calibri" w:cs="Times New Roman"/>
          <w:color w:val="000000"/>
          <w:szCs w:val="22"/>
          <w:lang w:eastAsia="en-GB"/>
        </w:rPr>
      </w:pPr>
      <w:r w:rsidRPr="00DE362E">
        <w:rPr>
          <w:rFonts w:ascii="Calibri" w:eastAsia="Times New Roman" w:hAnsi="Calibri" w:cs="Times New Roman"/>
          <w:color w:val="000000"/>
          <w:szCs w:val="22"/>
          <w:lang w:eastAsia="en-GB"/>
        </w:rPr>
        <w:t xml:space="preserve">Not all complex options fit into these categories – firms suggest that where a complex option does not fit into the categories listed then ESMA specify an additional category designated “COMPLEX” for this purpose. </w:t>
      </w:r>
    </w:p>
    <w:p w:rsidR="007024C3" w:rsidRPr="007024C3" w:rsidRDefault="00DE362E" w:rsidP="00DE362E">
      <w:pPr>
        <w:spacing w:line="240" w:lineRule="auto"/>
        <w:rPr>
          <w:rFonts w:ascii="Calibri" w:eastAsia="Times New Roman" w:hAnsi="Calibri" w:cs="Times New Roman"/>
          <w:b/>
          <w:i/>
          <w:color w:val="000000"/>
          <w:szCs w:val="22"/>
          <w:lang w:eastAsia="en-GB"/>
        </w:rPr>
      </w:pPr>
      <w:r w:rsidRPr="007024C3">
        <w:rPr>
          <w:rFonts w:ascii="Calibri" w:eastAsia="Times New Roman" w:hAnsi="Calibri" w:cs="Times New Roman"/>
          <w:b/>
          <w:i/>
          <w:color w:val="000000"/>
          <w:szCs w:val="22"/>
          <w:lang w:eastAsia="en-GB"/>
        </w:rPr>
        <w:br/>
        <w:t>Trader identification code: Field 68 -69</w:t>
      </w:r>
    </w:p>
    <w:p w:rsidR="007024C3" w:rsidRDefault="00DE362E" w:rsidP="00DE362E">
      <w:pPr>
        <w:spacing w:line="240" w:lineRule="auto"/>
        <w:rPr>
          <w:rFonts w:ascii="Calibri" w:eastAsia="Times New Roman" w:hAnsi="Calibri" w:cs="Times New Roman"/>
          <w:color w:val="000000"/>
          <w:szCs w:val="22"/>
          <w:lang w:eastAsia="en-GB"/>
        </w:rPr>
      </w:pPr>
      <w:r w:rsidRPr="00DE362E">
        <w:rPr>
          <w:rFonts w:ascii="Calibri" w:eastAsia="Times New Roman" w:hAnsi="Calibri" w:cs="Times New Roman"/>
          <w:color w:val="000000"/>
          <w:szCs w:val="22"/>
          <w:lang w:eastAsia="en-GB"/>
        </w:rPr>
        <w:t>The WMBA would firmly reiterate our concern with ESMA’s proposal to have traders identified by National ID numbers. WMBA members have found this entirely impracticable in SEF operation under Dodd</w:t>
      </w:r>
      <w:r w:rsidR="007024C3">
        <w:rPr>
          <w:rFonts w:ascii="Calibri" w:eastAsia="Times New Roman" w:hAnsi="Calibri" w:cs="Times New Roman"/>
          <w:color w:val="000000"/>
          <w:szCs w:val="22"/>
          <w:lang w:eastAsia="en-GB"/>
        </w:rPr>
        <w:t xml:space="preserve"> </w:t>
      </w:r>
      <w:r w:rsidRPr="00DE362E">
        <w:rPr>
          <w:rFonts w:ascii="Calibri" w:eastAsia="Times New Roman" w:hAnsi="Calibri" w:cs="Times New Roman"/>
          <w:color w:val="000000"/>
          <w:szCs w:val="22"/>
          <w:lang w:eastAsia="en-GB"/>
        </w:rPr>
        <w:t>Frank and would suggest that there are other more suitable items of identification that could be used and are already used within firms to identify individuals, for example the National Competent Authorities registration number. While we understand the need for a unique national ID number to be used for natural persons when they are clients, we do not think this is justified in the case of a trader working within a firm and already identified by the NCA via the registration number. A trader ID need not be identified more broadly. Moreover, a registration number is better than a personal ID, as it does not inherit the problem of people with dual nationalities.</w:t>
      </w:r>
    </w:p>
    <w:p w:rsidR="007024C3" w:rsidRPr="007024C3" w:rsidRDefault="00DE362E" w:rsidP="00DE362E">
      <w:pPr>
        <w:spacing w:line="240" w:lineRule="auto"/>
        <w:rPr>
          <w:rFonts w:ascii="Calibri" w:eastAsia="Times New Roman" w:hAnsi="Calibri" w:cs="Times New Roman"/>
          <w:b/>
          <w:i/>
          <w:color w:val="000000"/>
          <w:szCs w:val="22"/>
          <w:lang w:eastAsia="en-GB"/>
        </w:rPr>
      </w:pPr>
      <w:r w:rsidRPr="007024C3">
        <w:rPr>
          <w:rFonts w:ascii="Calibri" w:eastAsia="Times New Roman" w:hAnsi="Calibri" w:cs="Times New Roman"/>
          <w:b/>
          <w:i/>
          <w:color w:val="000000"/>
          <w:szCs w:val="22"/>
          <w:lang w:eastAsia="en-GB"/>
        </w:rPr>
        <w:br/>
        <w:t>Short selling indicator: Field 77</w:t>
      </w:r>
    </w:p>
    <w:p w:rsidR="007024C3" w:rsidRDefault="00DE362E" w:rsidP="00DE362E">
      <w:pPr>
        <w:spacing w:line="240" w:lineRule="auto"/>
        <w:rPr>
          <w:rFonts w:ascii="Calibri" w:eastAsia="Times New Roman" w:hAnsi="Calibri" w:cs="Times New Roman"/>
          <w:color w:val="000000"/>
          <w:szCs w:val="22"/>
          <w:lang w:eastAsia="en-GB"/>
        </w:rPr>
      </w:pPr>
      <w:r w:rsidRPr="00DE362E">
        <w:rPr>
          <w:rFonts w:ascii="Calibri" w:eastAsia="Times New Roman" w:hAnsi="Calibri" w:cs="Times New Roman"/>
          <w:color w:val="000000"/>
          <w:szCs w:val="22"/>
          <w:lang w:eastAsia="en-GB"/>
        </w:rPr>
        <w:t>The IBD will not know whether the client is short selling.</w:t>
      </w:r>
    </w:p>
    <w:p w:rsidR="007024C3" w:rsidRPr="007024C3" w:rsidRDefault="00DE362E" w:rsidP="00DE362E">
      <w:pPr>
        <w:spacing w:line="240" w:lineRule="auto"/>
        <w:rPr>
          <w:rFonts w:ascii="Calibri" w:eastAsia="Times New Roman" w:hAnsi="Calibri" w:cs="Times New Roman"/>
          <w:b/>
          <w:i/>
          <w:color w:val="000000"/>
          <w:szCs w:val="22"/>
          <w:lang w:eastAsia="en-GB"/>
        </w:rPr>
      </w:pPr>
      <w:r w:rsidRPr="007024C3">
        <w:rPr>
          <w:rFonts w:ascii="Calibri" w:eastAsia="Times New Roman" w:hAnsi="Calibri" w:cs="Times New Roman"/>
          <w:b/>
          <w:i/>
          <w:color w:val="000000"/>
          <w:szCs w:val="22"/>
          <w:lang w:eastAsia="en-GB"/>
        </w:rPr>
        <w:br/>
        <w:t>Report Status – Field 81</w:t>
      </w:r>
    </w:p>
    <w:p w:rsidR="00DE362E" w:rsidRPr="00DE362E" w:rsidRDefault="00DE362E" w:rsidP="00DE362E">
      <w:pPr>
        <w:spacing w:line="240" w:lineRule="auto"/>
        <w:rPr>
          <w:rFonts w:ascii="Calibri" w:eastAsia="Times New Roman" w:hAnsi="Calibri" w:cs="Times New Roman"/>
          <w:color w:val="000000"/>
          <w:szCs w:val="22"/>
          <w:lang w:eastAsia="en-GB"/>
        </w:rPr>
      </w:pPr>
      <w:r w:rsidRPr="00DE362E">
        <w:rPr>
          <w:rFonts w:ascii="Calibri" w:eastAsia="Times New Roman" w:hAnsi="Calibri" w:cs="Times New Roman"/>
          <w:color w:val="000000"/>
          <w:szCs w:val="22"/>
          <w:lang w:eastAsia="en-GB"/>
        </w:rPr>
        <w:t xml:space="preserve">Only </w:t>
      </w:r>
      <w:r w:rsidR="004E26B2" w:rsidRPr="00DE362E">
        <w:rPr>
          <w:rFonts w:ascii="Calibri" w:eastAsia="Times New Roman" w:hAnsi="Calibri" w:cs="Times New Roman"/>
          <w:color w:val="000000"/>
          <w:szCs w:val="22"/>
          <w:lang w:eastAsia="en-GB"/>
        </w:rPr>
        <w:t>N (</w:t>
      </w:r>
      <w:r w:rsidRPr="00DE362E">
        <w:rPr>
          <w:rFonts w:ascii="Calibri" w:eastAsia="Times New Roman" w:hAnsi="Calibri" w:cs="Times New Roman"/>
          <w:color w:val="000000"/>
          <w:szCs w:val="22"/>
          <w:lang w:eastAsia="en-GB"/>
        </w:rPr>
        <w:t xml:space="preserve">new) and </w:t>
      </w:r>
      <w:r w:rsidR="004E26B2" w:rsidRPr="00DE362E">
        <w:rPr>
          <w:rFonts w:ascii="Calibri" w:eastAsia="Times New Roman" w:hAnsi="Calibri" w:cs="Times New Roman"/>
          <w:color w:val="000000"/>
          <w:szCs w:val="22"/>
          <w:lang w:eastAsia="en-GB"/>
        </w:rPr>
        <w:t>C (</w:t>
      </w:r>
      <w:r w:rsidRPr="00DE362E">
        <w:rPr>
          <w:rFonts w:ascii="Calibri" w:eastAsia="Times New Roman" w:hAnsi="Calibri" w:cs="Times New Roman"/>
          <w:color w:val="000000"/>
          <w:szCs w:val="22"/>
          <w:lang w:eastAsia="en-GB"/>
        </w:rPr>
        <w:t xml:space="preserve">cancel) are applicable, and there is no mention of </w:t>
      </w:r>
      <w:r w:rsidR="004E26B2" w:rsidRPr="00DE362E">
        <w:rPr>
          <w:rFonts w:ascii="Calibri" w:eastAsia="Times New Roman" w:hAnsi="Calibri" w:cs="Times New Roman"/>
          <w:color w:val="000000"/>
          <w:szCs w:val="22"/>
          <w:lang w:eastAsia="en-GB"/>
        </w:rPr>
        <w:t>A (</w:t>
      </w:r>
      <w:r w:rsidRPr="00DE362E">
        <w:rPr>
          <w:rFonts w:ascii="Calibri" w:eastAsia="Times New Roman" w:hAnsi="Calibri" w:cs="Times New Roman"/>
          <w:color w:val="000000"/>
          <w:szCs w:val="22"/>
          <w:lang w:eastAsia="en-GB"/>
        </w:rPr>
        <w:t>amend). This will create an unnecessary additional volume of reports.  We would – welcome the possibility to amend reports instead of cancelling reports and then reporting as new trades.</w:t>
      </w:r>
    </w:p>
    <w:permEnd w:id="581202682"/>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D140B0" w:rsidRDefault="00D140B0" w:rsidP="00D140B0">
      <w:pPr>
        <w:spacing w:line="240" w:lineRule="auto"/>
        <w:rPr>
          <w:rFonts w:ascii="Calibri" w:eastAsia="Times New Roman" w:hAnsi="Calibri" w:cs="Times New Roman"/>
          <w:color w:val="000000"/>
          <w:szCs w:val="22"/>
          <w:lang w:eastAsia="en-GB"/>
        </w:rPr>
      </w:pPr>
      <w:permStart w:id="782708436" w:edGrp="everyone"/>
      <w:r>
        <w:rPr>
          <w:rFonts w:ascii="Calibri" w:eastAsia="Times New Roman" w:hAnsi="Calibri" w:cs="Times New Roman"/>
          <w:color w:val="000000"/>
          <w:szCs w:val="22"/>
          <w:lang w:eastAsia="en-GB"/>
        </w:rPr>
        <w:t>T</w:t>
      </w:r>
      <w:r w:rsidRPr="00D140B0">
        <w:rPr>
          <w:rFonts w:ascii="Calibri" w:eastAsia="Times New Roman" w:hAnsi="Calibri" w:cs="Times New Roman"/>
          <w:color w:val="000000"/>
          <w:szCs w:val="22"/>
          <w:lang w:eastAsia="en-GB"/>
        </w:rPr>
        <w:t>he WMBA agrees with the “Matched Principal” flag although in our opinion it as largely redundant as we note that this can only be applicable on an OTF where all bond transactions will be arranged as Matched Principal.</w:t>
      </w:r>
    </w:p>
    <w:p w:rsidR="00D140B0" w:rsidRDefault="00D140B0" w:rsidP="00D140B0">
      <w:pPr>
        <w:spacing w:line="240" w:lineRule="auto"/>
        <w:rPr>
          <w:rFonts w:ascii="Calibri" w:eastAsia="Times New Roman" w:hAnsi="Calibri" w:cs="Times New Roman"/>
          <w:color w:val="000000"/>
          <w:szCs w:val="22"/>
          <w:lang w:eastAsia="en-GB"/>
        </w:rPr>
      </w:pPr>
    </w:p>
    <w:p w:rsidR="00D140B0" w:rsidRPr="00D140B0" w:rsidRDefault="00D140B0" w:rsidP="00D140B0">
      <w:pPr>
        <w:spacing w:line="240" w:lineRule="auto"/>
        <w:rPr>
          <w:rFonts w:ascii="Calibri" w:eastAsia="Times New Roman" w:hAnsi="Calibri" w:cs="Times New Roman"/>
          <w:color w:val="000000"/>
          <w:szCs w:val="22"/>
          <w:lang w:eastAsia="en-GB"/>
        </w:rPr>
      </w:pPr>
      <w:r w:rsidRPr="00D140B0">
        <w:rPr>
          <w:rFonts w:ascii="Calibri" w:eastAsia="Times New Roman" w:hAnsi="Calibri" w:cs="Times New Roman"/>
          <w:color w:val="000000"/>
          <w:szCs w:val="22"/>
          <w:lang w:eastAsia="en-GB"/>
        </w:rPr>
        <w:t>In the scenario, where a venue has to report for third country participants, it will not be in possession of information regarding the trading capacity of the client. Whilst it can request such information, the venue is clearly not in a position to verify the information received.</w:t>
      </w:r>
    </w:p>
    <w:permEnd w:id="782708436"/>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t>&lt;ESMA_QUESTION_CP_MIFID_220&gt;</w:t>
      </w:r>
    </w:p>
    <w:p w:rsidR="00D140B0" w:rsidRPr="00D140B0" w:rsidRDefault="00D140B0" w:rsidP="00D140B0">
      <w:pPr>
        <w:spacing w:line="240" w:lineRule="auto"/>
        <w:rPr>
          <w:rFonts w:ascii="Calibri" w:eastAsia="Times New Roman" w:hAnsi="Calibri" w:cs="Times New Roman"/>
          <w:color w:val="000000"/>
          <w:szCs w:val="22"/>
          <w:lang w:eastAsia="en-GB"/>
        </w:rPr>
      </w:pPr>
      <w:permStart w:id="1171289197" w:edGrp="everyone"/>
      <w:r w:rsidRPr="00D140B0">
        <w:rPr>
          <w:rFonts w:ascii="Calibri" w:eastAsia="Times New Roman" w:hAnsi="Calibri" w:cs="Times New Roman"/>
          <w:color w:val="000000"/>
          <w:szCs w:val="22"/>
          <w:lang w:eastAsia="en-GB"/>
        </w:rPr>
        <w:t>No</w:t>
      </w:r>
      <w:r>
        <w:rPr>
          <w:rFonts w:ascii="Calibri" w:eastAsia="Times New Roman" w:hAnsi="Calibri" w:cs="Times New Roman"/>
          <w:color w:val="000000"/>
          <w:szCs w:val="22"/>
          <w:lang w:eastAsia="en-GB"/>
        </w:rPr>
        <w:t>,</w:t>
      </w:r>
      <w:r w:rsidRPr="00D140B0">
        <w:rPr>
          <w:rFonts w:ascii="Calibri" w:eastAsia="Times New Roman" w:hAnsi="Calibri" w:cs="Times New Roman"/>
          <w:color w:val="000000"/>
          <w:szCs w:val="22"/>
          <w:lang w:eastAsia="en-GB"/>
        </w:rPr>
        <w:t xml:space="preserve"> the WMBA does not see a problem with identifying the specific waiver(s) under which the trade took place in a transaction report. We do however think that several waivers may coincidentally apply, whilst the designation of the trade from the transaction is an ongoing problem through the level 2.</w:t>
      </w:r>
    </w:p>
    <w:permEnd w:id="1171289197"/>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D140B0" w:rsidRPr="00D140B0" w:rsidRDefault="00D140B0" w:rsidP="00D140B0">
      <w:pPr>
        <w:spacing w:line="240" w:lineRule="auto"/>
        <w:rPr>
          <w:rFonts w:ascii="Calibri" w:eastAsia="Times New Roman" w:hAnsi="Calibri" w:cs="Times New Roman"/>
          <w:color w:val="000000"/>
          <w:szCs w:val="22"/>
          <w:lang w:eastAsia="en-GB"/>
        </w:rPr>
      </w:pPr>
      <w:permStart w:id="1317891364" w:edGrp="everyone"/>
      <w:r w:rsidRPr="00D140B0">
        <w:rPr>
          <w:rFonts w:ascii="Calibri" w:eastAsia="Times New Roman" w:hAnsi="Calibri" w:cs="Times New Roman"/>
          <w:color w:val="000000"/>
          <w:szCs w:val="22"/>
          <w:lang w:eastAsia="en-GB"/>
        </w:rPr>
        <w:t xml:space="preserve">WMBA agrees with the approach stated in Article 11. </w:t>
      </w:r>
    </w:p>
    <w:permEnd w:id="1317891364"/>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D140B0" w:rsidRPr="00D140B0" w:rsidRDefault="00D140B0" w:rsidP="00D140B0">
      <w:pPr>
        <w:spacing w:line="240" w:lineRule="auto"/>
        <w:rPr>
          <w:rFonts w:ascii="Calibri" w:eastAsia="Times New Roman" w:hAnsi="Calibri" w:cs="Times New Roman"/>
          <w:color w:val="000000"/>
          <w:szCs w:val="22"/>
          <w:lang w:eastAsia="en-GB"/>
        </w:rPr>
      </w:pPr>
      <w:permStart w:id="1421165103" w:edGrp="everyone"/>
      <w:r w:rsidRPr="00D140B0">
        <w:rPr>
          <w:rFonts w:ascii="Calibri" w:eastAsia="Times New Roman" w:hAnsi="Calibri" w:cs="Times New Roman"/>
          <w:color w:val="000000"/>
          <w:szCs w:val="22"/>
          <w:lang w:eastAsia="en-GB"/>
        </w:rPr>
        <w:t>Once a basket has been identified as reportable (i.e. at least one component of the basket is a financial instrument admitted to trading or traded) WMBA would suggest all the component of the basket to be identified in the report.</w:t>
      </w:r>
    </w:p>
    <w:permEnd w:id="1421165103"/>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D140B0" w:rsidRPr="00D140B0" w:rsidRDefault="00603521" w:rsidP="00D140B0">
      <w:pPr>
        <w:spacing w:line="240" w:lineRule="auto"/>
        <w:rPr>
          <w:rFonts w:ascii="Calibri" w:eastAsia="Times New Roman" w:hAnsi="Calibri" w:cs="Times New Roman"/>
          <w:color w:val="000000"/>
          <w:szCs w:val="22"/>
          <w:lang w:eastAsia="en-GB"/>
        </w:rPr>
      </w:pPr>
      <w:permStart w:id="464876815" w:edGrp="everyone"/>
      <w:r>
        <w:rPr>
          <w:rFonts w:ascii="Calibri" w:eastAsia="Times New Roman" w:hAnsi="Calibri" w:cs="Times New Roman"/>
          <w:color w:val="000000"/>
          <w:szCs w:val="22"/>
          <w:lang w:eastAsia="en-GB"/>
        </w:rPr>
        <w:t xml:space="preserve">The </w:t>
      </w:r>
      <w:r w:rsidRPr="00D140B0">
        <w:rPr>
          <w:rFonts w:ascii="Calibri" w:eastAsia="Times New Roman" w:hAnsi="Calibri" w:cs="Times New Roman"/>
          <w:color w:val="000000"/>
          <w:szCs w:val="22"/>
          <w:lang w:eastAsia="en-GB"/>
        </w:rPr>
        <w:t xml:space="preserve">WMBA </w:t>
      </w:r>
      <w:r>
        <w:rPr>
          <w:rFonts w:ascii="Calibri" w:eastAsia="Times New Roman" w:hAnsi="Calibri" w:cs="Times New Roman"/>
          <w:color w:val="000000"/>
          <w:szCs w:val="22"/>
          <w:lang w:eastAsia="en-GB"/>
        </w:rPr>
        <w:t>has</w:t>
      </w:r>
      <w:r w:rsidRPr="00D140B0">
        <w:rPr>
          <w:rFonts w:ascii="Calibri" w:eastAsia="Times New Roman" w:hAnsi="Calibri" w:cs="Times New Roman"/>
          <w:color w:val="000000"/>
          <w:szCs w:val="22"/>
          <w:lang w:eastAsia="en-GB"/>
        </w:rPr>
        <w:t xml:space="preserve"> </w:t>
      </w:r>
      <w:r w:rsidR="00D140B0" w:rsidRPr="00D140B0">
        <w:rPr>
          <w:rFonts w:ascii="Calibri" w:eastAsia="Times New Roman" w:hAnsi="Calibri" w:cs="Times New Roman"/>
          <w:color w:val="000000"/>
          <w:szCs w:val="22"/>
          <w:lang w:eastAsia="en-GB"/>
        </w:rPr>
        <w:t>no comment</w:t>
      </w:r>
    </w:p>
    <w:permEnd w:id="464876815"/>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D140B0" w:rsidRDefault="00D140B0" w:rsidP="00D140B0">
      <w:pPr>
        <w:spacing w:line="240" w:lineRule="auto"/>
        <w:rPr>
          <w:rFonts w:ascii="Calibri" w:eastAsia="Times New Roman" w:hAnsi="Calibri" w:cs="Times New Roman"/>
          <w:color w:val="000000"/>
          <w:szCs w:val="22"/>
          <w:lang w:eastAsia="en-GB"/>
        </w:rPr>
      </w:pPr>
      <w:permStart w:id="1067983304" w:edGrp="everyone"/>
      <w:r w:rsidRPr="00D140B0">
        <w:rPr>
          <w:rFonts w:ascii="Calibri" w:eastAsia="Times New Roman" w:hAnsi="Calibri" w:cs="Times New Roman"/>
          <w:color w:val="000000"/>
          <w:szCs w:val="22"/>
          <w:lang w:eastAsia="en-GB"/>
        </w:rPr>
        <w:t>The WMBA has concerns that by the Jan 2017 deadline LEI might not yet be fully rolled out and this could firms in a difficult situation when facing a non EEA counterparty in a jurisdiction where LEI is not yet mandatory. We would welcome a phase-in period where alternative identifiers (like BIC) would be allowed still during the first year (2017).</w:t>
      </w:r>
    </w:p>
    <w:p w:rsidR="00D140B0" w:rsidRPr="00D140B0" w:rsidRDefault="00D140B0" w:rsidP="00D140B0">
      <w:pPr>
        <w:spacing w:line="240" w:lineRule="auto"/>
        <w:rPr>
          <w:rFonts w:ascii="Calibri" w:eastAsia="Times New Roman" w:hAnsi="Calibri" w:cs="Times New Roman"/>
          <w:color w:val="000000"/>
          <w:szCs w:val="22"/>
          <w:lang w:eastAsia="en-GB"/>
        </w:rPr>
      </w:pPr>
      <w:r w:rsidRPr="00D140B0">
        <w:rPr>
          <w:rFonts w:ascii="Calibri" w:eastAsia="Times New Roman" w:hAnsi="Calibri" w:cs="Times New Roman"/>
          <w:color w:val="000000"/>
          <w:szCs w:val="22"/>
          <w:lang w:eastAsia="en-GB"/>
        </w:rPr>
        <w:br/>
        <w:t xml:space="preserve">WMBA would also urge ESMA to consult with the Regulatory Oversight Committee (ROC) and Local operating Units (LOU) and review the pricing for the maintenance of the LEI for NFC (non-financials).  The yearly cost to maintain the LEI in a valid status can be high if taking into consideration the low number of trades they have, and might lead to large number of LEI to go into “lapsed” status. </w:t>
      </w:r>
    </w:p>
    <w:permEnd w:id="1067983304"/>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603521" w:rsidRPr="00603521" w:rsidRDefault="00603521" w:rsidP="00603521">
      <w:pPr>
        <w:spacing w:line="240" w:lineRule="auto"/>
        <w:rPr>
          <w:rFonts w:ascii="Calibri" w:eastAsia="Times New Roman" w:hAnsi="Calibri" w:cs="Times New Roman"/>
          <w:color w:val="000000"/>
          <w:szCs w:val="22"/>
          <w:lang w:eastAsia="en-GB"/>
        </w:rPr>
      </w:pPr>
      <w:permStart w:id="697392775" w:edGrp="everyone"/>
      <w:r>
        <w:rPr>
          <w:rFonts w:ascii="Calibri" w:eastAsia="Times New Roman" w:hAnsi="Calibri" w:cs="Times New Roman"/>
          <w:color w:val="000000"/>
          <w:szCs w:val="22"/>
          <w:lang w:eastAsia="en-GB"/>
        </w:rPr>
        <w:t xml:space="preserve">The WMBA </w:t>
      </w:r>
      <w:r w:rsidRPr="00603521">
        <w:rPr>
          <w:rFonts w:ascii="Calibri" w:eastAsia="Times New Roman" w:hAnsi="Calibri" w:cs="Times New Roman"/>
          <w:color w:val="000000"/>
          <w:szCs w:val="22"/>
          <w:lang w:eastAsia="en-GB"/>
        </w:rPr>
        <w:t xml:space="preserve">would like to highlight general concerns around the number of fields required for transaction reporting. Unless the principal to a transaction is responsible for the reporting, it will be unlikely that a third party would be able to get hold of the information on a voluntary basis. This is the key issue faced by trading venues which have to report for third country participants. </w:t>
      </w:r>
      <w:r>
        <w:rPr>
          <w:rFonts w:ascii="Calibri" w:eastAsia="Times New Roman" w:hAnsi="Calibri" w:cs="Times New Roman"/>
          <w:color w:val="000000"/>
          <w:szCs w:val="22"/>
          <w:lang w:eastAsia="en-GB"/>
        </w:rPr>
        <w:t xml:space="preserve">Notably in the case of </w:t>
      </w:r>
      <w:r w:rsidRPr="00603521">
        <w:rPr>
          <w:rFonts w:ascii="Calibri" w:eastAsia="Times New Roman" w:hAnsi="Calibri" w:cs="Times New Roman"/>
          <w:color w:val="000000"/>
          <w:szCs w:val="22"/>
          <w:lang w:eastAsia="en-GB"/>
        </w:rPr>
        <w:t>fields in relation to the trader identification code type and the short selling indicator are unlikely to be available.</w:t>
      </w:r>
    </w:p>
    <w:p w:rsidR="00603521" w:rsidRPr="00603521" w:rsidRDefault="00603521" w:rsidP="00603521">
      <w:pPr>
        <w:spacing w:line="240" w:lineRule="auto"/>
        <w:rPr>
          <w:rFonts w:ascii="Calibri" w:eastAsia="Times New Roman" w:hAnsi="Calibri" w:cs="Times New Roman"/>
          <w:color w:val="000000"/>
          <w:szCs w:val="22"/>
          <w:lang w:eastAsia="en-GB"/>
        </w:rPr>
      </w:pPr>
    </w:p>
    <w:p w:rsidR="00603521" w:rsidRDefault="00603521" w:rsidP="00603521">
      <w:pPr>
        <w:spacing w:line="240" w:lineRule="auto"/>
        <w:rPr>
          <w:rFonts w:ascii="Calibri" w:eastAsia="Times New Roman" w:hAnsi="Calibri" w:cs="Times New Roman"/>
          <w:color w:val="000000"/>
          <w:szCs w:val="22"/>
          <w:lang w:eastAsia="en-GB"/>
        </w:rPr>
      </w:pPr>
      <w:r w:rsidRPr="00603521">
        <w:rPr>
          <w:rFonts w:ascii="Calibri" w:eastAsia="Times New Roman" w:hAnsi="Calibri" w:cs="Times New Roman"/>
          <w:color w:val="000000"/>
          <w:szCs w:val="22"/>
          <w:lang w:eastAsia="en-GB"/>
        </w:rPr>
        <w:t xml:space="preserve">We </w:t>
      </w:r>
      <w:r>
        <w:rPr>
          <w:rFonts w:ascii="Calibri" w:eastAsia="Times New Roman" w:hAnsi="Calibri" w:cs="Times New Roman"/>
          <w:color w:val="000000"/>
          <w:szCs w:val="22"/>
          <w:lang w:eastAsia="en-GB"/>
        </w:rPr>
        <w:t>remain concerned</w:t>
      </w:r>
      <w:r w:rsidRPr="00603521">
        <w:rPr>
          <w:rFonts w:ascii="Calibri" w:eastAsia="Times New Roman" w:hAnsi="Calibri" w:cs="Times New Roman"/>
          <w:color w:val="000000"/>
          <w:szCs w:val="22"/>
          <w:lang w:eastAsia="en-GB"/>
        </w:rPr>
        <w:t xml:space="preserve"> around the identification of financial instruments. Whilst for bonds and equities, there are existing terminologies (ISINs), these are much less used in the OTC derivative markets. It is important to recognise that any transaction report can thus only make reference to internal instrument identifiers in the absence of an external reference point.</w:t>
      </w:r>
    </w:p>
    <w:p w:rsidR="00603521" w:rsidRPr="00603521" w:rsidRDefault="00603521" w:rsidP="00603521">
      <w:pPr>
        <w:spacing w:line="240" w:lineRule="auto"/>
        <w:rPr>
          <w:rFonts w:ascii="Calibri" w:eastAsia="Times New Roman" w:hAnsi="Calibri" w:cs="Times New Roman"/>
          <w:color w:val="000000"/>
          <w:szCs w:val="22"/>
          <w:lang w:eastAsia="en-GB"/>
        </w:rPr>
      </w:pPr>
    </w:p>
    <w:p w:rsidR="00D140B0" w:rsidRPr="00D140B0" w:rsidRDefault="00D140B0" w:rsidP="00D140B0">
      <w:pPr>
        <w:spacing w:line="240" w:lineRule="auto"/>
        <w:rPr>
          <w:rFonts w:ascii="Calibri" w:eastAsia="Times New Roman" w:hAnsi="Calibri" w:cs="Times New Roman"/>
          <w:b/>
          <w:i/>
          <w:color w:val="000000"/>
          <w:szCs w:val="22"/>
          <w:lang w:eastAsia="en-GB"/>
        </w:rPr>
      </w:pPr>
      <w:r w:rsidRPr="00D140B0">
        <w:rPr>
          <w:rFonts w:ascii="Calibri" w:eastAsia="Times New Roman" w:hAnsi="Calibri" w:cs="Times New Roman"/>
          <w:b/>
          <w:i/>
          <w:color w:val="000000"/>
          <w:szCs w:val="22"/>
          <w:lang w:eastAsia="en-GB"/>
        </w:rPr>
        <w:t xml:space="preserve">Over reporting: </w:t>
      </w:r>
    </w:p>
    <w:p w:rsidR="00D140B0" w:rsidRDefault="00D140B0" w:rsidP="00D140B0">
      <w:pPr>
        <w:spacing w:line="240" w:lineRule="auto"/>
        <w:rPr>
          <w:rFonts w:ascii="Calibri" w:eastAsia="Times New Roman" w:hAnsi="Calibri" w:cs="Times New Roman"/>
          <w:color w:val="000000"/>
          <w:szCs w:val="22"/>
          <w:lang w:eastAsia="en-GB"/>
        </w:rPr>
      </w:pPr>
      <w:r w:rsidRPr="00D140B0">
        <w:rPr>
          <w:rFonts w:ascii="Calibri" w:eastAsia="Times New Roman" w:hAnsi="Calibri" w:cs="Times New Roman"/>
          <w:color w:val="000000"/>
          <w:szCs w:val="22"/>
          <w:lang w:eastAsia="en-GB"/>
        </w:rPr>
        <w:br/>
        <w:t>WMBA notes that over-reporting may be likely in the early years of MiFID2, although best efforts will be made not to over-report; we do not think that over-reporting should be explicitly precluded in the RTS. When in doubt firms will prefer to over-report to ensure they meet their transaction reporting obligations.  We therefore do not think firms should be penalised (required to back report) for over-reporting as long as they make best efforts not to over-report and the information they send is complete and accurate. Indeed, in the absence of a golden source of reportable products, firms will report on a best endeavours basis and err on the side of caution and report transactions where there is an element of doubt.  It is the firms’ responsibility to determine which instruments are reportable.</w:t>
      </w:r>
    </w:p>
    <w:p w:rsidR="00D140B0" w:rsidRPr="00D140B0" w:rsidRDefault="00D140B0" w:rsidP="00D140B0">
      <w:pPr>
        <w:spacing w:line="240" w:lineRule="auto"/>
        <w:rPr>
          <w:rFonts w:ascii="Calibri" w:eastAsia="Times New Roman" w:hAnsi="Calibri" w:cs="Times New Roman"/>
          <w:b/>
          <w:i/>
          <w:color w:val="000000"/>
          <w:szCs w:val="22"/>
          <w:lang w:eastAsia="en-GB"/>
        </w:rPr>
      </w:pPr>
      <w:r w:rsidRPr="00D140B0">
        <w:rPr>
          <w:rFonts w:ascii="Calibri" w:eastAsia="Times New Roman" w:hAnsi="Calibri" w:cs="Times New Roman"/>
          <w:b/>
          <w:i/>
          <w:color w:val="000000"/>
          <w:szCs w:val="22"/>
          <w:lang w:eastAsia="en-GB"/>
        </w:rPr>
        <w:br/>
        <w:t xml:space="preserve">Calculation of positions: </w:t>
      </w:r>
    </w:p>
    <w:p w:rsidR="00D140B0" w:rsidRDefault="00D140B0" w:rsidP="00D140B0">
      <w:pPr>
        <w:spacing w:line="240" w:lineRule="auto"/>
        <w:rPr>
          <w:rFonts w:ascii="Calibri" w:eastAsia="Times New Roman" w:hAnsi="Calibri" w:cs="Times New Roman"/>
          <w:color w:val="000000"/>
          <w:szCs w:val="22"/>
          <w:lang w:eastAsia="en-GB"/>
        </w:rPr>
      </w:pPr>
      <w:r w:rsidRPr="00D140B0">
        <w:rPr>
          <w:rFonts w:ascii="Calibri" w:eastAsia="Times New Roman" w:hAnsi="Calibri" w:cs="Times New Roman"/>
          <w:color w:val="000000"/>
          <w:szCs w:val="22"/>
          <w:lang w:eastAsia="en-GB"/>
        </w:rPr>
        <w:br/>
        <w:t xml:space="preserve">Evidently WMBA members are not authorised to hold positions. Whilst the WMBA notes ESMA’s efforts to define ‘transaction’ and ‘execution of a transaction’ for transaction reporting purposes. As stated in the draft RTS 32 Article 3, not all actions and transactions are included in the transaction reporting scope. </w:t>
      </w:r>
    </w:p>
    <w:p w:rsidR="00D140B0" w:rsidRDefault="00D140B0" w:rsidP="00D140B0">
      <w:pPr>
        <w:spacing w:line="240" w:lineRule="auto"/>
        <w:rPr>
          <w:rFonts w:ascii="Calibri" w:eastAsia="Times New Roman" w:hAnsi="Calibri" w:cs="Times New Roman"/>
          <w:color w:val="000000"/>
          <w:szCs w:val="22"/>
          <w:lang w:eastAsia="en-GB"/>
        </w:rPr>
      </w:pPr>
      <w:r w:rsidRPr="00D140B0">
        <w:rPr>
          <w:rFonts w:ascii="Calibri" w:eastAsia="Times New Roman" w:hAnsi="Calibri" w:cs="Times New Roman"/>
          <w:color w:val="000000"/>
          <w:szCs w:val="22"/>
          <w:lang w:eastAsia="en-GB"/>
        </w:rPr>
        <w:br/>
        <w:t xml:space="preserve">As not all actions/transactions are reportable it would be impossible for competent authorities to use transaction reports to calculate firms’ exact positions and moreover we expect that this methodology would hypothecate positions at IDBs where none actually exist. </w:t>
      </w:r>
    </w:p>
    <w:p w:rsidR="00D140B0" w:rsidRPr="00D140B0" w:rsidRDefault="00D140B0" w:rsidP="00D140B0">
      <w:pPr>
        <w:spacing w:line="240" w:lineRule="auto"/>
        <w:rPr>
          <w:rFonts w:ascii="Calibri" w:eastAsia="Times New Roman" w:hAnsi="Calibri" w:cs="Times New Roman"/>
          <w:color w:val="000000"/>
          <w:szCs w:val="22"/>
          <w:lang w:eastAsia="en-GB"/>
        </w:rPr>
      </w:pPr>
      <w:r w:rsidRPr="00D140B0">
        <w:rPr>
          <w:rFonts w:ascii="Calibri" w:eastAsia="Times New Roman" w:hAnsi="Calibri" w:cs="Times New Roman"/>
          <w:color w:val="000000"/>
          <w:szCs w:val="22"/>
          <w:lang w:eastAsia="en-GB"/>
        </w:rPr>
        <w:br/>
        <w:t>Conversely, the draft RTS 32 Article 14(5) (a), seem to require investment firms to ‘have adequate arrangements in place to ensure that the transaction reports submitted by the firm accurately reflect the changes in position of the firm’. For IDBs, whilst do position report that latter stipulation is redundant. We would therefore qualify the requirement to add, ‘where relevant, and not applying to (limited activity / limited licence) investment firms acting as MiFID venues.</w:t>
      </w:r>
    </w:p>
    <w:permEnd w:id="697392775"/>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603521" w:rsidRPr="00D140B0" w:rsidRDefault="00603521" w:rsidP="00603521">
      <w:pPr>
        <w:spacing w:line="240" w:lineRule="auto"/>
        <w:rPr>
          <w:rFonts w:ascii="Calibri" w:eastAsia="Times New Roman" w:hAnsi="Calibri" w:cs="Times New Roman"/>
          <w:color w:val="000000"/>
          <w:szCs w:val="22"/>
          <w:lang w:eastAsia="en-GB"/>
        </w:rPr>
      </w:pPr>
      <w:permStart w:id="1298358143" w:edGrp="everyone"/>
      <w:r>
        <w:rPr>
          <w:rFonts w:ascii="Calibri" w:eastAsia="Times New Roman" w:hAnsi="Calibri" w:cs="Times New Roman"/>
          <w:color w:val="000000"/>
          <w:szCs w:val="22"/>
          <w:lang w:eastAsia="en-GB"/>
        </w:rPr>
        <w:t xml:space="preserve">The </w:t>
      </w:r>
      <w:r w:rsidRPr="00D140B0">
        <w:rPr>
          <w:rFonts w:ascii="Calibri" w:eastAsia="Times New Roman" w:hAnsi="Calibri" w:cs="Times New Roman"/>
          <w:color w:val="000000"/>
          <w:szCs w:val="22"/>
          <w:lang w:eastAsia="en-GB"/>
        </w:rPr>
        <w:t xml:space="preserve">WMBA </w:t>
      </w:r>
      <w:r>
        <w:rPr>
          <w:rFonts w:ascii="Calibri" w:eastAsia="Times New Roman" w:hAnsi="Calibri" w:cs="Times New Roman"/>
          <w:color w:val="000000"/>
          <w:szCs w:val="22"/>
          <w:lang w:eastAsia="en-GB"/>
        </w:rPr>
        <w:t>has</w:t>
      </w:r>
      <w:r w:rsidRPr="00D140B0">
        <w:rPr>
          <w:rFonts w:ascii="Calibri" w:eastAsia="Times New Roman" w:hAnsi="Calibri" w:cs="Times New Roman"/>
          <w:color w:val="000000"/>
          <w:szCs w:val="22"/>
          <w:lang w:eastAsia="en-GB"/>
        </w:rPr>
        <w:t xml:space="preserve"> no comment</w:t>
      </w:r>
    </w:p>
    <w:permEnd w:id="1298358143"/>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603521" w:rsidP="00EC2C93">
      <w:pPr>
        <w:keepNext/>
      </w:pPr>
      <w:permStart w:id="1829250476" w:edGrp="everyone"/>
      <w:r>
        <w:t xml:space="preserve">The </w:t>
      </w:r>
      <w:r w:rsidRPr="00603521">
        <w:t>WMBA does not agree with the approach to flag market makers for the reasons outlined in the relevant microstructural section which include the fact that clients may be deemed as market makers in non-equity markets where they themselves would not consider as acting in this capacity.</w:t>
      </w:r>
      <w:r>
        <w:t xml:space="preserve"> </w:t>
      </w:r>
      <w:r w:rsidRPr="00603521">
        <w:t xml:space="preserve">Due to the wide reaching definition of an Algo this will encompass those streaming prices to the screen and will show a misleading level of market making activity.   </w:t>
      </w:r>
      <w:permEnd w:id="1829250476"/>
      <w:r w:rsidR="00577C33">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t>&lt;ESMA_QUESTION_CP_MIFID_228&gt;</w:t>
      </w:r>
    </w:p>
    <w:p w:rsidR="00603521" w:rsidRDefault="00603521" w:rsidP="00603521">
      <w:pPr>
        <w:spacing w:line="240" w:lineRule="auto"/>
        <w:rPr>
          <w:rFonts w:ascii="Calibri" w:eastAsia="Times New Roman" w:hAnsi="Calibri" w:cs="Times New Roman"/>
          <w:color w:val="000000"/>
          <w:szCs w:val="22"/>
          <w:lang w:eastAsia="en-GB"/>
        </w:rPr>
      </w:pPr>
      <w:permStart w:id="714938286" w:edGrp="everyone"/>
      <w:r>
        <w:rPr>
          <w:rFonts w:ascii="Calibri" w:eastAsia="Times New Roman" w:hAnsi="Calibri" w:cs="Times New Roman"/>
          <w:color w:val="000000"/>
          <w:szCs w:val="22"/>
          <w:lang w:eastAsia="en-GB"/>
        </w:rPr>
        <w:t xml:space="preserve">The </w:t>
      </w:r>
      <w:r w:rsidRPr="00603521">
        <w:rPr>
          <w:rFonts w:ascii="Calibri" w:eastAsia="Times New Roman" w:hAnsi="Calibri" w:cs="Times New Roman"/>
          <w:color w:val="000000"/>
          <w:szCs w:val="22"/>
          <w:lang w:eastAsia="en-GB"/>
        </w:rPr>
        <w:t>WMBA does not foresee any difficulties with the application of proportionate timestamps, but requests that hybrid venues are treated in the same capacity as voice.</w:t>
      </w:r>
    </w:p>
    <w:p w:rsidR="00603521" w:rsidRDefault="00603521" w:rsidP="00603521">
      <w:pPr>
        <w:spacing w:line="240" w:lineRule="auto"/>
        <w:rPr>
          <w:rFonts w:ascii="Calibri" w:eastAsia="Times New Roman" w:hAnsi="Calibri" w:cs="Times New Roman"/>
          <w:color w:val="000000"/>
          <w:szCs w:val="22"/>
          <w:lang w:eastAsia="en-GB"/>
        </w:rPr>
      </w:pPr>
    </w:p>
    <w:p w:rsidR="00603521" w:rsidRPr="00603521" w:rsidRDefault="00603521" w:rsidP="00603521">
      <w:pPr>
        <w:spacing w:line="240" w:lineRule="auto"/>
        <w:rPr>
          <w:rFonts w:ascii="Calibri" w:eastAsia="Times New Roman" w:hAnsi="Calibri" w:cs="Times New Roman"/>
          <w:color w:val="000000"/>
          <w:szCs w:val="22"/>
          <w:lang w:eastAsia="en-GB"/>
        </w:rPr>
      </w:pPr>
      <w:r>
        <w:rPr>
          <w:rFonts w:ascii="Calibri" w:eastAsia="Times New Roman" w:hAnsi="Calibri" w:cs="Times New Roman"/>
          <w:color w:val="000000"/>
          <w:szCs w:val="22"/>
          <w:lang w:eastAsia="en-GB"/>
        </w:rPr>
        <w:t xml:space="preserve">We note that </w:t>
      </w:r>
      <w:r w:rsidRPr="00603521">
        <w:rPr>
          <w:rFonts w:ascii="Calibri" w:eastAsia="Times New Roman" w:hAnsi="Calibri" w:cs="Times New Roman"/>
          <w:color w:val="000000"/>
          <w:szCs w:val="22"/>
          <w:lang w:eastAsia="en-GB"/>
        </w:rPr>
        <w:t xml:space="preserve">RTS 34 requires that electronic systems time stamp and put a unique ID on orders which is updated when events occur.  </w:t>
      </w:r>
      <w:r>
        <w:rPr>
          <w:rFonts w:ascii="Calibri" w:eastAsia="Times New Roman" w:hAnsi="Calibri" w:cs="Times New Roman"/>
          <w:color w:val="000000"/>
          <w:szCs w:val="22"/>
          <w:lang w:eastAsia="en-GB"/>
        </w:rPr>
        <w:t>It is less</w:t>
      </w:r>
      <w:r w:rsidRPr="00603521">
        <w:rPr>
          <w:rFonts w:ascii="Calibri" w:eastAsia="Times New Roman" w:hAnsi="Calibri" w:cs="Times New Roman"/>
          <w:color w:val="000000"/>
          <w:szCs w:val="22"/>
          <w:lang w:eastAsia="en-GB"/>
        </w:rPr>
        <w:t xml:space="preserve"> clear how this can work in a market with constant price streaming and market makers whose prices will move consistently in the order book and slightly change prices to remain in line with the market. Would every re-pricing event be classified as a new orders which will require to be time stamped and identified as such? It would be useful to clarify how this standard applies in such circumstances.</w:t>
      </w:r>
    </w:p>
    <w:p w:rsidR="00603521" w:rsidRPr="00603521" w:rsidRDefault="00603521" w:rsidP="00603521">
      <w:pPr>
        <w:spacing w:line="240" w:lineRule="auto"/>
        <w:rPr>
          <w:rFonts w:ascii="Calibri" w:eastAsia="Times New Roman" w:hAnsi="Calibri" w:cs="Times New Roman"/>
          <w:color w:val="000000"/>
          <w:szCs w:val="22"/>
          <w:lang w:eastAsia="en-GB"/>
        </w:rPr>
      </w:pPr>
    </w:p>
    <w:p w:rsidR="00603521" w:rsidRPr="00603521" w:rsidRDefault="00603521" w:rsidP="00603521">
      <w:pPr>
        <w:spacing w:line="240" w:lineRule="auto"/>
        <w:rPr>
          <w:rFonts w:ascii="Calibri" w:eastAsia="Times New Roman" w:hAnsi="Calibri" w:cs="Times New Roman"/>
          <w:color w:val="000000"/>
          <w:szCs w:val="22"/>
          <w:lang w:eastAsia="en-GB"/>
        </w:rPr>
      </w:pPr>
      <w:r w:rsidRPr="00603521">
        <w:rPr>
          <w:rFonts w:ascii="Calibri" w:eastAsia="Times New Roman" w:hAnsi="Calibri" w:cs="Times New Roman"/>
          <w:color w:val="000000"/>
          <w:szCs w:val="22"/>
          <w:lang w:eastAsia="en-GB"/>
        </w:rPr>
        <w:t>Similarly, we would like to clarify whether RTS 34 Art 5 Article d also covers OTFs. A defining feature of OTFs is the element of discretion and an OTF provider therefore won’t have a prescribed price/size protocol.</w:t>
      </w:r>
    </w:p>
    <w:permEnd w:id="714938286"/>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603521" w:rsidRPr="00603521" w:rsidRDefault="00603521" w:rsidP="00603521">
      <w:pPr>
        <w:spacing w:line="240" w:lineRule="auto"/>
        <w:rPr>
          <w:rFonts w:ascii="Calibri" w:eastAsia="Times New Roman" w:hAnsi="Calibri" w:cs="Times New Roman"/>
          <w:color w:val="000000"/>
          <w:szCs w:val="22"/>
          <w:lang w:eastAsia="en-GB"/>
        </w:rPr>
      </w:pPr>
      <w:permStart w:id="1401881021" w:edGrp="everyone"/>
      <w:r w:rsidRPr="00603521">
        <w:rPr>
          <w:rFonts w:ascii="Calibri" w:eastAsia="Times New Roman" w:hAnsi="Calibri" w:cs="Times New Roman"/>
          <w:color w:val="000000"/>
          <w:szCs w:val="22"/>
          <w:lang w:eastAsia="en-GB"/>
        </w:rPr>
        <w:t xml:space="preserve">For the Identification Code of Order and identification of Order Book, </w:t>
      </w:r>
      <w:r>
        <w:rPr>
          <w:rFonts w:ascii="Calibri" w:eastAsia="Times New Roman" w:hAnsi="Calibri" w:cs="Times New Roman"/>
          <w:color w:val="000000"/>
          <w:szCs w:val="22"/>
          <w:lang w:eastAsia="en-GB"/>
        </w:rPr>
        <w:t xml:space="preserve">the </w:t>
      </w:r>
      <w:r w:rsidRPr="00603521">
        <w:rPr>
          <w:rFonts w:ascii="Calibri" w:eastAsia="Times New Roman" w:hAnsi="Calibri" w:cs="Times New Roman"/>
          <w:color w:val="000000"/>
          <w:szCs w:val="22"/>
          <w:lang w:eastAsia="en-GB"/>
        </w:rPr>
        <w:t>WMBA note</w:t>
      </w:r>
      <w:r>
        <w:rPr>
          <w:rFonts w:ascii="Calibri" w:eastAsia="Times New Roman" w:hAnsi="Calibri" w:cs="Times New Roman"/>
          <w:color w:val="000000"/>
          <w:szCs w:val="22"/>
          <w:lang w:eastAsia="en-GB"/>
        </w:rPr>
        <w:t>s</w:t>
      </w:r>
      <w:r w:rsidRPr="00603521">
        <w:rPr>
          <w:rFonts w:ascii="Calibri" w:eastAsia="Times New Roman" w:hAnsi="Calibri" w:cs="Times New Roman"/>
          <w:color w:val="000000"/>
          <w:szCs w:val="22"/>
          <w:lang w:eastAsia="en-GB"/>
        </w:rPr>
        <w:t xml:space="preserve"> that amongst five elements of data required to be separately maintain by venues, the financial instrument’s identification code may not be possible as either an ISIN or an Aii as required. This is especially the situation in the case of derivatives, forwards and packaged products.</w:t>
      </w:r>
      <w:r>
        <w:rPr>
          <w:rFonts w:ascii="Calibri" w:eastAsia="Times New Roman" w:hAnsi="Calibri" w:cs="Times New Roman"/>
          <w:color w:val="000000"/>
          <w:szCs w:val="22"/>
          <w:lang w:eastAsia="en-GB"/>
        </w:rPr>
        <w:t xml:space="preserve"> </w:t>
      </w:r>
      <w:r w:rsidRPr="00603521">
        <w:rPr>
          <w:rFonts w:ascii="Calibri" w:eastAsia="Times New Roman" w:hAnsi="Calibri" w:cs="Times New Roman"/>
          <w:color w:val="000000"/>
          <w:szCs w:val="22"/>
          <w:lang w:eastAsia="en-GB"/>
        </w:rPr>
        <w:t>This requirement will increase the number of order records and ID’s by an unknown multiplier</w:t>
      </w:r>
      <w:r>
        <w:rPr>
          <w:rFonts w:ascii="Calibri" w:eastAsia="Times New Roman" w:hAnsi="Calibri" w:cs="Times New Roman"/>
          <w:color w:val="000000"/>
          <w:szCs w:val="22"/>
          <w:lang w:eastAsia="en-GB"/>
        </w:rPr>
        <w:t xml:space="preserve">, </w:t>
      </w:r>
      <w:r w:rsidRPr="00603521">
        <w:rPr>
          <w:rFonts w:ascii="Calibri" w:eastAsia="Times New Roman" w:hAnsi="Calibri" w:cs="Times New Roman"/>
          <w:color w:val="000000"/>
          <w:szCs w:val="22"/>
          <w:lang w:eastAsia="en-GB"/>
        </w:rPr>
        <w:t xml:space="preserve">and we </w:t>
      </w:r>
      <w:r>
        <w:rPr>
          <w:rFonts w:ascii="Calibri" w:eastAsia="Times New Roman" w:hAnsi="Calibri" w:cs="Times New Roman"/>
          <w:color w:val="000000"/>
          <w:szCs w:val="22"/>
          <w:lang w:eastAsia="en-GB"/>
        </w:rPr>
        <w:t>consequent</w:t>
      </w:r>
      <w:r w:rsidRPr="00603521">
        <w:rPr>
          <w:rFonts w:ascii="Calibri" w:eastAsia="Times New Roman" w:hAnsi="Calibri" w:cs="Times New Roman"/>
          <w:color w:val="000000"/>
          <w:szCs w:val="22"/>
          <w:lang w:eastAsia="en-GB"/>
        </w:rPr>
        <w:t xml:space="preserve"> </w:t>
      </w:r>
      <w:r>
        <w:rPr>
          <w:rFonts w:ascii="Calibri" w:eastAsia="Times New Roman" w:hAnsi="Calibri" w:cs="Times New Roman"/>
          <w:color w:val="000000"/>
          <w:szCs w:val="22"/>
          <w:lang w:eastAsia="en-GB"/>
        </w:rPr>
        <w:t>do not see the value</w:t>
      </w:r>
      <w:r w:rsidRPr="00603521">
        <w:rPr>
          <w:rFonts w:ascii="Calibri" w:eastAsia="Times New Roman" w:hAnsi="Calibri" w:cs="Times New Roman"/>
          <w:color w:val="000000"/>
          <w:szCs w:val="22"/>
          <w:lang w:eastAsia="en-GB"/>
        </w:rPr>
        <w:t xml:space="preserve"> </w:t>
      </w:r>
      <w:r>
        <w:rPr>
          <w:rFonts w:ascii="Calibri" w:eastAsia="Times New Roman" w:hAnsi="Calibri" w:cs="Times New Roman"/>
          <w:color w:val="000000"/>
          <w:szCs w:val="22"/>
          <w:lang w:eastAsia="en-GB"/>
        </w:rPr>
        <w:t>of retention</w:t>
      </w:r>
      <w:r w:rsidRPr="00603521">
        <w:rPr>
          <w:rFonts w:ascii="Calibri" w:eastAsia="Times New Roman" w:hAnsi="Calibri" w:cs="Times New Roman"/>
          <w:color w:val="000000"/>
          <w:szCs w:val="22"/>
          <w:lang w:eastAsia="en-GB"/>
        </w:rPr>
        <w:t xml:space="preserve"> when they are not orders received from participants.  </w:t>
      </w:r>
    </w:p>
    <w:permEnd w:id="1401881021"/>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887C75" w:rsidRDefault="00887C75" w:rsidP="00EC2C93">
      <w:pPr>
        <w:keepNext/>
      </w:pPr>
      <w:permStart w:id="1213751864" w:edGrp="everyone"/>
      <w:r w:rsidRPr="00887C75">
        <w:t>The WMBA has no comment.</w:t>
      </w:r>
    </w:p>
    <w:permEnd w:id="1213751864"/>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887C75" w:rsidRDefault="00887C75" w:rsidP="00EC2C93">
      <w:pPr>
        <w:keepNext/>
      </w:pPr>
      <w:permStart w:id="746658828" w:edGrp="everyone"/>
      <w:r w:rsidRPr="00887C75">
        <w:t>The WMBA has no comment.</w:t>
      </w:r>
    </w:p>
    <w:permEnd w:id="746658828"/>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887C75" w:rsidRDefault="00887C75" w:rsidP="00EC2C93">
      <w:pPr>
        <w:keepNext/>
      </w:pPr>
      <w:permStart w:id="772216397" w:edGrp="everyone"/>
      <w:r w:rsidRPr="00887C75">
        <w:t>No</w:t>
      </w:r>
      <w:r>
        <w:t xml:space="preserve">, the WMBA considers that this requirement </w:t>
      </w:r>
      <w:r w:rsidRPr="00887C75">
        <w:t>would be disproportionate and put a significant burden on venue operators. It would also create a significant barrier to entry especially in lower volume markets.</w:t>
      </w:r>
    </w:p>
    <w:permEnd w:id="772216397"/>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887C75" w:rsidRDefault="00887C75" w:rsidP="00887C75">
      <w:pPr>
        <w:spacing w:line="240" w:lineRule="auto"/>
        <w:rPr>
          <w:rFonts w:ascii="Calibri" w:eastAsia="Times New Roman" w:hAnsi="Calibri" w:cs="Times New Roman"/>
          <w:color w:val="000000"/>
          <w:szCs w:val="22"/>
          <w:lang w:eastAsia="en-GB"/>
        </w:rPr>
      </w:pPr>
      <w:permStart w:id="453017065" w:edGrp="everyone"/>
      <w:r>
        <w:rPr>
          <w:rFonts w:ascii="Calibri" w:eastAsia="Times New Roman" w:hAnsi="Calibri" w:cs="Times New Roman"/>
          <w:color w:val="000000"/>
          <w:szCs w:val="22"/>
          <w:lang w:eastAsia="en-GB"/>
        </w:rPr>
        <w:t xml:space="preserve">The </w:t>
      </w:r>
      <w:r w:rsidRPr="00887C75">
        <w:rPr>
          <w:rFonts w:ascii="Calibri" w:eastAsia="Times New Roman" w:hAnsi="Calibri" w:cs="Times New Roman"/>
          <w:color w:val="000000"/>
          <w:szCs w:val="22"/>
          <w:lang w:eastAsia="en-GB"/>
        </w:rPr>
        <w:t>WMBA note</w:t>
      </w:r>
      <w:r>
        <w:rPr>
          <w:rFonts w:ascii="Calibri" w:eastAsia="Times New Roman" w:hAnsi="Calibri" w:cs="Times New Roman"/>
          <w:color w:val="000000"/>
          <w:szCs w:val="22"/>
          <w:lang w:eastAsia="en-GB"/>
        </w:rPr>
        <w:t>s</w:t>
      </w:r>
      <w:r w:rsidRPr="00887C75">
        <w:rPr>
          <w:rFonts w:ascii="Calibri" w:eastAsia="Times New Roman" w:hAnsi="Calibri" w:cs="Times New Roman"/>
          <w:color w:val="000000"/>
          <w:szCs w:val="22"/>
          <w:lang w:eastAsia="en-GB"/>
        </w:rPr>
        <w:t xml:space="preserve"> that ESMA has acknowledged industry concerns with the proposals outlined in the original DP, and in particular that the level of accuracy should be calibrated to take account of different types of market participant and trading venues, as well as different trading models. We do not believe that the proposals in the RTS currently achieve the intended outcome of an appropriately calibrated model. </w:t>
      </w:r>
    </w:p>
    <w:p w:rsidR="00887C75" w:rsidRDefault="00887C75" w:rsidP="00887C75">
      <w:pPr>
        <w:spacing w:line="240" w:lineRule="auto"/>
        <w:rPr>
          <w:rFonts w:ascii="Calibri" w:eastAsia="Times New Roman" w:hAnsi="Calibri" w:cs="Times New Roman"/>
          <w:color w:val="000000"/>
          <w:szCs w:val="22"/>
          <w:lang w:eastAsia="en-GB"/>
        </w:rPr>
      </w:pPr>
    </w:p>
    <w:p w:rsidR="00887C75" w:rsidRDefault="00887C75" w:rsidP="00887C75">
      <w:pPr>
        <w:spacing w:line="240" w:lineRule="auto"/>
        <w:rPr>
          <w:rFonts w:ascii="Calibri" w:eastAsia="Times New Roman" w:hAnsi="Calibri" w:cs="Times New Roman"/>
          <w:color w:val="000000"/>
          <w:szCs w:val="22"/>
          <w:lang w:eastAsia="en-GB"/>
        </w:rPr>
      </w:pPr>
      <w:r w:rsidRPr="00887C75">
        <w:rPr>
          <w:rFonts w:ascii="Calibri" w:eastAsia="Times New Roman" w:hAnsi="Calibri" w:cs="Times New Roman"/>
          <w:color w:val="000000"/>
          <w:szCs w:val="22"/>
          <w:lang w:eastAsia="en-GB"/>
        </w:rPr>
        <w:t xml:space="preserve">Specifically, most IDB trades take periods from several seconds to several days to </w:t>
      </w:r>
      <w:r>
        <w:rPr>
          <w:rFonts w:ascii="Calibri" w:eastAsia="Times New Roman" w:hAnsi="Calibri" w:cs="Times New Roman"/>
          <w:color w:val="000000"/>
          <w:szCs w:val="22"/>
          <w:lang w:eastAsia="en-GB"/>
        </w:rPr>
        <w:t xml:space="preserve">arrange and </w:t>
      </w:r>
      <w:r w:rsidRPr="00887C75">
        <w:rPr>
          <w:rFonts w:ascii="Calibri" w:eastAsia="Times New Roman" w:hAnsi="Calibri" w:cs="Times New Roman"/>
          <w:color w:val="000000"/>
          <w:szCs w:val="22"/>
          <w:lang w:eastAsia="en-GB"/>
        </w:rPr>
        <w:t>execute</w:t>
      </w:r>
      <w:r>
        <w:rPr>
          <w:rFonts w:ascii="Calibri" w:eastAsia="Times New Roman" w:hAnsi="Calibri" w:cs="Times New Roman"/>
          <w:color w:val="000000"/>
          <w:szCs w:val="22"/>
          <w:lang w:eastAsia="en-GB"/>
        </w:rPr>
        <w:t>,</w:t>
      </w:r>
      <w:r w:rsidRPr="00887C75">
        <w:rPr>
          <w:rFonts w:ascii="Calibri" w:eastAsia="Times New Roman" w:hAnsi="Calibri" w:cs="Times New Roman"/>
          <w:color w:val="000000"/>
          <w:szCs w:val="22"/>
          <w:lang w:eastAsia="en-GB"/>
        </w:rPr>
        <w:t xml:space="preserve"> therefore a </w:t>
      </w:r>
      <w:r w:rsidRPr="00887C75">
        <w:rPr>
          <w:rFonts w:ascii="Calibri" w:eastAsia="Times New Roman" w:hAnsi="Calibri" w:cs="Times New Roman"/>
          <w:i/>
          <w:color w:val="000000"/>
          <w:szCs w:val="22"/>
          <w:lang w:eastAsia="en-GB"/>
        </w:rPr>
        <w:t>per-second</w:t>
      </w:r>
      <w:r w:rsidRPr="00887C75">
        <w:rPr>
          <w:rFonts w:ascii="Calibri" w:eastAsia="Times New Roman" w:hAnsi="Calibri" w:cs="Times New Roman"/>
          <w:color w:val="000000"/>
          <w:szCs w:val="22"/>
          <w:lang w:eastAsia="en-GB"/>
        </w:rPr>
        <w:t xml:space="preserve"> synchronisation would appear inappropriate. Further hybrid and auction systems needed to be proportionately treated equivalent to the voice category. </w:t>
      </w:r>
      <w:r>
        <w:rPr>
          <w:rFonts w:ascii="Calibri" w:eastAsia="Times New Roman" w:hAnsi="Calibri" w:cs="Times New Roman"/>
          <w:color w:val="000000"/>
          <w:szCs w:val="22"/>
          <w:lang w:eastAsia="en-GB"/>
        </w:rPr>
        <w:t xml:space="preserve"> Therefore the </w:t>
      </w:r>
      <w:r w:rsidRPr="00887C75">
        <w:rPr>
          <w:rFonts w:ascii="Calibri" w:eastAsia="Times New Roman" w:hAnsi="Calibri" w:cs="Times New Roman"/>
          <w:color w:val="000000"/>
          <w:szCs w:val="22"/>
          <w:lang w:eastAsia="en-GB"/>
        </w:rPr>
        <w:t xml:space="preserve">WMBA is firmly of the opinion that </w:t>
      </w:r>
      <w:r>
        <w:rPr>
          <w:rFonts w:ascii="Calibri" w:eastAsia="Times New Roman" w:hAnsi="Calibri" w:cs="Times New Roman"/>
          <w:color w:val="000000"/>
          <w:szCs w:val="22"/>
          <w:lang w:eastAsia="en-GB"/>
        </w:rPr>
        <w:t>proportionality is again key, and particularly e</w:t>
      </w:r>
      <w:r w:rsidRPr="00887C75">
        <w:rPr>
          <w:rFonts w:ascii="Calibri" w:eastAsia="Times New Roman" w:hAnsi="Calibri" w:cs="Times New Roman"/>
          <w:color w:val="000000"/>
          <w:szCs w:val="22"/>
          <w:lang w:eastAsia="en-GB"/>
        </w:rPr>
        <w:t>ven where HFT/Algo participation</w:t>
      </w:r>
      <w:r>
        <w:rPr>
          <w:rFonts w:ascii="Calibri" w:eastAsia="Times New Roman" w:hAnsi="Calibri" w:cs="Times New Roman"/>
          <w:color w:val="000000"/>
          <w:szCs w:val="22"/>
          <w:lang w:eastAsia="en-GB"/>
        </w:rPr>
        <w:t xml:space="preserve"> </w:t>
      </w:r>
      <w:r w:rsidRPr="00887C75">
        <w:rPr>
          <w:rFonts w:ascii="Calibri" w:eastAsia="Times New Roman" w:hAnsi="Calibri" w:cs="Times New Roman"/>
          <w:color w:val="000000"/>
          <w:szCs w:val="22"/>
          <w:lang w:eastAsia="en-GB"/>
        </w:rPr>
        <w:t>is occurring</w:t>
      </w:r>
      <w:r>
        <w:rPr>
          <w:rFonts w:ascii="Calibri" w:eastAsia="Times New Roman" w:hAnsi="Calibri" w:cs="Times New Roman"/>
          <w:color w:val="000000"/>
          <w:szCs w:val="22"/>
          <w:lang w:eastAsia="en-GB"/>
        </w:rPr>
        <w:t xml:space="preserve">, that </w:t>
      </w:r>
      <w:r w:rsidRPr="00887C75">
        <w:rPr>
          <w:rFonts w:ascii="Calibri" w:eastAsia="Times New Roman" w:hAnsi="Calibri" w:cs="Times New Roman"/>
          <w:color w:val="000000"/>
          <w:szCs w:val="22"/>
          <w:lang w:eastAsia="en-GB"/>
        </w:rPr>
        <w:t xml:space="preserve">any specification closer than 1 millisecond creates rapidly increasing costs and are </w:t>
      </w:r>
      <w:r>
        <w:rPr>
          <w:rFonts w:ascii="Calibri" w:eastAsia="Times New Roman" w:hAnsi="Calibri" w:cs="Times New Roman"/>
          <w:color w:val="000000"/>
          <w:szCs w:val="22"/>
          <w:lang w:eastAsia="en-GB"/>
        </w:rPr>
        <w:t>beyond</w:t>
      </w:r>
      <w:r w:rsidRPr="00887C75">
        <w:rPr>
          <w:rFonts w:ascii="Calibri" w:eastAsia="Times New Roman" w:hAnsi="Calibri" w:cs="Times New Roman"/>
          <w:color w:val="000000"/>
          <w:szCs w:val="22"/>
          <w:lang w:eastAsia="en-GB"/>
        </w:rPr>
        <w:t xml:space="preserve"> the scope of MiFID2. </w:t>
      </w:r>
      <w:r>
        <w:rPr>
          <w:rFonts w:ascii="Calibri" w:eastAsia="Times New Roman" w:hAnsi="Calibri" w:cs="Times New Roman"/>
          <w:color w:val="000000"/>
          <w:szCs w:val="22"/>
          <w:lang w:eastAsia="en-GB"/>
        </w:rPr>
        <w:t xml:space="preserve">Concisely, </w:t>
      </w:r>
      <w:r w:rsidRPr="00887C75">
        <w:rPr>
          <w:rFonts w:ascii="Calibri" w:eastAsia="Times New Roman" w:hAnsi="Calibri" w:cs="Times New Roman"/>
          <w:color w:val="000000"/>
          <w:szCs w:val="22"/>
          <w:lang w:eastAsia="en-GB"/>
        </w:rPr>
        <w:t xml:space="preserve">proportionality would guide that if a venue cannot complete a 'round turn' inside a set latency, then there is no benefit to disproportionally close timing requirements. </w:t>
      </w:r>
    </w:p>
    <w:p w:rsidR="00887C75" w:rsidRDefault="00887C75" w:rsidP="00887C75">
      <w:pPr>
        <w:spacing w:line="240" w:lineRule="auto"/>
        <w:rPr>
          <w:rFonts w:ascii="Calibri" w:eastAsia="Times New Roman" w:hAnsi="Calibri" w:cs="Times New Roman"/>
          <w:color w:val="000000"/>
          <w:szCs w:val="22"/>
          <w:lang w:eastAsia="en-GB"/>
        </w:rPr>
      </w:pPr>
    </w:p>
    <w:p w:rsidR="00887C75" w:rsidRPr="00887C75" w:rsidRDefault="00887C75" w:rsidP="00887C75">
      <w:pPr>
        <w:spacing w:line="240" w:lineRule="auto"/>
        <w:rPr>
          <w:rFonts w:ascii="Calibri" w:eastAsia="Times New Roman" w:hAnsi="Calibri" w:cs="Times New Roman"/>
          <w:color w:val="000000"/>
          <w:szCs w:val="22"/>
          <w:lang w:eastAsia="en-GB"/>
        </w:rPr>
      </w:pPr>
      <w:r w:rsidRPr="00887C75">
        <w:rPr>
          <w:rFonts w:ascii="Calibri" w:eastAsia="Times New Roman" w:hAnsi="Calibri" w:cs="Times New Roman"/>
          <w:color w:val="000000"/>
          <w:szCs w:val="22"/>
          <w:lang w:eastAsia="en-GB"/>
        </w:rPr>
        <w:t xml:space="preserve">The ESMA consultation clearly notes in its cost benefit analysis that the implementation of the clock synchronisation requirement “will result in a considerable cost implication for some TVs serving HFT firms, as may require an upgrade of the existing infrastructure of the live trading and position systems, potential reconfiguration of network topology, including dedicated hardware, specific enhancements and some alterations to the protocols, new routers and switches”.  It thus seems that, from ESMA’s own cost benefit analysis, the concept of clock synchronisation should be limited to those venues servicing HFT firms only and not required for those that do not. </w:t>
      </w:r>
    </w:p>
    <w:p w:rsidR="00887C75" w:rsidRPr="00887C75" w:rsidRDefault="00887C75" w:rsidP="00887C75">
      <w:pPr>
        <w:spacing w:line="240" w:lineRule="auto"/>
        <w:rPr>
          <w:rFonts w:ascii="Calibri" w:eastAsia="Times New Roman" w:hAnsi="Calibri" w:cs="Times New Roman"/>
          <w:color w:val="000000"/>
          <w:szCs w:val="22"/>
          <w:lang w:eastAsia="en-GB"/>
        </w:rPr>
      </w:pPr>
    </w:p>
    <w:p w:rsidR="00887C75" w:rsidRPr="00887C75" w:rsidRDefault="00887C75" w:rsidP="00887C75">
      <w:pPr>
        <w:spacing w:line="240" w:lineRule="auto"/>
        <w:rPr>
          <w:rFonts w:ascii="Calibri" w:eastAsia="Times New Roman" w:hAnsi="Calibri" w:cs="Times New Roman"/>
          <w:color w:val="000000"/>
          <w:szCs w:val="22"/>
          <w:lang w:eastAsia="en-GB"/>
        </w:rPr>
      </w:pPr>
      <w:r w:rsidRPr="00887C75">
        <w:rPr>
          <w:rFonts w:ascii="Calibri" w:eastAsia="Times New Roman" w:hAnsi="Calibri" w:cs="Times New Roman"/>
          <w:color w:val="000000"/>
          <w:szCs w:val="22"/>
          <w:lang w:eastAsia="en-GB"/>
        </w:rPr>
        <w:t>Lastly, we would note that a practical way to achieve clock synchronisation would be to restrict the requirement to venues rather than bringing participants into scope</w:t>
      </w:r>
      <w:r>
        <w:rPr>
          <w:rFonts w:ascii="Calibri" w:eastAsia="Times New Roman" w:hAnsi="Calibri" w:cs="Times New Roman"/>
          <w:color w:val="000000"/>
          <w:szCs w:val="22"/>
          <w:lang w:eastAsia="en-GB"/>
        </w:rPr>
        <w:t xml:space="preserve"> and the </w:t>
      </w:r>
      <w:r w:rsidRPr="00887C75">
        <w:rPr>
          <w:rFonts w:ascii="Calibri" w:eastAsia="Times New Roman" w:hAnsi="Calibri" w:cs="Times New Roman"/>
          <w:color w:val="000000"/>
          <w:szCs w:val="22"/>
          <w:lang w:eastAsia="en-GB"/>
        </w:rPr>
        <w:t>WMBA supports the UTC reference.</w:t>
      </w:r>
    </w:p>
    <w:permEnd w:id="453017065"/>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8E2F4E" w:rsidRDefault="008E2F4E" w:rsidP="008E2F4E">
      <w:pPr>
        <w:spacing w:line="240" w:lineRule="auto"/>
        <w:rPr>
          <w:rFonts w:ascii="Calibri" w:eastAsia="Times New Roman" w:hAnsi="Calibri" w:cs="Times New Roman"/>
          <w:color w:val="000000"/>
          <w:szCs w:val="22"/>
          <w:lang w:eastAsia="en-GB"/>
        </w:rPr>
      </w:pPr>
      <w:permStart w:id="1351353675" w:edGrp="everyone"/>
      <w:r>
        <w:rPr>
          <w:rFonts w:ascii="Calibri" w:eastAsia="Times New Roman" w:hAnsi="Calibri" w:cs="Times New Roman"/>
          <w:color w:val="000000"/>
          <w:szCs w:val="22"/>
          <w:lang w:eastAsia="en-GB"/>
        </w:rPr>
        <w:t xml:space="preserve">The </w:t>
      </w:r>
      <w:r w:rsidRPr="008E2F4E">
        <w:rPr>
          <w:rFonts w:ascii="Calibri" w:eastAsia="Times New Roman" w:hAnsi="Calibri" w:cs="Times New Roman"/>
          <w:color w:val="000000"/>
          <w:szCs w:val="22"/>
          <w:lang w:eastAsia="en-GB"/>
        </w:rPr>
        <w:t xml:space="preserve">WMBA suggests that the time divergence set out in </w:t>
      </w:r>
      <w:r w:rsidRPr="008E2F4E">
        <w:rPr>
          <w:rFonts w:ascii="Calibri" w:eastAsia="Times New Roman" w:hAnsi="Calibri" w:cs="Times New Roman"/>
          <w:i/>
          <w:color w:val="000000"/>
          <w:szCs w:val="22"/>
          <w:lang w:eastAsia="en-GB"/>
        </w:rPr>
        <w:t>table 1</w:t>
      </w:r>
      <w:r w:rsidRPr="008E2F4E">
        <w:rPr>
          <w:rFonts w:ascii="Calibri" w:eastAsia="Times New Roman" w:hAnsi="Calibri" w:cs="Times New Roman"/>
          <w:color w:val="000000"/>
          <w:szCs w:val="22"/>
          <w:lang w:eastAsia="en-GB"/>
        </w:rPr>
        <w:t xml:space="preserve"> should only apply to reportable events meeting the definition of high frequency algorithmic trading techniques. </w:t>
      </w:r>
    </w:p>
    <w:p w:rsidR="008E2F4E" w:rsidRDefault="008E2F4E" w:rsidP="008E2F4E">
      <w:pPr>
        <w:spacing w:line="240" w:lineRule="auto"/>
        <w:rPr>
          <w:rFonts w:ascii="Calibri" w:eastAsia="Times New Roman" w:hAnsi="Calibri" w:cs="Times New Roman"/>
          <w:color w:val="000000"/>
          <w:szCs w:val="22"/>
          <w:lang w:eastAsia="en-GB"/>
        </w:rPr>
      </w:pPr>
    </w:p>
    <w:p w:rsidR="008E2F4E" w:rsidRDefault="008E2F4E" w:rsidP="008E2F4E">
      <w:pPr>
        <w:spacing w:line="240" w:lineRule="auto"/>
        <w:rPr>
          <w:rFonts w:ascii="Calibri" w:eastAsia="Times New Roman" w:hAnsi="Calibri" w:cs="Times New Roman"/>
          <w:color w:val="000000"/>
          <w:szCs w:val="22"/>
          <w:lang w:eastAsia="en-GB"/>
        </w:rPr>
      </w:pPr>
      <w:r w:rsidRPr="008E2F4E">
        <w:rPr>
          <w:rFonts w:ascii="Calibri" w:eastAsia="Times New Roman" w:hAnsi="Calibri" w:cs="Times New Roman"/>
          <w:color w:val="000000"/>
          <w:szCs w:val="22"/>
          <w:lang w:eastAsia="en-GB"/>
        </w:rPr>
        <w:t xml:space="preserve">All other reportable events should be treated as being in either the voice or coarsest level of accuracy (milliseconds) so as to limit the number of technical platforms a participant needs to synchronise to the higher precision to those that are occurring in near real-time with market events. WMBA would therefore propose that where communications are conducted by multiple means (i.e. voice, instant messenger, and electronic means) synchronisation of all systems is not plausible and it would propose that firms should only be mandated to use their best endeavours to ensure synchronised time reporting. </w:t>
      </w:r>
    </w:p>
    <w:p w:rsidR="008E2F4E" w:rsidRDefault="008E2F4E" w:rsidP="008E2F4E">
      <w:pPr>
        <w:spacing w:line="240" w:lineRule="auto"/>
        <w:rPr>
          <w:rFonts w:ascii="Calibri" w:eastAsia="Times New Roman" w:hAnsi="Calibri" w:cs="Times New Roman"/>
          <w:color w:val="000000"/>
          <w:szCs w:val="22"/>
          <w:lang w:eastAsia="en-GB"/>
        </w:rPr>
      </w:pPr>
    </w:p>
    <w:p w:rsidR="008E2F4E" w:rsidRPr="008E2F4E" w:rsidRDefault="008E2F4E" w:rsidP="008E2F4E">
      <w:pPr>
        <w:spacing w:line="240" w:lineRule="auto"/>
        <w:rPr>
          <w:rFonts w:ascii="Calibri" w:eastAsia="Times New Roman" w:hAnsi="Calibri" w:cs="Times New Roman"/>
          <w:color w:val="000000"/>
          <w:szCs w:val="22"/>
          <w:lang w:eastAsia="en-GB"/>
        </w:rPr>
      </w:pPr>
      <w:r w:rsidRPr="008E2F4E">
        <w:rPr>
          <w:rFonts w:ascii="Calibri" w:eastAsia="Times New Roman" w:hAnsi="Calibri" w:cs="Times New Roman"/>
          <w:color w:val="000000"/>
          <w:szCs w:val="22"/>
          <w:lang w:eastAsia="en-GB"/>
        </w:rPr>
        <w:t>The method of synchronisation should be left to the firm and would be undertaken either electronically of manually based on the size. Other than for High Frequency Trading on Regulated Exchanges, WMBA considers a divergence of one minute to be appropriate, different and in contrast to the ESMA proposal.</w:t>
      </w:r>
    </w:p>
    <w:permEnd w:id="1351353675"/>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t>&lt;ESMA_QUESTION_CP_MIFID_235&gt;</w:t>
      </w:r>
    </w:p>
    <w:p w:rsidR="005B0C84" w:rsidRDefault="005B0C84" w:rsidP="005B0C84">
      <w:pPr>
        <w:spacing w:line="240" w:lineRule="auto"/>
        <w:rPr>
          <w:rFonts w:ascii="Calibri" w:eastAsia="Times New Roman" w:hAnsi="Calibri" w:cs="Times New Roman"/>
          <w:color w:val="000000"/>
          <w:szCs w:val="22"/>
          <w:lang w:eastAsia="en-GB"/>
        </w:rPr>
      </w:pPr>
      <w:permStart w:id="1800815332" w:edGrp="everyone"/>
      <w:r w:rsidRPr="005B0C84">
        <w:rPr>
          <w:rFonts w:ascii="Calibri" w:eastAsia="Times New Roman" w:hAnsi="Calibri" w:cs="Times New Roman"/>
          <w:color w:val="000000"/>
          <w:szCs w:val="22"/>
          <w:lang w:eastAsia="en-GB"/>
        </w:rPr>
        <w:t xml:space="preserve">A number of new instrument attributes are mentioned in the MiFID/R documentation and </w:t>
      </w:r>
      <w:r>
        <w:rPr>
          <w:rFonts w:ascii="Calibri" w:eastAsia="Times New Roman" w:hAnsi="Calibri" w:cs="Times New Roman"/>
          <w:color w:val="000000"/>
          <w:szCs w:val="22"/>
          <w:lang w:eastAsia="en-GB"/>
        </w:rPr>
        <w:t>the WMBA has consistently advocated the significant</w:t>
      </w:r>
      <w:r w:rsidRPr="005B0C84">
        <w:rPr>
          <w:rFonts w:ascii="Calibri" w:eastAsia="Times New Roman" w:hAnsi="Calibri" w:cs="Times New Roman"/>
          <w:color w:val="000000"/>
          <w:szCs w:val="22"/>
          <w:lang w:eastAsia="en-GB"/>
        </w:rPr>
        <w:t xml:space="preserve"> benefit</w:t>
      </w:r>
      <w:r>
        <w:rPr>
          <w:rFonts w:ascii="Calibri" w:eastAsia="Times New Roman" w:hAnsi="Calibri" w:cs="Times New Roman"/>
          <w:color w:val="000000"/>
          <w:szCs w:val="22"/>
          <w:lang w:eastAsia="en-GB"/>
        </w:rPr>
        <w:t>s to</w:t>
      </w:r>
      <w:r w:rsidRPr="005B0C84">
        <w:rPr>
          <w:rFonts w:ascii="Calibri" w:eastAsia="Times New Roman" w:hAnsi="Calibri" w:cs="Times New Roman"/>
          <w:color w:val="000000"/>
          <w:szCs w:val="22"/>
          <w:lang w:eastAsia="en-GB"/>
        </w:rPr>
        <w:t xml:space="preserve"> the industry to have a single ‘golden source’ copy of such data, especially where the original source of such data may be the various NCAs. </w:t>
      </w:r>
    </w:p>
    <w:p w:rsidR="005B0C84" w:rsidRDefault="005B0C84" w:rsidP="005B0C84">
      <w:pPr>
        <w:spacing w:line="240" w:lineRule="auto"/>
        <w:rPr>
          <w:rFonts w:ascii="Calibri" w:eastAsia="Times New Roman" w:hAnsi="Calibri" w:cs="Times New Roman"/>
          <w:color w:val="000000"/>
          <w:szCs w:val="22"/>
          <w:lang w:eastAsia="en-GB"/>
        </w:rPr>
      </w:pPr>
    </w:p>
    <w:p w:rsidR="005B0C84" w:rsidRDefault="005B0C84" w:rsidP="005B0C84">
      <w:pPr>
        <w:spacing w:line="240" w:lineRule="auto"/>
        <w:rPr>
          <w:rFonts w:ascii="Calibri" w:eastAsia="Times New Roman" w:hAnsi="Calibri" w:cs="Times New Roman"/>
          <w:color w:val="000000"/>
          <w:szCs w:val="22"/>
          <w:lang w:eastAsia="en-GB"/>
        </w:rPr>
      </w:pPr>
      <w:r w:rsidRPr="005B0C84">
        <w:rPr>
          <w:rFonts w:ascii="Calibri" w:eastAsia="Times New Roman" w:hAnsi="Calibri" w:cs="Times New Roman"/>
          <w:color w:val="000000"/>
          <w:szCs w:val="22"/>
          <w:lang w:eastAsia="en-GB"/>
        </w:rPr>
        <w:t xml:space="preserve">Having industry participants having to collate such data themselves and/or derive it themselves would impose an unnecessary implementation burden and inevitably result in the usage of erroneous data. It is therefore suggested that such attributes be added to ESMA’s centralised instrument reference data file as per the list at </w:t>
      </w:r>
      <w:r w:rsidRPr="005B0C84">
        <w:rPr>
          <w:rFonts w:ascii="Calibri" w:eastAsia="Times New Roman" w:hAnsi="Calibri" w:cs="Times New Roman"/>
          <w:i/>
          <w:color w:val="000000"/>
          <w:szCs w:val="22"/>
          <w:lang w:eastAsia="en-GB"/>
        </w:rPr>
        <w:t>RTS 33 Annex I</w:t>
      </w:r>
      <w:r w:rsidRPr="005B0C84">
        <w:rPr>
          <w:rFonts w:ascii="Calibri" w:eastAsia="Times New Roman" w:hAnsi="Calibri" w:cs="Times New Roman"/>
          <w:color w:val="000000"/>
          <w:szCs w:val="22"/>
          <w:lang w:eastAsia="en-GB"/>
        </w:rPr>
        <w:t xml:space="preserve">. </w:t>
      </w:r>
    </w:p>
    <w:p w:rsidR="005B0C84" w:rsidRDefault="005B0C84" w:rsidP="005B0C84">
      <w:pPr>
        <w:spacing w:line="240" w:lineRule="auto"/>
        <w:rPr>
          <w:rFonts w:ascii="Calibri" w:eastAsia="Times New Roman" w:hAnsi="Calibri" w:cs="Times New Roman"/>
          <w:color w:val="000000"/>
          <w:szCs w:val="22"/>
          <w:lang w:eastAsia="en-GB"/>
        </w:rPr>
      </w:pPr>
      <w:r w:rsidRPr="005B0C84">
        <w:rPr>
          <w:rFonts w:ascii="Calibri" w:eastAsia="Times New Roman" w:hAnsi="Calibri" w:cs="Times New Roman"/>
          <w:color w:val="000000"/>
          <w:szCs w:val="22"/>
          <w:lang w:eastAsia="en-GB"/>
        </w:rPr>
        <w:t>This would include:</w:t>
      </w:r>
    </w:p>
    <w:p w:rsidR="005B0C84" w:rsidRDefault="005B0C84" w:rsidP="007D55BD">
      <w:pPr>
        <w:pStyle w:val="ListParagraph"/>
        <w:numPr>
          <w:ilvl w:val="0"/>
          <w:numId w:val="36"/>
        </w:numPr>
        <w:rPr>
          <w:rFonts w:eastAsia="Times New Roman"/>
          <w:lang w:eastAsia="en-GB"/>
        </w:rPr>
      </w:pPr>
      <w:r w:rsidRPr="005B0C84">
        <w:rPr>
          <w:rFonts w:eastAsia="Times New Roman"/>
          <w:lang w:eastAsia="en-GB"/>
        </w:rPr>
        <w:t>Large in scale value</w:t>
      </w:r>
    </w:p>
    <w:p w:rsidR="005B0C84" w:rsidRDefault="005B0C84" w:rsidP="007D55BD">
      <w:pPr>
        <w:pStyle w:val="ListParagraph"/>
        <w:numPr>
          <w:ilvl w:val="0"/>
          <w:numId w:val="36"/>
        </w:numPr>
        <w:rPr>
          <w:rFonts w:eastAsia="Times New Roman"/>
          <w:lang w:eastAsia="en-GB"/>
        </w:rPr>
      </w:pPr>
      <w:r w:rsidRPr="005B0C84">
        <w:rPr>
          <w:rFonts w:eastAsia="Times New Roman"/>
          <w:lang w:eastAsia="en-GB"/>
        </w:rPr>
        <w:t>Standard market size</w:t>
      </w:r>
    </w:p>
    <w:p w:rsidR="005B0C84" w:rsidRPr="005B0C84" w:rsidRDefault="005B0C84" w:rsidP="007D55BD">
      <w:pPr>
        <w:pStyle w:val="ListParagraph"/>
        <w:numPr>
          <w:ilvl w:val="0"/>
          <w:numId w:val="36"/>
        </w:numPr>
        <w:rPr>
          <w:rFonts w:eastAsia="Times New Roman"/>
          <w:lang w:eastAsia="en-GB"/>
        </w:rPr>
      </w:pPr>
      <w:r w:rsidRPr="005B0C84">
        <w:rPr>
          <w:rFonts w:eastAsia="Times New Roman"/>
          <w:lang w:eastAsia="en-GB"/>
        </w:rPr>
        <w:t>Unique Product Identifier (UPI)</w:t>
      </w:r>
    </w:p>
    <w:permEnd w:id="1800815332"/>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B0C84" w:rsidRDefault="005B0C84" w:rsidP="005B0C84">
      <w:pPr>
        <w:spacing w:line="240" w:lineRule="auto"/>
        <w:rPr>
          <w:rFonts w:ascii="Calibri" w:eastAsia="Times New Roman" w:hAnsi="Calibri" w:cs="Times New Roman"/>
          <w:color w:val="000000"/>
          <w:szCs w:val="22"/>
          <w:lang w:eastAsia="en-GB"/>
        </w:rPr>
      </w:pPr>
      <w:permStart w:id="1039469870" w:edGrp="everyone"/>
      <w:r w:rsidRPr="005B0C84">
        <w:rPr>
          <w:rFonts w:ascii="Calibri" w:eastAsia="Times New Roman" w:hAnsi="Calibri" w:cs="Times New Roman"/>
          <w:color w:val="000000"/>
          <w:szCs w:val="22"/>
          <w:lang w:eastAsia="en-GB"/>
        </w:rPr>
        <w:t xml:space="preserve">In respect of the venue provision of reference data, the WMBA understand that the ESMA CP text was missing the term at the end of point [4]: “... </w:t>
      </w:r>
      <w:r w:rsidRPr="005B0C84">
        <w:rPr>
          <w:rFonts w:ascii="Calibri" w:eastAsia="Times New Roman" w:hAnsi="Calibri" w:cs="Times New Roman"/>
          <w:b/>
          <w:bCs/>
          <w:i/>
          <w:iCs/>
          <w:color w:val="000000"/>
          <w:szCs w:val="22"/>
          <w:lang w:eastAsia="en-GB"/>
        </w:rPr>
        <w:t>during that day</w:t>
      </w:r>
      <w:r w:rsidRPr="005B0C84">
        <w:rPr>
          <w:rFonts w:ascii="Calibri" w:eastAsia="Times New Roman" w:hAnsi="Calibri" w:cs="Times New Roman"/>
          <w:color w:val="000000"/>
          <w:szCs w:val="22"/>
          <w:lang w:eastAsia="en-GB"/>
        </w:rPr>
        <w:t>”.  OTF and some MTF providers that deal in instruments without a defined list, shall only report those instrument file</w:t>
      </w:r>
      <w:r>
        <w:rPr>
          <w:rFonts w:ascii="Calibri" w:eastAsia="Times New Roman" w:hAnsi="Calibri" w:cs="Times New Roman"/>
          <w:color w:val="000000"/>
          <w:szCs w:val="22"/>
          <w:lang w:eastAsia="en-GB"/>
        </w:rPr>
        <w:t xml:space="preserve">s for which they receive orders and </w:t>
      </w:r>
      <w:r w:rsidRPr="005B0C84">
        <w:rPr>
          <w:rFonts w:ascii="Calibri" w:eastAsia="Times New Roman" w:hAnsi="Calibri" w:cs="Times New Roman"/>
          <w:color w:val="000000"/>
          <w:szCs w:val="22"/>
          <w:lang w:eastAsia="en-GB"/>
        </w:rPr>
        <w:t>trades on that day. If the intention is to provide a cumulative list of instruments, the reportable reference data could soon become unmanageable.</w:t>
      </w:r>
    </w:p>
    <w:p w:rsidR="005B0C84" w:rsidRDefault="005B0C84" w:rsidP="005B0C84">
      <w:pPr>
        <w:spacing w:line="240" w:lineRule="auto"/>
        <w:rPr>
          <w:rFonts w:ascii="Calibri" w:eastAsia="Times New Roman" w:hAnsi="Calibri" w:cs="Times New Roman"/>
          <w:color w:val="000000"/>
          <w:szCs w:val="22"/>
          <w:lang w:eastAsia="en-GB"/>
        </w:rPr>
      </w:pPr>
    </w:p>
    <w:p w:rsidR="005B0C84" w:rsidRDefault="005B0C84" w:rsidP="005B0C84">
      <w:pPr>
        <w:spacing w:line="240" w:lineRule="auto"/>
        <w:rPr>
          <w:rFonts w:ascii="Calibri" w:eastAsia="Times New Roman" w:hAnsi="Calibri" w:cs="Times New Roman"/>
          <w:color w:val="000000"/>
          <w:szCs w:val="22"/>
          <w:lang w:eastAsia="en-GB"/>
        </w:rPr>
      </w:pPr>
      <w:r w:rsidRPr="005B0C84">
        <w:rPr>
          <w:rFonts w:ascii="Calibri" w:eastAsia="Times New Roman" w:hAnsi="Calibri" w:cs="Times New Roman"/>
          <w:color w:val="000000"/>
          <w:szCs w:val="22"/>
          <w:lang w:eastAsia="en-GB"/>
        </w:rPr>
        <w:t>Concisely</w:t>
      </w:r>
      <w:r>
        <w:rPr>
          <w:rFonts w:ascii="Calibri" w:eastAsia="Times New Roman" w:hAnsi="Calibri" w:cs="Times New Roman"/>
          <w:color w:val="000000"/>
          <w:szCs w:val="22"/>
          <w:lang w:eastAsia="en-GB"/>
        </w:rPr>
        <w:t>,</w:t>
      </w:r>
      <w:r w:rsidRPr="005B0C84">
        <w:rPr>
          <w:rFonts w:ascii="Calibri" w:eastAsia="Times New Roman" w:hAnsi="Calibri" w:cs="Times New Roman"/>
          <w:color w:val="000000"/>
          <w:szCs w:val="22"/>
          <w:lang w:eastAsia="en-GB"/>
        </w:rPr>
        <w:t xml:space="preserve"> the WMBA would commend the RTS to specify, "</w:t>
      </w:r>
      <w:r w:rsidRPr="005B0C84">
        <w:rPr>
          <w:rFonts w:ascii="Calibri" w:eastAsia="Times New Roman" w:hAnsi="Calibri" w:cs="Times New Roman"/>
          <w:b/>
          <w:i/>
          <w:iCs/>
          <w:color w:val="000000"/>
          <w:szCs w:val="22"/>
          <w:lang w:eastAsia="en-GB"/>
        </w:rPr>
        <w:t>on that day and only pertaining to orders and transactions available on the venue on that da</w:t>
      </w:r>
      <w:r w:rsidRPr="005B0C84">
        <w:rPr>
          <w:rFonts w:ascii="Calibri" w:eastAsia="Times New Roman" w:hAnsi="Calibri" w:cs="Times New Roman"/>
          <w:b/>
          <w:color w:val="000000"/>
          <w:szCs w:val="22"/>
          <w:lang w:eastAsia="en-GB"/>
        </w:rPr>
        <w:t>y</w:t>
      </w:r>
      <w:r w:rsidRPr="005B0C84">
        <w:rPr>
          <w:rFonts w:ascii="Calibri" w:eastAsia="Times New Roman" w:hAnsi="Calibri" w:cs="Times New Roman"/>
          <w:color w:val="000000"/>
          <w:szCs w:val="22"/>
          <w:lang w:eastAsia="en-GB"/>
        </w:rPr>
        <w:t xml:space="preserve">." Therefore it should be that that ESMA definition of “individual instruments” should only apply to those instruments that are pre-defined and listed for trading – where all relevant data are known and listed before trading commences. </w:t>
      </w:r>
    </w:p>
    <w:p w:rsidR="005B0C84" w:rsidRDefault="005B0C84" w:rsidP="005B0C84">
      <w:pPr>
        <w:spacing w:line="240" w:lineRule="auto"/>
        <w:rPr>
          <w:rFonts w:ascii="Calibri" w:eastAsia="Times New Roman" w:hAnsi="Calibri" w:cs="Times New Roman"/>
          <w:color w:val="000000"/>
          <w:szCs w:val="22"/>
          <w:lang w:eastAsia="en-GB"/>
        </w:rPr>
      </w:pPr>
      <w:r w:rsidRPr="005B0C84">
        <w:rPr>
          <w:rFonts w:ascii="Calibri" w:eastAsia="Times New Roman" w:hAnsi="Calibri" w:cs="Times New Roman"/>
          <w:color w:val="000000"/>
          <w:szCs w:val="22"/>
          <w:lang w:eastAsia="en-GB"/>
        </w:rPr>
        <w:br/>
        <w:t>Other instruments where factors such as dates and payments are allowed, but not included under that definition and the rules that therefore apply. Therefore OTFs should not be caught as having individual instruments whilst MTFs may or may-not be according to the nature of the financial instruments being executed.</w:t>
      </w:r>
    </w:p>
    <w:p w:rsidR="005B0C84" w:rsidRDefault="005B0C84" w:rsidP="005B0C84">
      <w:pPr>
        <w:spacing w:line="240" w:lineRule="auto"/>
        <w:rPr>
          <w:rFonts w:ascii="Calibri" w:eastAsia="Times New Roman" w:hAnsi="Calibri" w:cs="Times New Roman"/>
          <w:color w:val="000000"/>
          <w:szCs w:val="22"/>
          <w:lang w:eastAsia="en-GB"/>
        </w:rPr>
      </w:pPr>
      <w:r w:rsidRPr="005B0C84">
        <w:rPr>
          <w:rFonts w:ascii="Calibri" w:eastAsia="Times New Roman" w:hAnsi="Calibri" w:cs="Times New Roman"/>
          <w:color w:val="000000"/>
          <w:szCs w:val="22"/>
          <w:lang w:eastAsia="en-GB"/>
        </w:rPr>
        <w:br/>
        <w:t>For instruments that are not caught under the definition of “</w:t>
      </w:r>
      <w:r w:rsidRPr="005B0C84">
        <w:rPr>
          <w:rFonts w:ascii="Calibri" w:eastAsia="Times New Roman" w:hAnsi="Calibri" w:cs="Times New Roman"/>
          <w:b/>
          <w:i/>
          <w:color w:val="000000"/>
          <w:szCs w:val="22"/>
          <w:lang w:eastAsia="en-GB"/>
        </w:rPr>
        <w:t>individual instruments</w:t>
      </w:r>
      <w:r w:rsidRPr="005B0C84">
        <w:rPr>
          <w:rFonts w:ascii="Calibri" w:eastAsia="Times New Roman" w:hAnsi="Calibri" w:cs="Times New Roman"/>
          <w:color w:val="000000"/>
          <w:szCs w:val="22"/>
          <w:lang w:eastAsia="en-GB"/>
        </w:rPr>
        <w:t>” – venues should only supply reference data once that the instrument has either traded or received an “</w:t>
      </w:r>
      <w:r w:rsidRPr="005B0C84">
        <w:rPr>
          <w:rFonts w:ascii="Calibri" w:eastAsia="Times New Roman" w:hAnsi="Calibri" w:cs="Times New Roman"/>
          <w:b/>
          <w:i/>
          <w:color w:val="000000"/>
          <w:szCs w:val="22"/>
          <w:lang w:eastAsia="en-GB"/>
        </w:rPr>
        <w:t>order</w:t>
      </w:r>
      <w:r w:rsidRPr="005B0C84">
        <w:rPr>
          <w:rFonts w:ascii="Calibri" w:eastAsia="Times New Roman" w:hAnsi="Calibri" w:cs="Times New Roman"/>
          <w:color w:val="000000"/>
          <w:szCs w:val="22"/>
          <w:lang w:eastAsia="en-GB"/>
        </w:rPr>
        <w:t xml:space="preserve">”. In this case the venue submits the reference data that day only and not again thereafter unless further activity occurs on subsequent dates. </w:t>
      </w:r>
    </w:p>
    <w:p w:rsidR="005B0C84" w:rsidRDefault="005B0C84" w:rsidP="005B0C84">
      <w:pPr>
        <w:spacing w:line="240" w:lineRule="auto"/>
        <w:rPr>
          <w:rFonts w:ascii="Calibri" w:eastAsia="Times New Roman" w:hAnsi="Calibri" w:cs="Times New Roman"/>
          <w:color w:val="000000"/>
          <w:szCs w:val="22"/>
          <w:lang w:eastAsia="en-GB"/>
        </w:rPr>
      </w:pPr>
    </w:p>
    <w:p w:rsidR="005B0C84" w:rsidRPr="005B0C84" w:rsidRDefault="005B0C84" w:rsidP="005B0C84">
      <w:pPr>
        <w:spacing w:line="240" w:lineRule="auto"/>
        <w:rPr>
          <w:rFonts w:ascii="Calibri" w:eastAsia="Times New Roman" w:hAnsi="Calibri" w:cs="Times New Roman"/>
          <w:color w:val="000000"/>
          <w:szCs w:val="22"/>
          <w:lang w:eastAsia="en-GB"/>
        </w:rPr>
      </w:pPr>
      <w:r w:rsidRPr="005B0C84">
        <w:rPr>
          <w:rFonts w:ascii="Calibri" w:eastAsia="Times New Roman" w:hAnsi="Calibri" w:cs="Times New Roman"/>
          <w:color w:val="000000"/>
          <w:szCs w:val="22"/>
          <w:lang w:eastAsia="en-GB"/>
        </w:rPr>
        <w:t xml:space="preserve">The exception to that would be when the new instrument fulfils the requirement for all relevant data to be available and known in anticipation of trading, in which case the product become subsumed under </w:t>
      </w:r>
      <w:r w:rsidRPr="005B0C84">
        <w:rPr>
          <w:rFonts w:ascii="Calibri" w:eastAsia="Times New Roman" w:hAnsi="Calibri" w:cs="Times New Roman"/>
          <w:i/>
          <w:iCs/>
          <w:color w:val="000000"/>
          <w:szCs w:val="22"/>
          <w:lang w:eastAsia="en-GB"/>
        </w:rPr>
        <w:t>individual instruments</w:t>
      </w:r>
      <w:r w:rsidRPr="005B0C84">
        <w:rPr>
          <w:rFonts w:ascii="Calibri" w:eastAsia="Times New Roman" w:hAnsi="Calibri" w:cs="Times New Roman"/>
          <w:color w:val="000000"/>
          <w:szCs w:val="22"/>
          <w:lang w:eastAsia="en-GB"/>
        </w:rPr>
        <w:t xml:space="preserve"> and is included into the </w:t>
      </w:r>
      <w:r w:rsidRPr="005B0C84">
        <w:rPr>
          <w:rFonts w:ascii="Calibri" w:eastAsia="Times New Roman" w:hAnsi="Calibri" w:cs="Times New Roman"/>
          <w:i/>
          <w:iCs/>
          <w:color w:val="000000"/>
          <w:szCs w:val="22"/>
          <w:lang w:eastAsia="en-GB"/>
        </w:rPr>
        <w:t>specified list</w:t>
      </w:r>
      <w:r w:rsidRPr="005B0C84">
        <w:rPr>
          <w:rFonts w:ascii="Calibri" w:eastAsia="Times New Roman" w:hAnsi="Calibri" w:cs="Times New Roman"/>
          <w:color w:val="000000"/>
          <w:szCs w:val="22"/>
          <w:lang w:eastAsia="en-GB"/>
        </w:rPr>
        <w:t>.</w:t>
      </w:r>
    </w:p>
    <w:permEnd w:id="1039469870"/>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6A157A" w:rsidRDefault="006A157A" w:rsidP="00824D04">
      <w:pPr>
        <w:spacing w:line="240" w:lineRule="auto"/>
        <w:rPr>
          <w:rFonts w:ascii="Calibri" w:eastAsia="Times New Roman" w:hAnsi="Calibri" w:cs="Times New Roman"/>
          <w:color w:val="000000"/>
          <w:szCs w:val="22"/>
          <w:lang w:eastAsia="en-GB"/>
        </w:rPr>
      </w:pPr>
      <w:permStart w:id="1880300975" w:edGrp="everyone"/>
      <w:r w:rsidRPr="006A157A">
        <w:rPr>
          <w:rFonts w:ascii="Calibri" w:eastAsia="Times New Roman" w:hAnsi="Calibri" w:cs="Times New Roman"/>
          <w:color w:val="000000"/>
          <w:szCs w:val="22"/>
          <w:lang w:eastAsia="en-GB"/>
        </w:rPr>
        <w:t>We agree in part with Article 3(4) draft RTS 33 which permits MTFs and OTFs that do not use a specified list of financial instruments to provide reference data pursuant to Article 3(1) draft RTS 33 for instruments traded on those markets or for which orders or quotes were placed to those markets. We appreciate that the intention behind this provision is to capture instrument reference data in markets in which any financial instrument can trade at any point in time in accordance with an infinite number of value permutations (e.g., strike, maturity, clearing venue etc.</w:t>
      </w:r>
      <w:r>
        <w:rPr>
          <w:rFonts w:ascii="Calibri" w:eastAsia="Times New Roman" w:hAnsi="Calibri" w:cs="Times New Roman"/>
          <w:color w:val="000000"/>
          <w:szCs w:val="22"/>
          <w:lang w:eastAsia="en-GB"/>
        </w:rPr>
        <w:t>)</w:t>
      </w:r>
      <w:r w:rsidRPr="006A157A">
        <w:rPr>
          <w:rFonts w:ascii="Calibri" w:eastAsia="Times New Roman" w:hAnsi="Calibri" w:cs="Times New Roman"/>
          <w:color w:val="000000"/>
          <w:szCs w:val="22"/>
          <w:lang w:eastAsia="en-GB"/>
        </w:rPr>
        <w:t xml:space="preserve">  However, given that this is the intention we believe that the provision is incomplete because it does not specify the time period in relation to which the instrument reference date is required to be provided. We therefore propose that Article 3(4) draft RTS 33 be amended as follows:</w:t>
      </w:r>
    </w:p>
    <w:p w:rsidR="006A157A" w:rsidRDefault="006A157A" w:rsidP="00824D04">
      <w:pPr>
        <w:spacing w:line="240" w:lineRule="auto"/>
        <w:ind w:left="708"/>
        <w:rPr>
          <w:rFonts w:ascii="Calibri" w:eastAsia="Times New Roman" w:hAnsi="Calibri" w:cs="Times New Roman"/>
          <w:color w:val="000000"/>
          <w:szCs w:val="22"/>
          <w:lang w:eastAsia="en-GB"/>
        </w:rPr>
      </w:pPr>
      <w:r w:rsidRPr="006A157A">
        <w:rPr>
          <w:rFonts w:ascii="Calibri" w:eastAsia="Times New Roman" w:hAnsi="Calibri" w:cs="Times New Roman"/>
          <w:color w:val="000000"/>
          <w:szCs w:val="22"/>
          <w:lang w:eastAsia="en-GB"/>
        </w:rPr>
        <w:br/>
        <w:t>‘</w:t>
      </w:r>
      <w:r w:rsidRPr="006A157A">
        <w:rPr>
          <w:rFonts w:ascii="Calibri" w:eastAsia="Times New Roman" w:hAnsi="Calibri" w:cs="Times New Roman"/>
          <w:i/>
          <w:color w:val="000000"/>
          <w:szCs w:val="22"/>
          <w:lang w:eastAsia="en-GB"/>
        </w:rPr>
        <w:t>4. Multilateral trading facilities, organised trading facilities and systematic internalisers that do not use a specified list of financial instruments shall provide instrument reference data pursuant to paragraph (1) for instruments traded on those markets or for which orders or quotes were placed on those markets during that day</w:t>
      </w:r>
      <w:r w:rsidRPr="006A157A">
        <w:rPr>
          <w:rFonts w:ascii="Calibri" w:eastAsia="Times New Roman" w:hAnsi="Calibri" w:cs="Times New Roman"/>
          <w:color w:val="000000"/>
          <w:szCs w:val="22"/>
          <w:lang w:eastAsia="en-GB"/>
        </w:rPr>
        <w:t>.’</w:t>
      </w:r>
    </w:p>
    <w:p w:rsidR="006A157A" w:rsidRDefault="006A157A" w:rsidP="00824D04">
      <w:pPr>
        <w:spacing w:line="240" w:lineRule="auto"/>
        <w:rPr>
          <w:rFonts w:ascii="Calibri" w:eastAsia="Times New Roman" w:hAnsi="Calibri" w:cs="Times New Roman"/>
          <w:color w:val="000000"/>
          <w:szCs w:val="22"/>
          <w:lang w:eastAsia="en-GB"/>
        </w:rPr>
      </w:pPr>
      <w:r w:rsidRPr="006A157A">
        <w:rPr>
          <w:rFonts w:ascii="Calibri" w:eastAsia="Times New Roman" w:hAnsi="Calibri" w:cs="Times New Roman"/>
          <w:color w:val="000000"/>
          <w:szCs w:val="22"/>
          <w:lang w:eastAsia="en-GB"/>
        </w:rPr>
        <w:br/>
        <w:t xml:space="preserve">In respect of the venue provision of reference data, the WMBA understand that the ESMA CP text was missing the term at the end of point [4]: </w:t>
      </w:r>
      <w:r w:rsidRPr="006A157A">
        <w:rPr>
          <w:rFonts w:ascii="Calibri" w:eastAsia="Times New Roman" w:hAnsi="Calibri" w:cs="Times New Roman"/>
          <w:b/>
          <w:i/>
          <w:color w:val="000000"/>
          <w:szCs w:val="22"/>
          <w:lang w:eastAsia="en-GB"/>
        </w:rPr>
        <w:t>“... during that day</w:t>
      </w:r>
      <w:r w:rsidRPr="006A157A">
        <w:rPr>
          <w:rFonts w:ascii="Calibri" w:eastAsia="Times New Roman" w:hAnsi="Calibri" w:cs="Times New Roman"/>
          <w:color w:val="000000"/>
          <w:szCs w:val="22"/>
          <w:lang w:eastAsia="en-GB"/>
        </w:rPr>
        <w:t>”. Therefore it should be that that ESMA definition of “individual instruments” should only apply to those instruments that are pre-defined and listed for trading – where all relevant data are known and l</w:t>
      </w:r>
      <w:r>
        <w:rPr>
          <w:rFonts w:ascii="Calibri" w:eastAsia="Times New Roman" w:hAnsi="Calibri" w:cs="Times New Roman"/>
          <w:color w:val="000000"/>
          <w:szCs w:val="22"/>
          <w:lang w:eastAsia="en-GB"/>
        </w:rPr>
        <w:t>isted before trading commences.</w:t>
      </w:r>
    </w:p>
    <w:p w:rsidR="006A157A" w:rsidRDefault="006A157A" w:rsidP="00824D04">
      <w:pPr>
        <w:spacing w:line="240" w:lineRule="auto"/>
        <w:rPr>
          <w:rFonts w:ascii="Calibri" w:eastAsia="Times New Roman" w:hAnsi="Calibri" w:cs="Times New Roman"/>
          <w:color w:val="000000"/>
          <w:szCs w:val="22"/>
          <w:lang w:eastAsia="en-GB"/>
        </w:rPr>
      </w:pPr>
      <w:r w:rsidRPr="006A157A">
        <w:rPr>
          <w:rFonts w:ascii="Calibri" w:eastAsia="Times New Roman" w:hAnsi="Calibri" w:cs="Times New Roman"/>
          <w:color w:val="000000"/>
          <w:szCs w:val="22"/>
          <w:lang w:eastAsia="en-GB"/>
        </w:rPr>
        <w:br/>
        <w:t>Other instruments where factors such as dates and payments are allowed, but not included under that definition and the rules that therefore apply. Therefore OTFs should not be caught as having individual instruments whilst MTFs may or may-not be according to the nature of the financial instruments being executed.</w:t>
      </w:r>
    </w:p>
    <w:p w:rsidR="006A157A" w:rsidRPr="006A157A" w:rsidRDefault="006A157A" w:rsidP="00824D04">
      <w:pPr>
        <w:spacing w:line="240" w:lineRule="auto"/>
        <w:rPr>
          <w:rFonts w:ascii="Calibri" w:eastAsia="Times New Roman" w:hAnsi="Calibri" w:cs="Times New Roman"/>
          <w:color w:val="000000"/>
          <w:szCs w:val="22"/>
          <w:lang w:eastAsia="en-GB"/>
        </w:rPr>
      </w:pPr>
      <w:r w:rsidRPr="006A157A">
        <w:rPr>
          <w:rFonts w:ascii="Calibri" w:eastAsia="Times New Roman" w:hAnsi="Calibri" w:cs="Times New Roman"/>
          <w:color w:val="000000"/>
          <w:szCs w:val="22"/>
          <w:lang w:eastAsia="en-GB"/>
        </w:rPr>
        <w:br/>
        <w:t>For instruments that are not caught under the definition of “</w:t>
      </w:r>
      <w:r w:rsidRPr="006A157A">
        <w:rPr>
          <w:rFonts w:ascii="Calibri" w:eastAsia="Times New Roman" w:hAnsi="Calibri" w:cs="Times New Roman"/>
          <w:b/>
          <w:i/>
          <w:color w:val="000000"/>
          <w:szCs w:val="22"/>
          <w:lang w:eastAsia="en-GB"/>
        </w:rPr>
        <w:t>individual instruments</w:t>
      </w:r>
      <w:r w:rsidRPr="006A157A">
        <w:rPr>
          <w:rFonts w:ascii="Calibri" w:eastAsia="Times New Roman" w:hAnsi="Calibri" w:cs="Times New Roman"/>
          <w:color w:val="000000"/>
          <w:szCs w:val="22"/>
          <w:lang w:eastAsia="en-GB"/>
        </w:rPr>
        <w:t>” – venues should only supply reference data once that the instrument has either traded or received an “</w:t>
      </w:r>
      <w:r w:rsidRPr="006A157A">
        <w:rPr>
          <w:rFonts w:ascii="Calibri" w:eastAsia="Times New Roman" w:hAnsi="Calibri" w:cs="Times New Roman"/>
          <w:b/>
          <w:i/>
          <w:color w:val="000000"/>
          <w:szCs w:val="22"/>
          <w:lang w:eastAsia="en-GB"/>
        </w:rPr>
        <w:t>order</w:t>
      </w:r>
      <w:r w:rsidRPr="006A157A">
        <w:rPr>
          <w:rFonts w:ascii="Calibri" w:eastAsia="Times New Roman" w:hAnsi="Calibri" w:cs="Times New Roman"/>
          <w:color w:val="000000"/>
          <w:szCs w:val="22"/>
          <w:lang w:eastAsia="en-GB"/>
        </w:rPr>
        <w:t>”. In this case the venue submits the reference data that day only and not again thereafter unless further activity occurs on subsequent dates. The exception to that would be when the new instrument fulfils the requirement for all relevant data to be available and known in anticipation of trading, in which case the product become subsumed under individual instruments and is included into the specified list.</w:t>
      </w:r>
    </w:p>
    <w:permEnd w:id="1880300975"/>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6A157A" w:rsidRDefault="006A157A" w:rsidP="00824D04">
      <w:pPr>
        <w:spacing w:after="240" w:line="240" w:lineRule="auto"/>
        <w:rPr>
          <w:rFonts w:ascii="Calibri" w:eastAsia="Times New Roman" w:hAnsi="Calibri" w:cs="Times New Roman"/>
          <w:color w:val="000000"/>
          <w:szCs w:val="22"/>
          <w:lang w:eastAsia="en-GB"/>
        </w:rPr>
      </w:pPr>
      <w:permStart w:id="1397578733" w:edGrp="everyone"/>
      <w:r w:rsidRPr="006A157A">
        <w:rPr>
          <w:rFonts w:ascii="Calibri" w:eastAsia="Times New Roman" w:hAnsi="Calibri" w:cs="Times New Roman"/>
          <w:color w:val="000000"/>
          <w:szCs w:val="22"/>
          <w:lang w:eastAsia="en-GB"/>
        </w:rPr>
        <w:t>WMBA reiterate the requirement for a centralised golden source is still needed. This should be able to differentiate between instruments across different trading venues with SI information as always being a subset of venue reports. Clearly this database needs to be owned centrally and updated in real time and it also needs to be made available to the public. The benefits of such a reference entity would additionally reduce any potential for over-reporting and therefore create a far more effective trade and transaction reporting infrastructure.</w:t>
      </w:r>
    </w:p>
    <w:p w:rsidR="005036BF" w:rsidRPr="006A157A" w:rsidRDefault="005036BF" w:rsidP="00824D04">
      <w:pPr>
        <w:spacing w:after="240" w:line="240" w:lineRule="auto"/>
        <w:rPr>
          <w:rFonts w:ascii="Calibri" w:eastAsia="Times New Roman" w:hAnsi="Calibri" w:cs="Times New Roman"/>
          <w:color w:val="000000"/>
          <w:szCs w:val="22"/>
          <w:lang w:eastAsia="en-GB"/>
        </w:rPr>
      </w:pPr>
      <w:r w:rsidRPr="005036BF">
        <w:rPr>
          <w:rFonts w:ascii="Calibri" w:eastAsia="Times New Roman" w:hAnsi="Calibri" w:cs="Times New Roman"/>
          <w:color w:val="000000"/>
          <w:szCs w:val="22"/>
          <w:lang w:eastAsia="en-GB"/>
        </w:rPr>
        <w:t>With regards to the classification of instruments, we would like to highlight that not all instruments are currently coded and it is thus difficult (especially in OTC market) to come up with an instrument classification.</w:t>
      </w:r>
    </w:p>
    <w:permEnd w:id="1397578733"/>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036BF" w:rsidRPr="005036BF" w:rsidRDefault="005036BF" w:rsidP="005036BF">
      <w:pPr>
        <w:rPr>
          <w:rFonts w:ascii="Calibri" w:hAnsi="Calibri"/>
        </w:rPr>
      </w:pPr>
      <w:permStart w:id="1030031024" w:edGrp="everyone"/>
      <w:r w:rsidRPr="005036BF">
        <w:rPr>
          <w:rFonts w:ascii="Calibri" w:hAnsi="Calibri"/>
        </w:rPr>
        <w:t>The WMBA does not agree with the obligation under Article 3(2) draft RTS 37 on trading venues to check, before execution of a client order, whether the amount of that order is within the limit set by the clearing member for that client.  The reasons for this are as follows:</w:t>
      </w:r>
    </w:p>
    <w:p w:rsidR="005036BF" w:rsidRPr="005036BF" w:rsidRDefault="005036BF" w:rsidP="005036BF">
      <w:pPr>
        <w:ind w:left="720" w:hanging="360"/>
        <w:rPr>
          <w:rFonts w:ascii="Calibri" w:hAnsi="Calibri"/>
        </w:rPr>
      </w:pPr>
    </w:p>
    <w:p w:rsidR="005036BF" w:rsidRPr="004E26B2" w:rsidRDefault="005036BF" w:rsidP="007D55BD">
      <w:pPr>
        <w:pStyle w:val="ListParagraph"/>
        <w:numPr>
          <w:ilvl w:val="0"/>
          <w:numId w:val="38"/>
        </w:numPr>
      </w:pPr>
      <w:r w:rsidRPr="004E26B2">
        <w:t xml:space="preserve">Article 27(3) MiFIR does not specifically mandate ESMA to impose an obligation on trading venues to perform the checks envisaged by Article 3(2) draft RTS 37.  ESMA is  mandated only to develop draft RTS to specify the minimum requirements for systems, procedures and arrangements to ensure that cleared derivatives are submitted and accepted for clearing as quickly as technologically possible using automated systems. In other regulatory regimes globally, the obligation to check credit allocation prior to executing a transaction rests with the customer’s clearing member or, if the customer self-clears, the customer itself. No obligation rests with the venue.  The vast majority of orders into MTFs (and soon OTFs) emanate from self-clearers and checking each one (which numbers would be in the tens of millions per day for fully electronic CLOBs in just one market such as EUR Interest Rate Swaps) would conflict with the policy objective of providing immediate pre-trade transparency by delaying the posting of the price. The answer would always be yes. Therefore to be consistent with other regimes and to ensure that existing business remains in the EU we propose that a more practical alternative consistent with policy objectives will be to require trading venues to obtain written assurances from their clients, by way of commercial agreement and other legal documentation such as venue rulebooks prior to being authorised to transact that all orders will be within the limits imposed by the clearing member. </w:t>
      </w:r>
    </w:p>
    <w:p w:rsidR="005036BF" w:rsidRPr="004E26B2" w:rsidRDefault="005036BF" w:rsidP="007D55BD">
      <w:pPr>
        <w:pStyle w:val="ListParagraph"/>
        <w:numPr>
          <w:ilvl w:val="0"/>
          <w:numId w:val="38"/>
        </w:numPr>
      </w:pPr>
      <w:r w:rsidRPr="004E26B2">
        <w:t>The reliance of venues on third party ‘credit hubs’ to provide this real-time information to all venues equally and simultaneously will create the risk of a ‘single point of failure’ which in the event of an interruption will close the entire market. Therefore taking this obligation away from the venues and placing it upon customers to manage within their own systems, consistent with rules outside the EU, will prevent this potentially catastrophic risk from occurring.</w:t>
      </w:r>
    </w:p>
    <w:p w:rsidR="005036BF" w:rsidRPr="004E26B2" w:rsidRDefault="005036BF" w:rsidP="007D55BD">
      <w:pPr>
        <w:pStyle w:val="ListParagraph"/>
        <w:numPr>
          <w:ilvl w:val="0"/>
          <w:numId w:val="38"/>
        </w:numPr>
      </w:pPr>
      <w:r w:rsidRPr="004E26B2">
        <w:t xml:space="preserve">The cost of implementing such checks will be disproportionately high in comparison to the risk ESMA is attempting to avoid. </w:t>
      </w:r>
    </w:p>
    <w:p w:rsidR="005036BF" w:rsidRPr="004E26B2" w:rsidRDefault="005036BF" w:rsidP="007D55BD">
      <w:pPr>
        <w:pStyle w:val="ListParagraph"/>
        <w:numPr>
          <w:ilvl w:val="1"/>
          <w:numId w:val="38"/>
        </w:numPr>
      </w:pPr>
      <w:r w:rsidRPr="004E26B2">
        <w:t xml:space="preserve">Firstly, ESMA itself acknowledges that the processing time of derivative transactions subject to the clearing obligation concluded electronically on a trading venue is very short and carries either no, or an extremely limited, risk of damage being suffered by the counterparties if the transaction is rejected by a CCP.  The prohibitively burdensome infrastructure which trading venues will need to implement to comply with this obligation is disproportionate to the extremely limited risk of detriment to counterparties and the market.  This is particularly the pertinent to wholesale markets where the vast majority of counterparties will clear on their own clearing memberships/accounts. Imposing on trading venues requirements to perform prescriptive pre-clearing checks will unnecessarily add cost and complexity to the processing of derivative transaction and thereby increase operational risk.   </w:t>
      </w:r>
    </w:p>
    <w:p w:rsidR="005036BF" w:rsidRPr="004E26B2" w:rsidRDefault="005036BF" w:rsidP="007D55BD">
      <w:pPr>
        <w:pStyle w:val="ListParagraph"/>
        <w:numPr>
          <w:ilvl w:val="1"/>
          <w:numId w:val="38"/>
        </w:numPr>
      </w:pPr>
      <w:r w:rsidRPr="004E26B2">
        <w:t>Secondly, the impact of such checks on the acceptability of transactions for clearing has not been proven to date even under the US SEF Rules which impose an equivalent obligation on venues to 'pre-screen' transactions in advance of clearing. ESMA reference the experience of SEFs in the CP to the RTS, but do so somewhat in error. For the avoidance of doubt, those clearing members who clear on their own account at a CCP and therefore are termed "self-clearers" are NOT currently or hitherto pre-screened under SEF rules. MiFID needs to separate and treat proportionately self-clearers from those firms engaged in client clearing.</w:t>
      </w:r>
    </w:p>
    <w:p w:rsidR="005036BF" w:rsidRPr="004E26B2" w:rsidRDefault="005036BF" w:rsidP="007D55BD">
      <w:pPr>
        <w:pStyle w:val="ListParagraph"/>
        <w:numPr>
          <w:ilvl w:val="0"/>
          <w:numId w:val="38"/>
        </w:numPr>
      </w:pPr>
      <w:r w:rsidRPr="004E26B2">
        <w:t>A trading venue's ability to comply with this obligation is entirely dependent on it being provided with the necessary information by third parties to perform such checks and there could be many occasions where a trading venue will not have the requisite information at its disposal. This makes compliance with the obligation impracticable and inevitably inconsistent across different trading venues.  This will compromise trading venues’ ability to maintain fair and orderly markets due to reasons outside their control.</w:t>
      </w:r>
    </w:p>
    <w:p w:rsidR="005036BF" w:rsidRPr="004E26B2" w:rsidRDefault="005036BF" w:rsidP="007D55BD">
      <w:pPr>
        <w:pStyle w:val="ListParagraph"/>
        <w:numPr>
          <w:ilvl w:val="0"/>
          <w:numId w:val="38"/>
        </w:numPr>
      </w:pPr>
      <w:r w:rsidRPr="004E26B2">
        <w:t>The impracticability of complying with this obligation is further evidenced by the requirement to perform the checks within the timeframes stipulated in Article 3(3) draft RTS 37.  These timeframes do not take into account the fact that a transaction may be executed before the relevant time frame for performing the check.  For example, trading venues are required to perform the check within 10 minutes from the receipt of the order when the order is not entered into electronically (Article 3(3) draft RTS 37) but this does not cater for the scenario where an order is executed before the end of the 10 minute period. This should be avoided by rejecting the current proposal and placing the obligation on the customer to warrant the availability of credit prior to placing the order.</w:t>
      </w:r>
    </w:p>
    <w:permEnd w:id="1030031024"/>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036BF" w:rsidRPr="005036BF" w:rsidRDefault="005036BF" w:rsidP="005036BF">
      <w:pPr>
        <w:rPr>
          <w:rFonts w:ascii="Calibri" w:hAnsi="Calibri"/>
        </w:rPr>
      </w:pPr>
      <w:permStart w:id="1725957702" w:edGrp="everyone"/>
      <w:r w:rsidRPr="005036BF">
        <w:rPr>
          <w:rFonts w:ascii="Calibri" w:hAnsi="Calibri"/>
        </w:rPr>
        <w:t>It is the view of the WMBA that:</w:t>
      </w:r>
    </w:p>
    <w:p w:rsidR="005036BF" w:rsidRPr="004E26B2" w:rsidRDefault="005036BF" w:rsidP="007D55BD">
      <w:pPr>
        <w:pStyle w:val="ListParagraph"/>
        <w:numPr>
          <w:ilvl w:val="0"/>
          <w:numId w:val="39"/>
        </w:numPr>
      </w:pPr>
      <w:r w:rsidRPr="004E26B2">
        <w:t xml:space="preserve">A trading venue's ability to comply with Article 4 draft RTS 37 is entirely dependent on it being provided with the requisite information on an equal and identical basis compared to other venues and there will be many occasions where a trading venue will not have the requisite information at its disposal. This makes compliance with the obligation impracticable and inevitably inconsistent across different trading venues. </w:t>
      </w:r>
    </w:p>
    <w:p w:rsidR="005036BF" w:rsidRPr="004E26B2" w:rsidRDefault="005036BF" w:rsidP="007D55BD">
      <w:pPr>
        <w:pStyle w:val="ListParagraph"/>
        <w:numPr>
          <w:ilvl w:val="0"/>
          <w:numId w:val="39"/>
        </w:numPr>
      </w:pPr>
      <w:r w:rsidRPr="004E26B2">
        <w:t>The timeframes stipulated in Article 4 draft RTS 37 do not take into account certain transactions which by their very nature make compliance unachievable. .  For example, ni the case of packaged transactions, a trading venue may not have the requisite information provided to it in relation to each leg of the transaction and therefore compliance with the obligation in Article 4 draft RTS 37 is not possible. This is another reason why the obligation should not be placed on venues required to comply with rules outside the EU. Again, this risk is eliminated by placing the obligation directly on market participants rather than on the venues.</w:t>
      </w:r>
    </w:p>
    <w:permEnd w:id="1725957702"/>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036BF" w:rsidRPr="00824D04" w:rsidRDefault="005036BF" w:rsidP="00EC2C93">
      <w:pPr>
        <w:keepNext/>
        <w:rPr>
          <w:rFonts w:ascii="Calibri" w:hAnsi="Calibri"/>
        </w:rPr>
      </w:pPr>
      <w:permStart w:id="668303185" w:edGrp="everyone"/>
      <w:r w:rsidRPr="00824D04">
        <w:rPr>
          <w:rFonts w:ascii="Calibri" w:hAnsi="Calibri"/>
        </w:rPr>
        <w:t>The WMBA has no comment.</w:t>
      </w:r>
    </w:p>
    <w:permEnd w:id="668303185"/>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7306CC" w:rsidRPr="007306CC" w:rsidRDefault="007306CC" w:rsidP="00EC2C93">
      <w:pPr>
        <w:keepNext/>
        <w:rPr>
          <w:rFonts w:ascii="Calibri" w:hAnsi="Calibri"/>
        </w:rPr>
      </w:pPr>
      <w:permStart w:id="691749249" w:edGrp="everyone"/>
      <w:r w:rsidRPr="007306CC">
        <w:rPr>
          <w:rFonts w:ascii="Calibri" w:hAnsi="Calibri"/>
        </w:rPr>
        <w:t xml:space="preserve">If the timeframe of 10 seconds is adopted for submitting orders to the CCP, and is combined with a 10 second timeframe for acceptance by the CCP, then in the opinion of the WMBA, potential error trades will clear within 20 seconds total from execution to clearing because of insufficient time for any form of trade affirmation/checking. Given the large average size of derivative transactions this may rapidly prove to be problematic, most particularly in times of market stress and volatility when certainly is at a premium. </w:t>
      </w:r>
    </w:p>
    <w:permEnd w:id="691749249"/>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7306CC" w:rsidRPr="007306CC" w:rsidRDefault="007306CC" w:rsidP="007306CC">
      <w:pPr>
        <w:rPr>
          <w:rFonts w:ascii="Calibri" w:hAnsi="Calibri"/>
        </w:rPr>
      </w:pPr>
      <w:permStart w:id="821232223" w:edGrp="everyone"/>
      <w:r w:rsidRPr="007306CC">
        <w:rPr>
          <w:rFonts w:ascii="Calibri" w:hAnsi="Calibri"/>
        </w:rPr>
        <w:t>The WMBA underlines that it is absolutely vital that trades failing credit are able to be resubmitted. However, although we agree with the provision in Article 7(4) draft RTS 37, we do not believe the stipulated resubmission period of 10 seconds is sufficient or realistic as it does not allow enough time to prepare the transaction for resubmission. Traders cannot be made aware of a trade failure in every case within 10 seconds. We therefore propose that the resubmission period should be no less than 15 minutes which will dramatically reduce the likelihood of failed trades and is generally consistent with policy objectives.</w:t>
      </w:r>
    </w:p>
    <w:p w:rsidR="007306CC" w:rsidRPr="007306CC" w:rsidRDefault="007306CC" w:rsidP="007306CC">
      <w:pPr>
        <w:rPr>
          <w:rFonts w:ascii="Calibri" w:hAnsi="Calibri"/>
        </w:rPr>
      </w:pPr>
    </w:p>
    <w:p w:rsidR="007306CC" w:rsidRPr="0096182E" w:rsidRDefault="007306CC" w:rsidP="007306CC">
      <w:r w:rsidRPr="007306CC">
        <w:rPr>
          <w:rFonts w:ascii="Calibri" w:hAnsi="Calibri"/>
        </w:rPr>
        <w:t>WMBA would also point out that it will not be clear if a trade is rejected by the CCP due to technical or other issues, meaning there will be uncertainty over the exact status of the trade at the trading venue</w:t>
      </w:r>
      <w:r w:rsidRPr="007306CC">
        <w:t>.</w:t>
      </w:r>
      <w:r>
        <w:t xml:space="preserve"> </w:t>
      </w:r>
    </w:p>
    <w:permEnd w:id="821232223"/>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7306CC" w:rsidRDefault="007306CC" w:rsidP="00EC2C93">
      <w:pPr>
        <w:keepNext/>
      </w:pPr>
      <w:permStart w:id="1274349679" w:edGrp="everyone"/>
      <w:r w:rsidRPr="007306CC">
        <w:t>The WMBA has no comment.</w:t>
      </w:r>
    </w:p>
    <w:permEnd w:id="1274349679"/>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t>&lt;ESMA_QUESTION_CP_MIFID_245&gt;</w:t>
      </w:r>
    </w:p>
    <w:p w:rsidR="007306CC" w:rsidRDefault="007306CC" w:rsidP="00EC2C93">
      <w:pPr>
        <w:keepNext/>
      </w:pPr>
      <w:permStart w:id="928068242" w:edGrp="everyone"/>
      <w:r w:rsidRPr="007306CC">
        <w:t>The WMBA has no comment.</w:t>
      </w:r>
    </w:p>
    <w:permEnd w:id="928068242"/>
    <w:p w:rsidR="00577C33" w:rsidRDefault="00577C33" w:rsidP="00EC2C93">
      <w:pPr>
        <w:keepNext/>
      </w:pPr>
      <w:r>
        <w:t>&lt;ESMA_QUESTION_CP_MIFID_245&gt;</w:t>
      </w:r>
    </w:p>
    <w:p w:rsidR="00577C33" w:rsidRDefault="00577C33" w:rsidP="00EC2C93">
      <w:pPr>
        <w:keepNext/>
      </w:pPr>
    </w:p>
    <w:sectPr w:rsidR="00577C33" w:rsidSect="00192A12">
      <w:headerReference w:type="default" r:id="rId12"/>
      <w:footerReference w:type="default" r:id="rId13"/>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39C" w:rsidRDefault="00D0639C" w:rsidP="007E7997">
      <w:pPr>
        <w:spacing w:line="240" w:lineRule="auto"/>
      </w:pPr>
      <w:r>
        <w:separator/>
      </w:r>
    </w:p>
  </w:endnote>
  <w:endnote w:type="continuationSeparator" w:id="0">
    <w:p w:rsidR="00D0639C" w:rsidRDefault="00D0639C"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39C" w:rsidRDefault="00D0639C">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814451"/>
      <w:docPartObj>
        <w:docPartGallery w:val="Page Numbers (Bottom of Page)"/>
        <w:docPartUnique/>
      </w:docPartObj>
    </w:sdtPr>
    <w:sdtEndPr>
      <w:rPr>
        <w:noProof/>
      </w:rPr>
    </w:sdtEndPr>
    <w:sdtContent>
      <w:p w:rsidR="00D0639C" w:rsidRDefault="00D0639C" w:rsidP="00375BA2">
        <w:pPr>
          <w:pStyle w:val="Footer"/>
          <w:jc w:val="right"/>
        </w:pPr>
        <w:r>
          <w:fldChar w:fldCharType="begin"/>
        </w:r>
        <w:r>
          <w:instrText xml:space="preserve"> PAGE   \* MERGEFORMAT </w:instrText>
        </w:r>
        <w:r>
          <w:fldChar w:fldCharType="separate"/>
        </w:r>
        <w:r w:rsidR="009218D7">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39C" w:rsidRDefault="00D0639C" w:rsidP="007E7997">
      <w:pPr>
        <w:spacing w:line="240" w:lineRule="auto"/>
      </w:pPr>
      <w:r>
        <w:separator/>
      </w:r>
    </w:p>
  </w:footnote>
  <w:footnote w:type="continuationSeparator" w:id="0">
    <w:p w:rsidR="00D0639C" w:rsidRDefault="00D0639C" w:rsidP="007E7997">
      <w:pPr>
        <w:spacing w:line="240" w:lineRule="auto"/>
      </w:pPr>
      <w:r>
        <w:continuationSeparator/>
      </w:r>
    </w:p>
  </w:footnote>
  <w:footnote w:id="1">
    <w:p w:rsidR="00D0639C" w:rsidRPr="00AA7A30" w:rsidRDefault="00D0639C"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39C" w:rsidRDefault="00D0639C">
    <w:pPr>
      <w:pStyle w:val="Header"/>
    </w:pPr>
    <w:r>
      <w:rPr>
        <w:noProof/>
        <w:lang w:eastAsia="en-GB"/>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39C" w:rsidRDefault="00D0639C" w:rsidP="00B50534">
    <w:pPr>
      <w:pStyle w:val="Header"/>
      <w:jc w:val="right"/>
      <w:rPr>
        <w:b/>
        <w:color w:val="FF0000"/>
      </w:rPr>
    </w:pPr>
  </w:p>
  <w:p w:rsidR="00D0639C" w:rsidRDefault="00D0639C"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F7B51"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D0639C" w:rsidRPr="00B50534" w:rsidRDefault="00D0639C"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136C"/>
    <w:multiLevelType w:val="hybridMultilevel"/>
    <w:tmpl w:val="A56234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393F5C"/>
    <w:multiLevelType w:val="hybridMultilevel"/>
    <w:tmpl w:val="67CC81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5071034"/>
    <w:multiLevelType w:val="hybridMultilevel"/>
    <w:tmpl w:val="E02C7A4E"/>
    <w:lvl w:ilvl="0" w:tplc="7B1EC7F0">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9D866D4"/>
    <w:multiLevelType w:val="hybridMultilevel"/>
    <w:tmpl w:val="1E644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0E6E7D"/>
    <w:multiLevelType w:val="hybridMultilevel"/>
    <w:tmpl w:val="1CB46980"/>
    <w:lvl w:ilvl="0" w:tplc="CF709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DD5CCB"/>
    <w:multiLevelType w:val="hybridMultilevel"/>
    <w:tmpl w:val="26EA4A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125468"/>
    <w:multiLevelType w:val="hybridMultilevel"/>
    <w:tmpl w:val="F18895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4A3DCC"/>
    <w:multiLevelType w:val="hybridMultilevel"/>
    <w:tmpl w:val="10944022"/>
    <w:lvl w:ilvl="0" w:tplc="75525DD0">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0A2965"/>
    <w:multiLevelType w:val="hybridMultilevel"/>
    <w:tmpl w:val="818A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4D0063"/>
    <w:multiLevelType w:val="hybridMultilevel"/>
    <w:tmpl w:val="ACACB6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AC27ECD"/>
    <w:multiLevelType w:val="hybridMultilevel"/>
    <w:tmpl w:val="A07A02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38043ACA"/>
    <w:multiLevelType w:val="hybridMultilevel"/>
    <w:tmpl w:val="2DFC8E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93B55AA"/>
    <w:multiLevelType w:val="hybridMultilevel"/>
    <w:tmpl w:val="64D23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43501DD5"/>
    <w:multiLevelType w:val="hybridMultilevel"/>
    <w:tmpl w:val="5D68D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44A52A73"/>
    <w:multiLevelType w:val="hybridMultilevel"/>
    <w:tmpl w:val="8AD8E33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A9E4F77"/>
    <w:multiLevelType w:val="hybridMultilevel"/>
    <w:tmpl w:val="9828CC3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E5444BC"/>
    <w:multiLevelType w:val="hybridMultilevel"/>
    <w:tmpl w:val="46E29B00"/>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FFB099C"/>
    <w:multiLevelType w:val="hybridMultilevel"/>
    <w:tmpl w:val="D16EF20A"/>
    <w:lvl w:ilvl="0" w:tplc="33D25A9E">
      <w:start w:val="3"/>
      <w:numFmt w:val="bullet"/>
      <w:lvlText w:val="•"/>
      <w:lvlJc w:val="left"/>
      <w:pPr>
        <w:ind w:left="720" w:hanging="360"/>
      </w:pPr>
      <w:rPr>
        <w:rFonts w:ascii="Calibri" w:eastAsiaTheme="minorHAnsi" w:hAnsi="Calibri" w:cstheme="minorBidi" w:hint="default"/>
      </w:rPr>
    </w:lvl>
    <w:lvl w:ilvl="1" w:tplc="7A7EB6DA">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115E31"/>
    <w:multiLevelType w:val="hybridMultilevel"/>
    <w:tmpl w:val="6B32B88A"/>
    <w:lvl w:ilvl="0" w:tplc="4B323AA6">
      <w:start w:val="1"/>
      <w:numFmt w:val="decimal"/>
      <w:lvlText w:val="%1."/>
      <w:lvlJc w:val="left"/>
      <w:pPr>
        <w:ind w:left="720" w:hanging="360"/>
      </w:pPr>
      <w:rPr>
        <w:rFonts w:asciiTheme="minorHAnsi" w:eastAsiaTheme="minorHAnsi" w:hAnsiTheme="minorHAnsi" w:cstheme="minorBidi"/>
      </w:rPr>
    </w:lvl>
    <w:lvl w:ilvl="1" w:tplc="261A107E">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12C5CC8"/>
    <w:multiLevelType w:val="hybridMultilevel"/>
    <w:tmpl w:val="6B32B88A"/>
    <w:lvl w:ilvl="0" w:tplc="4B323AA6">
      <w:start w:val="1"/>
      <w:numFmt w:val="decimal"/>
      <w:lvlText w:val="%1."/>
      <w:lvlJc w:val="left"/>
      <w:pPr>
        <w:ind w:left="720" w:hanging="360"/>
      </w:pPr>
      <w:rPr>
        <w:rFonts w:asciiTheme="minorHAnsi" w:eastAsiaTheme="minorHAnsi" w:hAnsiTheme="minorHAnsi" w:cstheme="minorBidi"/>
      </w:rPr>
    </w:lvl>
    <w:lvl w:ilvl="1" w:tplc="261A107E">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1D94232"/>
    <w:multiLevelType w:val="hybridMultilevel"/>
    <w:tmpl w:val="DB2CCAEC"/>
    <w:lvl w:ilvl="0" w:tplc="8F5641C0">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21D5977"/>
    <w:multiLevelType w:val="hybridMultilevel"/>
    <w:tmpl w:val="61B84A1A"/>
    <w:lvl w:ilvl="0" w:tplc="E86640E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6EC731E"/>
    <w:multiLevelType w:val="hybridMultilevel"/>
    <w:tmpl w:val="40E01B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C2A03D8"/>
    <w:multiLevelType w:val="hybridMultilevel"/>
    <w:tmpl w:val="36F81C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1E84E77"/>
    <w:multiLevelType w:val="hybridMultilevel"/>
    <w:tmpl w:val="E19EEF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38F2E74"/>
    <w:multiLevelType w:val="hybridMultilevel"/>
    <w:tmpl w:val="5016E65E"/>
    <w:lvl w:ilvl="0" w:tplc="4B323AA6">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5C33B51"/>
    <w:multiLevelType w:val="hybridMultilevel"/>
    <w:tmpl w:val="BEF2DBBC"/>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9FC40F3"/>
    <w:multiLevelType w:val="hybridMultilevel"/>
    <w:tmpl w:val="43A451EA"/>
    <w:lvl w:ilvl="0" w:tplc="174E60CE">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nsid w:val="6CF83024"/>
    <w:multiLevelType w:val="hybridMultilevel"/>
    <w:tmpl w:val="130C249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74121EA0"/>
    <w:multiLevelType w:val="hybridMultilevel"/>
    <w:tmpl w:val="0ACC6FAA"/>
    <w:lvl w:ilvl="0" w:tplc="242AE064">
      <w:start w:val="3"/>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AB659B9"/>
    <w:multiLevelType w:val="hybridMultilevel"/>
    <w:tmpl w:val="BF7818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EB40405"/>
    <w:multiLevelType w:val="hybridMultilevel"/>
    <w:tmpl w:val="4DECE2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289C3B5C">
      <w:start w:val="1"/>
      <w:numFmt w:val="bullet"/>
      <w:lvlText w:val=""/>
      <w:lvlJc w:val="left"/>
      <w:pPr>
        <w:ind w:left="2520" w:hanging="360"/>
      </w:pPr>
      <w:rPr>
        <w:rFonts w:ascii="Symbol" w:hAnsi="Symbo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10"/>
  </w:num>
  <w:num w:numId="3">
    <w:abstractNumId w:val="32"/>
  </w:num>
  <w:num w:numId="4">
    <w:abstractNumId w:val="12"/>
  </w:num>
  <w:num w:numId="5">
    <w:abstractNumId w:val="16"/>
  </w:num>
  <w:num w:numId="6">
    <w:abstractNumId w:val="34"/>
  </w:num>
  <w:num w:numId="7">
    <w:abstractNumId w:val="18"/>
  </w:num>
  <w:num w:numId="8">
    <w:abstractNumId w:val="36"/>
  </w:num>
  <w:num w:numId="9">
    <w:abstractNumId w:val="8"/>
  </w:num>
  <w:num w:numId="10">
    <w:abstractNumId w:val="19"/>
  </w:num>
  <w:num w:numId="11">
    <w:abstractNumId w:val="37"/>
  </w:num>
  <w:num w:numId="12">
    <w:abstractNumId w:val="35"/>
  </w:num>
  <w:num w:numId="13">
    <w:abstractNumId w:val="24"/>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
  </w:num>
  <w:num w:numId="17">
    <w:abstractNumId w:val="6"/>
  </w:num>
  <w:num w:numId="18">
    <w:abstractNumId w:val="31"/>
  </w:num>
  <w:num w:numId="19">
    <w:abstractNumId w:val="17"/>
  </w:num>
  <w:num w:numId="20">
    <w:abstractNumId w:val="11"/>
  </w:num>
  <w:num w:numId="21">
    <w:abstractNumId w:val="9"/>
  </w:num>
  <w:num w:numId="22">
    <w:abstractNumId w:val="13"/>
  </w:num>
  <w:num w:numId="23">
    <w:abstractNumId w:val="28"/>
  </w:num>
  <w:num w:numId="24">
    <w:abstractNumId w:val="15"/>
  </w:num>
  <w:num w:numId="25">
    <w:abstractNumId w:val="27"/>
  </w:num>
  <w:num w:numId="26">
    <w:abstractNumId w:val="5"/>
  </w:num>
  <w:num w:numId="27">
    <w:abstractNumId w:val="0"/>
  </w:num>
  <w:num w:numId="28">
    <w:abstractNumId w:val="25"/>
  </w:num>
  <w:num w:numId="29">
    <w:abstractNumId w:val="4"/>
  </w:num>
  <w:num w:numId="30">
    <w:abstractNumId w:val="1"/>
  </w:num>
  <w:num w:numId="31">
    <w:abstractNumId w:val="30"/>
  </w:num>
  <w:num w:numId="32">
    <w:abstractNumId w:val="20"/>
  </w:num>
  <w:num w:numId="33">
    <w:abstractNumId w:val="26"/>
  </w:num>
  <w:num w:numId="34">
    <w:abstractNumId w:val="14"/>
  </w:num>
  <w:num w:numId="35">
    <w:abstractNumId w:val="33"/>
  </w:num>
  <w:num w:numId="36">
    <w:abstractNumId w:val="7"/>
  </w:num>
  <w:num w:numId="37">
    <w:abstractNumId w:val="22"/>
  </w:num>
  <w:num w:numId="38">
    <w:abstractNumId w:val="23"/>
  </w:num>
  <w:num w:numId="39">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A5"/>
    <w:rsid w:val="00012D68"/>
    <w:rsid w:val="00016A3A"/>
    <w:rsid w:val="00020300"/>
    <w:rsid w:val="000372BF"/>
    <w:rsid w:val="00044C5A"/>
    <w:rsid w:val="0005509E"/>
    <w:rsid w:val="000632C2"/>
    <w:rsid w:val="0006528D"/>
    <w:rsid w:val="00092863"/>
    <w:rsid w:val="000932BC"/>
    <w:rsid w:val="000A3D10"/>
    <w:rsid w:val="000B5D3D"/>
    <w:rsid w:val="000C0CE0"/>
    <w:rsid w:val="000D1038"/>
    <w:rsid w:val="000D2EA8"/>
    <w:rsid w:val="001133D1"/>
    <w:rsid w:val="00130EF9"/>
    <w:rsid w:val="001319C7"/>
    <w:rsid w:val="00136584"/>
    <w:rsid w:val="00144AAD"/>
    <w:rsid w:val="0017613C"/>
    <w:rsid w:val="0018199B"/>
    <w:rsid w:val="00192A12"/>
    <w:rsid w:val="001B2151"/>
    <w:rsid w:val="001B3CFF"/>
    <w:rsid w:val="001B4996"/>
    <w:rsid w:val="001C781D"/>
    <w:rsid w:val="001D47A5"/>
    <w:rsid w:val="001F3D9D"/>
    <w:rsid w:val="002574D1"/>
    <w:rsid w:val="00284BC5"/>
    <w:rsid w:val="00287C8F"/>
    <w:rsid w:val="00296EA1"/>
    <w:rsid w:val="002C0AF2"/>
    <w:rsid w:val="002C7A13"/>
    <w:rsid w:val="002E1C11"/>
    <w:rsid w:val="0031272B"/>
    <w:rsid w:val="00314117"/>
    <w:rsid w:val="00317EDF"/>
    <w:rsid w:val="003279E7"/>
    <w:rsid w:val="0033324D"/>
    <w:rsid w:val="003454ED"/>
    <w:rsid w:val="00366D42"/>
    <w:rsid w:val="00375BA2"/>
    <w:rsid w:val="0038331A"/>
    <w:rsid w:val="003A530C"/>
    <w:rsid w:val="003C4EB5"/>
    <w:rsid w:val="003C7425"/>
    <w:rsid w:val="003F39B1"/>
    <w:rsid w:val="00406218"/>
    <w:rsid w:val="00435FE9"/>
    <w:rsid w:val="00442D75"/>
    <w:rsid w:val="00445696"/>
    <w:rsid w:val="00455213"/>
    <w:rsid w:val="00484BC5"/>
    <w:rsid w:val="00486D05"/>
    <w:rsid w:val="00487944"/>
    <w:rsid w:val="004E26B2"/>
    <w:rsid w:val="005036BF"/>
    <w:rsid w:val="0051742C"/>
    <w:rsid w:val="0052636F"/>
    <w:rsid w:val="00526E5D"/>
    <w:rsid w:val="00557E15"/>
    <w:rsid w:val="00565193"/>
    <w:rsid w:val="0057799E"/>
    <w:rsid w:val="00577C33"/>
    <w:rsid w:val="0059703C"/>
    <w:rsid w:val="005A7DFE"/>
    <w:rsid w:val="005B0C84"/>
    <w:rsid w:val="005B447A"/>
    <w:rsid w:val="005B6B12"/>
    <w:rsid w:val="005D2DE7"/>
    <w:rsid w:val="005E7969"/>
    <w:rsid w:val="00603521"/>
    <w:rsid w:val="0062008E"/>
    <w:rsid w:val="0063565E"/>
    <w:rsid w:val="00636E02"/>
    <w:rsid w:val="00642297"/>
    <w:rsid w:val="00644A34"/>
    <w:rsid w:val="00662882"/>
    <w:rsid w:val="00665A7C"/>
    <w:rsid w:val="00671363"/>
    <w:rsid w:val="0069426E"/>
    <w:rsid w:val="00696450"/>
    <w:rsid w:val="006A157A"/>
    <w:rsid w:val="006A7A10"/>
    <w:rsid w:val="006B0DA4"/>
    <w:rsid w:val="006B1B6B"/>
    <w:rsid w:val="006D30A8"/>
    <w:rsid w:val="006D48A6"/>
    <w:rsid w:val="006E69EC"/>
    <w:rsid w:val="006F53E8"/>
    <w:rsid w:val="007024C3"/>
    <w:rsid w:val="00706072"/>
    <w:rsid w:val="007306CC"/>
    <w:rsid w:val="00733383"/>
    <w:rsid w:val="00754B57"/>
    <w:rsid w:val="00797E0C"/>
    <w:rsid w:val="007D55BD"/>
    <w:rsid w:val="007E08AF"/>
    <w:rsid w:val="007E18A4"/>
    <w:rsid w:val="007E650F"/>
    <w:rsid w:val="007E7997"/>
    <w:rsid w:val="00824D04"/>
    <w:rsid w:val="00830D00"/>
    <w:rsid w:val="00846692"/>
    <w:rsid w:val="00867DB2"/>
    <w:rsid w:val="00867EE8"/>
    <w:rsid w:val="00887C75"/>
    <w:rsid w:val="0089075A"/>
    <w:rsid w:val="008C2E2D"/>
    <w:rsid w:val="008C767A"/>
    <w:rsid w:val="008D5C28"/>
    <w:rsid w:val="008D7098"/>
    <w:rsid w:val="008E2F4E"/>
    <w:rsid w:val="009218D7"/>
    <w:rsid w:val="009243C8"/>
    <w:rsid w:val="00940EFD"/>
    <w:rsid w:val="009663D9"/>
    <w:rsid w:val="00976B6D"/>
    <w:rsid w:val="0099526D"/>
    <w:rsid w:val="009C7694"/>
    <w:rsid w:val="009D7294"/>
    <w:rsid w:val="009E5107"/>
    <w:rsid w:val="00A026A4"/>
    <w:rsid w:val="00A40C6D"/>
    <w:rsid w:val="00A410CC"/>
    <w:rsid w:val="00A42B43"/>
    <w:rsid w:val="00A501F5"/>
    <w:rsid w:val="00A52126"/>
    <w:rsid w:val="00A53AF0"/>
    <w:rsid w:val="00A800EF"/>
    <w:rsid w:val="00A81DE7"/>
    <w:rsid w:val="00A91D91"/>
    <w:rsid w:val="00AA054E"/>
    <w:rsid w:val="00AB7542"/>
    <w:rsid w:val="00AC5E47"/>
    <w:rsid w:val="00AC79E0"/>
    <w:rsid w:val="00AD537B"/>
    <w:rsid w:val="00AE4FC7"/>
    <w:rsid w:val="00AE58EB"/>
    <w:rsid w:val="00AE6C93"/>
    <w:rsid w:val="00AF3B7F"/>
    <w:rsid w:val="00AF7423"/>
    <w:rsid w:val="00B04283"/>
    <w:rsid w:val="00B11730"/>
    <w:rsid w:val="00B15C0B"/>
    <w:rsid w:val="00B17AF3"/>
    <w:rsid w:val="00B27499"/>
    <w:rsid w:val="00B40D81"/>
    <w:rsid w:val="00B4120D"/>
    <w:rsid w:val="00B50534"/>
    <w:rsid w:val="00B52E10"/>
    <w:rsid w:val="00B655D1"/>
    <w:rsid w:val="00B91B6E"/>
    <w:rsid w:val="00B944A7"/>
    <w:rsid w:val="00BB449C"/>
    <w:rsid w:val="00BC2561"/>
    <w:rsid w:val="00BC422A"/>
    <w:rsid w:val="00BE225E"/>
    <w:rsid w:val="00BF25CD"/>
    <w:rsid w:val="00BF372C"/>
    <w:rsid w:val="00C0358F"/>
    <w:rsid w:val="00C035F1"/>
    <w:rsid w:val="00C0642F"/>
    <w:rsid w:val="00C068DA"/>
    <w:rsid w:val="00C0696A"/>
    <w:rsid w:val="00C212A5"/>
    <w:rsid w:val="00C978C6"/>
    <w:rsid w:val="00CB50EF"/>
    <w:rsid w:val="00CB791A"/>
    <w:rsid w:val="00CC7921"/>
    <w:rsid w:val="00CD47B2"/>
    <w:rsid w:val="00CE49F8"/>
    <w:rsid w:val="00CF49CB"/>
    <w:rsid w:val="00D0639C"/>
    <w:rsid w:val="00D140B0"/>
    <w:rsid w:val="00D14F6A"/>
    <w:rsid w:val="00D22F2F"/>
    <w:rsid w:val="00D254B3"/>
    <w:rsid w:val="00D46275"/>
    <w:rsid w:val="00D46B5F"/>
    <w:rsid w:val="00D73338"/>
    <w:rsid w:val="00D978C6"/>
    <w:rsid w:val="00DA2730"/>
    <w:rsid w:val="00DD3BC5"/>
    <w:rsid w:val="00DE362E"/>
    <w:rsid w:val="00DF1ED8"/>
    <w:rsid w:val="00DF3785"/>
    <w:rsid w:val="00DF49B5"/>
    <w:rsid w:val="00E22C13"/>
    <w:rsid w:val="00E24D42"/>
    <w:rsid w:val="00E3422E"/>
    <w:rsid w:val="00E3456B"/>
    <w:rsid w:val="00E37EE4"/>
    <w:rsid w:val="00E640E2"/>
    <w:rsid w:val="00EA2103"/>
    <w:rsid w:val="00EA3E51"/>
    <w:rsid w:val="00EC2569"/>
    <w:rsid w:val="00EC2C93"/>
    <w:rsid w:val="00EC6BD8"/>
    <w:rsid w:val="00ED74D7"/>
    <w:rsid w:val="00EF667D"/>
    <w:rsid w:val="00F2239B"/>
    <w:rsid w:val="00F226E0"/>
    <w:rsid w:val="00F401BC"/>
    <w:rsid w:val="00F45F5F"/>
    <w:rsid w:val="00F53CBE"/>
    <w:rsid w:val="00F5412D"/>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7F0C1B4-783D-47BA-9083-E2A108C2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lang w:val="en-GB"/>
    </w:rPr>
  </w:style>
  <w:style w:type="paragraph" w:styleId="ListParagraph">
    <w:name w:val="List Paragraph"/>
    <w:basedOn w:val="Normal"/>
    <w:autoRedefine/>
    <w:uiPriority w:val="34"/>
    <w:qFormat/>
    <w:rsid w:val="007D55BD"/>
    <w:pPr>
      <w:numPr>
        <w:numId w:val="16"/>
      </w:numPr>
      <w:tabs>
        <w:tab w:val="left" w:pos="360"/>
      </w:tabs>
      <w:spacing w:after="200"/>
      <w:contextualSpacing/>
      <w:jc w:val="left"/>
    </w:pPr>
    <w:rPr>
      <w:rFonts w:ascii="Calibri" w:hAnsi="Calibri"/>
      <w:bCs/>
      <w:lang w:val="en-US"/>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sz w:val="22"/>
      <w:lang w:val="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sz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6"/>
      </w:numPr>
    </w:pPr>
    <w:rPr>
      <w:rFonts w:cstheme="majorHAnsi"/>
      <w:lang w:val="nl-BE"/>
    </w:rPr>
  </w:style>
  <w:style w:type="paragraph" w:customStyle="1" w:styleId="CPTitle3">
    <w:name w:val="CP_Title3"/>
    <w:basedOn w:val="Heading2"/>
    <w:qFormat/>
    <w:rsid w:val="009E5107"/>
    <w:pPr>
      <w:numPr>
        <w:ilvl w:val="2"/>
        <w:numId w:val="6"/>
      </w:numPr>
      <w:tabs>
        <w:tab w:val="num" w:pos="360"/>
      </w:tabs>
      <w:spacing w:before="250"/>
    </w:pPr>
    <w:rPr>
      <w:rFonts w:cstheme="majorHAnsi"/>
    </w:rPr>
  </w:style>
  <w:style w:type="paragraph" w:customStyle="1" w:styleId="CPTitle4">
    <w:name w:val="CP_Title4"/>
    <w:basedOn w:val="Normal"/>
    <w:qFormat/>
    <w:rsid w:val="009E5107"/>
    <w:pPr>
      <w:numPr>
        <w:ilvl w:val="3"/>
        <w:numId w:val="6"/>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6"/>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6"/>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6"/>
      </w:numPr>
      <w:spacing w:before="250"/>
    </w:pPr>
  </w:style>
  <w:style w:type="paragraph" w:customStyle="1" w:styleId="CPisubtitles">
    <w:name w:val="CP_isubtitles"/>
    <w:basedOn w:val="Normal"/>
    <w:qFormat/>
    <w:rsid w:val="009E5107"/>
    <w:pPr>
      <w:numPr>
        <w:ilvl w:val="7"/>
        <w:numId w:val="6"/>
      </w:numPr>
      <w:spacing w:before="250"/>
    </w:pPr>
  </w:style>
  <w:style w:type="paragraph" w:customStyle="1" w:styleId="CPasubtitles">
    <w:name w:val="CP_asubtitles"/>
    <w:basedOn w:val="Normal"/>
    <w:qFormat/>
    <w:rsid w:val="009E5107"/>
    <w:pPr>
      <w:numPr>
        <w:ilvl w:val="8"/>
        <w:numId w:val="6"/>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7"/>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FreeFormA">
    <w:name w:val="Free Form A"/>
    <w:rsid w:val="00406218"/>
    <w:pPr>
      <w:spacing w:after="0" w:line="240" w:lineRule="auto"/>
    </w:pPr>
    <w:rPr>
      <w:rFonts w:ascii="Helvetica" w:eastAsia="ヒラギノ角ゴ Pro W3" w:hAnsi="Helvetica" w:cs="Times New Roman"/>
      <w:color w:val="000000"/>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4613">
      <w:bodyDiv w:val="1"/>
      <w:marLeft w:val="0"/>
      <w:marRight w:val="0"/>
      <w:marTop w:val="0"/>
      <w:marBottom w:val="0"/>
      <w:divBdr>
        <w:top w:val="none" w:sz="0" w:space="0" w:color="auto"/>
        <w:left w:val="none" w:sz="0" w:space="0" w:color="auto"/>
        <w:bottom w:val="none" w:sz="0" w:space="0" w:color="auto"/>
        <w:right w:val="none" w:sz="0" w:space="0" w:color="auto"/>
      </w:divBdr>
    </w:div>
    <w:div w:id="12536078">
      <w:bodyDiv w:val="1"/>
      <w:marLeft w:val="0"/>
      <w:marRight w:val="0"/>
      <w:marTop w:val="0"/>
      <w:marBottom w:val="0"/>
      <w:divBdr>
        <w:top w:val="none" w:sz="0" w:space="0" w:color="auto"/>
        <w:left w:val="none" w:sz="0" w:space="0" w:color="auto"/>
        <w:bottom w:val="none" w:sz="0" w:space="0" w:color="auto"/>
        <w:right w:val="none" w:sz="0" w:space="0" w:color="auto"/>
      </w:divBdr>
    </w:div>
    <w:div w:id="63766534">
      <w:bodyDiv w:val="1"/>
      <w:marLeft w:val="0"/>
      <w:marRight w:val="0"/>
      <w:marTop w:val="0"/>
      <w:marBottom w:val="0"/>
      <w:divBdr>
        <w:top w:val="none" w:sz="0" w:space="0" w:color="auto"/>
        <w:left w:val="none" w:sz="0" w:space="0" w:color="auto"/>
        <w:bottom w:val="none" w:sz="0" w:space="0" w:color="auto"/>
        <w:right w:val="none" w:sz="0" w:space="0" w:color="auto"/>
      </w:divBdr>
    </w:div>
    <w:div w:id="79958635">
      <w:bodyDiv w:val="1"/>
      <w:marLeft w:val="0"/>
      <w:marRight w:val="0"/>
      <w:marTop w:val="0"/>
      <w:marBottom w:val="0"/>
      <w:divBdr>
        <w:top w:val="none" w:sz="0" w:space="0" w:color="auto"/>
        <w:left w:val="none" w:sz="0" w:space="0" w:color="auto"/>
        <w:bottom w:val="none" w:sz="0" w:space="0" w:color="auto"/>
        <w:right w:val="none" w:sz="0" w:space="0" w:color="auto"/>
      </w:divBdr>
    </w:div>
    <w:div w:id="181169966">
      <w:bodyDiv w:val="1"/>
      <w:marLeft w:val="0"/>
      <w:marRight w:val="0"/>
      <w:marTop w:val="0"/>
      <w:marBottom w:val="0"/>
      <w:divBdr>
        <w:top w:val="none" w:sz="0" w:space="0" w:color="auto"/>
        <w:left w:val="none" w:sz="0" w:space="0" w:color="auto"/>
        <w:bottom w:val="none" w:sz="0" w:space="0" w:color="auto"/>
        <w:right w:val="none" w:sz="0" w:space="0" w:color="auto"/>
      </w:divBdr>
    </w:div>
    <w:div w:id="184292599">
      <w:bodyDiv w:val="1"/>
      <w:marLeft w:val="0"/>
      <w:marRight w:val="0"/>
      <w:marTop w:val="0"/>
      <w:marBottom w:val="0"/>
      <w:divBdr>
        <w:top w:val="none" w:sz="0" w:space="0" w:color="auto"/>
        <w:left w:val="none" w:sz="0" w:space="0" w:color="auto"/>
        <w:bottom w:val="none" w:sz="0" w:space="0" w:color="auto"/>
        <w:right w:val="none" w:sz="0" w:space="0" w:color="auto"/>
      </w:divBdr>
    </w:div>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280456721">
      <w:bodyDiv w:val="1"/>
      <w:marLeft w:val="0"/>
      <w:marRight w:val="0"/>
      <w:marTop w:val="0"/>
      <w:marBottom w:val="0"/>
      <w:divBdr>
        <w:top w:val="none" w:sz="0" w:space="0" w:color="auto"/>
        <w:left w:val="none" w:sz="0" w:space="0" w:color="auto"/>
        <w:bottom w:val="none" w:sz="0" w:space="0" w:color="auto"/>
        <w:right w:val="none" w:sz="0" w:space="0" w:color="auto"/>
      </w:divBdr>
    </w:div>
    <w:div w:id="282880634">
      <w:bodyDiv w:val="1"/>
      <w:marLeft w:val="0"/>
      <w:marRight w:val="0"/>
      <w:marTop w:val="0"/>
      <w:marBottom w:val="0"/>
      <w:divBdr>
        <w:top w:val="none" w:sz="0" w:space="0" w:color="auto"/>
        <w:left w:val="none" w:sz="0" w:space="0" w:color="auto"/>
        <w:bottom w:val="none" w:sz="0" w:space="0" w:color="auto"/>
        <w:right w:val="none" w:sz="0" w:space="0" w:color="auto"/>
      </w:divBdr>
    </w:div>
    <w:div w:id="334113323">
      <w:bodyDiv w:val="1"/>
      <w:marLeft w:val="0"/>
      <w:marRight w:val="0"/>
      <w:marTop w:val="0"/>
      <w:marBottom w:val="0"/>
      <w:divBdr>
        <w:top w:val="none" w:sz="0" w:space="0" w:color="auto"/>
        <w:left w:val="none" w:sz="0" w:space="0" w:color="auto"/>
        <w:bottom w:val="none" w:sz="0" w:space="0" w:color="auto"/>
        <w:right w:val="none" w:sz="0" w:space="0" w:color="auto"/>
      </w:divBdr>
    </w:div>
    <w:div w:id="347291818">
      <w:bodyDiv w:val="1"/>
      <w:marLeft w:val="0"/>
      <w:marRight w:val="0"/>
      <w:marTop w:val="0"/>
      <w:marBottom w:val="0"/>
      <w:divBdr>
        <w:top w:val="none" w:sz="0" w:space="0" w:color="auto"/>
        <w:left w:val="none" w:sz="0" w:space="0" w:color="auto"/>
        <w:bottom w:val="none" w:sz="0" w:space="0" w:color="auto"/>
        <w:right w:val="none" w:sz="0" w:space="0" w:color="auto"/>
      </w:divBdr>
    </w:div>
    <w:div w:id="353464266">
      <w:bodyDiv w:val="1"/>
      <w:marLeft w:val="0"/>
      <w:marRight w:val="0"/>
      <w:marTop w:val="0"/>
      <w:marBottom w:val="0"/>
      <w:divBdr>
        <w:top w:val="none" w:sz="0" w:space="0" w:color="auto"/>
        <w:left w:val="none" w:sz="0" w:space="0" w:color="auto"/>
        <w:bottom w:val="none" w:sz="0" w:space="0" w:color="auto"/>
        <w:right w:val="none" w:sz="0" w:space="0" w:color="auto"/>
      </w:divBdr>
    </w:div>
    <w:div w:id="373388194">
      <w:bodyDiv w:val="1"/>
      <w:marLeft w:val="0"/>
      <w:marRight w:val="0"/>
      <w:marTop w:val="0"/>
      <w:marBottom w:val="0"/>
      <w:divBdr>
        <w:top w:val="none" w:sz="0" w:space="0" w:color="auto"/>
        <w:left w:val="none" w:sz="0" w:space="0" w:color="auto"/>
        <w:bottom w:val="none" w:sz="0" w:space="0" w:color="auto"/>
        <w:right w:val="none" w:sz="0" w:space="0" w:color="auto"/>
      </w:divBdr>
    </w:div>
    <w:div w:id="420957745">
      <w:bodyDiv w:val="1"/>
      <w:marLeft w:val="0"/>
      <w:marRight w:val="0"/>
      <w:marTop w:val="0"/>
      <w:marBottom w:val="0"/>
      <w:divBdr>
        <w:top w:val="none" w:sz="0" w:space="0" w:color="auto"/>
        <w:left w:val="none" w:sz="0" w:space="0" w:color="auto"/>
        <w:bottom w:val="none" w:sz="0" w:space="0" w:color="auto"/>
        <w:right w:val="none" w:sz="0" w:space="0" w:color="auto"/>
      </w:divBdr>
    </w:div>
    <w:div w:id="457454505">
      <w:bodyDiv w:val="1"/>
      <w:marLeft w:val="0"/>
      <w:marRight w:val="0"/>
      <w:marTop w:val="0"/>
      <w:marBottom w:val="0"/>
      <w:divBdr>
        <w:top w:val="none" w:sz="0" w:space="0" w:color="auto"/>
        <w:left w:val="none" w:sz="0" w:space="0" w:color="auto"/>
        <w:bottom w:val="none" w:sz="0" w:space="0" w:color="auto"/>
        <w:right w:val="none" w:sz="0" w:space="0" w:color="auto"/>
      </w:divBdr>
    </w:div>
    <w:div w:id="497383324">
      <w:bodyDiv w:val="1"/>
      <w:marLeft w:val="0"/>
      <w:marRight w:val="0"/>
      <w:marTop w:val="0"/>
      <w:marBottom w:val="0"/>
      <w:divBdr>
        <w:top w:val="none" w:sz="0" w:space="0" w:color="auto"/>
        <w:left w:val="none" w:sz="0" w:space="0" w:color="auto"/>
        <w:bottom w:val="none" w:sz="0" w:space="0" w:color="auto"/>
        <w:right w:val="none" w:sz="0" w:space="0" w:color="auto"/>
      </w:divBdr>
    </w:div>
    <w:div w:id="524247085">
      <w:bodyDiv w:val="1"/>
      <w:marLeft w:val="0"/>
      <w:marRight w:val="0"/>
      <w:marTop w:val="0"/>
      <w:marBottom w:val="0"/>
      <w:divBdr>
        <w:top w:val="none" w:sz="0" w:space="0" w:color="auto"/>
        <w:left w:val="none" w:sz="0" w:space="0" w:color="auto"/>
        <w:bottom w:val="none" w:sz="0" w:space="0" w:color="auto"/>
        <w:right w:val="none" w:sz="0" w:space="0" w:color="auto"/>
      </w:divBdr>
    </w:div>
    <w:div w:id="525295693">
      <w:bodyDiv w:val="1"/>
      <w:marLeft w:val="0"/>
      <w:marRight w:val="0"/>
      <w:marTop w:val="0"/>
      <w:marBottom w:val="0"/>
      <w:divBdr>
        <w:top w:val="none" w:sz="0" w:space="0" w:color="auto"/>
        <w:left w:val="none" w:sz="0" w:space="0" w:color="auto"/>
        <w:bottom w:val="none" w:sz="0" w:space="0" w:color="auto"/>
        <w:right w:val="none" w:sz="0" w:space="0" w:color="auto"/>
      </w:divBdr>
    </w:div>
    <w:div w:id="594678752">
      <w:bodyDiv w:val="1"/>
      <w:marLeft w:val="0"/>
      <w:marRight w:val="0"/>
      <w:marTop w:val="0"/>
      <w:marBottom w:val="0"/>
      <w:divBdr>
        <w:top w:val="none" w:sz="0" w:space="0" w:color="auto"/>
        <w:left w:val="none" w:sz="0" w:space="0" w:color="auto"/>
        <w:bottom w:val="none" w:sz="0" w:space="0" w:color="auto"/>
        <w:right w:val="none" w:sz="0" w:space="0" w:color="auto"/>
      </w:divBdr>
    </w:div>
    <w:div w:id="671178533">
      <w:bodyDiv w:val="1"/>
      <w:marLeft w:val="0"/>
      <w:marRight w:val="0"/>
      <w:marTop w:val="0"/>
      <w:marBottom w:val="0"/>
      <w:divBdr>
        <w:top w:val="none" w:sz="0" w:space="0" w:color="auto"/>
        <w:left w:val="none" w:sz="0" w:space="0" w:color="auto"/>
        <w:bottom w:val="none" w:sz="0" w:space="0" w:color="auto"/>
        <w:right w:val="none" w:sz="0" w:space="0" w:color="auto"/>
      </w:divBdr>
    </w:div>
    <w:div w:id="737897916">
      <w:bodyDiv w:val="1"/>
      <w:marLeft w:val="0"/>
      <w:marRight w:val="0"/>
      <w:marTop w:val="0"/>
      <w:marBottom w:val="0"/>
      <w:divBdr>
        <w:top w:val="none" w:sz="0" w:space="0" w:color="auto"/>
        <w:left w:val="none" w:sz="0" w:space="0" w:color="auto"/>
        <w:bottom w:val="none" w:sz="0" w:space="0" w:color="auto"/>
        <w:right w:val="none" w:sz="0" w:space="0" w:color="auto"/>
      </w:divBdr>
    </w:div>
    <w:div w:id="749816034">
      <w:bodyDiv w:val="1"/>
      <w:marLeft w:val="0"/>
      <w:marRight w:val="0"/>
      <w:marTop w:val="0"/>
      <w:marBottom w:val="0"/>
      <w:divBdr>
        <w:top w:val="none" w:sz="0" w:space="0" w:color="auto"/>
        <w:left w:val="none" w:sz="0" w:space="0" w:color="auto"/>
        <w:bottom w:val="none" w:sz="0" w:space="0" w:color="auto"/>
        <w:right w:val="none" w:sz="0" w:space="0" w:color="auto"/>
      </w:divBdr>
    </w:div>
    <w:div w:id="771317241">
      <w:bodyDiv w:val="1"/>
      <w:marLeft w:val="0"/>
      <w:marRight w:val="0"/>
      <w:marTop w:val="0"/>
      <w:marBottom w:val="0"/>
      <w:divBdr>
        <w:top w:val="none" w:sz="0" w:space="0" w:color="auto"/>
        <w:left w:val="none" w:sz="0" w:space="0" w:color="auto"/>
        <w:bottom w:val="none" w:sz="0" w:space="0" w:color="auto"/>
        <w:right w:val="none" w:sz="0" w:space="0" w:color="auto"/>
      </w:divBdr>
    </w:div>
    <w:div w:id="771510236">
      <w:bodyDiv w:val="1"/>
      <w:marLeft w:val="0"/>
      <w:marRight w:val="0"/>
      <w:marTop w:val="0"/>
      <w:marBottom w:val="0"/>
      <w:divBdr>
        <w:top w:val="none" w:sz="0" w:space="0" w:color="auto"/>
        <w:left w:val="none" w:sz="0" w:space="0" w:color="auto"/>
        <w:bottom w:val="none" w:sz="0" w:space="0" w:color="auto"/>
        <w:right w:val="none" w:sz="0" w:space="0" w:color="auto"/>
      </w:divBdr>
    </w:div>
    <w:div w:id="793989133">
      <w:bodyDiv w:val="1"/>
      <w:marLeft w:val="0"/>
      <w:marRight w:val="0"/>
      <w:marTop w:val="0"/>
      <w:marBottom w:val="0"/>
      <w:divBdr>
        <w:top w:val="none" w:sz="0" w:space="0" w:color="auto"/>
        <w:left w:val="none" w:sz="0" w:space="0" w:color="auto"/>
        <w:bottom w:val="none" w:sz="0" w:space="0" w:color="auto"/>
        <w:right w:val="none" w:sz="0" w:space="0" w:color="auto"/>
      </w:divBdr>
    </w:div>
    <w:div w:id="812718800">
      <w:bodyDiv w:val="1"/>
      <w:marLeft w:val="0"/>
      <w:marRight w:val="0"/>
      <w:marTop w:val="0"/>
      <w:marBottom w:val="0"/>
      <w:divBdr>
        <w:top w:val="none" w:sz="0" w:space="0" w:color="auto"/>
        <w:left w:val="none" w:sz="0" w:space="0" w:color="auto"/>
        <w:bottom w:val="none" w:sz="0" w:space="0" w:color="auto"/>
        <w:right w:val="none" w:sz="0" w:space="0" w:color="auto"/>
      </w:divBdr>
    </w:div>
    <w:div w:id="862978902">
      <w:bodyDiv w:val="1"/>
      <w:marLeft w:val="0"/>
      <w:marRight w:val="0"/>
      <w:marTop w:val="0"/>
      <w:marBottom w:val="0"/>
      <w:divBdr>
        <w:top w:val="none" w:sz="0" w:space="0" w:color="auto"/>
        <w:left w:val="none" w:sz="0" w:space="0" w:color="auto"/>
        <w:bottom w:val="none" w:sz="0" w:space="0" w:color="auto"/>
        <w:right w:val="none" w:sz="0" w:space="0" w:color="auto"/>
      </w:divBdr>
    </w:div>
    <w:div w:id="872959556">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20301871">
      <w:bodyDiv w:val="1"/>
      <w:marLeft w:val="0"/>
      <w:marRight w:val="0"/>
      <w:marTop w:val="0"/>
      <w:marBottom w:val="0"/>
      <w:divBdr>
        <w:top w:val="none" w:sz="0" w:space="0" w:color="auto"/>
        <w:left w:val="none" w:sz="0" w:space="0" w:color="auto"/>
        <w:bottom w:val="none" w:sz="0" w:space="0" w:color="auto"/>
        <w:right w:val="none" w:sz="0" w:space="0" w:color="auto"/>
      </w:divBdr>
    </w:div>
    <w:div w:id="1120611740">
      <w:bodyDiv w:val="1"/>
      <w:marLeft w:val="0"/>
      <w:marRight w:val="0"/>
      <w:marTop w:val="0"/>
      <w:marBottom w:val="0"/>
      <w:divBdr>
        <w:top w:val="none" w:sz="0" w:space="0" w:color="auto"/>
        <w:left w:val="none" w:sz="0" w:space="0" w:color="auto"/>
        <w:bottom w:val="none" w:sz="0" w:space="0" w:color="auto"/>
        <w:right w:val="none" w:sz="0" w:space="0" w:color="auto"/>
      </w:divBdr>
    </w:div>
    <w:div w:id="1137606165">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58908934">
      <w:bodyDiv w:val="1"/>
      <w:marLeft w:val="0"/>
      <w:marRight w:val="0"/>
      <w:marTop w:val="0"/>
      <w:marBottom w:val="0"/>
      <w:divBdr>
        <w:top w:val="none" w:sz="0" w:space="0" w:color="auto"/>
        <w:left w:val="none" w:sz="0" w:space="0" w:color="auto"/>
        <w:bottom w:val="none" w:sz="0" w:space="0" w:color="auto"/>
        <w:right w:val="none" w:sz="0" w:space="0" w:color="auto"/>
      </w:divBdr>
    </w:div>
    <w:div w:id="1271425839">
      <w:bodyDiv w:val="1"/>
      <w:marLeft w:val="0"/>
      <w:marRight w:val="0"/>
      <w:marTop w:val="0"/>
      <w:marBottom w:val="0"/>
      <w:divBdr>
        <w:top w:val="none" w:sz="0" w:space="0" w:color="auto"/>
        <w:left w:val="none" w:sz="0" w:space="0" w:color="auto"/>
        <w:bottom w:val="none" w:sz="0" w:space="0" w:color="auto"/>
        <w:right w:val="none" w:sz="0" w:space="0" w:color="auto"/>
      </w:divBdr>
    </w:div>
    <w:div w:id="1273320260">
      <w:bodyDiv w:val="1"/>
      <w:marLeft w:val="0"/>
      <w:marRight w:val="0"/>
      <w:marTop w:val="0"/>
      <w:marBottom w:val="0"/>
      <w:divBdr>
        <w:top w:val="none" w:sz="0" w:space="0" w:color="auto"/>
        <w:left w:val="none" w:sz="0" w:space="0" w:color="auto"/>
        <w:bottom w:val="none" w:sz="0" w:space="0" w:color="auto"/>
        <w:right w:val="none" w:sz="0" w:space="0" w:color="auto"/>
      </w:divBdr>
    </w:div>
    <w:div w:id="1292440397">
      <w:bodyDiv w:val="1"/>
      <w:marLeft w:val="0"/>
      <w:marRight w:val="0"/>
      <w:marTop w:val="0"/>
      <w:marBottom w:val="0"/>
      <w:divBdr>
        <w:top w:val="none" w:sz="0" w:space="0" w:color="auto"/>
        <w:left w:val="none" w:sz="0" w:space="0" w:color="auto"/>
        <w:bottom w:val="none" w:sz="0" w:space="0" w:color="auto"/>
        <w:right w:val="none" w:sz="0" w:space="0" w:color="auto"/>
      </w:divBdr>
    </w:div>
    <w:div w:id="1296836262">
      <w:bodyDiv w:val="1"/>
      <w:marLeft w:val="0"/>
      <w:marRight w:val="0"/>
      <w:marTop w:val="0"/>
      <w:marBottom w:val="0"/>
      <w:divBdr>
        <w:top w:val="none" w:sz="0" w:space="0" w:color="auto"/>
        <w:left w:val="none" w:sz="0" w:space="0" w:color="auto"/>
        <w:bottom w:val="none" w:sz="0" w:space="0" w:color="auto"/>
        <w:right w:val="none" w:sz="0" w:space="0" w:color="auto"/>
      </w:divBdr>
    </w:div>
    <w:div w:id="1351839317">
      <w:bodyDiv w:val="1"/>
      <w:marLeft w:val="0"/>
      <w:marRight w:val="0"/>
      <w:marTop w:val="0"/>
      <w:marBottom w:val="0"/>
      <w:divBdr>
        <w:top w:val="none" w:sz="0" w:space="0" w:color="auto"/>
        <w:left w:val="none" w:sz="0" w:space="0" w:color="auto"/>
        <w:bottom w:val="none" w:sz="0" w:space="0" w:color="auto"/>
        <w:right w:val="none" w:sz="0" w:space="0" w:color="auto"/>
      </w:divBdr>
    </w:div>
    <w:div w:id="1390691802">
      <w:bodyDiv w:val="1"/>
      <w:marLeft w:val="0"/>
      <w:marRight w:val="0"/>
      <w:marTop w:val="0"/>
      <w:marBottom w:val="0"/>
      <w:divBdr>
        <w:top w:val="none" w:sz="0" w:space="0" w:color="auto"/>
        <w:left w:val="none" w:sz="0" w:space="0" w:color="auto"/>
        <w:bottom w:val="none" w:sz="0" w:space="0" w:color="auto"/>
        <w:right w:val="none" w:sz="0" w:space="0" w:color="auto"/>
      </w:divBdr>
    </w:div>
    <w:div w:id="1391612973">
      <w:bodyDiv w:val="1"/>
      <w:marLeft w:val="0"/>
      <w:marRight w:val="0"/>
      <w:marTop w:val="0"/>
      <w:marBottom w:val="0"/>
      <w:divBdr>
        <w:top w:val="none" w:sz="0" w:space="0" w:color="auto"/>
        <w:left w:val="none" w:sz="0" w:space="0" w:color="auto"/>
        <w:bottom w:val="none" w:sz="0" w:space="0" w:color="auto"/>
        <w:right w:val="none" w:sz="0" w:space="0" w:color="auto"/>
      </w:divBdr>
    </w:div>
    <w:div w:id="1472022004">
      <w:bodyDiv w:val="1"/>
      <w:marLeft w:val="0"/>
      <w:marRight w:val="0"/>
      <w:marTop w:val="0"/>
      <w:marBottom w:val="0"/>
      <w:divBdr>
        <w:top w:val="none" w:sz="0" w:space="0" w:color="auto"/>
        <w:left w:val="none" w:sz="0" w:space="0" w:color="auto"/>
        <w:bottom w:val="none" w:sz="0" w:space="0" w:color="auto"/>
        <w:right w:val="none" w:sz="0" w:space="0" w:color="auto"/>
      </w:divBdr>
    </w:div>
    <w:div w:id="1539852938">
      <w:bodyDiv w:val="1"/>
      <w:marLeft w:val="0"/>
      <w:marRight w:val="0"/>
      <w:marTop w:val="0"/>
      <w:marBottom w:val="0"/>
      <w:divBdr>
        <w:top w:val="none" w:sz="0" w:space="0" w:color="auto"/>
        <w:left w:val="none" w:sz="0" w:space="0" w:color="auto"/>
        <w:bottom w:val="none" w:sz="0" w:space="0" w:color="auto"/>
        <w:right w:val="none" w:sz="0" w:space="0" w:color="auto"/>
      </w:divBdr>
    </w:div>
    <w:div w:id="1577666159">
      <w:bodyDiv w:val="1"/>
      <w:marLeft w:val="0"/>
      <w:marRight w:val="0"/>
      <w:marTop w:val="0"/>
      <w:marBottom w:val="0"/>
      <w:divBdr>
        <w:top w:val="none" w:sz="0" w:space="0" w:color="auto"/>
        <w:left w:val="none" w:sz="0" w:space="0" w:color="auto"/>
        <w:bottom w:val="none" w:sz="0" w:space="0" w:color="auto"/>
        <w:right w:val="none" w:sz="0" w:space="0" w:color="auto"/>
      </w:divBdr>
    </w:div>
    <w:div w:id="1626813279">
      <w:bodyDiv w:val="1"/>
      <w:marLeft w:val="0"/>
      <w:marRight w:val="0"/>
      <w:marTop w:val="0"/>
      <w:marBottom w:val="0"/>
      <w:divBdr>
        <w:top w:val="none" w:sz="0" w:space="0" w:color="auto"/>
        <w:left w:val="none" w:sz="0" w:space="0" w:color="auto"/>
        <w:bottom w:val="none" w:sz="0" w:space="0" w:color="auto"/>
        <w:right w:val="none" w:sz="0" w:space="0" w:color="auto"/>
      </w:divBdr>
    </w:div>
    <w:div w:id="1634941831">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757289258">
      <w:bodyDiv w:val="1"/>
      <w:marLeft w:val="0"/>
      <w:marRight w:val="0"/>
      <w:marTop w:val="0"/>
      <w:marBottom w:val="0"/>
      <w:divBdr>
        <w:top w:val="none" w:sz="0" w:space="0" w:color="auto"/>
        <w:left w:val="none" w:sz="0" w:space="0" w:color="auto"/>
        <w:bottom w:val="none" w:sz="0" w:space="0" w:color="auto"/>
        <w:right w:val="none" w:sz="0" w:space="0" w:color="auto"/>
      </w:divBdr>
    </w:div>
    <w:div w:id="1802384396">
      <w:bodyDiv w:val="1"/>
      <w:marLeft w:val="0"/>
      <w:marRight w:val="0"/>
      <w:marTop w:val="0"/>
      <w:marBottom w:val="0"/>
      <w:divBdr>
        <w:top w:val="none" w:sz="0" w:space="0" w:color="auto"/>
        <w:left w:val="none" w:sz="0" w:space="0" w:color="auto"/>
        <w:bottom w:val="none" w:sz="0" w:space="0" w:color="auto"/>
        <w:right w:val="none" w:sz="0" w:space="0" w:color="auto"/>
      </w:divBdr>
    </w:div>
    <w:div w:id="1824928331">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1877548131">
      <w:bodyDiv w:val="1"/>
      <w:marLeft w:val="0"/>
      <w:marRight w:val="0"/>
      <w:marTop w:val="0"/>
      <w:marBottom w:val="0"/>
      <w:divBdr>
        <w:top w:val="none" w:sz="0" w:space="0" w:color="auto"/>
        <w:left w:val="none" w:sz="0" w:space="0" w:color="auto"/>
        <w:bottom w:val="none" w:sz="0" w:space="0" w:color="auto"/>
        <w:right w:val="none" w:sz="0" w:space="0" w:color="auto"/>
      </w:divBdr>
    </w:div>
    <w:div w:id="1894265662">
      <w:bodyDiv w:val="1"/>
      <w:marLeft w:val="0"/>
      <w:marRight w:val="0"/>
      <w:marTop w:val="0"/>
      <w:marBottom w:val="0"/>
      <w:divBdr>
        <w:top w:val="none" w:sz="0" w:space="0" w:color="auto"/>
        <w:left w:val="none" w:sz="0" w:space="0" w:color="auto"/>
        <w:bottom w:val="none" w:sz="0" w:space="0" w:color="auto"/>
        <w:right w:val="none" w:sz="0" w:space="0" w:color="auto"/>
      </w:divBdr>
    </w:div>
    <w:div w:id="1958096063">
      <w:bodyDiv w:val="1"/>
      <w:marLeft w:val="0"/>
      <w:marRight w:val="0"/>
      <w:marTop w:val="0"/>
      <w:marBottom w:val="0"/>
      <w:divBdr>
        <w:top w:val="none" w:sz="0" w:space="0" w:color="auto"/>
        <w:left w:val="none" w:sz="0" w:space="0" w:color="auto"/>
        <w:bottom w:val="none" w:sz="0" w:space="0" w:color="auto"/>
        <w:right w:val="none" w:sz="0" w:space="0" w:color="auto"/>
      </w:divBdr>
    </w:div>
    <w:div w:id="1966303509">
      <w:bodyDiv w:val="1"/>
      <w:marLeft w:val="0"/>
      <w:marRight w:val="0"/>
      <w:marTop w:val="0"/>
      <w:marBottom w:val="0"/>
      <w:divBdr>
        <w:top w:val="none" w:sz="0" w:space="0" w:color="auto"/>
        <w:left w:val="none" w:sz="0" w:space="0" w:color="auto"/>
        <w:bottom w:val="none" w:sz="0" w:space="0" w:color="auto"/>
        <w:right w:val="none" w:sz="0" w:space="0" w:color="auto"/>
      </w:divBdr>
    </w:div>
    <w:div w:id="2013952845">
      <w:bodyDiv w:val="1"/>
      <w:marLeft w:val="0"/>
      <w:marRight w:val="0"/>
      <w:marTop w:val="0"/>
      <w:marBottom w:val="0"/>
      <w:divBdr>
        <w:top w:val="none" w:sz="0" w:space="0" w:color="auto"/>
        <w:left w:val="none" w:sz="0" w:space="0" w:color="auto"/>
        <w:bottom w:val="none" w:sz="0" w:space="0" w:color="auto"/>
        <w:right w:val="none" w:sz="0" w:space="0" w:color="auto"/>
      </w:divBdr>
    </w:div>
    <w:div w:id="2098165177">
      <w:bodyDiv w:val="1"/>
      <w:marLeft w:val="0"/>
      <w:marRight w:val="0"/>
      <w:marTop w:val="0"/>
      <w:marBottom w:val="0"/>
      <w:divBdr>
        <w:top w:val="none" w:sz="0" w:space="0" w:color="auto"/>
        <w:left w:val="none" w:sz="0" w:space="0" w:color="auto"/>
        <w:bottom w:val="none" w:sz="0" w:space="0" w:color="auto"/>
        <w:right w:val="none" w:sz="0" w:space="0" w:color="auto"/>
      </w:divBdr>
    </w:div>
    <w:div w:id="2107994588">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58244-FF4A-4FA2-9C73-FE5AD43D8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Template>
  <TotalTime>0</TotalTime>
  <Pages>120</Pages>
  <Words>48738</Words>
  <Characters>277813</Characters>
  <Application>Microsoft Office Word</Application>
  <DocSecurity>8</DocSecurity>
  <Lines>2315</Lines>
  <Paragraphs>651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Alex McDonald</cp:lastModifiedBy>
  <cp:revision>2</cp:revision>
  <dcterms:created xsi:type="dcterms:W3CDTF">2015-03-02T22:56:00Z</dcterms:created>
  <dcterms:modified xsi:type="dcterms:W3CDTF">2015-03-02T22:56:00Z</dcterms:modified>
</cp:coreProperties>
</file>